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大兴安岭林区森林草原防灭火气象保障服务能力建设项目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ZQCD-25422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中国气象局公共气象服务中心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大兴安岭林区森林草原防灭火气象保障服务能力建设项目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ZQCD-25422</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12个月。具体见第七章《采购需求》5.1进度要求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北京市海淀区中关村南大街46号公共气象服务中心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2025年11月28日 00:00:00</w:t>
      </w:r>
      <w:bookmarkEnd w:id="27"/>
      <w:r>
        <w:rPr>
          <w:rFonts w:ascii="宋体" w:hint="eastAsia"/>
          <w:szCs w:val="21"/>
          <w:highlight w:val="none"/>
        </w:rPr>
        <w:t>至</w:t>
      </w:r>
      <w:bookmarkStart w:id="28" w:name="项目公告_signUpLastTime"/>
      <w:r>
        <w:rPr>
          <w:rFonts w:ascii="宋体" w:hint="eastAsia"/>
          <w:szCs w:val="21"/>
          <w:highlight w:val="none"/>
        </w:rPr>
        <w:t>2025年12月05日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2025年12月19日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中国气象局公共气象服务中心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郝江波</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010-68407241</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北京市海淀区中关村南大街46号中国气象局北区3号楼8层办公室（计划财务处）</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中国气象局公共气象服务中心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4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（1）标的：大兴安岭林区森林草原防灭火气象保障服务能力建设 ，属于软件和信息技术服务业；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是，代理服务费：6.5万元。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896.070000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896.070000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3"/>
        <w:gridCol w:w="267"/>
        <w:gridCol w:w="893"/>
        <w:gridCol w:w="267"/>
        <w:gridCol w:w="741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(1)</w:t>
            </w:r>
          </w:p>
        </w:tc>
        <w:tc>
          <w:tcPr/>
          <w:p>
            <w:r>
              <w:t>评审标准：</w:t>
            </w:r>
          </w:p>
          <w:p>
            <w:r>
              <w:t>投标人具有ISO9001质量管理体系认证或同等质量管理体系认证证书得1分，否则不得分。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每提供一个得2分，最多8分。否则不得分。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(10)</w:t>
            </w:r>
          </w:p>
        </w:tc>
        <w:tc>
          <w:tcPr/>
          <w:p>
            <w:r>
              <w:t>评审标准：</w:t>
            </w:r>
          </w:p>
          <w:p>
            <w:r>
              <w:t>每提供1份软件著作权证书得2分，最多得 10分。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(18)</w:t>
            </w:r>
          </w:p>
        </w:tc>
        <w:tc>
          <w:tcPr/>
          <w:p>
            <w:r>
              <w:t>评审标准：</w:t>
            </w:r>
          </w:p>
          <w:p>
            <w:r>
              <w:t>投标人应组成本项目专项开发服务团队，团队组织结构清晰，应设服务团队负责人（项目经理）、技术负责人，人员专业背景齐全。具体如下：</w:t>
              <w:cr/>
              <w:t>1、团队人数不少于8人，其中驻场人员4人以上。完全满足得4分，否则不得分。</w:t>
              <w:cr/>
              <w:t>2、拟投入本项目的项目经理具有PMP项目管理证书或气象服务类/计算机类高级工程师（含）及以上级别证书，并从事5年以上相关项目经验，完全满足得4分，否则不得分。</w:t>
              <w:cr/>
              <w:t>3、拟投入本项目的技术负责人具有气象服务类/计算机类高级工程师（含）及以上级别证书，5年以上相关项目经验，完全满足得3分，否则不得分。</w:t>
              <w:cr/>
              <w:t>4、拟投入本项目的项目团队人员中（不含项目经理、技术负责人）至少3人具有气象服务类/计算机类工程师（含）及以上级别证书，完全满足得3分，否则不得分。</w:t>
              <w:cr/>
              <w:t>5. 投标人承诺项目经理和技术负责人未经业主方同意不得变更， 提供加盖投标人公章的承诺书得 4 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勾选打分</w:t>
            </w:r>
            <w:r>
              <w:t>(8)</w:t>
            </w:r>
          </w:p>
        </w:tc>
        <w:tc>
          <w:tcPr/>
          <w:p>
            <w:r>
              <w:t>评审标准：</w:t>
            </w:r>
          </w:p>
          <w:p>
            <w:r>
              <w:t>提供书面承诺得8分。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(1)</w:t>
            </w:r>
          </w:p>
        </w:tc>
        <w:tc>
          <w:tcPr/>
          <w:p>
            <w:r>
              <w:t>评审标准：</w:t>
            </w:r>
          </w:p>
          <w:p>
            <w:r>
              <w:t>一档0分</w:t>
              <w:cr/>
              <w:t>二档0.5分</w:t>
              <w:cr/>
              <w:t>三档0.75分</w:t>
              <w:cr/>
              <w:t>四档1分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二档：同时提供承诺和培训方案，但培训方案较简单；</w:t>
              <w:cr/>
              <w:t>三档：同时提供承诺和培训方案，培训内容符合实际需要，培训方案详细具体，能按照招标文件的要求进行响应，且满足招标文件的要求；</w:t>
              <w:cr/>
              <w:t>四档：同时提供承诺和培训方案，培训内容符合实际需要，培训人数及课时合理，培训方案详细具体，能按照招标文件的要求进行响应，且满足招标文件的要求。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(1)</w:t>
            </w:r>
          </w:p>
        </w:tc>
        <w:tc>
          <w:tcPr/>
          <w:p>
            <w:r>
              <w:t>评审标准：</w:t>
            </w:r>
          </w:p>
          <w:p>
            <w:r>
              <w:t>一档0分</w:t>
              <w:cr/>
              <w:t>二档0.5分</w:t>
              <w:cr/>
              <w:t>三档0.75分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(1)</w:t>
            </w:r>
          </w:p>
        </w:tc>
        <w:tc>
          <w:tcPr/>
          <w:p>
            <w:r>
              <w:t>评审标准：</w:t>
            </w:r>
          </w:p>
          <w:p>
            <w:r>
              <w:t>一档0分</w:t>
              <w:cr/>
              <w:t>二档0.5分</w:t>
              <w:cr/>
              <w:t>三档0.75分</w:t>
              <w:cr/>
              <w:t>四档1分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(1)</w:t>
            </w:r>
          </w:p>
        </w:tc>
        <w:tc>
          <w:tcPr/>
          <w:p>
            <w:r>
              <w:t>评审标准：</w:t>
            </w:r>
          </w:p>
          <w:p>
            <w:r>
              <w:t>一档0分</w:t>
              <w:cr/>
              <w:t>二档0.5分</w:t>
              <w:cr/>
              <w:t>三档0.75分</w:t>
              <w:cr/>
              <w:t>四档1分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(1)</w:t>
            </w:r>
          </w:p>
        </w:tc>
        <w:tc>
          <w:tcPr/>
          <w:p>
            <w:r>
              <w:t>评审标准：</w:t>
            </w:r>
          </w:p>
          <w:p>
            <w:r>
              <w:t>一档0分</w:t>
              <w:cr/>
              <w:t>二档0.5分</w:t>
              <w:cr/>
              <w:t>三档0.75分</w:t>
              <w:cr/>
              <w:t>四档1分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(1)</w:t>
            </w:r>
          </w:p>
        </w:tc>
        <w:tc>
          <w:tcPr/>
          <w:p>
            <w:r>
              <w:t>评审标准：</w:t>
            </w:r>
          </w:p>
          <w:p>
            <w:r>
              <w:t>一档0分</w:t>
              <w:cr/>
              <w:t>二档0.5分</w:t>
              <w:cr/>
              <w:t>三档0.75分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(1)</w:t>
            </w:r>
          </w:p>
        </w:tc>
        <w:tc>
          <w:tcPr/>
          <w:p>
            <w:r>
              <w:t>评审标准：</w:t>
            </w:r>
          </w:p>
          <w:p>
            <w:r>
              <w:t>一档0分</w:t>
              <w:cr/>
              <w:t>二档0.5分</w:t>
              <w:cr/>
              <w:t>三档0.75分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(1)</w:t>
            </w:r>
          </w:p>
        </w:tc>
        <w:tc>
          <w:tcPr/>
          <w:p>
            <w:r>
              <w:t>评审标准：</w:t>
            </w:r>
          </w:p>
          <w:p>
            <w:r>
              <w:t>一档0分</w:t>
              <w:cr/>
              <w:t>二档0.5分</w:t>
              <w:cr/>
              <w:t>三档0.75分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以下模块的关键技术识别：</w:t>
              <w:cr/>
              <w:t>1、森林火灾风险监测分系统</w:t>
              <w:cr/>
              <w:t>2、森林草原火险气象预报预警分系统</w:t>
              <w:cr/>
              <w:t>3、雷击火环境影响分析分系统</w:t>
              <w:cr/>
              <w:t>4、雷击火气象风险预报预警分系统</w:t>
              <w:cr/>
              <w:t>5、林火蔓延趋势预测分系统</w:t>
              <w:cr/>
              <w:t>6、大兴安岭防灭火智能气象服务分系统</w:t>
              <w:cr/>
              <w:t>7、升级气象服务综合分析应用分系统的系统功能</w:t>
              <w:cr/>
              <w:t>一档：未提炼出任何关键技术点，或内容完全不符。</w:t>
              <w:cr/>
              <w:t>二档：虽列出部分技术点，但未能准确识别软件系统中的关键技术问题，识别能力不足。</w:t>
              <w:cr/>
              <w:t>三档：能够识别关键技术点，但未提供详细、合理的解决方案，或方案较为笼统，缺乏具体实施路径。</w:t>
              <w:cr/>
              <w:t>四档：能基于中国气象局软件统筹规划要求，系统提出与已建系统、已有算法模型的衔接设计方案；方案内容完整、逻辑清晰，在功能与性能方面设计充分、描述详实；针对系统功能、性能指标及关键技术点，分别提出合理可行的技术路线；技术方案先进，流程清晰，符合项目总体建设要求，具备高可行性与实施保障。</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一档：未提供系统整体架构；</w:t>
              <w:cr/>
              <w:t>二档：系统整体架构设计有一定合理性，但无针对性，功能不完整；</w:t>
              <w:cr/>
              <w:t>三档：系统框架基本合理性，可行性一般，系统功能基本完整；</w:t>
              <w:cr/>
              <w:t>四档：系统整体架构设计合理可行，技术先进，功能完整，针对性强。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(28)</w:t>
            </w:r>
          </w:p>
        </w:tc>
        <w:tc>
          <w:tcPr/>
          <w:p>
            <w:r>
              <w:t>评审标准：</w:t>
            </w:r>
          </w:p>
          <w:p>
            <w:r>
              <w:t>提交如下模块技术方案：</w:t>
              <w:cr/>
              <w:t>1、森林火灾风险监测分系统</w:t>
              <w:cr/>
              <w:t>2、森林草原火险气象预报预警分系统</w:t>
              <w:cr/>
              <w:t>3、雷击火环境影响分析分系统</w:t>
              <w:cr/>
              <w:t>4、雷击火气象风险预报预警分系统</w:t>
              <w:cr/>
              <w:t>5、林火蔓延趋势预测分系统</w:t>
              <w:cr/>
              <w:t>6、大兴安岭防灭火智能气象服务分系统</w:t>
              <w:cr/>
              <w:t>7、升级气象服务综合分析应用分系统的系统功能</w:t>
              <w:cr/>
              <w:t>按模块提出技术方案，每个模块评分标准如下：</w:t>
              <w:cr/>
              <w:t>一档0分</w:t>
              <w:cr/>
              <w:t>二档1分</w:t>
              <w:cr/>
              <w:t>三档2分</w:t>
              <w:cr/>
              <w:t>四档4分</w:t>
              <w:cr/>
              <w:t>以上共计7个模块，满分28分。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(1)</w:t>
            </w:r>
          </w:p>
        </w:tc>
        <w:tc>
          <w:tcPr/>
          <w:p>
            <w:r>
              <w:t>评审标准：</w:t>
            </w:r>
          </w:p>
          <w:p>
            <w:r>
              <w:t>一档0分</w:t>
              <w:cr/>
              <w:t>二档0.5分</w:t>
              <w:cr/>
              <w:t>三档0.75分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20</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21</w:t>
            </w:r>
          </w:p>
        </w:tc>
        <w:tc>
          <w:tcPr>
            <w:vMerge/>
          </w:tcPr>
          <w:p>
            <w:r>
              <w:t>技术部分</w:t>
            </w:r>
          </w:p>
        </w:tc>
        <w:tc>
          <w:tcPr/>
          <w:p>
            <w:r>
              <w:t>风险管理方案（主观分）</w:t>
            </w:r>
          </w:p>
        </w:tc>
        <w:tc>
          <w:tcPr/>
          <w:p>
            <w:r>
              <w:t>勾选打分</w:t>
            </w:r>
            <w:r>
              <w:t>(1)</w:t>
            </w:r>
          </w:p>
        </w:tc>
        <w:tc>
          <w:tcPr/>
          <w:p>
            <w:r>
              <w:t>评审标准：</w:t>
            </w:r>
          </w:p>
          <w:p>
            <w:r>
              <w:t xml:space="preserve">一档0分 </w:t>
              <w:cr/>
              <w:t>二档0.5分</w:t>
              <w:cr/>
              <w:t>三档1分</w:t>
            </w:r>
          </w:p>
          <w:p>
            <w:r>
              <w:t>评审标准说明：</w:t>
            </w:r>
          </w:p>
          <w:p>
            <w:r>
              <w:t>针对项目实施过程中，因国家政策、实施环境、重大技术等发生变化可能带来的项目实施风险，拟定风险管控方案。</w:t>
              <w:cr/>
              <w:t>一档：未提供方案。</w:t>
              <w:cr/>
              <w:t>二档：方案简单，内容不全，详细程度一般，措施针对性可行性一般。</w:t>
              <w:cr/>
              <w:t>三档：方案内容全面、详细合理、措施针对性强，切实可行。</w:t>
            </w:r>
          </w:p>
          <w:p/>
        </w:tc>
      </w:tr>
    </w:tbl>
    <w:p w:rsidR="00A77B3E">
      <w:r>
        <w:t xml:space="preserve">      </w:t>
      </w:r>
    </w:p>
    <w:p w:rsidR="00A77B3E"/>
    <w:p w:rsidR="00A77B3E">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jc w:val="left"/>
        <w:rPr>
          <w:b/>
          <w:szCs w:val="21"/>
        </w:rPr>
      </w:pPr>
    </w:p>
    <w:p>
      <w:pPr>
        <w:pStyle w:val="Heading1"/>
        <w:keepNext/>
        <w:keepLines/>
        <w:widowControl w:val="0"/>
        <w:numPr>
          <w:ilvl w:val="0"/>
          <w:numId w:val="4"/>
        </w:numPr>
        <w:tabs>
          <w:tab w:val="left" w:pos="432"/>
        </w:tabs>
        <w:bidi w:val="0"/>
        <w:spacing w:before="340" w:after="120"/>
        <w:ind w:left="432" w:hanging="432"/>
        <w:jc w:val="left"/>
      </w:pPr>
      <w:bookmarkStart w:id="61" w:name="_Toc12170"/>
      <w:r>
        <w:rPr>
          <w:rFonts w:hint="eastAsia"/>
          <w:lang w:val="en-US" w:eastAsia="zh-CN"/>
        </w:rPr>
        <w:t>项目简介</w:t>
      </w:r>
      <w:bookmarkEnd w:id="61"/>
    </w:p>
    <w:p>
      <w:pPr>
        <w:pStyle w:val="Heading2"/>
        <w:keepNext/>
        <w:keepLines/>
        <w:widowControl w:val="0"/>
        <w:numPr>
          <w:ilvl w:val="1"/>
          <w:numId w:val="4"/>
        </w:numPr>
        <w:bidi w:val="0"/>
        <w:spacing w:before="260" w:after="260" w:line="415" w:lineRule="auto"/>
        <w:ind w:left="576" w:hanging="576"/>
        <w:jc w:val="both"/>
      </w:pPr>
      <w:bookmarkStart w:id="62" w:name="_Toc8140"/>
      <w:r>
        <w:rPr>
          <w:rFonts w:hint="eastAsia"/>
          <w:lang w:val="en-US" w:eastAsia="zh-CN"/>
        </w:rPr>
        <w:t>项目背景</w:t>
      </w:r>
      <w:bookmarkEnd w:id="62"/>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szCs w:val="24"/>
        </w:rPr>
        <w:t>党中央始终高度重视大兴安岭林区森林资源保护工作，习近平总书记2023年9月在视察漠河林场时指出，要坚持造林与护林并重，做到未雨绸缪、防患于未然，决不能让几十年、几百年、上千年之功毁于一旦。《气象高质量发展纲要（2022-2035年）》、《生态保护和修复支撑体系重大工程建设规划（2021-2035年）》等均提出健全森林草原火灾等气象风险预报预警能力，研究建立森林草原火险预报预警模型和雷击森林火灾监测预警模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szCs w:val="24"/>
        </w:rPr>
        <w:t>从地域面积看，大兴安岭地域宽广，全场1200多公里，宽200-300公里，地形以山地为主，山势陡峭、沟壑纵横。从森林资源看，大兴安岭林区是全国面积最大的集中连片林区，森林覆盖率86%以上，拥有我国最大的未开发原始林区，面积约94.7万公顷，森林蓄积量大15.88亿立方米，植被以落叶松、樟子松等易燃针叶林为主，是国家森林防火高危区，更是全国三大“雷击火”高发区之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szCs w:val="24"/>
        </w:rPr>
        <w:t>从区位特征看，大兴安岭林区属寒温带大陆性季风气候，冬季严寒漫长、夏季短暂多雨，是我国400毫米年降水量分界线、半湿润区和半干旱区分界线，是我国重要的北疆生态安全屏障。从火灾特点看，近二十年来，虽然火灾起数仅占全国总数的1.3%，但受害面积占全国的27.1%，1987年以来，全国有详细记录的特大森林火灾72起，其中69起发生在大兴安岭。尤其是近年来，在全球气候变暖的背景下、极端天气增多，大兴安岭林区雷电活动呈增多趋势，雷击火引发森林草原火灾占比越来越重，2024年雷击火发生了113起，占去年森林草原火灾起数的38.7%，对生态安全造成严重威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szCs w:val="24"/>
        </w:rPr>
        <w:t>亟需解决雷击火气象保障服务业务短板，开展大兴安岭林区森林草原防灭火气象保障服务能力建设，实现雷击森林火灾主动防控，减少雷击火发生几率，发挥雷击火气象保障服务支撑能力和作用。</w:t>
      </w:r>
    </w:p>
    <w:p>
      <w:pPr>
        <w:pStyle w:val="Heading2"/>
        <w:keepNext/>
        <w:keepLines/>
        <w:widowControl w:val="0"/>
        <w:numPr>
          <w:ilvl w:val="1"/>
          <w:numId w:val="4"/>
        </w:numPr>
        <w:adjustRightInd w:val="0"/>
        <w:spacing w:before="260" w:after="260" w:line="415" w:lineRule="auto"/>
        <w:ind w:left="0" w:firstLine="0"/>
        <w:jc w:val="both"/>
        <w:rPr>
          <w:color w:val="000000" w:themeColor="text1"/>
        </w:rPr>
      </w:pPr>
      <w:bookmarkStart w:id="63" w:name="_Toc24861"/>
      <w:r>
        <w:rPr>
          <w:rFonts w:hint="eastAsia"/>
          <w:color w:val="000000" w:themeColor="text1"/>
          <w:lang w:val="en-US" w:eastAsia="zh-CN"/>
        </w:rPr>
        <w:t>建设目标</w:t>
      </w:r>
      <w:bookmarkEnd w:id="63"/>
    </w:p>
    <w:p>
      <w:pPr>
        <w:spacing w:line="360" w:lineRule="auto"/>
        <w:ind w:firstLine="420" w:firstLineChars="200"/>
        <w:rPr>
          <w:rFonts w:ascii="Times New Roman" w:hAnsi="Times New Roman" w:cs="Times New Roman"/>
        </w:rPr>
      </w:pPr>
      <w:r>
        <w:rPr>
          <w:rFonts w:ascii="宋体" w:hAnsi="宋体" w:hint="eastAsia"/>
          <w:szCs w:val="21"/>
        </w:rPr>
        <w:t>通过本项目建设，初步形成大兴安岭林区森林草原防灭火气象保障体系，雷击火气象风险预报能力显著提升，森林草原火险气象监测预报更加精准。森林火险气象客观预报产品空间分辨率精细到1千米，预报时效延长到30天，形成1千米时空分辨率的雷击火气象风险预报能力。</w:t>
      </w:r>
    </w:p>
    <w:p>
      <w:pPr>
        <w:pStyle w:val="Heading2"/>
        <w:keepNext/>
        <w:keepLines/>
        <w:widowControl w:val="0"/>
        <w:numPr>
          <w:ilvl w:val="1"/>
          <w:numId w:val="4"/>
        </w:numPr>
        <w:adjustRightInd w:val="0"/>
        <w:spacing w:before="260" w:after="260" w:line="415" w:lineRule="auto"/>
        <w:ind w:left="0" w:firstLine="0"/>
        <w:jc w:val="both"/>
        <w:rPr>
          <w:color w:val="000000" w:themeColor="text1"/>
        </w:rPr>
      </w:pPr>
      <w:bookmarkStart w:id="64" w:name="_Toc24148"/>
      <w:bookmarkStart w:id="65" w:name="_Toc9078"/>
      <w:r>
        <w:rPr>
          <w:color w:val="000000" w:themeColor="text1"/>
        </w:rPr>
        <w:t>编写依据</w:t>
      </w:r>
      <w:bookmarkEnd w:id="64"/>
      <w:bookmarkEnd w:id="6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bCs/>
          <w:szCs w:val="28"/>
        </w:rPr>
      </w:pPr>
      <w:bookmarkStart w:id="66" w:name="_Toc110330210"/>
      <w:bookmarkEnd w:id="66"/>
      <w:bookmarkStart w:id="67" w:name="_Toc3030"/>
      <w:r>
        <w:rPr>
          <w:rFonts w:ascii="Times New Roman" w:hAnsi="Times New Roman" w:cs="Times New Roman"/>
          <w:bCs/>
          <w:szCs w:val="28"/>
        </w:rPr>
        <w:t>（1）《气象高质量发展纲要（2022-2035年）》（国发〔2021〕36号）中，要求健全分灾种、分重点行业气象灾害监测预报预警体系，提高极端天气气候事件和中小河流洪水、山洪灾害、地质灾害、海洋灾害、流域区域洪涝、森林草原火灾等气象风险预报预警能力。</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bCs/>
          <w:szCs w:val="28"/>
        </w:rPr>
      </w:pPr>
      <w:r>
        <w:rPr>
          <w:rFonts w:ascii="Times New Roman" w:hAnsi="Times New Roman" w:cs="Times New Roman"/>
          <w:bCs/>
          <w:szCs w:val="28"/>
        </w:rPr>
        <w:t>（2）《中国气象局 国家发展改革委关于统筹集约建设气象业务软件的指导意见》（气发〔2024〕8号）</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bCs/>
          <w:szCs w:val="28"/>
        </w:rPr>
      </w:pPr>
      <w:r>
        <w:rPr>
          <w:rFonts w:ascii="Times New Roman" w:hAnsi="Times New Roman" w:cs="Times New Roman"/>
          <w:bCs/>
          <w:szCs w:val="28"/>
        </w:rPr>
        <w:t>（3）《大兴安岭林区森林草原防灭火气象保障服务能力提升实施方案》（气办发〔2024〕94号）明确提出贯彻落实习近平总书记等中央领导同志重要指示批示精神，以雷电监测预警和雷击火气象风险预报为重点，统筹推进森林草原防灭火气象保障服务能力提升，通过打造大兴安岭林区防灭火气象服务示范，支撑东北地区森林草原火灾系统治理取得实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bCs/>
          <w:szCs w:val="28"/>
        </w:rPr>
      </w:pPr>
      <w:r>
        <w:rPr>
          <w:rFonts w:ascii="Times New Roman" w:hAnsi="Times New Roman" w:cs="Times New Roman"/>
          <w:bCs/>
          <w:szCs w:val="28"/>
        </w:rPr>
        <w:t>（</w:t>
      </w:r>
      <w:r>
        <w:rPr>
          <w:rFonts w:ascii="Times New Roman" w:hAnsi="Times New Roman" w:cs="Times New Roman" w:hint="eastAsia"/>
          <w:bCs/>
          <w:szCs w:val="28"/>
        </w:rPr>
        <w:t>4</w:t>
      </w:r>
      <w:r>
        <w:rPr>
          <w:rFonts w:ascii="Times New Roman" w:hAnsi="Times New Roman" w:cs="Times New Roman"/>
          <w:bCs/>
          <w:szCs w:val="28"/>
        </w:rPr>
        <w:t>）《生态保护和修复支撑体系重大工程建设规划（2021-2035年）》提出强化森林草原火灾预警监测体系建设。健全森林草原火险预警系统，探索研究建立森林草原火险预报预警模型和雷击森林火灾监测预警模型。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bCs/>
          <w:szCs w:val="28"/>
        </w:rPr>
      </w:pPr>
      <w:r>
        <w:rPr>
          <w:rFonts w:ascii="Times New Roman" w:hAnsi="Times New Roman" w:cs="Times New Roman"/>
          <w:bCs/>
          <w:szCs w:val="28"/>
        </w:rPr>
        <w:t>（</w:t>
      </w:r>
      <w:r>
        <w:rPr>
          <w:rFonts w:ascii="Times New Roman" w:hAnsi="Times New Roman" w:cs="Times New Roman" w:hint="eastAsia"/>
          <w:bCs/>
          <w:szCs w:val="28"/>
        </w:rPr>
        <w:t>5</w:t>
      </w:r>
      <w:r>
        <w:rPr>
          <w:rFonts w:ascii="Times New Roman" w:hAnsi="Times New Roman" w:cs="Times New Roman"/>
          <w:bCs/>
          <w:szCs w:val="28"/>
        </w:rPr>
        <w:t>）《“十四五”林业草原保护发展规划纲要》要求提高防灭火预警能力。综合利用“天空地”各类监测手段，提高主动掌握火情能力。强化与应急、气象部门间会商研判、预警响应、信息共享等协同联动机制。建设国家和省级防火调度管理平台。强化东北、西南防火重点区域雷击火监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bCs/>
          <w:szCs w:val="28"/>
        </w:rPr>
      </w:pPr>
      <w:r>
        <w:rPr>
          <w:rFonts w:ascii="Times New Roman" w:hAnsi="Times New Roman" w:cs="Times New Roman" w:hint="eastAsia"/>
          <w:bCs/>
          <w:szCs w:val="28"/>
        </w:rPr>
        <w:t>（6）</w:t>
      </w:r>
      <w:r>
        <w:rPr>
          <w:rFonts w:ascii="Times New Roman" w:hAnsi="Times New Roman" w:cs="Times New Roman"/>
          <w:bCs/>
          <w:szCs w:val="28"/>
        </w:rPr>
        <w:t>《</w:t>
      </w:r>
      <w:bookmarkStart w:id="68" w:name="OLE_LINK55"/>
      <w:r>
        <w:rPr>
          <w:rFonts w:ascii="Times New Roman" w:hAnsi="Times New Roman" w:cs="Times New Roman"/>
          <w:bCs/>
          <w:szCs w:val="28"/>
        </w:rPr>
        <w:t>中国气象科技发展规划（2021-2035年）</w:t>
      </w:r>
      <w:bookmarkEnd w:id="68"/>
      <w:r>
        <w:rPr>
          <w:rFonts w:ascii="Times New Roman" w:hAnsi="Times New Roman" w:cs="Times New Roman"/>
          <w:bCs/>
          <w:szCs w:val="28"/>
        </w:rPr>
        <w:t>》要求研究气象条件对森林草原行业的影响，研究森林火险气象监测、预报预警、风险评估技术。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bCs/>
          <w:szCs w:val="28"/>
        </w:rPr>
      </w:pPr>
      <w:r>
        <w:rPr>
          <w:rFonts w:ascii="Times New Roman" w:hAnsi="Times New Roman" w:cs="Times New Roman" w:hint="eastAsia"/>
          <w:bCs/>
          <w:szCs w:val="28"/>
        </w:rPr>
        <w:t>（7）</w:t>
      </w:r>
      <w:r>
        <w:rPr>
          <w:rFonts w:ascii="Times New Roman" w:hAnsi="Times New Roman" w:cs="Times New Roman"/>
          <w:bCs/>
          <w:szCs w:val="28"/>
        </w:rPr>
        <w:t>《大兴安岭林区森林草原防灭火气象保障服务能力建设项目可行性研究报告》</w:t>
      </w:r>
      <w:r>
        <w:rPr>
          <w:rFonts w:ascii="Times New Roman" w:hAnsi="Times New Roman" w:cs="Times New Roman" w:hint="eastAsia"/>
          <w:bCs/>
          <w:szCs w:val="28"/>
          <w:lang w:eastAsia="zh-CN"/>
        </w:rPr>
        <w:t>。</w:t>
      </w:r>
    </w:p>
    <w:p>
      <w:pPr>
        <w:pStyle w:val="Heading1"/>
        <w:keepNext/>
        <w:keepLines/>
        <w:widowControl w:val="0"/>
        <w:numPr>
          <w:ilvl w:val="0"/>
          <w:numId w:val="4"/>
        </w:numPr>
        <w:tabs>
          <w:tab w:val="left" w:pos="432"/>
        </w:tabs>
        <w:adjustRightInd w:val="0"/>
        <w:spacing w:before="340" w:after="120"/>
        <w:ind w:left="0" w:firstLine="0"/>
        <w:jc w:val="left"/>
        <w:rPr>
          <w:rFonts w:eastAsia="黑体"/>
        </w:rPr>
      </w:pPr>
      <w:bookmarkStart w:id="69" w:name="_Toc18300"/>
      <w:bookmarkStart w:id="70" w:name="_Toc31966"/>
      <w:bookmarkStart w:id="71" w:name="_Toc23326"/>
      <w:bookmarkStart w:id="72" w:name="_Toc79160165"/>
      <w:r>
        <w:rPr>
          <w:rFonts w:eastAsia="黑体"/>
        </w:rPr>
        <w:t>技术指标要求</w:t>
      </w:r>
      <w:bookmarkEnd w:id="69"/>
      <w:bookmarkEnd w:id="70"/>
    </w:p>
    <w:p>
      <w:pPr>
        <w:pStyle w:val="Heading2"/>
        <w:keepNext/>
        <w:keepLines/>
        <w:widowControl w:val="0"/>
        <w:numPr>
          <w:ilvl w:val="1"/>
          <w:numId w:val="4"/>
        </w:numPr>
        <w:spacing w:before="260" w:after="260" w:line="415" w:lineRule="auto"/>
        <w:ind w:left="578" w:hanging="578"/>
        <w:jc w:val="both"/>
        <w:rPr>
          <w:color w:val="000000" w:themeColor="text1"/>
        </w:rPr>
      </w:pPr>
      <w:bookmarkStart w:id="73" w:name="_Toc23330"/>
      <w:bookmarkStart w:id="74" w:name="_Toc4513"/>
      <w:r>
        <w:rPr>
          <w:color w:val="000000" w:themeColor="text1"/>
        </w:rPr>
        <w:t>功能指标</w:t>
      </w:r>
      <w:bookmarkEnd w:id="73"/>
      <w:bookmarkEnd w:id="74"/>
    </w:p>
    <w:p>
      <w:pPr>
        <w:spacing w:line="360" w:lineRule="auto"/>
        <w:rPr>
          <w:rFonts w:ascii="宋体" w:hAnsi="宋体" w:hint="eastAsia"/>
          <w:b/>
          <w:szCs w:val="21"/>
        </w:rPr>
      </w:pPr>
      <w:r>
        <w:rPr>
          <w:rFonts w:ascii="宋体" w:hAnsi="宋体" w:hint="eastAsia"/>
          <w:b/>
          <w:szCs w:val="21"/>
        </w:rPr>
        <w:t>（1）森林火灾风险监测分系统</w:t>
      </w:r>
    </w:p>
    <w:p>
      <w:pPr>
        <w:numPr>
          <w:ilvl w:val="0"/>
          <w:numId w:val="5"/>
        </w:numPr>
        <w:spacing w:line="360" w:lineRule="auto"/>
        <w:rPr>
          <w:rFonts w:ascii="Times New Roman" w:hAnsi="Times New Roman" w:hint="eastAsia"/>
          <w:szCs w:val="20"/>
        </w:rPr>
      </w:pPr>
      <w:r>
        <w:rPr>
          <w:rFonts w:ascii="Times New Roman" w:hAnsi="Times New Roman" w:hint="eastAsia"/>
          <w:szCs w:val="20"/>
        </w:rPr>
        <w:t>按照统一格式标准，对气象、卫星遥感、可燃物、地形、雷击森林火灾等多源数据进行提取、融合拼接、位置订正、质量控制等，实现火灾气象环境因子监测分析。</w:t>
      </w:r>
    </w:p>
    <w:p>
      <w:pPr>
        <w:numPr>
          <w:ilvl w:val="0"/>
          <w:numId w:val="5"/>
        </w:numPr>
        <w:spacing w:line="360" w:lineRule="auto"/>
        <w:rPr>
          <w:rFonts w:ascii="Times New Roman" w:hAnsi="Times New Roman" w:hint="eastAsia"/>
          <w:szCs w:val="20"/>
        </w:rPr>
      </w:pPr>
      <w:r>
        <w:rPr>
          <w:rFonts w:ascii="Times New Roman" w:hAnsi="Times New Roman" w:hint="eastAsia"/>
          <w:szCs w:val="20"/>
        </w:rPr>
        <w:t>基于“风和”等人工智能模型，实现森林草原火灾相关社会信息精准挖掘、处理。</w:t>
      </w:r>
    </w:p>
    <w:p>
      <w:pPr>
        <w:spacing w:line="360" w:lineRule="auto"/>
        <w:rPr>
          <w:rFonts w:ascii="宋体" w:hAnsi="宋体"/>
          <w:b/>
          <w:szCs w:val="21"/>
        </w:rPr>
      </w:pPr>
      <w:r>
        <w:rPr>
          <w:rFonts w:ascii="宋体" w:hAnsi="宋体" w:hint="eastAsia"/>
          <w:b/>
          <w:szCs w:val="21"/>
        </w:rPr>
        <w:t>（2）</w:t>
      </w:r>
      <w:bookmarkStart w:id="75" w:name="_Toc181629922"/>
      <w:r>
        <w:rPr>
          <w:rFonts w:ascii="宋体" w:hAnsi="宋体" w:hint="eastAsia"/>
          <w:b/>
          <w:szCs w:val="21"/>
        </w:rPr>
        <w:t>森林草原火险气象预报预警分系统</w:t>
      </w:r>
      <w:bookmarkEnd w:id="75"/>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不同种类可燃物含水率预估产品空间分辨率达到1km。</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国家级干旱指数、点燃指数、燃烧指数、蔓延指数、能量释放指数、综合风险指数、火险等级预报产品空间分辨率达到3km。</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输电线路山火气象风险预报产品空间分辨率达到1km，时间分辨率逐小时。</w:t>
      </w:r>
    </w:p>
    <w:p>
      <w:pPr>
        <w:spacing w:line="360" w:lineRule="auto"/>
        <w:rPr>
          <w:rFonts w:ascii="宋体" w:hAnsi="宋体"/>
          <w:b/>
          <w:szCs w:val="21"/>
        </w:rPr>
      </w:pPr>
      <w:r>
        <w:rPr>
          <w:rFonts w:ascii="宋体" w:hAnsi="宋体" w:hint="eastAsia"/>
          <w:b/>
          <w:szCs w:val="21"/>
        </w:rPr>
        <w:t>（3）雷击火环境影响分析分系统</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实现雷击火环境数据处理、空间分析、特征分析、风险区划、风险评估等功能及专题产品制作。</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省级示范应用：至少完成该分系统在一个省的试点应用。。</w:t>
      </w:r>
    </w:p>
    <w:p>
      <w:pPr>
        <w:spacing w:line="360" w:lineRule="auto"/>
        <w:rPr>
          <w:rFonts w:ascii="宋体" w:hAnsi="宋体"/>
          <w:b/>
          <w:szCs w:val="21"/>
        </w:rPr>
      </w:pPr>
      <w:r>
        <w:rPr>
          <w:rFonts w:ascii="宋体" w:hAnsi="宋体" w:hint="eastAsia"/>
          <w:b/>
          <w:szCs w:val="21"/>
        </w:rPr>
        <w:t>（4）雷击火气象风险预报预警分系统</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国家级雷击火气象风险预报产品空间分辨率达到</w:t>
      </w:r>
      <w:r>
        <w:rPr>
          <w:rFonts w:ascii="Times New Roman" w:hAnsi="Times New Roman" w:hint="eastAsia"/>
          <w:szCs w:val="20"/>
          <w:lang w:val="en-US" w:eastAsia="zh-CN"/>
        </w:rPr>
        <w:t>1</w:t>
      </w:r>
      <w:r>
        <w:rPr>
          <w:rFonts w:ascii="Times New Roman" w:hAnsi="Times New Roman" w:hint="eastAsia"/>
          <w:szCs w:val="20"/>
        </w:rPr>
        <w:t>km。</w:t>
      </w:r>
    </w:p>
    <w:p>
      <w:pPr>
        <w:spacing w:line="360" w:lineRule="auto"/>
        <w:rPr>
          <w:rFonts w:ascii="宋体" w:hAnsi="宋体"/>
          <w:b/>
          <w:szCs w:val="21"/>
        </w:rPr>
      </w:pPr>
      <w:r>
        <w:rPr>
          <w:rFonts w:ascii="宋体" w:hAnsi="宋体" w:hint="eastAsia"/>
          <w:b/>
          <w:szCs w:val="21"/>
        </w:rPr>
        <w:t>（5）林火蔓延趋势预测分系统</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实现对国家级、省级气象站点实况数据以及全球模式数值预报、智能网格预报数据下载、存储、传输。</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实现构建林火蔓延模拟功能。</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实现卫星影像获取、过火范围提取和过火范围订正等火点监测影像解析。</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实现环境信息提取、环境信息统计和火点距离测算等火场周边环境分析。</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实现风向、风速、过火面积和火线形态等林火蔓延检验。</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实现实况产品、智能网格预报产品、火场小尺度气象产品和火场火行为产品显示与加工。</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耦合模式嵌入该系统后，能输出未来3小时风场、火蔓延速度、过火范围等要素，火行为要素的空间分辨率不超过1km。</w:t>
      </w:r>
    </w:p>
    <w:p>
      <w:pPr>
        <w:spacing w:line="360" w:lineRule="auto"/>
        <w:rPr>
          <w:rFonts w:ascii="宋体" w:hAnsi="宋体"/>
          <w:b/>
          <w:szCs w:val="21"/>
        </w:rPr>
      </w:pPr>
      <w:r>
        <w:rPr>
          <w:rFonts w:ascii="宋体" w:hAnsi="宋体" w:hint="eastAsia"/>
          <w:b/>
          <w:szCs w:val="21"/>
        </w:rPr>
        <w:t>（6）大兴安岭防灭火智能气象服务分系统</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基于人工智能大模型技术，实现对雷击火智能信息决策服务信息检索增强、查询、分析等功能；并提供底座模型灵活对接能力，支持灵活的知识库接入方式，支持通过标准API接口调用和配置，可对接外部或本地部署模型API等功能。</w:t>
      </w:r>
    </w:p>
    <w:p>
      <w:pPr>
        <w:spacing w:line="360" w:lineRule="auto"/>
        <w:rPr>
          <w:rFonts w:ascii="宋体" w:hAnsi="宋体"/>
          <w:b/>
          <w:szCs w:val="21"/>
        </w:rPr>
      </w:pPr>
      <w:r>
        <w:rPr>
          <w:rFonts w:ascii="宋体" w:hAnsi="宋体" w:hint="eastAsia"/>
          <w:b/>
          <w:szCs w:val="21"/>
        </w:rPr>
        <w:t>（7）升级气象服务综合分析应用分系统</w:t>
      </w:r>
    </w:p>
    <w:p>
      <w:pPr>
        <w:numPr>
          <w:ilvl w:val="0"/>
          <w:numId w:val="6"/>
        </w:numPr>
        <w:spacing w:line="360" w:lineRule="auto"/>
        <w:ind w:left="0" w:firstLine="420" w:firstLineChars="200"/>
        <w:rPr>
          <w:rFonts w:ascii="Times New Roman" w:hAnsi="Times New Roman" w:hint="eastAsia"/>
          <w:szCs w:val="21"/>
        </w:rPr>
      </w:pPr>
      <w:r>
        <w:rPr>
          <w:rFonts w:ascii="Times New Roman" w:hAnsi="Times New Roman" w:hint="eastAsia"/>
          <w:szCs w:val="21"/>
        </w:rPr>
        <w:t>省级示范应用：至少完成该分系统在一个省的试点应用。</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建立标准通用的数字化接口，实现森林草原火险灾害风险产品、雷击火气象风险产品、林火蔓延风险产品在气象服务综合分析应用平台的可视化展示和国省共享，形成林火风险气象服务“一张图”。</w:t>
      </w:r>
    </w:p>
    <w:p>
      <w:pPr>
        <w:numPr>
          <w:ilvl w:val="0"/>
          <w:numId w:val="5"/>
        </w:numPr>
        <w:spacing w:line="360" w:lineRule="auto"/>
        <w:ind w:left="839"/>
        <w:rPr>
          <w:rFonts w:ascii="Times New Roman" w:hAnsi="Times New Roman" w:hint="eastAsia"/>
          <w:szCs w:val="20"/>
        </w:rPr>
      </w:pPr>
      <w:r>
        <w:rPr>
          <w:rFonts w:ascii="Times New Roman" w:hAnsi="Times New Roman" w:hint="eastAsia"/>
          <w:szCs w:val="20"/>
        </w:rPr>
        <w:t>基于气象服务综合分析应用平台的算法集成框架，集成森林草原火险灾害风险预报模型，集成森林草原火险阈值指标。</w:t>
      </w:r>
    </w:p>
    <w:p>
      <w:pPr>
        <w:numPr>
          <w:ilvl w:val="0"/>
          <w:numId w:val="5"/>
        </w:numPr>
        <w:spacing w:line="360" w:lineRule="auto"/>
        <w:ind w:left="839"/>
      </w:pPr>
      <w:r>
        <w:rPr>
          <w:rFonts w:ascii="Times New Roman" w:hAnsi="Times New Roman" w:hint="eastAsia"/>
          <w:szCs w:val="20"/>
        </w:rPr>
        <w:t>基于气象服务综合分析应用平台的制图框架，至少完成1项森林草原火险图文产品模板研发。森林草原防灭火气象服务产品在气象服务综合分析应用平台进行加工并统一对外提供服务。</w:t>
      </w:r>
    </w:p>
    <w:p>
      <w:pPr>
        <w:pStyle w:val="Heading2"/>
        <w:keepNext/>
        <w:keepLines/>
        <w:widowControl w:val="0"/>
        <w:numPr>
          <w:ilvl w:val="1"/>
          <w:numId w:val="4"/>
        </w:numPr>
        <w:spacing w:before="260" w:after="260" w:line="415" w:lineRule="auto"/>
        <w:ind w:left="578" w:hanging="578"/>
        <w:jc w:val="both"/>
        <w:rPr>
          <w:szCs w:val="24"/>
        </w:rPr>
      </w:pPr>
      <w:bookmarkStart w:id="76" w:name="_Toc6477"/>
      <w:bookmarkStart w:id="77" w:name="_Toc10599"/>
      <w:r>
        <w:rPr>
          <w:color w:val="000000" w:themeColor="text1"/>
        </w:rPr>
        <w:t>性能指标</w:t>
      </w:r>
      <w:bookmarkEnd w:id="76"/>
      <w:bookmarkEnd w:id="77"/>
    </w:p>
    <w:p>
      <w:pPr>
        <w:spacing w:line="360" w:lineRule="auto"/>
        <w:ind w:firstLine="420" w:firstLineChars="200"/>
        <w:rPr>
          <w:rFonts w:ascii="Times New Roman" w:hAnsi="Times New Roman"/>
        </w:rPr>
      </w:pPr>
      <w:r>
        <w:rPr>
          <w:rFonts w:ascii="Times New Roman" w:hAnsi="Times New Roman"/>
          <w:szCs w:val="24"/>
        </w:rPr>
        <w:t>（1）页面响应：页面加载时间≤2秒。</w:t>
      </w:r>
    </w:p>
    <w:p>
      <w:pPr>
        <w:spacing w:line="360" w:lineRule="auto"/>
        <w:ind w:firstLine="420" w:firstLineChars="200"/>
        <w:rPr>
          <w:rFonts w:ascii="Times New Roman" w:hAnsi="Times New Roman"/>
        </w:rPr>
      </w:pPr>
      <w:r>
        <w:rPr>
          <w:rFonts w:ascii="Times New Roman" w:hAnsi="Times New Roman"/>
          <w:szCs w:val="24"/>
        </w:rPr>
        <w:t>（2）查询响应：系统所需加载显示基础数据响应时间≤5秒，复杂海量数据查询及产品可视化渲染响应时间≤10秒。</w:t>
      </w:r>
    </w:p>
    <w:p>
      <w:pPr>
        <w:spacing w:line="360" w:lineRule="auto"/>
        <w:ind w:firstLine="420" w:firstLineChars="200"/>
        <w:rPr>
          <w:rFonts w:ascii="Times New Roman" w:hAnsi="Times New Roman"/>
        </w:rPr>
      </w:pPr>
      <w:r>
        <w:rPr>
          <w:rFonts w:ascii="Times New Roman" w:hAnsi="Times New Roman"/>
          <w:szCs w:val="24"/>
        </w:rPr>
        <w:t>（3）组件响应：大兴安岭防灭火智能气象服务组件响应速度不低于10 token/s。</w:t>
      </w:r>
    </w:p>
    <w:p>
      <w:pPr>
        <w:spacing w:line="360" w:lineRule="auto"/>
        <w:ind w:firstLine="420" w:firstLineChars="200"/>
        <w:rPr>
          <w:rFonts w:ascii="Times New Roman" w:hAnsi="Times New Roman"/>
        </w:rPr>
      </w:pPr>
      <w:r>
        <w:rPr>
          <w:rFonts w:ascii="Times New Roman" w:hAnsi="Times New Roman"/>
          <w:szCs w:val="24"/>
        </w:rPr>
        <w:t>（4）数据库并发：数据库支持超过500个用户/秒的并发访问能力。</w:t>
      </w:r>
    </w:p>
    <w:p>
      <w:pPr>
        <w:spacing w:line="360" w:lineRule="auto"/>
        <w:ind w:firstLine="420" w:firstLineChars="200"/>
        <w:rPr>
          <w:rFonts w:ascii="Times New Roman" w:hAnsi="Times New Roman"/>
        </w:rPr>
      </w:pPr>
      <w:r>
        <w:rPr>
          <w:rFonts w:ascii="Times New Roman" w:hAnsi="Times New Roman"/>
          <w:szCs w:val="24"/>
        </w:rPr>
        <w:t>（5）WEB访问并发：系统具备不少于200个用户的并发访问能力。</w:t>
      </w:r>
    </w:p>
    <w:p>
      <w:pPr>
        <w:spacing w:line="360" w:lineRule="auto"/>
        <w:ind w:firstLine="420" w:firstLineChars="200"/>
        <w:rPr>
          <w:rFonts w:ascii="Times New Roman" w:hAnsi="Times New Roman"/>
        </w:rPr>
      </w:pPr>
      <w:r>
        <w:rPr>
          <w:rFonts w:ascii="Times New Roman" w:hAnsi="Times New Roman"/>
          <w:szCs w:val="24"/>
        </w:rPr>
        <w:t>（6）接口和文件方式的服务调用可满足200用户并发使用；存储接口响应时间&lt;30秒，读取接口响应时间&lt;30秒；并发访问支持水平扩展能力；数据读取接口检索数据气象数据响应&lt;60秒；</w:t>
      </w:r>
    </w:p>
    <w:p>
      <w:pPr>
        <w:spacing w:line="360" w:lineRule="auto"/>
        <w:ind w:firstLine="420" w:firstLineChars="200"/>
        <w:rPr>
          <w:rFonts w:ascii="Times New Roman" w:hAnsi="Times New Roman"/>
        </w:rPr>
      </w:pPr>
      <w:r>
        <w:rPr>
          <w:rFonts w:ascii="Times New Roman" w:hAnsi="Times New Roman"/>
          <w:szCs w:val="24"/>
        </w:rPr>
        <w:t>（7）关键图形产品30秒内加工完成，产品加工制作流程中采用数流式数据传输处理的方式，减少磁盘的频繁读写。</w:t>
      </w:r>
    </w:p>
    <w:p>
      <w:pPr>
        <w:spacing w:line="360" w:lineRule="auto"/>
        <w:ind w:firstLine="420" w:firstLineChars="200"/>
        <w:rPr>
          <w:rFonts w:ascii="Times New Roman" w:hAnsi="Times New Roman"/>
        </w:rPr>
      </w:pPr>
      <w:r>
        <w:rPr>
          <w:rFonts w:ascii="Times New Roman" w:hAnsi="Times New Roman"/>
          <w:szCs w:val="24"/>
        </w:rPr>
        <w:t>（8）雷击火环境综合分析、风险区划、风险评估等专题产品制作时间&lt;3分钟。</w:t>
      </w:r>
    </w:p>
    <w:p>
      <w:pPr>
        <w:spacing w:line="360" w:lineRule="auto"/>
        <w:ind w:firstLine="420" w:firstLineChars="200"/>
        <w:rPr>
          <w:rFonts w:ascii="Times New Roman" w:hAnsi="Times New Roman"/>
        </w:rPr>
      </w:pPr>
      <w:r>
        <w:rPr>
          <w:rFonts w:ascii="Times New Roman" w:hAnsi="Times New Roman"/>
          <w:szCs w:val="24"/>
        </w:rPr>
        <w:t>（9）雷击火环境数据空间分析、特征分析、风险区划等算法计算时间&lt;5分钟。</w:t>
      </w:r>
    </w:p>
    <w:p>
      <w:pPr>
        <w:spacing w:line="360" w:lineRule="auto"/>
        <w:ind w:firstLine="420" w:firstLineChars="200"/>
      </w:pPr>
      <w:r>
        <w:rPr>
          <w:rFonts w:ascii="Times New Roman" w:hAnsi="Times New Roman"/>
          <w:szCs w:val="24"/>
        </w:rPr>
        <w:t>（10）雷击火气象风险短临预报相关算法运算时间&lt;10分钟。</w:t>
      </w:r>
    </w:p>
    <w:p>
      <w:pPr>
        <w:pStyle w:val="Heading2"/>
        <w:keepNext/>
        <w:keepLines/>
        <w:widowControl w:val="0"/>
        <w:numPr>
          <w:ilvl w:val="1"/>
          <w:numId w:val="4"/>
        </w:numPr>
        <w:bidi w:val="0"/>
        <w:spacing w:before="260" w:after="260" w:line="415" w:lineRule="auto"/>
        <w:ind w:left="576" w:hanging="576"/>
        <w:jc w:val="both"/>
      </w:pPr>
      <w:bookmarkStart w:id="78" w:name="_Toc210822528"/>
      <w:bookmarkStart w:id="79" w:name="_Toc23648"/>
      <w:bookmarkStart w:id="80" w:name="_Toc13964"/>
      <w:bookmarkStart w:id="81" w:name="_Toc211016623"/>
      <w:bookmarkStart w:id="82" w:name="_Toc10837"/>
      <w:bookmarkStart w:id="83" w:name="_Toc8775"/>
      <w:r>
        <w:t>集约化</w:t>
      </w:r>
      <w:bookmarkEnd w:id="78"/>
      <w:bookmarkEnd w:id="79"/>
      <w:bookmarkEnd w:id="80"/>
      <w:bookmarkEnd w:id="81"/>
      <w:r>
        <w:rPr>
          <w:rFonts w:hint="eastAsia"/>
          <w:lang w:val="en-US" w:eastAsia="zh-CN"/>
        </w:rPr>
        <w:t>设计</w:t>
      </w:r>
      <w:bookmarkEnd w:id="82"/>
    </w:p>
    <w:p>
      <w:pPr>
        <w:spacing w:line="360" w:lineRule="auto"/>
        <w:ind w:firstLine="420" w:firstLineChars="200"/>
        <w:rPr>
          <w:rFonts w:ascii="Times New Roman" w:eastAsia="宋体" w:hAnsi="Times New Roman" w:cs="Times New Roman"/>
        </w:rPr>
      </w:pPr>
      <w:bookmarkStart w:id="84" w:name="_Toc211016624"/>
      <w:bookmarkStart w:id="85" w:name="_Toc12155"/>
      <w:bookmarkStart w:id="86" w:name="_Toc210822529"/>
      <w:bookmarkStart w:id="87" w:name="_Toc23083"/>
      <w:bookmarkStart w:id="88" w:name="_Toc29944"/>
      <w:r>
        <w:rPr>
          <w:rFonts w:ascii="Times New Roman" w:eastAsia="宋体" w:hAnsi="Times New Roman" w:cs="Times New Roman"/>
          <w:szCs w:val="24"/>
        </w:rPr>
        <w:t>按照</w:t>
      </w:r>
      <w:r>
        <w:rPr>
          <w:rFonts w:ascii="Times New Roman" w:eastAsia="宋体" w:hAnsi="Times New Roman" w:cs="Times New Roman" w:hint="default"/>
          <w:szCs w:val="24"/>
          <w:lang w:val="en-US" w:eastAsia="zh-CN"/>
        </w:rPr>
        <w:t>中国气象局关于气象业务软件集约化</w:t>
      </w:r>
      <w:r>
        <w:rPr>
          <w:rFonts w:ascii="Times New Roman" w:eastAsia="宋体" w:hAnsi="Times New Roman" w:cs="Times New Roman"/>
          <w:szCs w:val="24"/>
        </w:rPr>
        <w:t>建设要求，本系统在数据集约化、流程集约化、平台集约化、监控集约化等四个方面符合中心要求，建设前需开展以上四个方面设计。</w:t>
      </w:r>
    </w:p>
    <w:p>
      <w:pPr>
        <w:spacing w:line="360" w:lineRule="auto"/>
        <w:ind w:firstLine="420" w:firstLineChars="200"/>
        <w:rPr>
          <w:rFonts w:ascii="Times New Roman" w:eastAsia="宋体" w:hAnsi="Times New Roman" w:cs="Times New Roman"/>
        </w:rPr>
      </w:pPr>
      <w:r>
        <w:rPr>
          <w:rFonts w:ascii="Times New Roman" w:eastAsia="宋体" w:hAnsi="Times New Roman" w:cs="Times New Roman"/>
          <w:szCs w:val="24"/>
        </w:rPr>
        <w:t>（1）数据集约化</w:t>
      </w:r>
    </w:p>
    <w:p>
      <w:pPr>
        <w:spacing w:line="360" w:lineRule="auto"/>
        <w:ind w:firstLine="420" w:firstLineChars="200"/>
        <w:rPr>
          <w:rFonts w:ascii="Times New Roman" w:eastAsia="宋体" w:hAnsi="Times New Roman" w:cs="Times New Roman"/>
        </w:rPr>
      </w:pPr>
      <w:r>
        <w:rPr>
          <w:rFonts w:ascii="Times New Roman" w:eastAsia="宋体" w:hAnsi="Times New Roman" w:cs="Times New Roman"/>
          <w:szCs w:val="24"/>
        </w:rPr>
        <w:t>本项目所需的气象类输入数据均从气象大数据云平台获取。输出数据产品均纳入气象服务综合分析应用平台进行统一管理，经评估后提供业务应用。</w:t>
      </w:r>
    </w:p>
    <w:p>
      <w:pPr>
        <w:spacing w:line="360" w:lineRule="auto"/>
        <w:ind w:firstLine="420" w:firstLineChars="200"/>
        <w:rPr>
          <w:rFonts w:ascii="Times New Roman" w:eastAsia="宋体" w:hAnsi="Times New Roman" w:cs="Times New Roman"/>
        </w:rPr>
      </w:pPr>
      <w:r>
        <w:rPr>
          <w:rFonts w:ascii="Times New Roman" w:eastAsia="宋体" w:hAnsi="Times New Roman" w:cs="Times New Roman"/>
          <w:szCs w:val="24"/>
        </w:rPr>
        <w:t>（2）流程集约化</w:t>
      </w:r>
    </w:p>
    <w:p>
      <w:pPr>
        <w:spacing w:line="360" w:lineRule="auto"/>
        <w:ind w:firstLine="420" w:firstLineChars="200"/>
        <w:rPr>
          <w:rFonts w:ascii="Times New Roman" w:eastAsia="宋体" w:hAnsi="Times New Roman" w:cs="Times New Roman"/>
        </w:rPr>
      </w:pPr>
      <w:r>
        <w:rPr>
          <w:rFonts w:ascii="Times New Roman" w:eastAsia="宋体" w:hAnsi="Times New Roman" w:cs="Times New Roman"/>
          <w:szCs w:val="24"/>
        </w:rPr>
        <w:t>系统开发中使用和建成系统功能，包括模型算法、数据接口、应用功能组件等必须基于气象服务综合分析应用平台整体业务流程进行建设，在气象大数据云平台或中国气象局公共气象服务中心业务系统服务器上开发运行。</w:t>
      </w:r>
    </w:p>
    <w:p>
      <w:pPr>
        <w:spacing w:line="360" w:lineRule="auto"/>
        <w:ind w:firstLine="420" w:firstLineChars="200"/>
        <w:rPr>
          <w:rFonts w:ascii="Times New Roman" w:eastAsia="宋体" w:hAnsi="Times New Roman" w:cs="Times New Roman"/>
        </w:rPr>
      </w:pPr>
      <w:r>
        <w:rPr>
          <w:rFonts w:ascii="Times New Roman" w:eastAsia="宋体" w:hAnsi="Times New Roman" w:cs="Times New Roman"/>
          <w:szCs w:val="24"/>
        </w:rPr>
        <w:t>（3）平台集约化</w:t>
      </w:r>
    </w:p>
    <w:p>
      <w:pPr>
        <w:spacing w:line="360" w:lineRule="auto"/>
        <w:ind w:firstLine="420" w:firstLineChars="200"/>
        <w:rPr>
          <w:rFonts w:ascii="Times New Roman" w:eastAsia="宋体" w:hAnsi="Times New Roman" w:cs="Times New Roman"/>
        </w:rPr>
      </w:pPr>
      <w:r>
        <w:rPr>
          <w:rFonts w:ascii="Times New Roman" w:eastAsia="宋体" w:hAnsi="Times New Roman" w:cs="Times New Roman"/>
          <w:szCs w:val="24"/>
        </w:rPr>
        <w:t>系统开发中所涉及的数据库及计算框架等服务，依托气象服务综合分析应用平台整体设计，实行统一管理。系统使用的人工智能大模型技术，需依托中国气象局“风和”气象服务大模型提供基座能力。</w:t>
      </w:r>
    </w:p>
    <w:p>
      <w:pPr>
        <w:spacing w:line="360" w:lineRule="auto"/>
        <w:ind w:firstLine="420" w:firstLineChars="200"/>
        <w:rPr>
          <w:rFonts w:ascii="Times New Roman" w:eastAsia="宋体" w:hAnsi="Times New Roman" w:cs="Times New Roman"/>
        </w:rPr>
      </w:pPr>
      <w:r>
        <w:rPr>
          <w:rFonts w:ascii="Times New Roman" w:eastAsia="宋体" w:hAnsi="Times New Roman" w:cs="Times New Roman"/>
          <w:szCs w:val="24"/>
        </w:rPr>
        <w:t>（4）监控集约化</w:t>
      </w:r>
    </w:p>
    <w:p>
      <w:pPr>
        <w:spacing w:line="360" w:lineRule="auto"/>
        <w:ind w:firstLine="420" w:firstLineChars="200"/>
        <w:rPr>
          <w:rFonts w:ascii="Times New Roman" w:eastAsia="宋体" w:hAnsi="Times New Roman" w:cs="Times New Roman"/>
        </w:rPr>
      </w:pPr>
      <w:r>
        <w:rPr>
          <w:rFonts w:ascii="Times New Roman" w:eastAsia="宋体" w:hAnsi="Times New Roman" w:cs="Times New Roman"/>
          <w:szCs w:val="24"/>
        </w:rPr>
        <w:t>监控内容包括系统运行资源使用情况、多源气象观测数据到报监控，数值预报数据到报监控，各类气象服务产品加工制作及发布状态监控等。</w:t>
      </w:r>
    </w:p>
    <w:p>
      <w:pPr>
        <w:pStyle w:val="Heading2"/>
        <w:keepNext/>
        <w:keepLines/>
        <w:widowControl w:val="0"/>
        <w:numPr>
          <w:ilvl w:val="1"/>
          <w:numId w:val="4"/>
        </w:numPr>
        <w:bidi w:val="0"/>
        <w:spacing w:before="260" w:after="260" w:line="415" w:lineRule="auto"/>
        <w:ind w:left="576" w:hanging="576"/>
        <w:jc w:val="both"/>
      </w:pPr>
      <w:r>
        <w:t>组件化要求</w:t>
      </w:r>
      <w:bookmarkEnd w:id="84"/>
      <w:bookmarkEnd w:id="85"/>
      <w:bookmarkEnd w:id="86"/>
      <w:bookmarkEnd w:id="87"/>
      <w:bookmarkEnd w:id="8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按照《气象业务软件组件化开发指南(2025版)》，本系统应根据业务场景需要采用相应的标准化业务开发框架，并集成满足业务要求的组件组合实现各项业务功能、业务流程，充分满足业务发展的可拓展性需求。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（1）模块化设计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系统应采用模块化设计，将核心功能(如数据采集、数据处理、模型运行、可视化等)分解为独立的组件。各组件需具备独立的开发、部署、测试和维护能力，以实现高内聚、低耦合的设计要求，便于后续功能的增加和升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（2）组件接口标准化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各模块组件之间的接口应遵循统一的标准，实现数据和信息的无缝对接。接口标准化不仅便于不同组件的互操作，还能提高系统的兼容性和可扩展性，使系统在不影响其他组件的情况下快速适应新功能和新数据源的接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（3）组件的独立部署与扩展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各组件应支持独立部署，以适应不同硬件环境和资源需求，支持按需扩展。系统应具备灵活的部署方案，能够根据实际业务量实现动态扩展或缩减，提升资源利用效率，确保系统在高负荷情况下的稳定性。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（4）容错性与可维护性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组件化的设计具备高容错性，确保单一组件出现故障时，不影响整个系统的运行。各组件应支持远程监控，便于快速定位和解决问题，保证系统的连续性和高可用性。</w:t>
      </w:r>
    </w:p>
    <w:p>
      <w:pPr>
        <w:pStyle w:val="Heading2"/>
        <w:keepNext/>
        <w:keepLines/>
        <w:widowControl w:val="0"/>
        <w:numPr>
          <w:ilvl w:val="1"/>
          <w:numId w:val="4"/>
        </w:numPr>
        <w:bidi w:val="0"/>
        <w:spacing w:before="260" w:after="260" w:line="415" w:lineRule="auto"/>
        <w:ind w:left="576" w:hanging="576"/>
        <w:jc w:val="both"/>
      </w:pPr>
      <w:bookmarkStart w:id="89" w:name="_Toc30472"/>
      <w:bookmarkStart w:id="90" w:name="_Toc14868"/>
      <w:bookmarkStart w:id="91" w:name="_Toc210822523"/>
      <w:bookmarkStart w:id="92" w:name="_Toc9771"/>
      <w:bookmarkStart w:id="93" w:name="_Toc211016618"/>
      <w:r>
        <w:rPr>
          <w:rFonts w:hAnsi="Times New Roman"/>
        </w:rPr>
        <w:t>可</w:t>
      </w:r>
      <w:r>
        <w:rPr>
          <w:rFonts w:hAnsi="Times New Roman" w:eastAsiaTheme="minorEastAsia"/>
        </w:rPr>
        <w:t>扩展性</w:t>
      </w:r>
      <w:bookmarkEnd w:id="89"/>
      <w:bookmarkEnd w:id="90"/>
      <w:bookmarkEnd w:id="91"/>
      <w:bookmarkEnd w:id="92"/>
      <w:bookmarkEnd w:id="93"/>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本项目软件应具有较好的可扩展性，框架结构功能化设计，各种运行参数可配置，为进一步的扩充和改造提供方便。本项目工程应该具有快速、简易的部署、安装能力，本项目工程主体部分通过简单修改运行在各种操作系统环境中。</w:t>
      </w:r>
    </w:p>
    <w:p>
      <w:pPr>
        <w:pStyle w:val="Heading2"/>
        <w:keepNext/>
        <w:keepLines/>
        <w:widowControl w:val="0"/>
        <w:numPr>
          <w:ilvl w:val="1"/>
          <w:numId w:val="4"/>
        </w:numPr>
        <w:bidi w:val="0"/>
        <w:spacing w:before="260" w:after="260" w:line="415" w:lineRule="auto"/>
        <w:ind w:left="576" w:hanging="576"/>
        <w:jc w:val="both"/>
      </w:pPr>
      <w:bookmarkStart w:id="94" w:name="_Toc24518"/>
      <w:bookmarkStart w:id="95" w:name="_Toc210822524"/>
      <w:bookmarkStart w:id="96" w:name="_Toc211016619"/>
      <w:bookmarkStart w:id="97" w:name="_Toc25968"/>
      <w:bookmarkStart w:id="98" w:name="_Toc22753"/>
      <w:r>
        <w:t>易维护性</w:t>
      </w:r>
      <w:bookmarkEnd w:id="94"/>
      <w:bookmarkEnd w:id="95"/>
      <w:bookmarkEnd w:id="96"/>
      <w:bookmarkEnd w:id="97"/>
      <w:bookmarkEnd w:id="9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项目具有良好的易维护性，保修期满后确保第三方进行全面、无障碍维护。各种技术和维护文档详实齐备，软件设计充分考虑易分析性和易测试性。本项目工程软件本身拥有离线的维护环境，可在不影响正常业务的情况下进行软件的维护工作。</w:t>
      </w:r>
    </w:p>
    <w:p>
      <w:pPr>
        <w:pStyle w:val="Heading2"/>
        <w:keepNext/>
        <w:keepLines/>
        <w:widowControl w:val="0"/>
        <w:numPr>
          <w:ilvl w:val="1"/>
          <w:numId w:val="4"/>
        </w:numPr>
        <w:bidi w:val="0"/>
        <w:spacing w:before="260" w:after="260" w:line="415" w:lineRule="auto"/>
        <w:ind w:left="576" w:hanging="576"/>
        <w:jc w:val="both"/>
      </w:pPr>
      <w:bookmarkStart w:id="99" w:name="_Toc211016620"/>
      <w:bookmarkStart w:id="100" w:name="_Toc28969"/>
      <w:bookmarkStart w:id="101" w:name="_Toc1809"/>
      <w:bookmarkStart w:id="102" w:name="_Toc21341"/>
      <w:bookmarkStart w:id="103" w:name="_Toc210822525"/>
      <w:r>
        <w:t>易用性</w:t>
      </w:r>
      <w:bookmarkEnd w:id="99"/>
      <w:bookmarkEnd w:id="100"/>
      <w:bookmarkEnd w:id="101"/>
      <w:bookmarkEnd w:id="102"/>
      <w:bookmarkEnd w:id="103"/>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日常的业务运行中，本项目每天24小时不间断的自动运行，除每日少量的配置参数需要修改之外，所有功能软件无需人工干预。运行操作人员仅在系统报警提示的情况下，进行必要的人工干预和故障维修。所有的故障状态和信息都自动记录和存储，便于事后的故障对策分析。为便于操作人员的人工干预，应提供直观、方便的操作界面。</w:t>
      </w:r>
    </w:p>
    <w:p>
      <w:pPr>
        <w:pStyle w:val="Heading2"/>
        <w:keepNext/>
        <w:keepLines/>
        <w:widowControl w:val="0"/>
        <w:numPr>
          <w:ilvl w:val="1"/>
          <w:numId w:val="4"/>
        </w:numPr>
        <w:bidi w:val="0"/>
        <w:spacing w:before="260" w:after="260" w:line="415" w:lineRule="auto"/>
        <w:ind w:left="576" w:hanging="576"/>
        <w:jc w:val="both"/>
      </w:pPr>
      <w:bookmarkStart w:id="104" w:name="_Toc32100"/>
      <w:bookmarkStart w:id="105" w:name="_Toc210822522"/>
      <w:bookmarkStart w:id="106" w:name="_Toc211016617"/>
      <w:bookmarkStart w:id="107" w:name="_Toc1528"/>
      <w:bookmarkStart w:id="108" w:name="_Toc10203"/>
      <w:r>
        <w:t>安全性</w:t>
      </w:r>
      <w:bookmarkEnd w:id="104"/>
      <w:bookmarkEnd w:id="105"/>
      <w:bookmarkEnd w:id="106"/>
      <w:bookmarkEnd w:id="107"/>
      <w:bookmarkEnd w:id="108"/>
    </w:p>
    <w:bookmarkEnd w:id="71"/>
    <w:bookmarkEnd w:id="83"/>
    <w:p>
      <w:pPr>
        <w:spacing w:line="360" w:lineRule="auto"/>
        <w:ind w:firstLine="420" w:firstLineChars="200"/>
        <w:rPr>
          <w:rFonts w:ascii="Times New Roman" w:hAnsi="Times New Roman" w:cs="Times New Roman"/>
          <w:color w:val="000000"/>
          <w:szCs w:val="32"/>
        </w:rPr>
      </w:pPr>
      <w:bookmarkStart w:id="109" w:name="_Toc181629936"/>
      <w:bookmarkStart w:id="110" w:name="_Toc11945"/>
      <w:r>
        <w:rPr>
          <w:rFonts w:ascii="Times New Roman" w:hAnsi="Times New Roman" w:cs="Times New Roman"/>
          <w:color w:val="000000"/>
          <w:szCs w:val="32"/>
        </w:rPr>
        <w:t>按照</w:t>
      </w:r>
      <w:r>
        <w:rPr>
          <w:rFonts w:ascii="Times New Roman" w:hAnsi="Times New Roman" w:cs="Times New Roman"/>
          <w:szCs w:val="24"/>
        </w:rPr>
        <w:t>《信息安全技术—网络安全等级保护基本要求》</w:t>
      </w:r>
      <w:r>
        <w:rPr>
          <w:rFonts w:ascii="Times New Roman" w:hAnsi="Times New Roman" w:cs="Times New Roman"/>
          <w:color w:val="000000"/>
          <w:szCs w:val="32"/>
        </w:rPr>
        <w:t>（GB/T 22239-2019）中网络安全等级保护二级要求，对大兴安岭林区森林草原防灭火气象保障服务能力建设项目开展信息系统网络安全等级保护测评工作，并出具测评报告。</w:t>
      </w:r>
    </w:p>
    <w:bookmarkEnd w:id="109"/>
    <w:p>
      <w:pPr>
        <w:pStyle w:val="Heading1"/>
        <w:keepNext/>
        <w:keepLines/>
        <w:widowControl w:val="0"/>
        <w:numPr>
          <w:ilvl w:val="0"/>
          <w:numId w:val="4"/>
        </w:numPr>
        <w:tabs>
          <w:tab w:val="left" w:pos="432"/>
        </w:tabs>
        <w:adjustRightInd w:val="0"/>
        <w:spacing w:before="340" w:after="120"/>
        <w:ind w:left="0" w:firstLine="0"/>
        <w:jc w:val="left"/>
        <w:rPr>
          <w:rFonts w:eastAsia="黑体"/>
        </w:rPr>
      </w:pPr>
      <w:r>
        <w:rPr>
          <w:rFonts w:eastAsia="黑体" w:hint="eastAsia"/>
          <w:lang w:val="en-US" w:eastAsia="zh-CN"/>
        </w:rPr>
        <w:t>服务清单</w:t>
      </w:r>
      <w:bookmarkEnd w:id="110"/>
    </w:p>
    <w:p>
      <w:pPr>
        <w:pStyle w:val="Heading2"/>
        <w:keepNext/>
        <w:keepLines/>
        <w:widowControl w:val="0"/>
        <w:numPr>
          <w:ilvl w:val="1"/>
          <w:numId w:val="4"/>
        </w:numPr>
        <w:adjustRightInd w:val="0"/>
        <w:spacing w:before="260" w:after="260" w:line="415" w:lineRule="auto"/>
        <w:ind w:left="0" w:firstLine="0"/>
        <w:jc w:val="both"/>
        <w:rPr>
          <w:color w:val="000000" w:themeColor="text1"/>
        </w:rPr>
      </w:pPr>
      <w:bookmarkStart w:id="111" w:name="_Toc5517"/>
      <w:bookmarkStart w:id="112" w:name="_Toc22891"/>
      <w:r>
        <w:rPr>
          <w:color w:val="000000" w:themeColor="text1"/>
        </w:rPr>
        <w:t>森林火灾</w:t>
      </w:r>
      <w:r>
        <w:t>风险</w:t>
      </w:r>
      <w:r>
        <w:rPr>
          <w:color w:val="000000" w:themeColor="text1"/>
        </w:rPr>
        <w:t>监测分系统</w:t>
      </w:r>
      <w:bookmarkEnd w:id="111"/>
      <w:bookmarkEnd w:id="112"/>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基于“风和”等人工智能模型，收集森林草原防灭火相关报告、科技、社会信息等资料，形成大兴安岭林区森林火灾风险监测数据集。主要包括</w:t>
      </w:r>
      <w:bookmarkStart w:id="113" w:name="_Hlk211416427"/>
      <w:r>
        <w:rPr>
          <w:rFonts w:ascii="Times New Roman" w:hAnsi="Times New Roman" w:cs="Times New Roman"/>
        </w:rPr>
        <w:t>火灾气象环境监测子系统</w:t>
      </w:r>
      <w:bookmarkEnd w:id="113"/>
      <w:r>
        <w:rPr>
          <w:rFonts w:ascii="Times New Roman" w:hAnsi="Times New Roman" w:cs="Times New Roman"/>
        </w:rPr>
        <w:t>。</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14" w:name="_Toc27849"/>
      <w:r>
        <w:rPr>
          <w:rFonts w:hAnsi="Times New Roman" w:eastAsiaTheme="minorEastAsia"/>
        </w:rPr>
        <w:t>火灾气象环境监测子系统</w:t>
      </w:r>
      <w:bookmarkEnd w:id="114"/>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火灾气象环境监测子系统与气象大数据云平台、本地实况观测等相通，按照统一格式标准，对气象、卫星遥感、可燃物、地形、雷击森林火灾等多源数据进行提取、融合拼接、位置订正、质量控制等，实现火灾气象环境因子监测分析。主要包括林区气象要素监测产品分析处理模块、卫星遥感反演气象要素产品模块、火灾社会信息收集处理模块、火灾气象环境因子监测分析模块等4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（1）林区气象要素监测产品分析处理模块：收集内蒙古、黑龙江新建自动观测站数据，与原气象站观测数据进行异常值筛选、融合分析等。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（2）卫星遥感反演气象要素产品模块：针对大兴安岭林区，对卫星遥感反演降水、土壤湿度、干旱、积雪等数据产品进行处理，并与气象站观测数据进行融合分析。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3）火灾社会信息收集处理模块：基于“风和”等人工智能模型，以实时森林草原火灾信息为触发引擎，深度整合物联网感知的火灾地理数据、行政区划边界、林区草原植被特征及地形坡度坡向等空间信息，依托语义理解等技术，实现森林草原火灾相关社会信息精准挖掘、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（4）火灾气象环境因子监测分析模块：基于历史森林火灾、雷击森林火灾数据，实现对影响火灾的主要气象因子进行提取、处理和分析。</w:t>
      </w:r>
    </w:p>
    <w:p>
      <w:pPr>
        <w:pStyle w:val="Heading2"/>
        <w:keepNext/>
        <w:keepLines/>
        <w:widowControl w:val="0"/>
        <w:numPr>
          <w:ilvl w:val="1"/>
          <w:numId w:val="4"/>
        </w:numPr>
        <w:spacing w:before="260" w:after="260" w:line="415" w:lineRule="auto"/>
        <w:ind w:left="576" w:hanging="576"/>
        <w:jc w:val="both"/>
      </w:pPr>
      <w:bookmarkStart w:id="115" w:name="_Toc7205"/>
      <w:bookmarkStart w:id="116" w:name="OLE_LINK1"/>
      <w:bookmarkStart w:id="117" w:name="OLE_LINK2"/>
      <w:bookmarkStart w:id="118" w:name="_Toc20166"/>
      <w:r>
        <w:t>森林草原火险气象预报预警分系统</w:t>
      </w:r>
      <w:bookmarkEnd w:id="115"/>
      <w:bookmarkEnd w:id="116"/>
      <w:bookmarkEnd w:id="117"/>
      <w:bookmarkEnd w:id="11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综合分析大兴安岭林区气象条件与可燃物相关关系，构建基于大兴安岭森林植被分布信息的可燃物含水率预估模型。在国家级森林火险气象预报模型基础上，融合可燃物预估、卫星监测火点、地形特征等信息，构建大兴安岭林区森林火险气象预报模型，能够提供1km分辨率的森林气象客观预报产品。并实现森林火险气象预报模型的灵活部署、参数调整等，满足不同地区不同层级的服务需求。</w:t>
      </w:r>
      <w:bookmarkStart w:id="119" w:name="_Hlk19839452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森林草原火险气象预报预警分系统</w:t>
      </w:r>
      <w:bookmarkEnd w:id="119"/>
      <w:bookmarkStart w:id="120" w:name="OLE_LINK27"/>
      <w:r>
        <w:rPr>
          <w:rFonts w:ascii="Times New Roman" w:hAnsi="Times New Roman" w:cs="Times New Roman"/>
        </w:rPr>
        <w:t>包含可燃物危险性分析子系统</w:t>
      </w:r>
      <w:bookmarkEnd w:id="120"/>
      <w:r>
        <w:rPr>
          <w:rFonts w:ascii="Times New Roman" w:hAnsi="Times New Roman" w:cs="Times New Roman"/>
        </w:rPr>
        <w:t>、</w:t>
      </w:r>
      <w:bookmarkStart w:id="121" w:name="OLE_LINK35"/>
      <w:r>
        <w:rPr>
          <w:rFonts w:ascii="Times New Roman" w:hAnsi="Times New Roman" w:cs="Times New Roman"/>
        </w:rPr>
        <w:t>可燃物含水率预估模型子系统</w:t>
      </w:r>
      <w:bookmarkEnd w:id="121"/>
      <w:r>
        <w:rPr>
          <w:rFonts w:ascii="Times New Roman" w:hAnsi="Times New Roman" w:cs="Times New Roman"/>
        </w:rPr>
        <w:t>、</w:t>
      </w:r>
      <w:bookmarkStart w:id="122" w:name="OLE_LINK36"/>
      <w:r>
        <w:rPr>
          <w:rFonts w:ascii="Times New Roman" w:hAnsi="Times New Roman" w:cs="Times New Roman"/>
        </w:rPr>
        <w:t>森林火险气象预报模型子系统</w:t>
      </w:r>
      <w:bookmarkEnd w:id="122"/>
      <w:r>
        <w:rPr>
          <w:rFonts w:ascii="Times New Roman" w:hAnsi="Times New Roman" w:cs="Times New Roman"/>
        </w:rPr>
        <w:t>和输电线路山火风险气象预报模型子系统。</w:t>
      </w:r>
    </w:p>
    <w:p>
      <w:pPr>
        <w:pStyle w:val="Heading3"/>
        <w:keepNext/>
        <w:keepLines/>
        <w:widowControl w:val="0"/>
        <w:numPr>
          <w:ilvl w:val="2"/>
          <w:numId w:val="4"/>
        </w:numPr>
        <w:autoSpaceDE w:val="0"/>
        <w:autoSpaceDN w:val="0"/>
        <w:adjustRightInd w:val="0"/>
        <w:spacing w:before="200" w:after="120"/>
        <w:ind w:left="720" w:hanging="720"/>
        <w:jc w:val="left"/>
      </w:pPr>
      <w:bookmarkStart w:id="123" w:name="_Toc8748"/>
      <w:r>
        <w:t>可燃物危险性分析子系统</w:t>
      </w:r>
      <w:bookmarkEnd w:id="123"/>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bookmarkStart w:id="124" w:name="_Hlk198394616"/>
      <w:r>
        <w:rPr>
          <w:rFonts w:ascii="Times New Roman" w:hAnsi="Times New Roman" w:cs="Times New Roman"/>
        </w:rPr>
        <w:t>可燃物危险性分析子系统</w:t>
      </w:r>
      <w:bookmarkEnd w:id="124"/>
      <w:r>
        <w:rPr>
          <w:rFonts w:ascii="Times New Roman" w:hAnsi="Times New Roman" w:cs="Times New Roman"/>
        </w:rPr>
        <w:t>主要针对不同类型可燃物开展干燥度、危险性评价。主要包括不同类型可燃物干燥度算法模块、可燃物风险因子计算模块、可燃物危险性评价算法模块等。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（1）不同类型可燃物干燥度算法模块：针对阔叶、针叶等不同类型可燃物，分析降水、气温、风速等气象条件与可燃物燃烧性的相关性，建立可燃物干燥度算法，生成可燃物干燥度等级分布图。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（2）可燃物风险因子计算模块：综合可燃物载量、含水量、干燥度等数据，建立林区可燃物危险性评价模型并确定危险因子权重，得到风险因子权重表。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（3）可燃物危险性评价算法模块：基于可燃物风险因子及权重，计算可燃物危险性指数并划分危险性评价等级，制作可燃物危险性数据及图形产品。</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25" w:name="_Toc27288"/>
      <w:r>
        <w:rPr>
          <w:rFonts w:hAnsi="Times New Roman" w:eastAsiaTheme="minorEastAsia"/>
        </w:rPr>
        <w:t>可燃物含水率</w:t>
      </w:r>
      <w:r>
        <w:t>预估</w:t>
      </w:r>
      <w:r>
        <w:rPr>
          <w:rFonts w:hAnsi="Times New Roman" w:eastAsiaTheme="minorEastAsia"/>
        </w:rPr>
        <w:t>模型子系统</w:t>
      </w:r>
      <w:bookmarkEnd w:id="12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bookmarkStart w:id="126" w:name="_Hlk198394773"/>
      <w:bookmarkStart w:id="127" w:name="OLE_LINK39"/>
      <w:r>
        <w:rPr>
          <w:rFonts w:ascii="Times New Roman" w:hAnsi="Times New Roman" w:cs="Times New Roman"/>
        </w:rPr>
        <w:t>可燃物含水率预估模型</w:t>
      </w:r>
      <w:bookmarkEnd w:id="126"/>
      <w:r>
        <w:rPr>
          <w:rFonts w:ascii="Times New Roman" w:hAnsi="Times New Roman" w:cs="Times New Roman"/>
        </w:rPr>
        <w:t>子系统</w:t>
      </w:r>
      <w:bookmarkEnd w:id="127"/>
      <w:r>
        <w:rPr>
          <w:rFonts w:ascii="Times New Roman" w:hAnsi="Times New Roman" w:cs="Times New Roman"/>
        </w:rPr>
        <w:t>主要针对不同可燃物类型建立各种可燃物含水率预估算法，形成可燃物含水率预估产品。主要包括不同时滞死可燃物含水率预估算法模块、活可燃物含水率预估算法模块、粗腐殖质可燃物含水率预估算法模块、深层细密有机物可燃物含水率预估算法模块、细小可燃物含水率预估算法模块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（1）不同时滞死可燃物含水率预估算法模块：基于气温、降水、风等气象要素对可燃物的影响，以数值预报为数据基础，构建1小时、10小时、100小时、1000小时时滞死可燃物含水率预估算法及格点化产品。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2）活可燃物含水率预估算法模块：针对草本和木本活可燃物在返青期、生长期、干枯期等不同生长阶段其含水率对环境的响应差异，融合气象条件影响，基于数值预报，构建活可燃物含水率预估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（3）粗腐殖质可燃物含水率预估算法模块：考虑气象条件、土壤湿度和温度、干旱等对森林腐殖质上层的地表可燃物的影响，构建腐殖质层含水率预估算法及格点化产品。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（4）深层细密有机物可燃物含水率预估算法模块：考虑气象干旱等条件对森林燃料深层下层落叶层和大型段木的影响，构建深层细密有机物可燃物含水率预估算法及格点化产品。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（5）细小可燃物含水率预估算法模块：基于温度、降水、相对湿度和风速等气象要素对森林地被物中部分林分凋落物和固化细小可燃物的影响，构建深层细密有机物可燃物含水率算法及格点化产品。</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28" w:name="_Toc32109"/>
      <w:r>
        <w:rPr>
          <w:rFonts w:hAnsi="Times New Roman" w:eastAsiaTheme="minorEastAsia"/>
        </w:rPr>
        <w:t>森林火险气象</w:t>
      </w:r>
      <w:r>
        <w:t>预报模型</w:t>
      </w:r>
      <w:r>
        <w:rPr>
          <w:rFonts w:hAnsi="Times New Roman" w:eastAsiaTheme="minorEastAsia"/>
        </w:rPr>
        <w:t>子系统</w:t>
      </w:r>
      <w:bookmarkEnd w:id="12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bookmarkStart w:id="129" w:name="_Hlk198395032"/>
      <w:r>
        <w:rPr>
          <w:rFonts w:ascii="Times New Roman" w:hAnsi="Times New Roman" w:cs="Times New Roman"/>
        </w:rPr>
        <w:t>森林火险气象预报模型子系统</w:t>
      </w:r>
      <w:bookmarkEnd w:id="129"/>
      <w:r>
        <w:rPr>
          <w:rFonts w:ascii="Times New Roman" w:hAnsi="Times New Roman" w:cs="Times New Roman"/>
        </w:rPr>
        <w:t>主要通过构建干旱指数、点燃指数、燃烧指数、能量释放指数、蔓延指数算法，实现森林火险综合指数计算及分级、检验评估。主要包含干旱指数预报算法模块、燃烧指数预报算法模块、蔓延指数预报算法模块、能量释放指数预报模块、点燃指数预报算法模块、森林火险气象预报综合指数算法模块、森林火险气象预报分级指标模块、森林火险指数检验模块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（1）干旱指数预报算法模块：综合考虑与干旱气象数据相关的降水、温度以及地表状况等因素，构建林区干旱指数预报算法及格点化产品。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（2）燃烧指数预报算法模块：结合气温、降水等对可燃物燃烧的影响因子，构建燃烧指数预报算法及格点化产品。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（3）蔓延指数预报算法模块：综合考虑风速、坡度、可燃物湿度等关键因素，构建林火蔓延指数预报算法及格点化产品。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（4）能量释放指数预报模块：融合可燃物含水率、可燃物载量、气象实况及数值预报等，构建能量释放指数预报算法及格点化产品。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（5）点燃指数预报算法模块：结合点燃概率和蔓延指数，构建点燃指数预报算法及格点化产品。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（6）森林火险气象预报综合指数算法模块：根据气象及可燃物等影响因子，在火险指数基础上，融合历史森林火灾数据，构建森林火险气象预报综合指数算法及格点化指数产品。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（7）森林火险气象预报分级指标模块：基于森林火险气象预报综合指数，制定森林火险气象预报分级指标，生成格点化等级产品。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rPr>
        <w:t>（8）森林火险指数检验模块：利用卫星监测火点、森林火灾数据，建立燃烧、点燃、蔓延、能量释放、综合风险指数检验算法，实现对不同指数的检验评估。</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30" w:name="_Toc9421"/>
      <w:r>
        <w:rPr>
          <w:rFonts w:hAnsi="Times New Roman" w:eastAsiaTheme="minorEastAsia"/>
        </w:rPr>
        <w:t>输电线路</w:t>
      </w:r>
      <w:r>
        <w:t>山火</w:t>
      </w:r>
      <w:r>
        <w:rPr>
          <w:rFonts w:hAnsi="Times New Roman" w:eastAsiaTheme="minorEastAsia"/>
        </w:rPr>
        <w:t>风险气象预报模型子系统</w:t>
      </w:r>
      <w:bookmarkEnd w:id="130"/>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hint="eastAsia"/>
        </w:rPr>
        <w:t>输电线路山火风险气象预报模型子系统主要针对考虑山区复杂地形，针对输电线路，实现输电线路沿线不同层次高时空精度气象要素预报功能，构建高精度输电线路山火风险预报预警模型，实现输电线路山火（含大风）气象风险预警。主要包含基础地理信息获取模块、大地形分类模块、线路地形特征提取模块、上游数据处理模块、数据质控处理模块、深度学习模型选型与构建模块、数据嵌入向量转换模块、气象要素特征提取模块、时空关系建模模块、复杂地形数据处理模块、气象要素时空降尺度模块、模型迭代训练模块、模型参数优化模块、网格化气象要素预报输出模块、格站数据转换模块、线路山火风险模型构建模块、线路山火风险预警产品模块、线路山火风险预警一张图展示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基础地理信息获取模块：将输电线路沿线的DEM数据集成到地理信息信息系统（GIS）中，形成统一的地理信息资源库。定期更新如输电线路路径、杆塔位置、交叉跨越、海拔、坡度、坡向、公路、铁路、河流、湖泊等基础地理信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（2）大地形分类模块：对输电下路沿途的地表类型按大地形分类进行提取并标记，基于GIS平台实现可视化展示，大地形分类识别提取包括平原、山地、丘陵、盆地、高山等。，并能够量化地形复杂性。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线路地形特征提取模块：利用地理信息空间分析技术结合DEM数据提取输电线路杆塔的精确地理信息、杆塔位置坡度和海拔高度。通过GIS平台，实现基于单杆塔位置的地形特征数据GIS可视化。可实现特定区域典型微地形的识别，包括垭口、高山分水岭、迎风坡、背风坡、河谷（水汽充足区域）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（4）上游数据处理模块：多源网格化预报数据的接入，包括多个垂直层次、多个气象要素、不同尺度模式预报数据。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（5）数据质控处理模块：对输入的多源气象观测或预报数据进行质量检查，识别并处理错误值、缺失值和异常值，确保数据质量满足后续建模需求。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6）深度学习模型选型与构建模块：根据输电线路山火（含大风）风险预报需求任务需求，选择合适的深度学习网络模型，如三维卷积U-Net架构、RNN-GAN等，并搭建相应的模型框架，实现高精度三维网格化气象基础要素预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（7）数据嵌入向量转换模块：将质控后的气象数据转换为适合深度学习模型处理的嵌入向量形式，以便更好地挖掘数据中的潜在信息。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（8）气象要素特征提取模块：针对输电线路山火、大风预报的应用需求，利用深度学习模型的特征学习能力，从嵌入向量中提取气象要素的多维度特征，包括空间特征和时间特征等。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（9）时空关系建模模块：构建气象要素之间的时空关系模型，使模型能够理解气象要素在不同时间和空间尺度下的相互关联和变化规律。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（10）复杂地形数据处理模块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针对复杂地形下的气象数据，进行特殊的处理和分析，如地形数据的嵌入、地形对气象要素影响的量化等，可实现基于地形的气象要素预报订正。。</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（11）气象要素时空降尺度模块：基于构建的深度学习模型，实现气象要素从空间大尺度到小尺度的转换，提高气象要素预报的时空间分辨率。</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（12）模型迭代训练模块：采用合适的训练算法和优化策略，对深度学习模型进行迭代训练，不断调整模型参数以提高模型的性能。</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（13）模型参数优化模块：在迭代训练过程中，通过评估指标（如均方误差、准确率等）对模型参数进行优化，并给出结果检验，确保模型在复杂地形下的气象要素预报准确性。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14）网格化气象要素预报输出模块：将经过深度学习模型处理后的结果转换为高精度的网格化气象要素预报产品，包括不同时间步长和空间分辨率位置上的气象要素预报值，进一步输出概率预报或分位数预报，提供置信区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（15）格站数据转换模块：基于网格化数据，提取快速、精准获取输电线路沿线基础气象要素数据以及、山火覆冰、大风灾害相关的预报要素。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（16）线路山火风险模型构建模块：基于前端山火预报数据与输电线路设计阈值，建立输电定线路山火、大风预报指标与模型。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（17）线路山火风险预警产品模块：基于前端多源数据及线路山火风险预警模型，制作线路山火、大风风险预警服务产品。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hint="eastAsia"/>
        </w:rPr>
        <w:t>（18）线路山火风险预警一张图展示模块：基于WebGIS可视化技术，对线路山火、大风风险预警产品、多源网格化预报数据等进行可视化展示，实现线路山火风险预警一张图</w:t>
      </w:r>
      <w:r>
        <w:rPr>
          <w:rFonts w:ascii="Times New Roman" w:hAnsi="Times New Roman" w:cs="Times New Roman"/>
        </w:rPr>
        <w:t>。</w:t>
      </w:r>
    </w:p>
    <w:p>
      <w:pPr>
        <w:pStyle w:val="Heading2"/>
        <w:keepNext/>
        <w:keepLines/>
        <w:widowControl w:val="0"/>
        <w:numPr>
          <w:ilvl w:val="1"/>
          <w:numId w:val="4"/>
        </w:numPr>
        <w:spacing w:before="260" w:after="260" w:line="415" w:lineRule="auto"/>
        <w:ind w:left="576" w:hanging="576"/>
        <w:jc w:val="both"/>
      </w:pPr>
      <w:bookmarkStart w:id="131" w:name="_Toc20197"/>
      <w:bookmarkStart w:id="132" w:name="_Toc25219"/>
      <w:r>
        <w:t>雷击火环境影响分析分系统</w:t>
      </w:r>
      <w:bookmarkEnd w:id="131"/>
      <w:bookmarkEnd w:id="132"/>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针对加格达奇、呼中、漠河、根河等雷击火灾高发区域，基于原有及新建气象观测、可燃物监测、卫星遥感监测等，研发卫星监测雷击火、精细化雷电监测等产品。通过多源数据信息收集处理、时空匹配等，实现影响雷击火发生的环境因子（气象、可燃物、地形地势等）特征分析，建立影响因子阈值指标体系，构建雷击火风险区划，实现雷击火环境信息风险评估，为开展雷击火气象风险短临预报提供支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雷击火环境影响分析分系统包含多源雷击火环境信息处理子系统、多源数据空间分析子系统、雷击火环境特征分析子系统、雷击火环境影响阈值子系统、雷击火风险区划子系统、雷击火环境信息风险评估子系统。</w:t>
      </w:r>
    </w:p>
    <w:p>
      <w:pPr>
        <w:pStyle w:val="Heading3"/>
        <w:keepNext/>
        <w:keepLines/>
        <w:widowControl w:val="0"/>
        <w:numPr>
          <w:ilvl w:val="2"/>
          <w:numId w:val="4"/>
        </w:numPr>
        <w:autoSpaceDE w:val="0"/>
        <w:autoSpaceDN w:val="0"/>
        <w:adjustRightInd w:val="0"/>
        <w:spacing w:before="200" w:after="120"/>
        <w:ind w:left="720" w:hanging="720"/>
        <w:jc w:val="left"/>
      </w:pPr>
      <w:bookmarkStart w:id="133" w:name="_Toc21391"/>
      <w:bookmarkStart w:id="134" w:name="OLE_LINK7"/>
      <w:r>
        <w:t>多源雷击火环境信息处理子系统</w:t>
      </w:r>
      <w:bookmarkEnd w:id="133"/>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多源雷击火环境信息处理子系统与气象大数据云平台、本地实况观测等相通，按照统一格式标准，对气象、卫星遥感、可燃物、地形、雷击森林火灾等多源数据进行提取、融合拼接、位置订正、质量控制等，形成雷击火环境空间数据集。包括多源卫星监测雷击火点数据处理模块、地面观测数据处理模块、多源可燃物融合处理分析模块、雷击森林火灾信息收集分析模块、火险指数回算及分析模块、地理信息分析处理模块、多源异构数据质量控制及存储模块等7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 xml:space="preserve">（1）多源卫星监测雷击火点数据处理模块：结合闪电监测等数据，对风云静止、极轨、葵花等多源卫星监测火点信息进行筛查，挑选出疑似或确认的雷击森林火灾，并按照统一格式进行格式转换等处理。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地面观测数据处理模块：对接气象大数据云平台及省级数据产品，对雷击火相关气温、降水、相对湿度、风等实况观测数据进行解析、格式转换、质量控制等处理，为雷击火环境分析及区划、预报预警等算法模型构建提供支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（3）多源可燃物融合处理分析模块：对卫星遥感反演、站点观测及全国森林资源清查的多源可燃物信息进行标准化处理，通过对比分析、校验订正等，实现多源可燃物融合，形成一套可燃物信息数据。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（4）雷击森林火灾信息收集分析模块：通过应急、林草等火灾信息、网络、省级业务平台等多渠道收集大兴安岭林区雷击森林火灾相关信息，并对各渠道获取的信息进行对比分析、校验及融合处理。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5）火险指数回算及分析模块：利用《森林火险气象等级》国家标准、基于燃烧原理森林火险指数计算方法，对近20年大兴安岭林区森林火险燃烧指数、能量释放指数、点燃指数、蔓延指数、综合风险指数等进行回算，实现过去任意时间段火险情况统计及对比分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（6）地理信息分析处理模块：对全国地理信息进行分析处理，提取大兴安岭林区地形特征、林区主要设施等，形成主要设施信息数据表。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（7）多源异构数据质量控制及存储模块：基于森林雷击火灾数据，对雷击火相关气象、卫星遥感监测及反演、火险指数、地理信息等进行数据质量控制，按照标准格式及命名规则进行存储。</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35" w:name="_Toc28879"/>
      <w:r>
        <w:rPr>
          <w:rFonts w:hAnsi="Times New Roman" w:eastAsiaTheme="minorEastAsia"/>
        </w:rPr>
        <w:t>多源数据空间分析子系统</w:t>
      </w:r>
      <w:bookmarkEnd w:id="13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多源数据空间分析子系统主要考虑到阴燃造成的火灾延迟性，对多源异构数据进行清洗，采用动力降尺度、空间差值等方法，实现数据尺度转换、时空匹配及研究单元划分等。主要包括多源异构数据清洗模块、多源数据时空匹配模块、雷击森林火灾空间分析模块、雷击火环境单元分析管理模块等4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多源异构数据清洗模块：将雷击森林火灾、气象、闪电等数据的格式标准化，对照雷击火灾数据，考虑到阴燃造成的火灾延迟性，对影响雷击火发生的火环境数据（气象、卫星遥感、可燃物、地形等）进行数据清洗，保留雷击森林火灾发生点周边2km范围内，发生时间前后7天的数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（2）多源数据时空匹配模块：以森林雷击火灾发生地为中心，将不同格式、不同时间间隔的数据，与雷击森林火灾进行时空匹配，形成一套雷击火环境数据集。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（3）雷击森林火灾空间分析模块：对雷击森林火灾进行核密度、年际、月季、日变化等时空分析，形成雷击森林火灾发生规律特征变化产品。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（4）雷击火环境单元分析管理模块：将大兴安岭林区划分为区域单元（空间分辨率1km×1km），且满足合理估计该地区的雷击数量，保证天气条件在单元区域内属于同一类型。</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36" w:name="_Toc15126"/>
      <w:r>
        <w:rPr>
          <w:rFonts w:hAnsi="Times New Roman" w:eastAsiaTheme="minorEastAsia"/>
        </w:rPr>
        <w:t>雷击火环境特征分析子系统</w:t>
      </w:r>
      <w:bookmarkEnd w:id="136"/>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雷击火环境特征分析子系统主要应用大数据、空间和相关性分析等算法，通过对土壤湿度与可燃物含水率，气象条件、闪电强度及密度、可燃物含水率等与雷击森林火灾的相关关系分析，实现对影响雷击火发生的火环境评估，筛选影响雷击火发生的主要特征因子。主要包括地闪时空特征分析模块、雷击森林火灾特征分析模块、火环境与雷击火相关性分析模块、雷击火影响因子筛选模块、雷击火火环境评估模块等5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（1）地闪时空特征分析模块：基于闪电监测资料，对影响雷击火发生的地闪强度、密度、电极等时空分布特征进行分析。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（2）雷击森林火灾特征分析模块：对影响雷击森林火灾发生时地形特征（坡度、坡向）、可燃物类型等情况进行分析。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（3）火环境与雷击火相关性分析模块：基于相关关系等方法，计算出雷击森林火灾发生与火环境（气象条件、可燃物、闪电、地形等）的相关性。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（4）雷击火影响因子筛选模块：利用权重分析、特征分析等方法，筛选出影响雷击火发生的主要因子，并按照权重进行排序。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（5）雷击火火环境评估模块：实现对影响雷击火发生的气象、火险指数、地形、可燃物等风险评估，确定各环境因子影响雷击火发生的阈值指标。</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37" w:name="_Toc23707"/>
      <w:r>
        <w:rPr>
          <w:rFonts w:hAnsi="Times New Roman" w:eastAsiaTheme="minorEastAsia"/>
        </w:rPr>
        <w:t>雷击火环境影响阈值子系统</w:t>
      </w:r>
      <w:bookmarkEnd w:id="13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雷击火环境影响阈值子系统主要通过回算并分析大兴安岭林区雷击火高发时段火险指数，采用敏感性、相关性分析等方法，构建雷击火环境影响阈值算法，基于典型火灾案例实地调查数据，实现阈值指标检验、订正。主要包括雷击火危险性评价模块、雷击火环境影响阈值算法模块等2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（1）雷击火危险性评价模块：基于雷击森林火灾与火环境相关关系分析结果，对影响雷击火发生的火险指数、气象、闪电等指标危险性进行综合评估。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雷击火环境影响阈值算法模块：通过敏感性、相关性分析方法，基于雷击森林火灾与火环境相关关系分析结果，研发不同时段、不同区域雷击火发生火环境因子阈值指标算法，确定火险指数、气象、闪电等因子阈值指标</w:t>
      </w:r>
      <w:bookmarkEnd w:id="134"/>
      <w:r>
        <w:rPr>
          <w:rFonts w:ascii="Times New Roman" w:hAnsi="Times New Roman" w:cs="Times New Roman" w:hint="eastAsia"/>
        </w:rPr>
        <w:t>。</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38" w:name="_Toc939"/>
      <w:r>
        <w:rPr>
          <w:rFonts w:hAnsi="Times New Roman" w:eastAsiaTheme="minorEastAsia"/>
        </w:rPr>
        <w:t>雷击火风险区划子系统</w:t>
      </w:r>
      <w:bookmarkEnd w:id="13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雷击火风险区划子系统主要基于风险普查、气象实况观测及模式产品、闪电监测、可燃物信息、雷击森林火灾历史数据、地理信息等资料，开发基于大数据分析和回归统计等技术的雷击火风险区划算法，实现雷击森林火灾风险评估。主要包括雷击火承载体暴露度评价模块、雷击火承载体脆弱性评价模块、雷击火综合风险评估模块、雷击火风险区划算法模块等4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雷击火承载体暴露度评价模块：森林火灾的承灾体主要为森林资源、房屋建筑、防火设施、人口、经济等。在林区及边缘禁火区范围内，发生火灾后，暴露于火灾威胁的承灾体越多，火灾风险越大。通过选取单位面积地上活生物量、房屋建筑数量、人口数量、GDP作为评估承灾体暴露度指标，采用层次分析法（AHP）和权重赋值法等进行综合计算，确定雷击火承载体暴露度各类评估指标的权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雷击火承载体脆弱性评价模块：森林火灾影响范围内的承灾体越敏感，风险越大，承灾体损失的程度越大。选取承灾体脆弱性指标要考虑到森林资源、建筑物、人口、经济等各方面的因素，采用层次分析法等，确认承灾体脆弱性各类评估指标的权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（3）雷击火综合风险评估模块：结合雷击森林火灾危险性指数、承灾体脆弱性和暴露度指数，通过层次分析法（AHP）进行综合评估，实现近5年森林雷击火灾风险等级评估。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雷击火风险区划算法模块：采用人工智能、机器学习等方法，基于火险指数、闪电、可燃物、雷击森林火灾等数据，构建雷击火风险区划模型算法，实现雷击火风险区划指数计算。采用权重及层次分析方法，基于森林火险气象等级划分标准，对雷击火风险区划指数进行分级。</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39" w:name="_Toc1425"/>
      <w:r>
        <w:rPr>
          <w:rFonts w:hAnsi="Times New Roman" w:eastAsiaTheme="minorEastAsia"/>
        </w:rPr>
        <w:t>雷击火环境信息风险评估子系统</w:t>
      </w:r>
      <w:bookmarkEnd w:id="139"/>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雷击火环境信息风险评估子系统基于地面观测、气象大数据云平台实况观测资料、风险普查、卫星遥感火情监测、历史森林草原火灾数据、地理信息等资料，应用大数据、空间和相关性分析等算法，实现雷击火环境风险信息实时监测评估，包括环境信息提取、指标定制、智能分析、产品制作等。主要包括雷击火环境信息提取模块、火险气象信息提取模块、雷击火环境综合信息智能分析模块、火环境信息风险评估产品模块等4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（1）雷击火环境信息提取模块：基于火险气象服务业务系统，对雷击森林火灾周边1-10公里范围内可燃物、地形、主要设施等信息进行提取，能够计算环境信息位置与雷击森林火灾点的距离。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火险气象信息提取模块：基于气象大数据云平台及火险气象服务业务系统，对雷击森林火灾周边1-10公里范围内气象观测、数值天气预报相关要素信息进行实时提取，能够计算最近气象观测站、数值预报格点与雷击森林火灾点的距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雷击火环境综合信息智能分析模块：依托森林火灾气象服务业务系统，融合雷击火自然、设施、气象环境信息及火灾扑救情况，对雷击火环境实况信息及未来可能发展进行智能分析，实现提供火灾及周边现状、未来发展趋势等信息提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（4）火环境信息风险评估产品模块：基于火灾及周边现状、未来发展趋势等信息，实现对火环境风险信息、统计分析信息等根据服务需求进行提取、加工。</w:t>
      </w:r>
    </w:p>
    <w:p>
      <w:pPr>
        <w:pStyle w:val="Heading2"/>
        <w:keepNext/>
        <w:keepLines/>
        <w:widowControl w:val="0"/>
        <w:numPr>
          <w:ilvl w:val="1"/>
          <w:numId w:val="4"/>
        </w:numPr>
        <w:spacing w:before="260" w:after="260" w:line="415" w:lineRule="auto"/>
        <w:ind w:left="578" w:hanging="578"/>
        <w:jc w:val="both"/>
        <w:rPr>
          <w:color w:val="000000" w:themeColor="text1"/>
        </w:rPr>
      </w:pPr>
      <w:bookmarkStart w:id="140" w:name="_Toc14856"/>
      <w:bookmarkStart w:id="141" w:name="_Toc3276"/>
      <w:r>
        <w:rPr>
          <w:color w:val="000000" w:themeColor="text1"/>
        </w:rPr>
        <w:t>雷击火气象风险预报预警分系统</w:t>
      </w:r>
      <w:bookmarkEnd w:id="140"/>
      <w:bookmarkEnd w:id="141"/>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基于数值预报、强对流潜势预报等，研发精细化雷电预报预警产品；基于雷击火历史数据、闪电监测数据和火环境调查、及雷电预报数据，采用卫星遥感、样地调查、模型模拟等方法，获取过去雷击火发生的相关信息，包括闪电特征、可燃物类型、可燃物空间分布特征、天气和火险指数、地形因子等，确定影响雷击火点燃的主要因子，筛选出主要特征变量，采用随机森林等机器学习方法和逻辑回归模型构建雷击火发生气象风险短临预报模型，提供1km分辨率雷电预报预警、雷击火气象风险预报预警产品，并实现模型算法灵活部署应用，满足不同地区的服务需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雷击火气象风险预报预警分系统包含大兴安岭林区雷电预报子系统、雷击火气象风险预报模型子系统。</w:t>
      </w:r>
    </w:p>
    <w:p>
      <w:pPr>
        <w:pStyle w:val="Heading3"/>
        <w:keepNext/>
        <w:keepLines/>
        <w:widowControl w:val="0"/>
        <w:numPr>
          <w:ilvl w:val="2"/>
          <w:numId w:val="4"/>
        </w:numPr>
        <w:autoSpaceDE w:val="0"/>
        <w:autoSpaceDN w:val="0"/>
        <w:adjustRightInd w:val="0"/>
        <w:spacing w:before="200" w:after="120"/>
        <w:ind w:left="720" w:hanging="720"/>
        <w:jc w:val="left"/>
        <w:rPr>
          <w:rFonts w:hAnsi="Times New Roman" w:eastAsiaTheme="minorEastAsia"/>
        </w:rPr>
      </w:pPr>
      <w:bookmarkStart w:id="142" w:name="_Toc14793"/>
      <w:r>
        <w:rPr>
          <w:rFonts w:hAnsi="Times New Roman" w:eastAsiaTheme="minorEastAsia"/>
        </w:rPr>
        <w:t>雷击火气象风险预报模型子系统</w:t>
      </w:r>
      <w:bookmarkEnd w:id="142"/>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雷击火气象风险预报模型子系统主要采用机器学习算法，通过筛选影响雷击火的主要因子，构建雷击火发生气象风险预报算法，实现雷击火发生风险预报及气象风险概率潜势预报。主要包括风险因子权重算法分析模块、雷击火发生概率预报算法模块、雷击火气象风险概率预报算法构建模块、雷击火发生风险及风险概率预报检验算法模块、雷击火气象风险预报分级算法模块、雷击火气象风险预报分级标准模块、国家级雷击火气象风险预报预警产品模块等7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 xml:space="preserve">（1）风险因子权重算法分析模块：采用随机森林、逻辑回归等方法，对影响雷击火发生的主要影响因子进行特征分析，根据权重分析、层次分析方法，结合雷击火环境阈值指标及区划等级，实现对雷击火气象风险短临预报主要计算因子权重进行分析及计算。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雷击火发生概率预报算法模块：根据可燃物引燃机理，采用随机森林、逻辑回归等方法，基于气象、可燃物、闪电、地形、历史雷击森林火灾等主要影响因子数据，构建闪电发生后雷击火发生气象风险预报模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（3）雷击火气象风险概率预报算法构建模块：采用随机森林、逻辑回归等方法，基于气象、可燃物、闪电、地形等主要影响因子数据，融合雷电预报，构建闪电发生前雷击火气象风险潜势预报模型。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（4）雷击发生概率及风险概率预报检验算法模块：采用命中率、相关分析等方法，基于雷击森林火灾数据，对雷击火发生概率及风险概率预报进行验证。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5）雷击火气象风险预报分级算法模块：参考《森林火险气象等级》国家标准分级指标，基于雷击火发生概率及风险概率预报，结合雷击火风险预报需求，研发雷击发生气象风险预报及雷击火气象风险潜势预报分级算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（6）雷击火气象风险预报分级标准模块：基于雷击发生气象风险预报及雷击火气象风险潜势预报分级算法，结合雷击火环境指标阈值，研制雷击发生气象风险预报及雷击火气象风险潜势预报分级标准。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7）国家级雷击火气象风险预报预警产品模块：基于雷击发生气象风险预报及雷击火气象风险潜势预报算法，结合大兴安岭林区森林植被、地形等信息，研发国家级雷击火气象风险预报预警产品，形成图形、文字产品模板。</w:t>
      </w:r>
    </w:p>
    <w:p>
      <w:pPr>
        <w:pStyle w:val="Heading2"/>
        <w:keepNext/>
        <w:keepLines/>
        <w:widowControl w:val="0"/>
        <w:numPr>
          <w:ilvl w:val="1"/>
          <w:numId w:val="4"/>
        </w:numPr>
        <w:spacing w:before="260" w:after="260" w:line="415" w:lineRule="auto"/>
        <w:ind w:left="578" w:hanging="578"/>
        <w:jc w:val="both"/>
        <w:rPr>
          <w:color w:val="000000" w:themeColor="text1"/>
        </w:rPr>
      </w:pPr>
      <w:bookmarkStart w:id="143" w:name="_Toc28281"/>
      <w:bookmarkStart w:id="144" w:name="_Toc20970"/>
      <w:r>
        <w:rPr>
          <w:color w:val="000000" w:themeColor="text1"/>
        </w:rPr>
        <w:t>林火蔓延趋势预测分系统</w:t>
      </w:r>
      <w:bookmarkEnd w:id="143"/>
      <w:bookmarkEnd w:id="144"/>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基于大气-火耦合的森林火蔓延预测模式，采用高分辨率地形数据、可燃物分类数据以及全球模式数值预报数据，构建适应火点的智能模式框架，实现以每个着火点为中心，针对附近范围开展模拟预报。研发气温、相对湿度、风向风速、降水等火场小尺度气象要素产品以及火场范围、火线位置、火头速度等火行为要素产品，提升示范区火场气象保障服务及中俄、中蒙边境火蔓延风险预报能力。</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森林草原火险气象预报预警分系统包含数据下载和传输子系统、林火蔓延模拟子系统、火点监测影像解析子系统、火场周边环境分析子系统、林火蔓延检验子系统、产品显示与加工子系统。</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rPr>
      </w:pPr>
      <w:bookmarkStart w:id="145" w:name="_Toc21087"/>
      <w:r>
        <w:rPr>
          <w:rFonts w:hAnsi="Times New Roman" w:eastAsiaTheme="minorEastAsia"/>
        </w:rPr>
        <w:t>数据下载和传输子系统</w:t>
      </w:r>
      <w:bookmarkEnd w:id="14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数据下载和传输子系统实现数值预报模式数据、气象站实况数据、卫星图像等数据的下载、存储、传输等。数据下载和传输子系统由数据下载模块、数据存储模块、数据传输模块3个模块组成。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（1）数据下载模块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对国家级、省级气象站点实况数据以及全球模式数值预报、智能网格预报数据像等从内部网站上按需下载。</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（2）数据存储模块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对下载的实况、预报、卫星等各类数据进行分类存储与按需清理。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（3）数据传输模块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全球再分析资料、全球数值预报等背景场资料、高精度地形数据、可燃物数据传输至大型计算机进行火蔓延模拟。</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46" w:name="_Toc24516"/>
      <w:bookmarkStart w:id="147" w:name="_Toc211016706"/>
      <w:bookmarkStart w:id="148" w:name="_Toc210822607"/>
      <w:bookmarkStart w:id="149" w:name="_Toc16889"/>
      <w:r>
        <w:rPr>
          <w:rFonts w:hAnsi="Times New Roman" w:eastAsiaTheme="minorEastAsia"/>
        </w:rPr>
        <w:t>林火蔓延模拟子系统</w:t>
      </w:r>
      <w:bookmarkEnd w:id="146"/>
      <w:bookmarkEnd w:id="147"/>
      <w:bookmarkEnd w:id="148"/>
      <w:bookmarkEnd w:id="149"/>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林火蔓延模拟子系统实现在大型计算机上自动运行林火蔓延模拟方案，主要包括高精度地形预处理、可燃物数据预处理、火蔓延实时模拟、火蔓延复盘模拟等4个模块。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（1）高精度地形预处理模块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将Aster高精度地形数据按模拟范围进行拼接，并转化为WRF模式识别的格式。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（2）可燃物数据预处理模块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将FGLC地表覆盖类型数据按WRF-SFIRE要求的可燃物类型进行重分类，并转化为WRF模式识别的格式。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（3）火蔓延实时模拟模块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采用GFS预报数据，进行未来3小时火蔓延模拟预报，空间分辨率不高于1km。</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（4）火蔓延复盘模拟模块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采用FNL再分析数据，对过去的森林火灾个例进行复盘模拟，任意定制模拟时长、时间间隔。</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50" w:name="_Toc210822608"/>
      <w:bookmarkStart w:id="151" w:name="_Toc414"/>
      <w:bookmarkStart w:id="152" w:name="_Toc211016707"/>
      <w:bookmarkStart w:id="153" w:name="_Toc32183"/>
      <w:r>
        <w:rPr>
          <w:rFonts w:hAnsi="Times New Roman" w:eastAsiaTheme="minorEastAsia"/>
        </w:rPr>
        <w:t>火点监测影像解析子系统</w:t>
      </w:r>
      <w:bookmarkEnd w:id="150"/>
      <w:bookmarkEnd w:id="151"/>
      <w:bookmarkEnd w:id="152"/>
      <w:bookmarkEnd w:id="153"/>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火点监测影像解析子系统，主要基于高分卫星监测火灾影像产品，通过采集、解析、转换、入库等处理，应用 GIS 空间分析方法，对火灾个例的火线边界形状、过火面积进行动态提取，实现任意热源点/火点卫星影像图形产品的快速、准确和实时调取、查询显示。火点监测影像解析子系统由卫星影像获取模块、过火范围提取模块、过火范围订正模块3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（1）卫星影像获取模块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从内部网站以及外部网站获取高分卫星监测火灾影像产品，进行采集、解析、转换、入库等处理。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（2）过火范围提取模块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应用机器学习以及GIS 空间分析方法，对火灾个例的火线边界形状、过火面积进行动态提取。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（3）过火范围订正模块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通过人工目视，订正火线边界形状。</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rPr>
      </w:pPr>
      <w:bookmarkStart w:id="154" w:name="_Toc210822609"/>
      <w:bookmarkStart w:id="155" w:name="_Toc211016708"/>
      <w:bookmarkStart w:id="156" w:name="_Toc5601"/>
      <w:bookmarkStart w:id="157" w:name="_Toc21899"/>
      <w:r>
        <w:rPr>
          <w:rFonts w:hAnsi="Times New Roman" w:eastAsiaTheme="minorEastAsia"/>
        </w:rPr>
        <w:t>火场周边环境分析子系统</w:t>
      </w:r>
      <w:bookmarkEnd w:id="154"/>
      <w:bookmarkEnd w:id="155"/>
      <w:bookmarkEnd w:id="156"/>
      <w:bookmarkEnd w:id="15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火场周边环境分析子系统主要根据火灾位置（经纬度信息），实现对火灾位置的坐标快速定位，以及火灾点及周边地理环境、行政信息、重要设施等关键信息提取；输入调用范围，实现地面气象监测站及其气象要素实况的快速提取，并支持距离测算。火场周边环境分析子系统由环境信息提取模块、环境信息统计模块、火点距离测算模块3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（1）环境信息提取模块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实现对火灾位置的坐标快速定位，以及火灾点及周边地理环境、行政信息、重要设施等关键信息提取。</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（2）环境信息统计模块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以火灾经纬度点位置为中心，统计固定半径范围内地理环境、重要设施（工厂、学校等）、行政信息、主要 公路等基础信息、气象观测站信息。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（3）火点距离测算模块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测算火灾点与任意位置的距离。</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58" w:name="_Toc7188"/>
      <w:bookmarkStart w:id="159" w:name="_Toc211016709"/>
      <w:bookmarkStart w:id="160" w:name="_Toc27859"/>
      <w:bookmarkStart w:id="161" w:name="_Toc210822610"/>
      <w:r>
        <w:rPr>
          <w:rFonts w:hAnsi="Times New Roman" w:eastAsiaTheme="minorEastAsia"/>
        </w:rPr>
        <w:t>林火蔓延检验子系统</w:t>
      </w:r>
      <w:bookmarkEnd w:id="158"/>
      <w:bookmarkEnd w:id="159"/>
      <w:bookmarkEnd w:id="160"/>
      <w:bookmarkEnd w:id="161"/>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林火蔓延检验子系统利用基于气象站观测、卫星监测的火灾蔓延图像实况对林火蔓延趋势数值模拟结果对比检验，对林火蔓延火线形态、过火面积等指标进行误差分析。林火蔓延检验子系统由风向检验模块、风速检验模块、过火面积检验模块、火线形态检验模块4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（1）风向检验模块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采用火灾点临近气象站的实况，针对林火蔓延模式模拟的火点位置的风向进行误差分析。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（2）风速检验模块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采用火灾点临近气象站的实况，针对林火蔓延模式模拟的火点位置的风速进行误差分析。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（3）过火面积检验模块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采用火点监测影像解析子系统制作的过火范围图形，针对林火蔓延模式模拟的过火面积进行大小对比检验。</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（4）火线形态检验模块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采用火点监测影像解析子系统制作的过火范围图形，针对林火蔓延模式模拟的火线形态进行相似度检验。</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62" w:name="_Toc211016710"/>
      <w:bookmarkStart w:id="163" w:name="_Toc19171"/>
      <w:bookmarkStart w:id="164" w:name="_Toc28470"/>
      <w:bookmarkStart w:id="165" w:name="_Toc210822611"/>
      <w:r>
        <w:rPr>
          <w:rFonts w:hAnsi="Times New Roman" w:eastAsiaTheme="minorEastAsia"/>
        </w:rPr>
        <w:t>产品显示与加工子系统</w:t>
      </w:r>
      <w:bookmarkEnd w:id="162"/>
      <w:bookmarkEnd w:id="163"/>
      <w:bookmarkEnd w:id="164"/>
      <w:bookmarkEnd w:id="16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产品显示与加工子系统负责气象实况和智能网格预报产品的图形显示，以及火场小尺度气象和火行为产品的加工。支持自动更新标题与时间，以折线图、柱状图、表格等形式输出统计分析结果，并可保存图片或表格文件，同时提供火场蔓延趋势的动态变化产品。产品显示与加工子系统由实况产品显示模块、智能网格预报产品显示模块、火场小尺度气象产品加工模块、火场火行为产品加工模块4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（1）实况产品显示模块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针对国家站、自动站的气象实况产品，根据当前范围显示的地图或实际服务需求的范围进行图形输出。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（2）智能网格预报产品显示模块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针对智能网格预报产品，根据当前范围显示的地图或实际服务需求的范围进行图形输出。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（3）火场小尺度气象产品加工模块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针对林火蔓延模式输出的小尺度气象产品，按照产品图形要求，实现产品图的标题、时间的自动更新和产品图文件的自动或手动保存，支持统计分析结果在地图上以折线图、柱状图、表格等形式显示，能够直接以图片方式保存至选定位置，表格能够输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（4）火场火行为产品加工模块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针对林火蔓延模式输出的火行为产品，按照产品图形要求，实现产品图的标题、时间的自动更新和产品图文件的自动或手动保存，除了以折线图、柱状图、表格等形式显示外，还要形成蔓延趋势动态变化产品。</w:t>
      </w:r>
    </w:p>
    <w:p>
      <w:pPr>
        <w:pStyle w:val="Heading2"/>
        <w:keepNext/>
        <w:keepLines/>
        <w:widowControl w:val="0"/>
        <w:numPr>
          <w:ilvl w:val="1"/>
          <w:numId w:val="4"/>
        </w:numPr>
        <w:spacing w:before="260" w:after="260" w:line="415" w:lineRule="auto"/>
        <w:ind w:left="578" w:hanging="578"/>
        <w:jc w:val="both"/>
        <w:rPr>
          <w:color w:val="000000" w:themeColor="text1"/>
        </w:rPr>
      </w:pPr>
      <w:bookmarkStart w:id="166" w:name="_Toc1127"/>
      <w:bookmarkStart w:id="167" w:name="_Toc5143"/>
      <w:r>
        <w:rPr>
          <w:color w:val="000000" w:themeColor="text1"/>
        </w:rPr>
        <w:t>大兴安岭防灭火智能气象服务分系统</w:t>
      </w:r>
      <w:bookmarkEnd w:id="166"/>
      <w:bookmarkEnd w:id="16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融合各分系统产出的实况预报预警产品和数据，构建大兴安岭雷击火信息应用集成软件模块，实现基于问答和自动化的大兴安岭防灭火智能气象服务。基于检索增强生成（Retrieval-Augmented Generation，RAG）技术构建雷击火智能信息决策服务信息检索增强组件；基于地理空间处理和地理空间数据库技术构建森林雷击火空间数据空间计算和查询组件；基于模型上下文协议（Model Context Protocol， MCP）和后端API技术构建深度推理和工具调用的数据工具组件；基于工作流框架搭建用于森林雷击火智能信息服务的智能分析工作流组件；基于数字人技术、地理空间前端框架、Web前端技术搭建用于雷击火智能信息服务的前端服务应用组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大兴安岭防灭火智能气象服务分系统包含但不限于雷击火智能信息决策服务信息检索增强子系统、森林雷击火数据理解和查询子系统、森林雷击火智能信息分析、森林雷击火智能信息部署管理子系统。</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68" w:name="_Toc24173"/>
      <w:r>
        <w:rPr>
          <w:rFonts w:hAnsi="Times New Roman" w:eastAsiaTheme="minorEastAsia"/>
        </w:rPr>
        <w:t>雷击火智能信息决策服务信息检索增强子系统</w:t>
      </w:r>
      <w:bookmarkEnd w:id="16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雷击火智能信息决策服务信息检索增强子系统提供雷击火智能信息决策服务信息检索增强功能，为雷击火智能信息服务场景下的应用提供基于文本、图像等多模态信息的知识库输入和增强能力。主要包括输入文件格式转换模块、元数据规范处理模块、知识库文本分块模块、文本分块分开嵌入转换模块、输入查询增强模块、向量数据库模块、检索增强模块、检索结果增强模块、多模态处理模块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（1）输入文件格式转换模块：对用于知识库构建的业务预报、服务专报、中长期预测、决策专报、技术规范、业务流程规范等常规word、txt文件转换成易于对接RAG流程工具的markdown等输入文件格式。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（2）元数据规范处理模块：自动从知识库文件名、文件元信息提取日期、空间范围、类别等规范元信息，或通过模型理解从正文提取元信息，用于后续知识库向量数据库元信息字段。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（3）知识库文本分块模块：对输入知识库的长文本内容进行分块用于后续处理。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（4）文本分块分开嵌入转换模块：为每个块生成向量嵌入，基于文本嵌入模型生成固定长度向量结果，用于在嵌入向量数据库中存储。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（5）输入查询增强模块：去除不相关信息、消除歧义、更新数据，优化输入查询提高最终生成文本质量。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（6）向量数据库模块：使用基于向量存储的数据库，对输入嵌入向量使用余弦相似度算法等检索算法检索输入关联知识向量。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（7）检索增强模块：通过递归检索、块优化、句子窗口检索、重排序等方法增强检索效果；对检索到的内容进行改写同时使用多种检索方法或从多个不同来源提取信息。</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（8）检索结果增强模块：通过结果重排序、知识图谱实体关系查询、生成器生成的日志概率关联等方法对检索结果进行优选和修改。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（9）多模态处理模块：对知识库中的图像等多模态数据进行元数据提取、关联处理和数据存储操作，用于生成配套多模态数据的模型输出。</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69" w:name="_Toc30614"/>
      <w:r>
        <w:rPr>
          <w:rFonts w:hAnsi="Times New Roman" w:eastAsiaTheme="minorEastAsia"/>
        </w:rPr>
        <w:t>森林雷击火数据理解和查询子系统</w:t>
      </w:r>
      <w:bookmarkEnd w:id="169"/>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对包括火险等级网格预报、网格实况、主观矢量森林火险等级落区预报、卫星火点、闪电观测、火灾定位和行政区划、植被类型等静态数据的各类森林雷击火空间数据和关系型表格类数据构建数据库存储规范和数据入库工具，为数据库查询构建查询API模块和MCP接口，构建优化数据工具调用和规范遵循的提示词模板库块，基于工作流框架构建工作流。主要包括空间数据输入处理模块、表格数据输入处理模块、数据类别信息管理和录入模块、数据查询接口模块、大语言模型数据接口模块、大语言模型知识加工模块、在线森林火灾舆情爬取模块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空间数据输入处理模块：对森林雷击火风险网格预报及要素网格实况预报、HDF格式卫星热源点数据等网格类数据进行网格元数据提取、产品元数据提取、重投影等数据库入库预处理。对主观火险气象等级落区预报、闪电定位仪探测等矢量几何形式数据进行文件格式识别和几何数据提取及产品元信息提取、重投影等数据库入库预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（2）表格数据输入处理模块：对表格形式的卫星热源点产品、森林火场信息等数据类别进行数据清洗、单位变换、缺失字段智能补全等预处理。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（3）数据类别信息管理和录入模块：为输入数据在数据库中预置数据库表定义，构建各类数据库录入工具，定义数据生成触发钩子，自动触发数据预处理和录入流程。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（4）数据查询接口模块：为各类数据封装对应数据库查询操作的基于Restful API等标准形式的数据库查询API套件，为时间范围查询、空间相交、包含、点插值、面积累加、数量累加等业务常用逻辑构建对应数据查询API。</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（5）模型数据接口模块：基于MCP等标准接口规范，为上述数据查询和空间计算API构建MCP服务器，用于在模型中调用和理解空间和表格类数据及其相互关系。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（6）模型知识加工模块：针对森林防灭火应用场景，通过知识实体和关系设计、自动化知识归纳学习等知识图谱技术，构建用于辅助大预言智能产品生成的背景知识体系，提高模型输出质量。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（7）在线森林火灾舆情爬取模块：基于网络爬虫技术，通过预设关键词库进行并发森林火灾网络舆情爬取，补充森林火情信息库。</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70" w:name="_Toc17820"/>
      <w:r>
        <w:rPr>
          <w:rFonts w:hAnsi="Times New Roman" w:eastAsiaTheme="minorEastAsia"/>
        </w:rPr>
        <w:t>森林雷击火智能信息分析子系统</w:t>
      </w:r>
      <w:bookmarkEnd w:id="170"/>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基于工作流框架搭建用于森林雷击火智能信息服务的智能分析工作流组件，实现火险预测结论生成、月度-季度-年度摘要、实况监测信息、火场信息生成等自动服务文本生成，构建雷击火智能服务产品模板库和配套提示词和工作流工具。主要包括语言模型数据应用流程和模板模块、智能输出模板模块、智能图形产品生成模块、产品输出模板模块、知识库摘要前端展示接口模块、模型数据分析模块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（1）模型数据应用流程和模板模块：为在模型中应用空间和表格类数据，构建一套常用场景的模型提示词模板和基于工作流框架的工作流，用于增强数据理解、模型生成优化和输出格式约束。</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智能输出模板模块：构建一套基于RAG和数据库MCP调用返回的结果生成常用类型文本的提示词模板和工作流，生成常规的预报区域、预报时间、预报等级火险预测结论、火灾次数、预警次数、主要高等级区域摘要、实况监测信息及火场信息生成和配图生成或匹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（3）智能图形产品生成模块：基于后端地理空间数据库和地图服务框架，构建灵活的图形产品生成流程，对模型暴露图形生成MCP接口，图形地理范围、图形色彩风格等参数可通过与模型交互调整。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（4）产品输出模板模块：为各类数据封装对应数据库查询操作的基于Restful API等标准形式的数据库查询API套件，为时间范围查询、空间相交、包含、点插值、面积累加、数量累加等业务常用逻辑构建对应数据查询API。</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5）知识库摘要前端展示接口据接口模块：提供可定制的知识摘要模板，通过知识库知识图谱由模型自动生成动态更新的摘要信息，实现如近期火情、干旱趋势、雷击火风险趋势等摘要信息的自动生成，为前端提供查询接口。</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（6）模型数据分析模块：通过结合模型数据图表分析功能和后端MCP数据接口，为前端展示和对话查询实现常见类别产品和数据的自然语言查询和图表展示功能。</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eastAsiaTheme="minorEastAsia"/>
        </w:rPr>
      </w:pPr>
      <w:bookmarkStart w:id="171" w:name="_Toc8565"/>
      <w:r>
        <w:rPr>
          <w:rFonts w:hAnsi="Times New Roman" w:eastAsiaTheme="minorEastAsia"/>
        </w:rPr>
        <w:t>森林雷击火智能信息部署管理子系统</w:t>
      </w:r>
      <w:bookmarkEnd w:id="171"/>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森林雷击火智能信息部署管理子系统主要实现分系统整体灵活部署和本地化功能。主要包括森林雷击火智能信息部署管理子系统由模型对接管理模块、知识库部署管理模块、空间数据库部署管理模块、Web前端接口配置模块、模型用量和性能指标模块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（1）模型对接管理模块：提供底座模型灵活对接能力，通过标准API接口调用和配置，可对接外部或本地部署模型API。</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（2）知识库部署管理模块：提供灵活的知识文件库接入方式，提供本地文件系统、网络文件系统、对象存储等多种存储形式支持，提供知识文件库管理管理接口和管理界面。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（3）空间数据库部署管理模块：提供内部空间数据库服务，同时提供外部空间数据库接入支持，令空间和表格数据API和MCP接口可同时对接多种数据接入方式，如不同空间数据库方案、GIS平台等。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（4）Web前端接口配置模块：实现Web前端和后端API接口分离，实现Web前端可选，支持多种前端地图框架和模型前端工具支持。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（5）模型用量和性能指标模块：实时统计系统调用模型和数据库各流量、存储和性能指标用于系统性能监控。</w:t>
      </w:r>
    </w:p>
    <w:p>
      <w:pPr>
        <w:pStyle w:val="Heading2"/>
        <w:keepNext/>
        <w:keepLines/>
        <w:widowControl w:val="0"/>
        <w:numPr>
          <w:ilvl w:val="1"/>
          <w:numId w:val="4"/>
        </w:numPr>
        <w:spacing w:before="260" w:after="260" w:line="415" w:lineRule="auto"/>
        <w:ind w:left="578" w:hanging="578"/>
        <w:jc w:val="both"/>
        <w:rPr>
          <w:color w:val="000000" w:themeColor="text1"/>
        </w:rPr>
      </w:pPr>
      <w:bookmarkStart w:id="172" w:name="_Toc17626"/>
      <w:bookmarkStart w:id="173" w:name="_Toc12039"/>
      <w:r>
        <w:rPr>
          <w:color w:val="000000" w:themeColor="text1"/>
        </w:rPr>
        <w:t>升级气象服务综合分析应用分系统</w:t>
      </w:r>
      <w:bookmarkEnd w:id="172"/>
      <w:bookmarkEnd w:id="173"/>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基于气象大数据云平台的计算、存储和网络资源，升级气象服务综合分析应用分系统。扩展模型算法及阈值指标集成框架，对林火气象服务模型和阈值指标进行集成，用于算法模型的实时运行。基于统一的产品加工框架，实现林火气象服务产品自动化生成。扩展影响分析、交互加工等可视化分析制作功能，实现林火产品展示、分析、绘制落区和交互制作。汇聚国家级和省级林火产品，实现国省产品实时共享，林火风险气象服务“一张图”。</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hint="eastAsia"/>
        </w:rPr>
        <w:t>升级气象服务综合分析应用分系统包含但不限于林火风险预报风险态势子系统、林火风险预报影响分析子系统、林火行业风险预报产品制作子系统、林火行业风险预报产品制作子系统、林火风险预报产品审核分发子系统、林火风险预报图层插件子系统。</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rPr>
      </w:pPr>
      <w:bookmarkStart w:id="174" w:name="_Toc23497"/>
      <w:r>
        <w:rPr>
          <w:rFonts w:hAnsi="Times New Roman"/>
        </w:rPr>
        <w:t>林火风险预报风险态势子系统</w:t>
      </w:r>
      <w:bookmarkEnd w:id="174"/>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林火风险预报风险态势子系统对雷击火、林火风险、火场监测等，进行分空间、分时效，分要素、分行业风险态势一张图展示。实现对雷击火、林火风险、火场监测等产品风险对承灾体（下垫面环境、社会经济、人口分布）的潜在影响量化分析。林火风险预报风险态势子系统由森林草原火险气象风险态势模块、雷击火灾害风险态势模块、林火蔓延趋势风险态势模块3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森林草原火险气象风险态势模块：扩展气象服务综合分析应用平台森林火灾风险态势行业场景，对森林火险气象短临预报指数产品、森林火灾气象条件预报、森林火险气象等级预警信号产品进行一张图展示。并支持对影响区域下垫面、经济、气象实况等情况的统计查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雷击火灾害风险态势模块：扩展气象服务综合分析应用平台风险态势行业场景，针对加格达奇、呼中、漠河、根河等雷击火灾高发区域的雷击火灾害风险预报产品进行一张图展示。并支持对影响区域下垫面、经济、气象实况等情况的统计查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林火蔓延趋势风险态势模块：扩展气象服务综合分析应用平台风险态势行业场景，对气温、相对湿度、风向风速、降水等火场小尺度气象要素产品以及火场范围、火线位置、火头速度等火行为要素产品进行一张图展示。并支持对影响区域下垫面、经济、气象实况等情况的统计查询。</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rPr>
      </w:pPr>
      <w:bookmarkStart w:id="175" w:name="_Toc25045"/>
      <w:r>
        <w:rPr>
          <w:rFonts w:hAnsi="Times New Roman"/>
        </w:rPr>
        <w:t>林火风险预报影响分析子系统</w:t>
      </w:r>
      <w:bookmarkEnd w:id="17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林火风险预报影响分析子系统，研发交互分析、落区绘制和统计分析功能，在满足行业产品叠加的同时，能实现产品的交互应用、产品主观订正和业务统计。</w:t>
      </w:r>
      <w:r>
        <w:rPr>
          <w:rFonts w:ascii="Times New Roman" w:hAnsi="Times New Roman" w:cs="Times New Roman" w:hint="eastAsia"/>
          <w:lang w:val="en-US" w:eastAsia="zh-CN"/>
        </w:rPr>
        <w:t>升级风险落区交互绘制功能，实现林火气象风险点、线、面产品的在线交互绘制及等级标绘，</w:t>
      </w:r>
      <w:r>
        <w:rPr>
          <w:rFonts w:ascii="Times New Roman" w:hAnsi="Times New Roman" w:cs="Times New Roman" w:hint="eastAsia"/>
        </w:rPr>
        <w:t>实现平滑绘制和精确落区显示</w:t>
      </w:r>
      <w:r>
        <w:rPr>
          <w:rFonts w:ascii="Times New Roman" w:hAnsi="Times New Roman" w:cs="Times New Roman" w:hint="eastAsia"/>
          <w:lang w:val="en-US" w:eastAsia="zh-CN"/>
        </w:rPr>
        <w:t>，并支持数据的上传、</w:t>
      </w:r>
      <w:r>
        <w:rPr>
          <w:rFonts w:ascii="Times New Roman" w:hAnsi="Times New Roman" w:cs="Times New Roman" w:hint="eastAsia"/>
        </w:rPr>
        <w:t>编辑、删除</w:t>
      </w:r>
      <w:r>
        <w:rPr>
          <w:rFonts w:ascii="Times New Roman" w:hAnsi="Times New Roman" w:cs="Times New Roman" w:hint="eastAsia"/>
          <w:lang w:eastAsia="zh-CN"/>
        </w:rPr>
        <w:t>，</w:t>
      </w:r>
      <w:r>
        <w:rPr>
          <w:rFonts w:ascii="Times New Roman" w:hAnsi="Times New Roman" w:cs="Times New Roman" w:hint="eastAsia"/>
        </w:rPr>
        <w:t>实现林火监测、研判、风险预报防控全流程业务支撑。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林火风险预报影响分析子系统由森林草原火险风险影响分析模块、雷击火风险影响分析模块、林火蔓延风险影响分析模块3个模块组成。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森林草原火险风险影响分析模块：森林草原火险风险影响分析模块主要实现森林草原火险灾害风险预报结果的主观订正。实现受森林草原火险影响不同风险等级的区域等信息统计分析，并形成图表。实现森林草原火险风险预报前端数据产品的调用、等值线绘制以及分线预报产品的在线交互制做及影响区域的绘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雷击火风险影响分析模块：雷击火气象风险影响分析模块实现雷击火风险等级和雷击火风险等级的统计分析，实现不同风险等级的影响分析，并形成图表。实现雷击火风险预报前端数据产品的调用、等值线绘制以及分线预报产品的在线交互制做及影响区域的绘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林火蔓延风险影响分析模块：林火蔓延风险影响分析模块主要实现林火蔓延气象灾害风险预报产品结果的主观订正；实现不同预警等级在不同省、不同区域和全国的影响面积的条件统计，并形成图表。实现林火蔓延风险预报前端数据产品的调用、等值线绘制以及分线预报产品的在线交互制做及影响区域的绘制。</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rPr>
      </w:pPr>
      <w:bookmarkStart w:id="176" w:name="_Toc17565"/>
      <w:r>
        <w:rPr>
          <w:rFonts w:hAnsi="Times New Roman"/>
        </w:rPr>
        <w:t>林火行业风险预报产品制作子系统</w:t>
      </w:r>
      <w:bookmarkEnd w:id="176"/>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林火行业风险预报产品制作子系统扩展研发图形、图表、文字等格式风险预报产品加工功能，支持气象服务数据和气象服务产品的数据接口和天气图层可视化展示</w:t>
      </w:r>
      <w:r>
        <w:rPr>
          <w:rFonts w:ascii="Times New Roman" w:hAnsi="Times New Roman" w:cs="Times New Roman" w:hint="eastAsia"/>
          <w:lang w:eastAsia="zh-CN"/>
        </w:rPr>
        <w:t>。</w:t>
      </w:r>
      <w:r>
        <w:rPr>
          <w:rFonts w:ascii="Times New Roman" w:hAnsi="Times New Roman" w:cs="Times New Roman" w:hint="eastAsia"/>
          <w:lang w:val="en-US" w:eastAsia="zh-CN"/>
        </w:rPr>
        <w:t>升级图形产品交互加工功能，实现国省市县、流域以及多省市县行政区划组合的交互加工，</w:t>
      </w:r>
      <w:r>
        <w:rPr>
          <w:rFonts w:ascii="Times New Roman" w:hAnsi="Times New Roman" w:cs="Times New Roman" w:hint="eastAsia"/>
        </w:rPr>
        <w:t>提供所见即所得、灵活可配的在线制图编辑功能，</w:t>
      </w:r>
      <w:r>
        <w:rPr>
          <w:rFonts w:ascii="Times New Roman" w:hAnsi="Times New Roman" w:cs="Times New Roman" w:hint="eastAsia"/>
          <w:lang w:val="en-US" w:eastAsia="zh-CN"/>
        </w:rPr>
        <w:t>实现地图、文本、图例、比例尺位置样式准确显示，前端显示及高清制图效果一致，</w:t>
      </w:r>
      <w:r>
        <w:rPr>
          <w:rFonts w:ascii="Times New Roman" w:hAnsi="Times New Roman" w:cs="Times New Roman" w:hint="eastAsia"/>
        </w:rPr>
        <w:t>满足不同林火风险服务应用场景服务产品的分众化表现形式，扩展支撑基于消息和文件触发等方式的产品自动化加工制作。</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研发森林草原火险灾害风险产品、雷击火气象风险产品、林火蔓延风险产品加工模板，实现定制化的行业风险预报产品的智能化加工。林火行业风险预报产品制作子系统由森林草原火险产品加工模块、雷击火气象风险产品加工模块、林火蔓延风险产品加工模块3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森林草原火险产品加工模块：针对面向森林草原火险的图形产品特点，研发森林草原火险灾害风险产品加工模板，支持森林草原火险灾害风险气象服务数据和数据接口以及图层接口可视化展示，实现森林草原火险灾害风险产品的自动加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雷击火气象风险产品加工模块：针对不同应用场景下雷击火气象风险产品的分众化表现需求，研发雷击火气象风险产品模板，支持雷击火气象风险产品数据和数据接口以及图层接口可视化展示，实现雷击火气象风险产品加工的自动加工。</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林火蔓延风险产品加工模块：针对不同应用场景下林火蔓延风险产品的分区域、样式表现，研发林火蔓延风险产品加工模板，支持林火蔓延风险产品服务数据和数据接口以及图层接口可视化展示，实现林火蔓延风险产品的自动加工。</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rPr>
      </w:pPr>
      <w:bookmarkStart w:id="177" w:name="_Toc32048"/>
      <w:r>
        <w:rPr>
          <w:rFonts w:hAnsi="Times New Roman"/>
        </w:rPr>
        <w:t>林火风险预报模型集成应用子系统</w:t>
      </w:r>
      <w:bookmarkEnd w:id="17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林火风险预报模型集成应用子系统实现森林草原火险、雷击火、林火蔓延领域风险预报服务产品个性化构建和任务快速响应，提升森林草原火险、雷击火、林火蔓延风险预报服务能力。林火风险预报模型集成应用子系统由风险预报模型集成、风险预报指标集成模块、风险预报模型分类应用模块、风险预报指标分类应用模块4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 xml:space="preserve">（1）风险预报模型集成：基于气象服务综合分析平台标准化的行业风险预报算法框架，对森林草原火险灾害风险预报模型、雷击火灾害风险预报模型、林火蔓延灾害风险预报模型进行集成，实现森林草原火险、雷击火、林火蔓延领域风险预报服务产品个性化构建和任务快速响应，提升森林草原火险、雷击火、林火蔓延风险预报服务能力。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风险预报指标集成模块：基于气象服务综合分析平台指标集成框架，对森林草原火险阈值指标、雷击火阈值指标、林火蔓延阈值指标进行集成，建立分领域、分对象、分场景的气象服务模型算法清单，实现算法模型及阈值指标的分类管理、元数据管理和访问调用功能，以达到算法及阈值指标的整体集成展示与调用。实现林火行业气象灾害风险阈值指标的分类管理，为差异分析提供有效支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（2）风险预报模型分类应用模块：实现对森林草原火险、雷击火、林火蔓延风险预报模型的分省、分区域的参数灵活配置和实时调整，实时生成分省、分区域的风险预报产品。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（3）风险预报指标分类应用模块：实现森林草原火险、雷击火、林火蔓延气象灾害风险阈值指标的分类管理、元数据管理和访问调用功能，以达到阈值指标的整体集成展示与调用。</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rPr>
      </w:pPr>
      <w:bookmarkStart w:id="178" w:name="_Toc12707"/>
      <w:r>
        <w:rPr>
          <w:rFonts w:hAnsi="Times New Roman"/>
        </w:rPr>
        <w:t>林火风险预报产品审核分发子系统</w:t>
      </w:r>
      <w:bookmarkEnd w:id="178"/>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bookmarkStart w:id="179" w:name="_Hlk199429821"/>
      <w:r>
        <w:rPr>
          <w:rFonts w:ascii="Times New Roman" w:hAnsi="Times New Roman" w:cs="Times New Roman" w:hint="eastAsia"/>
        </w:rPr>
        <w:t>林火风险预报产品审核分发</w:t>
      </w:r>
      <w:bookmarkEnd w:id="179"/>
      <w:r>
        <w:rPr>
          <w:rFonts w:ascii="Times New Roman" w:hAnsi="Times New Roman" w:cs="Times New Roman" w:hint="eastAsia"/>
        </w:rPr>
        <w:t>子系统针对用户对林火行业气象灾害风险预报产品的个性化需求，构建智能产品分发策略库，实现服务数据、服务产品等分终端、分用户、分策略的数据产品自动或手动分发。林火风险预报产品审核分发子系统由行业风险预报产品管理模块、行业风险预报产品审核模块、林火风险预报产品分发模块、行业风险预报产品状态监控模块4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（1）行业风险预报产品管理模块：当前系统通过智能产品分发策略库定义产品的分发方式配置（ftp、邮箱的设置），系统将自动通过创建好的审批策略、用户组、分发的策略实现产品的自动分发或手动分发。</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（2）行业风险预报产品审核模块：根据森林草原火险、雷击火、林火蔓延产品审批策略配置及值班排班状态，对不同文档产品进行审批。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林火风险预报产品分发模块：实现森林草原火险、雷击火、林火蔓延等相关模型的数据、图形、图表及文档等产品按照自动服务策略或手动出发策略进行分发。并支持对数据及产品的分发策略进行灵活配置和实时调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hint="eastAsia"/>
        </w:rPr>
        <w:t>（4）行业风险预报产品状态监控模块：对森林草原火险、雷击火、林火蔓延产品的审核、分发、后台任务等动作状态进行监控。审核状态包括：待提交，审核通过，审核不通过等。分发状态包括分发成功、失败。任务执行结果包括执行成功、失败，执行次数等。</w:t>
      </w:r>
    </w:p>
    <w:p>
      <w:pPr>
        <w:pStyle w:val="Heading3"/>
        <w:keepNext/>
        <w:keepLines/>
        <w:widowControl w:val="0"/>
        <w:numPr>
          <w:ilvl w:val="2"/>
          <w:numId w:val="4"/>
        </w:numPr>
        <w:autoSpaceDE w:val="0"/>
        <w:autoSpaceDN w:val="0"/>
        <w:adjustRightInd w:val="0"/>
        <w:spacing w:before="200" w:after="120"/>
        <w:ind w:left="0" w:firstLine="0"/>
        <w:jc w:val="left"/>
        <w:rPr>
          <w:rFonts w:hAnsi="Times New Roman"/>
        </w:rPr>
      </w:pPr>
      <w:bookmarkStart w:id="180" w:name="_Toc14067"/>
      <w:r>
        <w:rPr>
          <w:rFonts w:hAnsi="Times New Roman"/>
        </w:rPr>
        <w:t>林火风险预报图层插件子系统</w:t>
      </w:r>
      <w:bookmarkEnd w:id="180"/>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林火风险预报图层插件子系统升级统一的气象服务数据模型，通过标准化的方式整合多源、异构的气象数据，形成统一气象数据模型基础插件，为各类应用提供高效、一致的数据服务支撑。采用地图发布引擎，实现森林草原火险灾害风险产品的图层化发布，供产品加工和业务交互分析快速调用。林火风险预报图层插件子系统由森林草原火险灾害风险预报图层应用模块、雷击火气象风险预报图层应用模块、林火蔓延风险预报图层应用模块3个模块组成。</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lang w:eastAsia="zh-CN"/>
        </w:rPr>
        <w:t>（</w:t>
      </w:r>
      <w:r>
        <w:rPr>
          <w:rFonts w:ascii="Times New Roman" w:hAnsi="Times New Roman" w:cs="Times New Roman" w:hint="eastAsia"/>
          <w:lang w:val="en-US" w:eastAsia="zh-CN"/>
        </w:rPr>
        <w:t>1</w:t>
      </w:r>
      <w:r>
        <w:rPr>
          <w:rFonts w:ascii="Times New Roman" w:hAnsi="Times New Roman" w:cs="Times New Roman" w:hint="eastAsia"/>
          <w:lang w:eastAsia="zh-CN"/>
        </w:rPr>
        <w:t>）</w:t>
      </w:r>
      <w:r>
        <w:rPr>
          <w:rFonts w:ascii="Times New Roman" w:hAnsi="Times New Roman" w:cs="Times New Roman" w:hint="eastAsia"/>
        </w:rPr>
        <w:t>森林草原火险灾害风险预报图层应用模块：基于统一的气象服务数据模型，采用地图发布引擎，实现森林草原火险灾害风险产品的图层化发布，供产品加工和业务交互分析快速调用。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lang w:eastAsia="zh-CN"/>
        </w:rPr>
        <w:t>（</w:t>
      </w:r>
      <w:r>
        <w:rPr>
          <w:rFonts w:ascii="Times New Roman" w:hAnsi="Times New Roman" w:cs="Times New Roman" w:hint="eastAsia"/>
          <w:lang w:val="en-US" w:eastAsia="zh-CN"/>
        </w:rPr>
        <w:t>2</w:t>
      </w:r>
      <w:r>
        <w:rPr>
          <w:rFonts w:ascii="Times New Roman" w:hAnsi="Times New Roman" w:cs="Times New Roman" w:hint="eastAsia"/>
          <w:lang w:eastAsia="zh-CN"/>
        </w:rPr>
        <w:t>）</w:t>
      </w:r>
      <w:r>
        <w:rPr>
          <w:rFonts w:ascii="Times New Roman" w:hAnsi="Times New Roman" w:cs="Times New Roman" w:hint="eastAsia"/>
        </w:rPr>
        <w:t>雷击火气象风险预报图层应用模块：基于统一的气象服务数据模型，采用地图发布引擎，实现雷击火气象风险产品发布的图层化发布，供产品加工和业务交互分析快速调用。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lang w:eastAsia="zh-CN"/>
        </w:rPr>
        <w:t>（</w:t>
      </w:r>
      <w:r>
        <w:rPr>
          <w:rFonts w:ascii="Times New Roman" w:hAnsi="Times New Roman" w:cs="Times New Roman" w:hint="eastAsia"/>
          <w:lang w:val="en-US" w:eastAsia="zh-CN"/>
        </w:rPr>
        <w:t>3</w:t>
      </w:r>
      <w:r>
        <w:rPr>
          <w:rFonts w:ascii="Times New Roman" w:hAnsi="Times New Roman" w:cs="Times New Roman" w:hint="eastAsia"/>
          <w:lang w:eastAsia="zh-CN"/>
        </w:rPr>
        <w:t>）</w:t>
      </w:r>
      <w:r>
        <w:rPr>
          <w:rFonts w:ascii="Times New Roman" w:hAnsi="Times New Roman" w:cs="Times New Roman" w:hint="eastAsia"/>
        </w:rPr>
        <w:t>林火蔓延风险预报图层应用模块：基于统一的气象服务数据模型，采用地图发布引擎，实现林火蔓延风险产品的图层发布，供产品加工和业务交互分析快速调用。</w:t>
      </w:r>
    </w:p>
    <w:bookmarkEnd w:id="67"/>
    <w:bookmarkEnd w:id="72"/>
    <w:p>
      <w:pPr>
        <w:pStyle w:val="Heading1"/>
        <w:keepNext/>
        <w:keepLines/>
        <w:widowControl w:val="0"/>
        <w:numPr>
          <w:ilvl w:val="0"/>
          <w:numId w:val="4"/>
        </w:numPr>
        <w:tabs>
          <w:tab w:val="left" w:pos="432"/>
        </w:tabs>
        <w:adjustRightInd w:val="0"/>
        <w:spacing w:before="340" w:after="120"/>
        <w:ind w:left="0" w:firstLine="0"/>
        <w:jc w:val="left"/>
        <w:rPr>
          <w:rFonts w:eastAsia="黑体"/>
        </w:rPr>
      </w:pPr>
      <w:bookmarkStart w:id="181" w:name="_Toc32001"/>
      <w:bookmarkStart w:id="182" w:name="_Toc8838"/>
      <w:bookmarkStart w:id="183" w:name="_Toc265243757"/>
      <w:bookmarkStart w:id="184" w:name="_Toc264103372"/>
      <w:bookmarkStart w:id="185" w:name="_Toc390866191"/>
      <w:bookmarkStart w:id="186" w:name="_Toc266650574"/>
      <w:r>
        <w:rPr>
          <w:rFonts w:eastAsia="黑体" w:hint="eastAsia"/>
          <w:lang w:val="en-US" w:eastAsia="zh-CN"/>
        </w:rPr>
        <w:t>质量要求</w:t>
      </w:r>
      <w:bookmarkEnd w:id="181"/>
    </w:p>
    <w:p>
      <w:pPr>
        <w:pStyle w:val="Heading2"/>
        <w:keepNext/>
        <w:keepLines/>
        <w:widowControl w:val="0"/>
        <w:numPr>
          <w:ilvl w:val="1"/>
          <w:numId w:val="4"/>
        </w:numPr>
        <w:bidi w:val="0"/>
        <w:spacing w:before="260" w:after="260" w:line="415" w:lineRule="auto"/>
        <w:ind w:left="576" w:hanging="576"/>
        <w:jc w:val="both"/>
        <w:rPr>
          <w:rFonts w:hint="eastAsia"/>
        </w:rPr>
      </w:pPr>
      <w:bookmarkStart w:id="187" w:name="_Toc11553"/>
      <w:r>
        <w:rPr>
          <w:rFonts w:hint="eastAsia"/>
        </w:rPr>
        <w:t>质量管理与控制</w:t>
      </w:r>
      <w:bookmarkEnd w:id="18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需要供应商从以下方面（包含但不仅限于）：建立严格的质量保证体系；制定项目开发建设质量控制方案和实施措施；督促落实各环节质量控制内容和目标；保证总体规划设计、开发与实施、测试与上线、系统运行与验收要求、里程碑工作成果等方面，进行详细阐述说明。</w:t>
      </w:r>
    </w:p>
    <w:p>
      <w:pPr>
        <w:pStyle w:val="Heading2"/>
        <w:keepNext/>
        <w:keepLines/>
        <w:widowControl w:val="0"/>
        <w:numPr>
          <w:ilvl w:val="1"/>
          <w:numId w:val="4"/>
        </w:numPr>
        <w:bidi w:val="0"/>
        <w:spacing w:before="260" w:after="260" w:line="415" w:lineRule="auto"/>
        <w:ind w:left="576" w:hanging="576"/>
        <w:jc w:val="both"/>
      </w:pPr>
      <w:bookmarkStart w:id="188" w:name="_Toc11075"/>
      <w:r>
        <w:rPr>
          <w:rFonts w:hint="eastAsia"/>
        </w:rPr>
        <w:t>进度管理与控制</w:t>
      </w:r>
      <w:bookmarkEnd w:id="188"/>
    </w:p>
    <w:p>
      <w:pPr>
        <w:spacing w:line="360" w:lineRule="auto"/>
        <w:ind w:firstLine="420"/>
        <w:rPr>
          <w:rFonts w:ascii="宋体" w:hAnsi="宋体"/>
          <w:szCs w:val="21"/>
        </w:rPr>
      </w:pPr>
      <w:r>
        <w:rPr>
          <w:rFonts w:ascii="宋体" w:hAnsi="宋体" w:hint="eastAsia"/>
          <w:szCs w:val="21"/>
        </w:rPr>
        <w:t>需要供应商从以下方面（包含但不仅限于）： 制定总体实施计划表和各阶段的详细实施计划表及人员分配等方面，进行详细阐述说明。</w:t>
      </w:r>
    </w:p>
    <w:p>
      <w:pPr>
        <w:numPr>
          <w:ilvl w:val="0"/>
          <w:numId w:val="7"/>
        </w:numPr>
        <w:spacing w:line="360" w:lineRule="auto"/>
        <w:rPr>
          <w:rFonts w:ascii="宋体" w:hAnsi="宋体"/>
          <w:szCs w:val="21"/>
        </w:rPr>
      </w:pPr>
      <w:r>
        <w:rPr>
          <w:rFonts w:ascii="宋体" w:hAnsi="宋体" w:hint="eastAsia"/>
          <w:szCs w:val="21"/>
        </w:rPr>
        <w:t>供应商须严格按照项目进度要求开展项目工作；</w:t>
      </w:r>
    </w:p>
    <w:p>
      <w:pPr>
        <w:numPr>
          <w:ilvl w:val="0"/>
          <w:numId w:val="7"/>
        </w:numPr>
        <w:spacing w:line="360" w:lineRule="auto"/>
        <w:rPr>
          <w:rFonts w:ascii="宋体" w:hAnsi="宋体"/>
          <w:szCs w:val="21"/>
        </w:rPr>
      </w:pPr>
      <w:r>
        <w:rPr>
          <w:rFonts w:ascii="宋体" w:hAnsi="宋体" w:hint="eastAsia"/>
          <w:szCs w:val="21"/>
        </w:rPr>
        <w:t>供应商须严格按照项目阶段设计项目里程碑和里程碑产出物；</w:t>
      </w:r>
    </w:p>
    <w:p>
      <w:pPr>
        <w:numPr>
          <w:ilvl w:val="0"/>
          <w:numId w:val="7"/>
        </w:numPr>
        <w:spacing w:before="120" w:after="120" w:line="360" w:lineRule="auto"/>
        <w:rPr>
          <w:rFonts w:ascii="宋体" w:hAnsi="宋体"/>
          <w:szCs w:val="21"/>
        </w:rPr>
      </w:pPr>
      <w:r>
        <w:rPr>
          <w:rFonts w:ascii="宋体" w:hAnsi="宋体" w:hint="eastAsia"/>
          <w:szCs w:val="21"/>
        </w:rPr>
        <w:t>供应商须严格按照项目里程碑开展工作，招标方将根据项目进度要求和里程碑产出物审核供应商工作。</w:t>
      </w:r>
    </w:p>
    <w:p>
      <w:pPr>
        <w:pStyle w:val="Heading2"/>
        <w:keepNext/>
        <w:keepLines/>
        <w:widowControl w:val="0"/>
        <w:numPr>
          <w:ilvl w:val="1"/>
          <w:numId w:val="4"/>
        </w:numPr>
        <w:bidi w:val="0"/>
        <w:spacing w:before="260" w:after="260" w:line="415" w:lineRule="auto"/>
        <w:ind w:left="576" w:hanging="576"/>
        <w:jc w:val="both"/>
      </w:pPr>
      <w:bookmarkStart w:id="189" w:name="_Toc12104"/>
      <w:r>
        <w:rPr>
          <w:rFonts w:hint="eastAsia"/>
        </w:rPr>
        <w:t>风险管理与控制</w:t>
      </w:r>
      <w:bookmarkEnd w:id="189"/>
    </w:p>
    <w:p>
      <w:pPr>
        <w:spacing w:line="360" w:lineRule="auto"/>
        <w:ind w:firstLine="420"/>
        <w:rPr>
          <w:rFonts w:ascii="Times New Roman" w:hAnsi="Times New Roman"/>
          <w:szCs w:val="20"/>
        </w:rPr>
      </w:pPr>
      <w:r>
        <w:rPr>
          <w:rFonts w:ascii="宋体" w:hAnsi="宋体" w:hint="eastAsia"/>
          <w:szCs w:val="21"/>
        </w:rPr>
        <w:t>需要供应商从建立完善的风险识别管理机制、风险分析、风险预防与控制方法、风险应对及确保项目成功等方面，进行详细阐述说明。</w:t>
      </w:r>
    </w:p>
    <w:p>
      <w:pPr>
        <w:pStyle w:val="Heading2"/>
        <w:keepNext/>
        <w:keepLines/>
        <w:widowControl w:val="0"/>
        <w:numPr>
          <w:ilvl w:val="1"/>
          <w:numId w:val="4"/>
        </w:numPr>
        <w:bidi w:val="0"/>
        <w:spacing w:before="260" w:after="260" w:line="415" w:lineRule="auto"/>
        <w:ind w:left="576" w:hanging="576"/>
        <w:jc w:val="both"/>
      </w:pPr>
      <w:bookmarkStart w:id="190" w:name="_Toc27178"/>
      <w:r>
        <w:rPr>
          <w:rFonts w:hint="eastAsia"/>
        </w:rPr>
        <w:t>文档管理与控制</w:t>
      </w:r>
      <w:bookmarkEnd w:id="190"/>
    </w:p>
    <w:p>
      <w:pPr>
        <w:spacing w:line="360" w:lineRule="auto"/>
        <w:ind w:firstLine="420"/>
        <w:rPr>
          <w:rFonts w:ascii="宋体" w:hAnsi="宋体"/>
          <w:szCs w:val="21"/>
        </w:rPr>
      </w:pPr>
      <w:r>
        <w:rPr>
          <w:rFonts w:ascii="宋体" w:hAnsi="宋体" w:hint="eastAsia"/>
          <w:szCs w:val="21"/>
        </w:rPr>
        <w:t>需要供应商从以下方面（包含但不仅限于）：建立完善的文档管理体系（包括文档管理服务器的类型、文件命名规范、目录规范、文件传递规则等），在规定时间内向招标人提交项目建设需求调研、设计、开发、测试、各个阶段的计划、方案、报告、质量标准、项目进展状态文档等方面，进行详细阐述说明。</w:t>
      </w:r>
    </w:p>
    <w:p>
      <w:pPr>
        <w:pStyle w:val="Heading2"/>
        <w:keepNext/>
        <w:keepLines/>
        <w:widowControl w:val="0"/>
        <w:numPr>
          <w:ilvl w:val="1"/>
          <w:numId w:val="4"/>
        </w:numPr>
        <w:bidi w:val="0"/>
        <w:spacing w:before="260" w:after="260" w:line="415" w:lineRule="auto"/>
        <w:ind w:left="576" w:hanging="576"/>
        <w:jc w:val="both"/>
      </w:pPr>
      <w:bookmarkStart w:id="191" w:name="_Toc24100"/>
      <w:r>
        <w:rPr>
          <w:rFonts w:hint="eastAsia"/>
        </w:rPr>
        <w:t>变更管理与控制</w:t>
      </w:r>
      <w:bookmarkEnd w:id="191"/>
    </w:p>
    <w:p>
      <w:pPr>
        <w:spacing w:line="360" w:lineRule="auto"/>
        <w:ind w:firstLine="420"/>
      </w:pPr>
      <w:r>
        <w:rPr>
          <w:rFonts w:ascii="宋体" w:hAnsi="宋体" w:hint="eastAsia"/>
          <w:szCs w:val="21"/>
        </w:rPr>
        <w:t>需要供应商详细阐述变更的管理与控制方案。</w:t>
      </w:r>
    </w:p>
    <w:p>
      <w:pPr>
        <w:pStyle w:val="Heading1"/>
        <w:keepNext/>
        <w:keepLines/>
        <w:widowControl w:val="0"/>
        <w:numPr>
          <w:ilvl w:val="0"/>
          <w:numId w:val="4"/>
        </w:numPr>
        <w:tabs>
          <w:tab w:val="left" w:pos="432"/>
        </w:tabs>
        <w:adjustRightInd w:val="0"/>
        <w:spacing w:before="340" w:after="120"/>
        <w:ind w:left="0" w:firstLine="0"/>
        <w:jc w:val="left"/>
        <w:rPr>
          <w:rFonts w:eastAsia="黑体"/>
        </w:rPr>
      </w:pPr>
      <w:bookmarkStart w:id="192" w:name="_Toc26627"/>
      <w:r>
        <w:rPr>
          <w:rFonts w:eastAsia="黑体" w:hint="eastAsia"/>
          <w:lang w:val="en-US" w:eastAsia="zh-CN"/>
        </w:rPr>
        <w:t>管理要求</w:t>
      </w:r>
      <w:bookmarkEnd w:id="192"/>
    </w:p>
    <w:p>
      <w:pPr>
        <w:pStyle w:val="Heading2"/>
        <w:keepNext/>
        <w:keepLines/>
        <w:widowControl w:val="0"/>
        <w:numPr>
          <w:ilvl w:val="1"/>
          <w:numId w:val="4"/>
        </w:numPr>
        <w:bidi w:val="0"/>
        <w:spacing w:before="260" w:after="260" w:line="415" w:lineRule="auto"/>
        <w:ind w:left="576" w:hanging="576"/>
        <w:jc w:val="both"/>
      </w:pPr>
      <w:bookmarkStart w:id="193" w:name="_Toc24048"/>
      <w:r>
        <w:t>进度要求</w:t>
      </w:r>
      <w:bookmarkEnd w:id="182"/>
      <w:bookmarkEnd w:id="193"/>
    </w:p>
    <w:p>
      <w:pPr>
        <w:ind w:firstLine="420" w:firstLineChars="200"/>
        <w:rPr>
          <w:rFonts w:ascii="Times New Roman" w:hAnsi="Times New Roman" w:cs="Times New Roman"/>
        </w:rPr>
      </w:pPr>
      <w:r>
        <w:rPr>
          <w:rFonts w:ascii="Times New Roman" w:hAnsi="Times New Roman" w:cs="Times New Roman"/>
        </w:rPr>
        <w:t>项目的研制要求按软件工程的方法和过程实施，其研制过程主要包括需求分析、系统设计、编码开发、系统测试、试运行、项目验收六个阶段，研制周期为</w:t>
      </w:r>
      <w:r>
        <w:rPr>
          <w:rFonts w:ascii="Times New Roman" w:hAnsi="Times New Roman" w:cs="Times New Roman" w:hint="eastAsia"/>
          <w:lang w:val="en-US" w:eastAsia="zh-CN"/>
        </w:rPr>
        <w:t>12</w:t>
      </w:r>
      <w:r>
        <w:rPr>
          <w:rFonts w:ascii="Times New Roman" w:hAnsi="Times New Roman" w:cs="Times New Roman"/>
        </w:rPr>
        <w:t>个月，下表给出了任务各阶段的进度要求：</w:t>
      </w:r>
    </w:p>
    <w:p>
      <w:pPr>
        <w:pStyle w:val="Caption"/>
        <w:ind w:left="480"/>
        <w:rPr>
          <w:rFonts w:eastAsia="黑体" w:cs="Times New Roman"/>
          <w:szCs w:val="21"/>
        </w:rPr>
      </w:pPr>
      <w:r>
        <w:rPr>
          <w:rFonts w:eastAsia="黑体" w:cs="Times New Roman"/>
          <w:sz w:val="21"/>
          <w:szCs w:val="21"/>
        </w:rPr>
        <w:t>表6-1建设项目开发进度表</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46"/>
        <w:gridCol w:w="1276"/>
        <w:gridCol w:w="5103"/>
      </w:tblGrid>
      <w:tr>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2146" w:type="dxa"/>
            <w:vAlign w:val="center"/>
          </w:tcPr>
          <w:p>
            <w:pPr>
              <w:snapToGrid w:val="0"/>
              <w:spacing w:line="240" w:lineRule="auto"/>
              <w:jc w:val="center"/>
              <w:rPr>
                <w:rFonts w:ascii="Times New Roman" w:eastAsia="黑体" w:hAnsi="Times New Roman" w:cs="Times New Roman"/>
                <w:szCs w:val="21"/>
              </w:rPr>
            </w:pPr>
            <w:r>
              <w:rPr>
                <w:rFonts w:ascii="Times New Roman" w:eastAsia="黑体" w:hAnsi="Times New Roman" w:cs="Times New Roman"/>
                <w:sz w:val="21"/>
                <w:szCs w:val="21"/>
              </w:rPr>
              <w:t>软件研发过程</w:t>
            </w:r>
          </w:p>
        </w:tc>
        <w:tc>
          <w:tcPr>
            <w:tcW w:w="1276" w:type="dxa"/>
            <w:vAlign w:val="center"/>
          </w:tcPr>
          <w:p>
            <w:pPr>
              <w:snapToGrid w:val="0"/>
              <w:spacing w:line="240" w:lineRule="auto"/>
              <w:jc w:val="center"/>
              <w:rPr>
                <w:rFonts w:ascii="Times New Roman" w:eastAsia="黑体" w:hAnsi="Times New Roman" w:cs="Times New Roman"/>
                <w:szCs w:val="21"/>
              </w:rPr>
            </w:pPr>
            <w:r>
              <w:rPr>
                <w:rFonts w:ascii="Times New Roman" w:eastAsia="黑体" w:hAnsi="Times New Roman" w:cs="Times New Roman"/>
                <w:sz w:val="21"/>
                <w:szCs w:val="21"/>
              </w:rPr>
              <w:t>进度要求</w:t>
            </w:r>
          </w:p>
          <w:p>
            <w:pPr>
              <w:snapToGrid w:val="0"/>
              <w:spacing w:line="240" w:lineRule="auto"/>
              <w:jc w:val="center"/>
              <w:rPr>
                <w:rFonts w:ascii="Times New Roman" w:eastAsia="黑体" w:hAnsi="Times New Roman" w:cs="Times New Roman"/>
                <w:szCs w:val="21"/>
              </w:rPr>
            </w:pPr>
            <w:r>
              <w:rPr>
                <w:rFonts w:ascii="Times New Roman" w:eastAsia="黑体" w:hAnsi="Times New Roman" w:cs="Times New Roman"/>
                <w:sz w:val="21"/>
                <w:szCs w:val="21"/>
              </w:rPr>
              <w:t>（月数）</w:t>
            </w:r>
          </w:p>
        </w:tc>
        <w:tc>
          <w:tcPr>
            <w:tcW w:w="5103" w:type="dxa"/>
            <w:vAlign w:val="center"/>
          </w:tcPr>
          <w:p>
            <w:pPr>
              <w:snapToGrid w:val="0"/>
              <w:spacing w:line="240" w:lineRule="auto"/>
              <w:ind w:left="480"/>
              <w:jc w:val="center"/>
              <w:rPr>
                <w:rFonts w:ascii="Times New Roman" w:eastAsia="黑体" w:hAnsi="Times New Roman" w:cs="Times New Roman"/>
                <w:szCs w:val="21"/>
              </w:rPr>
            </w:pPr>
            <w:r>
              <w:rPr>
                <w:rFonts w:ascii="Times New Roman" w:eastAsia="黑体" w:hAnsi="Times New Roman" w:cs="Times New Roman"/>
                <w:sz w:val="21"/>
                <w:szCs w:val="21"/>
              </w:rPr>
              <w:t>基本要求</w:t>
            </w:r>
          </w:p>
        </w:tc>
      </w:tr>
      <w:tr>
        <w:tblPrEx>
          <w:tblW w:w="8525" w:type="dxa"/>
          <w:jc w:val="center"/>
          <w:tblLayout w:type="fixed"/>
          <w:tblCellMar>
            <w:top w:w="0" w:type="dxa"/>
            <w:left w:w="108" w:type="dxa"/>
            <w:bottom w:w="0" w:type="dxa"/>
            <w:right w:w="108" w:type="dxa"/>
          </w:tblCellMar>
        </w:tblPrEx>
        <w:trPr>
          <w:jc w:val="center"/>
        </w:trPr>
        <w:tc>
          <w:tcPr>
            <w:tcW w:w="2146" w:type="dxa"/>
            <w:vAlign w:val="center"/>
          </w:tcPr>
          <w:p>
            <w:pPr>
              <w:snapToGrid w:val="0"/>
              <w:spacing w:before="156" w:beforeLines="50"/>
              <w:ind w:left="480"/>
              <w:rPr>
                <w:rFonts w:ascii="Times New Roman" w:hAnsi="Times New Roman" w:cs="Times New Roman"/>
                <w:szCs w:val="21"/>
              </w:rPr>
            </w:pPr>
            <w:r>
              <w:rPr>
                <w:rFonts w:ascii="Times New Roman" w:hAnsi="Times New Roman" w:cs="Times New Roman"/>
                <w:sz w:val="21"/>
                <w:szCs w:val="21"/>
              </w:rPr>
              <w:t>需求分析</w:t>
            </w:r>
          </w:p>
        </w:tc>
        <w:tc>
          <w:tcPr>
            <w:tcW w:w="1276" w:type="dxa"/>
            <w:vAlign w:val="center"/>
          </w:tcPr>
          <w:p>
            <w:pPr>
              <w:snapToGrid w:val="0"/>
              <w:spacing w:before="156" w:beforeLines="50"/>
              <w:ind w:left="480"/>
              <w:rPr>
                <w:rFonts w:ascii="Times New Roman" w:hAnsi="Times New Roman" w:cs="Times New Roman"/>
                <w:szCs w:val="21"/>
              </w:rPr>
            </w:pPr>
            <w:r>
              <w:rPr>
                <w:rFonts w:ascii="Times New Roman" w:hAnsi="Times New Roman" w:cs="Times New Roman"/>
                <w:sz w:val="21"/>
                <w:szCs w:val="21"/>
              </w:rPr>
              <w:t>1</w:t>
            </w:r>
          </w:p>
        </w:tc>
        <w:tc>
          <w:tcPr>
            <w:tcW w:w="5103" w:type="dxa"/>
            <w:vAlign w:val="center"/>
          </w:tcPr>
          <w:p>
            <w:pPr>
              <w:snapToGrid w:val="0"/>
              <w:spacing w:before="156" w:beforeLines="50"/>
              <w:jc w:val="left"/>
              <w:rPr>
                <w:rFonts w:ascii="Times New Roman" w:hAnsi="Times New Roman" w:cs="Times New Roman"/>
                <w:szCs w:val="21"/>
              </w:rPr>
            </w:pPr>
            <w:r>
              <w:rPr>
                <w:rFonts w:ascii="Times New Roman" w:hAnsi="Times New Roman" w:cs="Times New Roman"/>
                <w:sz w:val="21"/>
                <w:szCs w:val="21"/>
              </w:rPr>
              <w:t>完成任务书中所有软件功能的分析，提交软件需求阶段应提交的各类文档</w:t>
            </w:r>
          </w:p>
        </w:tc>
      </w:tr>
      <w:tr>
        <w:tblPrEx>
          <w:tblW w:w="8525" w:type="dxa"/>
          <w:jc w:val="center"/>
          <w:tblLayout w:type="fixed"/>
          <w:tblCellMar>
            <w:top w:w="0" w:type="dxa"/>
            <w:left w:w="108" w:type="dxa"/>
            <w:bottom w:w="0" w:type="dxa"/>
            <w:right w:w="108" w:type="dxa"/>
          </w:tblCellMar>
        </w:tblPrEx>
        <w:trPr>
          <w:jc w:val="center"/>
        </w:trPr>
        <w:tc>
          <w:tcPr>
            <w:tcW w:w="2146" w:type="dxa"/>
            <w:vAlign w:val="center"/>
          </w:tcPr>
          <w:p>
            <w:pPr>
              <w:snapToGrid w:val="0"/>
              <w:spacing w:before="156" w:beforeLines="50"/>
              <w:ind w:left="480"/>
              <w:rPr>
                <w:rFonts w:ascii="Times New Roman" w:hAnsi="Times New Roman" w:cs="Times New Roman"/>
                <w:szCs w:val="21"/>
              </w:rPr>
            </w:pPr>
            <w:r>
              <w:rPr>
                <w:rFonts w:ascii="Times New Roman" w:hAnsi="Times New Roman" w:cs="Times New Roman"/>
                <w:sz w:val="21"/>
                <w:szCs w:val="21"/>
              </w:rPr>
              <w:t>系统设计</w:t>
            </w:r>
          </w:p>
        </w:tc>
        <w:tc>
          <w:tcPr>
            <w:tcW w:w="1276" w:type="dxa"/>
            <w:vAlign w:val="center"/>
          </w:tcPr>
          <w:p>
            <w:pPr>
              <w:snapToGrid w:val="0"/>
              <w:spacing w:before="156" w:beforeLines="50"/>
              <w:ind w:left="480"/>
              <w:rPr>
                <w:rFonts w:ascii="Times New Roman" w:eastAsia="宋体" w:hAnsi="Times New Roman" w:cs="Times New Roman" w:hint="default"/>
                <w:szCs w:val="21"/>
              </w:rPr>
            </w:pPr>
            <w:r>
              <w:rPr>
                <w:rFonts w:ascii="Times New Roman" w:hAnsi="Times New Roman" w:cs="Times New Roman" w:hint="eastAsia"/>
                <w:sz w:val="21"/>
                <w:szCs w:val="21"/>
                <w:lang w:val="en-US" w:eastAsia="zh-CN"/>
              </w:rPr>
              <w:t>2</w:t>
            </w:r>
          </w:p>
        </w:tc>
        <w:tc>
          <w:tcPr>
            <w:tcW w:w="5103" w:type="dxa"/>
            <w:vAlign w:val="center"/>
          </w:tcPr>
          <w:p>
            <w:pPr>
              <w:snapToGrid w:val="0"/>
              <w:spacing w:before="156" w:beforeLines="50"/>
              <w:jc w:val="left"/>
              <w:rPr>
                <w:rFonts w:ascii="Times New Roman" w:hAnsi="Times New Roman" w:cs="Times New Roman"/>
                <w:szCs w:val="21"/>
              </w:rPr>
            </w:pPr>
            <w:r>
              <w:rPr>
                <w:rFonts w:ascii="Times New Roman" w:hAnsi="Times New Roman" w:cs="Times New Roman"/>
                <w:sz w:val="21"/>
                <w:szCs w:val="21"/>
              </w:rPr>
              <w:t>完成任务书中所有软件功能的设计，提交概要设计阶段应提交的各类文档，提供客户端原型设计</w:t>
            </w:r>
          </w:p>
        </w:tc>
      </w:tr>
      <w:tr>
        <w:tblPrEx>
          <w:tblW w:w="8525" w:type="dxa"/>
          <w:jc w:val="center"/>
          <w:tblLayout w:type="fixed"/>
          <w:tblCellMar>
            <w:top w:w="0" w:type="dxa"/>
            <w:left w:w="108" w:type="dxa"/>
            <w:bottom w:w="0" w:type="dxa"/>
            <w:right w:w="108" w:type="dxa"/>
          </w:tblCellMar>
        </w:tblPrEx>
        <w:trPr>
          <w:jc w:val="center"/>
        </w:trPr>
        <w:tc>
          <w:tcPr>
            <w:tcW w:w="2146" w:type="dxa"/>
            <w:vAlign w:val="center"/>
          </w:tcPr>
          <w:p>
            <w:pPr>
              <w:snapToGrid w:val="0"/>
              <w:spacing w:before="156" w:beforeLines="50"/>
              <w:ind w:left="480"/>
              <w:rPr>
                <w:rFonts w:ascii="Times New Roman" w:hAnsi="Times New Roman" w:cs="Times New Roman"/>
                <w:szCs w:val="21"/>
              </w:rPr>
            </w:pPr>
            <w:r>
              <w:rPr>
                <w:rFonts w:ascii="Times New Roman" w:hAnsi="Times New Roman" w:cs="Times New Roman"/>
                <w:sz w:val="21"/>
                <w:szCs w:val="21"/>
              </w:rPr>
              <w:t>编码开发</w:t>
            </w:r>
          </w:p>
        </w:tc>
        <w:tc>
          <w:tcPr>
            <w:tcW w:w="1276" w:type="dxa"/>
            <w:vAlign w:val="center"/>
          </w:tcPr>
          <w:p>
            <w:pPr>
              <w:snapToGrid w:val="0"/>
              <w:spacing w:before="156" w:beforeLines="50"/>
              <w:ind w:left="480"/>
              <w:rPr>
                <w:rFonts w:ascii="Times New Roman" w:hAnsi="Times New Roman" w:cs="Times New Roman"/>
                <w:szCs w:val="21"/>
              </w:rPr>
            </w:pPr>
            <w:r>
              <w:rPr>
                <w:rFonts w:ascii="Times New Roman" w:hAnsi="Times New Roman" w:cs="Times New Roman"/>
                <w:sz w:val="21"/>
                <w:szCs w:val="21"/>
              </w:rPr>
              <w:t>6</w:t>
            </w:r>
          </w:p>
        </w:tc>
        <w:tc>
          <w:tcPr>
            <w:tcW w:w="5103" w:type="dxa"/>
            <w:vAlign w:val="center"/>
          </w:tcPr>
          <w:p>
            <w:pPr>
              <w:snapToGrid w:val="0"/>
              <w:spacing w:before="156" w:beforeLines="50"/>
              <w:jc w:val="left"/>
              <w:rPr>
                <w:rFonts w:ascii="Times New Roman" w:hAnsi="Times New Roman" w:cs="Times New Roman"/>
                <w:szCs w:val="21"/>
              </w:rPr>
            </w:pPr>
            <w:r>
              <w:rPr>
                <w:rFonts w:ascii="Times New Roman" w:hAnsi="Times New Roman" w:cs="Times New Roman"/>
                <w:sz w:val="21"/>
                <w:szCs w:val="21"/>
              </w:rPr>
              <w:t xml:space="preserve">完成程序编码、调试和单元测试、集成测试 </w:t>
            </w:r>
          </w:p>
        </w:tc>
      </w:tr>
      <w:tr>
        <w:tblPrEx>
          <w:tblW w:w="8525" w:type="dxa"/>
          <w:jc w:val="center"/>
          <w:tblLayout w:type="fixed"/>
          <w:tblCellMar>
            <w:top w:w="0" w:type="dxa"/>
            <w:left w:w="108" w:type="dxa"/>
            <w:bottom w:w="0" w:type="dxa"/>
            <w:right w:w="108" w:type="dxa"/>
          </w:tblCellMar>
        </w:tblPrEx>
        <w:trPr>
          <w:jc w:val="center"/>
        </w:trPr>
        <w:tc>
          <w:tcPr>
            <w:tcW w:w="2146" w:type="dxa"/>
            <w:vAlign w:val="center"/>
          </w:tcPr>
          <w:p>
            <w:pPr>
              <w:snapToGrid w:val="0"/>
              <w:spacing w:before="156" w:beforeLines="50"/>
              <w:ind w:left="480"/>
              <w:rPr>
                <w:rFonts w:ascii="Times New Roman" w:eastAsia="宋体" w:hAnsi="Times New Roman" w:cs="Times New Roman" w:hint="eastAsia"/>
                <w:szCs w:val="21"/>
              </w:rPr>
            </w:pPr>
            <w:r>
              <w:rPr>
                <w:rFonts w:ascii="Times New Roman" w:hAnsi="Times New Roman" w:cs="Times New Roman"/>
                <w:sz w:val="21"/>
                <w:szCs w:val="21"/>
              </w:rPr>
              <w:t>系统测试</w:t>
            </w:r>
            <w:r>
              <w:rPr>
                <w:rFonts w:ascii="Times New Roman" w:hAnsi="Times New Roman" w:cs="Times New Roman" w:hint="eastAsia"/>
                <w:sz w:val="21"/>
                <w:szCs w:val="21"/>
                <w:lang w:val="en-US" w:eastAsia="zh-CN"/>
              </w:rPr>
              <w:t>运行</w:t>
            </w:r>
          </w:p>
        </w:tc>
        <w:tc>
          <w:tcPr>
            <w:tcW w:w="1276" w:type="dxa"/>
            <w:vAlign w:val="center"/>
          </w:tcPr>
          <w:p>
            <w:pPr>
              <w:snapToGrid w:val="0"/>
              <w:spacing w:before="156" w:beforeLines="50"/>
              <w:ind w:left="480"/>
              <w:rPr>
                <w:rFonts w:ascii="Times New Roman" w:hAnsi="Times New Roman" w:cs="Times New Roman"/>
                <w:szCs w:val="21"/>
              </w:rPr>
            </w:pPr>
            <w:r>
              <w:rPr>
                <w:rFonts w:ascii="Times New Roman" w:hAnsi="Times New Roman" w:cs="Times New Roman"/>
                <w:sz w:val="21"/>
                <w:szCs w:val="21"/>
              </w:rPr>
              <w:t>1</w:t>
            </w:r>
          </w:p>
        </w:tc>
        <w:tc>
          <w:tcPr>
            <w:tcW w:w="5103" w:type="dxa"/>
            <w:vAlign w:val="center"/>
          </w:tcPr>
          <w:p>
            <w:pPr>
              <w:snapToGrid w:val="0"/>
              <w:spacing w:before="156" w:beforeLines="50"/>
              <w:jc w:val="left"/>
              <w:rPr>
                <w:rFonts w:ascii="Times New Roman" w:hAnsi="Times New Roman" w:cs="Times New Roman"/>
                <w:szCs w:val="21"/>
              </w:rPr>
            </w:pPr>
            <w:r>
              <w:rPr>
                <w:rFonts w:ascii="Times New Roman" w:hAnsi="Times New Roman" w:cs="Times New Roman"/>
                <w:sz w:val="21"/>
                <w:szCs w:val="21"/>
              </w:rPr>
              <w:t>完成测试</w:t>
            </w:r>
            <w:r>
              <w:rPr>
                <w:rFonts w:ascii="Times New Roman" w:hAnsi="Times New Roman" w:cs="Times New Roman" w:hint="eastAsia"/>
                <w:sz w:val="21"/>
                <w:szCs w:val="21"/>
                <w:lang w:val="en-US" w:eastAsia="zh-CN"/>
              </w:rPr>
              <w:t>运行</w:t>
            </w:r>
            <w:r>
              <w:rPr>
                <w:rFonts w:ascii="Times New Roman" w:hAnsi="Times New Roman" w:cs="Times New Roman"/>
                <w:sz w:val="21"/>
                <w:szCs w:val="21"/>
              </w:rPr>
              <w:t>方案编制，并通过专家评审</w:t>
            </w:r>
          </w:p>
        </w:tc>
      </w:tr>
      <w:tr>
        <w:tblPrEx>
          <w:tblW w:w="8525" w:type="dxa"/>
          <w:jc w:val="center"/>
          <w:tblLayout w:type="fixed"/>
          <w:tblCellMar>
            <w:top w:w="0" w:type="dxa"/>
            <w:left w:w="108" w:type="dxa"/>
            <w:bottom w:w="0" w:type="dxa"/>
            <w:right w:w="108" w:type="dxa"/>
          </w:tblCellMar>
        </w:tblPrEx>
        <w:trPr>
          <w:jc w:val="center"/>
        </w:trPr>
        <w:tc>
          <w:tcPr>
            <w:tcW w:w="2146" w:type="dxa"/>
            <w:vAlign w:val="center"/>
          </w:tcPr>
          <w:p>
            <w:pPr>
              <w:snapToGrid w:val="0"/>
              <w:spacing w:before="156" w:beforeLines="50"/>
              <w:ind w:left="480"/>
              <w:rPr>
                <w:rFonts w:ascii="Times New Roman" w:hAnsi="Times New Roman" w:cs="Times New Roman"/>
                <w:szCs w:val="21"/>
              </w:rPr>
            </w:pPr>
            <w:r>
              <w:rPr>
                <w:rFonts w:ascii="Times New Roman" w:hAnsi="Times New Roman" w:cs="Times New Roman"/>
                <w:sz w:val="21"/>
                <w:szCs w:val="21"/>
              </w:rPr>
              <w:t>项目验收</w:t>
            </w:r>
          </w:p>
        </w:tc>
        <w:tc>
          <w:tcPr>
            <w:tcW w:w="1276" w:type="dxa"/>
            <w:vAlign w:val="center"/>
          </w:tcPr>
          <w:p>
            <w:pPr>
              <w:snapToGrid w:val="0"/>
              <w:spacing w:before="156" w:beforeLines="50"/>
              <w:ind w:left="480"/>
              <w:rPr>
                <w:rFonts w:ascii="Times New Roman" w:eastAsia="宋体" w:hAnsi="Times New Roman" w:cs="Times New Roman" w:hint="eastAsia"/>
                <w:szCs w:val="21"/>
              </w:rPr>
            </w:pPr>
            <w:r>
              <w:rPr>
                <w:rFonts w:ascii="Times New Roman" w:hAnsi="Times New Roman" w:cs="Times New Roman" w:hint="eastAsia"/>
                <w:sz w:val="21"/>
                <w:szCs w:val="21"/>
                <w:lang w:val="en-US" w:eastAsia="zh-CN"/>
              </w:rPr>
              <w:t>2</w:t>
            </w:r>
          </w:p>
        </w:tc>
        <w:tc>
          <w:tcPr>
            <w:tcW w:w="5103" w:type="dxa"/>
            <w:vAlign w:val="center"/>
          </w:tcPr>
          <w:p>
            <w:pPr>
              <w:snapToGrid w:val="0"/>
              <w:spacing w:before="156" w:beforeLines="50"/>
              <w:jc w:val="left"/>
              <w:rPr>
                <w:rFonts w:ascii="Times New Roman" w:hAnsi="Times New Roman" w:cs="Times New Roman"/>
                <w:szCs w:val="21"/>
              </w:rPr>
            </w:pPr>
            <w:r>
              <w:rPr>
                <w:rFonts w:ascii="Times New Roman" w:hAnsi="Times New Roman" w:cs="Times New Roman"/>
                <w:sz w:val="21"/>
                <w:szCs w:val="21"/>
              </w:rPr>
              <w:t>完成系统验收、成果移交。</w:t>
            </w:r>
          </w:p>
        </w:tc>
      </w:tr>
    </w:tbl>
    <w:p>
      <w:pPr>
        <w:pStyle w:val="Heading2"/>
        <w:keepNext/>
        <w:keepLines/>
        <w:widowControl w:val="0"/>
        <w:numPr>
          <w:ilvl w:val="1"/>
          <w:numId w:val="4"/>
        </w:numPr>
        <w:bidi w:val="0"/>
        <w:spacing w:before="260" w:after="260" w:line="415" w:lineRule="auto"/>
        <w:ind w:left="576" w:hanging="576"/>
        <w:jc w:val="both"/>
      </w:pPr>
      <w:bookmarkStart w:id="194" w:name="_Toc12987"/>
      <w:r>
        <w:t>项目组织与管理要求</w:t>
      </w:r>
      <w:bookmarkEnd w:id="194"/>
      <w:bookmarkStart w:id="195" w:name="_Toc166252364"/>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（1）编制软件开发实施进度计划并组织实施</w:t>
      </w:r>
      <w:bookmarkEnd w:id="19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1）提供软件开发实施详细计划。</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2）解决软件开发实施过程中出现的各种技术问题。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3）计划周密，当项目建设过程中出现变化时，要能及时做出调整。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4）要有规范的整体项目管理、项目质量管理和进度管理机制。</w:t>
      </w:r>
      <w:bookmarkStart w:id="196" w:name="_Toc16625236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（2）进行项目开发的日常组织、管理、协调</w:t>
      </w:r>
      <w:bookmarkEnd w:id="196"/>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1）参加采购人组织与项目建设有关的各类会议。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2）要遵循相应的项目管理规范，并有相应的项目管理文档。</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rPr>
      </w:pPr>
      <w:r>
        <w:rPr>
          <w:rFonts w:ascii="Times New Roman" w:hAnsi="Times New Roman" w:cs="Times New Roman" w:hint="eastAsia"/>
        </w:rPr>
        <w:t>3）对项目建设任务中出现的调整，要及时做出安排，并尊重采购人的安排。</w:t>
      </w:r>
    </w:p>
    <w:p>
      <w:pPr>
        <w:pStyle w:val="Heading2"/>
        <w:keepNext/>
        <w:keepLines/>
        <w:widowControl w:val="0"/>
        <w:numPr>
          <w:ilvl w:val="1"/>
          <w:numId w:val="4"/>
        </w:numPr>
        <w:bidi w:val="0"/>
        <w:spacing w:before="260" w:after="260" w:line="415" w:lineRule="auto"/>
        <w:ind w:left="576" w:hanging="576"/>
        <w:jc w:val="both"/>
      </w:pPr>
      <w:bookmarkStart w:id="197" w:name="_Toc26956"/>
      <w:bookmarkStart w:id="198" w:name="_Toc166252366"/>
      <w:bookmarkStart w:id="199" w:name="_Toc32024"/>
      <w:r>
        <w:t>人员</w:t>
      </w:r>
      <w:r>
        <w:rPr>
          <w:rFonts w:hint="eastAsia"/>
          <w:lang w:val="en-US" w:eastAsia="zh-CN"/>
        </w:rPr>
        <w:t>及驻场</w:t>
      </w:r>
      <w:r>
        <w:t>要求</w:t>
      </w:r>
      <w:bookmarkEnd w:id="197"/>
      <w:bookmarkEnd w:id="198"/>
      <w:bookmarkEnd w:id="199"/>
    </w:p>
    <w:p>
      <w:pPr>
        <w:spacing w:line="360" w:lineRule="auto"/>
        <w:ind w:firstLine="420"/>
        <w:rPr>
          <w:rFonts w:ascii="宋体" w:hAnsi="宋体"/>
          <w:szCs w:val="21"/>
        </w:rPr>
      </w:pPr>
      <w:r>
        <w:rPr>
          <w:rFonts w:ascii="宋体" w:hAnsi="宋体" w:hint="eastAsia"/>
          <w:szCs w:val="21"/>
        </w:rPr>
        <w:t>本项目需要组建专门的驻场运维服务团队，其中驻场人员须包括气象、</w:t>
      </w:r>
      <w:r>
        <w:rPr>
          <w:rFonts w:ascii="宋体" w:hAnsi="宋体" w:hint="eastAsia"/>
          <w:szCs w:val="21"/>
          <w:lang w:val="en-US" w:eastAsia="zh-CN"/>
        </w:rPr>
        <w:t>计算机</w:t>
      </w:r>
      <w:r>
        <w:rPr>
          <w:rFonts w:ascii="宋体" w:hAnsi="宋体" w:hint="eastAsia"/>
          <w:szCs w:val="21"/>
        </w:rPr>
        <w:t>等相关专业背景人员。项目负责人具备多年项目管理经验，且承担过相关项目管理工作；驻场团队必须包括气象或相关专业背景人员、以及计算机及相关背景人员等。驻场期间，服务团队人员所使用的设备由中标人承担，形成的水电费用由采购人承担，形成的食宿费用由中标人承担。</w:t>
      </w:r>
    </w:p>
    <w:p>
      <w:pPr>
        <w:spacing w:line="360" w:lineRule="auto"/>
        <w:ind w:firstLine="420"/>
      </w:pPr>
      <w:r>
        <w:rPr>
          <w:rFonts w:ascii="宋体" w:hAnsi="宋体" w:hint="eastAsia"/>
          <w:szCs w:val="21"/>
        </w:rPr>
        <w:t>项目团队成员不少于</w:t>
      </w:r>
      <w:r>
        <w:rPr>
          <w:rFonts w:ascii="宋体" w:hAnsi="宋体" w:hint="eastAsia"/>
          <w:szCs w:val="21"/>
          <w:lang w:val="en-US" w:eastAsia="zh-CN"/>
        </w:rPr>
        <w:t>8</w:t>
      </w:r>
      <w:r>
        <w:rPr>
          <w:rFonts w:ascii="宋体" w:hAnsi="宋体" w:hint="eastAsia"/>
          <w:szCs w:val="21"/>
        </w:rPr>
        <w:t>人，其中实施期驻场人员不少于4人，其他人员有需要必须能够提供现场服务。</w:t>
      </w:r>
    </w:p>
    <w:p>
      <w:pPr>
        <w:pStyle w:val="Heading2"/>
        <w:keepNext/>
        <w:keepLines/>
        <w:widowControl w:val="0"/>
        <w:numPr>
          <w:ilvl w:val="1"/>
          <w:numId w:val="4"/>
        </w:numPr>
        <w:bidi w:val="0"/>
        <w:spacing w:before="260" w:after="260" w:line="415" w:lineRule="auto"/>
        <w:ind w:left="576" w:hanging="576"/>
        <w:jc w:val="both"/>
      </w:pPr>
      <w:bookmarkStart w:id="200" w:name="_Toc24642"/>
      <w:bookmarkStart w:id="201" w:name="_Toc14445900"/>
      <w:bookmarkStart w:id="202" w:name="_Toc2536"/>
      <w:bookmarkStart w:id="203" w:name="_Toc15989"/>
      <w:bookmarkStart w:id="204" w:name="_Toc166252368"/>
      <w:bookmarkStart w:id="205" w:name="_Toc31020"/>
      <w:bookmarkStart w:id="206" w:name="_Toc166252363"/>
      <w:bookmarkStart w:id="207" w:name="_Toc166252367"/>
      <w:bookmarkStart w:id="208" w:name="_Toc5283"/>
      <w:bookmarkStart w:id="209" w:name="_Toc14445899"/>
      <w:bookmarkStart w:id="210" w:name="_Toc31869"/>
      <w:r>
        <w:t>安全保密要求</w:t>
      </w:r>
      <w:bookmarkEnd w:id="200"/>
      <w:bookmarkEnd w:id="201"/>
      <w:bookmarkEnd w:id="202"/>
      <w:bookmarkEnd w:id="203"/>
      <w:bookmarkEnd w:id="204"/>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投标人必须对项目技术文件以及由甲方提供的所有内部材料、技术文档和信息予以保密。投标人必须遵守与甲方签订的保密协议，未经甲方书面许可，投标人不得以任何形式向第三方透露本项目标书以及本项目的任何内容。</w:t>
      </w:r>
    </w:p>
    <w:bookmarkEnd w:id="205"/>
    <w:bookmarkEnd w:id="206"/>
    <w:bookmarkEnd w:id="207"/>
    <w:bookmarkEnd w:id="208"/>
    <w:bookmarkEnd w:id="209"/>
    <w:bookmarkEnd w:id="210"/>
    <w:p>
      <w:pPr>
        <w:pStyle w:val="Heading2"/>
        <w:keepNext/>
        <w:keepLines/>
        <w:widowControl w:val="0"/>
        <w:numPr>
          <w:ilvl w:val="1"/>
          <w:numId w:val="4"/>
        </w:numPr>
        <w:bidi w:val="0"/>
        <w:spacing w:before="260" w:after="260" w:line="415" w:lineRule="auto"/>
        <w:ind w:left="576" w:hanging="576"/>
        <w:jc w:val="both"/>
      </w:pPr>
      <w:bookmarkStart w:id="211" w:name="_Toc27149"/>
      <w:bookmarkStart w:id="212" w:name="_Toc324"/>
      <w:bookmarkStart w:id="213" w:name="_Toc166252370"/>
      <w:bookmarkStart w:id="214" w:name="_Toc26868"/>
      <w:bookmarkStart w:id="215" w:name="_Toc14445902"/>
      <w:bookmarkStart w:id="216" w:name="_Toc14445901"/>
      <w:bookmarkStart w:id="217" w:name="_Toc12405"/>
      <w:bookmarkStart w:id="218" w:name="_Toc17648"/>
      <w:bookmarkStart w:id="219" w:name="_Toc166252369"/>
      <w:r>
        <w:t>知识产权要求</w:t>
      </w:r>
      <w:bookmarkEnd w:id="211"/>
      <w:bookmarkEnd w:id="212"/>
      <w:bookmarkEnd w:id="213"/>
      <w:bookmarkEnd w:id="214"/>
      <w:bookmarkEnd w:id="215"/>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项目建设中，承建方按甲方要求进行源代码和项目相关文档的规范化管理，不得向第三方提供或泄露。项目结束后，承建方向甲方提交完整的源代码和相关说明材料，不得以任何形式保存项目的源代码。全部及/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pPr>
        <w:pStyle w:val="Heading1"/>
        <w:keepNext/>
        <w:keepLines/>
        <w:widowControl w:val="0"/>
        <w:numPr>
          <w:ilvl w:val="0"/>
          <w:numId w:val="4"/>
        </w:numPr>
        <w:tabs>
          <w:tab w:val="left" w:pos="432"/>
        </w:tabs>
        <w:adjustRightInd w:val="0"/>
        <w:spacing w:before="340" w:after="120"/>
        <w:ind w:left="0" w:firstLine="0"/>
        <w:jc w:val="left"/>
        <w:rPr>
          <w:rFonts w:eastAsia="黑体"/>
          <w:lang w:val="en-US" w:bidi="ar-SA"/>
        </w:rPr>
      </w:pPr>
      <w:bookmarkStart w:id="220" w:name="_Toc28133"/>
      <w:r>
        <w:rPr>
          <w:rFonts w:eastAsia="黑体" w:cs="Times New Roman" w:hint="eastAsia"/>
          <w:b/>
          <w:bCs/>
          <w:kern w:val="44"/>
          <w:sz w:val="30"/>
          <w:szCs w:val="30"/>
          <w:lang w:val="en-US" w:eastAsia="zh-CN" w:bidi="ar-SA"/>
        </w:rPr>
        <w:t>验收交付要求</w:t>
      </w:r>
      <w:bookmarkEnd w:id="220"/>
    </w:p>
    <w:p>
      <w:pPr>
        <w:pStyle w:val="Heading2"/>
        <w:keepNext/>
        <w:keepLines/>
        <w:widowControl w:val="0"/>
        <w:numPr>
          <w:ilvl w:val="1"/>
          <w:numId w:val="4"/>
        </w:numPr>
        <w:bidi w:val="0"/>
        <w:spacing w:before="260" w:after="260" w:line="415" w:lineRule="auto"/>
        <w:ind w:left="576" w:hanging="576"/>
        <w:jc w:val="both"/>
        <w:rPr>
          <w:lang w:val="en-US"/>
        </w:rPr>
      </w:pPr>
      <w:bookmarkStart w:id="221" w:name="_Toc8506"/>
      <w:bookmarkStart w:id="222" w:name="_Toc27519"/>
      <w:bookmarkStart w:id="223" w:name="_Toc166252362"/>
      <w:r>
        <w:rPr>
          <w:rFonts w:cs="Times New Roman" w:hint="eastAsia"/>
          <w:b/>
          <w:bCs/>
          <w:kern w:val="24"/>
          <w:sz w:val="28"/>
          <w:szCs w:val="28"/>
          <w:lang w:val="en-US" w:eastAsia="zh-CN" w:bidi="ar-SA"/>
        </w:rPr>
        <w:t>验收要求</w:t>
      </w:r>
      <w:bookmarkEnd w:id="221"/>
    </w:p>
    <w:p>
      <w:pPr>
        <w:pStyle w:val="Heading3"/>
        <w:keepNext/>
        <w:keepLines/>
        <w:widowControl w:val="0"/>
        <w:numPr>
          <w:ilvl w:val="2"/>
          <w:numId w:val="4"/>
        </w:numPr>
        <w:autoSpaceDE w:val="0"/>
        <w:autoSpaceDN w:val="0"/>
        <w:bidi w:val="0"/>
        <w:adjustRightInd w:val="0"/>
        <w:spacing w:before="200" w:after="120"/>
        <w:ind w:left="720" w:hanging="720"/>
        <w:jc w:val="left"/>
      </w:pPr>
      <w:r>
        <w:rPr>
          <w:rFonts w:hint="eastAsia"/>
        </w:rPr>
        <w:t>测试</w:t>
      </w:r>
    </w:p>
    <w:p>
      <w:pPr>
        <w:spacing w:line="360" w:lineRule="auto"/>
        <w:ind w:firstLine="420" w:firstLineChars="200"/>
        <w:rPr>
          <w:rFonts w:ascii="宋体" w:hAnsi="宋体" w:hint="eastAsia"/>
          <w:szCs w:val="21"/>
        </w:rPr>
      </w:pPr>
      <w:r>
        <w:rPr>
          <w:rFonts w:ascii="宋体" w:hAnsi="宋体" w:hint="eastAsia"/>
          <w:szCs w:val="21"/>
        </w:rPr>
        <w:t>请供应商提供具体进行各模块测试的测试方法和步骤，以最终验证各模块上线后的功能和性能能否合格；提供系统集成测试的测试方法和工作步骤，以最终验证系统全面上线之后功能和性能能否合格。</w:t>
      </w:r>
    </w:p>
    <w:p>
      <w:pPr>
        <w:spacing w:line="360" w:lineRule="auto"/>
        <w:ind w:firstLine="420" w:firstLineChars="200"/>
        <w:rPr>
          <w:rFonts w:ascii="宋体" w:hAnsi="宋体" w:hint="eastAsia"/>
          <w:szCs w:val="21"/>
        </w:rPr>
      </w:pPr>
      <w:r>
        <w:rPr>
          <w:rFonts w:ascii="宋体" w:hAnsi="宋体" w:hint="eastAsia"/>
          <w:szCs w:val="21"/>
        </w:rPr>
        <w:t>请供应商列出在系统测试完成后，向招标方提供的所有信息化应用解决方案软件的合格证明、质量保证书、各类交付物等资料。</w:t>
      </w:r>
    </w:p>
    <w:p>
      <w:pPr>
        <w:pStyle w:val="Heading3"/>
        <w:keepNext/>
        <w:keepLines/>
        <w:widowControl w:val="0"/>
        <w:numPr>
          <w:ilvl w:val="2"/>
          <w:numId w:val="4"/>
        </w:numPr>
        <w:autoSpaceDE w:val="0"/>
        <w:autoSpaceDN w:val="0"/>
        <w:bidi w:val="0"/>
        <w:adjustRightInd w:val="0"/>
        <w:spacing w:before="200" w:after="120"/>
        <w:ind w:left="720" w:hanging="720"/>
        <w:jc w:val="left"/>
      </w:pPr>
      <w:r>
        <w:rPr>
          <w:rFonts w:hint="eastAsia"/>
        </w:rPr>
        <w:t>验收</w:t>
      </w:r>
    </w:p>
    <w:p>
      <w:pPr>
        <w:spacing w:line="360" w:lineRule="auto"/>
        <w:ind w:firstLine="412" w:firstLineChars="196"/>
        <w:jc w:val="left"/>
        <w:rPr>
          <w:rFonts w:ascii="宋体" w:hAnsi="宋体"/>
          <w:szCs w:val="21"/>
        </w:rPr>
      </w:pPr>
      <w:r>
        <w:rPr>
          <w:rFonts w:ascii="宋体" w:hAnsi="宋体" w:hint="eastAsia"/>
          <w:szCs w:val="21"/>
        </w:rPr>
        <w:t>本项目的验收分为两个阶段：第一阶段为上线初验，第二个阶段为终验。验收要求及标准：</w:t>
      </w:r>
    </w:p>
    <w:p>
      <w:pPr>
        <w:spacing w:line="360" w:lineRule="auto"/>
        <w:ind w:firstLine="412" w:firstLineChars="196"/>
        <w:jc w:val="left"/>
        <w:rPr>
          <w:rFonts w:ascii="宋体" w:hAnsi="宋体" w:hint="eastAsia"/>
          <w:szCs w:val="21"/>
        </w:rPr>
      </w:pPr>
      <w:r>
        <w:rPr>
          <w:rFonts w:ascii="宋体" w:hAnsi="宋体" w:hint="eastAsia"/>
          <w:szCs w:val="21"/>
        </w:rPr>
        <w:t>（1）上线初验：在乙方完成上述各项工作后，达到如下条件时即可提出上线初验申请：</w:t>
      </w:r>
    </w:p>
    <w:p>
      <w:pPr>
        <w:numPr>
          <w:ilvl w:val="0"/>
          <w:numId w:val="7"/>
        </w:numPr>
        <w:spacing w:line="360" w:lineRule="auto"/>
        <w:rPr>
          <w:rFonts w:ascii="宋体" w:hAnsi="宋体"/>
          <w:szCs w:val="21"/>
        </w:rPr>
      </w:pPr>
      <w:r>
        <w:rPr>
          <w:rFonts w:ascii="宋体" w:hAnsi="宋体"/>
          <w:szCs w:val="21"/>
        </w:rPr>
        <w:t>系统后台（包括但不限于服务器和中间件平台）部署到生产环境，客户端部署完成，系统上线后连续</w:t>
      </w:r>
      <w:r>
        <w:rPr>
          <w:rFonts w:ascii="宋体" w:hAnsi="宋体" w:hint="eastAsia"/>
          <w:szCs w:val="21"/>
        </w:rPr>
        <w:t>1</w:t>
      </w:r>
      <w:r>
        <w:rPr>
          <w:rFonts w:ascii="宋体" w:hAnsi="宋体"/>
          <w:szCs w:val="21"/>
        </w:rPr>
        <w:t>个月平稳运行。达到平稳运行的条件至少为：系统功能满足需求、各类操作顺畅、性能稳定；</w:t>
      </w:r>
    </w:p>
    <w:p>
      <w:pPr>
        <w:numPr>
          <w:ilvl w:val="0"/>
          <w:numId w:val="7"/>
        </w:numPr>
        <w:spacing w:line="360" w:lineRule="auto"/>
        <w:rPr>
          <w:rFonts w:ascii="宋体" w:hAnsi="宋体"/>
          <w:szCs w:val="21"/>
        </w:rPr>
      </w:pPr>
      <w:r>
        <w:rPr>
          <w:rFonts w:ascii="宋体" w:hAnsi="宋体"/>
          <w:szCs w:val="21"/>
        </w:rPr>
        <w:t>系统采用“一级部署、多级应用”的部署架构，共涉及气象内网DMZ区、气象内网业务区二个网络区域。气象内网业务区用于系统的核心应用、算法部署运行以及业务数据和产品存储。气象内网DMZ区用于部署智能气象服务，以及国省业务协同联动、国省数据传输交换相关应用组件</w:t>
      </w:r>
      <w:r>
        <w:rPr>
          <w:rFonts w:ascii="宋体" w:hAnsi="宋体" w:hint="eastAsia"/>
          <w:szCs w:val="21"/>
        </w:rPr>
        <w:t>；</w:t>
      </w:r>
    </w:p>
    <w:p>
      <w:pPr>
        <w:numPr>
          <w:ilvl w:val="0"/>
          <w:numId w:val="7"/>
        </w:numPr>
        <w:spacing w:line="360" w:lineRule="auto"/>
        <w:rPr>
          <w:rFonts w:ascii="宋体" w:hAnsi="宋体"/>
          <w:szCs w:val="21"/>
        </w:rPr>
      </w:pPr>
      <w:r>
        <w:rPr>
          <w:rFonts w:ascii="宋体" w:hAnsi="宋体"/>
          <w:szCs w:val="21"/>
        </w:rPr>
        <w:t>交付物通过甲方签字确认。</w:t>
      </w:r>
    </w:p>
    <w:p>
      <w:pPr>
        <w:spacing w:line="360" w:lineRule="auto"/>
        <w:ind w:firstLine="412" w:firstLineChars="196"/>
        <w:jc w:val="left"/>
        <w:rPr>
          <w:rFonts w:ascii="宋体" w:hAnsi="宋体"/>
          <w:szCs w:val="21"/>
        </w:rPr>
      </w:pPr>
      <w:r>
        <w:rPr>
          <w:rFonts w:ascii="宋体" w:hAnsi="宋体"/>
          <w:szCs w:val="21"/>
        </w:rPr>
        <w:t>在甲方收到上线初验申请后，由乙方和甲方共同</w:t>
      </w:r>
      <w:r>
        <w:rPr>
          <w:rFonts w:ascii="宋体" w:hAnsi="宋体" w:hint="eastAsia"/>
          <w:szCs w:val="21"/>
        </w:rPr>
        <w:t>开展验收工作</w:t>
      </w:r>
      <w:r>
        <w:rPr>
          <w:rFonts w:ascii="宋体" w:hAnsi="宋体"/>
          <w:szCs w:val="21"/>
        </w:rPr>
        <w:t>，由乙方提供测试案例，经甲方确认后，按照合同要求对软件系统进行总体功能和性能进行测试，系统测试结果必须满足本文件规定的技术和功能要求，双方签字的上线初验报告作为付款依据。</w:t>
      </w:r>
    </w:p>
    <w:p>
      <w:pPr>
        <w:spacing w:line="360" w:lineRule="auto"/>
        <w:ind w:firstLine="412" w:firstLineChars="196"/>
        <w:jc w:val="left"/>
        <w:rPr>
          <w:rFonts w:ascii="宋体" w:hAnsi="宋体"/>
          <w:szCs w:val="21"/>
        </w:rPr>
      </w:pPr>
      <w:r>
        <w:rPr>
          <w:rFonts w:ascii="宋体" w:hAnsi="宋体"/>
          <w:szCs w:val="21"/>
        </w:rPr>
        <w:t>（</w:t>
      </w:r>
      <w:r>
        <w:rPr>
          <w:rFonts w:ascii="宋体" w:hAnsi="宋体" w:hint="eastAsia"/>
          <w:szCs w:val="21"/>
        </w:rPr>
        <w:t>2</w:t>
      </w:r>
      <w:r>
        <w:rPr>
          <w:rFonts w:ascii="宋体" w:hAnsi="宋体"/>
          <w:szCs w:val="21"/>
        </w:rPr>
        <w:t>）终验</w:t>
      </w:r>
      <w:r>
        <w:rPr>
          <w:rFonts w:ascii="宋体" w:hAnsi="宋体" w:hint="eastAsia"/>
          <w:szCs w:val="21"/>
        </w:rPr>
        <w:t>：</w:t>
      </w:r>
      <w:r>
        <w:rPr>
          <w:rFonts w:ascii="宋体" w:hAnsi="宋体"/>
          <w:szCs w:val="21"/>
        </w:rPr>
        <w:t>上线初验合格后</w:t>
      </w:r>
      <w:r>
        <w:rPr>
          <w:rFonts w:ascii="宋体" w:hAnsi="宋体" w:hint="eastAsia"/>
          <w:szCs w:val="21"/>
        </w:rPr>
        <w:t>，</w:t>
      </w:r>
      <w:r>
        <w:rPr>
          <w:rFonts w:ascii="宋体" w:hAnsi="宋体"/>
          <w:szCs w:val="21"/>
        </w:rPr>
        <w:t>系统进入试运行期，系统试运行期为</w:t>
      </w:r>
      <w:r>
        <w:rPr>
          <w:rFonts w:ascii="宋体" w:hAnsi="宋体" w:hint="eastAsia"/>
          <w:szCs w:val="21"/>
        </w:rPr>
        <w:t>3</w:t>
      </w:r>
      <w:r>
        <w:rPr>
          <w:rFonts w:ascii="宋体" w:hAnsi="宋体"/>
          <w:szCs w:val="21"/>
        </w:rPr>
        <w:t>个月，试运行期满后进行系统终验。在试运行期间，由于各种原因造成某些技术指标达不到要求，乙方应负责解决，但试运行期相应顺延。系统通过试运行后，双方签署终验报告，此报告将作为付款依据。</w:t>
      </w:r>
    </w:p>
    <w:p>
      <w:pPr>
        <w:spacing w:line="360" w:lineRule="auto"/>
        <w:ind w:firstLine="412" w:firstLineChars="196"/>
        <w:jc w:val="left"/>
        <w:rPr>
          <w:rFonts w:ascii="宋体" w:hAnsi="宋体"/>
          <w:szCs w:val="21"/>
        </w:rPr>
      </w:pPr>
      <w:r>
        <w:rPr>
          <w:rFonts w:ascii="宋体" w:hAnsi="宋体" w:hint="eastAsia"/>
          <w:szCs w:val="21"/>
        </w:rPr>
        <w:t>（3）验收不合格的处理（由于投标人的原因）：</w:t>
      </w:r>
    </w:p>
    <w:p>
      <w:pPr>
        <w:numPr>
          <w:ilvl w:val="0"/>
          <w:numId w:val="7"/>
        </w:numPr>
        <w:spacing w:line="360" w:lineRule="auto"/>
        <w:rPr>
          <w:rFonts w:ascii="宋体" w:hAnsi="宋体"/>
          <w:szCs w:val="21"/>
        </w:rPr>
      </w:pPr>
      <w:r>
        <w:rPr>
          <w:rFonts w:ascii="宋体" w:hAnsi="宋体" w:hint="eastAsia"/>
          <w:szCs w:val="21"/>
        </w:rPr>
        <w:t>软件系统初验不合格：投标人在5个工作日内免费更换并立即进行下一次测试。</w:t>
      </w:r>
    </w:p>
    <w:p>
      <w:pPr>
        <w:numPr>
          <w:ilvl w:val="0"/>
          <w:numId w:val="7"/>
        </w:numPr>
        <w:spacing w:line="360" w:lineRule="auto"/>
        <w:rPr>
          <w:rFonts w:ascii="宋体" w:hAnsi="宋体"/>
          <w:szCs w:val="21"/>
        </w:rPr>
      </w:pPr>
      <w:r>
        <w:rPr>
          <w:rFonts w:ascii="宋体" w:hAnsi="宋体" w:hint="eastAsia"/>
          <w:szCs w:val="21"/>
        </w:rPr>
        <w:t>试运行期测试不合格：在试运行期内如出现重大问题，则试运行期从故障修复之日起重新计算，一直到系统连续3个月无故障时为止。</w:t>
      </w:r>
    </w:p>
    <w:p>
      <w:pPr>
        <w:pStyle w:val="Heading3"/>
        <w:keepNext/>
        <w:keepLines/>
        <w:widowControl w:val="0"/>
        <w:numPr>
          <w:ilvl w:val="2"/>
          <w:numId w:val="4"/>
        </w:numPr>
        <w:autoSpaceDE w:val="0"/>
        <w:autoSpaceDN w:val="0"/>
        <w:bidi w:val="0"/>
        <w:adjustRightInd w:val="0"/>
        <w:spacing w:before="200" w:after="120"/>
        <w:ind w:left="720" w:hanging="720"/>
        <w:jc w:val="left"/>
      </w:pPr>
      <w:r>
        <w:rPr>
          <w:rFonts w:hint="eastAsia"/>
        </w:rPr>
        <w:t>软件移交</w:t>
      </w:r>
    </w:p>
    <w:p>
      <w:pPr>
        <w:spacing w:line="360" w:lineRule="auto"/>
        <w:ind w:firstLine="420"/>
        <w:rPr>
          <w:rFonts w:ascii="宋体" w:hAnsi="宋体"/>
          <w:szCs w:val="21"/>
        </w:rPr>
      </w:pPr>
      <w:r>
        <w:rPr>
          <w:rFonts w:ascii="宋体" w:hAnsi="宋体"/>
          <w:szCs w:val="21"/>
        </w:rPr>
        <w:t>软件产品验收通过后，承制方必须按验收评审意见，做好后续工作，并在得到验收委员会或其指定人员认可后，按合同书要求，将软件产品移交给交办方。具体要求如下：</w:t>
      </w:r>
    </w:p>
    <w:p>
      <w:pPr>
        <w:spacing w:line="360" w:lineRule="auto"/>
        <w:ind w:firstLine="420"/>
        <w:rPr>
          <w:rFonts w:ascii="宋体" w:hAnsi="宋体"/>
          <w:szCs w:val="21"/>
        </w:rPr>
      </w:pPr>
      <w:r>
        <w:rPr>
          <w:rFonts w:ascii="宋体" w:hAnsi="宋体"/>
          <w:szCs w:val="21"/>
        </w:rPr>
        <w:t>（1）交接双方应按验收大纲的要求做好移交/接收的准备工作，成立相应的组织，指定软件产品交接的负责人；</w:t>
      </w:r>
    </w:p>
    <w:p>
      <w:pPr>
        <w:spacing w:line="360" w:lineRule="auto"/>
        <w:ind w:firstLine="420"/>
        <w:rPr>
          <w:rFonts w:ascii="宋体" w:hAnsi="宋体"/>
          <w:szCs w:val="21"/>
        </w:rPr>
      </w:pPr>
      <w:r>
        <w:rPr>
          <w:rFonts w:ascii="宋体" w:hAnsi="宋体"/>
          <w:szCs w:val="21"/>
        </w:rPr>
        <w:t>（2）承制方根据合同规定提出软件产品移交项目清单，在验收委员会的审定与监督下，逐项核实并移交给交办方。移交结束后形成产品移交文件，并由双方签署完整的移交项目清单。</w:t>
      </w:r>
    </w:p>
    <w:p>
      <w:pPr>
        <w:spacing w:line="360" w:lineRule="auto"/>
        <w:ind w:firstLine="420"/>
        <w:rPr>
          <w:rFonts w:ascii="宋体" w:hAnsi="宋体"/>
          <w:szCs w:val="21"/>
        </w:rPr>
      </w:pPr>
      <w:r>
        <w:rPr>
          <w:rFonts w:ascii="宋体" w:hAnsi="宋体"/>
          <w:szCs w:val="21"/>
        </w:rPr>
        <w:t xml:space="preserve">该文件应包括以下内容： </w:t>
      </w:r>
    </w:p>
    <w:p>
      <w:pPr>
        <w:numPr>
          <w:ilvl w:val="0"/>
          <w:numId w:val="7"/>
        </w:numPr>
        <w:spacing w:line="360" w:lineRule="auto"/>
        <w:rPr>
          <w:rFonts w:ascii="宋体" w:hAnsi="宋体"/>
          <w:szCs w:val="21"/>
        </w:rPr>
      </w:pPr>
      <w:r>
        <w:rPr>
          <w:rFonts w:ascii="宋体" w:hAnsi="宋体" w:hint="eastAsia"/>
          <w:szCs w:val="21"/>
        </w:rPr>
        <w:t>移交项目的名称、数量和装载媒体等的详细说明；</w:t>
      </w:r>
    </w:p>
    <w:p>
      <w:pPr>
        <w:numPr>
          <w:ilvl w:val="0"/>
          <w:numId w:val="7"/>
        </w:numPr>
        <w:spacing w:line="360" w:lineRule="auto"/>
        <w:rPr>
          <w:rFonts w:ascii="宋体" w:hAnsi="宋体"/>
          <w:szCs w:val="21"/>
        </w:rPr>
      </w:pPr>
      <w:r>
        <w:rPr>
          <w:rFonts w:ascii="宋体" w:hAnsi="宋体" w:hint="eastAsia"/>
          <w:szCs w:val="21"/>
        </w:rPr>
        <w:t>移交的时间，地点；</w:t>
      </w:r>
    </w:p>
    <w:p>
      <w:pPr>
        <w:numPr>
          <w:ilvl w:val="0"/>
          <w:numId w:val="7"/>
        </w:numPr>
        <w:spacing w:line="360" w:lineRule="auto"/>
        <w:rPr>
          <w:rFonts w:ascii="宋体" w:hAnsi="宋体"/>
          <w:szCs w:val="21"/>
        </w:rPr>
      </w:pPr>
      <w:r>
        <w:rPr>
          <w:rFonts w:ascii="宋体" w:hAnsi="宋体" w:hint="eastAsia"/>
          <w:szCs w:val="21"/>
        </w:rPr>
        <w:t>交接负责人签名。</w:t>
      </w:r>
    </w:p>
    <w:p>
      <w:pPr>
        <w:pStyle w:val="Heading3"/>
        <w:keepNext/>
        <w:keepLines/>
        <w:widowControl w:val="0"/>
        <w:numPr>
          <w:ilvl w:val="2"/>
          <w:numId w:val="4"/>
        </w:numPr>
        <w:autoSpaceDE w:val="0"/>
        <w:autoSpaceDN w:val="0"/>
        <w:bidi w:val="0"/>
        <w:adjustRightInd w:val="0"/>
        <w:spacing w:before="200" w:after="120"/>
        <w:ind w:left="720" w:hanging="720"/>
        <w:jc w:val="left"/>
      </w:pPr>
      <w:r>
        <w:rPr>
          <w:rFonts w:hint="eastAsia"/>
        </w:rPr>
        <w:t>成果约定</w:t>
      </w:r>
    </w:p>
    <w:p>
      <w:pPr>
        <w:spacing w:line="360" w:lineRule="auto"/>
        <w:ind w:firstLine="420"/>
      </w:pPr>
      <w:r>
        <w:rPr>
          <w:rFonts w:ascii="宋体" w:hAnsi="宋体" w:hint="eastAsia"/>
          <w:szCs w:val="21"/>
        </w:rPr>
        <w:t>项目中软件成果和产权归甲方所有，未经甲方同意乙方不得转移或使用。</w:t>
      </w:r>
      <w:r>
        <w:rPr>
          <w:rFonts w:ascii="宋体" w:hAnsi="宋体"/>
          <w:szCs w:val="21"/>
        </w:rPr>
        <w:t>系统通过验收后，所有文档、软件和资料交甲方统一归档。</w:t>
      </w:r>
    </w:p>
    <w:bookmarkEnd w:id="222"/>
    <w:bookmarkEnd w:id="223"/>
    <w:p>
      <w:pPr>
        <w:pStyle w:val="Heading2"/>
        <w:keepNext/>
        <w:keepLines/>
        <w:widowControl w:val="0"/>
        <w:numPr>
          <w:ilvl w:val="1"/>
          <w:numId w:val="4"/>
        </w:numPr>
        <w:bidi w:val="0"/>
        <w:spacing w:before="260" w:after="260" w:line="415" w:lineRule="auto"/>
        <w:ind w:left="576" w:hanging="576"/>
        <w:jc w:val="both"/>
      </w:pPr>
      <w:bookmarkStart w:id="224" w:name="_Toc4721"/>
      <w:r>
        <w:rPr>
          <w:rFonts w:hint="eastAsia"/>
          <w:lang w:val="en-US" w:eastAsia="zh-CN"/>
        </w:rPr>
        <w:t>交付要求</w:t>
      </w:r>
      <w:bookmarkEnd w:id="224"/>
    </w:p>
    <w:p>
      <w:pPr>
        <w:spacing w:before="120" w:after="120" w:line="360" w:lineRule="auto"/>
        <w:ind w:firstLine="420"/>
        <w:rPr>
          <w:rFonts w:ascii="宋体" w:hAnsi="宋体"/>
          <w:szCs w:val="21"/>
        </w:rPr>
      </w:pPr>
      <w:r>
        <w:rPr>
          <w:rFonts w:ascii="宋体" w:hAnsi="宋体" w:hint="eastAsia"/>
          <w:szCs w:val="21"/>
        </w:rPr>
        <w:t>大兴安岭林区森林草原防灭火气象保障服务能力建设项目</w:t>
      </w:r>
      <w:r>
        <w:rPr>
          <w:rFonts w:ascii="宋体" w:hAnsi="宋体"/>
          <w:szCs w:val="21"/>
        </w:rPr>
        <w:t>的验收和交付按照《计算机软件工程规范国家标准》的要求执行。</w:t>
      </w:r>
    </w:p>
    <w:p>
      <w:pPr>
        <w:spacing w:line="360" w:lineRule="auto"/>
        <w:ind w:firstLine="420" w:firstLineChars="0"/>
        <w:rPr>
          <w:rFonts w:ascii="宋体" w:eastAsia="宋体" w:hAnsi="宋体" w:cs="Times New Roman" w:hint="eastAsia"/>
          <w:szCs w:val="21"/>
        </w:rPr>
      </w:pPr>
      <w:r>
        <w:rPr>
          <w:rFonts w:ascii="宋体" w:eastAsia="宋体" w:hAnsi="宋体" w:cs="Times New Roman" w:hint="eastAsia"/>
          <w:szCs w:val="21"/>
        </w:rPr>
        <w:t>软件需要交付内容，包括所有软件的应用软件安装包、源代码、工程文件及程序说明，详见表</w:t>
      </w:r>
      <w:r>
        <w:rPr>
          <w:rFonts w:ascii="宋体" w:eastAsia="宋体" w:hAnsi="宋体" w:cs="Times New Roman" w:hint="eastAsia"/>
          <w:szCs w:val="21"/>
          <w:lang w:val="en-US" w:eastAsia="zh-CN"/>
        </w:rPr>
        <w:t>6</w:t>
      </w:r>
      <w:r>
        <w:rPr>
          <w:rFonts w:ascii="宋体" w:eastAsia="宋体" w:hAnsi="宋体" w:cs="Times New Roman" w:hint="eastAsia"/>
          <w:szCs w:val="21"/>
        </w:rPr>
        <w:t>-1。产品的交付清单详见表</w:t>
      </w:r>
      <w:r>
        <w:rPr>
          <w:rFonts w:ascii="宋体" w:eastAsia="宋体" w:hAnsi="宋体" w:cs="Times New Roman" w:hint="eastAsia"/>
          <w:szCs w:val="21"/>
          <w:lang w:val="en-US" w:eastAsia="zh-CN"/>
        </w:rPr>
        <w:t>6</w:t>
      </w:r>
      <w:r>
        <w:rPr>
          <w:rFonts w:ascii="宋体" w:eastAsia="宋体" w:hAnsi="宋体" w:cs="Times New Roman" w:hint="eastAsia"/>
          <w:szCs w:val="21"/>
        </w:rPr>
        <w:t>-2，</w:t>
      </w:r>
      <w:r>
        <w:rPr>
          <w:rFonts w:ascii="宋体" w:eastAsia="宋体" w:hAnsi="宋体" w:cs="Times New Roman" w:hint="eastAsia"/>
          <w:szCs w:val="21"/>
          <w:lang w:val="en-US" w:eastAsia="zh-CN"/>
        </w:rPr>
        <w:t>模型算法</w:t>
      </w:r>
      <w:r>
        <w:rPr>
          <w:rFonts w:ascii="宋体" w:eastAsia="宋体" w:hAnsi="宋体" w:cs="Times New Roman" w:hint="eastAsia"/>
          <w:szCs w:val="21"/>
        </w:rPr>
        <w:t>交付清单详见表</w:t>
      </w:r>
      <w:r>
        <w:rPr>
          <w:rFonts w:ascii="宋体" w:eastAsia="宋体" w:hAnsi="宋体" w:cs="Times New Roman" w:hint="eastAsia"/>
          <w:szCs w:val="21"/>
          <w:lang w:val="en-US" w:eastAsia="zh-CN"/>
        </w:rPr>
        <w:t>6</w:t>
      </w:r>
      <w:r>
        <w:rPr>
          <w:rFonts w:ascii="宋体" w:eastAsia="宋体" w:hAnsi="宋体" w:cs="Times New Roman" w:hint="eastAsia"/>
          <w:szCs w:val="21"/>
        </w:rPr>
        <w:t>-</w:t>
      </w:r>
      <w:r>
        <w:rPr>
          <w:rFonts w:ascii="宋体" w:eastAsia="宋体" w:hAnsi="宋体" w:cs="Times New Roman" w:hint="eastAsia"/>
          <w:szCs w:val="21"/>
          <w:lang w:val="en-US" w:eastAsia="zh-CN"/>
        </w:rPr>
        <w:t>3，</w:t>
      </w:r>
      <w:r>
        <w:rPr>
          <w:rFonts w:ascii="宋体" w:eastAsia="宋体" w:hAnsi="宋体" w:cs="Times New Roman" w:hint="eastAsia"/>
          <w:szCs w:val="21"/>
        </w:rPr>
        <w:t>系统相关说明文档交付详见表</w:t>
      </w:r>
      <w:r>
        <w:rPr>
          <w:rFonts w:ascii="宋体" w:eastAsia="宋体" w:hAnsi="宋体" w:cs="Times New Roman" w:hint="eastAsia"/>
          <w:szCs w:val="21"/>
          <w:lang w:val="en-US" w:eastAsia="zh-CN"/>
        </w:rPr>
        <w:t>6</w:t>
      </w:r>
      <w:r>
        <w:rPr>
          <w:rFonts w:ascii="宋体" w:eastAsia="宋体" w:hAnsi="宋体" w:cs="Times New Roman" w:hint="eastAsia"/>
          <w:szCs w:val="21"/>
        </w:rPr>
        <w:t>-</w:t>
      </w:r>
      <w:r>
        <w:rPr>
          <w:rFonts w:ascii="宋体" w:eastAsia="宋体" w:hAnsi="宋体" w:cs="Times New Roman" w:hint="eastAsia"/>
          <w:szCs w:val="21"/>
          <w:lang w:val="en-US" w:eastAsia="zh-CN"/>
        </w:rPr>
        <w:t>4</w:t>
      </w:r>
      <w:r>
        <w:rPr>
          <w:rFonts w:ascii="宋体" w:eastAsia="宋体" w:hAnsi="宋体" w:cs="Times New Roman" w:hint="eastAsia"/>
          <w:szCs w:val="21"/>
        </w:rPr>
        <w:t>。</w:t>
      </w:r>
    </w:p>
    <w:p>
      <w:pPr>
        <w:rPr>
          <w:rFonts w:ascii="Times New Roman" w:hAnsi="Times New Roman" w:cs="Times New Roman"/>
        </w:rPr>
      </w:pPr>
      <w:r>
        <w:rPr>
          <w:rFonts w:ascii="Times New Roman" w:hAnsi="Times New Roman" w:cs="Times New Roman"/>
        </w:rPr>
        <w:t>（1）软件交付物</w:t>
      </w:r>
    </w:p>
    <w:p>
      <w:pPr>
        <w:pStyle w:val="Caption"/>
        <w:ind w:left="480"/>
        <w:rPr>
          <w:rFonts w:cs="Times New Roman"/>
          <w:bCs/>
          <w:szCs w:val="28"/>
        </w:rPr>
      </w:pPr>
      <w:r>
        <w:rPr>
          <w:rFonts w:eastAsia="黑体" w:cs="Times New Roman"/>
          <w:sz w:val="21"/>
          <w:szCs w:val="21"/>
        </w:rPr>
        <w:t>表</w:t>
      </w:r>
      <w:r>
        <w:rPr>
          <w:rFonts w:eastAsia="黑体" w:cs="Times New Roman" w:hint="eastAsia"/>
          <w:sz w:val="21"/>
          <w:szCs w:val="21"/>
          <w:lang w:val="en-US" w:eastAsia="zh-CN"/>
        </w:rPr>
        <w:t>6</w:t>
      </w:r>
      <w:r>
        <w:rPr>
          <w:rFonts w:eastAsia="黑体" w:cs="Times New Roman"/>
          <w:sz w:val="21"/>
          <w:szCs w:val="21"/>
        </w:rPr>
        <w:t>-1 软件交付物表清单</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241"/>
        <w:gridCol w:w="728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18"/>
        </w:trPr>
        <w:tc>
          <w:tcPr>
            <w:tcW w:w="728" w:type="pct"/>
            <w:vAlign w:val="center"/>
          </w:tcPr>
          <w:p>
            <w:pPr>
              <w:snapToGrid w:val="0"/>
              <w:spacing w:line="240" w:lineRule="auto"/>
              <w:jc w:val="center"/>
              <w:rPr>
                <w:rFonts w:ascii="Times New Roman" w:eastAsia="黑体" w:hAnsi="Times New Roman" w:cs="Times New Roman"/>
                <w:szCs w:val="21"/>
              </w:rPr>
            </w:pPr>
            <w:r>
              <w:rPr>
                <w:rFonts w:ascii="Times New Roman" w:eastAsia="黑体" w:hAnsi="Times New Roman" w:cs="Times New Roman"/>
                <w:sz w:val="21"/>
                <w:szCs w:val="21"/>
              </w:rPr>
              <w:t>序号</w:t>
            </w:r>
          </w:p>
        </w:tc>
        <w:tc>
          <w:tcPr>
            <w:tcW w:w="4272" w:type="pct"/>
            <w:vAlign w:val="center"/>
          </w:tcPr>
          <w:p>
            <w:pPr>
              <w:snapToGrid w:val="0"/>
              <w:spacing w:line="240" w:lineRule="auto"/>
              <w:jc w:val="center"/>
              <w:rPr>
                <w:rFonts w:ascii="Times New Roman" w:eastAsia="黑体" w:hAnsi="Times New Roman" w:cs="Times New Roman"/>
                <w:szCs w:val="21"/>
              </w:rPr>
            </w:pPr>
            <w:r>
              <w:rPr>
                <w:rFonts w:ascii="Times New Roman" w:eastAsia="黑体" w:hAnsi="Times New Roman" w:cs="Times New Roman"/>
                <w:sz w:val="21"/>
                <w:szCs w:val="21"/>
              </w:rPr>
              <w:t>交付名称</w:t>
            </w:r>
          </w:p>
        </w:tc>
      </w:tr>
      <w:tr>
        <w:tblPrEx>
          <w:tblW w:w="5000" w:type="pct"/>
          <w:tblInd w:w="0" w:type="dxa"/>
          <w:tblCellMar>
            <w:top w:w="0" w:type="dxa"/>
            <w:left w:w="108" w:type="dxa"/>
            <w:bottom w:w="0" w:type="dxa"/>
            <w:right w:w="108" w:type="dxa"/>
          </w:tblCellMar>
        </w:tblPrEx>
        <w:tc>
          <w:tcPr>
            <w:tcW w:w="728" w:type="pct"/>
            <w:vAlign w:val="center"/>
          </w:tcPr>
          <w:p>
            <w:pPr>
              <w:spacing w:line="560" w:lineRule="exact"/>
              <w:ind w:left="480"/>
              <w:rPr>
                <w:rFonts w:ascii="Times New Roman" w:hAnsi="Times New Roman" w:cs="Times New Roman"/>
                <w:bCs/>
                <w:szCs w:val="28"/>
              </w:rPr>
            </w:pPr>
            <w:r>
              <w:rPr>
                <w:rFonts w:ascii="Times New Roman" w:hAnsi="Times New Roman" w:eastAsiaTheme="minorEastAsia" w:cs="Times New Roman"/>
                <w:sz w:val="21"/>
                <w:szCs w:val="21"/>
              </w:rPr>
              <w:t>1</w:t>
            </w:r>
          </w:p>
        </w:tc>
        <w:tc>
          <w:tcPr>
            <w:tcW w:w="4272" w:type="pct"/>
            <w:vAlign w:val="center"/>
          </w:tcPr>
          <w:p>
            <w:pPr>
              <w:spacing w:line="560" w:lineRule="exact"/>
              <w:rPr>
                <w:rFonts w:ascii="Times New Roman" w:hAnsi="Times New Roman" w:cs="Times New Roman"/>
                <w:bCs/>
                <w:szCs w:val="28"/>
              </w:rPr>
            </w:pPr>
            <w:r>
              <w:rPr>
                <w:rFonts w:ascii="Times New Roman" w:hAnsi="Times New Roman" w:cs="Times New Roman"/>
                <w:sz w:val="21"/>
                <w:szCs w:val="21"/>
              </w:rPr>
              <w:t>应用软件安装包</w:t>
            </w:r>
          </w:p>
        </w:tc>
      </w:tr>
      <w:tr>
        <w:tblPrEx>
          <w:tblW w:w="5000" w:type="pct"/>
          <w:tblInd w:w="0" w:type="dxa"/>
          <w:tblCellMar>
            <w:top w:w="0" w:type="dxa"/>
            <w:left w:w="108" w:type="dxa"/>
            <w:bottom w:w="0" w:type="dxa"/>
            <w:right w:w="108" w:type="dxa"/>
          </w:tblCellMar>
        </w:tblPrEx>
        <w:tc>
          <w:tcPr>
            <w:tcW w:w="728" w:type="pct"/>
            <w:vAlign w:val="center"/>
          </w:tcPr>
          <w:p>
            <w:pPr>
              <w:spacing w:line="560" w:lineRule="exact"/>
              <w:ind w:left="480"/>
              <w:rPr>
                <w:rFonts w:ascii="Times New Roman" w:hAnsi="Times New Roman" w:cs="Times New Roman"/>
                <w:bCs/>
                <w:szCs w:val="28"/>
              </w:rPr>
            </w:pPr>
            <w:r>
              <w:rPr>
                <w:rFonts w:ascii="Times New Roman" w:hAnsi="Times New Roman" w:eastAsiaTheme="minorEastAsia" w:cs="Times New Roman"/>
                <w:sz w:val="21"/>
                <w:szCs w:val="21"/>
              </w:rPr>
              <w:t>2</w:t>
            </w:r>
          </w:p>
        </w:tc>
        <w:tc>
          <w:tcPr>
            <w:tcW w:w="4272" w:type="pct"/>
            <w:vAlign w:val="center"/>
          </w:tcPr>
          <w:p>
            <w:pPr>
              <w:spacing w:line="560" w:lineRule="exact"/>
              <w:rPr>
                <w:rFonts w:ascii="Times New Roman" w:hAnsi="Times New Roman" w:cs="Times New Roman"/>
                <w:bCs/>
                <w:szCs w:val="28"/>
              </w:rPr>
            </w:pPr>
            <w:r>
              <w:rPr>
                <w:rFonts w:ascii="Times New Roman" w:hAnsi="Times New Roman" w:cs="Times New Roman"/>
                <w:sz w:val="21"/>
                <w:szCs w:val="21"/>
              </w:rPr>
              <w:t>源代码、工程文件及程序说明</w:t>
            </w:r>
          </w:p>
        </w:tc>
      </w:tr>
    </w:tbl>
    <w:p>
      <w:pPr>
        <w:rPr>
          <w:rFonts w:ascii="Times New Roman" w:hAnsi="Times New Roman" w:cs="Times New Roman"/>
        </w:rPr>
      </w:pPr>
      <w:r>
        <w:rPr>
          <w:rFonts w:ascii="Times New Roman" w:hAnsi="Times New Roman" w:cs="Times New Roman"/>
        </w:rPr>
        <w:t>（2）产品</w:t>
      </w:r>
      <w:r>
        <w:rPr>
          <w:rFonts w:ascii="Times New Roman" w:hAnsi="Times New Roman" w:cs="Times New Roman" w:hint="eastAsia"/>
          <w:lang w:val="en-US" w:eastAsia="zh-CN"/>
        </w:rPr>
        <w:t>和模型算法</w:t>
      </w:r>
      <w:r>
        <w:rPr>
          <w:rFonts w:ascii="Times New Roman" w:hAnsi="Times New Roman" w:cs="Times New Roman"/>
        </w:rPr>
        <w:t>交付清单</w:t>
      </w:r>
    </w:p>
    <w:p>
      <w:pPr>
        <w:pStyle w:val="Caption"/>
        <w:ind w:left="480"/>
        <w:rPr>
          <w:rFonts w:cs="Times New Roman"/>
        </w:rPr>
      </w:pPr>
      <w:r>
        <w:rPr>
          <w:rFonts w:eastAsia="黑体" w:cs="Times New Roman"/>
          <w:sz w:val="21"/>
          <w:szCs w:val="21"/>
        </w:rPr>
        <w:t>表</w:t>
      </w:r>
      <w:r>
        <w:rPr>
          <w:rFonts w:eastAsia="黑体" w:cs="Times New Roman" w:hint="eastAsia"/>
          <w:sz w:val="21"/>
          <w:szCs w:val="21"/>
          <w:lang w:val="en-US" w:eastAsia="zh-CN"/>
        </w:rPr>
        <w:t>6</w:t>
      </w:r>
      <w:r>
        <w:rPr>
          <w:rFonts w:eastAsia="黑体" w:cs="Times New Roman"/>
          <w:sz w:val="21"/>
          <w:szCs w:val="21"/>
        </w:rPr>
        <w:t>-2 产品交付物表清单</w:t>
      </w:r>
    </w:p>
    <w:tbl>
      <w:tblPr>
        <w:tblStyle w:val="TableNormal"/>
        <w:tblW w:w="8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1"/>
        <w:gridCol w:w="619"/>
        <w:gridCol w:w="1131"/>
        <w:gridCol w:w="2469"/>
        <w:gridCol w:w="2450"/>
        <w:gridCol w:w="1749"/>
      </w:tblGrid>
      <w:tr>
        <w:tblPrEx>
          <w:tblW w:w="89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3"/>
          <w:tblHeader/>
          <w:jc w:val="center"/>
        </w:trPr>
        <w:tc>
          <w:tcPr>
            <w:tcW w:w="0" w:type="auto"/>
            <w:vAlign w:val="center"/>
          </w:tcPr>
          <w:p>
            <w:pPr>
              <w:widowControl/>
              <w:spacing w:line="240" w:lineRule="auto"/>
              <w:ind w:firstLine="0" w:firstLineChars="0"/>
              <w:jc w:val="center"/>
              <w:rPr>
                <w:rFonts w:ascii="仿宋_GB2312" w:hAnsi="黑体" w:cs="黑体" w:hint="eastAsia"/>
                <w:b/>
                <w:bCs/>
                <w:color w:val="000000" w:themeColor="text1"/>
                <w:szCs w:val="21"/>
              </w:rPr>
            </w:pPr>
            <w:r>
              <w:rPr>
                <w:rFonts w:ascii="仿宋_GB2312" w:hAnsi="黑体" w:cs="黑体" w:hint="eastAsia"/>
                <w:b/>
                <w:bCs/>
                <w:color w:val="000000" w:themeColor="text1"/>
                <w:sz w:val="21"/>
                <w:szCs w:val="21"/>
              </w:rPr>
              <w:t>序号</w:t>
            </w:r>
          </w:p>
        </w:tc>
        <w:tc>
          <w:tcPr>
            <w:tcW w:w="0" w:type="auto"/>
            <w:vAlign w:val="center"/>
          </w:tcPr>
          <w:p>
            <w:pPr>
              <w:widowControl/>
              <w:spacing w:line="240" w:lineRule="auto"/>
              <w:ind w:firstLine="0" w:firstLineChars="0"/>
              <w:jc w:val="center"/>
              <w:rPr>
                <w:rFonts w:ascii="仿宋_GB2312" w:hAnsi="黑体" w:cs="黑体" w:hint="eastAsia"/>
                <w:b/>
                <w:bCs/>
                <w:color w:val="000000" w:themeColor="text1"/>
                <w:szCs w:val="21"/>
              </w:rPr>
            </w:pPr>
            <w:r>
              <w:rPr>
                <w:rFonts w:ascii="仿宋_GB2312" w:hAnsi="黑体" w:cs="黑体" w:hint="eastAsia"/>
                <w:b/>
                <w:bCs/>
                <w:color w:val="000000" w:themeColor="text1"/>
                <w:sz w:val="21"/>
                <w:szCs w:val="21"/>
              </w:rPr>
              <w:t>分类</w:t>
            </w:r>
          </w:p>
        </w:tc>
        <w:tc>
          <w:tcPr>
            <w:tcW w:w="0" w:type="auto"/>
            <w:vAlign w:val="center"/>
          </w:tcPr>
          <w:p>
            <w:pPr>
              <w:widowControl/>
              <w:spacing w:line="240" w:lineRule="auto"/>
              <w:ind w:firstLine="0" w:firstLineChars="0"/>
              <w:jc w:val="center"/>
              <w:rPr>
                <w:rFonts w:ascii="仿宋_GB2312" w:hAnsi="黑体" w:cs="黑体" w:hint="eastAsia"/>
                <w:b/>
                <w:bCs/>
                <w:color w:val="000000" w:themeColor="text1"/>
                <w:szCs w:val="21"/>
              </w:rPr>
            </w:pPr>
            <w:r>
              <w:rPr>
                <w:rFonts w:ascii="仿宋_GB2312" w:hAnsi="黑体" w:cs="黑体" w:hint="eastAsia"/>
                <w:b/>
                <w:bCs/>
                <w:color w:val="000000" w:themeColor="text1"/>
                <w:sz w:val="21"/>
                <w:szCs w:val="21"/>
              </w:rPr>
              <w:t>产品名称</w:t>
            </w:r>
          </w:p>
        </w:tc>
        <w:tc>
          <w:tcPr>
            <w:tcW w:w="2469" w:type="dxa"/>
            <w:vAlign w:val="center"/>
          </w:tcPr>
          <w:p>
            <w:pPr>
              <w:widowControl/>
              <w:spacing w:line="240" w:lineRule="auto"/>
              <w:ind w:firstLine="0" w:firstLineChars="0"/>
              <w:jc w:val="center"/>
              <w:rPr>
                <w:rFonts w:ascii="仿宋_GB2312" w:hAnsi="黑体" w:cs="黑体" w:hint="eastAsia"/>
                <w:b/>
                <w:bCs/>
                <w:color w:val="000000" w:themeColor="text1"/>
                <w:szCs w:val="21"/>
              </w:rPr>
            </w:pPr>
            <w:r>
              <w:rPr>
                <w:rFonts w:ascii="仿宋_GB2312" w:hAnsi="黑体" w:cs="黑体" w:hint="eastAsia"/>
                <w:b/>
                <w:bCs/>
                <w:color w:val="000000" w:themeColor="text1"/>
                <w:sz w:val="21"/>
                <w:szCs w:val="21"/>
              </w:rPr>
              <w:t>关键要素</w:t>
            </w:r>
          </w:p>
        </w:tc>
        <w:tc>
          <w:tcPr>
            <w:tcW w:w="2450" w:type="dxa"/>
            <w:vAlign w:val="center"/>
          </w:tcPr>
          <w:p>
            <w:pPr>
              <w:widowControl/>
              <w:spacing w:line="240" w:lineRule="auto"/>
              <w:ind w:firstLine="0" w:firstLineChars="0"/>
              <w:jc w:val="center"/>
              <w:rPr>
                <w:rFonts w:ascii="仿宋_GB2312" w:hAnsi="黑体" w:cs="黑体" w:hint="eastAsia"/>
                <w:b/>
                <w:bCs/>
                <w:color w:val="000000" w:themeColor="text1"/>
                <w:szCs w:val="21"/>
              </w:rPr>
            </w:pPr>
            <w:r>
              <w:rPr>
                <w:rFonts w:ascii="仿宋_GB2312" w:hAnsi="黑体" w:cs="黑体" w:hint="eastAsia"/>
                <w:b/>
                <w:bCs/>
                <w:color w:val="000000" w:themeColor="text1"/>
                <w:sz w:val="21"/>
                <w:szCs w:val="21"/>
              </w:rPr>
              <w:t>服务对象</w:t>
            </w:r>
          </w:p>
        </w:tc>
        <w:tc>
          <w:tcPr>
            <w:tcW w:w="1749" w:type="dxa"/>
            <w:vAlign w:val="center"/>
          </w:tcPr>
          <w:p>
            <w:pPr>
              <w:widowControl/>
              <w:spacing w:line="240" w:lineRule="auto"/>
              <w:ind w:firstLine="0" w:firstLineChars="0"/>
              <w:jc w:val="center"/>
              <w:rPr>
                <w:rFonts w:ascii="仿宋_GB2312" w:hAnsi="黑体" w:cs="黑体" w:hint="eastAsia"/>
                <w:b/>
                <w:bCs/>
                <w:color w:val="000000" w:themeColor="text1"/>
                <w:szCs w:val="21"/>
              </w:rPr>
            </w:pPr>
            <w:r>
              <w:rPr>
                <w:rFonts w:ascii="仿宋_GB2312" w:hAnsi="黑体" w:cs="黑体" w:hint="eastAsia"/>
                <w:b/>
                <w:bCs/>
                <w:color w:val="000000" w:themeColor="text1"/>
                <w:sz w:val="21"/>
                <w:szCs w:val="21"/>
              </w:rPr>
              <w:t>产品指标</w:t>
            </w:r>
          </w:p>
        </w:tc>
      </w:tr>
      <w:tr>
        <w:tblPrEx>
          <w:tblW w:w="8909" w:type="dxa"/>
          <w:jc w:val="center"/>
          <w:tblCellMar>
            <w:top w:w="0" w:type="dxa"/>
            <w:left w:w="108" w:type="dxa"/>
            <w:bottom w:w="0" w:type="dxa"/>
            <w:right w:w="108" w:type="dxa"/>
          </w:tblCellMar>
        </w:tblPrEx>
        <w:trPr>
          <w:trHeight w:val="1034"/>
          <w:jc w:val="center"/>
        </w:trPr>
        <w:tc>
          <w:tcPr>
            <w:tcW w:w="0" w:type="auto"/>
            <w:vAlign w:val="center"/>
          </w:tcPr>
          <w:p>
            <w:pPr>
              <w:widowControl/>
              <w:spacing w:line="240" w:lineRule="auto"/>
              <w:ind w:firstLine="0" w:firstLineChars="0"/>
              <w:jc w:val="center"/>
              <w:rPr>
                <w:rFonts w:ascii="仿宋_GB2312" w:eastAsia="宋体" w:hAnsi="宋体" w:cs="仿宋_GB2312" w:hint="eastAsia"/>
                <w:color w:val="000000" w:themeColor="text1"/>
                <w:szCs w:val="21"/>
              </w:rPr>
            </w:pPr>
            <w:r>
              <w:rPr>
                <w:rFonts w:ascii="仿宋_GB2312" w:hAnsi="宋体" w:cs="仿宋_GB2312" w:hint="eastAsia"/>
                <w:color w:val="000000" w:themeColor="text1"/>
                <w:sz w:val="21"/>
                <w:szCs w:val="21"/>
                <w:lang w:val="en-US" w:eastAsia="zh-CN"/>
              </w:rPr>
              <w:t>1</w:t>
            </w:r>
          </w:p>
        </w:tc>
        <w:tc>
          <w:tcPr>
            <w:tcW w:w="0" w:type="auto"/>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服务产品</w:t>
            </w:r>
          </w:p>
        </w:tc>
        <w:tc>
          <w:tcPr>
            <w:tcW w:w="1131" w:type="dxa"/>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森林火险气象预报产品</w:t>
            </w:r>
          </w:p>
        </w:tc>
        <w:tc>
          <w:tcPr>
            <w:tcW w:w="2469" w:type="dxa"/>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蔓延、点燃、燃烧、能量释放等火险指数、火险等级</w:t>
            </w:r>
          </w:p>
        </w:tc>
        <w:tc>
          <w:tcPr>
            <w:tcW w:w="2450" w:type="dxa"/>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应急管理部、国家林业和草原局、内蒙古及黑龙江省气象局</w:t>
            </w:r>
          </w:p>
        </w:tc>
        <w:tc>
          <w:tcPr>
            <w:tcW w:w="1749" w:type="dxa"/>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空间分辨率</w:t>
            </w:r>
            <w:r>
              <w:rPr>
                <w:rFonts w:ascii="仿宋_GB2312" w:hAnsi="宋体" w:hint="eastAsia"/>
                <w:color w:val="000000" w:themeColor="text1"/>
                <w:sz w:val="21"/>
                <w:szCs w:val="21"/>
              </w:rPr>
              <w:t>1km</w:t>
            </w:r>
          </w:p>
        </w:tc>
      </w:tr>
      <w:tr>
        <w:tblPrEx>
          <w:tblW w:w="8909" w:type="dxa"/>
          <w:jc w:val="center"/>
          <w:tblCellMar>
            <w:top w:w="0" w:type="dxa"/>
            <w:left w:w="108" w:type="dxa"/>
            <w:bottom w:w="0" w:type="dxa"/>
            <w:right w:w="108" w:type="dxa"/>
          </w:tblCellMar>
        </w:tblPrEx>
        <w:trPr>
          <w:trHeight w:val="485"/>
          <w:jc w:val="center"/>
        </w:trPr>
        <w:tc>
          <w:tcPr>
            <w:tcW w:w="0" w:type="auto"/>
            <w:vAlign w:val="center"/>
          </w:tcPr>
          <w:p>
            <w:pPr>
              <w:widowControl/>
              <w:spacing w:line="240" w:lineRule="auto"/>
              <w:ind w:firstLine="0" w:firstLineChars="0"/>
              <w:jc w:val="center"/>
              <w:rPr>
                <w:rFonts w:ascii="仿宋_GB2312" w:eastAsia="宋体" w:hAnsi="宋体" w:cs="仿宋_GB2312" w:hint="eastAsia"/>
                <w:color w:val="000000" w:themeColor="text1"/>
                <w:szCs w:val="21"/>
              </w:rPr>
            </w:pPr>
            <w:r>
              <w:rPr>
                <w:rFonts w:ascii="仿宋_GB2312" w:hAnsi="宋体" w:cs="仿宋_GB2312" w:hint="eastAsia"/>
                <w:color w:val="000000" w:themeColor="text1"/>
                <w:sz w:val="21"/>
                <w:szCs w:val="21"/>
                <w:lang w:val="en-US" w:eastAsia="zh-CN"/>
              </w:rPr>
              <w:t>2</w:t>
            </w:r>
          </w:p>
        </w:tc>
        <w:tc>
          <w:tcPr>
            <w:tcW w:w="0" w:type="auto"/>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服务产品</w:t>
            </w:r>
          </w:p>
        </w:tc>
        <w:tc>
          <w:tcPr>
            <w:tcW w:w="1131" w:type="dxa"/>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雷击火气象风险区划</w:t>
            </w:r>
          </w:p>
        </w:tc>
        <w:tc>
          <w:tcPr>
            <w:tcW w:w="2469" w:type="dxa"/>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火险指数、闪电强度/密度、气温、降水、相对湿度、风、可燃物载量和含水量、雷击森林火灾</w:t>
            </w:r>
          </w:p>
        </w:tc>
        <w:tc>
          <w:tcPr>
            <w:tcW w:w="2450" w:type="dxa"/>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应急管理部、国家林业和草原局、内蒙古及黑龙江省气象局</w:t>
            </w:r>
          </w:p>
        </w:tc>
        <w:tc>
          <w:tcPr>
            <w:tcW w:w="1749" w:type="dxa"/>
            <w:vAlign w:val="center"/>
          </w:tcPr>
          <w:p>
            <w:pPr>
              <w:widowControl/>
              <w:spacing w:line="240" w:lineRule="auto"/>
              <w:ind w:firstLine="0" w:firstLineChars="0"/>
              <w:jc w:val="center"/>
              <w:rPr>
                <w:rFonts w:ascii="仿宋_GB2312" w:hAnsi="宋体" w:cs="仿宋_GB2312" w:hint="eastAsia"/>
                <w:color w:val="000000" w:themeColor="text1"/>
                <w:szCs w:val="21"/>
              </w:rPr>
            </w:pPr>
            <w:r>
              <w:rPr>
                <w:rFonts w:ascii="仿宋_GB2312" w:hAnsi="宋体" w:cs="仿宋_GB2312" w:hint="eastAsia"/>
                <w:color w:val="000000" w:themeColor="text1"/>
                <w:sz w:val="21"/>
                <w:szCs w:val="21"/>
              </w:rPr>
              <w:t>空间分辨率</w:t>
            </w:r>
            <w:r>
              <w:rPr>
                <w:rFonts w:ascii="仿宋_GB2312" w:hAnsi="宋体" w:hint="eastAsia"/>
                <w:color w:val="000000" w:themeColor="text1"/>
                <w:sz w:val="21"/>
                <w:szCs w:val="21"/>
              </w:rPr>
              <w:t>1km</w:t>
            </w:r>
          </w:p>
        </w:tc>
      </w:tr>
      <w:tr>
        <w:tblPrEx>
          <w:tblW w:w="8909" w:type="dxa"/>
          <w:jc w:val="center"/>
          <w:tblCellMar>
            <w:top w:w="0" w:type="dxa"/>
            <w:left w:w="108" w:type="dxa"/>
            <w:bottom w:w="0" w:type="dxa"/>
            <w:right w:w="108" w:type="dxa"/>
          </w:tblCellMar>
        </w:tblPrEx>
        <w:trPr>
          <w:trHeight w:val="485"/>
          <w:jc w:val="center"/>
        </w:trPr>
        <w:tc>
          <w:tcPr>
            <w:tcW w:w="0" w:type="auto"/>
            <w:vAlign w:val="center"/>
          </w:tcPr>
          <w:p>
            <w:pPr>
              <w:widowControl/>
              <w:spacing w:line="240" w:lineRule="auto"/>
              <w:ind w:firstLine="0" w:firstLineChars="0"/>
              <w:jc w:val="center"/>
              <w:rPr>
                <w:rFonts w:ascii="仿宋_GB2312" w:eastAsia="宋体" w:hAnsi="宋体" w:cs="仿宋_GB2312" w:hint="eastAsia"/>
                <w:color w:val="000000" w:themeColor="text1"/>
                <w:szCs w:val="21"/>
              </w:rPr>
            </w:pPr>
            <w:r>
              <w:rPr>
                <w:rFonts w:ascii="仿宋_GB2312" w:hAnsi="宋体" w:cs="仿宋_GB2312" w:hint="eastAsia"/>
                <w:color w:val="000000" w:themeColor="text1"/>
                <w:sz w:val="21"/>
                <w:szCs w:val="21"/>
                <w:lang w:val="en-US" w:eastAsia="zh-CN"/>
              </w:rPr>
              <w:t>3</w:t>
            </w:r>
          </w:p>
        </w:tc>
        <w:tc>
          <w:tcPr>
            <w:tcW w:w="0" w:type="auto"/>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数据产品</w:t>
            </w:r>
          </w:p>
        </w:tc>
        <w:tc>
          <w:tcPr>
            <w:tcW w:w="1131"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可燃物含水量估测</w:t>
            </w:r>
          </w:p>
        </w:tc>
        <w:tc>
          <w:tcPr>
            <w:tcW w:w="2469"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卫星遥感反演可燃物含水量、气温、降水、相对湿度、风</w:t>
            </w:r>
          </w:p>
        </w:tc>
        <w:tc>
          <w:tcPr>
            <w:tcW w:w="2450"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应急管理部、国家林业和草原局、内蒙古及黑龙江省气象局</w:t>
            </w:r>
          </w:p>
        </w:tc>
        <w:tc>
          <w:tcPr>
            <w:tcW w:w="1749"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空间分辨率</w:t>
            </w:r>
            <w:r>
              <w:rPr>
                <w:rFonts w:ascii="仿宋_GB2312" w:hAnsi="宋体" w:hint="eastAsia"/>
                <w:color w:val="000000" w:themeColor="text1"/>
                <w:sz w:val="21"/>
                <w:szCs w:val="21"/>
              </w:rPr>
              <w:t>1km</w:t>
            </w:r>
          </w:p>
          <w:p>
            <w:pPr>
              <w:widowControl/>
              <w:spacing w:line="240" w:lineRule="auto"/>
              <w:ind w:firstLine="0" w:firstLineChars="0"/>
              <w:jc w:val="center"/>
              <w:rPr>
                <w:rFonts w:ascii="仿宋_GB2312" w:hAnsi="宋体" w:hint="eastAsia"/>
                <w:color w:val="000000" w:themeColor="text1"/>
                <w:szCs w:val="21"/>
              </w:rPr>
            </w:pPr>
            <w:r>
              <w:rPr>
                <w:rFonts w:ascii="仿宋_GB2312" w:hAnsi="宋体" w:hint="eastAsia"/>
                <w:color w:val="000000" w:themeColor="text1"/>
                <w:sz w:val="21"/>
                <w:szCs w:val="21"/>
              </w:rPr>
              <w:t>时间分辨率1小时</w:t>
            </w:r>
          </w:p>
          <w:p>
            <w:pPr>
              <w:widowControl/>
              <w:spacing w:line="240" w:lineRule="auto"/>
              <w:ind w:firstLine="0" w:firstLineChars="0"/>
              <w:jc w:val="center"/>
              <w:rPr>
                <w:rFonts w:ascii="仿宋_GB2312" w:hAnsi="宋体" w:hint="eastAsia"/>
                <w:color w:val="000000" w:themeColor="text1"/>
                <w:szCs w:val="21"/>
              </w:rPr>
            </w:pPr>
            <w:r>
              <w:rPr>
                <w:rFonts w:ascii="仿宋_GB2312" w:hAnsi="宋体" w:hint="eastAsia"/>
                <w:color w:val="000000" w:themeColor="text1"/>
                <w:sz w:val="21"/>
                <w:szCs w:val="21"/>
              </w:rPr>
              <w:t>时效24小时</w:t>
            </w:r>
          </w:p>
        </w:tc>
      </w:tr>
      <w:tr>
        <w:tblPrEx>
          <w:tblW w:w="8909" w:type="dxa"/>
          <w:jc w:val="center"/>
          <w:tblCellMar>
            <w:top w:w="0" w:type="dxa"/>
            <w:left w:w="108" w:type="dxa"/>
            <w:bottom w:w="0" w:type="dxa"/>
            <w:right w:w="108" w:type="dxa"/>
          </w:tblCellMar>
        </w:tblPrEx>
        <w:trPr>
          <w:trHeight w:val="485"/>
          <w:jc w:val="center"/>
        </w:trPr>
        <w:tc>
          <w:tcPr>
            <w:tcW w:w="0" w:type="auto"/>
            <w:vAlign w:val="center"/>
          </w:tcPr>
          <w:p>
            <w:pPr>
              <w:widowControl/>
              <w:spacing w:line="240" w:lineRule="auto"/>
              <w:ind w:firstLine="0" w:firstLineChars="0"/>
              <w:jc w:val="center"/>
              <w:rPr>
                <w:rFonts w:ascii="仿宋_GB2312" w:eastAsia="宋体" w:hAnsi="宋体" w:cs="仿宋_GB2312" w:hint="eastAsia"/>
                <w:color w:val="000000" w:themeColor="text1"/>
                <w:szCs w:val="21"/>
              </w:rPr>
            </w:pPr>
            <w:r>
              <w:rPr>
                <w:rFonts w:ascii="仿宋_GB2312" w:hAnsi="宋体" w:cs="仿宋_GB2312" w:hint="eastAsia"/>
                <w:color w:val="000000" w:themeColor="text1"/>
                <w:sz w:val="21"/>
                <w:szCs w:val="21"/>
                <w:lang w:val="en-US" w:eastAsia="zh-CN"/>
              </w:rPr>
              <w:t>4</w:t>
            </w:r>
          </w:p>
        </w:tc>
        <w:tc>
          <w:tcPr>
            <w:tcW w:w="0" w:type="auto"/>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服务产品</w:t>
            </w:r>
          </w:p>
        </w:tc>
        <w:tc>
          <w:tcPr>
            <w:tcW w:w="1131"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森林火险气象短临预报指数</w:t>
            </w:r>
          </w:p>
        </w:tc>
        <w:tc>
          <w:tcPr>
            <w:tcW w:w="2469"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点燃指数、蔓延指数、燃烧指数、能量释放指数、综合气象风险指数</w:t>
            </w:r>
          </w:p>
        </w:tc>
        <w:tc>
          <w:tcPr>
            <w:tcW w:w="2450"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应急管理部、国家林业和草原局、内蒙古及黑龙江省气象局</w:t>
            </w:r>
          </w:p>
        </w:tc>
        <w:tc>
          <w:tcPr>
            <w:tcW w:w="1749"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空间分辨率</w:t>
            </w:r>
            <w:r>
              <w:rPr>
                <w:rFonts w:ascii="仿宋_GB2312" w:hAnsi="宋体" w:hint="eastAsia"/>
                <w:color w:val="000000" w:themeColor="text1"/>
                <w:sz w:val="21"/>
                <w:szCs w:val="21"/>
              </w:rPr>
              <w:t>1km</w:t>
            </w:r>
          </w:p>
          <w:p>
            <w:pPr>
              <w:widowControl/>
              <w:spacing w:line="240" w:lineRule="auto"/>
              <w:ind w:firstLine="0" w:firstLineChars="0"/>
              <w:jc w:val="center"/>
              <w:rPr>
                <w:rFonts w:ascii="仿宋_GB2312" w:hAnsi="宋体" w:hint="eastAsia"/>
                <w:color w:val="000000" w:themeColor="text1"/>
                <w:szCs w:val="21"/>
              </w:rPr>
            </w:pPr>
            <w:r>
              <w:rPr>
                <w:rFonts w:ascii="仿宋_GB2312" w:hAnsi="宋体" w:hint="eastAsia"/>
                <w:color w:val="000000" w:themeColor="text1"/>
                <w:sz w:val="21"/>
                <w:szCs w:val="21"/>
              </w:rPr>
              <w:t>时间分辨率1小时</w:t>
            </w:r>
          </w:p>
          <w:p>
            <w:pPr>
              <w:widowControl/>
              <w:spacing w:line="240" w:lineRule="auto"/>
              <w:ind w:firstLine="0" w:firstLineChars="0"/>
              <w:jc w:val="center"/>
              <w:rPr>
                <w:rFonts w:ascii="仿宋_GB2312" w:hAnsi="宋体" w:hint="eastAsia"/>
                <w:color w:val="000000" w:themeColor="text1"/>
                <w:szCs w:val="21"/>
              </w:rPr>
            </w:pPr>
            <w:r>
              <w:rPr>
                <w:rFonts w:ascii="仿宋_GB2312" w:hAnsi="宋体" w:hint="eastAsia"/>
                <w:color w:val="000000" w:themeColor="text1"/>
                <w:sz w:val="21"/>
                <w:szCs w:val="21"/>
              </w:rPr>
              <w:t>时效24小时</w:t>
            </w:r>
          </w:p>
        </w:tc>
      </w:tr>
      <w:tr>
        <w:tblPrEx>
          <w:tblW w:w="8909" w:type="dxa"/>
          <w:jc w:val="center"/>
          <w:tblCellMar>
            <w:top w:w="0" w:type="dxa"/>
            <w:left w:w="108" w:type="dxa"/>
            <w:bottom w:w="0" w:type="dxa"/>
            <w:right w:w="108" w:type="dxa"/>
          </w:tblCellMar>
        </w:tblPrEx>
        <w:trPr>
          <w:trHeight w:val="485"/>
          <w:jc w:val="center"/>
        </w:trPr>
        <w:tc>
          <w:tcPr>
            <w:tcW w:w="0" w:type="auto"/>
            <w:vAlign w:val="center"/>
          </w:tcPr>
          <w:p>
            <w:pPr>
              <w:widowControl/>
              <w:spacing w:line="240" w:lineRule="auto"/>
              <w:ind w:firstLine="0" w:firstLineChars="0"/>
              <w:jc w:val="center"/>
              <w:rPr>
                <w:rFonts w:ascii="仿宋_GB2312" w:eastAsia="宋体" w:hAnsi="宋体" w:cs="仿宋_GB2312" w:hint="default"/>
                <w:color w:val="000000" w:themeColor="text1"/>
                <w:szCs w:val="21"/>
              </w:rPr>
            </w:pPr>
            <w:r>
              <w:rPr>
                <w:rFonts w:ascii="仿宋_GB2312" w:hAnsi="宋体" w:cs="仿宋_GB2312" w:hint="eastAsia"/>
                <w:color w:val="000000" w:themeColor="text1"/>
                <w:sz w:val="21"/>
                <w:szCs w:val="21"/>
                <w:lang w:val="en-US" w:eastAsia="zh-CN"/>
              </w:rPr>
              <w:t>5</w:t>
            </w:r>
          </w:p>
        </w:tc>
        <w:tc>
          <w:tcPr>
            <w:tcW w:w="0" w:type="auto"/>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服务产品</w:t>
            </w:r>
          </w:p>
        </w:tc>
        <w:tc>
          <w:tcPr>
            <w:tcW w:w="1131"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雷击火气象风险短临预报</w:t>
            </w:r>
          </w:p>
        </w:tc>
        <w:tc>
          <w:tcPr>
            <w:tcW w:w="2469"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预报指数、预报等级</w:t>
            </w:r>
          </w:p>
        </w:tc>
        <w:tc>
          <w:tcPr>
            <w:tcW w:w="2450"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应急管理部、国家林业和草原局、内蒙古及黑龙江省气象局</w:t>
            </w:r>
          </w:p>
        </w:tc>
        <w:tc>
          <w:tcPr>
            <w:tcW w:w="1749"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空间分辨率</w:t>
            </w:r>
            <w:r>
              <w:rPr>
                <w:rFonts w:ascii="仿宋_GB2312" w:hAnsi="宋体" w:hint="eastAsia"/>
                <w:color w:val="000000" w:themeColor="text1"/>
                <w:sz w:val="21"/>
                <w:szCs w:val="21"/>
              </w:rPr>
              <w:t>1km</w:t>
            </w:r>
          </w:p>
          <w:p>
            <w:pPr>
              <w:widowControl/>
              <w:spacing w:line="240" w:lineRule="auto"/>
              <w:ind w:firstLine="0" w:firstLineChars="0"/>
              <w:jc w:val="center"/>
              <w:rPr>
                <w:rFonts w:ascii="仿宋_GB2312" w:hAnsi="宋体" w:hint="eastAsia"/>
                <w:color w:val="000000" w:themeColor="text1"/>
                <w:szCs w:val="21"/>
              </w:rPr>
            </w:pPr>
            <w:r>
              <w:rPr>
                <w:rFonts w:ascii="仿宋_GB2312" w:hAnsi="宋体" w:hint="eastAsia"/>
                <w:color w:val="000000" w:themeColor="text1"/>
                <w:sz w:val="21"/>
                <w:szCs w:val="21"/>
              </w:rPr>
              <w:t>时间分辨率1小时</w:t>
            </w:r>
          </w:p>
          <w:p>
            <w:pPr>
              <w:widowControl/>
              <w:spacing w:line="240" w:lineRule="auto"/>
              <w:ind w:firstLine="0" w:firstLineChars="0"/>
              <w:jc w:val="center"/>
              <w:rPr>
                <w:rFonts w:ascii="仿宋_GB2312" w:hAnsi="宋体" w:hint="eastAsia"/>
                <w:color w:val="000000" w:themeColor="text1"/>
                <w:szCs w:val="21"/>
              </w:rPr>
            </w:pPr>
            <w:r>
              <w:rPr>
                <w:rFonts w:ascii="仿宋_GB2312" w:hAnsi="宋体" w:hint="eastAsia"/>
                <w:color w:val="000000" w:themeColor="text1"/>
                <w:sz w:val="21"/>
                <w:szCs w:val="21"/>
              </w:rPr>
              <w:t>时效24小时</w:t>
            </w:r>
          </w:p>
        </w:tc>
      </w:tr>
      <w:tr>
        <w:tblPrEx>
          <w:tblW w:w="8909" w:type="dxa"/>
          <w:jc w:val="center"/>
          <w:tblCellMar>
            <w:top w:w="0" w:type="dxa"/>
            <w:left w:w="108" w:type="dxa"/>
            <w:bottom w:w="0" w:type="dxa"/>
            <w:right w:w="108" w:type="dxa"/>
          </w:tblCellMar>
        </w:tblPrEx>
        <w:trPr>
          <w:trHeight w:val="485"/>
          <w:jc w:val="center"/>
        </w:trPr>
        <w:tc>
          <w:tcPr>
            <w:tcW w:w="0" w:type="auto"/>
            <w:vAlign w:val="center"/>
          </w:tcPr>
          <w:p>
            <w:pPr>
              <w:widowControl/>
              <w:spacing w:line="240" w:lineRule="auto"/>
              <w:ind w:firstLine="0" w:firstLineChars="0"/>
              <w:jc w:val="center"/>
              <w:rPr>
                <w:rFonts w:ascii="仿宋_GB2312" w:eastAsia="宋体" w:hAnsi="宋体" w:cs="仿宋_GB2312" w:hint="eastAsia"/>
                <w:color w:val="000000" w:themeColor="text1"/>
                <w:szCs w:val="21"/>
              </w:rPr>
            </w:pPr>
            <w:r>
              <w:rPr>
                <w:rFonts w:ascii="仿宋_GB2312" w:hAnsi="宋体" w:cs="仿宋_GB2312" w:hint="eastAsia"/>
                <w:color w:val="000000" w:themeColor="text1"/>
                <w:sz w:val="21"/>
                <w:szCs w:val="21"/>
                <w:lang w:val="en-US" w:eastAsia="zh-CN"/>
              </w:rPr>
              <w:t>6</w:t>
            </w:r>
          </w:p>
        </w:tc>
        <w:tc>
          <w:tcPr>
            <w:tcW w:w="0" w:type="auto"/>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服务产品</w:t>
            </w:r>
          </w:p>
        </w:tc>
        <w:tc>
          <w:tcPr>
            <w:tcW w:w="1131"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雷击火气象风险短临预警</w:t>
            </w:r>
          </w:p>
        </w:tc>
        <w:tc>
          <w:tcPr>
            <w:tcW w:w="2469"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预警等级</w:t>
            </w:r>
          </w:p>
        </w:tc>
        <w:tc>
          <w:tcPr>
            <w:tcW w:w="2450"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应急管理部、国家林业和草原局、内蒙古及黑龙江省气象局</w:t>
            </w:r>
          </w:p>
        </w:tc>
        <w:tc>
          <w:tcPr>
            <w:tcW w:w="1749" w:type="dxa"/>
            <w:vAlign w:val="center"/>
          </w:tcPr>
          <w:p>
            <w:pPr>
              <w:widowControl/>
              <w:spacing w:line="240" w:lineRule="auto"/>
              <w:ind w:firstLine="0" w:firstLineChars="0"/>
              <w:jc w:val="center"/>
              <w:rPr>
                <w:rFonts w:ascii="仿宋_GB2312" w:hAnsi="宋体" w:hint="eastAsia"/>
                <w:color w:val="000000" w:themeColor="text1"/>
                <w:szCs w:val="21"/>
              </w:rPr>
            </w:pPr>
            <w:r>
              <w:rPr>
                <w:rFonts w:ascii="仿宋_GB2312" w:hAnsi="宋体" w:cs="仿宋_GB2312" w:hint="eastAsia"/>
                <w:color w:val="000000" w:themeColor="text1"/>
                <w:sz w:val="21"/>
                <w:szCs w:val="21"/>
              </w:rPr>
              <w:t>空间分辨率</w:t>
            </w:r>
            <w:r>
              <w:rPr>
                <w:rFonts w:ascii="仿宋_GB2312" w:hAnsi="宋体" w:hint="eastAsia"/>
                <w:color w:val="000000" w:themeColor="text1"/>
                <w:sz w:val="21"/>
                <w:szCs w:val="21"/>
              </w:rPr>
              <w:t>1km</w:t>
            </w:r>
          </w:p>
          <w:p>
            <w:pPr>
              <w:widowControl/>
              <w:spacing w:line="240" w:lineRule="auto"/>
              <w:ind w:firstLine="0" w:firstLineChars="0"/>
              <w:jc w:val="center"/>
              <w:rPr>
                <w:rFonts w:ascii="仿宋_GB2312" w:hAnsi="宋体" w:hint="eastAsia"/>
                <w:color w:val="000000" w:themeColor="text1"/>
                <w:szCs w:val="21"/>
              </w:rPr>
            </w:pPr>
            <w:r>
              <w:rPr>
                <w:rFonts w:ascii="仿宋_GB2312" w:hAnsi="宋体" w:hint="eastAsia"/>
                <w:color w:val="000000" w:themeColor="text1"/>
                <w:sz w:val="21"/>
                <w:szCs w:val="21"/>
              </w:rPr>
              <w:t>时间分辨率1小时</w:t>
            </w:r>
          </w:p>
          <w:p>
            <w:pPr>
              <w:widowControl/>
              <w:spacing w:line="240" w:lineRule="auto"/>
              <w:ind w:firstLine="0" w:firstLineChars="0"/>
              <w:jc w:val="center"/>
              <w:rPr>
                <w:rFonts w:ascii="仿宋_GB2312" w:hAnsi="宋体" w:hint="eastAsia"/>
                <w:color w:val="000000" w:themeColor="text1"/>
                <w:szCs w:val="21"/>
              </w:rPr>
            </w:pPr>
            <w:r>
              <w:rPr>
                <w:rFonts w:ascii="仿宋_GB2312" w:hAnsi="宋体" w:hint="eastAsia"/>
                <w:color w:val="000000" w:themeColor="text1"/>
                <w:sz w:val="21"/>
                <w:szCs w:val="21"/>
              </w:rPr>
              <w:t>时效24小时</w:t>
            </w:r>
          </w:p>
        </w:tc>
      </w:tr>
    </w:tbl>
    <w:p>
      <w:pPr>
        <w:rPr>
          <w:rFonts w:ascii="Times New Roman" w:hAnsi="Times New Roman" w:cs="Times New Roman"/>
        </w:rPr>
      </w:pPr>
    </w:p>
    <w:p>
      <w:pPr>
        <w:pStyle w:val="BodyTextFirstIndent"/>
        <w:jc w:val="center"/>
      </w:pPr>
      <w:r>
        <w:rPr>
          <w:rFonts w:eastAsia="黑体" w:cs="Times New Roman"/>
          <w:sz w:val="21"/>
          <w:szCs w:val="21"/>
        </w:rPr>
        <w:t>表</w:t>
      </w:r>
      <w:r>
        <w:rPr>
          <w:rFonts w:eastAsia="黑体" w:cs="Times New Roman" w:hint="eastAsia"/>
          <w:sz w:val="21"/>
          <w:szCs w:val="21"/>
          <w:lang w:val="en-US" w:eastAsia="zh-CN"/>
        </w:rPr>
        <w:t>6</w:t>
      </w:r>
      <w:r>
        <w:rPr>
          <w:rFonts w:eastAsia="黑体" w:cs="Times New Roman"/>
          <w:sz w:val="21"/>
          <w:szCs w:val="21"/>
        </w:rPr>
        <w:t>-</w:t>
      </w:r>
      <w:r>
        <w:rPr>
          <w:rFonts w:eastAsia="黑体" w:cs="Times New Roman" w:hint="eastAsia"/>
          <w:sz w:val="21"/>
          <w:szCs w:val="21"/>
          <w:lang w:val="en-US" w:eastAsia="zh-CN"/>
        </w:rPr>
        <w:t>3</w:t>
      </w:r>
      <w:r>
        <w:rPr>
          <w:rFonts w:eastAsia="黑体" w:cs="Times New Roman"/>
          <w:sz w:val="21"/>
          <w:szCs w:val="21"/>
        </w:rPr>
        <w:t xml:space="preserve"> 产品交付物表清单</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07"/>
        <w:gridCol w:w="1012"/>
        <w:gridCol w:w="5818"/>
        <w:gridCol w:w="118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hAnsi="宋体" w:cs="仿宋_GB2312" w:hint="eastAsia"/>
                <w:szCs w:val="21"/>
              </w:rPr>
            </w:pPr>
            <w:r>
              <w:rPr>
                <w:rFonts w:ascii="仿宋_GB2312" w:hAnsi="黑体" w:cs="黑体" w:hint="eastAsia"/>
                <w:b/>
                <w:bCs/>
                <w:sz w:val="24"/>
                <w:szCs w:val="24"/>
              </w:rPr>
              <w:t>序号</w:t>
            </w:r>
          </w:p>
        </w:tc>
        <w:tc>
          <w:tcPr>
            <w:tcW w:w="0" w:type="auto"/>
            <w:vAlign w:val="center"/>
          </w:tcPr>
          <w:p>
            <w:pPr>
              <w:widowControl/>
              <w:spacing w:line="240" w:lineRule="auto"/>
              <w:ind w:firstLine="0" w:firstLineChars="0"/>
              <w:jc w:val="center"/>
              <w:rPr>
                <w:rFonts w:ascii="仿宋_GB2312" w:hAnsi="宋体" w:cs="仿宋_GB2312" w:hint="eastAsia"/>
                <w:szCs w:val="21"/>
              </w:rPr>
            </w:pPr>
            <w:r>
              <w:rPr>
                <w:rFonts w:ascii="仿宋_GB2312" w:hAnsi="黑体" w:cs="黑体" w:hint="eastAsia"/>
                <w:b/>
                <w:bCs/>
                <w:kern w:val="0"/>
                <w:sz w:val="24"/>
                <w:szCs w:val="24"/>
              </w:rPr>
              <w:t>算法名称</w:t>
            </w:r>
          </w:p>
        </w:tc>
        <w:tc>
          <w:tcPr>
            <w:tcW w:w="0" w:type="auto"/>
            <w:vAlign w:val="center"/>
          </w:tcPr>
          <w:p>
            <w:pPr>
              <w:widowControl/>
              <w:spacing w:line="240" w:lineRule="auto"/>
              <w:ind w:firstLine="0" w:firstLineChars="0"/>
              <w:jc w:val="center"/>
              <w:rPr>
                <w:rFonts w:ascii="仿宋_GB2312" w:hAnsi="宋体" w:cs="仿宋_GB2312" w:hint="eastAsia"/>
                <w:szCs w:val="21"/>
              </w:rPr>
            </w:pPr>
            <w:r>
              <w:rPr>
                <w:rFonts w:ascii="仿宋_GB2312" w:hAnsi="黑体" w:cs="黑体" w:hint="eastAsia"/>
                <w:b/>
                <w:bCs/>
                <w:kern w:val="0"/>
                <w:sz w:val="24"/>
                <w:szCs w:val="24"/>
              </w:rPr>
              <w:t>算法简述</w:t>
            </w:r>
          </w:p>
        </w:tc>
        <w:tc>
          <w:tcPr>
            <w:tcW w:w="0" w:type="auto"/>
            <w:vAlign w:val="center"/>
          </w:tcPr>
          <w:p>
            <w:pPr>
              <w:widowControl/>
              <w:spacing w:line="240" w:lineRule="auto"/>
              <w:ind w:firstLine="0" w:firstLineChars="0"/>
              <w:jc w:val="center"/>
              <w:rPr>
                <w:rFonts w:ascii="仿宋_GB2312" w:hAnsi="宋体" w:cs="仿宋_GB2312" w:hint="eastAsia"/>
                <w:szCs w:val="21"/>
              </w:rPr>
            </w:pPr>
            <w:r>
              <w:rPr>
                <w:rFonts w:ascii="仿宋_GB2312" w:hAnsi="黑体" w:cs="黑体" w:hint="eastAsia"/>
                <w:b/>
                <w:bCs/>
                <w:kern w:val="0"/>
                <w:sz w:val="24"/>
                <w:szCs w:val="24"/>
              </w:rPr>
              <w:t>应用方向</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1</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雷击火环境影响阈值算法</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通过敏感性、相关性分析方法，基于雷击森林火灾与火环境相关关系分析结果，研发不同时段、不同区域雷击火发生火环境因子阈值指标算法</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雷击火气象风险预报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2</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雷击火风险区划算法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采用人工智能、机器学习等方法，基于火险指数、闪电、可燃物、雷击森林火灾等数据。构建雷击火风险区划模型算法，通过调参、重要性分析等，实现雷击火风险区划指数计算，采用权重及层次分析方法，基于森林火险气象等级划分标准，对雷击火风险区划指数进行分级</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雷击火气象风险预报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3</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森林火险气象预报指数算法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基于气象、可燃物、数值预报、森林火灾数据等，基于燃烧机理，采用数理统计、机器学习算法，构建大兴安岭林区未来1-3小时森林火灾点燃指数、燃烧指数、能量释放指数、蔓延指数、综合风险指数算法构建。</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森林火险气象预报及雷击火气象风险预报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4</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可燃物含水率估测算法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基于平衡含水率方法，根据可燃物分类信息，考虑气象条件对可燃物含水率变化的影响，采用机器学习方法，构建可燃物含水率估测算法，实现对未来1-3小时不同种类可燃物含水率变化估测</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森林火险气象预报及雷击火气象风险预报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5</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干旱指数预报算法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依据《气象干旱等级》国家标准，采用机器学习方法，基于历史气象数据、气象实况、数值预报等，构建气象干旱指数预报算法，实现对1-3小时气象干旱变化预报</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森林火险气象预报及雷击火气象风险预报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6</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雷击火气象风险预报算法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依据《森林火险气象等级国家标准》，采用人工智能、机器学习方法，基于火险指数、可燃物估测、闪电监测及预报、气象信息、地理信息等，构建雷击火气象风险短临预报算法，实现未来1-3小时雷击火气象风险指数计算</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雷击火气象风险预报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7</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森林火险气象预报指数检验算法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采用命中率、相关分析等方法，对雷击火高发期内森林火险各指数进行检验。</w:t>
            </w:r>
          </w:p>
        </w:tc>
        <w:tc>
          <w:tcPr>
            <w:tcW w:w="0" w:type="auto"/>
            <w:vAlign w:val="center"/>
          </w:tcPr>
          <w:p>
            <w:pPr>
              <w:widowControl/>
              <w:spacing w:line="240" w:lineRule="auto"/>
              <w:ind w:firstLine="0" w:firstLineChars="0"/>
              <w:rPr>
                <w:rFonts w:ascii="仿宋_GB2312" w:hAnsi="宋体" w:cs="仿宋_GB2312" w:hint="eastAsia"/>
                <w:szCs w:val="21"/>
              </w:rPr>
            </w:pPr>
            <w:bookmarkStart w:id="225" w:name="OLE_LINK183"/>
            <w:r>
              <w:rPr>
                <w:rFonts w:ascii="仿宋_GB2312" w:hAnsi="宋体" w:cs="仿宋_GB2312" w:hint="eastAsia"/>
                <w:sz w:val="21"/>
                <w:szCs w:val="21"/>
              </w:rPr>
              <w:t>森林火险气象预报及雷击火气象风险预报</w:t>
            </w:r>
            <w:bookmarkEnd w:id="225"/>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8</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可燃物含水率估测检验算法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基于卫星遥感反演、实地观测等获取的可燃物含水量数据，根据可燃物含水率估测分级方法，对观测数据进行分级处理，采用相关分析、对比验证等方法，实现对可燃物含水率估测数据验证</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雷击火气象风险预报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eastAsia"/>
                <w:szCs w:val="21"/>
              </w:rPr>
            </w:pPr>
            <w:r>
              <w:rPr>
                <w:rFonts w:ascii="仿宋_GB2312" w:hAnsi="宋体" w:cs="仿宋_GB2312" w:hint="eastAsia"/>
                <w:sz w:val="21"/>
                <w:szCs w:val="21"/>
                <w:lang w:val="en-US" w:eastAsia="zh-CN"/>
              </w:rPr>
              <w:t>9</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干旱指数预报检验算法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参考国家气候中心气象干旱综合指数产品，基于干旱指数实况，对干旱指数预报等级、范围进行检验</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雷击火气象风险短临预报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宋体" w:cs="仿宋_GB2312" w:hint="default"/>
                <w:szCs w:val="21"/>
              </w:rPr>
            </w:pPr>
            <w:r>
              <w:rPr>
                <w:rFonts w:ascii="仿宋_GB2312" w:hAnsi="宋体" w:cs="仿宋_GB2312" w:hint="eastAsia"/>
                <w:sz w:val="21"/>
                <w:szCs w:val="21"/>
                <w:lang w:val="en-US" w:eastAsia="zh-CN"/>
              </w:rPr>
              <w:t>10</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雷击火气象风险预报检验算法</w:t>
            </w:r>
          </w:p>
        </w:tc>
        <w:tc>
          <w:tcPr>
            <w:tcW w:w="0" w:type="auto"/>
            <w:vAlign w:val="center"/>
          </w:tcPr>
          <w:p>
            <w:pPr>
              <w:widowControl/>
              <w:spacing w:line="240" w:lineRule="auto"/>
              <w:ind w:firstLine="0" w:firstLineChars="0"/>
              <w:rPr>
                <w:rFonts w:ascii="仿宋_GB2312" w:hAnsi="宋体" w:hint="eastAsia"/>
                <w:szCs w:val="21"/>
              </w:rPr>
            </w:pPr>
            <w:r>
              <w:rPr>
                <w:rFonts w:ascii="仿宋_GB2312" w:hAnsi="宋体" w:hint="eastAsia"/>
                <w:sz w:val="21"/>
                <w:szCs w:val="21"/>
              </w:rPr>
              <w:t>采用命中率、相关分析等方法，基于雷击森林火灾数据，对雷击火高发期内击火气象风险短临预报指数进行验证</w:t>
            </w:r>
          </w:p>
        </w:tc>
        <w:tc>
          <w:tcPr>
            <w:tcW w:w="0" w:type="auto"/>
            <w:vAlign w:val="center"/>
          </w:tcPr>
          <w:p>
            <w:pPr>
              <w:widowControl/>
              <w:spacing w:line="240" w:lineRule="auto"/>
              <w:ind w:firstLine="0" w:firstLineChars="0"/>
              <w:rPr>
                <w:rFonts w:ascii="仿宋_GB2312" w:hAnsi="宋体" w:cs="仿宋_GB2312" w:hint="eastAsia"/>
                <w:szCs w:val="21"/>
              </w:rPr>
            </w:pPr>
            <w:r>
              <w:rPr>
                <w:rFonts w:ascii="仿宋_GB2312" w:hAnsi="宋体" w:cs="仿宋_GB2312" w:hint="eastAsia"/>
                <w:sz w:val="21"/>
                <w:szCs w:val="21"/>
              </w:rPr>
              <w:t>雷击火气象风险预报</w:t>
            </w:r>
          </w:p>
        </w:tc>
      </w:tr>
      <w:tr>
        <w:tblPrEx>
          <w:tblW w:w="0" w:type="auto"/>
          <w:tblInd w:w="0" w:type="dxa"/>
          <w:tblCellMar>
            <w:top w:w="0" w:type="dxa"/>
            <w:left w:w="108" w:type="dxa"/>
            <w:bottom w:w="0" w:type="dxa"/>
            <w:right w:w="108" w:type="dxa"/>
          </w:tblCellMar>
        </w:tblPrEx>
        <w:trPr>
          <w:trHeight w:val="485"/>
        </w:trPr>
        <w:tc>
          <w:tcPr>
            <w:tcW w:w="0" w:type="auto"/>
            <w:vAlign w:val="center"/>
          </w:tcPr>
          <w:p>
            <w:pPr>
              <w:widowControl/>
              <w:spacing w:line="240" w:lineRule="auto"/>
              <w:ind w:firstLine="0" w:firstLineChars="0"/>
              <w:jc w:val="center"/>
              <w:rPr>
                <w:rFonts w:ascii="仿宋_GB2312" w:eastAsia="宋体" w:hAnsi="仿宋_GB2312" w:cs="仿宋_GB2312" w:hint="default"/>
                <w:szCs w:val="21"/>
              </w:rPr>
            </w:pPr>
            <w:r>
              <w:rPr>
                <w:rFonts w:ascii="仿宋_GB2312" w:hAnsi="仿宋_GB2312" w:cs="仿宋_GB2312" w:hint="eastAsia"/>
                <w:sz w:val="21"/>
                <w:szCs w:val="21"/>
                <w:lang w:val="en-US" w:eastAsia="zh-CN"/>
              </w:rPr>
              <w:t>11</w:t>
            </w:r>
          </w:p>
        </w:tc>
        <w:tc>
          <w:tcPr>
            <w:tcW w:w="0" w:type="auto"/>
            <w:vAlign w:val="center"/>
          </w:tcPr>
          <w:p>
            <w:pPr>
              <w:widowControl/>
              <w:spacing w:line="240" w:lineRule="auto"/>
              <w:ind w:firstLine="0" w:firstLineChars="0"/>
              <w:rPr>
                <w:rFonts w:ascii="仿宋_GB2312" w:hAnsi="仿宋_GB2312" w:cs="仿宋_GB2312" w:hint="eastAsia"/>
                <w:szCs w:val="21"/>
              </w:rPr>
            </w:pPr>
            <w:r>
              <w:rPr>
                <w:rFonts w:ascii="仿宋_GB2312" w:hint="eastAsia"/>
                <w:sz w:val="21"/>
                <w:szCs w:val="21"/>
              </w:rPr>
              <w:t>火场精细化预报算法</w:t>
            </w:r>
          </w:p>
        </w:tc>
        <w:tc>
          <w:tcPr>
            <w:tcW w:w="0" w:type="auto"/>
            <w:vAlign w:val="center"/>
          </w:tcPr>
          <w:p>
            <w:pPr>
              <w:widowControl/>
              <w:spacing w:line="240" w:lineRule="auto"/>
              <w:ind w:firstLine="0" w:firstLineChars="0"/>
              <w:rPr>
                <w:rFonts w:ascii="仿宋_GB2312" w:hAnsi="仿宋_GB2312" w:cs="仿宋_GB2312" w:hint="eastAsia"/>
                <w:szCs w:val="21"/>
              </w:rPr>
            </w:pPr>
            <w:r>
              <w:rPr>
                <w:rFonts w:ascii="仿宋_GB2312" w:hint="eastAsia"/>
                <w:sz w:val="21"/>
                <w:szCs w:val="21"/>
              </w:rPr>
              <w:t>利用智能网格预报产品和内蒙古精细化数值天气预报产品，构建火场精细化预报算法</w:t>
            </w:r>
          </w:p>
        </w:tc>
        <w:tc>
          <w:tcPr>
            <w:tcW w:w="0" w:type="auto"/>
            <w:vAlign w:val="center"/>
          </w:tcPr>
          <w:p>
            <w:pPr>
              <w:widowControl/>
              <w:spacing w:line="240" w:lineRule="auto"/>
              <w:ind w:firstLine="0" w:firstLineChars="0"/>
              <w:rPr>
                <w:rFonts w:ascii="仿宋_GB2312" w:hAnsi="仿宋_GB2312" w:cs="仿宋_GB2312" w:hint="eastAsia"/>
                <w:szCs w:val="21"/>
              </w:rPr>
            </w:pPr>
            <w:r>
              <w:rPr>
                <w:rFonts w:ascii="仿宋_GB2312" w:hint="eastAsia"/>
                <w:sz w:val="21"/>
                <w:szCs w:val="21"/>
              </w:rPr>
              <w:t>精细化场景预报服务</w:t>
            </w:r>
          </w:p>
        </w:tc>
      </w:tr>
    </w:tbl>
    <w:p>
      <w:pPr>
        <w:rPr>
          <w:rFonts w:ascii="Times New Roman" w:hAnsi="Times New Roman" w:cs="Times New Roman"/>
        </w:rPr>
      </w:pPr>
    </w:p>
    <w:p>
      <w:pPr>
        <w:rPr>
          <w:rFonts w:ascii="Times New Roman" w:hAnsi="Times New Roman" w:cs="Times New Roman"/>
        </w:rPr>
      </w:pPr>
      <w:r>
        <w:rPr>
          <w:rFonts w:ascii="Times New Roman" w:hAnsi="Times New Roman" w:cs="Times New Roman"/>
        </w:rPr>
        <w:t>（3）文档交付物</w:t>
      </w:r>
    </w:p>
    <w:p>
      <w:pPr>
        <w:pStyle w:val="Caption"/>
        <w:ind w:left="480"/>
        <w:rPr>
          <w:rFonts w:eastAsia="黑体" w:cs="Times New Roman"/>
          <w:szCs w:val="21"/>
        </w:rPr>
      </w:pPr>
      <w:r>
        <w:rPr>
          <w:rFonts w:eastAsia="黑体" w:cs="Times New Roman"/>
          <w:sz w:val="21"/>
          <w:szCs w:val="21"/>
        </w:rPr>
        <w:t>表</w:t>
      </w:r>
      <w:r>
        <w:rPr>
          <w:rFonts w:eastAsia="黑体" w:cs="Times New Roman" w:hint="eastAsia"/>
          <w:sz w:val="21"/>
          <w:szCs w:val="21"/>
          <w:lang w:val="en-US" w:eastAsia="zh-CN"/>
        </w:rPr>
        <w:t>6</w:t>
      </w:r>
      <w:r>
        <w:rPr>
          <w:rFonts w:eastAsia="黑体" w:cs="Times New Roman"/>
          <w:sz w:val="21"/>
          <w:szCs w:val="21"/>
        </w:rPr>
        <w:t>-</w:t>
      </w:r>
      <w:r>
        <w:rPr>
          <w:rFonts w:eastAsia="黑体" w:cs="Times New Roman" w:hint="eastAsia"/>
          <w:sz w:val="21"/>
          <w:szCs w:val="21"/>
          <w:lang w:val="en-US" w:eastAsia="zh-CN"/>
        </w:rPr>
        <w:t>4</w:t>
      </w:r>
      <w:r>
        <w:rPr>
          <w:rFonts w:eastAsia="黑体" w:cs="Times New Roman"/>
          <w:sz w:val="21"/>
          <w:szCs w:val="21"/>
        </w:rPr>
        <w:t xml:space="preserve"> 文档交付物清单</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2041"/>
        <w:gridCol w:w="6962"/>
      </w:tblGrid>
      <w:tr>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jc w:val="center"/>
        </w:trPr>
        <w:tc>
          <w:tcPr>
            <w:tcW w:w="1951" w:type="dxa"/>
            <w:shd w:val="pct10" w:color="auto" w:fill="auto"/>
            <w:vAlign w:val="center"/>
          </w:tcPr>
          <w:p>
            <w:pPr>
              <w:pStyle w:val="B"/>
              <w:spacing w:before="156" w:beforeLines="50"/>
              <w:rPr>
                <w:rFonts w:ascii="Times New Roman" w:eastAsia="宋体" w:hAnsi="Times New Roman" w:cs="Times New Roman"/>
              </w:rPr>
            </w:pPr>
            <w:r>
              <w:rPr>
                <w:rFonts w:ascii="Times New Roman" w:eastAsia="宋体" w:hAnsi="Times New Roman" w:cs="Times New Roman"/>
              </w:rPr>
              <w:t>项目阶段</w:t>
            </w:r>
          </w:p>
        </w:tc>
        <w:tc>
          <w:tcPr>
            <w:tcW w:w="6656" w:type="dxa"/>
            <w:shd w:val="pct10" w:color="auto" w:fill="auto"/>
            <w:vAlign w:val="center"/>
          </w:tcPr>
          <w:p>
            <w:pPr>
              <w:pStyle w:val="B"/>
              <w:spacing w:before="156" w:beforeLines="50"/>
              <w:rPr>
                <w:rFonts w:ascii="Times New Roman" w:eastAsia="宋体" w:hAnsi="Times New Roman" w:cs="Times New Roman"/>
              </w:rPr>
            </w:pPr>
            <w:r>
              <w:rPr>
                <w:rFonts w:ascii="Times New Roman" w:eastAsia="宋体" w:hAnsi="Times New Roman" w:cs="Times New Roman"/>
              </w:rPr>
              <w:t>文档成果</w:t>
            </w:r>
          </w:p>
        </w:tc>
      </w:tr>
      <w:tr>
        <w:tblPrEx>
          <w:tblW w:w="5000" w:type="pct"/>
          <w:jc w:val="center"/>
          <w:tblLayout w:type="fixed"/>
          <w:tblCellMar>
            <w:top w:w="0" w:type="dxa"/>
            <w:left w:w="108" w:type="dxa"/>
            <w:bottom w:w="0" w:type="dxa"/>
            <w:right w:w="108" w:type="dxa"/>
          </w:tblCellMar>
        </w:tblPrEx>
        <w:trPr>
          <w:jc w:val="center"/>
        </w:trPr>
        <w:tc>
          <w:tcPr>
            <w:tcW w:w="1951" w:type="dxa"/>
            <w:vAlign w:val="center"/>
          </w:tcPr>
          <w:p>
            <w:pPr>
              <w:snapToGrid w:val="0"/>
              <w:spacing w:before="156" w:beforeLines="50" w:line="240" w:lineRule="auto"/>
              <w:ind w:left="480"/>
              <w:rPr>
                <w:rFonts w:ascii="Times New Roman" w:hAnsi="Times New Roman" w:cs="Times New Roman"/>
                <w:szCs w:val="21"/>
              </w:rPr>
            </w:pPr>
            <w:r>
              <w:rPr>
                <w:rFonts w:ascii="Times New Roman" w:hAnsi="Times New Roman" w:cs="Times New Roman"/>
                <w:sz w:val="21"/>
                <w:szCs w:val="21"/>
              </w:rPr>
              <w:t>需求分析</w:t>
            </w: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需求设计说明书</w:t>
            </w:r>
          </w:p>
        </w:tc>
      </w:tr>
      <w:tr>
        <w:tblPrEx>
          <w:tblW w:w="5000" w:type="pct"/>
          <w:jc w:val="center"/>
          <w:tblLayout w:type="fixed"/>
          <w:tblCellMar>
            <w:top w:w="0" w:type="dxa"/>
            <w:left w:w="108" w:type="dxa"/>
            <w:bottom w:w="0" w:type="dxa"/>
            <w:right w:w="108" w:type="dxa"/>
          </w:tblCellMar>
        </w:tblPrEx>
        <w:trPr>
          <w:jc w:val="center"/>
        </w:trPr>
        <w:tc>
          <w:tcPr>
            <w:tcW w:w="1951" w:type="dxa"/>
            <w:vAlign w:val="center"/>
          </w:tcPr>
          <w:p>
            <w:pPr>
              <w:snapToGrid w:val="0"/>
              <w:spacing w:before="156" w:beforeLines="50" w:line="240" w:lineRule="auto"/>
              <w:ind w:left="480"/>
              <w:rPr>
                <w:rFonts w:ascii="Times New Roman" w:hAnsi="Times New Roman" w:cs="Times New Roman"/>
                <w:szCs w:val="21"/>
              </w:rPr>
            </w:pPr>
            <w:r>
              <w:rPr>
                <w:rFonts w:ascii="Times New Roman" w:hAnsi="Times New Roman" w:cs="Times New Roman"/>
                <w:sz w:val="21"/>
                <w:szCs w:val="21"/>
              </w:rPr>
              <w:t>设计和开发</w:t>
            </w: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概要设计说明书</w:t>
            </w:r>
          </w:p>
        </w:tc>
      </w:tr>
      <w:tr>
        <w:tblPrEx>
          <w:tblW w:w="5000" w:type="pct"/>
          <w:jc w:val="center"/>
          <w:tblLayout w:type="fixed"/>
          <w:tblCellMar>
            <w:top w:w="0" w:type="dxa"/>
            <w:left w:w="108" w:type="dxa"/>
            <w:bottom w:w="0" w:type="dxa"/>
            <w:right w:w="108" w:type="dxa"/>
          </w:tblCellMar>
        </w:tblPrEx>
        <w:trPr>
          <w:jc w:val="center"/>
        </w:trPr>
        <w:tc>
          <w:tcPr>
            <w:tcW w:w="1951" w:type="dxa"/>
            <w:vAlign w:val="center"/>
          </w:tcPr>
          <w:p>
            <w:pPr>
              <w:snapToGrid w:val="0"/>
              <w:spacing w:before="156" w:beforeLines="50" w:line="240" w:lineRule="auto"/>
              <w:ind w:left="480"/>
              <w:rPr>
                <w:rFonts w:ascii="Times New Roman" w:hAnsi="Times New Roman" w:cs="Times New Roman"/>
                <w:szCs w:val="21"/>
              </w:rPr>
            </w:pPr>
            <w:r>
              <w:rPr>
                <w:rFonts w:ascii="Times New Roman" w:hAnsi="Times New Roman" w:cs="Times New Roman"/>
                <w:sz w:val="21"/>
                <w:szCs w:val="21"/>
              </w:rPr>
              <w:t>方案设计</w:t>
            </w:r>
          </w:p>
        </w:tc>
        <w:tc>
          <w:tcPr>
            <w:tcW w:w="6656" w:type="dxa"/>
            <w:vAlign w:val="center"/>
          </w:tcPr>
          <w:p>
            <w:pPr>
              <w:snapToGrid w:val="0"/>
              <w:spacing w:before="156" w:beforeLines="50" w:line="240" w:lineRule="auto"/>
              <w:rPr>
                <w:rFonts w:ascii="Times New Roman" w:hAnsi="Times New Roman" w:cs="Times New Roman" w:hint="default"/>
                <w:szCs w:val="21"/>
              </w:rPr>
            </w:pPr>
            <w:r>
              <w:rPr>
                <w:rFonts w:ascii="Times New Roman" w:hAnsi="Times New Roman" w:cs="Times New Roman" w:hint="eastAsia"/>
                <w:sz w:val="21"/>
                <w:szCs w:val="21"/>
                <w:lang w:val="en-US" w:eastAsia="zh-CN"/>
              </w:rPr>
              <w:t>详细设计说明书</w:t>
            </w:r>
          </w:p>
        </w:tc>
      </w:tr>
      <w:tr>
        <w:tblPrEx>
          <w:tblW w:w="5000" w:type="pct"/>
          <w:jc w:val="center"/>
          <w:tblLayout w:type="fixed"/>
          <w:tblCellMar>
            <w:top w:w="0" w:type="dxa"/>
            <w:left w:w="108" w:type="dxa"/>
            <w:bottom w:w="0" w:type="dxa"/>
            <w:right w:w="108" w:type="dxa"/>
          </w:tblCellMar>
        </w:tblPrEx>
        <w:trPr>
          <w:jc w:val="center"/>
        </w:trPr>
        <w:tc>
          <w:tcPr>
            <w:tcW w:w="1951" w:type="dxa"/>
            <w:vAlign w:val="center"/>
          </w:tcPr>
          <w:p>
            <w:pPr>
              <w:snapToGrid w:val="0"/>
              <w:spacing w:before="156" w:beforeLines="50" w:line="240" w:lineRule="auto"/>
              <w:ind w:left="480"/>
              <w:rPr>
                <w:rFonts w:ascii="Times New Roman" w:hAnsi="Times New Roman" w:cs="Times New Roman"/>
                <w:szCs w:val="21"/>
              </w:rPr>
            </w:pPr>
            <w:r>
              <w:rPr>
                <w:rFonts w:ascii="Times New Roman" w:hAnsi="Times New Roman" w:cs="Times New Roman"/>
                <w:sz w:val="21"/>
                <w:szCs w:val="21"/>
              </w:rPr>
              <w:t>标准规范</w:t>
            </w: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hint="eastAsia"/>
                <w:sz w:val="21"/>
                <w:szCs w:val="21"/>
              </w:rPr>
              <w:t>森林雷击火气象服务业务规范</w:t>
            </w:r>
            <w:r>
              <w:rPr>
                <w:rFonts w:ascii="Times New Roman" w:hAnsi="Times New Roman" w:cs="Times New Roman" w:hint="eastAsia"/>
                <w:sz w:val="21"/>
                <w:szCs w:val="21"/>
                <w:lang w:eastAsia="zh-CN"/>
              </w:rPr>
              <w:t>、</w:t>
            </w:r>
            <w:r>
              <w:rPr>
                <w:rFonts w:ascii="Times New Roman" w:hAnsi="Times New Roman" w:cs="Times New Roman" w:hint="eastAsia"/>
                <w:sz w:val="21"/>
                <w:szCs w:val="21"/>
              </w:rPr>
              <w:t>国省一体化行业气象服务系统(软件)建设规范</w:t>
            </w:r>
          </w:p>
        </w:tc>
      </w:tr>
      <w:tr>
        <w:tblPrEx>
          <w:tblW w:w="5000" w:type="pct"/>
          <w:jc w:val="center"/>
          <w:tblLayout w:type="fixed"/>
          <w:tblCellMar>
            <w:top w:w="0" w:type="dxa"/>
            <w:left w:w="108" w:type="dxa"/>
            <w:bottom w:w="0" w:type="dxa"/>
            <w:right w:w="108" w:type="dxa"/>
          </w:tblCellMar>
        </w:tblPrEx>
        <w:trPr>
          <w:jc w:val="center"/>
        </w:trPr>
        <w:tc>
          <w:tcPr>
            <w:tcW w:w="1951" w:type="dxa"/>
            <w:vMerge w:val="restart"/>
            <w:vAlign w:val="center"/>
          </w:tcPr>
          <w:p>
            <w:pPr>
              <w:snapToGrid w:val="0"/>
              <w:spacing w:before="156" w:beforeLines="50" w:line="240" w:lineRule="auto"/>
              <w:ind w:left="480"/>
              <w:rPr>
                <w:rFonts w:ascii="Times New Roman" w:hAnsi="Times New Roman" w:cs="Times New Roman"/>
                <w:szCs w:val="21"/>
              </w:rPr>
            </w:pPr>
            <w:r>
              <w:rPr>
                <w:rFonts w:ascii="Times New Roman" w:hAnsi="Times New Roman" w:cs="Times New Roman"/>
                <w:sz w:val="21"/>
                <w:szCs w:val="21"/>
              </w:rPr>
              <w:t>系统测试</w:t>
            </w: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系统测试方案及用例</w:t>
            </w:r>
          </w:p>
        </w:tc>
      </w:tr>
      <w:tr>
        <w:tblPrEx>
          <w:tblW w:w="5000" w:type="pct"/>
          <w:jc w:val="center"/>
          <w:tblLayout w:type="fixed"/>
          <w:tblCellMar>
            <w:top w:w="0" w:type="dxa"/>
            <w:left w:w="108" w:type="dxa"/>
            <w:bottom w:w="0" w:type="dxa"/>
            <w:right w:w="108" w:type="dxa"/>
          </w:tblCellMar>
        </w:tblPrEx>
        <w:trPr>
          <w:jc w:val="center"/>
        </w:trPr>
        <w:tc>
          <w:tcPr>
            <w:tcW w:w="1951" w:type="dxa"/>
            <w:vMerge/>
            <w:vAlign w:val="center"/>
          </w:tcPr>
          <w:p>
            <w:pPr>
              <w:snapToGrid w:val="0"/>
              <w:spacing w:before="156" w:beforeLines="50" w:line="240" w:lineRule="auto"/>
              <w:ind w:left="480"/>
              <w:rPr>
                <w:rFonts w:ascii="Times New Roman" w:hAnsi="Times New Roman" w:cs="Times New Roman"/>
                <w:szCs w:val="21"/>
              </w:rPr>
            </w:pP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系统测试报告</w:t>
            </w:r>
          </w:p>
        </w:tc>
      </w:tr>
      <w:tr>
        <w:tblPrEx>
          <w:tblW w:w="5000" w:type="pct"/>
          <w:jc w:val="center"/>
          <w:tblLayout w:type="fixed"/>
          <w:tblCellMar>
            <w:top w:w="0" w:type="dxa"/>
            <w:left w:w="108" w:type="dxa"/>
            <w:bottom w:w="0" w:type="dxa"/>
            <w:right w:w="108" w:type="dxa"/>
          </w:tblCellMar>
        </w:tblPrEx>
        <w:trPr>
          <w:jc w:val="center"/>
        </w:trPr>
        <w:tc>
          <w:tcPr>
            <w:tcW w:w="1951" w:type="dxa"/>
            <w:vMerge w:val="restart"/>
            <w:vAlign w:val="center"/>
          </w:tcPr>
          <w:p>
            <w:pPr>
              <w:snapToGrid w:val="0"/>
              <w:spacing w:before="156" w:beforeLines="50" w:line="240" w:lineRule="auto"/>
              <w:ind w:left="480"/>
              <w:rPr>
                <w:rFonts w:ascii="Times New Roman" w:hAnsi="Times New Roman" w:cs="Times New Roman"/>
                <w:szCs w:val="21"/>
              </w:rPr>
            </w:pPr>
            <w:r>
              <w:rPr>
                <w:rFonts w:ascii="Times New Roman" w:hAnsi="Times New Roman" w:cs="Times New Roman" w:hint="eastAsia"/>
                <w:sz w:val="21"/>
                <w:szCs w:val="21"/>
                <w:lang w:val="en-US" w:eastAsia="zh-CN"/>
              </w:rPr>
              <w:t>系统测试</w:t>
            </w:r>
            <w:r>
              <w:rPr>
                <w:rFonts w:ascii="Times New Roman" w:hAnsi="Times New Roman" w:cs="Times New Roman"/>
                <w:sz w:val="21"/>
                <w:szCs w:val="21"/>
              </w:rPr>
              <w:t>运行</w:t>
            </w: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用户手册</w:t>
            </w:r>
          </w:p>
        </w:tc>
      </w:tr>
      <w:tr>
        <w:tblPrEx>
          <w:tblW w:w="5000" w:type="pct"/>
          <w:jc w:val="center"/>
          <w:tblLayout w:type="fixed"/>
          <w:tblCellMar>
            <w:top w:w="0" w:type="dxa"/>
            <w:left w:w="108" w:type="dxa"/>
            <w:bottom w:w="0" w:type="dxa"/>
            <w:right w:w="108" w:type="dxa"/>
          </w:tblCellMar>
        </w:tblPrEx>
        <w:trPr>
          <w:jc w:val="center"/>
        </w:trPr>
        <w:tc>
          <w:tcPr>
            <w:tcW w:w="1951" w:type="dxa"/>
            <w:vMerge/>
            <w:vAlign w:val="center"/>
          </w:tcPr>
          <w:p>
            <w:pPr>
              <w:snapToGrid w:val="0"/>
              <w:spacing w:before="156" w:beforeLines="50" w:line="240" w:lineRule="auto"/>
              <w:ind w:left="480"/>
              <w:rPr>
                <w:rFonts w:ascii="Times New Roman" w:hAnsi="Times New Roman" w:cs="Times New Roman"/>
                <w:szCs w:val="21"/>
              </w:rPr>
            </w:pP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运行维护手册</w:t>
            </w:r>
          </w:p>
        </w:tc>
      </w:tr>
      <w:tr>
        <w:tblPrEx>
          <w:tblW w:w="5000" w:type="pct"/>
          <w:jc w:val="center"/>
          <w:tblLayout w:type="fixed"/>
          <w:tblCellMar>
            <w:top w:w="0" w:type="dxa"/>
            <w:left w:w="108" w:type="dxa"/>
            <w:bottom w:w="0" w:type="dxa"/>
            <w:right w:w="108" w:type="dxa"/>
          </w:tblCellMar>
        </w:tblPrEx>
        <w:trPr>
          <w:jc w:val="center"/>
        </w:trPr>
        <w:tc>
          <w:tcPr>
            <w:tcW w:w="1951" w:type="dxa"/>
            <w:vMerge/>
            <w:vAlign w:val="center"/>
          </w:tcPr>
          <w:p>
            <w:pPr>
              <w:snapToGrid w:val="0"/>
              <w:spacing w:before="156" w:beforeLines="50" w:line="240" w:lineRule="auto"/>
              <w:ind w:left="480"/>
              <w:rPr>
                <w:rFonts w:ascii="Times New Roman" w:hAnsi="Times New Roman" w:cs="Times New Roman"/>
                <w:szCs w:val="21"/>
              </w:rPr>
            </w:pP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部署手册</w:t>
            </w:r>
          </w:p>
        </w:tc>
      </w:tr>
      <w:tr>
        <w:tblPrEx>
          <w:tblW w:w="5000" w:type="pct"/>
          <w:jc w:val="center"/>
          <w:tblLayout w:type="fixed"/>
          <w:tblCellMar>
            <w:top w:w="0" w:type="dxa"/>
            <w:left w:w="108" w:type="dxa"/>
            <w:bottom w:w="0" w:type="dxa"/>
            <w:right w:w="108" w:type="dxa"/>
          </w:tblCellMar>
        </w:tblPrEx>
        <w:trPr>
          <w:jc w:val="center"/>
        </w:trPr>
        <w:tc>
          <w:tcPr>
            <w:tcW w:w="1951" w:type="dxa"/>
            <w:vMerge/>
            <w:vAlign w:val="center"/>
          </w:tcPr>
          <w:p>
            <w:pPr>
              <w:snapToGrid w:val="0"/>
              <w:spacing w:before="156" w:beforeLines="50" w:line="240" w:lineRule="auto"/>
              <w:ind w:left="480"/>
              <w:rPr>
                <w:rFonts w:ascii="Times New Roman" w:hAnsi="Times New Roman" w:cs="Times New Roman"/>
                <w:szCs w:val="21"/>
              </w:rPr>
            </w:pP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hint="eastAsia"/>
                <w:sz w:val="21"/>
                <w:szCs w:val="21"/>
                <w:lang w:val="en-US" w:eastAsia="zh-CN"/>
              </w:rPr>
              <w:t>测试</w:t>
            </w:r>
            <w:r>
              <w:rPr>
                <w:rFonts w:ascii="Times New Roman" w:hAnsi="Times New Roman" w:cs="Times New Roman"/>
                <w:sz w:val="21"/>
                <w:szCs w:val="21"/>
              </w:rPr>
              <w:t>运行方案</w:t>
            </w:r>
          </w:p>
        </w:tc>
      </w:tr>
      <w:tr>
        <w:tblPrEx>
          <w:tblW w:w="5000" w:type="pct"/>
          <w:jc w:val="center"/>
          <w:tblLayout w:type="fixed"/>
          <w:tblCellMar>
            <w:top w:w="0" w:type="dxa"/>
            <w:left w:w="108" w:type="dxa"/>
            <w:bottom w:w="0" w:type="dxa"/>
            <w:right w:w="108" w:type="dxa"/>
          </w:tblCellMar>
        </w:tblPrEx>
        <w:trPr>
          <w:jc w:val="center"/>
        </w:trPr>
        <w:tc>
          <w:tcPr>
            <w:tcW w:w="1951" w:type="dxa"/>
            <w:vMerge/>
            <w:vAlign w:val="center"/>
          </w:tcPr>
          <w:p>
            <w:pPr>
              <w:snapToGrid w:val="0"/>
              <w:spacing w:before="156" w:beforeLines="50" w:line="240" w:lineRule="auto"/>
              <w:ind w:left="480"/>
              <w:rPr>
                <w:rFonts w:ascii="Times New Roman" w:hAnsi="Times New Roman" w:cs="Times New Roman"/>
                <w:szCs w:val="21"/>
              </w:rPr>
            </w:pP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hint="eastAsia"/>
                <w:sz w:val="21"/>
                <w:szCs w:val="21"/>
                <w:lang w:val="en-US" w:eastAsia="zh-CN"/>
              </w:rPr>
              <w:t>测试运行分析</w:t>
            </w:r>
            <w:r>
              <w:rPr>
                <w:rFonts w:ascii="Times New Roman" w:hAnsi="Times New Roman" w:cs="Times New Roman"/>
                <w:sz w:val="21"/>
                <w:szCs w:val="21"/>
              </w:rPr>
              <w:t>报告</w:t>
            </w:r>
          </w:p>
        </w:tc>
      </w:tr>
      <w:tr>
        <w:tblPrEx>
          <w:tblW w:w="5000" w:type="pct"/>
          <w:jc w:val="center"/>
          <w:tblLayout w:type="fixed"/>
          <w:tblCellMar>
            <w:top w:w="0" w:type="dxa"/>
            <w:left w:w="108" w:type="dxa"/>
            <w:bottom w:w="0" w:type="dxa"/>
            <w:right w:w="108" w:type="dxa"/>
          </w:tblCellMar>
        </w:tblPrEx>
        <w:trPr>
          <w:jc w:val="center"/>
        </w:trPr>
        <w:tc>
          <w:tcPr>
            <w:tcW w:w="1951" w:type="dxa"/>
            <w:vMerge/>
            <w:vAlign w:val="center"/>
          </w:tcPr>
          <w:p>
            <w:pPr>
              <w:snapToGrid w:val="0"/>
              <w:spacing w:before="156" w:beforeLines="50" w:line="240" w:lineRule="auto"/>
              <w:ind w:left="480"/>
              <w:rPr>
                <w:rFonts w:ascii="Times New Roman" w:hAnsi="Times New Roman" w:cs="Times New Roman"/>
                <w:szCs w:val="21"/>
              </w:rPr>
            </w:pP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培训教程</w:t>
            </w:r>
          </w:p>
        </w:tc>
      </w:tr>
      <w:tr>
        <w:tblPrEx>
          <w:tblW w:w="5000" w:type="pct"/>
          <w:jc w:val="center"/>
          <w:tblLayout w:type="fixed"/>
          <w:tblCellMar>
            <w:top w:w="0" w:type="dxa"/>
            <w:left w:w="108" w:type="dxa"/>
            <w:bottom w:w="0" w:type="dxa"/>
            <w:right w:w="108" w:type="dxa"/>
          </w:tblCellMar>
        </w:tblPrEx>
        <w:trPr>
          <w:jc w:val="center"/>
        </w:trPr>
        <w:tc>
          <w:tcPr>
            <w:tcW w:w="1951" w:type="dxa"/>
            <w:vAlign w:val="center"/>
          </w:tcPr>
          <w:p>
            <w:pPr>
              <w:snapToGrid w:val="0"/>
              <w:spacing w:before="156" w:beforeLines="50" w:line="240" w:lineRule="auto"/>
              <w:ind w:left="480"/>
              <w:rPr>
                <w:rFonts w:ascii="Times New Roman" w:eastAsia="宋体" w:hAnsi="Times New Roman" w:cs="Times New Roman" w:hint="eastAsia"/>
                <w:szCs w:val="21"/>
              </w:rPr>
            </w:pPr>
            <w:r>
              <w:rPr>
                <w:rFonts w:ascii="Times New Roman" w:hAnsi="Times New Roman" w:cs="Times New Roman" w:hint="eastAsia"/>
                <w:sz w:val="21"/>
                <w:szCs w:val="21"/>
                <w:lang w:val="en-US" w:eastAsia="zh-CN"/>
              </w:rPr>
              <w:t>验收</w:t>
            </w:r>
          </w:p>
        </w:tc>
        <w:tc>
          <w:tcPr>
            <w:tcW w:w="6656" w:type="dxa"/>
            <w:vAlign w:val="center"/>
          </w:tcPr>
          <w:p>
            <w:pPr>
              <w:snapToGrid w:val="0"/>
              <w:spacing w:before="156" w:beforeLines="50" w:line="240" w:lineRule="auto"/>
              <w:rPr>
                <w:rFonts w:ascii="Times New Roman" w:hAnsi="Times New Roman" w:cs="Times New Roman"/>
                <w:szCs w:val="21"/>
              </w:rPr>
            </w:pPr>
            <w:r>
              <w:rPr>
                <w:rFonts w:ascii="Times New Roman" w:hAnsi="Times New Roman" w:cs="Times New Roman"/>
                <w:sz w:val="21"/>
                <w:szCs w:val="21"/>
              </w:rPr>
              <w:t>项目总结报告</w:t>
            </w:r>
          </w:p>
        </w:tc>
      </w:tr>
    </w:tbl>
    <w:p>
      <w:pPr>
        <w:pStyle w:val="Heading2"/>
        <w:keepNext/>
        <w:keepLines/>
        <w:widowControl w:val="0"/>
        <w:numPr>
          <w:ilvl w:val="1"/>
          <w:numId w:val="4"/>
        </w:numPr>
        <w:bidi w:val="0"/>
        <w:spacing w:before="260" w:after="260" w:line="415" w:lineRule="auto"/>
        <w:ind w:left="576" w:hanging="576"/>
        <w:jc w:val="both"/>
      </w:pPr>
      <w:bookmarkStart w:id="226" w:name="_Toc26650"/>
      <w:r>
        <w:t>培训要求</w:t>
      </w:r>
      <w:bookmarkEnd w:id="226"/>
    </w:p>
    <w:p>
      <w:pPr>
        <w:spacing w:line="360" w:lineRule="auto"/>
        <w:ind w:firstLine="420"/>
        <w:rPr>
          <w:rFonts w:ascii="宋体" w:hAnsi="宋体"/>
          <w:szCs w:val="21"/>
        </w:rPr>
      </w:pPr>
      <w:r>
        <w:rPr>
          <w:rFonts w:ascii="宋体" w:hAnsi="宋体" w:hint="eastAsia"/>
          <w:szCs w:val="21"/>
        </w:rPr>
        <w:t>供应商需要为采购人定制培训方案（包括：培训教材、培训对象、目标、方式、计划、反馈等）来满足采购人的需要。培训在采购人所在地，</w:t>
      </w:r>
      <w:r>
        <w:rPr>
          <w:rFonts w:ascii="宋体" w:hAnsi="宋体"/>
          <w:szCs w:val="21"/>
        </w:rPr>
        <w:t>以</w:t>
      </w:r>
      <w:r>
        <w:rPr>
          <w:rFonts w:ascii="宋体" w:hAnsi="宋体" w:hint="eastAsia"/>
          <w:szCs w:val="21"/>
        </w:rPr>
        <w:t>线下</w:t>
      </w:r>
      <w:r>
        <w:rPr>
          <w:rFonts w:ascii="宋体" w:hAnsi="宋体"/>
          <w:szCs w:val="21"/>
        </w:rPr>
        <w:t>课程方式</w:t>
      </w:r>
      <w:r>
        <w:rPr>
          <w:rFonts w:ascii="宋体" w:hAnsi="宋体" w:hint="eastAsia"/>
          <w:szCs w:val="21"/>
        </w:rPr>
        <w:t>进行，</w:t>
      </w:r>
      <w:r>
        <w:rPr>
          <w:rFonts w:ascii="宋体" w:hAnsi="宋体"/>
          <w:szCs w:val="21"/>
        </w:rPr>
        <w:t>每</w:t>
      </w:r>
      <w:r>
        <w:rPr>
          <w:rFonts w:ascii="宋体" w:hAnsi="宋体" w:hint="eastAsia"/>
          <w:szCs w:val="21"/>
        </w:rPr>
        <w:t>课时45分钟，培训课时不少于</w:t>
      </w:r>
      <w:r>
        <w:rPr>
          <w:rFonts w:ascii="宋体" w:hAnsi="宋体"/>
          <w:szCs w:val="21"/>
        </w:rPr>
        <w:t>6</w:t>
      </w:r>
      <w:r>
        <w:rPr>
          <w:rFonts w:ascii="宋体" w:hAnsi="宋体" w:hint="eastAsia"/>
          <w:szCs w:val="21"/>
        </w:rPr>
        <w:t>课时。培训工作由供应商承担，确保采购人有效的掌握系统的业务、管理、技术、开发与维护等知识。在培训之后，服务</w:t>
      </w:r>
      <w:r>
        <w:rPr>
          <w:rFonts w:ascii="宋体" w:hAnsi="宋体"/>
          <w:szCs w:val="21"/>
        </w:rPr>
        <w:t>期</w:t>
      </w:r>
      <w:r>
        <w:rPr>
          <w:rFonts w:ascii="宋体" w:hAnsi="宋体" w:hint="eastAsia"/>
          <w:szCs w:val="21"/>
        </w:rPr>
        <w:t>内仍需提供必要</w:t>
      </w:r>
      <w:r>
        <w:rPr>
          <w:rFonts w:ascii="宋体" w:hAnsi="宋体"/>
          <w:szCs w:val="21"/>
        </w:rPr>
        <w:t>的</w:t>
      </w:r>
      <w:r>
        <w:rPr>
          <w:rFonts w:ascii="宋体" w:hAnsi="宋体" w:hint="eastAsia"/>
          <w:szCs w:val="21"/>
        </w:rPr>
        <w:t>答疑</w:t>
      </w:r>
      <w:r>
        <w:rPr>
          <w:rFonts w:ascii="宋体" w:hAnsi="宋体"/>
          <w:szCs w:val="21"/>
        </w:rPr>
        <w:t>、咨询</w:t>
      </w:r>
      <w:r>
        <w:rPr>
          <w:rFonts w:ascii="宋体" w:hAnsi="宋体" w:hint="eastAsia"/>
          <w:szCs w:val="21"/>
        </w:rPr>
        <w:t>、</w:t>
      </w:r>
      <w:r>
        <w:rPr>
          <w:rFonts w:ascii="宋体" w:hAnsi="宋体"/>
          <w:szCs w:val="21"/>
        </w:rPr>
        <w:t>现场支持</w:t>
      </w:r>
      <w:r>
        <w:rPr>
          <w:rFonts w:ascii="宋体" w:hAnsi="宋体" w:hint="eastAsia"/>
          <w:szCs w:val="21"/>
        </w:rPr>
        <w:t>等技术指导。培训时间及内容要丰富，培训和知识转移的具体要求如下：</w:t>
      </w:r>
    </w:p>
    <w:p>
      <w:pPr>
        <w:spacing w:line="360" w:lineRule="auto"/>
        <w:ind w:firstLine="420"/>
        <w:rPr>
          <w:rFonts w:ascii="宋体" w:hAnsi="宋体"/>
          <w:szCs w:val="21"/>
        </w:rPr>
      </w:pPr>
      <w:r>
        <w:rPr>
          <w:rFonts w:ascii="宋体" w:hAnsi="宋体" w:hint="eastAsia"/>
          <w:szCs w:val="21"/>
        </w:rPr>
        <w:t>对于系统使用人员，需培训其明确项目设计思路、方案实现、以及基于角色的培训，帮助其正确操作和使用项目交付的功能。培训人数不限。</w:t>
      </w:r>
    </w:p>
    <w:p>
      <w:pPr>
        <w:spacing w:line="360" w:lineRule="auto"/>
        <w:ind w:firstLine="420"/>
        <w:rPr>
          <w:rFonts w:ascii="宋体" w:hAnsi="宋体"/>
          <w:szCs w:val="21"/>
        </w:rPr>
      </w:pPr>
      <w:r>
        <w:rPr>
          <w:rFonts w:ascii="宋体" w:hAnsi="宋体" w:hint="eastAsia"/>
          <w:szCs w:val="21"/>
        </w:rPr>
        <w:t>对于系统运维人员，培训内容包括但不限于系统总体设计、详细设计、数据库设计、程序设计及功能、接口设计、操作系统以及系统常见技故障解决方法等内容，同时供应商应提供关于系统开发平台（工具）的相关培训。</w:t>
      </w:r>
    </w:p>
    <w:p>
      <w:pPr>
        <w:spacing w:line="360" w:lineRule="auto"/>
        <w:ind w:firstLine="420"/>
        <w:rPr>
          <w:rFonts w:ascii="宋体" w:hAnsi="宋体"/>
          <w:szCs w:val="21"/>
        </w:rPr>
      </w:pPr>
      <w:r>
        <w:rPr>
          <w:rFonts w:ascii="宋体" w:hAnsi="宋体" w:hint="eastAsia"/>
          <w:szCs w:val="21"/>
        </w:rPr>
        <w:t>确保采购人能够有效的参与实施活动，保证系统实施后的平滑移交。确保用户方信息技术人员能够有效维护和管理系统，掌握诊断处理问题的方法论，合理有效的使用系统中所有功能，能够运行、支持、维护和增强系统。</w:t>
      </w:r>
    </w:p>
    <w:p>
      <w:pPr>
        <w:spacing w:line="360" w:lineRule="auto"/>
        <w:ind w:firstLine="420" w:firstLineChars="200"/>
      </w:pPr>
      <w:r>
        <w:rPr>
          <w:rFonts w:ascii="宋体" w:hAnsi="宋体" w:hint="eastAsia"/>
          <w:szCs w:val="21"/>
        </w:rPr>
        <w:t>供应商需对培训及知识转移内容、方案、制度保障等方面进行阐述说明。</w:t>
      </w:r>
    </w:p>
    <w:p>
      <w:pPr>
        <w:pStyle w:val="Heading2"/>
        <w:keepNext/>
        <w:keepLines/>
        <w:widowControl w:val="0"/>
        <w:numPr>
          <w:ilvl w:val="1"/>
          <w:numId w:val="4"/>
        </w:numPr>
        <w:bidi w:val="0"/>
        <w:spacing w:before="260" w:after="260" w:line="415" w:lineRule="auto"/>
        <w:ind w:left="576" w:hanging="576"/>
        <w:jc w:val="both"/>
        <w:rPr>
          <w:rFonts w:hint="eastAsia"/>
          <w:lang w:val="en-US"/>
        </w:rPr>
      </w:pPr>
      <w:bookmarkStart w:id="227" w:name="_Toc19045"/>
      <w:r>
        <w:rPr>
          <w:rFonts w:hint="eastAsia"/>
        </w:rPr>
        <w:t>项目运维要求</w:t>
      </w:r>
      <w:bookmarkEnd w:id="22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在项目正式合同验收后，提供三年免费的运行维护服务。</w:t>
      </w:r>
      <w:bookmarkEnd w:id="183"/>
      <w:bookmarkEnd w:id="184"/>
      <w:bookmarkEnd w:id="185"/>
      <w:bookmarkEnd w:id="186"/>
      <w:bookmarkEnd w:id="216"/>
      <w:bookmarkEnd w:id="217"/>
      <w:bookmarkEnd w:id="218"/>
      <w:bookmarkEnd w:id="219"/>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对部署在中国气象局的系统提供售后保障服务，系统发生异常情况，在接到招标人的通知后，中标人技术人员应提供7*24小时的服务响应，随时进行电话应答；30分钟内完成远程登录诊断。需要现场解决的问题，中标人技术人员须在2小时内到达中国气象局现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质量保证期后，中标人仍应根据合同要求向招标人提供技术服务，以合理价格提供软件功能改进技术服务。</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质量保证期间的维护服务不收取任何额外费用，质量保证期后按合同约定进行维护。</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Times New Roman" w:hAnsi="Times New Roman" w:cs="Times New Roman" w:hint="eastAsia"/>
        </w:rPr>
      </w:pPr>
      <w:r>
        <w:rPr>
          <w:rFonts w:ascii="Times New Roman" w:hAnsi="Times New Roman" w:cs="Times New Roman" w:hint="eastAsia"/>
        </w:rPr>
        <w:t>应用系统软件通过全部测试并终验后，投标方提供提供三年的免费保修，并负责免费修正软件本身的缺陷。</w:t>
      </w:r>
    </w:p>
    <w:p>
      <w:pPr>
        <w:spacing w:line="360" w:lineRule="auto"/>
        <w:ind w:firstLine="420" w:firstLineChars="200"/>
        <w:rPr>
          <w:rFonts w:ascii="宋体" w:eastAsia="宋体" w:hAnsi="宋体" w:cs="Times New Roman"/>
          <w:szCs w:val="21"/>
        </w:rPr>
      </w:pPr>
    </w:p>
    <w:p w:rsidR="00A77B3E"/>
    <w:p>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rsidR="000011AC">
      <w:pPr>
        <w:spacing w:before="156" w:beforeLines="50" w:line="360" w:lineRule="auto"/>
        <w:jc w:val="center"/>
        <w:outlineLvl w:val="1"/>
        <w:rPr>
          <w:rFonts w:ascii="宋体" w:hAnsi="宋体"/>
          <w:b/>
          <w:sz w:val="30"/>
          <w:szCs w:val="30"/>
        </w:rPr>
      </w:pPr>
      <w:bookmarkStart w:id="228"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0011AC">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C43616">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011AC">
            <w:pPr>
              <w:rPr>
                <w:sz w:val="18"/>
                <w:szCs w:val="18"/>
              </w:rPr>
            </w:pPr>
            <w:r>
              <w:rPr>
                <w:rFonts w:hint="eastAsia"/>
                <w:sz w:val="18"/>
                <w:szCs w:val="18"/>
              </w:rPr>
              <w:t>序号</w:t>
            </w:r>
          </w:p>
        </w:tc>
        <w:tc>
          <w:tcPr>
            <w:tcW w:w="898" w:type="dxa"/>
            <w:vAlign w:val="center"/>
          </w:tcPr>
          <w:p w:rsidR="000011AC">
            <w:pPr>
              <w:jc w:val="center"/>
              <w:rPr>
                <w:sz w:val="18"/>
                <w:szCs w:val="18"/>
              </w:rPr>
            </w:pPr>
            <w:r>
              <w:rPr>
                <w:rFonts w:hint="eastAsia"/>
                <w:sz w:val="18"/>
                <w:szCs w:val="18"/>
              </w:rPr>
              <w:t>对应</w:t>
            </w:r>
          </w:p>
          <w:p w:rsidR="000011AC">
            <w:pPr>
              <w:jc w:val="center"/>
              <w:rPr>
                <w:sz w:val="18"/>
                <w:szCs w:val="18"/>
              </w:rPr>
            </w:pPr>
            <w:r>
              <w:rPr>
                <w:rFonts w:hint="eastAsia"/>
                <w:sz w:val="18"/>
                <w:szCs w:val="18"/>
              </w:rPr>
              <w:t>条款号</w:t>
            </w:r>
          </w:p>
        </w:tc>
        <w:tc>
          <w:tcPr>
            <w:tcW w:w="7347" w:type="dxa"/>
            <w:vAlign w:val="center"/>
          </w:tcPr>
          <w:p w:rsidR="000011A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C43616">
        <w:tblPrEx>
          <w:tblW w:w="8789" w:type="dxa"/>
          <w:tblLayout w:type="fixed"/>
          <w:tblLook w:val="04A0"/>
        </w:tblPrEx>
        <w:trPr>
          <w:cantSplit/>
        </w:trPr>
        <w:tc>
          <w:tcPr>
            <w:tcW w:w="8789" w:type="dxa"/>
            <w:gridSpan w:val="3"/>
            <w:vAlign w:val="center"/>
          </w:tcPr>
          <w:p w:rsidR="000011A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C43616">
        <w:tblPrEx>
          <w:tblW w:w="8789" w:type="dxa"/>
          <w:tblLayout w:type="fixed"/>
          <w:tblLook w:val="04A0"/>
        </w:tblPrEx>
        <w:trPr>
          <w:cantSplit/>
        </w:trPr>
        <w:tc>
          <w:tcPr>
            <w:tcW w:w="544" w:type="dxa"/>
            <w:vAlign w:val="center"/>
          </w:tcPr>
          <w:p w:rsidR="000011AC">
            <w:pPr>
              <w:numPr>
                <w:ilvl w:val="0"/>
                <w:numId w:val="9"/>
              </w:numPr>
              <w:rPr>
                <w:rFonts w:ascii="宋体" w:hAnsi="宋体"/>
                <w:sz w:val="18"/>
                <w:szCs w:val="18"/>
              </w:rPr>
            </w:pPr>
          </w:p>
        </w:tc>
        <w:tc>
          <w:tcPr>
            <w:tcW w:w="898" w:type="dxa"/>
            <w:vAlign w:val="center"/>
          </w:tcPr>
          <w:p w:rsidR="000011AC">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0011AC">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rsidTr="00C43616">
        <w:tblPrEx>
          <w:tblW w:w="8789" w:type="dxa"/>
          <w:tblLayout w:type="fixed"/>
          <w:tblLook w:val="04A0"/>
        </w:tblPrEx>
        <w:trPr>
          <w:cantSplit/>
        </w:trPr>
        <w:tc>
          <w:tcPr>
            <w:tcW w:w="8789" w:type="dxa"/>
            <w:gridSpan w:val="3"/>
            <w:vAlign w:val="center"/>
          </w:tcPr>
          <w:p w:rsidR="000011A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C43616">
        <w:tblPrEx>
          <w:tblW w:w="8789" w:type="dxa"/>
          <w:tblLayout w:type="fixed"/>
          <w:tblLook w:val="04A0"/>
        </w:tblPrEx>
        <w:trPr>
          <w:cantSplit/>
        </w:trPr>
        <w:tc>
          <w:tcPr>
            <w:tcW w:w="544" w:type="dxa"/>
            <w:vAlign w:val="center"/>
          </w:tcPr>
          <w:p w:rsidR="000011AC">
            <w:pPr>
              <w:numPr>
                <w:ilvl w:val="0"/>
                <w:numId w:val="9"/>
              </w:numPr>
              <w:rPr>
                <w:rFonts w:ascii="宋体" w:hAnsi="宋体"/>
                <w:sz w:val="18"/>
                <w:szCs w:val="18"/>
              </w:rPr>
            </w:pPr>
          </w:p>
        </w:tc>
        <w:tc>
          <w:tcPr>
            <w:tcW w:w="898" w:type="dxa"/>
            <w:vAlign w:val="center"/>
          </w:tcPr>
          <w:p w:rsidR="000011AC">
            <w:pPr>
              <w:jc w:val="center"/>
              <w:rPr>
                <w:rFonts w:ascii="宋体" w:hAnsi="宋体"/>
                <w:sz w:val="18"/>
                <w:szCs w:val="18"/>
              </w:rPr>
            </w:pPr>
          </w:p>
        </w:tc>
        <w:tc>
          <w:tcPr>
            <w:tcW w:w="7347" w:type="dxa"/>
            <w:vAlign w:val="center"/>
          </w:tcPr>
          <w:p w:rsidR="000011AC">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0011AC">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0011AC">
      <w:pPr>
        <w:spacing w:before="156" w:beforeLines="50" w:line="360" w:lineRule="auto"/>
        <w:ind w:firstLine="420"/>
      </w:pPr>
    </w:p>
    <w:p w:rsidR="00A77B3E"/>
    <w:p w:rsidR="000011AC">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22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napToGrid w:val="0"/>
        <w:spacing w:line="360" w:lineRule="auto"/>
        <w:rPr>
          <w:rFonts w:hint="eastAsia"/>
          <w:b/>
          <w:bCs/>
          <w:sz w:val="30"/>
          <w:szCs w:val="30"/>
        </w:rPr>
      </w:pPr>
      <w:bookmarkStart w:id="229" w:name="采购公告合同部分_ZBGGHT"/>
      <w:r>
        <w:rPr>
          <w:b/>
          <w:bCs/>
          <w:sz w:val="30"/>
          <w:szCs w:val="30"/>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b/>
          <w:bCs/>
          <w:sz w:val="30"/>
          <w:szCs w:val="30"/>
        </w:rPr>
        <w:instrText>ADDIN CNKISM.UserStyle</w:instrText>
      </w:r>
      <w:r>
        <w:rPr>
          <w:b/>
          <w:bCs/>
          <w:sz w:val="30"/>
          <w:szCs w:val="30"/>
        </w:rPr>
        <w:fldChar w:fldCharType="separate"/>
      </w:r>
      <w:r>
        <w:rPr>
          <w:b/>
          <w:bCs/>
          <w:sz w:val="30"/>
          <w:szCs w:val="30"/>
        </w:rPr>
        <w:fldChar w:fldCharType="end"/>
      </w:r>
    </w:p>
    <w:p>
      <w:pPr>
        <w:snapToGrid w:val="0"/>
        <w:spacing w:line="360" w:lineRule="auto"/>
        <w:jc w:val="center"/>
        <w:rPr>
          <w:b/>
          <w:bCs/>
          <w:sz w:val="30"/>
          <w:szCs w:val="30"/>
        </w:rPr>
      </w:pPr>
    </w:p>
    <w:p>
      <w:pPr>
        <w:snapToGrid w:val="0"/>
        <w:spacing w:line="360" w:lineRule="auto"/>
        <w:jc w:val="center"/>
        <w:rPr>
          <w:b/>
          <w:bCs/>
          <w:sz w:val="30"/>
          <w:szCs w:val="30"/>
        </w:rPr>
      </w:pPr>
    </w:p>
    <w:p>
      <w:pPr>
        <w:autoSpaceDE w:val="0"/>
        <w:autoSpaceDN w:val="0"/>
        <w:jc w:val="center"/>
        <w:rPr>
          <w:rFonts w:ascii="黑体" w:eastAsia="黑体" w:hAnsi="宋体" w:cs="宋体"/>
          <w:b/>
          <w:color w:val="000000"/>
          <w:kern w:val="0"/>
          <w:sz w:val="32"/>
          <w:szCs w:val="32"/>
        </w:rPr>
      </w:pPr>
      <w:r>
        <w:rPr>
          <w:rFonts w:ascii="方正黑体简体" w:eastAsia="方正黑体简体" w:hAnsi="仿宋" w:hint="eastAsia"/>
          <w:color w:val="0000FF"/>
          <w:kern w:val="20"/>
          <w:sz w:val="32"/>
          <w:szCs w:val="28"/>
          <w:lang w:val="zh-CN"/>
        </w:rPr>
        <w:t>大兴安岭林区森林草原防灭火气象保障服务能力建设项目</w:t>
      </w:r>
    </w:p>
    <w:p>
      <w:pPr>
        <w:autoSpaceDE w:val="0"/>
        <w:autoSpaceDN w:val="0"/>
        <w:jc w:val="center"/>
        <w:rPr>
          <w:rFonts w:ascii="黑体" w:eastAsia="黑体" w:hAnsi="宋体" w:cs="宋体"/>
          <w:color w:val="000000"/>
          <w:kern w:val="0"/>
          <w:sz w:val="32"/>
          <w:szCs w:val="32"/>
        </w:rPr>
      </w:pPr>
    </w:p>
    <w:p>
      <w:pPr>
        <w:autoSpaceDE w:val="0"/>
        <w:autoSpaceDN w:val="0"/>
        <w:jc w:val="center"/>
        <w:rPr>
          <w:rFonts w:ascii="黑体" w:eastAsia="黑体" w:hAnsi="宋体" w:cs="宋体"/>
          <w:color w:val="000000"/>
          <w:kern w:val="0"/>
          <w:sz w:val="32"/>
          <w:szCs w:val="32"/>
        </w:rPr>
      </w:pPr>
    </w:p>
    <w:p>
      <w:pPr>
        <w:autoSpaceDE w:val="0"/>
        <w:autoSpaceDN w:val="0"/>
        <w:jc w:val="center"/>
        <w:rPr>
          <w:rFonts w:ascii="黑体" w:eastAsia="黑体" w:hAnsi="宋体" w:cs="宋体"/>
          <w:color w:val="000000"/>
          <w:kern w:val="0"/>
          <w:sz w:val="32"/>
          <w:szCs w:val="32"/>
        </w:rPr>
      </w:pPr>
      <w:r>
        <w:rPr>
          <w:rFonts w:ascii="黑体" w:eastAsia="黑体" w:hAnsi="宋体" w:cs="宋体" w:hint="eastAsia"/>
          <w:color w:val="000000"/>
          <w:kern w:val="0"/>
          <w:sz w:val="32"/>
          <w:szCs w:val="32"/>
        </w:rPr>
        <w:t>技术开发合同</w:t>
      </w:r>
    </w:p>
    <w:p>
      <w:pPr>
        <w:autoSpaceDE w:val="0"/>
        <w:autoSpaceDN w:val="0"/>
        <w:jc w:val="center"/>
        <w:rPr>
          <w:rFonts w:ascii="黑体" w:eastAsia="黑体" w:hAnsi="宋体" w:cs="宋体"/>
          <w:color w:val="000000"/>
          <w:kern w:val="0"/>
          <w:sz w:val="32"/>
          <w:szCs w:val="32"/>
        </w:rPr>
      </w:pPr>
    </w:p>
    <w:p>
      <w:pPr>
        <w:autoSpaceDE w:val="0"/>
        <w:autoSpaceDN w:val="0"/>
        <w:jc w:val="center"/>
        <w:rPr>
          <w:rFonts w:ascii="黑体" w:eastAsia="黑体" w:hAnsi="宋体" w:cs="宋体"/>
          <w:color w:val="000000"/>
          <w:kern w:val="0"/>
          <w:sz w:val="32"/>
          <w:szCs w:val="32"/>
        </w:rPr>
      </w:pPr>
    </w:p>
    <w:p>
      <w:pPr>
        <w:autoSpaceDE w:val="0"/>
        <w:autoSpaceDN w:val="0"/>
        <w:jc w:val="center"/>
        <w:rPr>
          <w:rFonts w:ascii="黑体" w:eastAsia="黑体" w:hAnsi="宋体" w:cs="宋体"/>
          <w:color w:val="000000"/>
          <w:kern w:val="0"/>
          <w:sz w:val="32"/>
          <w:szCs w:val="32"/>
        </w:rPr>
      </w:pPr>
    </w:p>
    <w:p>
      <w:pPr>
        <w:autoSpaceDE w:val="0"/>
        <w:autoSpaceDN w:val="0"/>
        <w:jc w:val="center"/>
        <w:rPr>
          <w:rFonts w:ascii="黑体" w:eastAsia="黑体" w:hAnsi="宋体" w:cs="宋体"/>
          <w:color w:val="000000"/>
          <w:kern w:val="0"/>
          <w:sz w:val="32"/>
          <w:szCs w:val="32"/>
        </w:rPr>
      </w:pPr>
    </w:p>
    <w:p>
      <w:pPr>
        <w:autoSpaceDE w:val="0"/>
        <w:autoSpaceDN w:val="0"/>
        <w:ind w:firstLine="2560" w:firstLineChars="800"/>
        <w:rPr>
          <w:rFonts w:ascii="黑体" w:eastAsia="黑体" w:hAnsi="宋体" w:cs="宋体"/>
          <w:color w:val="000000"/>
          <w:kern w:val="0"/>
          <w:sz w:val="32"/>
          <w:szCs w:val="32"/>
          <w:u w:val="single"/>
        </w:rPr>
      </w:pPr>
      <w:r>
        <w:rPr>
          <w:rFonts w:ascii="黑体" w:eastAsia="黑体" w:hAnsi="宋体" w:cs="宋体" w:hint="eastAsia"/>
          <w:color w:val="000000"/>
          <w:kern w:val="0"/>
          <w:sz w:val="32"/>
          <w:szCs w:val="32"/>
        </w:rPr>
        <w:t>项目编号：</w:t>
      </w:r>
      <w:r>
        <w:rPr>
          <w:rFonts w:ascii="黑体" w:eastAsia="黑体" w:hAnsi="宋体" w:cs="宋体" w:hint="eastAsia"/>
          <w:b/>
          <w:color w:val="000000"/>
          <w:kern w:val="0"/>
          <w:sz w:val="32"/>
          <w:szCs w:val="32"/>
          <w:u w:val="single"/>
        </w:rPr>
        <w:t xml:space="preserve">           </w:t>
      </w:r>
    </w:p>
    <w:p>
      <w:pPr>
        <w:autoSpaceDE w:val="0"/>
        <w:autoSpaceDN w:val="0"/>
        <w:ind w:firstLine="2560" w:firstLineChars="800"/>
        <w:rPr>
          <w:rFonts w:ascii="黑体" w:eastAsia="黑体" w:hAnsi="宋体" w:cs="宋体"/>
          <w:color w:val="000000"/>
          <w:kern w:val="0"/>
          <w:sz w:val="32"/>
          <w:szCs w:val="32"/>
        </w:rPr>
      </w:pPr>
      <w:r>
        <w:rPr>
          <w:rFonts w:ascii="黑体" w:eastAsia="黑体" w:hAnsi="宋体" w:cs="宋体" w:hint="eastAsia"/>
          <w:color w:val="000000"/>
          <w:kern w:val="0"/>
          <w:sz w:val="32"/>
          <w:szCs w:val="32"/>
        </w:rPr>
        <w:t>合同编号：</w:t>
      </w:r>
      <w:r>
        <w:rPr>
          <w:rFonts w:hint="eastAsia"/>
          <w:b/>
          <w:sz w:val="28"/>
          <w:szCs w:val="28"/>
          <w:u w:val="single"/>
        </w:rPr>
        <w:t xml:space="preserve">             </w:t>
      </w:r>
    </w:p>
    <w:p>
      <w:pPr>
        <w:snapToGrid w:val="0"/>
        <w:spacing w:line="360" w:lineRule="auto"/>
        <w:jc w:val="center"/>
        <w:rPr>
          <w:b/>
          <w:bCs/>
          <w:sz w:val="30"/>
          <w:szCs w:val="30"/>
        </w:rPr>
      </w:pPr>
    </w:p>
    <w:p>
      <w:pPr>
        <w:snapToGrid w:val="0"/>
        <w:spacing w:line="360" w:lineRule="auto"/>
        <w:jc w:val="center"/>
        <w:rPr>
          <w:b/>
          <w:bCs/>
          <w:sz w:val="30"/>
          <w:szCs w:val="30"/>
        </w:rPr>
      </w:pPr>
    </w:p>
    <w:p>
      <w:pPr>
        <w:snapToGrid w:val="0"/>
        <w:spacing w:line="360" w:lineRule="auto"/>
        <w:rPr>
          <w:b/>
          <w:bCs/>
          <w:sz w:val="30"/>
          <w:szCs w:val="30"/>
        </w:rPr>
      </w:pPr>
    </w:p>
    <w:p>
      <w:pPr>
        <w:autoSpaceDE w:val="0"/>
        <w:autoSpaceDN w:val="0"/>
        <w:ind w:firstLine="1960" w:firstLineChars="700"/>
        <w:jc w:val="both"/>
        <w:rPr>
          <w:rFonts w:ascii="黑体" w:eastAsia="黑体" w:hAnsi="宋体" w:cs="宋体"/>
          <w:color w:val="000000"/>
          <w:kern w:val="0"/>
          <w:sz w:val="28"/>
          <w:szCs w:val="28"/>
        </w:rPr>
      </w:pPr>
      <w:r>
        <w:rPr>
          <w:rFonts w:ascii="黑体" w:eastAsia="黑体" w:hAnsi="宋体" w:cs="宋体" w:hint="eastAsia"/>
          <w:color w:val="000000"/>
          <w:kern w:val="0"/>
          <w:sz w:val="28"/>
          <w:szCs w:val="28"/>
        </w:rPr>
        <w:t>采购人（甲方）：</w:t>
      </w:r>
      <w:r>
        <w:rPr>
          <w:rFonts w:ascii="方正黑体简体" w:eastAsia="方正黑体简体" w:hAnsi="仿宋" w:hint="eastAsia"/>
          <w:color w:val="0000FF"/>
          <w:kern w:val="20"/>
          <w:sz w:val="32"/>
          <w:szCs w:val="28"/>
          <w:lang w:val="en-US" w:eastAsia="zh-CN"/>
        </w:rPr>
        <w:t>中国气象局公共气象服务中心</w:t>
      </w:r>
      <w:r>
        <w:rPr>
          <w:rFonts w:ascii="黑体" w:eastAsia="黑体" w:hAnsi="宋体" w:cs="宋体" w:hint="eastAsia"/>
          <w:color w:val="000000"/>
          <w:kern w:val="0"/>
          <w:sz w:val="28"/>
          <w:szCs w:val="28"/>
        </w:rPr>
        <w:t xml:space="preserve">                  </w:t>
      </w:r>
    </w:p>
    <w:p>
      <w:pPr>
        <w:autoSpaceDE w:val="0"/>
        <w:autoSpaceDN w:val="0"/>
        <w:ind w:firstLine="1960" w:firstLineChars="700"/>
        <w:jc w:val="both"/>
        <w:rPr>
          <w:rFonts w:ascii="黑体" w:eastAsia="黑体" w:hAnsi="宋体" w:cs="宋体"/>
          <w:color w:val="000000"/>
          <w:kern w:val="0"/>
          <w:sz w:val="28"/>
          <w:szCs w:val="28"/>
        </w:rPr>
      </w:pPr>
      <w:r>
        <w:rPr>
          <w:rFonts w:ascii="黑体" w:eastAsia="黑体" w:hAnsi="宋体" w:cs="宋体" w:hint="eastAsia"/>
          <w:color w:val="000000"/>
          <w:kern w:val="0"/>
          <w:sz w:val="28"/>
          <w:szCs w:val="28"/>
        </w:rPr>
        <w:t>中标人（乙方）：</w:t>
      </w:r>
      <w:r>
        <w:rPr>
          <w:rFonts w:ascii="方正黑体简体" w:eastAsia="方正黑体简体" w:hAnsi="仿宋" w:hint="eastAsia"/>
          <w:color w:val="0000FF"/>
          <w:kern w:val="20"/>
          <w:sz w:val="32"/>
          <w:szCs w:val="28"/>
          <w:lang w:val="zh-CN"/>
        </w:rPr>
        <w:t>XXXXXXX</w:t>
      </w:r>
    </w:p>
    <w:p>
      <w:pPr>
        <w:autoSpaceDE w:val="0"/>
        <w:autoSpaceDN w:val="0"/>
        <w:jc w:val="center"/>
        <w:rPr>
          <w:rFonts w:ascii="黑体" w:eastAsia="黑体" w:hAnsi="宋体" w:cs="宋体"/>
          <w:color w:val="000000"/>
          <w:kern w:val="0"/>
          <w:sz w:val="32"/>
          <w:szCs w:val="32"/>
        </w:rPr>
      </w:pPr>
    </w:p>
    <w:p>
      <w:pPr>
        <w:autoSpaceDE w:val="0"/>
        <w:autoSpaceDN w:val="0"/>
        <w:jc w:val="center"/>
        <w:rPr>
          <w:rFonts w:ascii="黑体" w:eastAsia="黑体" w:hAnsi="宋体" w:cs="宋体" w:hint="eastAsia"/>
          <w:color w:val="000000"/>
          <w:kern w:val="0"/>
          <w:sz w:val="32"/>
          <w:szCs w:val="32"/>
        </w:rPr>
      </w:pPr>
    </w:p>
    <w:p>
      <w:pPr>
        <w:autoSpaceDE w:val="0"/>
        <w:autoSpaceDN w:val="0"/>
        <w:jc w:val="center"/>
        <w:rPr>
          <w:rFonts w:ascii="黑体" w:eastAsia="黑体" w:hAnsi="宋体" w:cs="宋体" w:hint="eastAsia"/>
          <w:color w:val="000000"/>
          <w:kern w:val="0"/>
          <w:sz w:val="32"/>
          <w:szCs w:val="32"/>
        </w:rPr>
      </w:pPr>
    </w:p>
    <w:p>
      <w:pPr>
        <w:autoSpaceDE w:val="0"/>
        <w:autoSpaceDN w:val="0"/>
        <w:jc w:val="center"/>
        <w:rPr>
          <w:rFonts w:ascii="黑体" w:eastAsia="黑体" w:hAnsi="宋体" w:cs="宋体"/>
          <w:color w:val="000000"/>
          <w:kern w:val="0"/>
          <w:sz w:val="32"/>
          <w:szCs w:val="32"/>
        </w:rPr>
      </w:pPr>
    </w:p>
    <w:p>
      <w:pPr>
        <w:snapToGrid w:val="0"/>
        <w:spacing w:line="360" w:lineRule="auto"/>
        <w:jc w:val="center"/>
        <w:outlineLvl w:val="2"/>
        <w:rPr>
          <w:rFonts w:hint="eastAsia"/>
          <w:b/>
          <w:sz w:val="28"/>
          <w:szCs w:val="28"/>
        </w:rPr>
      </w:pPr>
    </w:p>
    <w:p>
      <w:pPr>
        <w:snapToGrid w:val="0"/>
        <w:spacing w:line="360" w:lineRule="auto"/>
        <w:jc w:val="center"/>
        <w:outlineLvl w:val="2"/>
        <w:rPr>
          <w:rFonts w:hint="eastAsia"/>
          <w:b/>
          <w:sz w:val="28"/>
          <w:szCs w:val="28"/>
        </w:rPr>
      </w:pPr>
    </w:p>
    <w:p>
      <w:pPr>
        <w:snapToGrid w:val="0"/>
        <w:spacing w:line="360" w:lineRule="auto"/>
        <w:jc w:val="center"/>
        <w:outlineLvl w:val="2"/>
        <w:rPr>
          <w:b/>
          <w:sz w:val="28"/>
          <w:szCs w:val="28"/>
        </w:rPr>
      </w:pPr>
      <w:r>
        <w:rPr>
          <w:rFonts w:hint="eastAsia"/>
          <w:b/>
          <w:sz w:val="28"/>
          <w:szCs w:val="28"/>
        </w:rPr>
        <w:t>第一部分合同条款通用部分</w:t>
      </w:r>
    </w:p>
    <w:p>
      <w:pPr>
        <w:tabs>
          <w:tab w:val="left" w:pos="1573"/>
        </w:tabs>
        <w:snapToGrid w:val="0"/>
        <w:spacing w:line="360" w:lineRule="auto"/>
        <w:jc w:val="center"/>
        <w:rPr>
          <w:rFonts w:ascii="宋体" w:hAnsi="宋体"/>
          <w:szCs w:val="21"/>
        </w:rPr>
      </w:pPr>
    </w:p>
    <w:p>
      <w:pPr>
        <w:tabs>
          <w:tab w:val="left" w:pos="1573"/>
        </w:tabs>
        <w:adjustRightInd w:val="0"/>
        <w:snapToGrid w:val="0"/>
        <w:spacing w:line="360" w:lineRule="auto"/>
        <w:ind w:firstLine="420"/>
        <w:rPr>
          <w:rFonts w:ascii="宋体" w:hAnsi="宋体"/>
          <w:szCs w:val="21"/>
        </w:rPr>
      </w:pPr>
      <w:r>
        <w:rPr>
          <w:rFonts w:ascii="宋体" w:hAnsi="宋体" w:hint="eastAsia"/>
          <w:szCs w:val="21"/>
        </w:rPr>
        <w:t xml:space="preserve">    甲方在本项目中所需货物和服务由中国气象局政府采购中心在境内进行公开招标，经评审委员会评定，确定乙方为中标人。甲乙双方</w:t>
      </w:r>
      <w:r>
        <w:rPr>
          <w:rFonts w:hint="eastAsia"/>
          <w:szCs w:val="21"/>
        </w:rPr>
        <w:t>根据《中华人民共和国政府采购法》、《中华人民共和国民法典》和《中华人民共和国招标投标法》等相关法律法规以及本项目招标文件的规定，经平等协商达成合同如下：</w:t>
      </w:r>
      <w:r>
        <w:rPr>
          <w:rFonts w:ascii="宋体" w:hAnsi="宋体" w:hint="eastAsia"/>
          <w:szCs w:val="21"/>
        </w:rPr>
        <w:t xml:space="preserve"> </w:t>
      </w:r>
    </w:p>
    <w:p>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本合同所附下列文件是构成本合同不可分割的部分，若各文件之间存在含糊不清或互相冲突之处，优先顺序应按下列文件顺序解释：</w:t>
      </w:r>
    </w:p>
    <w:p>
      <w:pPr>
        <w:numPr>
          <w:ilvl w:val="0"/>
          <w:numId w:val="8"/>
        </w:numPr>
        <w:snapToGrid w:val="0"/>
        <w:spacing w:line="360" w:lineRule="auto"/>
        <w:rPr>
          <w:rFonts w:ascii="宋体" w:hAnsi="宋体"/>
          <w:szCs w:val="21"/>
        </w:rPr>
      </w:pPr>
      <w:r>
        <w:rPr>
          <w:rFonts w:ascii="宋体" w:hAnsi="宋体" w:hint="eastAsia"/>
          <w:szCs w:val="21"/>
        </w:rPr>
        <w:t>中标通知书</w:t>
      </w:r>
    </w:p>
    <w:p>
      <w:pPr>
        <w:numPr>
          <w:ilvl w:val="0"/>
          <w:numId w:val="8"/>
        </w:numPr>
        <w:snapToGrid w:val="0"/>
        <w:spacing w:line="360" w:lineRule="auto"/>
        <w:rPr>
          <w:rFonts w:ascii="宋体" w:hAnsi="宋体"/>
          <w:szCs w:val="21"/>
        </w:rPr>
      </w:pPr>
      <w:r>
        <w:rPr>
          <w:rFonts w:ascii="宋体" w:hAnsi="宋体" w:hint="eastAsia"/>
          <w:szCs w:val="21"/>
        </w:rPr>
        <w:t>投标一览表及投标分项报价表</w:t>
      </w:r>
    </w:p>
    <w:p>
      <w:pPr>
        <w:numPr>
          <w:ilvl w:val="0"/>
          <w:numId w:val="8"/>
        </w:numPr>
        <w:snapToGrid w:val="0"/>
        <w:spacing w:line="360" w:lineRule="auto"/>
        <w:rPr>
          <w:rFonts w:ascii="宋体" w:hAnsi="宋体"/>
          <w:szCs w:val="21"/>
        </w:rPr>
      </w:pPr>
      <w:r>
        <w:rPr>
          <w:rFonts w:ascii="宋体" w:hAnsi="宋体" w:hint="eastAsia"/>
          <w:szCs w:val="21"/>
        </w:rPr>
        <w:t>商务和技术偏离表</w:t>
      </w:r>
    </w:p>
    <w:p>
      <w:pPr>
        <w:numPr>
          <w:ilvl w:val="0"/>
          <w:numId w:val="8"/>
        </w:numPr>
        <w:snapToGrid w:val="0"/>
        <w:spacing w:line="360" w:lineRule="auto"/>
        <w:rPr>
          <w:rFonts w:ascii="宋体" w:hAnsi="宋体"/>
          <w:szCs w:val="21"/>
        </w:rPr>
      </w:pPr>
      <w:r>
        <w:rPr>
          <w:rFonts w:ascii="宋体" w:hAnsi="宋体" w:hint="eastAsia"/>
          <w:szCs w:val="21"/>
        </w:rPr>
        <w:t>合同条款专用部分</w:t>
      </w:r>
    </w:p>
    <w:p>
      <w:pPr>
        <w:numPr>
          <w:ilvl w:val="0"/>
          <w:numId w:val="8"/>
        </w:numPr>
        <w:snapToGrid w:val="0"/>
        <w:spacing w:line="360" w:lineRule="auto"/>
        <w:rPr>
          <w:rFonts w:ascii="宋体" w:hAnsi="宋体"/>
          <w:szCs w:val="21"/>
        </w:rPr>
      </w:pPr>
      <w:r>
        <w:rPr>
          <w:rFonts w:ascii="宋体" w:hAnsi="宋体" w:hint="eastAsia"/>
          <w:szCs w:val="21"/>
        </w:rPr>
        <w:t>合同条款通用部分</w:t>
      </w:r>
    </w:p>
    <w:p>
      <w:pPr>
        <w:numPr>
          <w:ilvl w:val="0"/>
          <w:numId w:val="8"/>
        </w:numPr>
        <w:snapToGrid w:val="0"/>
        <w:spacing w:line="360" w:lineRule="auto"/>
        <w:rPr>
          <w:rFonts w:ascii="宋体" w:hAnsi="宋体"/>
          <w:szCs w:val="21"/>
        </w:rPr>
      </w:pPr>
      <w:r>
        <w:rPr>
          <w:rFonts w:ascii="宋体" w:hAnsi="宋体" w:hint="eastAsia"/>
          <w:szCs w:val="21"/>
        </w:rPr>
        <w:t>采购需求</w:t>
      </w:r>
    </w:p>
    <w:p>
      <w:pPr>
        <w:numPr>
          <w:ilvl w:val="0"/>
          <w:numId w:val="8"/>
        </w:numPr>
        <w:snapToGrid w:val="0"/>
        <w:spacing w:line="360" w:lineRule="auto"/>
        <w:rPr>
          <w:rFonts w:ascii="宋体" w:hAnsi="宋体"/>
          <w:szCs w:val="21"/>
        </w:rPr>
      </w:pPr>
      <w:r>
        <w:rPr>
          <w:rFonts w:ascii="宋体" w:hAnsi="宋体" w:hint="eastAsia"/>
          <w:szCs w:val="21"/>
        </w:rPr>
        <w:t>双方有关服务的洽商、变更等书面协议或文件</w:t>
      </w:r>
    </w:p>
    <w:p>
      <w:pPr>
        <w:numPr>
          <w:ilvl w:val="0"/>
          <w:numId w:val="8"/>
        </w:numPr>
        <w:snapToGrid w:val="0"/>
        <w:spacing w:line="360" w:lineRule="auto"/>
        <w:rPr>
          <w:rFonts w:ascii="宋体" w:hAnsi="宋体"/>
          <w:szCs w:val="21"/>
        </w:rPr>
      </w:pPr>
      <w:r>
        <w:rPr>
          <w:rFonts w:ascii="宋体" w:hAnsi="宋体" w:hint="eastAsia"/>
          <w:szCs w:val="21"/>
        </w:rPr>
        <w:t>投标文件、招标文件</w:t>
      </w:r>
    </w:p>
    <w:p>
      <w:pPr>
        <w:numPr>
          <w:ilvl w:val="0"/>
          <w:numId w:val="8"/>
        </w:numPr>
        <w:snapToGrid w:val="0"/>
        <w:spacing w:line="360" w:lineRule="auto"/>
        <w:rPr>
          <w:rFonts w:ascii="宋体" w:hAnsi="宋体"/>
          <w:szCs w:val="21"/>
        </w:rPr>
      </w:pPr>
      <w:r>
        <w:rPr>
          <w:rFonts w:ascii="宋体" w:hAnsi="宋体" w:hint="eastAsia"/>
          <w:szCs w:val="21"/>
        </w:rPr>
        <w:t>其他合同文本</w:t>
      </w:r>
    </w:p>
    <w:p>
      <w:pPr>
        <w:snapToGrid w:val="0"/>
        <w:spacing w:line="360" w:lineRule="auto"/>
        <w:ind w:firstLine="315" w:firstLineChars="150"/>
        <w:rPr>
          <w:rFonts w:ascii="宋体" w:hAnsi="宋体"/>
          <w:b/>
          <w:szCs w:val="21"/>
        </w:rPr>
      </w:pPr>
      <w:r>
        <w:rPr>
          <w:rFonts w:ascii="宋体" w:hAnsi="宋体" w:hint="eastAsia"/>
          <w:b/>
          <w:szCs w:val="21"/>
        </w:rPr>
        <w:t>一、定义</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pPr>
        <w:adjustRightInd w:val="0"/>
        <w:snapToGrid w:val="0"/>
        <w:spacing w:line="360" w:lineRule="auto"/>
        <w:ind w:firstLine="420" w:firstLineChars="200"/>
        <w:rPr>
          <w:rFonts w:ascii="宋体" w:hAnsi="宋体"/>
          <w:szCs w:val="21"/>
        </w:rPr>
      </w:pPr>
      <w:r>
        <w:rPr>
          <w:rFonts w:ascii="宋体" w:hAnsi="宋体" w:hint="eastAsia"/>
          <w:kern w:val="0"/>
          <w:szCs w:val="21"/>
        </w:rPr>
        <w:t>1、</w:t>
      </w:r>
      <w:r>
        <w:rPr>
          <w:rFonts w:ascii="宋体" w:hAnsi="宋体" w:hint="eastAsia"/>
          <w:kern w:val="0"/>
          <w:szCs w:val="21"/>
        </w:rPr>
        <w:t>“</w:t>
      </w:r>
      <w:r>
        <w:rPr>
          <w:rFonts w:ascii="宋体" w:hAnsi="宋体" w:hint="eastAsia"/>
          <w:szCs w:val="21"/>
        </w:rPr>
        <w:t>合同</w:t>
      </w:r>
      <w:r>
        <w:rPr>
          <w:rFonts w:ascii="宋体" w:hAnsi="宋体" w:hint="eastAsia"/>
          <w:szCs w:val="21"/>
        </w:rPr>
        <w:t>”</w:t>
      </w:r>
      <w:r>
        <w:rPr>
          <w:rFonts w:ascii="宋体" w:hAnsi="宋体" w:hint="eastAsia"/>
          <w:szCs w:val="21"/>
        </w:rPr>
        <w:t>系指甲乙双方签署的、合同格式中载明的甲乙双方所达成的协议，包括所有的附件、附录和上述文件所提到的构成合同的所有文件。</w:t>
      </w:r>
    </w:p>
    <w:p>
      <w:pPr>
        <w:adjustRightInd w:val="0"/>
        <w:snapToGrid w:val="0"/>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rPr>
        <w:t>合同价</w:t>
      </w:r>
      <w:r>
        <w:rPr>
          <w:rFonts w:ascii="宋体" w:hAnsi="宋体" w:hint="eastAsia"/>
          <w:szCs w:val="21"/>
        </w:rPr>
        <w:t>”</w:t>
      </w:r>
      <w:r>
        <w:rPr>
          <w:rFonts w:ascii="宋体" w:hAnsi="宋体" w:hint="eastAsia"/>
          <w:szCs w:val="21"/>
        </w:rPr>
        <w:t>系指根据合同规定乙方在正确地完全履行合同义务后甲方应支付给乙方的价格．</w:t>
      </w:r>
    </w:p>
    <w:p>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w:t>
      </w:r>
      <w:r>
        <w:rPr>
          <w:rFonts w:ascii="宋体" w:hAnsi="宋体" w:hint="eastAsia"/>
          <w:szCs w:val="21"/>
        </w:rPr>
        <w:t>服务</w:t>
      </w:r>
      <w:r>
        <w:rPr>
          <w:rFonts w:ascii="宋体" w:hAnsi="宋体" w:hint="eastAsia"/>
          <w:szCs w:val="21"/>
        </w:rPr>
        <w:t>”</w:t>
      </w:r>
      <w:r>
        <w:rPr>
          <w:rFonts w:ascii="宋体" w:hAnsi="宋体" w:hint="eastAsia"/>
          <w:szCs w:val="21"/>
        </w:rPr>
        <w:t>系指如数据分析等技术文件中所描述的活动。服务亦包括技术文件中特别描述的其它形式的服务</w:t>
      </w:r>
    </w:p>
    <w:p>
      <w:pPr>
        <w:adjustRightInd w:val="0"/>
        <w:snapToGrid w:val="0"/>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w:t>
      </w:r>
      <w:r>
        <w:rPr>
          <w:rFonts w:ascii="宋体" w:hAnsi="宋体" w:hint="eastAsia"/>
          <w:szCs w:val="21"/>
        </w:rPr>
        <w:t>资料</w:t>
      </w:r>
      <w:r>
        <w:rPr>
          <w:rFonts w:ascii="宋体" w:hAnsi="宋体" w:hint="eastAsia"/>
          <w:szCs w:val="21"/>
        </w:rPr>
        <w:t>”</w:t>
      </w:r>
      <w:r>
        <w:rPr>
          <w:rFonts w:ascii="宋体" w:hAnsi="宋体" w:hint="eastAsia"/>
          <w:szCs w:val="21"/>
        </w:rPr>
        <w:t>系指依据合同规定，由乙方提供数据、报告、图表等资料。</w:t>
      </w:r>
    </w:p>
    <w:p>
      <w:pPr>
        <w:adjustRightInd w:val="0"/>
        <w:snapToGrid w:val="0"/>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w:t>
      </w:r>
      <w:r>
        <w:rPr>
          <w:rFonts w:ascii="宋体" w:hAnsi="宋体" w:hint="eastAsia"/>
          <w:szCs w:val="21"/>
        </w:rPr>
        <w:t>合同条款</w:t>
      </w:r>
      <w:r>
        <w:rPr>
          <w:rFonts w:ascii="宋体" w:hAnsi="宋体" w:hint="eastAsia"/>
          <w:szCs w:val="21"/>
        </w:rPr>
        <w:t>”</w:t>
      </w:r>
      <w:r>
        <w:rPr>
          <w:rFonts w:ascii="宋体" w:hAnsi="宋体" w:hint="eastAsia"/>
          <w:szCs w:val="21"/>
        </w:rPr>
        <w:t>是指本合同条款。</w:t>
      </w:r>
    </w:p>
    <w:p>
      <w:pPr>
        <w:adjustRightInd w:val="0"/>
        <w:snapToGrid w:val="0"/>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w:t>
      </w:r>
      <w:r>
        <w:rPr>
          <w:rFonts w:ascii="宋体" w:hAnsi="宋体" w:hint="eastAsia"/>
          <w:szCs w:val="21"/>
        </w:rPr>
        <w:t>天</w:t>
      </w:r>
      <w:r>
        <w:rPr>
          <w:rFonts w:ascii="宋体" w:hAnsi="宋体" w:hint="eastAsia"/>
          <w:szCs w:val="21"/>
        </w:rPr>
        <w:t>”</w:t>
      </w:r>
      <w:r>
        <w:rPr>
          <w:rFonts w:ascii="宋体" w:hAnsi="宋体" w:hint="eastAsia"/>
          <w:szCs w:val="21"/>
        </w:rPr>
        <w:t>指日历天数。</w:t>
      </w:r>
    </w:p>
    <w:p>
      <w:pPr>
        <w:pStyle w:val="NormalIndent"/>
        <w:adjustRightInd w:val="0"/>
        <w:snapToGrid w:val="0"/>
        <w:spacing w:line="360" w:lineRule="auto"/>
        <w:ind w:left="210" w:firstLine="206" w:leftChars="100" w:firstLineChars="98"/>
        <w:rPr>
          <w:rFonts w:ascii="宋体" w:hAnsi="宋体"/>
          <w:b/>
          <w:szCs w:val="21"/>
        </w:rPr>
      </w:pPr>
      <w:r>
        <w:rPr>
          <w:rFonts w:ascii="宋体" w:hAnsi="宋体" w:hint="eastAsia"/>
          <w:b/>
          <w:szCs w:val="21"/>
        </w:rPr>
        <w:t>二、合同标的。</w:t>
      </w:r>
    </w:p>
    <w:p>
      <w:pPr>
        <w:pStyle w:val="NormalIndent"/>
        <w:numPr>
          <w:ilvl w:val="6"/>
          <w:numId w:val="0"/>
        </w:numPr>
        <w:adjustRightInd w:val="0"/>
        <w:snapToGrid w:val="0"/>
        <w:spacing w:line="360" w:lineRule="auto"/>
        <w:ind w:firstLine="420" w:firstLineChars="200"/>
        <w:rPr>
          <w:rFonts w:ascii="宋体" w:hAnsi="宋体"/>
          <w:szCs w:val="21"/>
        </w:rPr>
      </w:pPr>
      <w:r>
        <w:rPr>
          <w:rFonts w:ascii="宋体" w:hAnsi="宋体" w:hint="eastAsia"/>
          <w:szCs w:val="21"/>
        </w:rPr>
        <w:t>见第二部分合同专用部分。</w:t>
      </w:r>
    </w:p>
    <w:p>
      <w:pPr>
        <w:pStyle w:val="20"/>
        <w:adjustRightInd w:val="0"/>
        <w:snapToGrid w:val="0"/>
        <w:ind w:left="200" w:firstLine="225" w:leftChars="95" w:firstLineChars="107"/>
        <w:rPr>
          <w:b/>
          <w:sz w:val="21"/>
          <w:szCs w:val="21"/>
        </w:rPr>
      </w:pPr>
      <w:r>
        <w:rPr>
          <w:rFonts w:ascii="宋体" w:hAnsi="宋体" w:hint="eastAsia"/>
          <w:sz w:val="21"/>
          <w:szCs w:val="21"/>
          <w:lang w:val="en-US" w:eastAsia="zh-CN"/>
        </w:rPr>
        <w:t>三、</w:t>
      </w:r>
      <w:bookmarkStart w:id="230" w:name="_Toc86202595"/>
      <w:r>
        <w:rPr>
          <w:rFonts w:hint="eastAsia"/>
          <w:b/>
          <w:sz w:val="21"/>
          <w:szCs w:val="21"/>
        </w:rPr>
        <w:t>合同价格</w:t>
      </w:r>
      <w:bookmarkEnd w:id="230"/>
    </w:p>
    <w:p>
      <w:pPr>
        <w:adjustRightInd w:val="0"/>
        <w:snapToGrid w:val="0"/>
        <w:spacing w:line="360" w:lineRule="auto"/>
        <w:ind w:firstLine="420" w:firstLineChars="200"/>
        <w:rPr>
          <w:rFonts w:ascii="宋体" w:hAnsi="宋体"/>
          <w:szCs w:val="21"/>
        </w:rPr>
      </w:pPr>
      <w:r>
        <w:rPr>
          <w:rFonts w:ascii="宋体" w:hAnsi="宋体" w:hint="eastAsia"/>
          <w:szCs w:val="21"/>
        </w:rPr>
        <w:t>1、合同总金额详见</w:t>
      </w:r>
      <w:r>
        <w:rPr>
          <w:rFonts w:ascii="黑体" w:eastAsia="黑体" w:hAnsi="黑体" w:hint="eastAsia"/>
          <w:b/>
          <w:bCs/>
          <w:szCs w:val="21"/>
        </w:rPr>
        <w:t>第二部分合同专用部分</w:t>
      </w:r>
      <w:r>
        <w:rPr>
          <w:rFonts w:ascii="宋体" w:hAnsi="宋体" w:hint="eastAsia"/>
          <w:szCs w:val="21"/>
        </w:rPr>
        <w:t>。</w:t>
      </w:r>
    </w:p>
    <w:p>
      <w:pPr>
        <w:adjustRightInd w:val="0"/>
        <w:snapToGrid w:val="0"/>
        <w:spacing w:line="360" w:lineRule="auto"/>
        <w:ind w:firstLine="420" w:firstLineChars="200"/>
        <w:rPr>
          <w:rFonts w:ascii="宋体" w:hAnsi="宋体"/>
          <w:szCs w:val="21"/>
        </w:rPr>
      </w:pPr>
      <w:r>
        <w:rPr>
          <w:rFonts w:ascii="宋体" w:hAnsi="宋体" w:hint="eastAsia"/>
          <w:szCs w:val="21"/>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hAnsi="宋体"/>
          <w:szCs w:val="21"/>
        </w:rPr>
      </w:pPr>
      <w:r>
        <w:rPr>
          <w:rFonts w:ascii="宋体" w:hAnsi="宋体" w:hint="eastAsia"/>
          <w:szCs w:val="21"/>
        </w:rPr>
        <w:t>3、合同服务产品详细目录及价格见</w:t>
      </w:r>
      <w:r>
        <w:rPr>
          <w:rFonts w:ascii="黑体" w:eastAsia="黑体" w:hAnsi="黑体" w:hint="eastAsia"/>
          <w:b/>
          <w:bCs/>
          <w:szCs w:val="21"/>
        </w:rPr>
        <w:t>合同服务产品清单（同投标文件中服务产品清单）</w:t>
      </w:r>
      <w:r>
        <w:rPr>
          <w:rFonts w:ascii="宋体" w:hAnsi="宋体" w:hint="eastAsia"/>
          <w:szCs w:val="21"/>
        </w:rPr>
        <w:t>。</w:t>
      </w:r>
    </w:p>
    <w:p>
      <w:pPr>
        <w:adjustRightInd w:val="0"/>
        <w:snapToGrid w:val="0"/>
        <w:spacing w:line="360" w:lineRule="auto"/>
        <w:ind w:firstLine="412" w:firstLineChars="196"/>
        <w:rPr>
          <w:b/>
          <w:szCs w:val="21"/>
        </w:rPr>
      </w:pPr>
      <w:bookmarkStart w:id="231" w:name="_Toc86202596"/>
      <w:r>
        <w:rPr>
          <w:rFonts w:hint="eastAsia"/>
          <w:b/>
          <w:szCs w:val="21"/>
        </w:rPr>
        <w:t>四、支付和结算方式</w:t>
      </w:r>
      <w:bookmarkEnd w:id="231"/>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2、双方的帐户名称、开户银行及帐号以本合同提供的为准。</w:t>
      </w:r>
    </w:p>
    <w:p>
      <w:pPr>
        <w:tabs>
          <w:tab w:val="left" w:pos="1573"/>
        </w:tabs>
        <w:adjustRightInd w:val="0"/>
        <w:snapToGrid w:val="0"/>
        <w:spacing w:line="360" w:lineRule="auto"/>
        <w:ind w:firstLine="420" w:firstLineChars="200"/>
        <w:rPr>
          <w:rFonts w:hAnsi="宋体"/>
          <w:kern w:val="0"/>
          <w:szCs w:val="21"/>
        </w:rPr>
      </w:pPr>
      <w:r>
        <w:rPr>
          <w:rFonts w:ascii="宋体" w:hAnsi="宋体" w:hint="eastAsia"/>
          <w:szCs w:val="21"/>
        </w:rPr>
        <w:t>3、付款方式：</w:t>
      </w:r>
      <w:bookmarkStart w:id="232" w:name="_Toc86202597"/>
      <w:r>
        <w:rPr>
          <w:rFonts w:hAnsi="宋体" w:hint="eastAsia"/>
          <w:kern w:val="0"/>
          <w:szCs w:val="21"/>
        </w:rPr>
        <w:t xml:space="preserve"> </w:t>
      </w:r>
    </w:p>
    <w:p>
      <w:pPr>
        <w:pStyle w:val="PlainText"/>
        <w:tabs>
          <w:tab w:val="left" w:pos="1573"/>
        </w:tabs>
        <w:adjustRightInd w:val="0"/>
        <w:snapToGrid w:val="0"/>
        <w:spacing w:line="360" w:lineRule="auto"/>
        <w:ind w:firstLine="420" w:firstLineChars="200"/>
        <w:rPr>
          <w:rFonts w:hAnsi="宋体"/>
          <w:kern w:val="0"/>
          <w:szCs w:val="20"/>
        </w:rPr>
      </w:pPr>
      <w:r>
        <w:rPr>
          <w:rFonts w:hAnsi="宋体" w:hint="eastAsia"/>
          <w:kern w:val="0"/>
          <w:szCs w:val="20"/>
          <w:lang w:eastAsia="zh-CN"/>
        </w:rPr>
        <w:t>详见</w:t>
      </w:r>
      <w:r>
        <w:rPr>
          <w:rFonts w:hAnsi="宋体" w:hint="eastAsia"/>
          <w:b/>
          <w:kern w:val="0"/>
          <w:szCs w:val="20"/>
          <w:lang w:eastAsia="zh-CN"/>
        </w:rPr>
        <w:t>合同专用部分</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4、乙方在甲方支付每一笔付款前，应向甲方开具相应金额的商业发票。</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tabs>
          <w:tab w:val="left" w:pos="1573"/>
        </w:tabs>
        <w:adjustRightInd w:val="0"/>
        <w:snapToGrid w:val="0"/>
        <w:spacing w:line="360" w:lineRule="auto"/>
        <w:ind w:firstLine="420" w:firstLineChars="200"/>
        <w:rPr>
          <w:rFonts w:ascii="宋体" w:hAnsi="宋体"/>
          <w:b/>
          <w:szCs w:val="21"/>
        </w:rPr>
      </w:pPr>
      <w:r>
        <w:rPr>
          <w:rFonts w:ascii="宋体" w:hAnsi="宋体" w:hint="eastAsia"/>
          <w:b/>
          <w:szCs w:val="21"/>
        </w:rPr>
        <w:t>五、资料的使用</w:t>
      </w:r>
    </w:p>
    <w:p>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pPr>
        <w:adjustRightInd w:val="0"/>
        <w:snapToGrid w:val="0"/>
        <w:spacing w:line="360" w:lineRule="auto"/>
        <w:ind w:firstLine="420" w:firstLineChars="200"/>
        <w:rPr>
          <w:rFonts w:ascii="宋体" w:hAnsi="宋体"/>
          <w:szCs w:val="21"/>
        </w:rPr>
      </w:pPr>
      <w:r>
        <w:rPr>
          <w:rFonts w:ascii="宋体" w:hAnsi="宋体" w:hint="eastAsia"/>
          <w:szCs w:val="21"/>
        </w:rPr>
        <w:t>3、没有甲方事先书面同意，乙方不得泄露与本项目有关的任何资料、数据及其它信息。</w:t>
      </w:r>
    </w:p>
    <w:p>
      <w:pPr>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甲方提供该乙方履行合同所需的资料清单见</w:t>
      </w:r>
      <w:r>
        <w:rPr>
          <w:rFonts w:ascii="黑体" w:eastAsia="黑体" w:hAnsi="黑体" w:hint="eastAsia"/>
          <w:b/>
          <w:bCs/>
          <w:szCs w:val="21"/>
        </w:rPr>
        <w:t>第二部分合同专用部分。</w:t>
      </w:r>
    </w:p>
    <w:p>
      <w:pPr>
        <w:pStyle w:val="NormalIndent"/>
        <w:adjustRightInd w:val="0"/>
        <w:snapToGrid w:val="0"/>
        <w:spacing w:line="360" w:lineRule="auto"/>
        <w:ind w:left="414" w:firstLine="422"/>
        <w:rPr>
          <w:rFonts w:ascii="宋体" w:hAnsi="宋体"/>
          <w:b/>
          <w:szCs w:val="21"/>
        </w:rPr>
      </w:pPr>
      <w:r>
        <w:rPr>
          <w:rFonts w:ascii="宋体" w:hAnsi="宋体" w:hint="eastAsia"/>
          <w:b/>
          <w:szCs w:val="21"/>
        </w:rPr>
        <w:t>六、知识产权</w:t>
      </w:r>
    </w:p>
    <w:p>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hAnsi="宋体"/>
          <w:szCs w:val="21"/>
        </w:rPr>
      </w:pPr>
      <w:r>
        <w:rPr>
          <w:rFonts w:ascii="宋体" w:hAnsi="宋体"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firstLine="420" w:firstLineChars="200"/>
        <w:rPr>
          <w:rFonts w:ascii="宋体" w:hAnsi="宋体"/>
          <w:b/>
          <w:szCs w:val="21"/>
        </w:rPr>
      </w:pPr>
      <w:r>
        <w:rPr>
          <w:rFonts w:ascii="宋体" w:hAnsi="宋体" w:hint="eastAsia"/>
          <w:b/>
          <w:szCs w:val="21"/>
        </w:rPr>
        <w:t>七、权利和义务</w:t>
      </w:r>
    </w:p>
    <w:p>
      <w:pPr>
        <w:adjustRightInd w:val="0"/>
        <w:snapToGrid w:val="0"/>
        <w:spacing w:line="360" w:lineRule="auto"/>
        <w:ind w:firstLine="420" w:firstLineChars="200"/>
        <w:rPr>
          <w:rFonts w:ascii="宋体" w:hAnsi="宋体"/>
          <w:szCs w:val="21"/>
        </w:rPr>
      </w:pPr>
      <w:r>
        <w:rPr>
          <w:rFonts w:ascii="宋体" w:hAnsi="宋体" w:hint="eastAsia"/>
          <w:szCs w:val="21"/>
        </w:rPr>
        <w:t>1、合同签订生效后，乙方应组织有关人员在甲方的指导下负责拟定项目实施方案，经甲方认可后执行。乙方负责办理调查项目的审批手续。</w:t>
      </w:r>
    </w:p>
    <w:p>
      <w:pPr>
        <w:adjustRightInd w:val="0"/>
        <w:snapToGrid w:val="0"/>
        <w:spacing w:line="360" w:lineRule="auto"/>
        <w:ind w:firstLine="420" w:firstLineChars="200"/>
        <w:rPr>
          <w:rFonts w:ascii="宋体" w:hAnsi="宋体"/>
          <w:szCs w:val="21"/>
        </w:rPr>
      </w:pPr>
      <w:r>
        <w:rPr>
          <w:rFonts w:ascii="宋体" w:hAnsi="宋体" w:hint="eastAsia"/>
          <w:szCs w:val="21"/>
        </w:rPr>
        <w:t>2、乙方接受甲方的委托后，及时向甲方提供项目实施的具体工作日程安排。</w:t>
      </w:r>
    </w:p>
    <w:p>
      <w:pPr>
        <w:adjustRightInd w:val="0"/>
        <w:snapToGrid w:val="0"/>
        <w:spacing w:line="360" w:lineRule="auto"/>
        <w:ind w:firstLine="420" w:firstLineChars="200"/>
        <w:rPr>
          <w:rFonts w:ascii="宋体" w:hAnsi="宋体"/>
          <w:szCs w:val="21"/>
        </w:rPr>
      </w:pPr>
      <w:r>
        <w:rPr>
          <w:rFonts w:ascii="宋体" w:hAnsi="宋体" w:hint="eastAsia"/>
          <w:szCs w:val="21"/>
        </w:rPr>
        <w:t>3、合同签订生效后，乙方应按实施方案完成有关任务，按照合同约定的时间向甲方提供服务产品，满足甲方在技术需求和业务需求中的要求。</w:t>
      </w:r>
    </w:p>
    <w:p>
      <w:pPr>
        <w:pStyle w:val="NormalIndent"/>
        <w:adjustRightInd w:val="0"/>
        <w:snapToGrid w:val="0"/>
        <w:spacing w:line="360" w:lineRule="auto"/>
        <w:ind w:left="210" w:firstLine="206" w:leftChars="100" w:firstLineChars="98"/>
        <w:rPr>
          <w:rFonts w:ascii="宋体" w:hAnsi="宋体"/>
          <w:szCs w:val="21"/>
        </w:rPr>
      </w:pPr>
      <w:r>
        <w:rPr>
          <w:rFonts w:ascii="宋体" w:hAnsi="宋体" w:hint="eastAsia"/>
          <w:b/>
          <w:szCs w:val="21"/>
        </w:rPr>
        <w:t>4、</w:t>
      </w:r>
      <w:r>
        <w:rPr>
          <w:rFonts w:ascii="宋体" w:hAnsi="宋体" w:hint="eastAsia"/>
          <w:szCs w:val="21"/>
        </w:rPr>
        <w:t>甲方可对乙方的组织实施工作进行检查。</w:t>
      </w:r>
    </w:p>
    <w:p>
      <w:pPr>
        <w:adjustRightInd w:val="0"/>
        <w:snapToGrid w:val="0"/>
        <w:spacing w:line="360" w:lineRule="auto"/>
        <w:ind w:firstLine="420" w:firstLineChars="200"/>
        <w:rPr>
          <w:rFonts w:ascii="宋体" w:hAnsi="宋体"/>
          <w:szCs w:val="21"/>
        </w:rPr>
      </w:pPr>
      <w:r>
        <w:rPr>
          <w:rFonts w:ascii="宋体" w:hAnsi="宋体" w:hint="eastAsia"/>
          <w:szCs w:val="21"/>
        </w:rPr>
        <w:t>5、甲方如对乙方工作有任何异议，应于服务产品提交后15日内以书面形式向乙方提出，对经乙方确认的异议，乙方应根据行业要求做出合理处理。逾期未提出书面异议，视同无异议。</w:t>
      </w:r>
    </w:p>
    <w:p>
      <w:pPr>
        <w:adjustRightInd w:val="0"/>
        <w:snapToGrid w:val="0"/>
        <w:spacing w:line="360" w:lineRule="auto"/>
        <w:ind w:firstLine="420" w:firstLineChars="200"/>
        <w:rPr>
          <w:rFonts w:ascii="宋体" w:hAnsi="宋体"/>
          <w:szCs w:val="21"/>
        </w:rPr>
      </w:pPr>
      <w:r>
        <w:rPr>
          <w:rFonts w:ascii="宋体" w:hAnsi="宋体" w:hint="eastAsia"/>
          <w:szCs w:val="21"/>
        </w:rPr>
        <w:t>6、在履行合同过程中，甲方应给予乙方必要的配合，提供履行合同所必须的资料。</w:t>
      </w:r>
    </w:p>
    <w:p>
      <w:pPr>
        <w:tabs>
          <w:tab w:val="left" w:pos="1573"/>
        </w:tabs>
        <w:adjustRightInd w:val="0"/>
        <w:snapToGrid w:val="0"/>
        <w:spacing w:line="360" w:lineRule="auto"/>
        <w:ind w:firstLine="420" w:firstLineChars="200"/>
        <w:rPr>
          <w:b/>
          <w:szCs w:val="21"/>
        </w:rPr>
      </w:pPr>
      <w:r>
        <w:rPr>
          <w:rFonts w:ascii="宋体" w:hAnsi="宋体" w:hint="eastAsia"/>
          <w:b/>
          <w:szCs w:val="21"/>
        </w:rPr>
        <w:t>八、</w:t>
      </w:r>
      <w:r>
        <w:rPr>
          <w:rFonts w:hint="eastAsia"/>
          <w:b/>
          <w:szCs w:val="21"/>
        </w:rPr>
        <w:t>合同的补充、修改和变更</w:t>
      </w:r>
    </w:p>
    <w:p>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w:t>
      </w:r>
      <w:r>
        <w:rPr>
          <w:rFonts w:ascii="宋体" w:hAnsi="宋体" w:hint="eastAsia"/>
          <w:sz w:val="21"/>
          <w:szCs w:val="21"/>
          <w:lang w:eastAsia="zh-CN"/>
        </w:rPr>
        <w:t>项目执行过程</w:t>
      </w:r>
      <w:r>
        <w:rPr>
          <w:rFonts w:ascii="宋体" w:hAnsi="宋体" w:hint="eastAsia"/>
          <w:sz w:val="21"/>
          <w:szCs w:val="21"/>
        </w:rPr>
        <w:t>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w:t>
      </w:r>
      <w:r>
        <w:rPr>
          <w:rFonts w:ascii="宋体" w:hAnsi="宋体" w:hint="eastAsia"/>
          <w:sz w:val="21"/>
          <w:szCs w:val="21"/>
          <w:lang w:eastAsia="zh-CN"/>
        </w:rPr>
        <w:t>。</w:t>
      </w:r>
      <w:r>
        <w:rPr>
          <w:rFonts w:ascii="宋体" w:hAnsi="宋体" w:hint="eastAsia"/>
          <w:sz w:val="21"/>
          <w:szCs w:val="21"/>
        </w:rPr>
        <w:t>为此，双方同意：</w:t>
      </w:r>
    </w:p>
    <w:p>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hAnsi="宋体"/>
          <w:szCs w:val="21"/>
        </w:rPr>
      </w:pPr>
      <w:r>
        <w:rPr>
          <w:rFonts w:ascii="宋体" w:hAnsi="宋体" w:hint="eastAsia"/>
          <w:szCs w:val="21"/>
        </w:rPr>
        <w:t>7、任何对合同条件的变更或修改均须双方签订书面的修改书。</w:t>
      </w:r>
    </w:p>
    <w:p>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8、招投标文件及其全部条款、双方签订的补充协议以及修改或变更的条款与本合同具有同等法律效力。补充、修改或变更的协议的签署及生效方式与本合同的签署及生效方式相同。</w:t>
      </w:r>
    </w:p>
    <w:p>
      <w:pPr>
        <w:pStyle w:val="NormalIndent"/>
        <w:adjustRightInd w:val="0"/>
        <w:snapToGrid w:val="0"/>
        <w:spacing w:line="360" w:lineRule="auto"/>
        <w:ind w:firstLine="412" w:firstLineChars="196"/>
        <w:rPr>
          <w:rFonts w:ascii="宋体" w:hAnsi="宋体"/>
          <w:b/>
          <w:szCs w:val="21"/>
        </w:rPr>
      </w:pPr>
      <w:r>
        <w:rPr>
          <w:rFonts w:ascii="宋体" w:hAnsi="宋体" w:hint="eastAsia"/>
          <w:b/>
          <w:szCs w:val="21"/>
        </w:rPr>
        <w:t>九、转包与分包</w:t>
      </w:r>
    </w:p>
    <w:p>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乙方签订合同后，未经甲方允许不得转包、分包，亦不得将合同全部及任何权利、义务向第三方转让，否则将被视为严重违约，甲方有权决定终止或解除合同</w:t>
      </w:r>
      <w:r>
        <w:rPr>
          <w:rFonts w:ascii="宋体" w:hAnsi="宋体" w:hint="eastAsia"/>
          <w:sz w:val="21"/>
          <w:szCs w:val="21"/>
          <w:lang w:eastAsia="zh-CN"/>
        </w:rPr>
        <w:t>，乙方应支付合同总金额3</w:t>
      </w:r>
      <w:r>
        <w:rPr>
          <w:rFonts w:ascii="宋体" w:hAnsi="宋体"/>
          <w:sz w:val="21"/>
          <w:szCs w:val="21"/>
          <w:lang w:eastAsia="zh-CN"/>
        </w:rPr>
        <w:t>0%</w:t>
      </w:r>
      <w:r>
        <w:rPr>
          <w:rFonts w:ascii="宋体" w:hAnsi="宋体" w:hint="eastAsia"/>
          <w:sz w:val="21"/>
          <w:szCs w:val="21"/>
          <w:lang w:eastAsia="zh-CN"/>
        </w:rPr>
        <w:t>作为违约金</w:t>
      </w:r>
      <w:r>
        <w:rPr>
          <w:rFonts w:ascii="宋体" w:hAnsi="宋体" w:hint="eastAsia"/>
          <w:sz w:val="21"/>
          <w:szCs w:val="21"/>
        </w:rPr>
        <w:t>。该等情形即便由于任何原因实际存在，乙方将不被免除任何责任，且任何相关第三方由于合同转让、转包、分包所得到的知识产权均属无效取得，均应当归甲方所有。</w:t>
      </w:r>
    </w:p>
    <w:p>
      <w:pPr>
        <w:adjustRightInd w:val="0"/>
        <w:snapToGrid w:val="0"/>
        <w:spacing w:line="360" w:lineRule="auto"/>
        <w:ind w:firstLine="412" w:firstLineChars="196"/>
        <w:rPr>
          <w:b/>
          <w:szCs w:val="21"/>
        </w:rPr>
      </w:pPr>
      <w:r>
        <w:rPr>
          <w:rFonts w:hint="eastAsia"/>
          <w:b/>
          <w:szCs w:val="21"/>
        </w:rPr>
        <w:t>十、保密条款</w:t>
      </w:r>
    </w:p>
    <w:p>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tabs>
          <w:tab w:val="left" w:pos="1573"/>
        </w:tabs>
        <w:adjustRightInd w:val="0"/>
        <w:snapToGrid w:val="0"/>
        <w:spacing w:line="360" w:lineRule="auto"/>
        <w:ind w:firstLine="420" w:firstLineChars="200"/>
        <w:rPr>
          <w:rFonts w:ascii="宋体" w:hAnsi="宋体"/>
          <w:b/>
          <w:szCs w:val="21"/>
        </w:rPr>
      </w:pPr>
      <w:r>
        <w:rPr>
          <w:rFonts w:ascii="宋体" w:hAnsi="宋体" w:hint="eastAsia"/>
          <w:b/>
          <w:kern w:val="0"/>
          <w:szCs w:val="21"/>
        </w:rPr>
        <w:t>十一</w:t>
      </w:r>
      <w:r>
        <w:rPr>
          <w:rFonts w:ascii="宋体" w:hAnsi="宋体" w:hint="eastAsia"/>
          <w:b/>
          <w:szCs w:val="21"/>
        </w:rPr>
        <w:t>、进度要求</w:t>
      </w:r>
    </w:p>
    <w:p>
      <w:pPr>
        <w:pStyle w:val="NormalIndent"/>
        <w:numPr>
          <w:ilvl w:val="6"/>
          <w:numId w:val="0"/>
        </w:numPr>
        <w:adjustRightInd w:val="0"/>
        <w:snapToGrid w:val="0"/>
        <w:spacing w:line="360" w:lineRule="auto"/>
        <w:ind w:firstLine="420" w:firstLineChars="200"/>
        <w:rPr>
          <w:rFonts w:ascii="宋体" w:hAnsi="宋体"/>
          <w:b/>
          <w:szCs w:val="21"/>
        </w:rPr>
      </w:pPr>
      <w:r>
        <w:rPr>
          <w:rFonts w:ascii="宋体" w:hAnsi="宋体" w:hint="eastAsia"/>
          <w:b/>
          <w:szCs w:val="21"/>
        </w:rPr>
        <w:t>见第二部分合同专用部分。</w:t>
      </w:r>
    </w:p>
    <w:p>
      <w:pPr>
        <w:tabs>
          <w:tab w:val="left" w:pos="1573"/>
        </w:tabs>
        <w:adjustRightInd w:val="0"/>
        <w:snapToGrid w:val="0"/>
        <w:spacing w:line="360" w:lineRule="auto"/>
        <w:ind w:left="420" w:leftChars="200"/>
        <w:rPr>
          <w:b/>
          <w:szCs w:val="21"/>
        </w:rPr>
      </w:pPr>
      <w:r>
        <w:rPr>
          <w:rFonts w:ascii="宋体" w:hAnsi="宋体" w:hint="eastAsia"/>
          <w:b/>
          <w:szCs w:val="21"/>
        </w:rPr>
        <w:t>十二、</w:t>
      </w:r>
      <w:bookmarkStart w:id="233" w:name="_Toc86202601"/>
      <w:r>
        <w:rPr>
          <w:rFonts w:hint="eastAsia"/>
          <w:b/>
          <w:szCs w:val="21"/>
        </w:rPr>
        <w:t>技术服务和保修责任</w:t>
      </w:r>
      <w:bookmarkEnd w:id="233"/>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hint="eastAsia"/>
          <w:b/>
          <w:bCs/>
        </w:rPr>
        <w:t>第二部分合同专用部分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1、乙方对合同服务的质量保修期见</w:t>
      </w:r>
      <w:r>
        <w:rPr>
          <w:rFonts w:ascii="宋体" w:hAnsi="宋体" w:hint="eastAsia"/>
          <w:b/>
          <w:szCs w:val="21"/>
        </w:rPr>
        <w:t>第二部分合同专用部分</w:t>
      </w:r>
      <w:r>
        <w:rPr>
          <w:rFonts w:ascii="宋体" w:hAnsi="宋体" w:hint="eastAsia"/>
          <w:szCs w:val="21"/>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3、如果乙方提供的产品、服务和解决方案不符合甲方要求，或在规定的时间内没有弥补缺陷，甲方有权采取一切必要的补救措施，由此产生的费用全部由乙方负责。</w:t>
      </w:r>
    </w:p>
    <w:p>
      <w:pPr>
        <w:tabs>
          <w:tab w:val="left" w:pos="1573"/>
        </w:tabs>
        <w:adjustRightInd w:val="0"/>
        <w:snapToGrid w:val="0"/>
        <w:spacing w:line="360" w:lineRule="auto"/>
        <w:ind w:left="420" w:leftChars="200"/>
        <w:rPr>
          <w:b/>
          <w:szCs w:val="21"/>
        </w:rPr>
      </w:pPr>
      <w:bookmarkEnd w:id="232"/>
      <w:r>
        <w:rPr>
          <w:rFonts w:ascii="宋体" w:hAnsi="宋体" w:hint="eastAsia"/>
          <w:b/>
          <w:szCs w:val="21"/>
        </w:rPr>
        <w:t>十三、</w:t>
      </w:r>
      <w:bookmarkStart w:id="234" w:name="_Toc86202602"/>
      <w:r>
        <w:rPr>
          <w:rFonts w:hint="eastAsia"/>
          <w:b/>
          <w:szCs w:val="21"/>
        </w:rPr>
        <w:t>履约保证金</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1、中标人应在收到中标通知书后规定时间内（具体时间</w:t>
      </w:r>
      <w:r>
        <w:rPr>
          <w:rFonts w:hint="eastAsia"/>
          <w:szCs w:val="21"/>
        </w:rPr>
        <w:t>见</w:t>
      </w:r>
      <w:r>
        <w:rPr>
          <w:rFonts w:ascii="黑体" w:eastAsia="黑体" w:hAnsi="黑体" w:hint="eastAsia"/>
          <w:b/>
          <w:bCs/>
          <w:szCs w:val="21"/>
        </w:rPr>
        <w:t>第二部分合同专用部分</w:t>
      </w:r>
      <w:r>
        <w:rPr>
          <w:rFonts w:ascii="宋体" w:hAnsi="宋体" w:hint="eastAsia"/>
          <w:szCs w:val="21"/>
        </w:rPr>
        <w:t>）内，以信汇、电汇或履约保函形式向甲方提供履约保证金，保证金金额：见</w:t>
      </w:r>
      <w:r>
        <w:rPr>
          <w:rFonts w:ascii="黑体" w:eastAsia="黑体" w:hAnsi="黑体" w:hint="eastAsia"/>
          <w:b/>
          <w:bCs/>
          <w:szCs w:val="21"/>
        </w:rPr>
        <w:t>第二部分合同专用部分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3、若本项目不允许分包或转包的，如果中标人在与甲方签定合同以后，将中标项目分包或转包给第三方，甲方将有充分理由终止合同，并不予退还其履约保证金。</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4、中标人的履约保证金将在合同服务试经甲方终验合格，履行完必要的审批手续后5个工作日内退还中标人。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5、如乙方未能完全履行合同规定的义务，甲方有权从履约保证金中得到补偿。</w:t>
      </w:r>
    </w:p>
    <w:p>
      <w:pPr>
        <w:tabs>
          <w:tab w:val="left" w:pos="360"/>
          <w:tab w:val="left" w:pos="1573"/>
        </w:tabs>
        <w:adjustRightInd w:val="0"/>
        <w:snapToGrid w:val="0"/>
        <w:spacing w:line="360" w:lineRule="auto"/>
        <w:ind w:left="420" w:leftChars="200"/>
        <w:rPr>
          <w:b/>
          <w:szCs w:val="21"/>
        </w:rPr>
      </w:pPr>
      <w:r>
        <w:rPr>
          <w:rFonts w:hint="eastAsia"/>
          <w:b/>
          <w:szCs w:val="21"/>
        </w:rPr>
        <w:t>十四、审计及检查</w:t>
      </w:r>
    </w:p>
    <w:p>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如果采购人要求，中标人应允许采购人检查中标人与实施本合同有关的资金、帐户和记录，并由采购人指定的审计人员对其进行审计。</w:t>
      </w:r>
    </w:p>
    <w:p>
      <w:pPr>
        <w:adjustRightInd w:val="0"/>
        <w:snapToGrid w:val="0"/>
        <w:spacing w:line="360" w:lineRule="auto"/>
        <w:ind w:firstLine="412" w:firstLineChars="196"/>
        <w:rPr>
          <w:b/>
          <w:szCs w:val="21"/>
        </w:rPr>
      </w:pPr>
      <w:r>
        <w:rPr>
          <w:rFonts w:hint="eastAsia"/>
          <w:b/>
          <w:szCs w:val="21"/>
        </w:rPr>
        <w:t>十五、违约责任</w:t>
      </w:r>
      <w:bookmarkEnd w:id="234"/>
    </w:p>
    <w:p>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hAnsi="宋体"/>
          <w:szCs w:val="21"/>
        </w:rPr>
      </w:pPr>
      <w:r>
        <w:rPr>
          <w:rFonts w:ascii="宋体" w:hAnsi="宋体" w:hint="eastAsia"/>
          <w:szCs w:val="21"/>
        </w:rPr>
        <w:t>4、延期交货或延期付款的违约责任：如乙方延期交货或甲方延期付款，每逾期一天，违约方应按延期交付服务产品所折合的金额或延期付款金额的比例（详</w:t>
      </w:r>
      <w:r>
        <w:rPr>
          <w:rFonts w:hint="eastAsia"/>
          <w:szCs w:val="21"/>
        </w:rPr>
        <w:t>见</w:t>
      </w:r>
      <w:r>
        <w:rPr>
          <w:rFonts w:ascii="黑体" w:eastAsia="黑体" w:hAnsi="黑体" w:hint="eastAsia"/>
          <w:b/>
          <w:bCs/>
          <w:szCs w:val="21"/>
        </w:rPr>
        <w:t>第二部分合同专用部分</w:t>
      </w:r>
      <w:r>
        <w:rPr>
          <w:rFonts w:ascii="宋体" w:hAnsi="宋体" w:hint="eastAsia"/>
          <w:szCs w:val="21"/>
        </w:rPr>
        <w:t>）向对方支付违约金，但该违约金累计不得超过合同总金额的一定比例（详</w:t>
      </w:r>
      <w:r>
        <w:rPr>
          <w:rFonts w:hint="eastAsia"/>
          <w:szCs w:val="21"/>
        </w:rPr>
        <w:t>见</w:t>
      </w:r>
      <w:r>
        <w:rPr>
          <w:rFonts w:ascii="黑体" w:eastAsia="黑体" w:hAnsi="黑体" w:hint="eastAsia"/>
          <w:b/>
          <w:bCs/>
          <w:szCs w:val="21"/>
        </w:rPr>
        <w:t>第二部分合同专用部分</w:t>
      </w:r>
      <w:r>
        <w:rPr>
          <w:rFonts w:ascii="宋体" w:hAnsi="宋体" w:hint="eastAsia"/>
          <w:szCs w:val="21"/>
        </w:rPr>
        <w:t>）；上述逾期超过一定时间（详</w:t>
      </w:r>
      <w:r>
        <w:rPr>
          <w:rFonts w:hint="eastAsia"/>
          <w:szCs w:val="21"/>
        </w:rPr>
        <w:t>见</w:t>
      </w:r>
      <w:r>
        <w:rPr>
          <w:rFonts w:ascii="黑体" w:eastAsia="黑体" w:hAnsi="黑体" w:hint="eastAsia"/>
          <w:b/>
          <w:bCs/>
          <w:szCs w:val="21"/>
        </w:rPr>
        <w:t>第二部分合同专用部分</w:t>
      </w:r>
      <w:r>
        <w:rPr>
          <w:rFonts w:ascii="宋体" w:hAnsi="宋体" w:hint="eastAsia"/>
          <w:szCs w:val="21"/>
        </w:rPr>
        <w:t>），守约方有权解除合同，并要求违约方赔偿由此造成的损失。</w:t>
      </w:r>
    </w:p>
    <w:p>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hint="eastAsia"/>
          <w:b/>
          <w:bCs/>
          <w:szCs w:val="21"/>
        </w:rPr>
        <w:t>第二部分合同专用部分</w:t>
      </w:r>
      <w:r>
        <w:rPr>
          <w:rFonts w:ascii="宋体" w:hAnsi="宋体" w:hint="eastAsia"/>
          <w:szCs w:val="21"/>
        </w:rPr>
        <w:t>。</w:t>
      </w:r>
    </w:p>
    <w:p>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（2）如乙方在合同规定的交付日期后10天内仍未能交付，则视为乙方不能交付，甲方有权解除合同，乙方若已经收取了甲方的定金则同时还应双倍返还已收取的定金。</w:t>
      </w:r>
      <w:bookmarkStart w:id="235" w:name="_Toc86202603"/>
    </w:p>
    <w:p>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2</w:t>
      </w:r>
      <w:r>
        <w:rPr>
          <w:rFonts w:ascii="宋体" w:hAnsi="宋体" w:hint="eastAsia"/>
          <w:sz w:val="21"/>
          <w:szCs w:val="21"/>
          <w:lang w:eastAsia="zh-CN"/>
        </w:rPr>
        <w:t>）</w:t>
      </w:r>
      <w:r>
        <w:rPr>
          <w:rFonts w:ascii="宋体" w:hAnsi="宋体" w:hint="eastAsia"/>
          <w:sz w:val="21"/>
          <w:szCs w:val="21"/>
        </w:rPr>
        <w:t>未经甲方许可使用项目资料的；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3</w:t>
      </w:r>
      <w:r>
        <w:rPr>
          <w:rFonts w:ascii="宋体" w:hAnsi="宋体" w:hint="eastAsia"/>
          <w:sz w:val="21"/>
          <w:szCs w:val="21"/>
          <w:lang w:eastAsia="zh-CN"/>
        </w:rPr>
        <w:t>）项目</w:t>
      </w:r>
      <w:r>
        <w:rPr>
          <w:rFonts w:ascii="宋体" w:hAnsi="宋体" w:hint="eastAsia"/>
          <w:sz w:val="21"/>
          <w:szCs w:val="21"/>
        </w:rPr>
        <w:t>完成后，乙方未经甲方许可保留项目资料的；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4</w:t>
      </w:r>
      <w:r>
        <w:rPr>
          <w:rFonts w:ascii="宋体" w:hAnsi="宋体" w:hint="eastAsia"/>
          <w:sz w:val="21"/>
          <w:szCs w:val="21"/>
          <w:lang w:eastAsia="zh-CN"/>
        </w:rPr>
        <w:t>）</w:t>
      </w:r>
      <w:r>
        <w:rPr>
          <w:rFonts w:ascii="宋体" w:hAnsi="宋体" w:hint="eastAsia"/>
          <w:sz w:val="21"/>
          <w:szCs w:val="21"/>
        </w:rPr>
        <w:t>对项目资料保管不当，造成数据全部或者部分丢失、被窃的。</w:t>
      </w:r>
    </w:p>
    <w:p>
      <w:pPr>
        <w:pStyle w:val="20"/>
        <w:adjustRightInd w:val="0"/>
        <w:snapToGrid w:val="0"/>
        <w:spacing w:before="0" w:after="0"/>
        <w:ind w:left="0" w:firstLine="420" w:leftChars="0"/>
        <w:rPr>
          <w:rFonts w:ascii="宋体" w:hAnsi="宋体"/>
          <w:sz w:val="21"/>
          <w:szCs w:val="21"/>
        </w:rPr>
      </w:pPr>
      <w:r>
        <w:rPr>
          <w:rFonts w:ascii="宋体" w:hAnsi="宋体" w:hint="eastAsia"/>
          <w:sz w:val="21"/>
          <w:szCs w:val="21"/>
          <w:lang w:eastAsia="zh-CN"/>
        </w:rPr>
        <w:t>7、</w:t>
      </w:r>
      <w:r>
        <w:rPr>
          <w:rFonts w:ascii="宋体" w:hAnsi="宋体" w:hint="eastAsia"/>
          <w:sz w:val="21"/>
          <w:szCs w:val="21"/>
        </w:rPr>
        <w:t>乙方在进行项目时违反有关保密规定的，依照《中华人民共和国保密法》等有关法律法规的规定处理。</w:t>
      </w:r>
    </w:p>
    <w:p>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lang w:val="en-US" w:eastAsia="zh-CN"/>
        </w:rPr>
        <w:t>11</w:t>
      </w:r>
      <w:r>
        <w:rPr>
          <w:rFonts w:ascii="宋体" w:hAnsi="宋体" w:hint="eastAsia"/>
          <w:sz w:val="21"/>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pStyle w:val="20"/>
        <w:adjustRightInd w:val="0"/>
        <w:snapToGrid w:val="0"/>
        <w:spacing w:before="0" w:after="0"/>
        <w:ind w:left="0" w:firstLine="315" w:leftChars="0" w:firstLineChars="150"/>
        <w:rPr>
          <w:b/>
          <w:sz w:val="21"/>
          <w:szCs w:val="21"/>
        </w:rPr>
      </w:pPr>
      <w:r>
        <w:rPr>
          <w:rFonts w:ascii="宋体" w:hAnsi="宋体" w:hint="eastAsia"/>
          <w:b/>
          <w:sz w:val="21"/>
          <w:szCs w:val="21"/>
        </w:rPr>
        <w:t>十</w:t>
      </w:r>
      <w:r>
        <w:rPr>
          <w:rFonts w:ascii="宋体" w:hAnsi="宋体" w:hint="eastAsia"/>
          <w:b/>
          <w:sz w:val="21"/>
          <w:szCs w:val="21"/>
          <w:lang w:eastAsia="zh-CN"/>
        </w:rPr>
        <w:t>六</w:t>
      </w:r>
      <w:r>
        <w:rPr>
          <w:rFonts w:ascii="宋体" w:hAnsi="宋体" w:hint="eastAsia"/>
          <w:b/>
          <w:sz w:val="21"/>
          <w:szCs w:val="21"/>
        </w:rPr>
        <w:t>、</w:t>
      </w:r>
      <w:r>
        <w:rPr>
          <w:rFonts w:hint="eastAsia"/>
          <w:b/>
          <w:sz w:val="21"/>
          <w:szCs w:val="21"/>
        </w:rPr>
        <w:t>不可抗力</w:t>
      </w:r>
      <w:bookmarkEnd w:id="235"/>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4、合同各方应根据不可抗力对本合同履行的影响程度，协商确定是否终止本合同，或是继续履行本合同。</w:t>
      </w:r>
    </w:p>
    <w:p>
      <w:pPr>
        <w:tabs>
          <w:tab w:val="left" w:pos="1573"/>
        </w:tabs>
        <w:adjustRightInd w:val="0"/>
        <w:snapToGrid w:val="0"/>
        <w:spacing w:line="360" w:lineRule="auto"/>
        <w:ind w:left="420" w:leftChars="200"/>
        <w:rPr>
          <w:b/>
          <w:szCs w:val="21"/>
        </w:rPr>
      </w:pPr>
      <w:r>
        <w:rPr>
          <w:rFonts w:ascii="宋体" w:hAnsi="宋体" w:hint="eastAsia"/>
          <w:b/>
          <w:szCs w:val="21"/>
        </w:rPr>
        <w:t>十七、</w:t>
      </w:r>
      <w:bookmarkStart w:id="236" w:name="_Toc86202604"/>
      <w:r>
        <w:rPr>
          <w:rFonts w:hint="eastAsia"/>
          <w:b/>
          <w:szCs w:val="21"/>
        </w:rPr>
        <w:t>联系方式</w:t>
      </w:r>
      <w:bookmarkEnd w:id="236"/>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w:t>
      </w:r>
      <w:r>
        <w:rPr>
          <w:rFonts w:ascii="黑体" w:eastAsia="黑体" w:hAnsi="黑体" w:hint="eastAsia"/>
          <w:b/>
          <w:bCs/>
          <w:szCs w:val="21"/>
        </w:rPr>
        <w:t>第二部分合同专用部分</w:t>
      </w:r>
      <w:r>
        <w:rPr>
          <w:rFonts w:ascii="宋体" w:hAnsi="宋体" w:hint="eastAsia"/>
          <w:szCs w:val="21"/>
        </w:rPr>
        <w:t>中的通讯地址，付款或收款应使用</w:t>
      </w:r>
      <w:r>
        <w:rPr>
          <w:rFonts w:ascii="黑体" w:eastAsia="黑体" w:hAnsi="黑体" w:hint="eastAsia"/>
          <w:b/>
          <w:bCs/>
          <w:szCs w:val="21"/>
        </w:rPr>
        <w:t>第二部分合同专用部分</w:t>
      </w:r>
      <w:r>
        <w:rPr>
          <w:rFonts w:ascii="宋体" w:hAnsi="宋体" w:hint="eastAsia"/>
          <w:szCs w:val="21"/>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pPr>
        <w:tabs>
          <w:tab w:val="left" w:pos="1573"/>
        </w:tabs>
        <w:adjustRightInd w:val="0"/>
        <w:snapToGrid w:val="0"/>
        <w:spacing w:line="360" w:lineRule="auto"/>
        <w:ind w:left="420" w:leftChars="200"/>
        <w:rPr>
          <w:b/>
          <w:szCs w:val="21"/>
        </w:rPr>
      </w:pPr>
      <w:bookmarkStart w:id="237" w:name="_Toc86202606"/>
      <w:r>
        <w:rPr>
          <w:rFonts w:ascii="宋体" w:hAnsi="宋体" w:hint="eastAsia"/>
          <w:b/>
          <w:szCs w:val="21"/>
        </w:rPr>
        <w:t>十八、</w:t>
      </w:r>
      <w:r>
        <w:rPr>
          <w:rFonts w:hint="eastAsia"/>
          <w:b/>
          <w:szCs w:val="21"/>
        </w:rPr>
        <w:t>合同的解释和法律适用</w:t>
      </w:r>
      <w:bookmarkEnd w:id="237"/>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3、对本合同的任何解释均应以书面作出。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pPr>
        <w:tabs>
          <w:tab w:val="left" w:pos="1573"/>
        </w:tabs>
        <w:adjustRightInd w:val="0"/>
        <w:snapToGrid w:val="0"/>
        <w:spacing w:line="360" w:lineRule="auto"/>
        <w:ind w:left="420" w:leftChars="200"/>
        <w:rPr>
          <w:b/>
          <w:szCs w:val="21"/>
        </w:rPr>
      </w:pPr>
      <w:bookmarkStart w:id="238" w:name="_Toc86202607"/>
      <w:r>
        <w:rPr>
          <w:rFonts w:ascii="宋体" w:hAnsi="宋体" w:hint="eastAsia"/>
          <w:b/>
          <w:szCs w:val="21"/>
        </w:rPr>
        <w:t>十九、</w:t>
      </w:r>
      <w:r>
        <w:rPr>
          <w:rFonts w:hint="eastAsia"/>
          <w:b/>
          <w:szCs w:val="21"/>
        </w:rPr>
        <w:t>合同的终止</w:t>
      </w:r>
      <w:bookmarkEnd w:id="238"/>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3、若甲方在合同履行过程中发现乙方提供的货物和服务与投标文件中提供的技术指标不符，甲方有权终止合同，并有权反映至政府采购监管部门或财政部。</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4、对本合同终止有过错的一方应赔偿另一方因合同终止而受到的损失。对合同终止双方均无过错的，则各自承担所受到的损失。</w:t>
      </w:r>
    </w:p>
    <w:p>
      <w:pPr>
        <w:tabs>
          <w:tab w:val="left" w:pos="1573"/>
        </w:tabs>
        <w:adjustRightInd w:val="0"/>
        <w:snapToGrid w:val="0"/>
        <w:spacing w:line="360" w:lineRule="auto"/>
        <w:ind w:left="420" w:leftChars="200"/>
        <w:rPr>
          <w:b/>
          <w:szCs w:val="21"/>
        </w:rPr>
      </w:pPr>
      <w:r>
        <w:rPr>
          <w:rFonts w:ascii="宋体" w:hAnsi="宋体" w:hint="eastAsia"/>
          <w:b/>
          <w:szCs w:val="21"/>
        </w:rPr>
        <w:t>二十、</w:t>
      </w:r>
      <w:bookmarkStart w:id="239" w:name="_Toc86202608"/>
      <w:r>
        <w:rPr>
          <w:rFonts w:hint="eastAsia"/>
          <w:b/>
          <w:szCs w:val="21"/>
        </w:rPr>
        <w:t>法律适用</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pPr>
        <w:tabs>
          <w:tab w:val="left" w:pos="1573"/>
        </w:tabs>
        <w:adjustRightInd w:val="0"/>
        <w:snapToGrid w:val="0"/>
        <w:spacing w:line="360" w:lineRule="auto"/>
        <w:ind w:left="420" w:leftChars="200"/>
        <w:rPr>
          <w:b/>
          <w:szCs w:val="21"/>
        </w:rPr>
      </w:pPr>
      <w:r>
        <w:rPr>
          <w:rFonts w:ascii="宋体" w:hAnsi="宋体" w:hint="eastAsia"/>
          <w:b/>
          <w:szCs w:val="21"/>
        </w:rPr>
        <w:t>二十一、</w:t>
      </w:r>
      <w:r>
        <w:rPr>
          <w:rFonts w:hint="eastAsia"/>
          <w:b/>
          <w:szCs w:val="21"/>
        </w:rPr>
        <w:t>权利的保留</w:t>
      </w:r>
      <w:bookmarkEnd w:id="239"/>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tabs>
          <w:tab w:val="left" w:pos="1573"/>
        </w:tabs>
        <w:adjustRightInd w:val="0"/>
        <w:snapToGrid w:val="0"/>
        <w:spacing w:line="360" w:lineRule="auto"/>
        <w:ind w:left="420" w:leftChars="200"/>
        <w:rPr>
          <w:b/>
          <w:szCs w:val="21"/>
        </w:rPr>
      </w:pPr>
      <w:r>
        <w:rPr>
          <w:rFonts w:ascii="宋体" w:hAnsi="宋体" w:hint="eastAsia"/>
          <w:b/>
          <w:szCs w:val="21"/>
        </w:rPr>
        <w:t>二十二、</w:t>
      </w:r>
      <w:bookmarkStart w:id="240" w:name="_Toc86202609"/>
      <w:r>
        <w:rPr>
          <w:rFonts w:hint="eastAsia"/>
          <w:b/>
          <w:szCs w:val="21"/>
        </w:rPr>
        <w:t>争议的解决</w:t>
      </w:r>
      <w:bookmarkEnd w:id="240"/>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1、合同双方应通过友好协商解决因解释</w:t>
      </w:r>
      <w:r>
        <w:rPr>
          <w:rFonts w:ascii="宋体" w:hAnsi="宋体" w:hint="eastAsia"/>
          <w:szCs w:val="21"/>
        </w:rPr>
        <w:t>﹑</w:t>
      </w:r>
      <w:r>
        <w:rPr>
          <w:rFonts w:ascii="宋体" w:hAnsi="宋体" w:hint="eastAsia"/>
          <w:szCs w:val="21"/>
        </w:rPr>
        <w:t>执行本合同所发生的和本合同有关的一切争议。如果经协商不能达成协议，可向北京仲裁委员会申请仲裁，仲裁地点在中国北京。</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pPr>
        <w:tabs>
          <w:tab w:val="left" w:pos="1573"/>
        </w:tabs>
        <w:adjustRightInd w:val="0"/>
        <w:snapToGrid w:val="0"/>
        <w:spacing w:line="360" w:lineRule="auto"/>
        <w:ind w:left="420" w:leftChars="200"/>
        <w:rPr>
          <w:b/>
          <w:szCs w:val="21"/>
        </w:rPr>
      </w:pPr>
      <w:bookmarkStart w:id="241" w:name="_Toc86202611"/>
      <w:r>
        <w:rPr>
          <w:rFonts w:ascii="宋体" w:hAnsi="宋体" w:hint="eastAsia"/>
          <w:b/>
          <w:szCs w:val="21"/>
        </w:rPr>
        <w:t>二十三、</w:t>
      </w:r>
      <w:r>
        <w:rPr>
          <w:rFonts w:hint="eastAsia"/>
          <w:b/>
          <w:szCs w:val="21"/>
        </w:rPr>
        <w:t>合同的生效</w:t>
      </w:r>
      <w:bookmarkEnd w:id="241"/>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本合同经双方法定代表人（负责人）或授权代表签字并加盖单位公章后，并在甲方收到乙方提交的履约保证金或履约保函后生效。</w:t>
      </w:r>
    </w:p>
    <w:p>
      <w:pPr>
        <w:tabs>
          <w:tab w:val="left" w:pos="1573"/>
        </w:tabs>
        <w:adjustRightInd w:val="0"/>
        <w:snapToGrid w:val="0"/>
        <w:spacing w:line="360" w:lineRule="auto"/>
        <w:ind w:left="420" w:leftChars="200"/>
        <w:rPr>
          <w:b/>
          <w:szCs w:val="21"/>
        </w:rPr>
      </w:pPr>
      <w:r>
        <w:rPr>
          <w:rFonts w:ascii="宋体" w:hAnsi="宋体" w:hint="eastAsia"/>
          <w:b/>
          <w:szCs w:val="21"/>
        </w:rPr>
        <w:t>二十四、</w:t>
      </w:r>
      <w:bookmarkStart w:id="242" w:name="_Toc86202612"/>
      <w:r>
        <w:rPr>
          <w:rFonts w:hint="eastAsia"/>
          <w:b/>
          <w:szCs w:val="21"/>
        </w:rPr>
        <w:t>其它约定事项</w:t>
      </w:r>
      <w:bookmarkEnd w:id="242"/>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3、本合同正本一式肆份，甲、乙双方各执贰份，每份正本具有同等法律效力，副本报财政部备案。</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4、本合同涉及的招标文件和投标文件，正本由中国气象局政府采购中心保存。</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5、对本合同的补充、修改或变更必须以书面形式进行，并由乙方自签订补充合同之日起五日内报采购中心备案。</w:t>
      </w:r>
    </w:p>
    <w:p>
      <w:pPr>
        <w:snapToGrid w:val="0"/>
        <w:spacing w:line="360" w:lineRule="auto"/>
        <w:jc w:val="center"/>
        <w:outlineLvl w:val="2"/>
        <w:rPr>
          <w:rFonts w:hint="eastAsia"/>
          <w:b/>
          <w:sz w:val="28"/>
          <w:szCs w:val="28"/>
        </w:rPr>
      </w:pPr>
      <w:r>
        <w:rPr>
          <w:b/>
          <w:bCs/>
          <w:sz w:val="30"/>
          <w:szCs w:val="30"/>
        </w:rPr>
        <w:br w:type="page"/>
      </w:r>
      <w:r>
        <w:rPr>
          <w:rFonts w:hint="eastAsia"/>
          <w:b/>
          <w:sz w:val="28"/>
          <w:szCs w:val="28"/>
        </w:rPr>
        <w:t>第二部分合同条款专用部分</w:t>
      </w:r>
    </w:p>
    <w:p>
      <w:pPr>
        <w:snapToGrid w:val="0"/>
        <w:spacing w:line="360" w:lineRule="auto"/>
        <w:jc w:val="center"/>
        <w:outlineLvl w:val="2"/>
        <w:rPr>
          <w:rFonts w:ascii="宋体" w:hAnsi="宋体"/>
          <w:b/>
          <w:bCs/>
          <w:kern w:val="44"/>
          <w:szCs w:val="28"/>
        </w:rPr>
      </w:pPr>
    </w:p>
    <w:p>
      <w:pPr>
        <w:adjustRightInd w:val="0"/>
        <w:snapToGrid w:val="0"/>
        <w:spacing w:line="360" w:lineRule="auto"/>
        <w:ind w:firstLine="412" w:firstLineChars="196"/>
        <w:rPr>
          <w:rFonts w:ascii="宋体" w:hAnsi="Calibri" w:hint="eastAsia"/>
          <w:kern w:val="0"/>
          <w:szCs w:val="21"/>
        </w:rPr>
      </w:pPr>
      <w:r>
        <w:rPr>
          <w:rFonts w:ascii="宋体" w:hAnsi="Calibri" w:hint="eastAsia"/>
          <w:kern w:val="0"/>
          <w:szCs w:val="21"/>
        </w:rPr>
        <w:t>甲方（采购人）：</w:t>
      </w:r>
      <w:r>
        <w:rPr>
          <w:rFonts w:ascii="方正黑体简体" w:eastAsia="方正黑体简体" w:hAnsi="仿宋" w:hint="eastAsia"/>
          <w:color w:val="0000FF"/>
          <w:kern w:val="20"/>
          <w:sz w:val="32"/>
          <w:szCs w:val="28"/>
          <w:lang w:val="zh-CN"/>
        </w:rPr>
        <w:t>XXXXXXX</w:t>
      </w:r>
    </w:p>
    <w:p>
      <w:pPr>
        <w:adjustRightInd w:val="0"/>
        <w:snapToGrid w:val="0"/>
        <w:spacing w:line="360" w:lineRule="auto"/>
        <w:ind w:firstLine="412" w:firstLineChars="196"/>
        <w:rPr>
          <w:rFonts w:ascii="宋体" w:hAnsi="Calibri" w:hint="eastAsia"/>
          <w:kern w:val="0"/>
          <w:szCs w:val="21"/>
          <w:u w:val="single"/>
        </w:rPr>
      </w:pPr>
      <w:r>
        <w:rPr>
          <w:rFonts w:ascii="宋体" w:hAnsi="Calibri" w:hint="eastAsia"/>
          <w:kern w:val="0"/>
          <w:szCs w:val="21"/>
        </w:rPr>
        <w:t>乙方（中标人）：</w:t>
      </w:r>
      <w:r>
        <w:rPr>
          <w:rFonts w:ascii="方正黑体简体" w:eastAsia="方正黑体简体" w:hAnsi="仿宋" w:hint="eastAsia"/>
          <w:color w:val="0000FF"/>
          <w:kern w:val="20"/>
          <w:sz w:val="32"/>
          <w:szCs w:val="28"/>
          <w:lang w:val="zh-CN"/>
        </w:rPr>
        <w:t>XXXXXXX</w:t>
      </w:r>
    </w:p>
    <w:p>
      <w:pPr>
        <w:adjustRightInd w:val="0"/>
        <w:snapToGrid w:val="0"/>
        <w:spacing w:line="360" w:lineRule="auto"/>
        <w:ind w:firstLine="412" w:firstLineChars="196"/>
        <w:rPr>
          <w:rFonts w:hint="eastAsia"/>
          <w:b/>
        </w:rPr>
      </w:pPr>
      <w:r>
        <w:rPr>
          <w:rFonts w:ascii="宋体" w:hAnsi="Calibri"/>
          <w:kern w:val="0"/>
          <w:szCs w:val="21"/>
        </w:rPr>
        <w:t>甲乙双方根据《中华人民共和国政府采购法》、《中华人民共和国</w:t>
      </w:r>
      <w:r>
        <w:rPr>
          <w:rFonts w:ascii="宋体" w:hAnsi="Calibri" w:hint="eastAsia"/>
          <w:kern w:val="0"/>
          <w:szCs w:val="21"/>
        </w:rPr>
        <w:t>民法典</w:t>
      </w:r>
      <w:r>
        <w:rPr>
          <w:rFonts w:ascii="宋体" w:hAnsi="Calibri"/>
          <w:kern w:val="0"/>
          <w:szCs w:val="21"/>
        </w:rPr>
        <w:t>》和《中华人民共和国招标投标法》等相关法律法规以及本项目招标文件的规定，经平等协商达成合同如下：</w:t>
      </w:r>
    </w:p>
    <w:p>
      <w:pPr>
        <w:adjustRightInd w:val="0"/>
        <w:snapToGrid w:val="0"/>
        <w:spacing w:line="360" w:lineRule="auto"/>
        <w:ind w:firstLine="412" w:firstLineChars="196"/>
        <w:rPr>
          <w:b/>
        </w:rPr>
      </w:pPr>
      <w:r>
        <w:rPr>
          <w:rFonts w:hint="eastAsia"/>
          <w:b/>
        </w:rPr>
        <w:t>一、定义</w:t>
      </w:r>
    </w:p>
    <w:p>
      <w:pPr>
        <w:adjustRightInd w:val="0"/>
        <w:snapToGrid w:val="0"/>
        <w:spacing w:line="360" w:lineRule="auto"/>
        <w:ind w:firstLine="420" w:firstLineChars="200"/>
        <w:rPr>
          <w:bCs/>
          <w:szCs w:val="21"/>
        </w:rPr>
      </w:pPr>
      <w:r>
        <w:rPr>
          <w:rFonts w:hint="eastAsia"/>
          <w:szCs w:val="21"/>
        </w:rPr>
        <w:t>采购人名称：</w:t>
      </w:r>
      <w:r>
        <w:rPr>
          <w:rFonts w:ascii="方正黑体简体" w:eastAsia="方正黑体简体" w:hAnsi="仿宋" w:hint="eastAsia"/>
          <w:color w:val="0000FF"/>
          <w:kern w:val="20"/>
          <w:sz w:val="32"/>
          <w:szCs w:val="28"/>
          <w:lang w:val="zh-CN"/>
        </w:rPr>
        <w:t>XXXXXXX</w:t>
      </w:r>
    </w:p>
    <w:p>
      <w:pPr>
        <w:adjustRightInd w:val="0"/>
        <w:snapToGrid w:val="0"/>
        <w:spacing w:line="360" w:lineRule="auto"/>
        <w:ind w:firstLine="420" w:firstLineChars="200"/>
        <w:rPr>
          <w:szCs w:val="21"/>
          <w:u w:val="single"/>
        </w:rPr>
      </w:pPr>
      <w:r>
        <w:rPr>
          <w:rFonts w:hint="eastAsia"/>
          <w:szCs w:val="21"/>
        </w:rPr>
        <w:t>项目编号和分包号：</w:t>
      </w:r>
      <w:r>
        <w:rPr>
          <w:rFonts w:hint="eastAsia"/>
          <w:szCs w:val="21"/>
          <w:u w:val="single"/>
        </w:rPr>
        <w:t xml:space="preserve">             </w:t>
      </w:r>
    </w:p>
    <w:p>
      <w:pPr>
        <w:pStyle w:val="Default"/>
        <w:ind w:firstLine="420" w:firstLineChars="200"/>
        <w:rPr>
          <w:rFonts w:ascii="宋体" w:hAnsi="宋体"/>
          <w:bCs/>
          <w:sz w:val="21"/>
          <w:szCs w:val="21"/>
          <w:u w:val="single"/>
        </w:rPr>
      </w:pPr>
      <w:r>
        <w:rPr>
          <w:rFonts w:hint="eastAsia"/>
          <w:sz w:val="21"/>
          <w:szCs w:val="21"/>
        </w:rPr>
        <w:t>项目名称：</w:t>
      </w:r>
      <w:r>
        <w:rPr>
          <w:rFonts w:ascii="方正黑体简体" w:eastAsia="方正黑体简体" w:hint="eastAsia"/>
          <w:color w:val="0000FF"/>
          <w:kern w:val="20"/>
          <w:sz w:val="32"/>
          <w:szCs w:val="28"/>
          <w:lang w:val="zh-CN"/>
        </w:rPr>
        <w:t>XXXXXXX</w:t>
      </w:r>
    </w:p>
    <w:p>
      <w:pPr>
        <w:adjustRightInd w:val="0"/>
        <w:snapToGrid w:val="0"/>
        <w:spacing w:line="360" w:lineRule="auto"/>
        <w:ind w:firstLine="420" w:firstLineChars="200"/>
        <w:rPr>
          <w:rFonts w:ascii="宋体" w:hAnsi="宋体"/>
          <w:b/>
          <w:szCs w:val="28"/>
        </w:rPr>
      </w:pPr>
      <w:r>
        <w:rPr>
          <w:rFonts w:hint="eastAsia"/>
          <w:szCs w:val="21"/>
        </w:rPr>
        <w:t>二、</w:t>
      </w:r>
      <w:r>
        <w:rPr>
          <w:rFonts w:ascii="宋体" w:hAnsi="宋体" w:hint="eastAsia"/>
          <w:b/>
          <w:szCs w:val="28"/>
        </w:rPr>
        <w:t>合同标的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1、甲方同意从乙方购买，乙方同意向甲方出售下列设备：</w:t>
      </w:r>
    </w:p>
    <w:tbl>
      <w:tblPr>
        <w:tblStyle w:val="TableNormal"/>
        <w:tblW w:w="8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8"/>
        <w:gridCol w:w="2935"/>
        <w:gridCol w:w="735"/>
        <w:gridCol w:w="1318"/>
        <w:gridCol w:w="1938"/>
        <w:gridCol w:w="1275"/>
      </w:tblGrid>
      <w:tr>
        <w:tblPrEx>
          <w:tblW w:w="8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68" w:type="dxa"/>
            <w:vAlign w:val="center"/>
          </w:tcPr>
          <w:p>
            <w:pPr>
              <w:tabs>
                <w:tab w:val="left" w:pos="1573"/>
              </w:tabs>
              <w:autoSpaceDE w:val="0"/>
              <w:autoSpaceDN w:val="0"/>
              <w:adjustRightInd w:val="0"/>
              <w:snapToGrid w:val="0"/>
              <w:spacing w:line="360" w:lineRule="auto"/>
              <w:rPr>
                <w:szCs w:val="21"/>
              </w:rPr>
            </w:pPr>
            <w:r>
              <w:rPr>
                <w:rFonts w:ascii="宋体" w:hAnsi="宋体"/>
                <w:szCs w:val="21"/>
              </w:rPr>
              <w:t>No.</w:t>
            </w:r>
          </w:p>
        </w:tc>
        <w:tc>
          <w:tcPr>
            <w:tcW w:w="2935" w:type="dxa"/>
            <w:vAlign w:val="center"/>
          </w:tcPr>
          <w:p>
            <w:pPr>
              <w:tabs>
                <w:tab w:val="left" w:pos="1573"/>
              </w:tabs>
              <w:autoSpaceDE w:val="0"/>
              <w:autoSpaceDN w:val="0"/>
              <w:adjustRightInd w:val="0"/>
              <w:snapToGrid w:val="0"/>
              <w:spacing w:line="360" w:lineRule="auto"/>
              <w:rPr>
                <w:szCs w:val="21"/>
              </w:rPr>
            </w:pPr>
            <w:r>
              <w:rPr>
                <w:rFonts w:ascii="宋体" w:hAnsi="宋体" w:hint="eastAsia"/>
                <w:szCs w:val="21"/>
              </w:rPr>
              <w:t>货物名称及规格</w:t>
            </w:r>
          </w:p>
        </w:tc>
        <w:tc>
          <w:tcPr>
            <w:tcW w:w="735" w:type="dxa"/>
            <w:vAlign w:val="center"/>
          </w:tcPr>
          <w:p>
            <w:pPr>
              <w:tabs>
                <w:tab w:val="left" w:pos="1573"/>
              </w:tabs>
              <w:autoSpaceDE w:val="0"/>
              <w:autoSpaceDN w:val="0"/>
              <w:adjustRightInd w:val="0"/>
              <w:snapToGrid w:val="0"/>
              <w:spacing w:line="360" w:lineRule="auto"/>
              <w:rPr>
                <w:szCs w:val="21"/>
              </w:rPr>
            </w:pPr>
            <w:r>
              <w:rPr>
                <w:rFonts w:ascii="宋体" w:hAnsi="宋体" w:hint="eastAsia"/>
                <w:szCs w:val="21"/>
              </w:rPr>
              <w:t>数量</w:t>
            </w:r>
          </w:p>
        </w:tc>
        <w:tc>
          <w:tcPr>
            <w:tcW w:w="1318" w:type="dxa"/>
            <w:vAlign w:val="center"/>
          </w:tcPr>
          <w:p>
            <w:pPr>
              <w:tabs>
                <w:tab w:val="left" w:pos="1573"/>
              </w:tabs>
              <w:autoSpaceDE w:val="0"/>
              <w:autoSpaceDN w:val="0"/>
              <w:adjustRightInd w:val="0"/>
              <w:snapToGrid w:val="0"/>
              <w:spacing w:line="360" w:lineRule="auto"/>
              <w:rPr>
                <w:szCs w:val="21"/>
              </w:rPr>
            </w:pPr>
            <w:r>
              <w:rPr>
                <w:rFonts w:ascii="宋体" w:hAnsi="宋体" w:hint="eastAsia"/>
                <w:szCs w:val="21"/>
              </w:rPr>
              <w:t>产地及品牌</w:t>
            </w:r>
          </w:p>
        </w:tc>
        <w:tc>
          <w:tcPr>
            <w:tcW w:w="1938" w:type="dxa"/>
            <w:vAlign w:val="center"/>
          </w:tcPr>
          <w:p>
            <w:pPr>
              <w:tabs>
                <w:tab w:val="left" w:pos="1573"/>
              </w:tabs>
              <w:autoSpaceDE w:val="0"/>
              <w:autoSpaceDN w:val="0"/>
              <w:adjustRightInd w:val="0"/>
              <w:snapToGrid w:val="0"/>
              <w:spacing w:line="360" w:lineRule="auto"/>
              <w:rPr>
                <w:szCs w:val="21"/>
              </w:rPr>
            </w:pPr>
            <w:r>
              <w:rPr>
                <w:rFonts w:ascii="宋体" w:hAnsi="宋体" w:hint="eastAsia"/>
                <w:szCs w:val="21"/>
              </w:rPr>
              <w:t>单价</w:t>
            </w: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交货时间</w:t>
            </w:r>
          </w:p>
        </w:tc>
      </w:tr>
      <w:tr>
        <w:tblPrEx>
          <w:tblW w:w="8969" w:type="dxa"/>
          <w:jc w:val="center"/>
          <w:tblLayout w:type="fixed"/>
          <w:tblCellMar>
            <w:top w:w="0" w:type="dxa"/>
            <w:left w:w="108" w:type="dxa"/>
            <w:bottom w:w="0" w:type="dxa"/>
            <w:right w:w="108" w:type="dxa"/>
          </w:tblCellMar>
          <w:tblLook w:val="0000"/>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w:t>
            </w: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r>
              <w:rPr>
                <w:rFonts w:ascii="方正黑体简体" w:eastAsia="方正黑体简体" w:hAnsi="仿宋" w:hint="eastAsia"/>
                <w:color w:val="0000FF"/>
                <w:kern w:val="20"/>
                <w:sz w:val="32"/>
                <w:szCs w:val="28"/>
                <w:lang w:val="zh-CN"/>
              </w:rPr>
              <w:t>XXXXXXX</w:t>
            </w: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1套</w:t>
            </w: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 xml:space="preserve"> </w:t>
            </w:r>
          </w:p>
        </w:tc>
        <w:tc>
          <w:tcPr>
            <w:tcW w:w="1938"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 xml:space="preserve"> </w:t>
            </w: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r>
              <w:rPr>
                <w:rFonts w:ascii="宋体" w:hAnsi="宋体" w:hint="eastAsia"/>
                <w:szCs w:val="21"/>
              </w:rPr>
              <w:t>202</w:t>
            </w:r>
            <w:r>
              <w:rPr>
                <w:rFonts w:ascii="宋体" w:hAnsi="宋体" w:hint="eastAsia"/>
                <w:szCs w:val="21"/>
                <w:lang w:val="en-US" w:eastAsia="zh-CN"/>
              </w:rPr>
              <w:t>6</w:t>
            </w:r>
            <w:r>
              <w:rPr>
                <w:rFonts w:ascii="宋体" w:hAnsi="宋体" w:hint="eastAsia"/>
                <w:szCs w:val="21"/>
              </w:rPr>
              <w:t>.</w:t>
            </w:r>
            <w:r>
              <w:rPr>
                <w:rFonts w:ascii="宋体" w:hAnsi="宋体" w:hint="eastAsia"/>
                <w:szCs w:val="21"/>
                <w:lang w:val="en-US" w:eastAsia="zh-CN"/>
              </w:rPr>
              <w:t>12</w:t>
            </w:r>
            <w:r>
              <w:rPr>
                <w:rFonts w:ascii="宋体" w:hAnsi="宋体" w:hint="eastAsia"/>
                <w:szCs w:val="21"/>
              </w:rPr>
              <w:t>.30</w:t>
            </w:r>
          </w:p>
        </w:tc>
      </w:tr>
    </w:tbl>
    <w:p>
      <w:pPr>
        <w:pStyle w:val="Default"/>
        <w:rPr>
          <w:rFonts w:ascii="宋体" w:hAnsi="宋体"/>
          <w:b/>
          <w:szCs w:val="28"/>
        </w:rPr>
      </w:pPr>
      <w:r>
        <w:rPr>
          <w:rFonts w:ascii="宋体" w:hAnsi="宋体" w:hint="eastAsia"/>
          <w:b/>
          <w:szCs w:val="28"/>
        </w:rPr>
        <w:t>三</w:t>
      </w:r>
      <w:r>
        <w:rPr>
          <w:rFonts w:hAnsi="宋体" w:hint="eastAsia"/>
        </w:rPr>
        <w:t>、</w:t>
      </w:r>
      <w:r>
        <w:rPr>
          <w:rFonts w:ascii="宋体" w:hAnsi="宋体"/>
          <w:b/>
          <w:szCs w:val="28"/>
        </w:rPr>
        <w:t>合同价格及付款方式</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1、合同总金额为人民币</w:t>
      </w:r>
      <w:r>
        <w:rPr>
          <w:rFonts w:ascii="宋体" w:hAnsi="宋体" w:hint="eastAsia"/>
          <w:szCs w:val="21"/>
          <w:u w:val="single"/>
        </w:rPr>
        <w:t xml:space="preserve"> </w:t>
      </w:r>
      <w:r>
        <w:rPr>
          <w:rFonts w:ascii="宋体" w:hAnsi="宋体" w:hint="eastAsia"/>
          <w:szCs w:val="21"/>
          <w:u w:val="single"/>
          <w:lang w:val="en-US" w:eastAsia="zh-CN"/>
        </w:rPr>
        <w:t xml:space="preserve">              </w:t>
      </w:r>
      <w:r>
        <w:rPr>
          <w:rFonts w:ascii="仿宋_GB2312" w:eastAsia="仿宋_GB2312" w:hAnsi="仿宋_GB2312" w:cs="仿宋_GB2312" w:hint="eastAsia"/>
          <w:b w:val="0"/>
          <w:bCs w:val="0"/>
          <w:i w:val="0"/>
          <w:iCs w:val="0"/>
          <w:caps w:val="0"/>
          <w:spacing w:val="0"/>
          <w:sz w:val="24"/>
          <w:szCs w:val="32"/>
          <w:u w:val="single"/>
          <w:shd w:val="clear" w:color="auto" w:fill="auto"/>
          <w:lang w:val="en-US" w:eastAsia="zh-CN"/>
        </w:rPr>
        <w:t xml:space="preserve">  </w:t>
      </w:r>
      <w:r>
        <w:rPr>
          <w:rFonts w:ascii="宋体" w:hAnsi="宋体"/>
          <w:szCs w:val="21"/>
        </w:rPr>
        <w:t>（大写）：</w:t>
      </w:r>
      <w:r>
        <w:rPr>
          <w:rFonts w:ascii="宋体" w:hAnsi="宋体" w:cs="宋体" w:hint="eastAsia"/>
          <w:kern w:val="0"/>
          <w:sz w:val="18"/>
          <w:szCs w:val="18"/>
          <w:u w:val="single"/>
        </w:rPr>
        <w:t xml:space="preserve">  </w:t>
      </w:r>
      <w:r>
        <w:rPr>
          <w:rFonts w:ascii="宋体" w:hAnsi="宋体" w:cs="宋体" w:hint="eastAsia"/>
          <w:kern w:val="0"/>
          <w:sz w:val="18"/>
          <w:szCs w:val="18"/>
          <w:u w:val="single"/>
          <w:lang w:val="en-US" w:eastAsia="zh-CN"/>
        </w:rPr>
        <w:t xml:space="preserve">   </w:t>
      </w:r>
      <w:r>
        <w:rPr>
          <w:rFonts w:ascii="宋体" w:eastAsia="宋体" w:hAnsi="宋体" w:cs="Times New Roman" w:hint="eastAsia"/>
          <w:szCs w:val="21"/>
          <w:u w:val="single"/>
        </w:rPr>
        <w:t xml:space="preserve"> </w:t>
      </w:r>
      <w:r>
        <w:rPr>
          <w:rFonts w:ascii="宋体" w:hAnsi="宋体" w:hint="eastAsia"/>
          <w:szCs w:val="21"/>
          <w:u w:val="single"/>
        </w:rPr>
        <w:t xml:space="preserve">     </w:t>
      </w:r>
      <w:r>
        <w:rPr>
          <w:rFonts w:ascii="宋体" w:hAnsi="宋体" w:cs="宋体" w:hint="eastAsia"/>
          <w:kern w:val="0"/>
          <w:sz w:val="18"/>
          <w:szCs w:val="18"/>
          <w:u w:val="single"/>
        </w:rPr>
        <w:t xml:space="preserve">           </w:t>
      </w:r>
      <w:r>
        <w:rPr>
          <w:rFonts w:ascii="宋体" w:hAnsi="宋体"/>
          <w:szCs w:val="21"/>
        </w:rPr>
        <w:t xml:space="preserve">元（小写）。 </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2、合同签署后</w:t>
      </w:r>
      <w:r>
        <w:rPr>
          <w:rFonts w:ascii="宋体" w:hAnsi="宋体" w:hint="eastAsia"/>
          <w:szCs w:val="21"/>
          <w:lang w:val="en-US" w:eastAsia="zh-CN"/>
        </w:rPr>
        <w:t>10</w:t>
      </w:r>
      <w:r>
        <w:rPr>
          <w:rFonts w:ascii="宋体" w:hAnsi="宋体" w:hint="eastAsia"/>
          <w:szCs w:val="21"/>
        </w:rPr>
        <w:t>个工作日内，甲方向乙方支付合同总金额的</w:t>
      </w:r>
      <w:r>
        <w:rPr>
          <w:rFonts w:ascii="宋体" w:hAnsi="宋体" w:hint="eastAsia"/>
          <w:szCs w:val="21"/>
          <w:lang w:val="en-US" w:eastAsia="zh-CN"/>
        </w:rPr>
        <w:t>7</w:t>
      </w:r>
      <w:r>
        <w:rPr>
          <w:rFonts w:ascii="宋体" w:hAnsi="宋体" w:hint="eastAsia"/>
          <w:szCs w:val="21"/>
        </w:rPr>
        <w:t>0%，即人民币</w:t>
      </w:r>
      <w:r>
        <w:rPr>
          <w:rFonts w:ascii="宋体" w:hAnsi="宋体" w:hint="eastAsia"/>
          <w:szCs w:val="21"/>
          <w:u w:val="single"/>
        </w:rPr>
        <w:t xml:space="preserve">  </w:t>
      </w:r>
      <w:r>
        <w:rPr>
          <w:rFonts w:ascii="宋体" w:hAnsi="宋体" w:hint="eastAsia"/>
          <w:szCs w:val="21"/>
          <w:u w:val="single"/>
          <w:lang w:val="en-US" w:eastAsia="zh-CN"/>
        </w:rPr>
        <w:t xml:space="preserve">             </w:t>
      </w:r>
      <w:r>
        <w:rPr>
          <w:rFonts w:ascii="宋体" w:hAnsi="宋体" w:hint="eastAsia"/>
          <w:szCs w:val="21"/>
          <w:u w:val="single"/>
        </w:rPr>
        <w:t xml:space="preserve"> </w:t>
      </w:r>
      <w:r>
        <w:rPr>
          <w:rFonts w:ascii="宋体" w:hAnsi="宋体" w:hint="eastAsia"/>
          <w:szCs w:val="21"/>
        </w:rPr>
        <w:t>元</w:t>
      </w:r>
      <w:r>
        <w:rPr>
          <w:rFonts w:ascii="宋体" w:hAnsi="宋体"/>
          <w:szCs w:val="21"/>
        </w:rPr>
        <w:t>（大写）：</w:t>
      </w:r>
      <w:r>
        <w:rPr>
          <w:rFonts w:ascii="宋体" w:hAnsi="宋体" w:cs="宋体" w:hint="eastAsia"/>
          <w:kern w:val="0"/>
          <w:sz w:val="18"/>
          <w:szCs w:val="18"/>
          <w:u w:val="single"/>
        </w:rPr>
        <w:t xml:space="preserve">  </w:t>
      </w:r>
      <w:r>
        <w:rPr>
          <w:rFonts w:ascii="仿宋_GB2312" w:eastAsia="仿宋_GB2312" w:hAnsi="仿宋_GB2312" w:cs="仿宋_GB2312" w:hint="eastAsia"/>
          <w:kern w:val="2"/>
          <w:sz w:val="24"/>
          <w:szCs w:val="32"/>
          <w:u w:val="single"/>
        </w:rPr>
        <w:t xml:space="preserve"> </w:t>
      </w:r>
      <w:r>
        <w:rPr>
          <w:rFonts w:ascii="仿宋_GB2312" w:eastAsia="仿宋_GB2312" w:hAnsi="仿宋_GB2312" w:cs="仿宋_GB2312" w:hint="eastAsia"/>
          <w:kern w:val="2"/>
          <w:sz w:val="24"/>
          <w:szCs w:val="32"/>
          <w:u w:val="single"/>
          <w:lang w:val="en-US" w:eastAsia="zh-CN"/>
        </w:rPr>
        <w:t xml:space="preserve">         </w:t>
      </w:r>
      <w:r>
        <w:rPr>
          <w:rFonts w:ascii="仿宋_GB2312" w:eastAsia="仿宋_GB2312" w:hAnsi="仿宋_GB2312" w:cs="仿宋_GB2312" w:hint="eastAsia"/>
          <w:kern w:val="2"/>
          <w:sz w:val="24"/>
          <w:szCs w:val="32"/>
          <w:u w:val="single"/>
        </w:rPr>
        <w:t xml:space="preserve"> </w:t>
      </w:r>
      <w:r>
        <w:rPr>
          <w:rFonts w:ascii="宋体" w:hAnsi="宋体"/>
          <w:szCs w:val="21"/>
        </w:rPr>
        <w:t>（小写）。</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w:t>
      </w:r>
      <w:r>
        <w:rPr>
          <w:rFonts w:ascii="宋体" w:hAnsi="宋体"/>
          <w:szCs w:val="21"/>
        </w:rPr>
        <w:t>、</w:t>
      </w:r>
      <w:r>
        <w:rPr>
          <w:rFonts w:ascii="宋体" w:hAnsi="宋体" w:hint="eastAsia"/>
          <w:szCs w:val="21"/>
        </w:rPr>
        <w:t>项目通过初步验收</w:t>
      </w:r>
      <w:r>
        <w:rPr>
          <w:rFonts w:ascii="宋体" w:hAnsi="宋体"/>
          <w:szCs w:val="21"/>
        </w:rPr>
        <w:t>后</w:t>
      </w:r>
      <w:r>
        <w:rPr>
          <w:rFonts w:ascii="宋体" w:hAnsi="宋体" w:hint="eastAsia"/>
          <w:szCs w:val="21"/>
          <w:lang w:val="en-US" w:eastAsia="zh-CN"/>
        </w:rPr>
        <w:t>10</w:t>
      </w:r>
      <w:r>
        <w:rPr>
          <w:rFonts w:ascii="宋体" w:hAnsi="宋体"/>
          <w:szCs w:val="21"/>
        </w:rPr>
        <w:t>个工作日内，</w:t>
      </w:r>
      <w:r>
        <w:rPr>
          <w:rFonts w:ascii="宋体" w:hAnsi="宋体" w:hint="eastAsia"/>
          <w:szCs w:val="21"/>
        </w:rPr>
        <w:t>甲方向乙方支付合同总金额的20%，即人民币</w:t>
      </w:r>
      <w:r>
        <w:rPr>
          <w:rFonts w:ascii="宋体" w:hAnsi="宋体" w:hint="eastAsia"/>
          <w:szCs w:val="21"/>
          <w:lang w:val="en-US" w:eastAsia="zh-CN"/>
        </w:rPr>
        <w:t xml:space="preserve">         </w:t>
      </w:r>
      <w:r>
        <w:rPr>
          <w:rStyle w:val="Strong"/>
          <w:rFonts w:ascii="宋体" w:eastAsia="宋体" w:hAnsi="宋体" w:cs="Times New Roman" w:hint="eastAsia"/>
          <w:b w:val="0"/>
          <w:bCs w:val="0"/>
          <w:i w:val="0"/>
          <w:iCs w:val="0"/>
          <w:caps w:val="0"/>
          <w:color w:val="0F1115"/>
          <w:spacing w:val="0"/>
          <w:sz w:val="21"/>
          <w:szCs w:val="21"/>
          <w:u w:val="single"/>
          <w:shd w:val="clear" w:color="auto" w:fill="auto"/>
          <w:lang w:val="en-US" w:eastAsia="zh-CN"/>
        </w:rPr>
        <w:t xml:space="preserve">      </w:t>
      </w:r>
      <w:r>
        <w:rPr>
          <w:rFonts w:ascii="宋体" w:eastAsia="宋体" w:hAnsi="宋体" w:cs="Times New Roman" w:hint="eastAsia"/>
          <w:sz w:val="21"/>
          <w:szCs w:val="21"/>
          <w:u w:val="single"/>
        </w:rPr>
        <w:t xml:space="preserve"> </w:t>
      </w:r>
      <w:r>
        <w:rPr>
          <w:rFonts w:ascii="宋体" w:hAnsi="宋体" w:hint="eastAsia"/>
          <w:szCs w:val="21"/>
          <w:u w:val="single"/>
        </w:rPr>
        <w:t xml:space="preserve"> </w:t>
      </w:r>
      <w:r>
        <w:rPr>
          <w:rFonts w:ascii="宋体" w:hAnsi="宋体" w:hint="eastAsia"/>
          <w:szCs w:val="21"/>
        </w:rPr>
        <w:t>元</w:t>
      </w:r>
      <w:r>
        <w:rPr>
          <w:rFonts w:ascii="宋体" w:hAnsi="宋体"/>
          <w:szCs w:val="21"/>
        </w:rPr>
        <w:t>（大写）：</w:t>
      </w:r>
      <w:r>
        <w:rPr>
          <w:rFonts w:ascii="宋体" w:hAnsi="宋体" w:cs="宋体" w:hint="eastAsia"/>
          <w:kern w:val="0"/>
          <w:sz w:val="18"/>
          <w:szCs w:val="18"/>
          <w:u w:val="single"/>
        </w:rPr>
        <w:t xml:space="preserve"> </w:t>
      </w:r>
      <w:r>
        <w:rPr>
          <w:rFonts w:ascii="宋体" w:eastAsia="宋体" w:hAnsi="宋体" w:cs="Times New Roman" w:hint="eastAsia"/>
          <w:kern w:val="2"/>
          <w:sz w:val="21"/>
          <w:szCs w:val="21"/>
          <w:u w:val="single"/>
          <w:lang w:val="en-US" w:eastAsia="zh-CN"/>
        </w:rPr>
        <w:t xml:space="preserve">          </w:t>
      </w:r>
      <w:r>
        <w:rPr>
          <w:rFonts w:ascii="宋体" w:eastAsia="宋体" w:hAnsi="宋体" w:cs="Times New Roman" w:hint="eastAsia"/>
          <w:kern w:val="2"/>
          <w:sz w:val="21"/>
          <w:szCs w:val="21"/>
          <w:u w:val="single"/>
        </w:rPr>
        <w:t xml:space="preserve"> </w:t>
      </w:r>
      <w:r>
        <w:rPr>
          <w:rFonts w:ascii="宋体" w:hAnsi="宋体" w:cs="宋体" w:hint="eastAsia"/>
          <w:kern w:val="0"/>
          <w:sz w:val="18"/>
          <w:szCs w:val="18"/>
          <w:u w:val="single"/>
        </w:rPr>
        <w:t xml:space="preserve"> </w:t>
      </w:r>
      <w:r>
        <w:rPr>
          <w:rFonts w:ascii="宋体" w:hAnsi="宋体" w:cs="宋体" w:hint="eastAsia"/>
          <w:kern w:val="0"/>
          <w:sz w:val="18"/>
          <w:szCs w:val="18"/>
          <w:u w:val="single"/>
          <w:lang w:val="en-US" w:eastAsia="zh-CN"/>
        </w:rPr>
        <w:t xml:space="preserve"> </w:t>
      </w:r>
      <w:r>
        <w:rPr>
          <w:rFonts w:ascii="宋体" w:hAnsi="宋体" w:cs="宋体" w:hint="eastAsia"/>
          <w:kern w:val="0"/>
          <w:sz w:val="18"/>
          <w:szCs w:val="18"/>
          <w:u w:val="single"/>
        </w:rPr>
        <w:t xml:space="preserve"> </w:t>
      </w:r>
      <w:r>
        <w:rPr>
          <w:rFonts w:ascii="宋体" w:hAnsi="宋体"/>
          <w:szCs w:val="21"/>
        </w:rPr>
        <w:t>（小写）。</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4</w:t>
      </w:r>
      <w:r>
        <w:rPr>
          <w:rFonts w:ascii="宋体" w:hAnsi="宋体"/>
          <w:szCs w:val="21"/>
        </w:rPr>
        <w:t>、</w:t>
      </w:r>
      <w:r>
        <w:rPr>
          <w:rFonts w:ascii="宋体" w:hAnsi="宋体" w:hint="eastAsia"/>
          <w:szCs w:val="21"/>
        </w:rPr>
        <w:t>项目通过正式验收</w:t>
      </w:r>
      <w:r>
        <w:rPr>
          <w:rFonts w:ascii="宋体" w:hAnsi="宋体"/>
          <w:szCs w:val="21"/>
        </w:rPr>
        <w:t>后</w:t>
      </w:r>
      <w:r>
        <w:rPr>
          <w:rFonts w:ascii="宋体" w:hAnsi="宋体" w:hint="eastAsia"/>
          <w:szCs w:val="21"/>
          <w:lang w:val="en-US" w:eastAsia="zh-CN"/>
        </w:rPr>
        <w:t>10</w:t>
      </w:r>
      <w:r>
        <w:rPr>
          <w:rFonts w:ascii="宋体" w:hAnsi="宋体"/>
          <w:szCs w:val="21"/>
        </w:rPr>
        <w:t>个工作日内</w:t>
      </w:r>
      <w:r>
        <w:rPr>
          <w:rFonts w:ascii="宋体" w:hAnsi="宋体" w:hint="eastAsia"/>
          <w:szCs w:val="21"/>
        </w:rPr>
        <w:t>，甲方向乙方支付合同总金额的</w:t>
      </w:r>
      <w:r>
        <w:rPr>
          <w:rFonts w:ascii="宋体" w:hAnsi="宋体" w:hint="eastAsia"/>
          <w:szCs w:val="21"/>
          <w:lang w:val="en-US" w:eastAsia="zh-CN"/>
        </w:rPr>
        <w:t>1</w:t>
      </w:r>
      <w:r>
        <w:rPr>
          <w:rFonts w:ascii="宋体" w:hAnsi="宋体" w:hint="eastAsia"/>
          <w:szCs w:val="21"/>
        </w:rPr>
        <w:t>0%，即</w:t>
      </w:r>
      <w:r>
        <w:rPr>
          <w:rFonts w:ascii="宋体" w:hAnsi="宋体" w:hint="eastAsia"/>
          <w:szCs w:val="21"/>
          <w:u w:val="single"/>
        </w:rPr>
        <w:t xml:space="preserve"> </w:t>
      </w:r>
      <w:r>
        <w:rPr>
          <w:rStyle w:val="Strong"/>
          <w:rFonts w:ascii="宋体" w:eastAsia="宋体" w:hAnsi="宋体" w:cs="Times New Roman" w:hint="eastAsia"/>
          <w:b w:val="0"/>
          <w:bCs w:val="0"/>
          <w:i w:val="0"/>
          <w:iCs w:val="0"/>
          <w:caps w:val="0"/>
          <w:color w:val="0F1115"/>
          <w:spacing w:val="0"/>
          <w:sz w:val="21"/>
          <w:szCs w:val="21"/>
          <w:u w:val="single"/>
          <w:shd w:val="clear" w:color="auto" w:fill="auto"/>
          <w:lang w:val="en-US" w:eastAsia="zh-CN"/>
        </w:rPr>
        <w:t xml:space="preserve">             </w:t>
      </w:r>
      <w:r>
        <w:rPr>
          <w:rFonts w:ascii="仿宋_GB2312" w:eastAsia="仿宋_GB2312" w:hAnsi="仿宋_GB2312" w:cs="仿宋_GB2312" w:hint="eastAsia"/>
          <w:sz w:val="24"/>
          <w:szCs w:val="32"/>
          <w:u w:val="single"/>
        </w:rPr>
        <w:t xml:space="preserve"> </w:t>
      </w:r>
      <w:r>
        <w:rPr>
          <w:rFonts w:ascii="宋体" w:hAnsi="宋体" w:hint="eastAsia"/>
          <w:szCs w:val="21"/>
        </w:rPr>
        <w:t>元</w:t>
      </w:r>
      <w:r>
        <w:rPr>
          <w:rFonts w:ascii="宋体" w:hAnsi="宋体"/>
          <w:szCs w:val="21"/>
        </w:rPr>
        <w:t>（大写）</w:t>
      </w:r>
      <w:r>
        <w:rPr>
          <w:rFonts w:ascii="宋体" w:hAnsi="宋体" w:hint="eastAsia"/>
          <w:szCs w:val="21"/>
        </w:rPr>
        <w:t>：</w:t>
      </w:r>
      <w:r>
        <w:rPr>
          <w:rFonts w:ascii="宋体" w:hAnsi="宋体" w:hint="eastAsia"/>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u w:val="single"/>
          <w:lang w:val="en-US" w:eastAsia="zh-CN"/>
        </w:rPr>
        <w:t xml:space="preserve">       </w:t>
      </w:r>
      <w:r>
        <w:rPr>
          <w:rFonts w:ascii="宋体" w:eastAsia="宋体" w:hAnsi="宋体" w:cs="Times New Roman" w:hint="eastAsia"/>
          <w:szCs w:val="21"/>
          <w:u w:val="single"/>
        </w:rPr>
        <w:t xml:space="preserve"> </w:t>
      </w:r>
      <w:r>
        <w:rPr>
          <w:rFonts w:ascii="宋体" w:hAnsi="宋体" w:hint="eastAsia"/>
          <w:szCs w:val="21"/>
          <w:u w:val="single"/>
        </w:rPr>
        <w:t xml:space="preserve">    </w:t>
      </w:r>
      <w:r>
        <w:rPr>
          <w:rFonts w:ascii="宋体" w:hAnsi="宋体"/>
          <w:szCs w:val="21"/>
        </w:rPr>
        <w:t>元（小写）；</w:t>
      </w:r>
      <w:r>
        <w:rPr>
          <w:rFonts w:ascii="宋体" w:hAnsi="宋体" w:hint="eastAsia"/>
          <w:szCs w:val="21"/>
        </w:rPr>
        <w:t xml:space="preserve">同时乙方向甲方提交一年（以验收合格之日起算）的银行保函，保函金额为合同总额的3%，即人民币 </w:t>
      </w:r>
      <w:r>
        <w:rPr>
          <w:rFonts w:ascii="宋体" w:hAnsi="宋体" w:hint="eastAsia"/>
          <w:szCs w:val="21"/>
          <w:lang w:val="en-US" w:eastAsia="zh-CN"/>
        </w:rPr>
        <w:t xml:space="preserve">      </w:t>
      </w:r>
      <w:r>
        <w:rPr>
          <w:rStyle w:val="Strong"/>
          <w:rFonts w:ascii="宋体" w:eastAsia="宋体" w:hAnsi="宋体" w:cs="Times New Roman" w:hint="eastAsia"/>
          <w:b w:val="0"/>
          <w:bCs w:val="0"/>
          <w:i w:val="0"/>
          <w:iCs w:val="0"/>
          <w:caps w:val="0"/>
          <w:color w:val="0F1115"/>
          <w:spacing w:val="0"/>
          <w:sz w:val="21"/>
          <w:szCs w:val="21"/>
          <w:u w:val="single"/>
          <w:shd w:val="clear" w:color="auto" w:fill="auto"/>
          <w:lang w:val="en-US" w:eastAsia="zh-CN"/>
        </w:rPr>
        <w:t xml:space="preserve">       </w:t>
      </w:r>
      <w:r>
        <w:rPr>
          <w:rFonts w:ascii="宋体" w:hAnsi="宋体" w:hint="eastAsia"/>
          <w:szCs w:val="21"/>
        </w:rPr>
        <w:t xml:space="preserve"> 整，￥</w:t>
      </w:r>
      <w:r>
        <w:rPr>
          <w:rFonts w:ascii="宋体" w:hAnsi="宋体" w:hint="eastAsia"/>
          <w:szCs w:val="21"/>
          <w:lang w:val="en-US" w:eastAsia="zh-CN"/>
        </w:rPr>
        <w:t xml:space="preserve">    元</w:t>
      </w:r>
      <w:r>
        <w:rPr>
          <w:rFonts w:ascii="宋体" w:hAnsi="宋体" w:hint="eastAsia"/>
          <w:szCs w:val="21"/>
        </w:rPr>
        <w:t xml:space="preserve"> ）。</w:t>
      </w:r>
    </w:p>
    <w:p>
      <w:pPr>
        <w:tabs>
          <w:tab w:val="left" w:pos="1573"/>
        </w:tabs>
        <w:adjustRightInd w:val="0"/>
        <w:snapToGrid w:val="0"/>
        <w:spacing w:line="360" w:lineRule="auto"/>
        <w:ind w:firstLine="420" w:firstLineChars="200"/>
        <w:jc w:val="left"/>
        <w:rPr>
          <w:rFonts w:ascii="宋体" w:hAnsi="宋体" w:hint="eastAsia"/>
          <w:b/>
          <w:szCs w:val="28"/>
        </w:rPr>
      </w:pPr>
      <w:r>
        <w:rPr>
          <w:rFonts w:ascii="宋体" w:hAnsi="宋体"/>
          <w:b/>
          <w:szCs w:val="28"/>
        </w:rPr>
        <w:t>四、甲方应向乙方提供的资料</w:t>
      </w:r>
    </w:p>
    <w:p>
      <w:pPr>
        <w:tabs>
          <w:tab w:val="left" w:pos="1573"/>
        </w:tabs>
        <w:adjustRightInd w:val="0"/>
        <w:snapToGrid w:val="0"/>
        <w:spacing w:line="360" w:lineRule="auto"/>
        <w:ind w:firstLine="420" w:firstLineChars="200"/>
        <w:jc w:val="left"/>
        <w:rPr>
          <w:rFonts w:ascii="宋体" w:hAnsi="Calibri" w:cs="宋体"/>
          <w:color w:val="000000"/>
          <w:kern w:val="0"/>
        </w:rPr>
      </w:pPr>
      <w:r>
        <w:rPr>
          <w:rFonts w:ascii="宋体" w:hAnsi="宋体" w:hint="eastAsia"/>
          <w:szCs w:val="21"/>
        </w:rPr>
        <w:t>提供相关完整文件资料一套。</w:t>
      </w:r>
    </w:p>
    <w:p>
      <w:pPr>
        <w:pStyle w:val="Default"/>
        <w:spacing w:line="360" w:lineRule="auto"/>
        <w:rPr>
          <w:rFonts w:ascii="宋体" w:hAnsi="宋体"/>
          <w:b/>
          <w:szCs w:val="28"/>
        </w:rPr>
      </w:pPr>
      <w:r>
        <w:rPr>
          <w:rFonts w:ascii="宋体" w:hAnsi="宋体"/>
          <w:b/>
          <w:szCs w:val="28"/>
        </w:rPr>
        <w:t>五、进度要求</w:t>
      </w:r>
      <w:r>
        <w:rPr>
          <w:rFonts w:ascii="宋体" w:hAnsi="宋体" w:hint="eastAsia"/>
          <w:b/>
          <w:szCs w:val="28"/>
        </w:rPr>
        <w:t>及</w:t>
      </w:r>
      <w:r>
        <w:rPr>
          <w:rFonts w:ascii="宋体" w:hAnsi="宋体"/>
          <w:b/>
          <w:szCs w:val="28"/>
        </w:rPr>
        <w:t xml:space="preserve">交付 </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szCs w:val="21"/>
        </w:rPr>
        <w:t>1、交付日期：</w:t>
      </w:r>
      <w:r>
        <w:rPr>
          <w:rFonts w:ascii="宋体" w:hAnsi="宋体" w:hint="eastAsia"/>
          <w:szCs w:val="21"/>
          <w:lang w:val="en-US" w:eastAsia="zh-CN"/>
        </w:rPr>
        <w:t xml:space="preserve">    </w:t>
      </w:r>
      <w:r>
        <w:rPr>
          <w:rFonts w:ascii="宋体" w:hAnsi="宋体"/>
          <w:szCs w:val="21"/>
        </w:rPr>
        <w:t xml:space="preserve"> 。 </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szCs w:val="21"/>
        </w:rPr>
        <w:t xml:space="preserve">2、交付地点： </w:t>
      </w:r>
      <w:r>
        <w:rPr>
          <w:rFonts w:ascii="方正黑体简体" w:eastAsia="方正黑体简体" w:hAnsi="仿宋" w:hint="eastAsia"/>
          <w:color w:val="0000FF"/>
          <w:kern w:val="20"/>
          <w:sz w:val="32"/>
          <w:szCs w:val="28"/>
          <w:lang w:val="zh-CN"/>
        </w:rPr>
        <w:t>XXXXXXX</w:t>
      </w:r>
      <w:r>
        <w:rPr>
          <w:rFonts w:ascii="宋体" w:hAnsi="宋体"/>
          <w:szCs w:val="21"/>
          <w:u w:val="single"/>
        </w:rPr>
        <w:t xml:space="preserve"> </w:t>
      </w:r>
      <w:r>
        <w:rPr>
          <w:rFonts w:ascii="宋体" w:hAnsi="宋体" w:hint="eastAsia"/>
          <w:szCs w:val="21"/>
        </w:rPr>
        <w:t>。</w:t>
      </w:r>
      <w:r>
        <w:rPr>
          <w:rFonts w:ascii="宋体" w:hAnsi="宋体"/>
          <w:szCs w:val="21"/>
        </w:rPr>
        <w:t xml:space="preserve"> </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szCs w:val="21"/>
        </w:rPr>
        <w:t>3、其他约定事项：</w:t>
      </w:r>
      <w:r>
        <w:rPr>
          <w:rFonts w:ascii="宋体" w:hAnsi="宋体" w:hint="eastAsia"/>
          <w:szCs w:val="21"/>
          <w:u w:val="single"/>
        </w:rPr>
        <w:t>鉴于该设备包含专用软件内容，乙方设计方案需通过评审</w:t>
      </w:r>
      <w:r>
        <w:rPr>
          <w:rFonts w:ascii="宋体" w:hAnsi="宋体" w:hint="eastAsia"/>
          <w:szCs w:val="21"/>
        </w:rPr>
        <w:t>。</w:t>
      </w:r>
    </w:p>
    <w:p>
      <w:pPr>
        <w:pStyle w:val="Default"/>
        <w:spacing w:line="360" w:lineRule="auto"/>
        <w:rPr>
          <w:rFonts w:ascii="宋体" w:hAnsi="宋体"/>
          <w:b/>
          <w:szCs w:val="28"/>
        </w:rPr>
      </w:pPr>
      <w:r>
        <w:rPr>
          <w:rFonts w:ascii="宋体" w:hAnsi="宋体"/>
          <w:b/>
          <w:szCs w:val="28"/>
        </w:rPr>
        <w:t xml:space="preserve">六、技术服务和保修责任 </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szCs w:val="21"/>
        </w:rPr>
        <w:t>乙方对合同货物的质量保修期为</w:t>
      </w:r>
      <w:r>
        <w:rPr>
          <w:rFonts w:ascii="宋体" w:hAnsi="宋体" w:hint="eastAsia"/>
          <w:szCs w:val="21"/>
        </w:rPr>
        <w:t>项目通过正式验收</w:t>
      </w:r>
      <w:r>
        <w:rPr>
          <w:rFonts w:ascii="宋体" w:hAnsi="宋体"/>
          <w:szCs w:val="21"/>
        </w:rPr>
        <w:t>之日起</w:t>
      </w:r>
      <w:r>
        <w:rPr>
          <w:rFonts w:ascii="宋体" w:hAnsi="宋体" w:hint="eastAsia"/>
          <w:szCs w:val="21"/>
          <w:u w:val="single"/>
        </w:rPr>
        <w:t>12</w:t>
      </w:r>
      <w:r>
        <w:rPr>
          <w:rFonts w:ascii="宋体" w:hAnsi="宋体"/>
          <w:szCs w:val="21"/>
        </w:rPr>
        <w:t>个月。</w:t>
      </w:r>
    </w:p>
    <w:p>
      <w:pPr>
        <w:pStyle w:val="Default"/>
        <w:spacing w:line="360" w:lineRule="auto"/>
        <w:rPr>
          <w:rFonts w:ascii="宋体" w:hAnsi="宋体"/>
          <w:b/>
          <w:szCs w:val="28"/>
        </w:rPr>
      </w:pPr>
      <w:r>
        <w:rPr>
          <w:rFonts w:ascii="宋体" w:hAnsi="宋体"/>
          <w:b/>
          <w:szCs w:val="28"/>
        </w:rPr>
        <w:t xml:space="preserve">七、违约责任 </w:t>
      </w:r>
    </w:p>
    <w:p>
      <w:pPr>
        <w:autoSpaceDE w:val="0"/>
        <w:autoSpaceDN w:val="0"/>
        <w:adjustRightInd w:val="0"/>
        <w:spacing w:line="360" w:lineRule="auto"/>
        <w:ind w:firstLine="420" w:firstLineChars="200"/>
        <w:jc w:val="left"/>
        <w:rPr>
          <w:rFonts w:ascii="宋体" w:hAnsi="Calibri"/>
          <w:kern w:val="0"/>
          <w:szCs w:val="21"/>
        </w:rPr>
      </w:pPr>
      <w:r>
        <w:rPr>
          <w:rFonts w:ascii="宋体" w:hAnsi="Calibri"/>
          <w:kern w:val="0"/>
          <w:szCs w:val="21"/>
        </w:rPr>
        <w:t>1、延期交付或延期付款的违约责任：如乙方延期交付或甲方延期付款，每逾期一天，违约方应按延期交货所折合的金额或延期付款金额每天</w:t>
      </w:r>
      <w:r>
        <w:rPr>
          <w:rFonts w:ascii="宋体" w:hAnsi="Calibri"/>
          <w:kern w:val="0"/>
          <w:szCs w:val="21"/>
          <w:u w:val="single"/>
        </w:rPr>
        <w:t xml:space="preserve"> </w:t>
      </w:r>
      <w:r>
        <w:rPr>
          <w:rFonts w:ascii="宋体" w:hAnsi="Calibri" w:hint="eastAsia"/>
          <w:kern w:val="0"/>
          <w:szCs w:val="21"/>
          <w:u w:val="single"/>
        </w:rPr>
        <w:t>1</w:t>
      </w:r>
      <w:r>
        <w:rPr>
          <w:rFonts w:ascii="宋体" w:hAnsi="Calibri" w:hint="eastAsia"/>
          <w:kern w:val="0"/>
          <w:szCs w:val="21"/>
          <w:u w:val="single"/>
          <w:lang w:val="en-US" w:eastAsia="zh-CN"/>
        </w:rPr>
        <w:t xml:space="preserve"> </w:t>
      </w:r>
      <w:r>
        <w:rPr>
          <w:rFonts w:ascii="宋体" w:hAnsi="Calibri"/>
          <w:kern w:val="0"/>
          <w:szCs w:val="21"/>
        </w:rPr>
        <w:t>‰ 的比例向对方支付违约金，但该违约金累计不得超过合同总金额的</w:t>
      </w:r>
      <w:r>
        <w:rPr>
          <w:rFonts w:ascii="宋体" w:hAnsi="Calibri"/>
          <w:kern w:val="0"/>
          <w:szCs w:val="21"/>
          <w:u w:val="single"/>
        </w:rPr>
        <w:t>3</w:t>
      </w:r>
      <w:r>
        <w:rPr>
          <w:rFonts w:ascii="宋体" w:hAnsi="Calibri" w:hint="eastAsia"/>
          <w:kern w:val="0"/>
          <w:szCs w:val="21"/>
          <w:u w:val="single"/>
        </w:rPr>
        <w:t>0</w:t>
      </w:r>
      <w:r>
        <w:rPr>
          <w:rFonts w:ascii="宋体" w:hAnsi="Calibri"/>
          <w:kern w:val="0"/>
          <w:szCs w:val="21"/>
          <w:u w:val="single"/>
        </w:rPr>
        <w:t xml:space="preserve"> </w:t>
      </w:r>
      <w:r>
        <w:rPr>
          <w:rFonts w:ascii="宋体" w:hAnsi="Calibri"/>
          <w:kern w:val="0"/>
          <w:szCs w:val="21"/>
        </w:rPr>
        <w:t>%；上述逾期超过</w:t>
      </w:r>
      <w:r>
        <w:rPr>
          <w:rFonts w:ascii="宋体" w:hAnsi="Calibri" w:hint="eastAsia"/>
          <w:kern w:val="0"/>
          <w:szCs w:val="21"/>
          <w:u w:val="single"/>
        </w:rPr>
        <w:t>90</w:t>
      </w:r>
      <w:r>
        <w:rPr>
          <w:rFonts w:ascii="宋体" w:hAnsi="Calibri"/>
          <w:kern w:val="0"/>
          <w:szCs w:val="21"/>
        </w:rPr>
        <w:t xml:space="preserve">天，守约方有权解除合同，并要求违约方赔偿由此造成的损失。 </w:t>
      </w:r>
    </w:p>
    <w:p>
      <w:pPr>
        <w:autoSpaceDE w:val="0"/>
        <w:autoSpaceDN w:val="0"/>
        <w:adjustRightInd w:val="0"/>
        <w:spacing w:line="360" w:lineRule="auto"/>
        <w:ind w:firstLine="420" w:firstLineChars="200"/>
        <w:jc w:val="left"/>
        <w:rPr>
          <w:rFonts w:ascii="宋体" w:hAnsi="Calibri"/>
          <w:kern w:val="0"/>
          <w:szCs w:val="21"/>
        </w:rPr>
      </w:pPr>
      <w:r>
        <w:rPr>
          <w:rFonts w:ascii="宋体" w:hAnsi="Calibri"/>
          <w:kern w:val="0"/>
          <w:szCs w:val="21"/>
        </w:rPr>
        <w:t xml:space="preserve">2、其它违约责任 </w:t>
      </w:r>
    </w:p>
    <w:p>
      <w:pPr>
        <w:autoSpaceDE w:val="0"/>
        <w:autoSpaceDN w:val="0"/>
        <w:adjustRightInd w:val="0"/>
        <w:spacing w:line="360" w:lineRule="auto"/>
        <w:ind w:firstLine="420" w:firstLineChars="200"/>
        <w:jc w:val="left"/>
        <w:rPr>
          <w:rFonts w:ascii="宋体" w:hAnsi="Calibri"/>
          <w:kern w:val="0"/>
          <w:szCs w:val="21"/>
          <w:highlight w:val="none"/>
        </w:rPr>
      </w:pPr>
      <w:r>
        <w:rPr>
          <w:rFonts w:ascii="宋体" w:hAnsi="Calibri"/>
          <w:kern w:val="0"/>
          <w:szCs w:val="21"/>
          <w:highlight w:val="none"/>
        </w:rPr>
        <w:t xml:space="preserve">违约方应就每一单项违约向对方支付合同总金额 </w:t>
      </w:r>
      <w:r>
        <w:rPr>
          <w:rFonts w:ascii="宋体" w:hAnsi="Calibri" w:hint="eastAsia"/>
          <w:kern w:val="0"/>
          <w:szCs w:val="21"/>
          <w:highlight w:val="none"/>
          <w:u w:val="single"/>
        </w:rPr>
        <w:t>5</w:t>
      </w:r>
      <w:r>
        <w:rPr>
          <w:rFonts w:ascii="宋体" w:hAnsi="Calibri"/>
          <w:kern w:val="0"/>
          <w:szCs w:val="21"/>
          <w:highlight w:val="none"/>
        </w:rPr>
        <w:t xml:space="preserve">%的违约金。 </w:t>
      </w:r>
    </w:p>
    <w:p>
      <w:pPr>
        <w:pStyle w:val="Default"/>
        <w:spacing w:line="360" w:lineRule="auto"/>
        <w:rPr>
          <w:rFonts w:ascii="宋体" w:hAnsi="宋体"/>
          <w:b/>
          <w:szCs w:val="28"/>
        </w:rPr>
      </w:pPr>
      <w:r>
        <w:rPr>
          <w:rFonts w:ascii="宋体" w:hAnsi="宋体"/>
          <w:b/>
          <w:szCs w:val="28"/>
        </w:rPr>
        <w:t xml:space="preserve">八、履约保证金 </w:t>
      </w:r>
    </w:p>
    <w:p>
      <w:pPr>
        <w:tabs>
          <w:tab w:val="left" w:pos="1573"/>
        </w:tabs>
        <w:adjustRightInd w:val="0"/>
        <w:snapToGrid w:val="0"/>
        <w:spacing w:line="360" w:lineRule="auto"/>
        <w:ind w:firstLine="420" w:firstLineChars="200"/>
        <w:jc w:val="left"/>
        <w:rPr>
          <w:rFonts w:ascii="宋体" w:hAnsi="Calibri" w:hint="eastAsia"/>
          <w:kern w:val="0"/>
          <w:szCs w:val="21"/>
        </w:rPr>
      </w:pPr>
      <w:r>
        <w:rPr>
          <w:rFonts w:ascii="宋体" w:hAnsi="Calibri" w:hint="eastAsia"/>
          <w:kern w:val="0"/>
          <w:szCs w:val="21"/>
        </w:rPr>
        <w:t>本合同需要履约保证金。</w:t>
      </w:r>
    </w:p>
    <w:p>
      <w:pPr>
        <w:pStyle w:val="Default"/>
        <w:spacing w:line="360" w:lineRule="auto"/>
        <w:rPr>
          <w:rFonts w:ascii="宋体" w:hAnsi="宋体"/>
          <w:b/>
          <w:szCs w:val="28"/>
        </w:rPr>
      </w:pPr>
      <w:r>
        <w:rPr>
          <w:rFonts w:ascii="宋体" w:hAnsi="宋体" w:hint="eastAsia"/>
          <w:b/>
          <w:szCs w:val="28"/>
          <w:lang w:val="en-US" w:eastAsia="zh-CN"/>
        </w:rPr>
        <w:t>九</w:t>
      </w:r>
      <w:r>
        <w:rPr>
          <w:rFonts w:ascii="宋体" w:hAnsi="宋体"/>
          <w:b/>
          <w:szCs w:val="28"/>
        </w:rPr>
        <w:t xml:space="preserve">、履约保证金 </w:t>
      </w:r>
    </w:p>
    <w:p>
      <w:pPr>
        <w:numPr>
          <w:ilvl w:val="0"/>
          <w:numId w:val="0"/>
        </w:numPr>
        <w:tabs>
          <w:tab w:val="left" w:pos="1573"/>
        </w:tabs>
        <w:adjustRightInd w:val="0"/>
        <w:snapToGrid w:val="0"/>
        <w:spacing w:line="360" w:lineRule="auto"/>
        <w:ind w:firstLine="0" w:firstLineChars="0"/>
        <w:jc w:val="left"/>
        <w:rPr>
          <w:rFonts w:ascii="宋体" w:hAnsi="Calibri" w:hint="default"/>
          <w:kern w:val="0"/>
          <w:szCs w:val="21"/>
        </w:rPr>
      </w:pPr>
      <w:r>
        <w:rPr>
          <w:rFonts w:ascii="宋体" w:hAnsi="Calibri" w:hint="eastAsia"/>
          <w:kern w:val="0"/>
          <w:szCs w:val="21"/>
          <w:lang w:val="en-US" w:eastAsia="zh-CN"/>
        </w:rPr>
        <w:t>待正式签订合同时根据实际情况约定。</w:t>
      </w:r>
    </w:p>
    <w:p>
      <w:pPr>
        <w:tabs>
          <w:tab w:val="left" w:pos="1573"/>
        </w:tabs>
        <w:adjustRightInd w:val="0"/>
        <w:snapToGrid w:val="0"/>
        <w:spacing w:line="360" w:lineRule="auto"/>
        <w:ind w:firstLine="420" w:firstLineChars="200"/>
        <w:jc w:val="left"/>
        <w:rPr>
          <w:rFonts w:ascii="宋体" w:hAnsi="Calibri" w:hint="eastAsia"/>
          <w:kern w:val="0"/>
          <w:szCs w:val="21"/>
        </w:rPr>
      </w:pPr>
    </w:p>
    <w:p>
      <w:pPr>
        <w:tabs>
          <w:tab w:val="left" w:pos="1573"/>
        </w:tabs>
        <w:adjustRightInd w:val="0"/>
        <w:snapToGrid w:val="0"/>
        <w:spacing w:line="360" w:lineRule="auto"/>
        <w:ind w:firstLine="420" w:firstLineChars="200"/>
        <w:jc w:val="left"/>
        <w:rPr>
          <w:rFonts w:ascii="宋体" w:hAnsi="Calibri" w:hint="eastAsia"/>
          <w:kern w:val="0"/>
          <w:szCs w:val="21"/>
        </w:rPr>
      </w:pPr>
    </w:p>
    <w:tbl>
      <w:tblPr>
        <w:tblStyle w:val="TableNormal"/>
        <w:tblW w:w="10124" w:type="dxa"/>
        <w:jc w:val="center"/>
        <w:tblCellMar>
          <w:top w:w="0" w:type="dxa"/>
          <w:left w:w="108" w:type="dxa"/>
          <w:bottom w:w="0" w:type="dxa"/>
          <w:right w:w="108" w:type="dxa"/>
        </w:tblCellMar>
        <w:tblLook w:val="0000"/>
      </w:tblPr>
      <w:tblGrid>
        <w:gridCol w:w="1809"/>
        <w:gridCol w:w="3119"/>
        <w:gridCol w:w="1984"/>
        <w:gridCol w:w="3212"/>
      </w:tblGrid>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r>
              <w:rPr>
                <w:rFonts w:ascii="宋体" w:hAnsi="Calibri"/>
                <w:kern w:val="0"/>
                <w:szCs w:val="21"/>
              </w:rPr>
              <w:t>甲方：</w:t>
            </w:r>
          </w:p>
        </w:tc>
        <w:tc>
          <w:tcPr>
            <w:tcW w:w="3119" w:type="dxa"/>
          </w:tcPr>
          <w:p>
            <w:pPr>
              <w:autoSpaceDE w:val="0"/>
              <w:autoSpaceDN w:val="0"/>
              <w:adjustRightInd w:val="0"/>
              <w:jc w:val="left"/>
              <w:rPr>
                <w:rFonts w:ascii="宋体" w:hAnsi="Calibri" w:cs="宋体" w:hint="eastAsia"/>
                <w:color w:val="000000"/>
                <w:kern w:val="0"/>
              </w:rPr>
            </w:pPr>
            <w:r>
              <w:rPr>
                <w:rFonts w:ascii="宋体" w:hAnsi="宋体" w:hint="eastAsia"/>
                <w:szCs w:val="21"/>
                <w:lang w:val="en-US" w:eastAsia="zh-CN"/>
              </w:rPr>
              <w:t>中国气象局公共气象服务</w:t>
            </w:r>
            <w:r>
              <w:rPr>
                <w:rFonts w:ascii="宋体" w:hAnsi="宋体" w:hint="eastAsia"/>
                <w:szCs w:val="21"/>
              </w:rPr>
              <w:t>中心</w:t>
            </w:r>
          </w:p>
        </w:tc>
        <w:tc>
          <w:tcPr>
            <w:tcW w:w="1984" w:type="dxa"/>
          </w:tcPr>
          <w:p>
            <w:pPr>
              <w:autoSpaceDE w:val="0"/>
              <w:autoSpaceDN w:val="0"/>
              <w:adjustRightInd w:val="0"/>
              <w:jc w:val="left"/>
              <w:rPr>
                <w:rFonts w:ascii="宋体" w:hAnsi="Calibri" w:cs="宋体" w:hint="eastAsia"/>
                <w:color w:val="000000"/>
                <w:kern w:val="0"/>
              </w:rPr>
            </w:pPr>
            <w:r>
              <w:rPr>
                <w:rFonts w:ascii="宋体" w:hAnsi="Calibri"/>
                <w:kern w:val="0"/>
                <w:szCs w:val="21"/>
              </w:rPr>
              <w:t>乙方：</w:t>
            </w:r>
          </w:p>
        </w:tc>
        <w:tc>
          <w:tcPr>
            <w:tcW w:w="3212" w:type="dxa"/>
          </w:tcPr>
          <w:p>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中标公司</w:t>
            </w:r>
          </w:p>
        </w:tc>
      </w:tr>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r>
              <w:rPr>
                <w:rFonts w:ascii="宋体" w:hAnsi="Calibri"/>
                <w:kern w:val="0"/>
                <w:szCs w:val="21"/>
              </w:rPr>
              <w:t>单位名称（公章）</w:t>
            </w:r>
          </w:p>
        </w:tc>
        <w:tc>
          <w:tcPr>
            <w:tcW w:w="3119" w:type="dxa"/>
          </w:tcPr>
          <w:p>
            <w:pPr>
              <w:autoSpaceDE w:val="0"/>
              <w:autoSpaceDN w:val="0"/>
              <w:adjustRightInd w:val="0"/>
              <w:jc w:val="left"/>
              <w:rPr>
                <w:rFonts w:ascii="宋体" w:hAnsi="Calibri" w:cs="宋体" w:hint="eastAsia"/>
                <w:color w:val="000000"/>
                <w:kern w:val="0"/>
              </w:rPr>
            </w:pPr>
          </w:p>
        </w:tc>
        <w:tc>
          <w:tcPr>
            <w:tcW w:w="1984" w:type="dxa"/>
          </w:tcPr>
          <w:p>
            <w:pPr>
              <w:autoSpaceDE w:val="0"/>
              <w:autoSpaceDN w:val="0"/>
              <w:adjustRightInd w:val="0"/>
              <w:jc w:val="left"/>
              <w:rPr>
                <w:rFonts w:ascii="宋体" w:hAnsi="Calibri" w:cs="宋体" w:hint="eastAsia"/>
                <w:color w:val="000000"/>
                <w:kern w:val="0"/>
              </w:rPr>
            </w:pPr>
            <w:r>
              <w:rPr>
                <w:rFonts w:ascii="宋体" w:hAnsi="Calibri"/>
                <w:kern w:val="0"/>
                <w:szCs w:val="21"/>
              </w:rPr>
              <w:t>单位名称：（公章）</w:t>
            </w:r>
          </w:p>
        </w:tc>
        <w:tc>
          <w:tcPr>
            <w:tcW w:w="3212" w:type="dxa"/>
          </w:tcPr>
          <w:p>
            <w:pPr>
              <w:autoSpaceDE w:val="0"/>
              <w:autoSpaceDN w:val="0"/>
              <w:adjustRightInd w:val="0"/>
              <w:jc w:val="left"/>
              <w:rPr>
                <w:rFonts w:ascii="宋体" w:hAnsi="Calibri" w:cs="宋体" w:hint="eastAsia"/>
                <w:color w:val="000000"/>
                <w:kern w:val="0"/>
              </w:rPr>
            </w:pPr>
          </w:p>
        </w:tc>
      </w:tr>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r>
              <w:rPr>
                <w:rFonts w:ascii="宋体" w:hAnsi="Calibri"/>
                <w:kern w:val="0"/>
                <w:szCs w:val="21"/>
              </w:rPr>
              <w:t>地址：</w:t>
            </w:r>
          </w:p>
        </w:tc>
        <w:tc>
          <w:tcPr>
            <w:tcW w:w="3119" w:type="dxa"/>
          </w:tcPr>
          <w:p>
            <w:pPr>
              <w:autoSpaceDE w:val="0"/>
              <w:autoSpaceDN w:val="0"/>
              <w:adjustRightInd w:val="0"/>
              <w:jc w:val="left"/>
              <w:rPr>
                <w:rFonts w:ascii="宋体" w:hAnsi="Calibri" w:cs="宋体" w:hint="eastAsia"/>
                <w:color w:val="000000"/>
                <w:kern w:val="0"/>
              </w:rPr>
            </w:pPr>
            <w:r>
              <w:rPr>
                <w:rFonts w:ascii="宋体" w:hAnsi="宋体" w:hint="eastAsia"/>
                <w:szCs w:val="21"/>
              </w:rPr>
              <w:t>北京海淀中关村南大街46号</w:t>
            </w:r>
          </w:p>
        </w:tc>
        <w:tc>
          <w:tcPr>
            <w:tcW w:w="1984" w:type="dxa"/>
          </w:tcPr>
          <w:p>
            <w:pPr>
              <w:autoSpaceDE w:val="0"/>
              <w:autoSpaceDN w:val="0"/>
              <w:adjustRightInd w:val="0"/>
              <w:jc w:val="left"/>
              <w:rPr>
                <w:rFonts w:ascii="宋体" w:hAnsi="Calibri" w:cs="宋体" w:hint="eastAsia"/>
                <w:color w:val="000000"/>
                <w:kern w:val="0"/>
              </w:rPr>
            </w:pPr>
            <w:r>
              <w:rPr>
                <w:rFonts w:ascii="宋体" w:hAnsi="Calibri"/>
                <w:kern w:val="0"/>
                <w:szCs w:val="21"/>
              </w:rPr>
              <w:t>地址：</w:t>
            </w:r>
          </w:p>
        </w:tc>
        <w:tc>
          <w:tcPr>
            <w:tcW w:w="3212" w:type="dxa"/>
          </w:tcPr>
          <w:p>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 xml:space="preserve"> </w:t>
            </w:r>
          </w:p>
        </w:tc>
      </w:tr>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r>
              <w:rPr>
                <w:rFonts w:ascii="宋体" w:hAnsi="Calibri"/>
                <w:kern w:val="0"/>
                <w:szCs w:val="21"/>
              </w:rPr>
              <w:t>电话：</w:t>
            </w:r>
          </w:p>
        </w:tc>
        <w:tc>
          <w:tcPr>
            <w:tcW w:w="3119" w:type="dxa"/>
          </w:tcPr>
          <w:p>
            <w:pPr>
              <w:autoSpaceDE w:val="0"/>
              <w:autoSpaceDN w:val="0"/>
              <w:adjustRightInd w:val="0"/>
              <w:jc w:val="left"/>
              <w:rPr>
                <w:rFonts w:ascii="宋体" w:hAnsi="Calibri" w:cs="宋体" w:hint="eastAsia"/>
                <w:color w:val="000000"/>
                <w:kern w:val="0"/>
              </w:rPr>
            </w:pPr>
          </w:p>
        </w:tc>
        <w:tc>
          <w:tcPr>
            <w:tcW w:w="1984" w:type="dxa"/>
          </w:tcPr>
          <w:p>
            <w:pPr>
              <w:autoSpaceDE w:val="0"/>
              <w:autoSpaceDN w:val="0"/>
              <w:adjustRightInd w:val="0"/>
              <w:jc w:val="left"/>
              <w:rPr>
                <w:rFonts w:ascii="宋体" w:hAnsi="Calibri" w:cs="宋体" w:hint="eastAsia"/>
                <w:color w:val="000000"/>
                <w:kern w:val="0"/>
              </w:rPr>
            </w:pPr>
            <w:r>
              <w:rPr>
                <w:rFonts w:ascii="宋体" w:hAnsi="Calibri"/>
                <w:kern w:val="0"/>
                <w:szCs w:val="21"/>
              </w:rPr>
              <w:t>电话：</w:t>
            </w:r>
          </w:p>
        </w:tc>
        <w:tc>
          <w:tcPr>
            <w:tcW w:w="3212" w:type="dxa"/>
          </w:tcPr>
          <w:p>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 xml:space="preserve"> </w:t>
            </w:r>
          </w:p>
        </w:tc>
      </w:tr>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r>
              <w:rPr>
                <w:rFonts w:ascii="宋体" w:hAnsi="Calibri"/>
                <w:kern w:val="0"/>
                <w:szCs w:val="21"/>
              </w:rPr>
              <w:t>传真：</w:t>
            </w:r>
          </w:p>
        </w:tc>
        <w:tc>
          <w:tcPr>
            <w:tcW w:w="3119" w:type="dxa"/>
          </w:tcPr>
          <w:p>
            <w:pPr>
              <w:autoSpaceDE w:val="0"/>
              <w:autoSpaceDN w:val="0"/>
              <w:adjustRightInd w:val="0"/>
              <w:jc w:val="left"/>
              <w:rPr>
                <w:rFonts w:ascii="宋体" w:hAnsi="Calibri" w:cs="宋体" w:hint="eastAsia"/>
                <w:color w:val="000000"/>
                <w:kern w:val="0"/>
              </w:rPr>
            </w:pPr>
          </w:p>
        </w:tc>
        <w:tc>
          <w:tcPr>
            <w:tcW w:w="1984" w:type="dxa"/>
          </w:tcPr>
          <w:p>
            <w:pPr>
              <w:autoSpaceDE w:val="0"/>
              <w:autoSpaceDN w:val="0"/>
              <w:adjustRightInd w:val="0"/>
              <w:jc w:val="left"/>
              <w:rPr>
                <w:rFonts w:ascii="宋体" w:hAnsi="Calibri" w:cs="宋体" w:hint="eastAsia"/>
                <w:color w:val="000000"/>
                <w:kern w:val="0"/>
              </w:rPr>
            </w:pPr>
            <w:r>
              <w:rPr>
                <w:rFonts w:ascii="宋体" w:hAnsi="Calibri"/>
                <w:kern w:val="0"/>
                <w:szCs w:val="21"/>
              </w:rPr>
              <w:t>传真：</w:t>
            </w:r>
          </w:p>
        </w:tc>
        <w:tc>
          <w:tcPr>
            <w:tcW w:w="3212" w:type="dxa"/>
          </w:tcPr>
          <w:p>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 xml:space="preserve"> </w:t>
            </w:r>
          </w:p>
        </w:tc>
      </w:tr>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p>
        </w:tc>
        <w:tc>
          <w:tcPr>
            <w:tcW w:w="3119" w:type="dxa"/>
          </w:tcPr>
          <w:p>
            <w:pPr>
              <w:autoSpaceDE w:val="0"/>
              <w:autoSpaceDN w:val="0"/>
              <w:adjustRightInd w:val="0"/>
              <w:jc w:val="left"/>
              <w:rPr>
                <w:rFonts w:ascii="宋体" w:hAnsi="Calibri" w:cs="宋体" w:hint="eastAsia"/>
                <w:color w:val="000000"/>
                <w:kern w:val="0"/>
              </w:rPr>
            </w:pPr>
          </w:p>
        </w:tc>
        <w:tc>
          <w:tcPr>
            <w:tcW w:w="1984" w:type="dxa"/>
          </w:tcPr>
          <w:p>
            <w:pPr>
              <w:autoSpaceDE w:val="0"/>
              <w:autoSpaceDN w:val="0"/>
              <w:adjustRightInd w:val="0"/>
              <w:jc w:val="left"/>
              <w:rPr>
                <w:rFonts w:ascii="宋体" w:hAnsi="Calibri" w:hint="eastAsia"/>
                <w:kern w:val="0"/>
                <w:szCs w:val="21"/>
              </w:rPr>
            </w:pPr>
            <w:r>
              <w:rPr>
                <w:rFonts w:ascii="宋体" w:hAnsi="Calibri"/>
                <w:kern w:val="0"/>
                <w:szCs w:val="21"/>
              </w:rPr>
              <w:t>开户银行及帐号：</w:t>
            </w:r>
          </w:p>
          <w:p>
            <w:pPr>
              <w:autoSpaceDE w:val="0"/>
              <w:autoSpaceDN w:val="0"/>
              <w:adjustRightInd w:val="0"/>
              <w:jc w:val="left"/>
              <w:rPr>
                <w:rFonts w:ascii="宋体" w:hAnsi="Calibri" w:cs="宋体" w:hint="eastAsia"/>
                <w:color w:val="000000"/>
                <w:kern w:val="0"/>
              </w:rPr>
            </w:pPr>
          </w:p>
        </w:tc>
        <w:tc>
          <w:tcPr>
            <w:tcW w:w="3212" w:type="dxa"/>
          </w:tcPr>
          <w:p>
            <w:pPr>
              <w:autoSpaceDE w:val="0"/>
              <w:autoSpaceDN w:val="0"/>
              <w:adjustRightInd w:val="0"/>
              <w:ind w:firstLine="315" w:firstLineChars="150"/>
              <w:jc w:val="left"/>
              <w:rPr>
                <w:rFonts w:ascii="宋体" w:hAnsi="Calibri" w:cs="宋体" w:hint="eastAsia"/>
                <w:color w:val="000000"/>
                <w:kern w:val="0"/>
              </w:rPr>
            </w:pPr>
            <w:r>
              <w:rPr>
                <w:rFonts w:ascii="楷体_GB2312" w:eastAsia="楷体_GB2312" w:hint="eastAsia"/>
                <w:szCs w:val="21"/>
              </w:rPr>
              <w:t xml:space="preserve"> </w:t>
            </w:r>
          </w:p>
        </w:tc>
      </w:tr>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r>
              <w:rPr>
                <w:rFonts w:ascii="宋体" w:hAnsi="Calibri"/>
                <w:kern w:val="0"/>
                <w:szCs w:val="21"/>
              </w:rPr>
              <w:t>法定代表人：</w:t>
            </w:r>
          </w:p>
        </w:tc>
        <w:tc>
          <w:tcPr>
            <w:tcW w:w="3119" w:type="dxa"/>
          </w:tcPr>
          <w:p>
            <w:pPr>
              <w:autoSpaceDE w:val="0"/>
              <w:autoSpaceDN w:val="0"/>
              <w:adjustRightInd w:val="0"/>
              <w:jc w:val="left"/>
              <w:rPr>
                <w:rFonts w:ascii="宋体" w:hAnsi="Calibri" w:cs="宋体" w:hint="eastAsia"/>
                <w:color w:val="000000"/>
                <w:kern w:val="0"/>
              </w:rPr>
            </w:pPr>
            <w:r>
              <w:rPr>
                <w:rFonts w:ascii="宋体" w:hAnsi="Calibri" w:cs="宋体" w:hint="eastAsia"/>
                <w:color w:val="000000"/>
                <w:kern w:val="0"/>
                <w:sz w:val="24"/>
                <w:szCs w:val="24"/>
              </w:rPr>
              <w:t xml:space="preserve"> </w:t>
            </w:r>
          </w:p>
        </w:tc>
        <w:tc>
          <w:tcPr>
            <w:tcW w:w="1984" w:type="dxa"/>
          </w:tcPr>
          <w:p>
            <w:pPr>
              <w:autoSpaceDE w:val="0"/>
              <w:autoSpaceDN w:val="0"/>
              <w:adjustRightInd w:val="0"/>
              <w:jc w:val="left"/>
              <w:rPr>
                <w:rFonts w:ascii="宋体" w:hAnsi="Calibri" w:cs="宋体" w:hint="eastAsia"/>
                <w:color w:val="000000"/>
                <w:kern w:val="0"/>
              </w:rPr>
            </w:pPr>
            <w:r>
              <w:rPr>
                <w:rFonts w:ascii="宋体" w:hAnsi="Calibri"/>
                <w:kern w:val="0"/>
                <w:szCs w:val="21"/>
              </w:rPr>
              <w:t>法定代表人：</w:t>
            </w:r>
          </w:p>
        </w:tc>
        <w:tc>
          <w:tcPr>
            <w:tcW w:w="3212" w:type="dxa"/>
          </w:tcPr>
          <w:p>
            <w:pPr>
              <w:autoSpaceDE w:val="0"/>
              <w:autoSpaceDN w:val="0"/>
              <w:adjustRightInd w:val="0"/>
              <w:jc w:val="left"/>
              <w:rPr>
                <w:rFonts w:ascii="宋体" w:hAnsi="Calibri" w:cs="宋体" w:hint="eastAsia"/>
                <w:color w:val="000000"/>
                <w:kern w:val="0"/>
              </w:rPr>
            </w:pPr>
          </w:p>
        </w:tc>
      </w:tr>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r>
              <w:rPr>
                <w:rFonts w:ascii="宋体" w:hAnsi="Calibri"/>
                <w:kern w:val="0"/>
                <w:szCs w:val="21"/>
              </w:rPr>
              <w:t>授权代表：</w:t>
            </w:r>
          </w:p>
        </w:tc>
        <w:tc>
          <w:tcPr>
            <w:tcW w:w="3119" w:type="dxa"/>
          </w:tcPr>
          <w:p>
            <w:pPr>
              <w:autoSpaceDE w:val="0"/>
              <w:autoSpaceDN w:val="0"/>
              <w:adjustRightInd w:val="0"/>
              <w:jc w:val="left"/>
              <w:rPr>
                <w:rFonts w:ascii="宋体" w:hAnsi="Calibri" w:cs="宋体" w:hint="eastAsia"/>
                <w:color w:val="000000"/>
                <w:kern w:val="0"/>
              </w:rPr>
            </w:pPr>
          </w:p>
        </w:tc>
        <w:tc>
          <w:tcPr>
            <w:tcW w:w="1984" w:type="dxa"/>
          </w:tcPr>
          <w:p>
            <w:pPr>
              <w:autoSpaceDE w:val="0"/>
              <w:autoSpaceDN w:val="0"/>
              <w:adjustRightInd w:val="0"/>
              <w:jc w:val="left"/>
              <w:rPr>
                <w:rFonts w:ascii="宋体" w:hAnsi="Calibri" w:cs="宋体" w:hint="eastAsia"/>
                <w:color w:val="000000"/>
                <w:kern w:val="0"/>
              </w:rPr>
            </w:pPr>
            <w:r>
              <w:rPr>
                <w:rFonts w:ascii="宋体" w:hAnsi="Calibri"/>
                <w:kern w:val="0"/>
                <w:szCs w:val="21"/>
              </w:rPr>
              <w:t>授权代表：</w:t>
            </w:r>
          </w:p>
        </w:tc>
        <w:tc>
          <w:tcPr>
            <w:tcW w:w="3212" w:type="dxa"/>
          </w:tcPr>
          <w:p>
            <w:pPr>
              <w:autoSpaceDE w:val="0"/>
              <w:autoSpaceDN w:val="0"/>
              <w:adjustRightInd w:val="0"/>
              <w:jc w:val="left"/>
              <w:rPr>
                <w:rFonts w:ascii="宋体" w:hAnsi="Calibri" w:cs="宋体" w:hint="eastAsia"/>
                <w:color w:val="000000"/>
                <w:kern w:val="0"/>
              </w:rPr>
            </w:pPr>
          </w:p>
        </w:tc>
      </w:tr>
      <w:tr>
        <w:tblPrEx>
          <w:tblW w:w="10124" w:type="dxa"/>
          <w:jc w:val="center"/>
          <w:tblCellMar>
            <w:top w:w="0" w:type="dxa"/>
            <w:left w:w="108" w:type="dxa"/>
            <w:bottom w:w="0" w:type="dxa"/>
            <w:right w:w="108" w:type="dxa"/>
          </w:tblCellMar>
          <w:tblLook w:val="0000"/>
        </w:tblPrEx>
        <w:trPr>
          <w:jc w:val="center"/>
        </w:trPr>
        <w:tc>
          <w:tcPr>
            <w:tcW w:w="1809" w:type="dxa"/>
          </w:tcPr>
          <w:p>
            <w:pPr>
              <w:autoSpaceDE w:val="0"/>
              <w:autoSpaceDN w:val="0"/>
              <w:adjustRightInd w:val="0"/>
              <w:jc w:val="left"/>
              <w:rPr>
                <w:rFonts w:ascii="宋体" w:hAnsi="Calibri" w:cs="宋体" w:hint="eastAsia"/>
                <w:color w:val="000000"/>
                <w:kern w:val="0"/>
              </w:rPr>
            </w:pPr>
            <w:r>
              <w:rPr>
                <w:rFonts w:ascii="宋体" w:hAnsi="Calibri"/>
                <w:kern w:val="0"/>
                <w:szCs w:val="21"/>
              </w:rPr>
              <w:t>签约日期：</w:t>
            </w:r>
          </w:p>
        </w:tc>
        <w:tc>
          <w:tcPr>
            <w:tcW w:w="3119" w:type="dxa"/>
          </w:tcPr>
          <w:p>
            <w:pPr>
              <w:autoSpaceDE w:val="0"/>
              <w:autoSpaceDN w:val="0"/>
              <w:adjustRightInd w:val="0"/>
              <w:jc w:val="left"/>
              <w:rPr>
                <w:rFonts w:ascii="宋体" w:hAnsi="Calibri" w:cs="宋体" w:hint="eastAsia"/>
                <w:color w:val="000000"/>
                <w:kern w:val="0"/>
              </w:rPr>
            </w:pPr>
          </w:p>
        </w:tc>
        <w:tc>
          <w:tcPr>
            <w:tcW w:w="1984" w:type="dxa"/>
          </w:tcPr>
          <w:p>
            <w:pPr>
              <w:autoSpaceDE w:val="0"/>
              <w:autoSpaceDN w:val="0"/>
              <w:adjustRightInd w:val="0"/>
              <w:jc w:val="left"/>
              <w:rPr>
                <w:rFonts w:ascii="宋体" w:hAnsi="Calibri" w:cs="宋体" w:hint="eastAsia"/>
                <w:color w:val="000000"/>
                <w:kern w:val="0"/>
              </w:rPr>
            </w:pPr>
            <w:r>
              <w:rPr>
                <w:rFonts w:ascii="宋体" w:hAnsi="Calibri"/>
                <w:kern w:val="0"/>
                <w:szCs w:val="21"/>
              </w:rPr>
              <w:t>签约日期：</w:t>
            </w:r>
          </w:p>
        </w:tc>
        <w:tc>
          <w:tcPr>
            <w:tcW w:w="3212" w:type="dxa"/>
          </w:tcPr>
          <w:p>
            <w:pPr>
              <w:autoSpaceDE w:val="0"/>
              <w:autoSpaceDN w:val="0"/>
              <w:adjustRightInd w:val="0"/>
              <w:jc w:val="left"/>
              <w:rPr>
                <w:rFonts w:ascii="宋体" w:hAnsi="Calibri" w:cs="宋体" w:hint="eastAsia"/>
                <w:color w:val="000000"/>
                <w:kern w:val="0"/>
              </w:rPr>
            </w:pPr>
          </w:p>
        </w:tc>
      </w:tr>
    </w:tbl>
    <w:p>
      <w:pPr>
        <w:autoSpaceDE w:val="0"/>
        <w:autoSpaceDN w:val="0"/>
        <w:adjustRightInd w:val="0"/>
        <w:jc w:val="left"/>
        <w:rPr>
          <w:rFonts w:ascii="宋体" w:hAnsi="Calibri" w:cs="宋体" w:hint="eastAsia"/>
          <w:color w:val="000000"/>
          <w:kern w:val="0"/>
        </w:rPr>
      </w:pPr>
    </w:p>
    <w:p>
      <w:pPr>
        <w:autoSpaceDE w:val="0"/>
        <w:autoSpaceDN w:val="0"/>
        <w:adjustRightInd w:val="0"/>
        <w:jc w:val="left"/>
        <w:rPr>
          <w:rFonts w:ascii="宋体" w:hAnsi="Calibri" w:cs="宋体" w:hint="eastAsia"/>
          <w:color w:val="000000"/>
          <w:kern w:val="0"/>
        </w:rPr>
      </w:pPr>
    </w:p>
    <w:p>
      <w:pPr>
        <w:snapToGrid w:val="0"/>
        <w:spacing w:line="360" w:lineRule="auto"/>
        <w:jc w:val="center"/>
        <w:outlineLvl w:val="2"/>
        <w:rPr>
          <w:rFonts w:hint="eastAsia"/>
          <w:b/>
          <w:sz w:val="28"/>
          <w:szCs w:val="28"/>
        </w:rPr>
      </w:pPr>
      <w:r>
        <w:rPr>
          <w:rFonts w:hint="eastAsia"/>
          <w:b/>
          <w:sz w:val="28"/>
          <w:szCs w:val="28"/>
        </w:rPr>
        <w:t xml:space="preserve"> </w:t>
      </w:r>
    </w:p>
    <w:p w:rsidR="00A77B3E"/>
    <w:p>
      <w:pPr>
        <w:snapToGrid w:val="0"/>
        <w:spacing w:line="360" w:lineRule="auto"/>
        <w:rPr>
          <w:rFonts w:hint="eastAsia"/>
          <w:b/>
          <w:bCs/>
          <w:sz w:val="30"/>
          <w:szCs w:val="30"/>
        </w:rPr>
      </w:pPr>
      <w:bookmarkEnd w:id="229"/>
    </w:p>
    <w:p>
      <w:pPr>
        <w:rPr>
          <w:rFonts w:ascii="Calibri" w:hAnsi="Calibri"/>
          <w:szCs w:val="22"/>
          <w:highlight w:val="none"/>
        </w:rPr>
      </w:pPr>
    </w:p>
    <w:p>
      <w:pPr>
        <w:spacing w:line="360" w:lineRule="auto"/>
        <w:jc w:val="left"/>
        <w:rPr>
          <w:b/>
          <w:bCs/>
          <w:sz w:val="44"/>
          <w:szCs w:val="44"/>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Light">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New York">
    <w:altName w:val="DejaVu Math TeX Gyre"/>
    <w:panose1 w:val="02040503060506020304"/>
    <w:charset w:val="00"/>
    <w:family w:val="roman"/>
    <w:pitch w:val="default"/>
    <w:sig w:usb0="00000003" w:usb1="00000000" w:usb2="00000000" w:usb3="00000000" w:csb0="00000001" w:csb1="00000000"/>
  </w:font>
  <w:font w:name="楷体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
    <w:altName w:val="宋体"/>
    <w:panose1 w:val="00000000000000000000"/>
    <w:charset w:val="86"/>
    <w:family w:val="auto"/>
    <w:pitch w:val="default"/>
    <w:sig w:usb0="00000001" w:usb1="080E0000" w:usb2="00000010" w:usb3="00000000" w:csb0="00040000" w:csb1="00000000"/>
  </w:font>
  <w:font w:name="Arial Unicode MS">
    <w:altName w:val="宋体"/>
    <w:panose1 w:val="020B0604020202020204"/>
    <w:charset w:val="86"/>
    <w:family w:val="swiss"/>
    <w:pitch w:val="default"/>
    <w:sig w:usb0="F7FFAFFF" w:usb1="E9DFFFFF" w:usb2="0000003F" w:usb3="00000000" w:csb0="003F01FF" w:csb1="00000000"/>
  </w:font>
  <w:font w:name="方正黑体简体">
    <w:altName w:val="微软雅黑"/>
    <w:panose1 w:val="00000000000000000000"/>
    <w:charset w:val="86"/>
    <w:family w:val="auto"/>
    <w:pitch w:val="default"/>
    <w:sig w:usb0="00000000"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E46D10C"/>
    <w:multiLevelType w:val="singleLevel"/>
    <w:tmpl w:val="8E46D10C"/>
    <w:lvl w:ilvl="0">
      <w:start w:val="1"/>
      <w:numFmt w:val="bullet"/>
      <w:lvlText w:val=""/>
      <w:lvlJc w:val="left"/>
      <w:pPr>
        <w:ind w:left="420" w:hanging="420"/>
      </w:pPr>
      <w:rPr>
        <w:rFonts w:ascii="Wingdings" w:hAnsi="Wingdings" w:hint="default"/>
      </w:rPr>
    </w:lvl>
  </w:abstractNum>
  <w:abstractNum w:abstractNumId="1">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0ED354E"/>
    <w:multiLevelType w:val="multilevel"/>
    <w:tmpl w:val="00ED354E"/>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4">
    <w:nsid w:val="05C16563"/>
    <w:multiLevelType w:val="multilevel"/>
    <w:tmpl w:val="05C16563"/>
    <w:lvl w:ilvl="0">
      <w:start w:val="1"/>
      <w:numFmt w:val="decimal"/>
      <w:pStyle w:val="Heading1"/>
      <w:lvlText w:val="%1"/>
      <w:lvlJc w:val="left"/>
      <w:pPr>
        <w:ind w:left="432" w:hanging="432"/>
      </w:pPr>
      <w:rPr>
        <w:rFonts w:ascii="Times New Roman" w:hAnsi="Times New Roman" w:cs="Times New Roman" w:hint="default"/>
        <w:color w:val="auto"/>
      </w:r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720" w:hanging="720"/>
      </w:pPr>
      <w:rPr>
        <w:lang w:eastAsia="zh-CN"/>
      </w:rPr>
    </w:lvl>
    <w:lvl w:ilvl="3">
      <w:start w:val="1"/>
      <w:numFmt w:val="decimal"/>
      <w:lvlText w:val="%1.%2.%3.%4"/>
      <w:lvlJc w:val="left"/>
      <w:pPr>
        <w:ind w:left="1148" w:hanging="864"/>
      </w:pPr>
      <w:rPr>
        <w:rFonts w:ascii="Times New Roman" w:hAnsi="Times New Roman" w:cs="Times New Roman" w:hint="default"/>
        <w:lang w:val="en-US"/>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2547309"/>
    <w:multiLevelType w:val="multilevel"/>
    <w:tmpl w:val="62547309"/>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num w:numId="1">
    <w:abstractNumId w:val="2"/>
  </w:num>
  <w:num w:numId="2">
    <w:abstractNumId w:val="1"/>
  </w:num>
  <w:num w:numId="3">
    <w:abstractNumId w:val="5"/>
  </w:num>
  <w:num w:numId="4">
    <w:abstractNumId w:val="4"/>
  </w:num>
  <w:num w:numId="5">
    <w:abstractNumId w:val="8"/>
  </w:num>
  <w:num w:numId="6">
    <w:abstractNumId w:val="0"/>
  </w:num>
  <w:num w:numId="7">
    <w:abstractNumId w:val="3"/>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1AC"/>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3">
    <w:name w:val="标题3"/>
    <w:basedOn w:val="Normal"/>
    <w:qFormat/>
    <w:pPr>
      <w:autoSpaceDE w:val="0"/>
      <w:autoSpaceDN w:val="0"/>
      <w:adjustRightInd w:val="0"/>
      <w:jc w:val="left"/>
      <w:outlineLvl w:val="2"/>
    </w:pPr>
    <w:rPr>
      <w:rFonts w:ascii="等线 Light" w:eastAsia="黑体" w:hAnsi="等线 Light" w:cstheme="minorBidi"/>
      <w:b/>
      <w:kern w:val="0"/>
      <w:szCs w:val="28"/>
    </w:rPr>
  </w:style>
  <w:style w:type="paragraph" w:styleId="Caption">
    <w:name w:val="caption"/>
    <w:basedOn w:val="Normal"/>
    <w:next w:val="Normal"/>
    <w:uiPriority w:val="35"/>
    <w:qFormat/>
    <w:pPr>
      <w:jc w:val="center"/>
    </w:pPr>
    <w:rPr>
      <w:rFonts w:eastAsiaTheme="minorEastAsia" w:cs="Arial"/>
      <w:szCs w:val="24"/>
    </w:rPr>
  </w:style>
  <w:style w:type="table" w:styleId="TableGrid">
    <w:name w:val="Table Grid"/>
    <w:basedOn w:val="TableNormal"/>
    <w:uiPriority w:val="59"/>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FirstIndent">
    <w:name w:val="Body Text First Indent"/>
    <w:basedOn w:val="BodyText"/>
    <w:qFormat/>
    <w:pPr>
      <w:widowControl w:val="0"/>
      <w:spacing w:before="100" w:beforeAutospacing="1" w:after="100" w:afterAutospacing="1" w:line="300" w:lineRule="auto"/>
      <w:ind w:firstLine="200" w:firstLineChars="200"/>
      <w:jc w:val="both"/>
    </w:pPr>
    <w:rPr>
      <w:rFonts w:ascii="Times New Roman" w:hAnsi="Times New Roman" w:eastAsiaTheme="minorEastAsia"/>
      <w:color w:val="auto"/>
      <w:kern w:val="0"/>
      <w:szCs w:val="24"/>
      <w:lang w:val="en-US"/>
    </w:rPr>
  </w:style>
  <w:style w:type="paragraph" w:customStyle="1" w:styleId="B">
    <w:name w:val="B表头样式"/>
    <w:next w:val="Normal"/>
    <w:qFormat/>
    <w:pPr>
      <w:jc w:val="center"/>
    </w:pPr>
    <w:rPr>
      <w:rFonts w:ascii="Calibri" w:eastAsia="黑体" w:hAnsi="Calibri" w:cs="Calibri"/>
      <w:b/>
      <w:kern w:val="2"/>
      <w:sz w:val="21"/>
      <w:szCs w:val="21"/>
      <w:lang w:eastAsia="zh-CN"/>
    </w:rPr>
  </w:style>
  <w:style w:type="paragraph" w:customStyle="1" w:styleId="20">
    <w:name w:val="正文字缩2字"/>
    <w:basedOn w:val="Normal"/>
    <w:link w:val="2Char"/>
    <w:pPr>
      <w:spacing w:before="60" w:after="60" w:line="360" w:lineRule="auto"/>
      <w:ind w:left="200" w:firstLine="200" w:leftChars="200" w:firstLineChars="200"/>
    </w:pPr>
    <w:rPr>
      <w:sz w:val="24"/>
      <w:szCs w:val="24"/>
    </w:rPr>
  </w:style>
  <w:style w:type="character" w:customStyle="1" w:styleId="2Char">
    <w:name w:val="正文字缩2字 Char"/>
    <w:link w:val="20"/>
    <w:rPr>
      <w:kern w:val="2"/>
      <w:sz w:val="24"/>
      <w:szCs w:val="24"/>
    </w:rPr>
  </w:style>
  <w:style w:type="paragraph" w:styleId="NormalIndent">
    <w:name w:val="Normal Indent"/>
    <w:basedOn w:val="Normal"/>
    <w:link w:val="Char12"/>
    <w:pPr>
      <w:ind w:firstLine="420" w:firstLineChars="200"/>
    </w:pPr>
    <w:rPr>
      <w:szCs w:val="24"/>
    </w:rPr>
  </w:style>
  <w:style w:type="character" w:customStyle="1" w:styleId="Char12">
    <w:name w:val="正文缩进 Char"/>
    <w:link w:val="NormalIndent"/>
    <w:rPr>
      <w:kern w:val="2"/>
      <w:sz w:val="21"/>
      <w:szCs w:val="24"/>
    </w:rPr>
  </w:style>
  <w:style w:type="character" w:styleId="Strong">
    <w:name w:val="Strong"/>
    <w:uiPriority w:val="22"/>
    <w:qFormat/>
    <w:rPr>
      <w:rFonts w:cs="Times New Roman"/>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