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中国金融气象指数与服务网站升级</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ZQCD-25393</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国家气象信息中心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中国金融气象指数与服务网站升级</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ZQCD-25393</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服务时段为合同签订后1年</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2025年11月10日 00:00:00</w:t>
      </w:r>
      <w:bookmarkEnd w:id="27"/>
      <w:r>
        <w:rPr>
          <w:rFonts w:ascii="宋体" w:hint="eastAsia"/>
          <w:szCs w:val="21"/>
          <w:highlight w:val="none"/>
        </w:rPr>
        <w:t>至</w:t>
      </w:r>
      <w:bookmarkStart w:id="28" w:name="项目公告_signUpLastTime"/>
      <w:r>
        <w:rPr>
          <w:rFonts w:ascii="宋体" w:hint="eastAsia"/>
          <w:szCs w:val="21"/>
          <w:highlight w:val="none"/>
        </w:rPr>
        <w:t>2025年11月17日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2025年12月01日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陈小超</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010-68406136</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国家气象信息中心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许艳</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010-58995737</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北京市海淀区中关村南大街46号气候变化新大楼</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国家气象信息中心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6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6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    ，属于 软件和信息技术服务业 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是，代理服务费：4.0万元。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406.290000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406.290000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(12)</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(2)</w:t>
            </w:r>
          </w:p>
        </w:tc>
        <w:tc>
          <w:tcPr/>
          <w:p>
            <w:r>
              <w:t>评审标准：</w:t>
            </w:r>
          </w:p>
          <w:p>
            <w:r>
              <w:t>1、投标人具有 ISO9000系列或GJB9001B质量管理体系认证；</w:t>
              <w:cr/>
              <w:t>2、投标人具有ISO20000信息技术服务管理体系认证；</w:t>
              <w:cr/>
              <w:t>3、投标人具有ISO27001信息安全管理体系认证；</w:t>
              <w:cr/>
              <w:t>4、知识产权管理体系认证；</w:t>
              <w:cr/>
              <w:t>以上每有一个证书得0.5分，满分2分。否则不得分。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(10)</w:t>
            </w:r>
          </w:p>
        </w:tc>
        <w:tc>
          <w:tcPr/>
          <w:p>
            <w:r>
              <w:t>评审标准：</w:t>
            </w:r>
          </w:p>
          <w:p>
            <w:r>
              <w:t>每提供1份合同得2分，最多得10分。否则不得分。</w:t>
            </w:r>
          </w:p>
          <w:p>
            <w:r>
              <w:t>评审标准说明：</w:t>
            </w:r>
          </w:p>
          <w:p>
            <w:r>
              <w:t>1、需提供投标人的与本项目类似的软件开发合同（必须包括合同首页、金额页、标的页、签字盖章页）复印件并加盖投标人公章。</w:t>
              <w:cr/>
              <w:t>2、合同签署日期为投标截止日前三年内。如合同无签署日期无效。</w:t>
              <w:cr/>
              <w:t>3、合同标的必须包括与本项目类似的软件开发。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投标人实力（客观分）</w:t>
            </w:r>
          </w:p>
        </w:tc>
        <w:tc>
          <w:tcPr/>
          <w:p>
            <w:r>
              <w:t>勾选打分</w:t>
            </w:r>
            <w:r>
              <w:t>(10)</w:t>
            </w:r>
          </w:p>
        </w:tc>
        <w:tc>
          <w:tcPr/>
          <w:p>
            <w:r>
              <w:t>评审标准：</w:t>
            </w:r>
          </w:p>
          <w:p>
            <w:r>
              <w:t>每提供1份软件著作权证书得2分，最多得 10分。</w:t>
            </w:r>
          </w:p>
          <w:p>
            <w:r>
              <w:t>评审标准说明：</w:t>
            </w:r>
          </w:p>
          <w:p>
            <w:r>
              <w:t>投标人提供原始取得的软件著作权证书，并加盖投标人公章。</w:t>
            </w:r>
          </w:p>
          <w:p/>
        </w:tc>
      </w:tr>
      <w:tr>
        <w:tblPrEx>
          <w:tblW w:w="5000" w:type="pct"/>
          <w:tblCellMar>
            <w:left w:w="108" w:type="dxa"/>
            <w:right w:w="108" w:type="dxa"/>
          </w:tblCellMar>
        </w:tblPrEx>
        <w:tc>
          <w:tcPr/>
          <w:p>
            <w:r>
              <w:t>5</w:t>
            </w:r>
          </w:p>
        </w:tc>
        <w:tc>
          <w:tcPr>
            <w:vMerge w:val="restart"/>
          </w:tcPr>
          <w:p>
            <w:r>
              <w:t>服务部分</w:t>
            </w:r>
          </w:p>
        </w:tc>
        <w:tc>
          <w:tcPr/>
          <w:p>
            <w:r>
              <w:t>服务团队（客观分）</w:t>
            </w:r>
          </w:p>
        </w:tc>
        <w:tc>
          <w:tcPr/>
          <w:p>
            <w:r>
              <w:t>区间打分</w:t>
            </w:r>
            <w:r>
              <w:t>(15)</w:t>
            </w:r>
          </w:p>
        </w:tc>
        <w:tc>
          <w:tcPr/>
          <w:p>
            <w:r>
              <w:t>评审标准：</w:t>
            </w:r>
          </w:p>
          <w:p>
            <w:r>
              <w:t>投标人应组成本项目开发服务团队，团队组织结构清晰。具体如下：</w:t>
              <w:cr/>
              <w:t>1、项目经理具备相关专业（包括气象、计算机、地理信息等相关专业）高级及以上职称，并且具有3年及以上同类项目开发经验的，得3分。</w:t>
              <w:cr/>
              <w:t>2、拟派本项目团队成员中有计算机、地理信息系统等相关专业高级或以上技术职称的，每有一人得1分；有计算机、地理信息系统等相关专业中级技术职称的，每有一人得0.5分。本项最高得6分。</w:t>
              <w:cr/>
              <w:t>3、承诺组成项目组成员数量达到6人得1分，在此基础上，每增加1人加1分，本项满分3分。</w:t>
              <w:cr/>
              <w:t>4、承诺驻场人员在6人以上得3分，否则不得分。</w:t>
            </w:r>
          </w:p>
          <w:p>
            <w:r>
              <w:t>评审标准说明：</w:t>
            </w:r>
          </w:p>
          <w:p>
            <w:r>
              <w:t>须提供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6</w:t>
            </w:r>
          </w:p>
        </w:tc>
        <w:tc>
          <w:tcPr>
            <w:vMerge/>
          </w:tcPr>
          <w:p>
            <w:r>
              <w:t>服务部分</w:t>
            </w:r>
          </w:p>
        </w:tc>
        <w:tc>
          <w:tcPr/>
          <w:p>
            <w:r>
              <w:t>质保期内需求变更（客观分）</w:t>
            </w:r>
          </w:p>
        </w:tc>
        <w:tc>
          <w:tcPr/>
          <w:p>
            <w:r>
              <w:t>勾选打分</w:t>
            </w:r>
            <w:r>
              <w:t>(6)</w:t>
            </w:r>
          </w:p>
        </w:tc>
        <w:tc>
          <w:tcPr/>
          <w:p>
            <w:r>
              <w:t>评审标准：</w:t>
            </w:r>
          </w:p>
          <w:p>
            <w:r>
              <w:t>提供书面承诺得6分。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7</w:t>
            </w:r>
          </w:p>
        </w:tc>
        <w:tc>
          <w:tcPr>
            <w:vMerge/>
          </w:tcPr>
          <w:p>
            <w:r>
              <w:t>服务部分</w:t>
            </w:r>
          </w:p>
        </w:tc>
        <w:tc>
          <w:tcPr/>
          <w:p>
            <w:r>
              <w:t>培训方案（主观分）</w:t>
            </w:r>
          </w:p>
        </w:tc>
        <w:tc>
          <w:tcPr/>
          <w:p>
            <w:r>
              <w:t>勾选打分</w:t>
            </w:r>
            <w:r>
              <w:t>(1)</w:t>
            </w:r>
          </w:p>
        </w:tc>
        <w:tc>
          <w:tcPr/>
          <w:p>
            <w:r>
              <w:t>评审标准：</w:t>
            </w:r>
          </w:p>
          <w:p>
            <w:r>
              <w:t>一档0分</w:t>
              <w:cr/>
              <w:t>二档0.5分</w:t>
              <w:cr/>
              <w:t>三档0.75分</w:t>
              <w:cr/>
              <w:t>四档1分</w:t>
            </w:r>
          </w:p>
          <w:p>
            <w:r>
              <w:t>评审标准说明：</w:t>
            </w:r>
          </w:p>
          <w:p>
            <w:r>
              <w:t>投标人应提供培训方案。具体标准评分如下：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8</w:t>
            </w:r>
          </w:p>
        </w:tc>
        <w:tc>
          <w:tcPr>
            <w:vMerge/>
          </w:tcPr>
          <w:p>
            <w:r>
              <w:t>服务部分</w:t>
            </w:r>
          </w:p>
        </w:tc>
        <w:tc>
          <w:tcPr/>
          <w:p>
            <w:r>
              <w:t>售后服务方案（主观分）</w:t>
            </w:r>
          </w:p>
        </w:tc>
        <w:tc>
          <w:tcPr/>
          <w:p>
            <w:r>
              <w:t>勾选打分</w:t>
            </w:r>
            <w:r>
              <w:t>(1)</w:t>
            </w:r>
          </w:p>
        </w:tc>
        <w:tc>
          <w:tcPr/>
          <w:p>
            <w:r>
              <w:t>评审标准：</w:t>
            </w:r>
          </w:p>
          <w:p>
            <w:r>
              <w:t>一档0分</w:t>
              <w:cr/>
              <w:t>二档0.5分</w:t>
              <w:cr/>
              <w:t>三档0.75分</w:t>
              <w:cr/>
              <w:t>四档1分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9</w:t>
            </w:r>
          </w:p>
        </w:tc>
        <w:tc>
          <w:tcPr>
            <w:vMerge/>
          </w:tcPr>
          <w:p>
            <w:r>
              <w:t>服务部分</w:t>
            </w:r>
          </w:p>
        </w:tc>
        <w:tc>
          <w:tcPr/>
          <w:p>
            <w:r>
              <w:t>质量保障与实施方案（主观分）</w:t>
            </w:r>
          </w:p>
        </w:tc>
        <w:tc>
          <w:tcPr/>
          <w:p>
            <w:r>
              <w:t>勾选打分</w:t>
            </w:r>
            <w:r>
              <w:t>(1)</w:t>
            </w:r>
          </w:p>
        </w:tc>
        <w:tc>
          <w:tcPr/>
          <w:p>
            <w:r>
              <w:t>评审标准：</w:t>
            </w:r>
          </w:p>
          <w:p>
            <w:r>
              <w:t>一档0分</w:t>
              <w:cr/>
              <w:t>二档0.5分</w:t>
              <w:cr/>
              <w:t>三档0.75分</w:t>
              <w:cr/>
              <w:t>四档1分</w:t>
            </w:r>
          </w:p>
          <w:p>
            <w:r>
              <w:t>评审标准说明：</w:t>
            </w:r>
          </w:p>
          <w:p>
            <w:r>
              <w:t>提供质量保障与实施方案，提出合理的项目全过程质量保证措施，过程检查有明确依据，质量保证工作量化。</w:t>
              <w:cr/>
              <w:t>一档：未提供质量保障与实施方案。</w:t>
              <w:cr/>
              <w:t>二档：方案内容不完整，无进度控制保证具体措施或措施无可行性、针对性；</w:t>
              <w:cr/>
              <w:t>三档：方案内容较完整、详细，进度控制保证措施有一定的针对性、可行性。</w:t>
              <w:cr/>
              <w:t>四档：方案内容完整、详细，项目组织机构清晰，进度控制保证措施有力，针对性强，切实可行。</w:t>
            </w:r>
          </w:p>
          <w:p/>
        </w:tc>
      </w:tr>
      <w:tr>
        <w:tblPrEx>
          <w:tblW w:w="5000" w:type="pct"/>
          <w:tblCellMar>
            <w:left w:w="108" w:type="dxa"/>
            <w:right w:w="108" w:type="dxa"/>
          </w:tblCellMar>
        </w:tblPrEx>
        <w:tc>
          <w:tcPr/>
          <w:p>
            <w:r>
              <w:t>10</w:t>
            </w:r>
          </w:p>
        </w:tc>
        <w:tc>
          <w:tcPr>
            <w:vMerge w:val="restart"/>
          </w:tcPr>
          <w:p>
            <w:r>
              <w:t>技术部分</w:t>
            </w:r>
          </w:p>
        </w:tc>
        <w:tc>
          <w:tcPr/>
          <w:p>
            <w:r>
              <w:t>软件开发计划（主观分）</w:t>
            </w:r>
          </w:p>
        </w:tc>
        <w:tc>
          <w:tcPr/>
          <w:p>
            <w:r>
              <w:t>勾选打分</w:t>
            </w:r>
            <w:r>
              <w:t>(1)</w:t>
            </w:r>
          </w:p>
        </w:tc>
        <w:tc>
          <w:tcPr/>
          <w:p>
            <w:r>
              <w:t>评审标准：</w:t>
            </w:r>
          </w:p>
          <w:p>
            <w:r>
              <w:t>一档0分</w:t>
              <w:cr/>
              <w:t>二档0.5分</w:t>
              <w:cr/>
              <w:t>三档0.75分</w:t>
              <w:cr/>
              <w:t>四档1分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11</w:t>
            </w:r>
          </w:p>
        </w:tc>
        <w:tc>
          <w:tcPr>
            <w:vMerge/>
          </w:tcPr>
          <w:p>
            <w:r>
              <w:t>技术部分</w:t>
            </w:r>
          </w:p>
        </w:tc>
        <w:tc>
          <w:tcPr/>
          <w:p>
            <w:r>
              <w:t>软件功能开发需求分析（主观分）</w:t>
            </w:r>
          </w:p>
        </w:tc>
        <w:tc>
          <w:tcPr/>
          <w:p>
            <w:r>
              <w:t>勾选打分</w:t>
            </w:r>
            <w:r>
              <w:t>(5)</w:t>
            </w:r>
          </w:p>
        </w:tc>
        <w:tc>
          <w:tcPr/>
          <w:p>
            <w:r>
              <w:t>评审标准：</w:t>
            </w:r>
          </w:p>
          <w:p>
            <w:r>
              <w:t>一档0分</w:t>
              <w:cr/>
              <w:t>二档1分</w:t>
              <w:cr/>
              <w:t>三档3分</w:t>
              <w:cr/>
              <w:t>四档5分</w:t>
            </w:r>
          </w:p>
          <w:p>
            <w:r>
              <w:t>评审标准说明：</w:t>
            </w:r>
          </w:p>
          <w:p>
            <w:r>
              <w:t>提供软件系统各模块功能需求分析。具体评分标准如下：</w:t>
              <w:cr/>
              <w:t>一档：无软件功能开发需求分析；</w:t>
              <w:cr/>
              <w:t>二档：软件功能开发需求分析不完整，未对软件系统各模块进行功能需求拆分，分析不具体、不充分、不详细；</w:t>
              <w:cr/>
              <w:t>三档：软件功能开发需求分析较完整，对软件系统各模块进行功能需求拆分，分析具体，但不充分、不详细；</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12</w:t>
            </w:r>
          </w:p>
        </w:tc>
        <w:tc>
          <w:tcPr>
            <w:vMerge/>
          </w:tcPr>
          <w:p>
            <w:r>
              <w:t>技术部分</w:t>
            </w:r>
          </w:p>
        </w:tc>
        <w:tc>
          <w:tcPr/>
          <w:p>
            <w:r>
              <w:t>软件非功能需求分析（主观分）</w:t>
            </w:r>
          </w:p>
        </w:tc>
        <w:tc>
          <w:tcPr/>
          <w:p>
            <w:r>
              <w:t>勾选打分</w:t>
            </w:r>
            <w:r>
              <w:t>(2)</w:t>
            </w:r>
          </w:p>
        </w:tc>
        <w:tc>
          <w:tcPr/>
          <w:p>
            <w:r>
              <w:t>评审标准：</w:t>
            </w:r>
          </w:p>
          <w:p>
            <w:r>
              <w:t>一档0分</w:t>
              <w:cr/>
              <w:t>二档0.5分</w:t>
              <w:cr/>
              <w:t>三档1分</w:t>
              <w:cr/>
              <w:t>四档2分</w:t>
            </w:r>
          </w:p>
          <w:p>
            <w:r>
              <w:t>评审标准说明：</w:t>
            </w:r>
          </w:p>
          <w:p>
            <w:r>
              <w:t>提供软件系统非功能及性能需求分析，具体评分标准如下：</w:t>
              <w:cr/>
              <w:t>一档：无软件非功能及性能开发需求分析；</w:t>
              <w:cr/>
              <w:t>二档：软件非功能及性能分析不完整、不具体，合理性一般；</w:t>
              <w:cr/>
              <w:t>三档：软件非功能及性能开发需求分析较完整、具体、合理，但分析简单不充分详细；</w:t>
              <w:cr/>
              <w:t>四档：软件非功能及性能开发需求分析完整、具体、合理，分析充分详细，完全覆盖招标文件要求。</w:t>
            </w:r>
          </w:p>
          <w:p/>
        </w:tc>
      </w:tr>
      <w:tr>
        <w:tblPrEx>
          <w:tblW w:w="5000" w:type="pct"/>
          <w:tblCellMar>
            <w:left w:w="108" w:type="dxa"/>
            <w:right w:w="108" w:type="dxa"/>
          </w:tblCellMar>
        </w:tblPrEx>
        <w:tc>
          <w:tcPr/>
          <w:p>
            <w:r>
              <w:t>13</w:t>
            </w:r>
          </w:p>
        </w:tc>
        <w:tc>
          <w:tcPr>
            <w:vMerge/>
          </w:tcPr>
          <w:p>
            <w:r>
              <w:t>技术部分</w:t>
            </w:r>
          </w:p>
        </w:tc>
        <w:tc>
          <w:tcPr/>
          <w:p>
            <w:r>
              <w:t>软件数据需求分析（主观分）</w:t>
            </w:r>
          </w:p>
        </w:tc>
        <w:tc>
          <w:tcPr/>
          <w:p>
            <w:r>
              <w:t>勾选打分</w:t>
            </w:r>
            <w:r>
              <w:t>(3)</w:t>
            </w:r>
          </w:p>
        </w:tc>
        <w:tc>
          <w:tcPr/>
          <w:p>
            <w:r>
              <w:t>评审标准：</w:t>
            </w:r>
          </w:p>
          <w:p>
            <w:r>
              <w:t>一档0分</w:t>
              <w:cr/>
              <w:t>二档1分</w:t>
              <w:cr/>
              <w:t>三档2分</w:t>
              <w:cr/>
              <w:t>四档3分</w:t>
            </w:r>
          </w:p>
          <w:p>
            <w:r>
              <w:t>评审标准说明：</w:t>
            </w:r>
          </w:p>
          <w:p>
            <w:r>
              <w:t>提供数据需求分析内容，具体评分标准如下：</w:t>
              <w:cr/>
              <w:t>一档：无数据需求分析。</w:t>
              <w:cr/>
              <w:t>二档：数据需求分析覆盖不全面或分析欠合理。</w:t>
              <w:cr/>
              <w:t>三档：数据需求分析覆盖较全面、合理，但分析简单、不充分。</w:t>
              <w:cr/>
              <w:t>四档：数据需求分析涵盖全面、合理、详细、充分，完全覆盖招标文件要求。</w:t>
            </w:r>
          </w:p>
          <w:p/>
        </w:tc>
      </w:tr>
      <w:tr>
        <w:tblPrEx>
          <w:tblW w:w="5000" w:type="pct"/>
          <w:tblCellMar>
            <w:left w:w="108" w:type="dxa"/>
            <w:right w:w="108" w:type="dxa"/>
          </w:tblCellMar>
        </w:tblPrEx>
        <w:tc>
          <w:tcPr/>
          <w:p>
            <w:r>
              <w:t>14</w:t>
            </w:r>
          </w:p>
        </w:tc>
        <w:tc>
          <w:tcPr>
            <w:vMerge/>
          </w:tcPr>
          <w:p>
            <w:r>
              <w:t>技术部分</w:t>
            </w:r>
          </w:p>
        </w:tc>
        <w:tc>
          <w:tcPr/>
          <w:p>
            <w:r>
              <w:t>软件接口需求分析（主观分）</w:t>
            </w:r>
          </w:p>
        </w:tc>
        <w:tc>
          <w:tcPr/>
          <w:p>
            <w:r>
              <w:t>勾选打分</w:t>
            </w:r>
            <w:r>
              <w:t>(1)</w:t>
            </w:r>
          </w:p>
        </w:tc>
        <w:tc>
          <w:tcPr/>
          <w:p>
            <w:r>
              <w:t>评审标准：</w:t>
            </w:r>
          </w:p>
          <w:p>
            <w:r>
              <w:t>一档0分</w:t>
              <w:cr/>
              <w:t>二档0.5分</w:t>
              <w:cr/>
              <w:t>三档0.75分</w:t>
              <w:cr/>
              <w:t>四档1分</w:t>
            </w:r>
          </w:p>
          <w:p>
            <w:r>
              <w:t>评审标准说明：</w:t>
            </w:r>
          </w:p>
          <w:p>
            <w:r>
              <w:t>提供软件系统接口需求分析。具体评分标准如下：</w:t>
              <w:cr/>
              <w:t>一档：无接口需求分析；</w:t>
              <w:cr/>
              <w:t>二档：接口需求分析不完整、简单；</w:t>
              <w:cr/>
              <w:t>三档：接口需求分析较完整、详细，但针对性、合理性一般；</w:t>
              <w:cr/>
              <w:t>四档：接口需求分析完整、详细，针对性、合理性强，完全覆盖招标文件要求。</w:t>
            </w:r>
          </w:p>
          <w:p/>
        </w:tc>
      </w:tr>
      <w:tr>
        <w:tblPrEx>
          <w:tblW w:w="5000" w:type="pct"/>
          <w:tblCellMar>
            <w:left w:w="108" w:type="dxa"/>
            <w:right w:w="108" w:type="dxa"/>
          </w:tblCellMar>
        </w:tblPrEx>
        <w:tc>
          <w:tcPr/>
          <w:p>
            <w:r>
              <w:t>15</w:t>
            </w:r>
          </w:p>
        </w:tc>
        <w:tc>
          <w:tcPr>
            <w:vMerge/>
          </w:tcPr>
          <w:p>
            <w:r>
              <w:t>技术部分</w:t>
            </w:r>
          </w:p>
        </w:tc>
        <w:tc>
          <w:tcPr/>
          <w:p>
            <w:r>
              <w:t>软件关键技术识别（主观分）</w:t>
            </w:r>
          </w:p>
        </w:tc>
        <w:tc>
          <w:tcPr/>
          <w:p>
            <w:r>
              <w:t>勾选打分</w:t>
            </w:r>
            <w:r>
              <w:t>(2)</w:t>
            </w:r>
          </w:p>
        </w:tc>
        <w:tc>
          <w:tcPr/>
          <w:p>
            <w:r>
              <w:t>评审标准：</w:t>
            </w:r>
          </w:p>
          <w:p>
            <w:r>
              <w:t>一档0分</w:t>
              <w:cr/>
              <w:t>二档0.5分</w:t>
              <w:cr/>
              <w:t>三档1分</w:t>
              <w:cr/>
              <w:t>四档2分</w:t>
            </w:r>
          </w:p>
          <w:p>
            <w:r>
              <w:t>评审标准说明：</w:t>
            </w:r>
          </w:p>
          <w:p>
            <w:r>
              <w:t>对项目的技术特点认识深入，准确识别软件系统关键技术问题，并提出详细合理的解决方案。具体评分标准如下：</w:t>
              <w:cr/>
              <w:t>一档：未进行软件关键技术识别分析；</w:t>
              <w:cr/>
              <w:t>二档：提供了软件关键技术识别分析，但不能准确识别软件系统关键技术问题；</w:t>
              <w:cr/>
              <w:t>三档：能准确识别软件系统关键技术问题，但未提供详细合理解决方案；</w:t>
              <w:cr/>
              <w:t>四档：对项目的技术特点认识深入，准确识别软件系统关键技术问题，并提出详细合理的解决方案。</w:t>
            </w:r>
          </w:p>
          <w:p/>
        </w:tc>
      </w:tr>
      <w:tr>
        <w:tblPrEx>
          <w:tblW w:w="5000" w:type="pct"/>
          <w:tblCellMar>
            <w:left w:w="108" w:type="dxa"/>
            <w:right w:w="108" w:type="dxa"/>
          </w:tblCellMar>
        </w:tblPrEx>
        <w:tc>
          <w:tcPr/>
          <w:p>
            <w:r>
              <w:t>16</w:t>
            </w:r>
          </w:p>
        </w:tc>
        <w:tc>
          <w:tcPr>
            <w:vMerge/>
          </w:tcPr>
          <w:p>
            <w:r>
              <w:t>技术部分</w:t>
            </w:r>
          </w:p>
        </w:tc>
        <w:tc>
          <w:tcPr/>
          <w:p>
            <w:r>
              <w:t>系统整体架构技术方案（主观分）</w:t>
            </w:r>
          </w:p>
        </w:tc>
        <w:tc>
          <w:tcPr/>
          <w:p>
            <w:r>
              <w:t>勾选打分</w:t>
            </w:r>
            <w:r>
              <w:t>(2)</w:t>
            </w:r>
          </w:p>
        </w:tc>
        <w:tc>
          <w:tcPr/>
          <w:p>
            <w:r>
              <w:t>评审标准：</w:t>
            </w:r>
          </w:p>
          <w:p>
            <w:r>
              <w:t>一档0分</w:t>
              <w:cr/>
              <w:t>二档0.5分</w:t>
              <w:cr/>
              <w:t>三档1分</w:t>
              <w:cr/>
              <w:t>四档2分</w:t>
            </w:r>
          </w:p>
          <w:p>
            <w:r>
              <w:t>评审标准说明：</w:t>
            </w:r>
          </w:p>
          <w:p>
            <w:r>
              <w:t>根据提交的系统整体架构设计技术方案评分：</w:t>
              <w:cr/>
              <w:t>一档：未提供；</w:t>
              <w:cr/>
              <w:t>二档：系统整体架构设计有一定合理性，但无针对性，功能不完整；</w:t>
              <w:cr/>
              <w:t>三档：系统整体架构设计基本合理可行，有一定针对性，功能完整；</w:t>
              <w:cr/>
              <w:t>四档：系统整体架构设计合理可行，技术先进，功能完整，针对性强。</w:t>
            </w:r>
          </w:p>
          <w:p/>
        </w:tc>
      </w:tr>
      <w:tr>
        <w:tblPrEx>
          <w:tblW w:w="5000" w:type="pct"/>
          <w:tblCellMar>
            <w:left w:w="108" w:type="dxa"/>
            <w:right w:w="108" w:type="dxa"/>
          </w:tblCellMar>
        </w:tblPrEx>
        <w:tc>
          <w:tcPr/>
          <w:p>
            <w:r>
              <w:t>17</w:t>
            </w:r>
          </w:p>
        </w:tc>
        <w:tc>
          <w:tcPr>
            <w:vMerge/>
          </w:tcPr>
          <w:p>
            <w:r>
              <w:t>技术部分</w:t>
            </w:r>
          </w:p>
        </w:tc>
        <w:tc>
          <w:tcPr/>
          <w:p>
            <w:r>
              <w:t>系统接口设计技术方案（主观分）</w:t>
            </w:r>
          </w:p>
        </w:tc>
        <w:tc>
          <w:tcPr/>
          <w:p>
            <w:r>
              <w:t>勾选打分</w:t>
            </w:r>
            <w:r>
              <w:t>(2)</w:t>
            </w:r>
          </w:p>
        </w:tc>
        <w:tc>
          <w:tcPr/>
          <w:p>
            <w:r>
              <w:t>评审标准：</w:t>
            </w:r>
          </w:p>
          <w:p>
            <w:r>
              <w:t>一档0分</w:t>
              <w:cr/>
              <w:t>二档0.5分</w:t>
              <w:cr/>
              <w:t>三档1分</w:t>
              <w:cr/>
              <w:t>四档2分</w:t>
            </w:r>
          </w:p>
          <w:p>
            <w:r>
              <w:t>评审标准说明：</w:t>
            </w:r>
          </w:p>
          <w:p>
            <w:r>
              <w:t>根据提交的系统接口设计技术方案评分：</w:t>
              <w:cr/>
              <w:t>一档：未提供。</w:t>
              <w:cr/>
              <w:t>二档：系统接口设计有一定合理性，但无针对性，功能不完整；</w:t>
              <w:cr/>
              <w:t>三档：系统接口设计基本合理可行，有一定针对性，功能完整；</w:t>
              <w:cr/>
              <w:t>四档：系统接口设计合理可行，技术先进，功能完整，针对性强。</w:t>
            </w:r>
          </w:p>
          <w:p/>
        </w:tc>
      </w:tr>
      <w:tr>
        <w:tblPrEx>
          <w:tblW w:w="5000" w:type="pct"/>
          <w:tblCellMar>
            <w:left w:w="108" w:type="dxa"/>
            <w:right w:w="108" w:type="dxa"/>
          </w:tblCellMar>
        </w:tblPrEx>
        <w:tc>
          <w:tcPr/>
          <w:p>
            <w:r>
              <w:t>18</w:t>
            </w:r>
          </w:p>
        </w:tc>
        <w:tc>
          <w:tcPr>
            <w:vMerge/>
          </w:tcPr>
          <w:p>
            <w:r>
              <w:t>技术部分</w:t>
            </w:r>
          </w:p>
        </w:tc>
        <w:tc>
          <w:tcPr/>
          <w:p>
            <w:r>
              <w:t>模块设计技术方案（主观分）</w:t>
            </w:r>
          </w:p>
        </w:tc>
        <w:tc>
          <w:tcPr/>
          <w:p>
            <w:r>
              <w:t>区间打分</w:t>
            </w:r>
            <w:r>
              <w:t>(21)</w:t>
            </w:r>
          </w:p>
        </w:tc>
        <w:tc>
          <w:tcPr/>
          <w:p>
            <w:r>
              <w:t>评审标准：</w:t>
            </w:r>
          </w:p>
          <w:p>
            <w:r>
              <w:t>提交如下模块技术方案：</w:t>
              <w:cr/>
              <w:t>1、金融气象指数数据存储管理；</w:t>
              <w:cr/>
              <w:t>2、算法库运行管理；</w:t>
              <w:cr/>
              <w:t>3、金融气象指数与服务产品生成；</w:t>
              <w:cr/>
              <w:t>4、金融气象指数与服务产品空间化处理；</w:t>
              <w:cr/>
              <w:t>5、金融气象指数与服务产品综合可视化；</w:t>
              <w:cr/>
              <w:t>6、金融气象指数与服务产品综合可视化展示；</w:t>
              <w:cr/>
              <w:t>7、金融气象风险管理与决策支持；</w:t>
              <w:cr/>
              <w:t>8、金融气象指数与服务产品接口服务；</w:t>
              <w:cr/>
              <w:t>9、金融气象指数与服务产品定制化服务；</w:t>
              <w:cr/>
              <w:t>10、金融气象指数与服务产品用户社区；</w:t>
              <w:cr/>
              <w:t>11、金融气象指数与服务产品后台系统管理；</w:t>
              <w:cr/>
              <w:t>12、金融气象指数与服务产品内容管理；</w:t>
              <w:cr/>
              <w:t>13、国际版金融气象指数服务网站；</w:t>
              <w:cr/>
              <w:t>14、金融气象指数场景应用；</w:t>
              <w:cr/>
              <w:t>15、省级金融气象创新应用；</w:t>
              <w:cr/>
              <w:t>16、金融气象指数产品准入管理；</w:t>
              <w:cr/>
              <w:t>17、金融气象指数风险控制；</w:t>
              <w:cr/>
              <w:t>18、金融气象指数运维管理；</w:t>
              <w:cr/>
              <w:t>19、金融气象指数合规性管理；</w:t>
              <w:cr/>
              <w:t>20、金融气象指数据校验；</w:t>
              <w:cr/>
              <w:t>21、金融气象专业数据集。</w:t>
              <w:cr/>
              <w:t>以上每个模块</w:t>
              <w:cr/>
              <w:t>一档0分</w:t>
              <w:cr/>
              <w:t>二档0.5分</w:t>
              <w:cr/>
              <w:t>三档0.75分</w:t>
              <w:cr/>
              <w:t>四档1分</w:t>
              <w:cr/>
              <w:t>以上共计21模块，满分21分。</w:t>
            </w:r>
          </w:p>
          <w:p>
            <w:r>
              <w:t>评审标准说明：</w:t>
            </w:r>
          </w:p>
          <w:p>
            <w:r>
              <w:t>按模块提出技术方案，每个模块评分标准如下：</w:t>
              <w:cr/>
              <w:t>一档：未提供</w:t>
              <w:cr/>
              <w:t>二档：技术方案不完整，未覆盖项目的功能和非功能需求，描述不清楚、缺乏针对关建技术的分析，可行性针对性差。</w:t>
              <w:cr/>
              <w:t>三档：技术方案内容较完整，基本覆盖项目的功能和非功能需求，描述基本清楚；技术思路较合理、关建技术的分析较清晰，解决措施有一定可行性针对性，基本满足采购需求。</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19</w:t>
            </w:r>
          </w:p>
        </w:tc>
        <w:tc>
          <w:tcPr>
            <w:vMerge/>
          </w:tcPr>
          <w:p>
            <w:r>
              <w:t>技术部分</w:t>
            </w:r>
          </w:p>
        </w:tc>
        <w:tc>
          <w:tcPr/>
          <w:p>
            <w:r>
              <w:t>项目需求理解（主观分）</w:t>
            </w:r>
          </w:p>
        </w:tc>
        <w:tc>
          <w:tcPr/>
          <w:p>
            <w:r>
              <w:t>勾选打分</w:t>
            </w:r>
            <w:r>
              <w:t>(1)</w:t>
            </w:r>
          </w:p>
        </w:tc>
        <w:tc>
          <w:tcPr/>
          <w:p>
            <w:r>
              <w:t>评审标准：</w:t>
            </w:r>
          </w:p>
          <w:p>
            <w:r>
              <w:t>一档0分</w:t>
              <w:cr/>
              <w:t>二档0.5分</w:t>
              <w:cr/>
              <w:t>三档0.75分</w:t>
              <w:cr/>
              <w:t>四档1分</w:t>
            </w:r>
          </w:p>
          <w:p>
            <w:r>
              <w:t>评审标准说明：</w:t>
            </w:r>
          </w:p>
          <w:p>
            <w:r>
              <w:t>结合项目需求、背景、现状情况等对项目进行需求分析理解。</w:t>
              <w:cr/>
              <w:t>一档：未提供。</w:t>
              <w:cr/>
              <w:t>二档：对项目范围和内容及用户总体需求分析有一定偏差，未抓住重点、难点。</w:t>
              <w:cr/>
              <w:t>三档：对项目范围和内容及用户总体需求分析无偏差，能抓住重点、难点不突出，但未提出合理的解决方案。</w:t>
              <w:cr/>
              <w:t>四档：对项目范围和内容理解清晰，对用户总体需求分析正确，重点、难点分析到位，问题描述清楚；能准确识别软件系统关键技术问题，并提出详细合理的解决方案。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20</w:t>
            </w:r>
          </w:p>
        </w:tc>
        <w:tc>
          <w:tcPr>
            <w:vMerge/>
          </w:tcPr>
          <w:p>
            <w:r>
              <w:t>技术部分</w:t>
            </w:r>
          </w:p>
        </w:tc>
        <w:tc>
          <w:tcPr/>
          <w:p>
            <w:r>
              <w:t>针对本项目的合理化建议（主观分）</w:t>
            </w:r>
          </w:p>
        </w:tc>
        <w:tc>
          <w:tcPr/>
          <w:p>
            <w:r>
              <w:t>勾选打分</w:t>
            </w:r>
            <w:r>
              <w:t>(1)</w:t>
            </w:r>
          </w:p>
        </w:tc>
        <w:tc>
          <w:tcPr/>
          <w:p>
            <w:r>
              <w:t>评审标准：</w:t>
            </w:r>
          </w:p>
          <w:p>
            <w:r>
              <w:t>每提供一条合理化建议得0.25分，满分1分。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21</w:t>
            </w:r>
          </w:p>
        </w:tc>
        <w:tc>
          <w:tcPr>
            <w:vMerge/>
          </w:tcPr>
          <w:p>
            <w:r>
              <w:t>技术部分</w:t>
            </w:r>
          </w:p>
        </w:tc>
        <w:tc>
          <w:tcPr/>
          <w:p>
            <w:r>
              <w:t>风险管理方案</w:t>
            </w:r>
          </w:p>
        </w:tc>
        <w:tc>
          <w:tcPr/>
          <w:p>
            <w:r>
              <w:t>勾选打分</w:t>
            </w:r>
            <w:r>
              <w:t>(1)</w:t>
            </w:r>
          </w:p>
        </w:tc>
        <w:tc>
          <w:tcPr/>
          <w:p>
            <w:r>
              <w:t>评审标准：</w:t>
            </w:r>
          </w:p>
          <w:p>
            <w:r>
              <w:t xml:space="preserve">一档0分 </w:t>
              <w:cr/>
              <w:t>二档0.5分</w:t>
              <w:cr/>
              <w:t xml:space="preserve"> 三档0.75分</w:t>
              <w:cr/>
              <w:t xml:space="preserve"> 四档1分</w:t>
            </w:r>
          </w:p>
          <w:p>
            <w:r>
              <w:t>评审标准说明：</w:t>
            </w:r>
          </w:p>
          <w:p>
            <w:r>
              <w:t>针对项目实施过程中，因国家政策、实施环境、重大技术等发生变化可能带来的项目实施风险，拟定风险管控方案。 一档：未提供方案。</w:t>
              <w:cr/>
              <w:t xml:space="preserve"> 二档：方案简单，无针对性。</w:t>
              <w:cr/>
              <w:t xml:space="preserve"> 三档：方案内容不全，详细程度一般，措施针对性可行性一般。</w:t>
              <w:cr/>
              <w:t xml:space="preserve"> 四档：方案内容全面、详细合理、措施针对性强，切实可行。</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9"/>
    </w:p>
    <w:p w:rsidR="0074156F">
      <w:pPr>
        <w:spacing w:before="156" w:beforeLines="50" w:line="360" w:lineRule="auto"/>
        <w:jc w:val="center"/>
        <w:outlineLvl w:val="1"/>
        <w:rPr>
          <w:rFonts w:ascii="宋体" w:hAnsi="宋体"/>
          <w:b/>
          <w:sz w:val="30"/>
          <w:szCs w:val="30"/>
        </w:rPr>
      </w:pPr>
      <w:r>
        <w:rPr>
          <w:bCs/>
          <w:szCs w:val="21"/>
          <w:highlight w:val="none"/>
        </w:rPr>
        <w:br w:type="page"/>
      </w:r>
      <w:bookmarkStart w:id="60"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74156F">
      <w:pPr>
        <w:jc w:val="left"/>
        <w:rPr>
          <w:b/>
          <w:szCs w:val="21"/>
        </w:rPr>
      </w:pPr>
    </w:p>
    <w:p w:rsidR="0074156F">
      <w:pPr>
        <w:jc w:val="left"/>
        <w:rPr>
          <w:b/>
          <w:szCs w:val="21"/>
        </w:rPr>
      </w:pPr>
    </w:p>
    <w:p w:rsidR="0074156F">
      <w:pPr>
        <w:pStyle w:val="Heading1"/>
        <w:spacing w:before="100" w:beforeAutospacing="1" w:after="100" w:afterAutospacing="1" w:line="360" w:lineRule="auto"/>
        <w:ind w:left="0" w:firstLine="0"/>
        <w:rPr>
          <w:rFonts w:ascii="宋体" w:eastAsia="宋体" w:hAnsi="宋体" w:cs="宋体"/>
          <w:sz w:val="21"/>
          <w:szCs w:val="21"/>
        </w:rPr>
      </w:pPr>
      <w:bookmarkStart w:id="61" w:name="_Toc199166572"/>
      <w:r>
        <w:rPr>
          <w:rFonts w:ascii="宋体" w:eastAsia="宋体" w:hAnsi="宋体" w:cs="宋体" w:hint="eastAsia"/>
          <w:sz w:val="21"/>
          <w:szCs w:val="21"/>
        </w:rPr>
        <w:t>一、项目背景</w:t>
      </w:r>
      <w:bookmarkEnd w:id="61"/>
    </w:p>
    <w:p w:rsidR="0074156F">
      <w:pPr>
        <w:pStyle w:val="NormalIndent"/>
        <w:rPr>
          <w:color w:val="000000"/>
          <w:sz w:val="21"/>
          <w:szCs w:val="21"/>
        </w:rPr>
      </w:pPr>
      <w:r>
        <w:rPr>
          <w:rFonts w:hint="eastAsia"/>
          <w:color w:val="000000"/>
          <w:sz w:val="21"/>
          <w:szCs w:val="21"/>
        </w:rPr>
        <w:t>为深入贯彻落实党中央关于金融强国建设的重要批示精神，切实发挥气象科技在金融强国建设的重要作用，进一步完善中国金融气象指数体系，全面提升我国金融气象服务综合能力，为金融风险管控和气象敏感性行业风险管理提供重要的气象信息支撑，全面提升金融气象服务的效率和质量，促进气象数据要素赋能现代化经济体系健康发展。</w:t>
      </w:r>
    </w:p>
    <w:p w:rsidR="0074156F">
      <w:pPr>
        <w:pStyle w:val="NormalIndent"/>
        <w:rPr>
          <w:color w:val="000000"/>
          <w:sz w:val="21"/>
          <w:szCs w:val="21"/>
        </w:rPr>
      </w:pPr>
      <w:r>
        <w:rPr>
          <w:rFonts w:hint="eastAsia"/>
          <w:color w:val="000000"/>
          <w:sz w:val="21"/>
          <w:szCs w:val="21"/>
        </w:rPr>
        <w:t>通过金融气象服务能力建设项目，构建高标准、精细化、多用途且体现不同气象风险敞口的中国金融气象指数体系（包括温度、降水、风及能见度等系列指数），以中国金融气象指数与服务网站（</w:t>
      </w:r>
      <w:r>
        <w:rPr>
          <w:rFonts w:hint="eastAsia"/>
          <w:color w:val="000000"/>
          <w:sz w:val="21"/>
          <w:szCs w:val="21"/>
        </w:rPr>
        <w:t>V</w:t>
      </w:r>
      <w:r>
        <w:rPr>
          <w:rFonts w:hint="eastAsia"/>
          <w:color w:val="000000"/>
          <w:sz w:val="21"/>
          <w:szCs w:val="21"/>
        </w:rPr>
        <w:t>2</w:t>
      </w:r>
      <w:r>
        <w:rPr>
          <w:rFonts w:hint="eastAsia"/>
          <w:color w:val="000000"/>
          <w:sz w:val="21"/>
          <w:szCs w:val="21"/>
        </w:rPr>
        <w:t>.0</w:t>
      </w:r>
      <w:r>
        <w:rPr>
          <w:rFonts w:hint="eastAsia"/>
          <w:color w:val="000000"/>
          <w:sz w:val="21"/>
          <w:szCs w:val="21"/>
        </w:rPr>
        <w:t>）为基础，依托于气象大数据云平台（天擎），结合国家“气象×金融”服务模式下金融气象服务工作发展规划，综合应用云计算、大数据挖掘等新技术，提升中国金融气象指数与服务网站数据供给和业务服务能力。进一步加强金融气象服务综合能力，创新金融气象数据产品服务，支撑做好基础公益性金融气象服务，切实发挥气象防灾</w:t>
      </w:r>
      <w:r>
        <w:rPr>
          <w:rFonts w:hint="eastAsia"/>
          <w:color w:val="000000"/>
          <w:sz w:val="21"/>
          <w:szCs w:val="21"/>
        </w:rPr>
        <w:t>减灾第</w:t>
      </w:r>
      <w:r>
        <w:rPr>
          <w:rFonts w:hint="eastAsia"/>
          <w:color w:val="000000"/>
          <w:sz w:val="21"/>
          <w:szCs w:val="21"/>
        </w:rPr>
        <w:t>一道防线在防控金融领域风险的重</w:t>
      </w:r>
      <w:r>
        <w:rPr>
          <w:rFonts w:hint="eastAsia"/>
          <w:color w:val="000000"/>
          <w:sz w:val="21"/>
          <w:szCs w:val="21"/>
        </w:rPr>
        <w:t>要作用。</w:t>
      </w:r>
    </w:p>
    <w:p w:rsidR="0074156F">
      <w:pPr>
        <w:pStyle w:val="Heading1"/>
        <w:spacing w:before="100" w:beforeAutospacing="1" w:after="100" w:afterAutospacing="1" w:line="360" w:lineRule="auto"/>
        <w:ind w:left="0" w:firstLine="0"/>
        <w:rPr>
          <w:rFonts w:ascii="宋体" w:eastAsia="宋体" w:hAnsi="宋体" w:cs="宋体"/>
          <w:sz w:val="21"/>
          <w:szCs w:val="21"/>
        </w:rPr>
      </w:pPr>
      <w:bookmarkStart w:id="62" w:name="_Toc199166573"/>
      <w:r>
        <w:rPr>
          <w:rFonts w:ascii="宋体" w:eastAsia="宋体" w:hAnsi="宋体" w:cs="宋体" w:hint="eastAsia"/>
          <w:sz w:val="21"/>
          <w:szCs w:val="21"/>
        </w:rPr>
        <w:t>二、建设目标和内容</w:t>
      </w:r>
      <w:bookmarkEnd w:id="62"/>
    </w:p>
    <w:p w:rsidR="0074156F">
      <w:pPr>
        <w:pStyle w:val="NormalIndent"/>
        <w:rPr>
          <w:color w:val="000000"/>
          <w:sz w:val="21"/>
          <w:szCs w:val="21"/>
        </w:rPr>
      </w:pPr>
      <w:bookmarkStart w:id="63" w:name="_Toc199166574"/>
      <w:r>
        <w:rPr>
          <w:rFonts w:hint="eastAsia"/>
          <w:color w:val="000000"/>
          <w:sz w:val="21"/>
          <w:szCs w:val="21"/>
        </w:rPr>
        <w:t>项目以中国金融气象指数与服务网站（</w:t>
      </w:r>
      <w:r>
        <w:rPr>
          <w:rFonts w:hint="eastAsia"/>
          <w:color w:val="000000"/>
          <w:sz w:val="21"/>
          <w:szCs w:val="21"/>
        </w:rPr>
        <w:t>V</w:t>
      </w:r>
      <w:r>
        <w:rPr>
          <w:rFonts w:hint="eastAsia"/>
          <w:color w:val="000000"/>
          <w:sz w:val="21"/>
          <w:szCs w:val="21"/>
        </w:rPr>
        <w:t>2</w:t>
      </w:r>
      <w:r>
        <w:rPr>
          <w:rFonts w:hint="eastAsia"/>
          <w:color w:val="000000"/>
          <w:sz w:val="21"/>
          <w:szCs w:val="21"/>
        </w:rPr>
        <w:t>.0</w:t>
      </w:r>
      <w:r>
        <w:rPr>
          <w:rFonts w:hint="eastAsia"/>
          <w:color w:val="000000"/>
          <w:sz w:val="21"/>
          <w:szCs w:val="21"/>
        </w:rPr>
        <w:t>）为基础，依托于气象大数据云平台（天擎），结合国家“气象×金融”服务模式下金融气象服务工作发展规划，综合应用云计算、大数据挖掘等新技术，提升中国金融气象指数与服务网站数据供给和业务服务能力。</w:t>
      </w:r>
    </w:p>
    <w:p w:rsidR="0074156F">
      <w:pPr>
        <w:pStyle w:val="NormalIndent"/>
        <w:rPr>
          <w:color w:val="000000"/>
          <w:sz w:val="21"/>
          <w:szCs w:val="21"/>
        </w:rPr>
      </w:pPr>
      <w:r>
        <w:rPr>
          <w:rFonts w:hint="eastAsia"/>
          <w:color w:val="000000"/>
          <w:sz w:val="21"/>
          <w:szCs w:val="21"/>
        </w:rPr>
        <w:t>项目建设以定制软件开发为主。基于气象大数据云平台（天擎），在中国金融气象指数与服务网站（</w:t>
      </w:r>
      <w:r>
        <w:rPr>
          <w:rFonts w:hint="eastAsia"/>
          <w:color w:val="000000"/>
          <w:sz w:val="21"/>
          <w:szCs w:val="21"/>
        </w:rPr>
        <w:t>V</w:t>
      </w:r>
      <w:r>
        <w:rPr>
          <w:rFonts w:hint="eastAsia"/>
          <w:color w:val="000000"/>
          <w:sz w:val="21"/>
          <w:szCs w:val="21"/>
        </w:rPr>
        <w:t>2</w:t>
      </w:r>
      <w:r>
        <w:rPr>
          <w:rFonts w:hint="eastAsia"/>
          <w:color w:val="000000"/>
          <w:sz w:val="21"/>
          <w:szCs w:val="21"/>
        </w:rPr>
        <w:t>.0</w:t>
      </w:r>
      <w:r>
        <w:rPr>
          <w:rFonts w:hint="eastAsia"/>
          <w:color w:val="000000"/>
          <w:sz w:val="21"/>
          <w:szCs w:val="21"/>
        </w:rPr>
        <w:t>）基础上，构建通用性强、模块化程度高、用户体验感佳、拥有定制化能力的中国金融气象指数与服务功能组件。建立金融气象指数数据存储管理、算法</w:t>
      </w:r>
      <w:r>
        <w:rPr>
          <w:rFonts w:hint="eastAsia"/>
          <w:color w:val="000000"/>
          <w:sz w:val="21"/>
          <w:szCs w:val="21"/>
        </w:rPr>
        <w:t>库运行</w:t>
      </w:r>
      <w:r>
        <w:rPr>
          <w:rFonts w:hint="eastAsia"/>
          <w:color w:val="000000"/>
          <w:sz w:val="21"/>
          <w:szCs w:val="21"/>
        </w:rPr>
        <w:t>管理、金融气</w:t>
      </w:r>
      <w:r>
        <w:rPr>
          <w:rFonts w:hint="eastAsia"/>
          <w:color w:val="000000"/>
          <w:sz w:val="21"/>
          <w:szCs w:val="21"/>
        </w:rPr>
        <w:t>象指数与服务产品生成、金融气象指数与服务产品空间化处理、金融气象指数与服务产品综合可视化、金融气象指数与服务产品在线时空数据分析、金融气象风险管理与决策支持、金融气象指数与服务产品接口服务、金融气象指数与服务产品定制化服务、金融气象指数与服务产品用户社区、金融气象指数与服务产品后台系统管理、金融气象指数与服务产品内容管理等</w:t>
      </w:r>
      <w:r>
        <w:rPr>
          <w:rFonts w:hint="eastAsia"/>
          <w:color w:val="000000"/>
          <w:sz w:val="21"/>
          <w:szCs w:val="21"/>
        </w:rPr>
        <w:t>21</w:t>
      </w:r>
      <w:r>
        <w:rPr>
          <w:rFonts w:hint="eastAsia"/>
          <w:color w:val="000000"/>
          <w:sz w:val="21"/>
          <w:szCs w:val="21"/>
        </w:rPr>
        <w:t>个功能组件（包含</w:t>
      </w:r>
      <w:r>
        <w:rPr>
          <w:rFonts w:hint="eastAsia"/>
          <w:color w:val="000000"/>
          <w:sz w:val="21"/>
          <w:szCs w:val="21"/>
        </w:rPr>
        <w:t>89</w:t>
      </w:r>
      <w:r>
        <w:rPr>
          <w:rFonts w:hint="eastAsia"/>
          <w:color w:val="000000"/>
          <w:sz w:val="21"/>
          <w:szCs w:val="21"/>
        </w:rPr>
        <w:t>个</w:t>
      </w:r>
      <w:r>
        <w:rPr>
          <w:rFonts w:hint="eastAsia"/>
          <w:color w:val="000000"/>
          <w:sz w:val="21"/>
          <w:szCs w:val="21"/>
        </w:rPr>
        <w:t>子</w:t>
      </w:r>
      <w:r>
        <w:rPr>
          <w:rFonts w:hint="eastAsia"/>
          <w:color w:val="000000"/>
          <w:sz w:val="21"/>
          <w:szCs w:val="21"/>
        </w:rPr>
        <w:t>模块），实现金融气象服务产品的实时加工、综合</w:t>
      </w:r>
      <w:r>
        <w:rPr>
          <w:rFonts w:hint="eastAsia"/>
          <w:color w:val="000000"/>
          <w:sz w:val="21"/>
          <w:szCs w:val="21"/>
        </w:rPr>
        <w:t>可视化展示、在线时空数据分析、接口开放服务等，显著提升金融气象服务的效率和质量，促进气象数据要素赋能金融强国建设。以</w:t>
      </w:r>
      <w:r>
        <w:rPr>
          <w:rFonts w:hint="eastAsia"/>
          <w:color w:val="000000"/>
          <w:sz w:val="21"/>
          <w:szCs w:val="21"/>
        </w:rPr>
        <w:t>定制软件开发为主，共计</w:t>
      </w:r>
      <w:r>
        <w:rPr>
          <w:rFonts w:hint="eastAsia"/>
          <w:color w:val="000000"/>
          <w:sz w:val="21"/>
          <w:szCs w:val="21"/>
        </w:rPr>
        <w:t>89</w:t>
      </w:r>
      <w:r>
        <w:rPr>
          <w:rFonts w:hint="eastAsia"/>
          <w:color w:val="000000"/>
          <w:sz w:val="21"/>
          <w:szCs w:val="21"/>
        </w:rPr>
        <w:t>个软件模块。</w:t>
      </w:r>
    </w:p>
    <w:p w:rsidR="0074156F">
      <w:pPr>
        <w:pStyle w:val="Heading1"/>
        <w:spacing w:before="100" w:beforeAutospacing="1" w:after="100" w:afterAutospacing="1" w:line="360" w:lineRule="auto"/>
        <w:ind w:left="0" w:firstLine="0"/>
        <w:rPr>
          <w:rFonts w:ascii="宋体" w:eastAsia="宋体" w:hAnsi="宋体" w:cs="宋体"/>
          <w:sz w:val="21"/>
          <w:szCs w:val="21"/>
        </w:rPr>
      </w:pPr>
      <w:r>
        <w:rPr>
          <w:rFonts w:ascii="宋体" w:eastAsia="宋体" w:hAnsi="宋体" w:cs="宋体" w:hint="eastAsia"/>
          <w:sz w:val="21"/>
          <w:szCs w:val="21"/>
        </w:rPr>
        <w:t>三、功能要求</w:t>
      </w:r>
      <w:bookmarkEnd w:id="63"/>
    </w:p>
    <w:p w:rsidR="0074156F">
      <w:pPr>
        <w:pStyle w:val="Heading2"/>
        <w:tabs>
          <w:tab w:val="clear" w:pos="576"/>
        </w:tabs>
        <w:spacing w:after="240" w:line="360" w:lineRule="auto"/>
        <w:ind w:left="0" w:firstLine="0"/>
        <w:jc w:val="left"/>
        <w:rPr>
          <w:rFonts w:asciiTheme="minorEastAsia" w:eastAsiaTheme="minorEastAsia" w:hAnsiTheme="minorEastAsia" w:cstheme="minorEastAsia"/>
          <w:sz w:val="21"/>
          <w:szCs w:val="21"/>
        </w:rPr>
      </w:pPr>
      <w:bookmarkStart w:id="64" w:name="_Toc199166575"/>
      <w:r>
        <w:rPr>
          <w:rFonts w:asciiTheme="minorEastAsia" w:eastAsiaTheme="minorEastAsia" w:hAnsiTheme="minorEastAsia" w:cstheme="minorEastAsia" w:hint="eastAsia"/>
          <w:sz w:val="21"/>
          <w:szCs w:val="21"/>
        </w:rPr>
        <w:t>1</w:t>
      </w: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rPr>
        <w:t>功能概述</w:t>
      </w:r>
      <w:bookmarkStart w:id="65" w:name="_Toc14888"/>
      <w:bookmarkStart w:id="66" w:name="_Toc26320"/>
      <w:bookmarkEnd w:id="64"/>
    </w:p>
    <w:p w:rsidR="0074156F">
      <w:pPr>
        <w:pStyle w:val="NormalIndent"/>
        <w:rPr>
          <w:color w:val="000000"/>
          <w:sz w:val="21"/>
          <w:szCs w:val="21"/>
        </w:rPr>
      </w:pPr>
      <w:r>
        <w:rPr>
          <w:rFonts w:hint="eastAsia"/>
          <w:color w:val="000000"/>
          <w:sz w:val="21"/>
          <w:szCs w:val="21"/>
        </w:rPr>
        <w:t>（</w:t>
      </w:r>
      <w:r>
        <w:rPr>
          <w:rFonts w:hint="eastAsia"/>
          <w:color w:val="000000"/>
          <w:sz w:val="21"/>
          <w:szCs w:val="21"/>
        </w:rPr>
        <w:t>1</w:t>
      </w:r>
      <w:r>
        <w:rPr>
          <w:rFonts w:hint="eastAsia"/>
          <w:color w:val="000000"/>
          <w:sz w:val="21"/>
          <w:szCs w:val="21"/>
        </w:rPr>
        <w:t>）</w:t>
      </w:r>
      <w:r>
        <w:rPr>
          <w:rFonts w:hint="eastAsia"/>
          <w:color w:val="000000"/>
          <w:sz w:val="21"/>
          <w:szCs w:val="21"/>
        </w:rPr>
        <w:t>金融气象指数数据存储管理</w:t>
      </w:r>
      <w:bookmarkEnd w:id="65"/>
      <w:bookmarkEnd w:id="66"/>
    </w:p>
    <w:p w:rsidR="0074156F">
      <w:pPr>
        <w:pStyle w:val="NormalIndent"/>
        <w:rPr>
          <w:color w:val="000000"/>
          <w:sz w:val="21"/>
          <w:szCs w:val="21"/>
        </w:rPr>
      </w:pPr>
      <w:r>
        <w:rPr>
          <w:rFonts w:hint="eastAsia"/>
          <w:color w:val="000000"/>
          <w:sz w:val="21"/>
          <w:szCs w:val="21"/>
        </w:rPr>
        <w:t>建设金融气象指数数据存储管理</w:t>
      </w:r>
      <w:r>
        <w:rPr>
          <w:rFonts w:hint="eastAsia"/>
          <w:color w:val="000000"/>
          <w:sz w:val="21"/>
          <w:szCs w:val="21"/>
        </w:rPr>
        <w:t>能力</w:t>
      </w:r>
      <w:r>
        <w:rPr>
          <w:rFonts w:hint="eastAsia"/>
          <w:color w:val="000000"/>
          <w:sz w:val="21"/>
          <w:szCs w:val="21"/>
        </w:rPr>
        <w:t>，将金融气象指数相关数据以实时同步的方式从内网同步至</w:t>
      </w:r>
      <w:r>
        <w:rPr>
          <w:rFonts w:hint="eastAsia"/>
          <w:color w:val="000000"/>
          <w:sz w:val="21"/>
          <w:szCs w:val="21"/>
        </w:rPr>
        <w:t>DMZ</w:t>
      </w:r>
      <w:r>
        <w:rPr>
          <w:rFonts w:hint="eastAsia"/>
          <w:color w:val="000000"/>
          <w:sz w:val="21"/>
          <w:szCs w:val="21"/>
        </w:rPr>
        <w:t>区为中国金融气象服务网站提供数据服务。</w:t>
      </w:r>
    </w:p>
    <w:p w:rsidR="0074156F">
      <w:pPr>
        <w:pStyle w:val="NormalIndent"/>
        <w:rPr>
          <w:color w:val="000000"/>
          <w:sz w:val="21"/>
          <w:szCs w:val="21"/>
        </w:rPr>
      </w:pPr>
      <w:bookmarkStart w:id="67" w:name="_Toc14528"/>
      <w:bookmarkStart w:id="68" w:name="_Toc25832"/>
      <w:r>
        <w:rPr>
          <w:rFonts w:hint="eastAsia"/>
          <w:color w:val="000000"/>
          <w:sz w:val="21"/>
          <w:szCs w:val="21"/>
        </w:rPr>
        <w:t>（</w:t>
      </w:r>
      <w:r>
        <w:rPr>
          <w:rFonts w:hint="eastAsia"/>
          <w:color w:val="000000"/>
          <w:sz w:val="21"/>
          <w:szCs w:val="21"/>
        </w:rPr>
        <w:t>2</w:t>
      </w:r>
      <w:r>
        <w:rPr>
          <w:rFonts w:hint="eastAsia"/>
          <w:color w:val="000000"/>
          <w:sz w:val="21"/>
          <w:szCs w:val="21"/>
        </w:rPr>
        <w:t>）</w:t>
      </w:r>
      <w:r>
        <w:rPr>
          <w:rFonts w:hint="eastAsia"/>
          <w:color w:val="000000"/>
          <w:sz w:val="21"/>
          <w:szCs w:val="21"/>
        </w:rPr>
        <w:t>算法</w:t>
      </w:r>
      <w:r>
        <w:rPr>
          <w:rFonts w:hint="eastAsia"/>
          <w:color w:val="000000"/>
          <w:sz w:val="21"/>
          <w:szCs w:val="21"/>
        </w:rPr>
        <w:t>库运行</w:t>
      </w:r>
      <w:r>
        <w:rPr>
          <w:rFonts w:hint="eastAsia"/>
          <w:color w:val="000000"/>
          <w:sz w:val="21"/>
          <w:szCs w:val="21"/>
        </w:rPr>
        <w:t>管理</w:t>
      </w:r>
      <w:bookmarkEnd w:id="67"/>
      <w:bookmarkEnd w:id="68"/>
    </w:p>
    <w:p w:rsidR="0074156F">
      <w:pPr>
        <w:pStyle w:val="NormalIndent"/>
        <w:rPr>
          <w:color w:val="000000"/>
          <w:sz w:val="21"/>
          <w:szCs w:val="21"/>
        </w:rPr>
      </w:pPr>
      <w:r>
        <w:rPr>
          <w:rFonts w:hint="eastAsia"/>
          <w:color w:val="000000"/>
          <w:sz w:val="21"/>
          <w:szCs w:val="21"/>
        </w:rPr>
        <w:t>基于气象大数据云平台，建设金融指数相关算法运行管理体系，保障金融指数算法正常的配置、调度与执行，对算法执行后产生的数据进行质量控制与告警。</w:t>
      </w:r>
    </w:p>
    <w:p w:rsidR="0074156F">
      <w:pPr>
        <w:pStyle w:val="NormalIndent"/>
        <w:rPr>
          <w:color w:val="000000"/>
          <w:sz w:val="21"/>
          <w:szCs w:val="21"/>
        </w:rPr>
      </w:pPr>
      <w:bookmarkStart w:id="69" w:name="_Toc29080"/>
      <w:bookmarkStart w:id="70" w:name="_Toc2539"/>
      <w:r>
        <w:rPr>
          <w:rFonts w:hint="eastAsia"/>
          <w:color w:val="000000"/>
          <w:sz w:val="21"/>
          <w:szCs w:val="21"/>
        </w:rPr>
        <w:t>（</w:t>
      </w:r>
      <w:r>
        <w:rPr>
          <w:rFonts w:hint="eastAsia"/>
          <w:color w:val="000000"/>
          <w:sz w:val="21"/>
          <w:szCs w:val="21"/>
        </w:rPr>
        <w:t>3</w:t>
      </w:r>
      <w:r>
        <w:rPr>
          <w:rFonts w:hint="eastAsia"/>
          <w:color w:val="000000"/>
          <w:sz w:val="21"/>
          <w:szCs w:val="21"/>
        </w:rPr>
        <w:t>）</w:t>
      </w:r>
      <w:r>
        <w:rPr>
          <w:rFonts w:hint="eastAsia"/>
          <w:color w:val="000000"/>
          <w:sz w:val="21"/>
          <w:szCs w:val="21"/>
        </w:rPr>
        <w:t>金融气象指数与服务产品生成</w:t>
      </w:r>
      <w:bookmarkEnd w:id="69"/>
      <w:bookmarkEnd w:id="70"/>
    </w:p>
    <w:p w:rsidR="0074156F">
      <w:pPr>
        <w:pStyle w:val="NormalIndent"/>
        <w:rPr>
          <w:color w:val="000000"/>
          <w:sz w:val="21"/>
          <w:szCs w:val="21"/>
        </w:rPr>
      </w:pPr>
      <w:r>
        <w:rPr>
          <w:rFonts w:hint="eastAsia"/>
          <w:color w:val="000000"/>
          <w:sz w:val="21"/>
          <w:szCs w:val="21"/>
        </w:rPr>
        <w:t>开发中国金融气象指数与服务网站产品所需的所有算法，融入气象大数据云平台“天擎”的加工流水线实现实时调度，同时进行历史指数回算，保障网站的历史数据展示。</w:t>
      </w:r>
    </w:p>
    <w:p w:rsidR="0074156F">
      <w:pPr>
        <w:pStyle w:val="NormalIndent"/>
        <w:rPr>
          <w:color w:val="000000"/>
          <w:sz w:val="21"/>
          <w:szCs w:val="21"/>
        </w:rPr>
      </w:pPr>
      <w:bookmarkStart w:id="71" w:name="_Toc11150"/>
      <w:bookmarkStart w:id="72" w:name="_Toc11907"/>
      <w:r>
        <w:rPr>
          <w:rFonts w:hint="eastAsia"/>
          <w:color w:val="000000"/>
          <w:sz w:val="21"/>
          <w:szCs w:val="21"/>
        </w:rPr>
        <w:t>（</w:t>
      </w:r>
      <w:r>
        <w:rPr>
          <w:rFonts w:hint="eastAsia"/>
          <w:color w:val="000000"/>
          <w:sz w:val="21"/>
          <w:szCs w:val="21"/>
        </w:rPr>
        <w:t>4</w:t>
      </w:r>
      <w:r>
        <w:rPr>
          <w:rFonts w:hint="eastAsia"/>
          <w:color w:val="000000"/>
          <w:sz w:val="21"/>
          <w:szCs w:val="21"/>
        </w:rPr>
        <w:t>）</w:t>
      </w:r>
      <w:r>
        <w:rPr>
          <w:rFonts w:hint="eastAsia"/>
          <w:color w:val="000000"/>
          <w:sz w:val="21"/>
          <w:szCs w:val="21"/>
        </w:rPr>
        <w:t>金融气象指数与服务产品空间化处理</w:t>
      </w:r>
      <w:bookmarkEnd w:id="71"/>
      <w:bookmarkEnd w:id="72"/>
    </w:p>
    <w:p w:rsidR="0074156F">
      <w:pPr>
        <w:pStyle w:val="NormalIndent"/>
        <w:rPr>
          <w:color w:val="000000"/>
          <w:sz w:val="21"/>
          <w:szCs w:val="21"/>
        </w:rPr>
      </w:pPr>
      <w:r>
        <w:rPr>
          <w:rFonts w:hint="eastAsia"/>
          <w:color w:val="000000"/>
          <w:sz w:val="21"/>
          <w:szCs w:val="21"/>
        </w:rPr>
        <w:t>基于空间库技术，构建金融气象指数数据空间化处理体系，实现指数数据空间库存储、</w:t>
      </w:r>
      <w:r>
        <w:rPr>
          <w:rFonts w:hint="eastAsia"/>
          <w:color w:val="000000"/>
          <w:sz w:val="21"/>
          <w:szCs w:val="21"/>
        </w:rPr>
        <w:t>GIS</w:t>
      </w:r>
      <w:r>
        <w:rPr>
          <w:rFonts w:hint="eastAsia"/>
          <w:color w:val="000000"/>
          <w:sz w:val="21"/>
          <w:szCs w:val="21"/>
        </w:rPr>
        <w:t>地图展示和省份空间查询。</w:t>
      </w:r>
    </w:p>
    <w:p w:rsidR="0074156F">
      <w:pPr>
        <w:pStyle w:val="NormalIndent"/>
        <w:rPr>
          <w:color w:val="000000"/>
          <w:sz w:val="21"/>
          <w:szCs w:val="21"/>
        </w:rPr>
      </w:pPr>
      <w:bookmarkStart w:id="73" w:name="_Toc16074"/>
      <w:bookmarkStart w:id="74" w:name="_Toc15268"/>
      <w:r>
        <w:rPr>
          <w:rFonts w:hint="eastAsia"/>
          <w:color w:val="000000"/>
          <w:sz w:val="21"/>
          <w:szCs w:val="21"/>
        </w:rPr>
        <w:t>（</w:t>
      </w:r>
      <w:r>
        <w:rPr>
          <w:rFonts w:hint="eastAsia"/>
          <w:color w:val="000000"/>
          <w:sz w:val="21"/>
          <w:szCs w:val="21"/>
        </w:rPr>
        <w:t>5</w:t>
      </w:r>
      <w:r>
        <w:rPr>
          <w:rFonts w:hint="eastAsia"/>
          <w:color w:val="000000"/>
          <w:sz w:val="21"/>
          <w:szCs w:val="21"/>
        </w:rPr>
        <w:t>）</w:t>
      </w:r>
      <w:r>
        <w:rPr>
          <w:rFonts w:hint="eastAsia"/>
          <w:color w:val="000000"/>
          <w:sz w:val="21"/>
          <w:szCs w:val="21"/>
        </w:rPr>
        <w:t>金融气象指数与服务产品综合可视化</w:t>
      </w:r>
      <w:bookmarkEnd w:id="73"/>
      <w:bookmarkEnd w:id="74"/>
    </w:p>
    <w:p w:rsidR="0074156F">
      <w:pPr>
        <w:pStyle w:val="NormalIndent"/>
        <w:rPr>
          <w:color w:val="000000"/>
          <w:sz w:val="21"/>
          <w:szCs w:val="21"/>
        </w:rPr>
      </w:pPr>
      <w:r>
        <w:rPr>
          <w:rFonts w:hint="eastAsia"/>
          <w:color w:val="000000"/>
          <w:sz w:val="21"/>
          <w:szCs w:val="21"/>
        </w:rPr>
        <w:t>实现金融气象指数的基础可视化展示，包括金融气象基础数据走势图，金融气象指数走势图，距</w:t>
      </w:r>
      <w:r>
        <w:rPr>
          <w:rFonts w:hint="eastAsia"/>
          <w:color w:val="000000"/>
          <w:sz w:val="21"/>
          <w:szCs w:val="21"/>
        </w:rPr>
        <w:t>平指数</w:t>
      </w:r>
      <w:r>
        <w:rPr>
          <w:rFonts w:hint="eastAsia"/>
          <w:color w:val="000000"/>
          <w:sz w:val="21"/>
          <w:szCs w:val="21"/>
        </w:rPr>
        <w:t>走势图等，同事提供指数图表下载和指数数据下载功能。</w:t>
      </w:r>
    </w:p>
    <w:p w:rsidR="0074156F">
      <w:pPr>
        <w:pStyle w:val="NormalIndent"/>
        <w:rPr>
          <w:color w:val="000000"/>
          <w:sz w:val="21"/>
          <w:szCs w:val="21"/>
        </w:rPr>
      </w:pPr>
      <w:bookmarkStart w:id="75" w:name="_Toc24113"/>
      <w:bookmarkStart w:id="76" w:name="_Toc6641"/>
      <w:r>
        <w:rPr>
          <w:rFonts w:hint="eastAsia"/>
          <w:color w:val="000000"/>
          <w:sz w:val="21"/>
          <w:szCs w:val="21"/>
        </w:rPr>
        <w:t>（</w:t>
      </w:r>
      <w:r>
        <w:rPr>
          <w:rFonts w:hint="eastAsia"/>
          <w:color w:val="000000"/>
          <w:sz w:val="21"/>
          <w:szCs w:val="21"/>
        </w:rPr>
        <w:t>6</w:t>
      </w:r>
      <w:r>
        <w:rPr>
          <w:rFonts w:hint="eastAsia"/>
          <w:color w:val="000000"/>
          <w:sz w:val="21"/>
          <w:szCs w:val="21"/>
        </w:rPr>
        <w:t>）</w:t>
      </w:r>
      <w:r>
        <w:rPr>
          <w:rFonts w:hint="eastAsia"/>
          <w:color w:val="000000"/>
          <w:sz w:val="21"/>
          <w:szCs w:val="21"/>
        </w:rPr>
        <w:t>金融气象指数与服务产品综</w:t>
      </w:r>
      <w:r>
        <w:rPr>
          <w:rFonts w:hint="eastAsia"/>
          <w:color w:val="000000"/>
          <w:sz w:val="21"/>
          <w:szCs w:val="21"/>
        </w:rPr>
        <w:t>合可视化展示</w:t>
      </w:r>
      <w:bookmarkEnd w:id="75"/>
      <w:bookmarkEnd w:id="76"/>
    </w:p>
    <w:p w:rsidR="0074156F">
      <w:pPr>
        <w:pStyle w:val="NormalIndent"/>
        <w:rPr>
          <w:color w:val="000000"/>
          <w:sz w:val="21"/>
          <w:szCs w:val="21"/>
        </w:rPr>
      </w:pPr>
      <w:r>
        <w:rPr>
          <w:rFonts w:hint="eastAsia"/>
          <w:color w:val="000000"/>
          <w:sz w:val="21"/>
          <w:szCs w:val="21"/>
        </w:rPr>
        <w:t>实现行业分类和气象要素分类的多维展示，包括时间维度、空间维度以及行业与气象要素之间的关联维度，使用户能够全方位、多角度地了解金融气象指数等产品信息。</w:t>
      </w:r>
    </w:p>
    <w:p w:rsidR="0074156F">
      <w:pPr>
        <w:pStyle w:val="NormalIndent"/>
        <w:rPr>
          <w:color w:val="000000"/>
          <w:sz w:val="21"/>
          <w:szCs w:val="21"/>
        </w:rPr>
      </w:pPr>
      <w:bookmarkStart w:id="77" w:name="_Toc32644"/>
      <w:bookmarkStart w:id="78" w:name="_Toc24410"/>
      <w:r>
        <w:rPr>
          <w:rFonts w:hint="eastAsia"/>
          <w:color w:val="000000"/>
          <w:sz w:val="21"/>
          <w:szCs w:val="21"/>
        </w:rPr>
        <w:t>（</w:t>
      </w:r>
      <w:r>
        <w:rPr>
          <w:rFonts w:hint="eastAsia"/>
          <w:color w:val="000000"/>
          <w:sz w:val="21"/>
          <w:szCs w:val="21"/>
        </w:rPr>
        <w:t>7</w:t>
      </w:r>
      <w:r>
        <w:rPr>
          <w:rFonts w:hint="eastAsia"/>
          <w:color w:val="000000"/>
          <w:sz w:val="21"/>
          <w:szCs w:val="21"/>
        </w:rPr>
        <w:t>）</w:t>
      </w:r>
      <w:r>
        <w:rPr>
          <w:rFonts w:hint="eastAsia"/>
          <w:color w:val="000000"/>
          <w:sz w:val="21"/>
          <w:szCs w:val="21"/>
        </w:rPr>
        <w:t>金融气象风险管理与决策支持</w:t>
      </w:r>
      <w:bookmarkEnd w:id="77"/>
      <w:bookmarkEnd w:id="78"/>
    </w:p>
    <w:p w:rsidR="0074156F">
      <w:pPr>
        <w:pStyle w:val="NormalIndent"/>
        <w:rPr>
          <w:color w:val="000000"/>
          <w:sz w:val="21"/>
          <w:szCs w:val="21"/>
        </w:rPr>
      </w:pPr>
      <w:r>
        <w:rPr>
          <w:rFonts w:hint="eastAsia"/>
          <w:color w:val="000000"/>
          <w:sz w:val="21"/>
          <w:szCs w:val="21"/>
        </w:rPr>
        <w:t>结合气象数据产品与金融模型自动生成金融气象风险评估报告，帮助金融机构识别和管理与气象相关的风险，开发决策支持模块，为用户提供实时的投资建议和风险预警。</w:t>
      </w:r>
    </w:p>
    <w:p w:rsidR="0074156F">
      <w:pPr>
        <w:pStyle w:val="NormalIndent"/>
        <w:rPr>
          <w:color w:val="000000"/>
          <w:sz w:val="21"/>
          <w:szCs w:val="21"/>
        </w:rPr>
      </w:pPr>
      <w:bookmarkStart w:id="79" w:name="_Toc19981"/>
      <w:bookmarkStart w:id="80" w:name="_Toc15794"/>
      <w:r>
        <w:rPr>
          <w:rFonts w:hint="eastAsia"/>
          <w:color w:val="000000"/>
          <w:sz w:val="21"/>
          <w:szCs w:val="21"/>
        </w:rPr>
        <w:t>（</w:t>
      </w:r>
      <w:r>
        <w:rPr>
          <w:rFonts w:hint="eastAsia"/>
          <w:color w:val="000000"/>
          <w:sz w:val="21"/>
          <w:szCs w:val="21"/>
        </w:rPr>
        <w:t>8</w:t>
      </w:r>
      <w:r>
        <w:rPr>
          <w:rFonts w:hint="eastAsia"/>
          <w:color w:val="000000"/>
          <w:sz w:val="21"/>
          <w:szCs w:val="21"/>
        </w:rPr>
        <w:t>）</w:t>
      </w:r>
      <w:r>
        <w:rPr>
          <w:rFonts w:hint="eastAsia"/>
          <w:color w:val="000000"/>
          <w:sz w:val="21"/>
          <w:szCs w:val="21"/>
        </w:rPr>
        <w:t>金融气象指数与服务产品接口服务</w:t>
      </w:r>
      <w:bookmarkEnd w:id="79"/>
      <w:bookmarkEnd w:id="80"/>
    </w:p>
    <w:p w:rsidR="0074156F">
      <w:pPr>
        <w:pStyle w:val="NormalIndent"/>
        <w:rPr>
          <w:color w:val="000000"/>
          <w:sz w:val="21"/>
          <w:szCs w:val="21"/>
        </w:rPr>
      </w:pPr>
      <w:r>
        <w:rPr>
          <w:rFonts w:hint="eastAsia"/>
          <w:color w:val="000000"/>
          <w:sz w:val="21"/>
          <w:szCs w:val="21"/>
        </w:rPr>
        <w:t>建设金融气象指数特色的分布式存储体系和统一服务接口，保障海量数据高效存储，支持跨平台的数据访问和服务调用。</w:t>
      </w:r>
    </w:p>
    <w:p w:rsidR="0074156F">
      <w:pPr>
        <w:pStyle w:val="NormalIndent"/>
        <w:rPr>
          <w:color w:val="000000"/>
          <w:sz w:val="21"/>
          <w:szCs w:val="21"/>
        </w:rPr>
      </w:pPr>
      <w:bookmarkStart w:id="81" w:name="_Toc5298"/>
      <w:bookmarkStart w:id="82" w:name="_Toc15716"/>
      <w:r>
        <w:rPr>
          <w:rFonts w:hint="eastAsia"/>
          <w:color w:val="000000"/>
          <w:sz w:val="21"/>
          <w:szCs w:val="21"/>
        </w:rPr>
        <w:t>（</w:t>
      </w:r>
      <w:r>
        <w:rPr>
          <w:rFonts w:hint="eastAsia"/>
          <w:color w:val="000000"/>
          <w:sz w:val="21"/>
          <w:szCs w:val="21"/>
        </w:rPr>
        <w:t>9</w:t>
      </w:r>
      <w:r>
        <w:rPr>
          <w:rFonts w:hint="eastAsia"/>
          <w:color w:val="000000"/>
          <w:sz w:val="21"/>
          <w:szCs w:val="21"/>
        </w:rPr>
        <w:t>）</w:t>
      </w:r>
      <w:r>
        <w:rPr>
          <w:rFonts w:hint="eastAsia"/>
          <w:color w:val="000000"/>
          <w:sz w:val="21"/>
          <w:szCs w:val="21"/>
        </w:rPr>
        <w:t>金融气象指数与服务产品定制化服务</w:t>
      </w:r>
      <w:bookmarkEnd w:id="81"/>
      <w:bookmarkEnd w:id="82"/>
    </w:p>
    <w:p w:rsidR="0074156F">
      <w:pPr>
        <w:pStyle w:val="NormalIndent"/>
        <w:rPr>
          <w:color w:val="000000"/>
          <w:sz w:val="21"/>
          <w:szCs w:val="21"/>
        </w:rPr>
      </w:pPr>
      <w:r>
        <w:rPr>
          <w:rFonts w:hint="eastAsia"/>
          <w:color w:val="000000"/>
          <w:sz w:val="21"/>
          <w:szCs w:val="21"/>
        </w:rPr>
        <w:t>建设金融气象指数服务用户权限管理体系，用户可以通过在网站进行账户注册，注册成功后购买不同的服务来获得定制化的数据查看、下载权限。</w:t>
      </w:r>
    </w:p>
    <w:p w:rsidR="0074156F">
      <w:pPr>
        <w:pStyle w:val="NormalIndent"/>
        <w:rPr>
          <w:color w:val="000000"/>
          <w:sz w:val="21"/>
          <w:szCs w:val="21"/>
        </w:rPr>
      </w:pPr>
      <w:bookmarkStart w:id="83" w:name="_Toc28051"/>
      <w:bookmarkStart w:id="84" w:name="_Toc32176"/>
      <w:r>
        <w:rPr>
          <w:rFonts w:hint="eastAsia"/>
          <w:color w:val="000000"/>
          <w:sz w:val="21"/>
          <w:szCs w:val="21"/>
        </w:rPr>
        <w:t>（</w:t>
      </w:r>
      <w:r>
        <w:rPr>
          <w:rFonts w:hint="eastAsia"/>
          <w:color w:val="000000"/>
          <w:sz w:val="21"/>
          <w:szCs w:val="21"/>
        </w:rPr>
        <w:t>10</w:t>
      </w:r>
      <w:r>
        <w:rPr>
          <w:rFonts w:hint="eastAsia"/>
          <w:color w:val="000000"/>
          <w:sz w:val="21"/>
          <w:szCs w:val="21"/>
        </w:rPr>
        <w:t>）</w:t>
      </w:r>
      <w:r>
        <w:rPr>
          <w:rFonts w:hint="eastAsia"/>
          <w:color w:val="000000"/>
          <w:sz w:val="21"/>
          <w:szCs w:val="21"/>
        </w:rPr>
        <w:t>金融气象指数与服务产品用户社区</w:t>
      </w:r>
      <w:bookmarkEnd w:id="83"/>
      <w:bookmarkEnd w:id="84"/>
    </w:p>
    <w:p w:rsidR="0074156F">
      <w:pPr>
        <w:pStyle w:val="NormalIndent"/>
        <w:rPr>
          <w:color w:val="000000"/>
          <w:sz w:val="21"/>
          <w:szCs w:val="21"/>
        </w:rPr>
      </w:pPr>
      <w:r>
        <w:rPr>
          <w:rFonts w:hint="eastAsia"/>
          <w:color w:val="000000"/>
          <w:sz w:val="21"/>
          <w:szCs w:val="21"/>
        </w:rPr>
        <w:t>建立用户社区，汇集各国在气象金融服务方面的成功案例，进行经验分享和实践交流</w:t>
      </w:r>
      <w:r>
        <w:rPr>
          <w:rFonts w:hint="eastAsia"/>
          <w:color w:val="000000"/>
          <w:sz w:val="21"/>
          <w:szCs w:val="21"/>
        </w:rPr>
        <w:t>,</w:t>
      </w:r>
      <w:r>
        <w:rPr>
          <w:rFonts w:hint="eastAsia"/>
          <w:color w:val="000000"/>
          <w:sz w:val="21"/>
          <w:szCs w:val="21"/>
        </w:rPr>
        <w:t>促进用户之间的互动与合作。</w:t>
      </w:r>
    </w:p>
    <w:p w:rsidR="0074156F">
      <w:pPr>
        <w:pStyle w:val="NormalIndent"/>
        <w:rPr>
          <w:color w:val="000000"/>
          <w:sz w:val="21"/>
          <w:szCs w:val="21"/>
        </w:rPr>
      </w:pPr>
      <w:bookmarkStart w:id="85" w:name="_Toc20706"/>
      <w:bookmarkStart w:id="86" w:name="_Toc4327"/>
      <w:r>
        <w:rPr>
          <w:rFonts w:hint="eastAsia"/>
          <w:color w:val="000000"/>
          <w:sz w:val="21"/>
          <w:szCs w:val="21"/>
        </w:rPr>
        <w:t>（</w:t>
      </w:r>
      <w:r>
        <w:rPr>
          <w:rFonts w:hint="eastAsia"/>
          <w:color w:val="000000"/>
          <w:sz w:val="21"/>
          <w:szCs w:val="21"/>
        </w:rPr>
        <w:t>11</w:t>
      </w:r>
      <w:r>
        <w:rPr>
          <w:rFonts w:hint="eastAsia"/>
          <w:color w:val="000000"/>
          <w:sz w:val="21"/>
          <w:szCs w:val="21"/>
        </w:rPr>
        <w:t>）</w:t>
      </w:r>
      <w:r>
        <w:rPr>
          <w:rFonts w:hint="eastAsia"/>
          <w:color w:val="000000"/>
          <w:sz w:val="21"/>
          <w:szCs w:val="21"/>
        </w:rPr>
        <w:t>金融气象指数与服务产品后台系统管理</w:t>
      </w:r>
      <w:bookmarkEnd w:id="85"/>
      <w:bookmarkEnd w:id="86"/>
    </w:p>
    <w:p w:rsidR="0074156F">
      <w:pPr>
        <w:pStyle w:val="NormalIndent"/>
        <w:rPr>
          <w:color w:val="000000"/>
          <w:sz w:val="21"/>
          <w:szCs w:val="21"/>
        </w:rPr>
      </w:pPr>
      <w:r>
        <w:rPr>
          <w:rFonts w:hint="eastAsia"/>
          <w:color w:val="000000"/>
          <w:sz w:val="21"/>
          <w:szCs w:val="21"/>
        </w:rPr>
        <w:t>建设金融气象指数与服务网站后台管理系统，通过建</w:t>
      </w:r>
      <w:r>
        <w:rPr>
          <w:rFonts w:hint="eastAsia"/>
          <w:color w:val="000000"/>
          <w:sz w:val="21"/>
          <w:szCs w:val="21"/>
        </w:rPr>
        <w:t>全用户</w:t>
      </w:r>
      <w:r>
        <w:rPr>
          <w:rFonts w:hint="eastAsia"/>
          <w:color w:val="000000"/>
          <w:sz w:val="21"/>
          <w:szCs w:val="21"/>
        </w:rPr>
        <w:t>级别体系、用户成长体系、功能权限体系、数据级别体系、服务统计分析体系、组件管理体系来对平台进行全面的管理，提</w:t>
      </w:r>
      <w:r>
        <w:rPr>
          <w:rFonts w:hint="eastAsia"/>
          <w:color w:val="000000"/>
          <w:sz w:val="21"/>
          <w:szCs w:val="21"/>
        </w:rPr>
        <w:t>升运营效率，优化用户体验。</w:t>
      </w:r>
    </w:p>
    <w:p w:rsidR="0074156F">
      <w:pPr>
        <w:pStyle w:val="NormalIndent"/>
        <w:rPr>
          <w:color w:val="000000"/>
          <w:sz w:val="21"/>
          <w:szCs w:val="21"/>
        </w:rPr>
      </w:pPr>
      <w:bookmarkStart w:id="87" w:name="_Toc1588"/>
      <w:bookmarkStart w:id="88" w:name="_Toc7677"/>
      <w:r>
        <w:rPr>
          <w:rFonts w:hint="eastAsia"/>
          <w:color w:val="000000"/>
          <w:sz w:val="21"/>
          <w:szCs w:val="21"/>
        </w:rPr>
        <w:t>（</w:t>
      </w:r>
      <w:r>
        <w:rPr>
          <w:rFonts w:hint="eastAsia"/>
          <w:color w:val="000000"/>
          <w:sz w:val="21"/>
          <w:szCs w:val="21"/>
        </w:rPr>
        <w:t>12</w:t>
      </w:r>
      <w:r>
        <w:rPr>
          <w:rFonts w:hint="eastAsia"/>
          <w:color w:val="000000"/>
          <w:sz w:val="21"/>
          <w:szCs w:val="21"/>
        </w:rPr>
        <w:t>）</w:t>
      </w:r>
      <w:r>
        <w:rPr>
          <w:rFonts w:hint="eastAsia"/>
          <w:color w:val="000000"/>
          <w:sz w:val="21"/>
          <w:szCs w:val="21"/>
        </w:rPr>
        <w:t>金融气象指数与服务产品内容管理</w:t>
      </w:r>
      <w:bookmarkEnd w:id="87"/>
      <w:bookmarkEnd w:id="88"/>
    </w:p>
    <w:p w:rsidR="0074156F">
      <w:pPr>
        <w:pStyle w:val="NormalIndent"/>
        <w:rPr>
          <w:color w:val="000000"/>
          <w:sz w:val="21"/>
          <w:szCs w:val="21"/>
        </w:rPr>
      </w:pPr>
      <w:r>
        <w:rPr>
          <w:rFonts w:hint="eastAsia"/>
          <w:color w:val="000000"/>
          <w:sz w:val="21"/>
          <w:szCs w:val="21"/>
        </w:rPr>
        <w:t>建设金融气象指数与服务网站内容管理系统，通过后台的配置页面对金融气象指数进行配置，例如行业目录、指数名称、指数数据源、指数站点权重、指数对应的</w:t>
      </w:r>
      <w:r>
        <w:rPr>
          <w:rFonts w:hint="eastAsia"/>
          <w:color w:val="000000"/>
          <w:sz w:val="21"/>
          <w:szCs w:val="21"/>
        </w:rPr>
        <w:t>VIP</w:t>
      </w:r>
      <w:r>
        <w:rPr>
          <w:rFonts w:hint="eastAsia"/>
          <w:color w:val="000000"/>
          <w:sz w:val="21"/>
          <w:szCs w:val="21"/>
        </w:rPr>
        <w:t>功能等。</w:t>
      </w:r>
    </w:p>
    <w:p w:rsidR="0074156F">
      <w:pPr>
        <w:pStyle w:val="NormalIndent"/>
        <w:rPr>
          <w:color w:val="000000"/>
          <w:sz w:val="21"/>
          <w:szCs w:val="21"/>
        </w:rPr>
      </w:pPr>
      <w:r>
        <w:rPr>
          <w:rFonts w:hint="eastAsia"/>
          <w:color w:val="000000"/>
          <w:sz w:val="21"/>
          <w:szCs w:val="21"/>
        </w:rPr>
        <w:t>（</w:t>
      </w:r>
      <w:r>
        <w:rPr>
          <w:rFonts w:hint="eastAsia"/>
          <w:color w:val="000000"/>
          <w:sz w:val="21"/>
          <w:szCs w:val="21"/>
        </w:rPr>
        <w:t>13</w:t>
      </w:r>
      <w:r>
        <w:rPr>
          <w:rFonts w:hint="eastAsia"/>
          <w:color w:val="000000"/>
          <w:sz w:val="21"/>
          <w:szCs w:val="21"/>
        </w:rPr>
        <w:t>）</w:t>
      </w:r>
      <w:r>
        <w:rPr>
          <w:rFonts w:hint="eastAsia"/>
          <w:color w:val="000000"/>
          <w:sz w:val="21"/>
          <w:szCs w:val="21"/>
        </w:rPr>
        <w:t>国际</w:t>
      </w:r>
      <w:r>
        <w:rPr>
          <w:rFonts w:hint="eastAsia"/>
          <w:color w:val="000000"/>
          <w:sz w:val="21"/>
          <w:szCs w:val="21"/>
        </w:rPr>
        <w:t>版金融</w:t>
      </w:r>
      <w:r>
        <w:rPr>
          <w:rFonts w:hint="eastAsia"/>
          <w:color w:val="000000"/>
          <w:sz w:val="21"/>
          <w:szCs w:val="21"/>
        </w:rPr>
        <w:t>气象指数服务</w:t>
      </w:r>
      <w:r>
        <w:rPr>
          <w:rFonts w:hint="eastAsia"/>
          <w:color w:val="000000"/>
          <w:sz w:val="21"/>
          <w:szCs w:val="21"/>
        </w:rPr>
        <w:t>网站</w:t>
      </w:r>
    </w:p>
    <w:p w:rsidR="0074156F">
      <w:pPr>
        <w:pStyle w:val="NormalIndent"/>
        <w:rPr>
          <w:color w:val="000000"/>
          <w:sz w:val="21"/>
          <w:szCs w:val="21"/>
        </w:rPr>
      </w:pPr>
      <w:r>
        <w:rPr>
          <w:rFonts w:hint="eastAsia"/>
          <w:color w:val="000000"/>
          <w:sz w:val="21"/>
          <w:szCs w:val="21"/>
        </w:rPr>
        <w:t>在中国金融气象指数与服务</w:t>
      </w:r>
      <w:r>
        <w:rPr>
          <w:rFonts w:hint="eastAsia"/>
          <w:color w:val="000000"/>
          <w:sz w:val="21"/>
          <w:szCs w:val="21"/>
        </w:rPr>
        <w:t>网站</w:t>
      </w:r>
      <w:r>
        <w:rPr>
          <w:rFonts w:hint="eastAsia"/>
          <w:color w:val="000000"/>
          <w:sz w:val="21"/>
          <w:szCs w:val="21"/>
        </w:rPr>
        <w:t>(</w:t>
      </w:r>
      <w:r>
        <w:rPr>
          <w:rFonts w:hint="eastAsia"/>
          <w:color w:val="000000"/>
          <w:sz w:val="21"/>
          <w:szCs w:val="21"/>
        </w:rPr>
        <w:t>中文版</w:t>
      </w:r>
      <w:r>
        <w:rPr>
          <w:rFonts w:hint="eastAsia"/>
          <w:color w:val="000000"/>
          <w:sz w:val="21"/>
          <w:szCs w:val="21"/>
        </w:rPr>
        <w:t>)</w:t>
      </w:r>
      <w:r>
        <w:rPr>
          <w:rFonts w:hint="eastAsia"/>
          <w:color w:val="000000"/>
          <w:sz w:val="21"/>
          <w:szCs w:val="21"/>
        </w:rPr>
        <w:t>的基础上，面向香港地区金融市场及国际金融机构对气象风险及气象服务的需求，建设中国金融气象指数与服务</w:t>
      </w:r>
      <w:r>
        <w:rPr>
          <w:rFonts w:hint="eastAsia"/>
          <w:color w:val="000000"/>
          <w:sz w:val="21"/>
          <w:szCs w:val="21"/>
        </w:rPr>
        <w:t>网站（</w:t>
      </w:r>
      <w:r>
        <w:rPr>
          <w:rFonts w:hint="eastAsia"/>
          <w:color w:val="000000"/>
          <w:sz w:val="21"/>
          <w:szCs w:val="21"/>
        </w:rPr>
        <w:t>国际版</w:t>
      </w:r>
      <w:r>
        <w:rPr>
          <w:rFonts w:hint="eastAsia"/>
          <w:color w:val="000000"/>
          <w:sz w:val="21"/>
          <w:szCs w:val="21"/>
        </w:rPr>
        <w:t>）</w:t>
      </w:r>
      <w:r>
        <w:rPr>
          <w:rFonts w:hint="eastAsia"/>
          <w:color w:val="000000"/>
          <w:sz w:val="21"/>
          <w:szCs w:val="21"/>
        </w:rPr>
        <w:t>。</w:t>
      </w:r>
    </w:p>
    <w:p w:rsidR="0074156F">
      <w:pPr>
        <w:pStyle w:val="NormalIndent"/>
        <w:rPr>
          <w:color w:val="000000"/>
          <w:sz w:val="21"/>
          <w:szCs w:val="21"/>
        </w:rPr>
      </w:pPr>
      <w:bookmarkStart w:id="89" w:name="_Toc8665"/>
      <w:r>
        <w:rPr>
          <w:rFonts w:hint="eastAsia"/>
          <w:color w:val="000000"/>
          <w:sz w:val="21"/>
          <w:szCs w:val="21"/>
        </w:rPr>
        <w:t>（</w:t>
      </w:r>
      <w:r>
        <w:rPr>
          <w:rFonts w:hint="eastAsia"/>
          <w:color w:val="000000"/>
          <w:sz w:val="21"/>
          <w:szCs w:val="21"/>
        </w:rPr>
        <w:t>14</w:t>
      </w:r>
      <w:r>
        <w:rPr>
          <w:rFonts w:hint="eastAsia"/>
          <w:color w:val="000000"/>
          <w:sz w:val="21"/>
          <w:szCs w:val="21"/>
        </w:rPr>
        <w:t>）金融气象指数场景应用</w:t>
      </w:r>
      <w:bookmarkEnd w:id="89"/>
    </w:p>
    <w:p w:rsidR="0074156F">
      <w:pPr>
        <w:pStyle w:val="NormalIndent"/>
        <w:rPr>
          <w:color w:val="000000"/>
          <w:sz w:val="21"/>
          <w:szCs w:val="21"/>
        </w:rPr>
      </w:pPr>
      <w:r>
        <w:rPr>
          <w:color w:val="000000"/>
          <w:sz w:val="21"/>
          <w:szCs w:val="21"/>
        </w:rPr>
        <w:t>结合保险、</w:t>
      </w:r>
      <w:r>
        <w:rPr>
          <w:color w:val="000000"/>
          <w:sz w:val="21"/>
          <w:szCs w:val="21"/>
        </w:rPr>
        <w:t>ESG</w:t>
      </w:r>
      <w:r>
        <w:rPr>
          <w:color w:val="000000"/>
          <w:sz w:val="21"/>
          <w:szCs w:val="21"/>
        </w:rPr>
        <w:t>、期货等对专业化气象服务的需求，提供不同场景的金融</w:t>
      </w:r>
      <w:r>
        <w:rPr>
          <w:color w:val="000000"/>
          <w:sz w:val="21"/>
          <w:szCs w:val="21"/>
        </w:rPr>
        <w:t>气象服务。</w:t>
      </w:r>
    </w:p>
    <w:p w:rsidR="0074156F">
      <w:pPr>
        <w:pStyle w:val="NormalIndent"/>
        <w:rPr>
          <w:color w:val="000000"/>
          <w:sz w:val="21"/>
          <w:szCs w:val="21"/>
        </w:rPr>
      </w:pPr>
      <w:bookmarkStart w:id="90" w:name="_Toc20587"/>
      <w:r>
        <w:rPr>
          <w:rFonts w:hint="eastAsia"/>
          <w:color w:val="000000"/>
          <w:sz w:val="21"/>
          <w:szCs w:val="21"/>
        </w:rPr>
        <w:t>（</w:t>
      </w:r>
      <w:r>
        <w:rPr>
          <w:rFonts w:hint="eastAsia"/>
          <w:color w:val="000000"/>
          <w:sz w:val="21"/>
          <w:szCs w:val="21"/>
        </w:rPr>
        <w:t>15</w:t>
      </w:r>
      <w:r>
        <w:rPr>
          <w:rFonts w:hint="eastAsia"/>
          <w:color w:val="000000"/>
          <w:sz w:val="21"/>
          <w:szCs w:val="21"/>
        </w:rPr>
        <w:t>）省级金融气象创新应用</w:t>
      </w:r>
      <w:bookmarkEnd w:id="90"/>
    </w:p>
    <w:p w:rsidR="0074156F">
      <w:pPr>
        <w:pStyle w:val="NormalIndent"/>
        <w:rPr>
          <w:color w:val="000000"/>
          <w:sz w:val="21"/>
          <w:szCs w:val="21"/>
        </w:rPr>
      </w:pPr>
      <w:r>
        <w:rPr>
          <w:rFonts w:hint="eastAsia"/>
          <w:color w:val="000000"/>
          <w:sz w:val="21"/>
          <w:szCs w:val="21"/>
        </w:rPr>
        <w:t>为各省特色金融气象服务提供发布专区，提升省级创新应用服务产品的市场认知度，助力各省金融气象服务。</w:t>
      </w:r>
    </w:p>
    <w:p w:rsidR="0074156F">
      <w:pPr>
        <w:pStyle w:val="NormalIndent"/>
        <w:rPr>
          <w:color w:val="000000"/>
          <w:sz w:val="21"/>
          <w:szCs w:val="21"/>
        </w:rPr>
      </w:pPr>
      <w:bookmarkStart w:id="91" w:name="_Toc19063"/>
      <w:r>
        <w:rPr>
          <w:rFonts w:hint="eastAsia"/>
          <w:color w:val="000000"/>
          <w:sz w:val="21"/>
          <w:szCs w:val="21"/>
        </w:rPr>
        <w:t>（</w:t>
      </w:r>
      <w:r>
        <w:rPr>
          <w:rFonts w:hint="eastAsia"/>
          <w:color w:val="000000"/>
          <w:sz w:val="21"/>
          <w:szCs w:val="21"/>
        </w:rPr>
        <w:t>16</w:t>
      </w:r>
      <w:r>
        <w:rPr>
          <w:rFonts w:hint="eastAsia"/>
          <w:color w:val="000000"/>
          <w:sz w:val="21"/>
          <w:szCs w:val="21"/>
        </w:rPr>
        <w:t>）</w:t>
      </w:r>
      <w:r>
        <w:rPr>
          <w:rFonts w:hint="eastAsia"/>
          <w:color w:val="000000"/>
          <w:sz w:val="21"/>
          <w:szCs w:val="21"/>
        </w:rPr>
        <w:t>金融气象指数产品准入管理</w:t>
      </w:r>
      <w:bookmarkEnd w:id="91"/>
    </w:p>
    <w:p w:rsidR="0074156F">
      <w:pPr>
        <w:pStyle w:val="NormalIndent"/>
        <w:rPr>
          <w:color w:val="000000"/>
          <w:sz w:val="21"/>
          <w:szCs w:val="21"/>
        </w:rPr>
      </w:pPr>
      <w:r>
        <w:rPr>
          <w:rFonts w:hint="eastAsia"/>
          <w:color w:val="000000"/>
          <w:sz w:val="21"/>
          <w:szCs w:val="21"/>
        </w:rPr>
        <w:t>建设金融气象指数产品准入管理系统，通过可视化界面进行统一的数据准入信息填写，并进行金融气象指数接入试运行，基于试运行结果进行准入审批。</w:t>
      </w:r>
    </w:p>
    <w:p w:rsidR="0074156F">
      <w:pPr>
        <w:pStyle w:val="NormalIndent"/>
        <w:rPr>
          <w:color w:val="000000"/>
          <w:sz w:val="21"/>
          <w:szCs w:val="21"/>
        </w:rPr>
      </w:pPr>
      <w:bookmarkStart w:id="92" w:name="_Toc27147"/>
      <w:r>
        <w:rPr>
          <w:rFonts w:hint="eastAsia"/>
          <w:color w:val="000000"/>
          <w:sz w:val="21"/>
          <w:szCs w:val="21"/>
        </w:rPr>
        <w:t>（</w:t>
      </w:r>
      <w:r>
        <w:rPr>
          <w:rFonts w:hint="eastAsia"/>
          <w:color w:val="000000"/>
          <w:sz w:val="21"/>
          <w:szCs w:val="21"/>
        </w:rPr>
        <w:t>17</w:t>
      </w:r>
      <w:r>
        <w:rPr>
          <w:rFonts w:hint="eastAsia"/>
          <w:color w:val="000000"/>
          <w:sz w:val="21"/>
          <w:szCs w:val="21"/>
        </w:rPr>
        <w:t>）</w:t>
      </w:r>
      <w:r>
        <w:rPr>
          <w:rFonts w:hint="eastAsia"/>
          <w:color w:val="000000"/>
          <w:sz w:val="21"/>
          <w:szCs w:val="21"/>
        </w:rPr>
        <w:t>金融气象指数风险控制</w:t>
      </w:r>
      <w:bookmarkEnd w:id="92"/>
    </w:p>
    <w:p w:rsidR="0074156F">
      <w:pPr>
        <w:pStyle w:val="NormalIndent"/>
        <w:rPr>
          <w:color w:val="000000"/>
          <w:sz w:val="21"/>
          <w:szCs w:val="21"/>
        </w:rPr>
      </w:pPr>
      <w:r>
        <w:rPr>
          <w:rFonts w:hint="eastAsia"/>
          <w:color w:val="000000"/>
          <w:sz w:val="21"/>
          <w:szCs w:val="21"/>
        </w:rPr>
        <w:t>建设金融气象指数产品从采集、加工到可视化展示的全流程监控，根据流程各环节风险点进行风险监控与告警。提供风险应急处理页面，并生成评估分析报告。</w:t>
      </w:r>
    </w:p>
    <w:p w:rsidR="0074156F">
      <w:pPr>
        <w:pStyle w:val="NormalIndent"/>
        <w:rPr>
          <w:color w:val="000000"/>
          <w:sz w:val="21"/>
          <w:szCs w:val="21"/>
        </w:rPr>
      </w:pPr>
      <w:bookmarkStart w:id="93" w:name="_Toc18121"/>
      <w:r>
        <w:rPr>
          <w:rFonts w:hint="eastAsia"/>
          <w:color w:val="000000"/>
          <w:sz w:val="21"/>
          <w:szCs w:val="21"/>
        </w:rPr>
        <w:t>（</w:t>
      </w:r>
      <w:r>
        <w:rPr>
          <w:rFonts w:hint="eastAsia"/>
          <w:color w:val="000000"/>
          <w:sz w:val="21"/>
          <w:szCs w:val="21"/>
        </w:rPr>
        <w:t>18</w:t>
      </w:r>
      <w:r>
        <w:rPr>
          <w:rFonts w:hint="eastAsia"/>
          <w:color w:val="000000"/>
          <w:sz w:val="21"/>
          <w:szCs w:val="21"/>
        </w:rPr>
        <w:t>）</w:t>
      </w:r>
      <w:r>
        <w:rPr>
          <w:rFonts w:hint="eastAsia"/>
          <w:color w:val="000000"/>
          <w:sz w:val="21"/>
          <w:szCs w:val="21"/>
        </w:rPr>
        <w:t>金融气象指数运维管理</w:t>
      </w:r>
      <w:bookmarkEnd w:id="93"/>
    </w:p>
    <w:p w:rsidR="0074156F">
      <w:pPr>
        <w:pStyle w:val="NormalIndent"/>
        <w:rPr>
          <w:color w:val="000000"/>
          <w:sz w:val="21"/>
          <w:szCs w:val="21"/>
        </w:rPr>
      </w:pPr>
      <w:r>
        <w:rPr>
          <w:rFonts w:hint="eastAsia"/>
          <w:color w:val="000000"/>
          <w:sz w:val="21"/>
          <w:szCs w:val="21"/>
        </w:rPr>
        <w:t>对金融气象指数产品加工计算时数据源异常的详细情况进行记录，并提供一键补做功能。对各子系统生成的评估报告进行统一归档。</w:t>
      </w:r>
    </w:p>
    <w:p w:rsidR="0074156F">
      <w:pPr>
        <w:pStyle w:val="NormalIndent"/>
        <w:rPr>
          <w:color w:val="000000"/>
          <w:sz w:val="21"/>
          <w:szCs w:val="21"/>
        </w:rPr>
      </w:pPr>
      <w:bookmarkStart w:id="94" w:name="_Toc8083"/>
      <w:r>
        <w:rPr>
          <w:rFonts w:hint="eastAsia"/>
          <w:color w:val="000000"/>
          <w:sz w:val="21"/>
          <w:szCs w:val="21"/>
        </w:rPr>
        <w:t>（</w:t>
      </w:r>
      <w:r>
        <w:rPr>
          <w:rFonts w:hint="eastAsia"/>
          <w:color w:val="000000"/>
          <w:sz w:val="21"/>
          <w:szCs w:val="21"/>
        </w:rPr>
        <w:t>19</w:t>
      </w:r>
      <w:r>
        <w:rPr>
          <w:rFonts w:hint="eastAsia"/>
          <w:color w:val="000000"/>
          <w:sz w:val="21"/>
          <w:szCs w:val="21"/>
        </w:rPr>
        <w:t>）</w:t>
      </w:r>
      <w:r>
        <w:rPr>
          <w:rFonts w:hint="eastAsia"/>
          <w:color w:val="000000"/>
          <w:sz w:val="21"/>
          <w:szCs w:val="21"/>
        </w:rPr>
        <w:t>金融气象指数合</w:t>
      </w:r>
      <w:r>
        <w:rPr>
          <w:rFonts w:hint="eastAsia"/>
          <w:color w:val="000000"/>
          <w:sz w:val="21"/>
          <w:szCs w:val="21"/>
        </w:rPr>
        <w:t>规</w:t>
      </w:r>
      <w:r>
        <w:rPr>
          <w:rFonts w:hint="eastAsia"/>
          <w:color w:val="000000"/>
          <w:sz w:val="21"/>
          <w:szCs w:val="21"/>
        </w:rPr>
        <w:t>性管理</w:t>
      </w:r>
      <w:bookmarkEnd w:id="94"/>
    </w:p>
    <w:p w:rsidR="0074156F">
      <w:pPr>
        <w:pStyle w:val="NormalIndent"/>
        <w:rPr>
          <w:color w:val="000000"/>
          <w:sz w:val="21"/>
          <w:szCs w:val="21"/>
        </w:rPr>
      </w:pPr>
      <w:r>
        <w:rPr>
          <w:rFonts w:hint="eastAsia"/>
          <w:color w:val="000000"/>
          <w:sz w:val="21"/>
          <w:szCs w:val="21"/>
        </w:rPr>
        <w:t>建设金融气象指数合</w:t>
      </w:r>
      <w:r>
        <w:rPr>
          <w:rFonts w:hint="eastAsia"/>
          <w:color w:val="000000"/>
          <w:sz w:val="21"/>
          <w:szCs w:val="21"/>
        </w:rPr>
        <w:t>规</w:t>
      </w:r>
      <w:r>
        <w:rPr>
          <w:rFonts w:hint="eastAsia"/>
          <w:color w:val="000000"/>
          <w:sz w:val="21"/>
          <w:szCs w:val="21"/>
        </w:rPr>
        <w:t>性管理系统，通过可视化界面进行指数规范填写，并将指数加工操作日志进行统一分类存储，定时生成指数合</w:t>
      </w:r>
      <w:r>
        <w:rPr>
          <w:rFonts w:hint="eastAsia"/>
          <w:color w:val="000000"/>
          <w:sz w:val="21"/>
          <w:szCs w:val="21"/>
        </w:rPr>
        <w:t>规</w:t>
      </w:r>
      <w:r>
        <w:rPr>
          <w:rFonts w:hint="eastAsia"/>
          <w:color w:val="000000"/>
          <w:sz w:val="21"/>
          <w:szCs w:val="21"/>
        </w:rPr>
        <w:t>性报告。</w:t>
      </w:r>
    </w:p>
    <w:p w:rsidR="0074156F">
      <w:pPr>
        <w:pStyle w:val="NormalIndent"/>
        <w:rPr>
          <w:color w:val="000000"/>
          <w:sz w:val="21"/>
          <w:szCs w:val="21"/>
        </w:rPr>
      </w:pPr>
      <w:bookmarkStart w:id="95" w:name="_Toc9179"/>
      <w:r>
        <w:rPr>
          <w:rFonts w:hint="eastAsia"/>
          <w:color w:val="000000"/>
          <w:sz w:val="21"/>
          <w:szCs w:val="21"/>
        </w:rPr>
        <w:t>（</w:t>
      </w:r>
      <w:r>
        <w:rPr>
          <w:rFonts w:hint="eastAsia"/>
          <w:color w:val="000000"/>
          <w:sz w:val="21"/>
          <w:szCs w:val="21"/>
        </w:rPr>
        <w:t>20</w:t>
      </w:r>
      <w:r>
        <w:rPr>
          <w:rFonts w:hint="eastAsia"/>
          <w:color w:val="000000"/>
          <w:sz w:val="21"/>
          <w:szCs w:val="21"/>
        </w:rPr>
        <w:t>）</w:t>
      </w:r>
      <w:r>
        <w:rPr>
          <w:rFonts w:hint="eastAsia"/>
          <w:color w:val="000000"/>
          <w:sz w:val="21"/>
          <w:szCs w:val="21"/>
        </w:rPr>
        <w:t>金融气象指数据校验</w:t>
      </w:r>
      <w:bookmarkEnd w:id="95"/>
    </w:p>
    <w:p w:rsidR="0074156F">
      <w:pPr>
        <w:pStyle w:val="NormalIndent"/>
        <w:rPr>
          <w:color w:val="000000"/>
          <w:sz w:val="21"/>
          <w:szCs w:val="21"/>
        </w:rPr>
      </w:pPr>
      <w:r>
        <w:rPr>
          <w:rFonts w:hint="eastAsia"/>
          <w:color w:val="000000"/>
          <w:sz w:val="21"/>
          <w:szCs w:val="21"/>
        </w:rPr>
        <w:t>建设金融气象指数数据校验系统，根据金融气象指数的合</w:t>
      </w:r>
      <w:r>
        <w:rPr>
          <w:rFonts w:hint="eastAsia"/>
          <w:color w:val="000000"/>
          <w:sz w:val="21"/>
          <w:szCs w:val="21"/>
        </w:rPr>
        <w:t>规</w:t>
      </w:r>
      <w:r>
        <w:rPr>
          <w:rFonts w:hint="eastAsia"/>
          <w:color w:val="000000"/>
          <w:sz w:val="21"/>
          <w:szCs w:val="21"/>
        </w:rPr>
        <w:t>性要求与准入要求，对金融气象指数数据进行数据质量验证，根据验证结果生成指数数据验证报告。</w:t>
      </w:r>
    </w:p>
    <w:p w:rsidR="0074156F">
      <w:pPr>
        <w:pStyle w:val="NormalIndent"/>
        <w:rPr>
          <w:color w:val="000000"/>
          <w:sz w:val="21"/>
          <w:szCs w:val="21"/>
        </w:rPr>
      </w:pPr>
      <w:bookmarkStart w:id="96" w:name="_Toc6143"/>
      <w:r>
        <w:rPr>
          <w:rFonts w:hint="eastAsia"/>
          <w:color w:val="000000"/>
          <w:sz w:val="21"/>
          <w:szCs w:val="21"/>
        </w:rPr>
        <w:t>（</w:t>
      </w:r>
      <w:r>
        <w:rPr>
          <w:rFonts w:hint="eastAsia"/>
          <w:color w:val="000000"/>
          <w:sz w:val="21"/>
          <w:szCs w:val="21"/>
        </w:rPr>
        <w:t>21</w:t>
      </w:r>
      <w:r>
        <w:rPr>
          <w:rFonts w:hint="eastAsia"/>
          <w:color w:val="000000"/>
          <w:sz w:val="21"/>
          <w:szCs w:val="21"/>
        </w:rPr>
        <w:t>）</w:t>
      </w:r>
      <w:r>
        <w:rPr>
          <w:rFonts w:hint="eastAsia"/>
          <w:color w:val="000000"/>
          <w:sz w:val="21"/>
          <w:szCs w:val="21"/>
        </w:rPr>
        <w:t>金融气象专业数据集</w:t>
      </w:r>
      <w:bookmarkEnd w:id="96"/>
    </w:p>
    <w:p w:rsidR="0074156F">
      <w:pPr>
        <w:pStyle w:val="NormalIndent"/>
        <w:rPr>
          <w:color w:val="000000"/>
          <w:sz w:val="21"/>
          <w:szCs w:val="21"/>
        </w:rPr>
      </w:pPr>
      <w:r>
        <w:rPr>
          <w:rFonts w:hint="eastAsia"/>
          <w:color w:val="000000"/>
          <w:sz w:val="21"/>
          <w:szCs w:val="21"/>
        </w:rPr>
        <w:t>建立</w:t>
      </w:r>
      <w:r>
        <w:rPr>
          <w:color w:val="000000"/>
          <w:sz w:val="21"/>
          <w:szCs w:val="21"/>
        </w:rPr>
        <w:t>国家级</w:t>
      </w:r>
      <w:r>
        <w:rPr>
          <w:color w:val="000000"/>
          <w:sz w:val="21"/>
          <w:szCs w:val="21"/>
        </w:rPr>
        <w:t>多资产</w:t>
      </w:r>
      <w:r>
        <w:rPr>
          <w:color w:val="000000"/>
          <w:sz w:val="21"/>
          <w:szCs w:val="21"/>
        </w:rPr>
        <w:t>量化金融数据库</w:t>
      </w:r>
      <w:r>
        <w:rPr>
          <w:rFonts w:hint="eastAsia"/>
          <w:color w:val="000000"/>
          <w:sz w:val="21"/>
          <w:szCs w:val="21"/>
        </w:rPr>
        <w:t>，实现对股票</w:t>
      </w:r>
      <w:r>
        <w:rPr>
          <w:rFonts w:hint="eastAsia"/>
          <w:color w:val="000000"/>
          <w:sz w:val="21"/>
          <w:szCs w:val="21"/>
        </w:rPr>
        <w:t>/</w:t>
      </w:r>
      <w:r>
        <w:rPr>
          <w:rFonts w:hint="eastAsia"/>
          <w:color w:val="000000"/>
          <w:sz w:val="21"/>
          <w:szCs w:val="21"/>
        </w:rPr>
        <w:t>期货</w:t>
      </w:r>
      <w:r>
        <w:rPr>
          <w:rFonts w:hint="eastAsia"/>
          <w:color w:val="000000"/>
          <w:sz w:val="21"/>
          <w:szCs w:val="21"/>
        </w:rPr>
        <w:t>/</w:t>
      </w:r>
      <w:r>
        <w:rPr>
          <w:rFonts w:hint="eastAsia"/>
          <w:color w:val="000000"/>
          <w:sz w:val="21"/>
          <w:szCs w:val="21"/>
        </w:rPr>
        <w:t>期权行情、基本面数据以及金融舆情进行收集、处理与存储管理；基于金融气象指数体系构建国家级金融风险敞口指标库，覆盖农业、能源、电力、交通等气象敏感行业，实现风险指标及其阈值精细化管理，支持根据地域、季节、行业特性进行动态权重配置等，形成国家级金融风险敞口指标信息库；建立国家级金融气象指数产品库，实现对金融气象指数体系产品，以及完善、新增的金融气象指数的管理；建立国家级金融气象服务产品库，实现对各类评估报告、图形产品、空间数据产品、定制化产品等进行管理，形成国家级金融气象综合服务产品库；建立</w:t>
      </w:r>
      <w:r>
        <w:rPr>
          <w:rFonts w:hint="eastAsia"/>
          <w:color w:val="000000"/>
          <w:sz w:val="21"/>
          <w:szCs w:val="21"/>
        </w:rPr>
        <w:t>国家级巨灾保险专业数据库，实现对气象、灾情、广东省</w:t>
      </w:r>
      <w:r>
        <w:rPr>
          <w:rFonts w:hint="eastAsia"/>
          <w:color w:val="000000"/>
          <w:sz w:val="21"/>
          <w:szCs w:val="21"/>
        </w:rPr>
        <w:t>承灾体</w:t>
      </w:r>
      <w:r>
        <w:rPr>
          <w:rFonts w:hint="eastAsia"/>
          <w:color w:val="000000"/>
          <w:sz w:val="21"/>
          <w:szCs w:val="21"/>
        </w:rPr>
        <w:t>及保险损失等巨灾保险专业数据集的管理，形成国家级巨灾保险专业数据库。</w:t>
      </w:r>
    </w:p>
    <w:p w:rsidR="0074156F">
      <w:pPr>
        <w:pStyle w:val="NormalIndent"/>
        <w:rPr>
          <w:color w:val="000000"/>
          <w:sz w:val="21"/>
          <w:szCs w:val="21"/>
        </w:rPr>
      </w:pPr>
    </w:p>
    <w:p w:rsidR="0074156F">
      <w:pPr>
        <w:pStyle w:val="Heading2"/>
        <w:tabs>
          <w:tab w:val="clear" w:pos="576"/>
        </w:tabs>
        <w:spacing w:after="240" w:line="360" w:lineRule="auto"/>
        <w:ind w:left="0" w:firstLine="0"/>
        <w:jc w:val="left"/>
        <w:rPr>
          <w:rFonts w:asciiTheme="minorEastAsia" w:eastAsiaTheme="minorEastAsia" w:hAnsiTheme="minorEastAsia" w:cstheme="minorEastAsia"/>
          <w:sz w:val="21"/>
          <w:szCs w:val="21"/>
        </w:rPr>
      </w:pPr>
      <w:bookmarkStart w:id="97" w:name="_Toc530476493"/>
      <w:bookmarkStart w:id="98" w:name="_Toc530477530"/>
      <w:bookmarkStart w:id="99" w:name="_Toc530476580"/>
      <w:bookmarkStart w:id="100" w:name="_Toc530476573"/>
      <w:bookmarkStart w:id="101" w:name="_Toc530476741"/>
      <w:bookmarkStart w:id="102" w:name="_Toc530476738"/>
      <w:bookmarkStart w:id="103" w:name="_Toc530476503"/>
      <w:bookmarkStart w:id="104" w:name="_Toc530476568"/>
      <w:bookmarkStart w:id="105" w:name="_Toc530476570"/>
      <w:bookmarkStart w:id="106" w:name="_Toc530476501"/>
      <w:bookmarkStart w:id="107" w:name="_Toc530476496"/>
      <w:bookmarkStart w:id="108" w:name="_Toc530476742"/>
      <w:bookmarkStart w:id="109" w:name="_Toc530477533"/>
      <w:bookmarkStart w:id="110" w:name="_Toc530476502"/>
      <w:bookmarkStart w:id="111" w:name="_Toc530477522"/>
      <w:bookmarkStart w:id="112" w:name="_Toc530476571"/>
      <w:bookmarkStart w:id="113" w:name="_Toc530476494"/>
      <w:bookmarkStart w:id="114" w:name="_Toc530476569"/>
      <w:bookmarkStart w:id="115" w:name="_Toc530476499"/>
      <w:bookmarkStart w:id="116" w:name="_Toc530476497"/>
      <w:bookmarkStart w:id="117" w:name="_Toc530476740"/>
      <w:bookmarkStart w:id="118" w:name="_Toc530477523"/>
      <w:bookmarkStart w:id="119" w:name="_Toc530476743"/>
      <w:bookmarkStart w:id="120" w:name="_Toc530476579"/>
      <w:bookmarkStart w:id="121" w:name="_Toc530477524"/>
      <w:bookmarkStart w:id="122" w:name="_Toc530477531"/>
      <w:bookmarkStart w:id="123" w:name="_Toc530477527"/>
      <w:bookmarkStart w:id="124" w:name="_Toc530476749"/>
      <w:bookmarkStart w:id="125" w:name="_Toc530476500"/>
      <w:bookmarkStart w:id="126" w:name="_Toc530476748"/>
      <w:bookmarkStart w:id="127" w:name="_Toc530476739"/>
      <w:bookmarkStart w:id="128" w:name="_Toc530477525"/>
      <w:bookmarkStart w:id="129" w:name="_Toc530476492"/>
      <w:bookmarkStart w:id="130" w:name="_Toc530476578"/>
      <w:bookmarkStart w:id="131" w:name="_Toc530476737"/>
      <w:bookmarkStart w:id="132" w:name="_Toc530476577"/>
      <w:bookmarkStart w:id="133" w:name="_Toc530476576"/>
      <w:bookmarkStart w:id="134" w:name="_Toc530476744"/>
      <w:bookmarkStart w:id="135" w:name="_Toc530476572"/>
      <w:bookmarkStart w:id="136" w:name="_Toc530476745"/>
      <w:bookmarkStart w:id="137" w:name="_Toc530476575"/>
      <w:bookmarkStart w:id="138" w:name="_Toc530476747"/>
      <w:bookmarkStart w:id="139" w:name="_Toc530476495"/>
      <w:bookmarkStart w:id="140" w:name="_Toc530476504"/>
      <w:bookmarkStart w:id="141" w:name="_Toc530477521"/>
      <w:bookmarkStart w:id="142" w:name="_Toc530477526"/>
      <w:bookmarkStart w:id="143" w:name="_Toc530477532"/>
      <w:bookmarkStart w:id="144" w:name="_Toc530477529"/>
      <w:bookmarkStart w:id="145" w:name="_Toc530476498"/>
      <w:bookmarkStart w:id="146" w:name="_Toc530476746"/>
      <w:bookmarkStart w:id="147" w:name="_Toc530477528"/>
      <w:bookmarkStart w:id="148" w:name="_Toc530476574"/>
      <w:bookmarkStart w:id="149" w:name="_Toc199166579"/>
      <w:bookmarkStart w:id="150" w:name="_Toc171218560"/>
      <w:bookmarkStart w:id="151" w:name="_Toc391375334"/>
      <w:bookmarkStart w:id="152" w:name="_Toc173723971"/>
      <w:bookmarkStart w:id="153" w:name="_Toc395794200"/>
      <w:bookmarkStart w:id="154" w:name="_Toc173724504"/>
      <w:bookmarkStart w:id="155" w:name="_Toc173723837"/>
      <w:bookmarkStart w:id="156" w:name="_Toc173723790"/>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r>
        <w:rPr>
          <w:rFonts w:asciiTheme="minorEastAsia" w:eastAsiaTheme="minorEastAsia" w:hAnsiTheme="minorEastAsia" w:cstheme="minorEastAsia" w:hint="eastAsia"/>
          <w:sz w:val="21"/>
          <w:szCs w:val="21"/>
        </w:rPr>
        <w:t>2</w:t>
      </w:r>
      <w:r>
        <w:rPr>
          <w:rFonts w:asciiTheme="minorEastAsia" w:eastAsiaTheme="minorEastAsia" w:hAnsiTheme="minorEastAsia" w:cstheme="minorEastAsia" w:hint="eastAsia"/>
          <w:sz w:val="21"/>
          <w:szCs w:val="21"/>
        </w:rPr>
        <w:t>、故障处理要求</w:t>
      </w:r>
      <w:bookmarkEnd w:id="149"/>
      <w:bookmarkEnd w:id="150"/>
      <w:bookmarkEnd w:id="151"/>
      <w:bookmarkEnd w:id="152"/>
      <w:bookmarkEnd w:id="153"/>
      <w:bookmarkEnd w:id="154"/>
      <w:bookmarkEnd w:id="155"/>
      <w:bookmarkEnd w:id="156"/>
    </w:p>
    <w:p w:rsidR="0074156F">
      <w:pPr>
        <w:pStyle w:val="Heading3"/>
        <w:spacing w:line="360" w:lineRule="auto"/>
        <w:ind w:left="0" w:firstLine="0"/>
        <w:rPr>
          <w:rFonts w:ascii="Times New Roman" w:eastAsia="宋体" w:hAnsi="Times New Roman"/>
          <w:b w:val="0"/>
          <w:bCs w:val="0"/>
          <w:color w:val="000000"/>
          <w:sz w:val="21"/>
          <w:szCs w:val="21"/>
        </w:rPr>
      </w:pPr>
      <w:bookmarkStart w:id="157" w:name="_Toc391375335"/>
      <w:bookmarkStart w:id="158" w:name="_Toc199166580"/>
      <w:bookmarkStart w:id="159" w:name="_Toc395794201"/>
      <w:r>
        <w:rPr>
          <w:rFonts w:ascii="Times New Roman" w:eastAsia="宋体" w:hAnsi="Times New Roman" w:hint="eastAsia"/>
          <w:b w:val="0"/>
          <w:bCs w:val="0"/>
          <w:color w:val="000000"/>
          <w:sz w:val="21"/>
          <w:szCs w:val="21"/>
        </w:rPr>
        <w:t>（</w:t>
      </w:r>
      <w:r>
        <w:rPr>
          <w:rFonts w:ascii="Times New Roman" w:eastAsia="宋体" w:hAnsi="Times New Roman" w:hint="eastAsia"/>
          <w:b w:val="0"/>
          <w:bCs w:val="0"/>
          <w:color w:val="000000"/>
          <w:sz w:val="21"/>
          <w:szCs w:val="21"/>
        </w:rPr>
        <w:t>1</w:t>
      </w:r>
      <w:r>
        <w:rPr>
          <w:rFonts w:ascii="Times New Roman" w:eastAsia="宋体" w:hAnsi="Times New Roman" w:hint="eastAsia"/>
          <w:b w:val="0"/>
          <w:bCs w:val="0"/>
          <w:color w:val="000000"/>
          <w:sz w:val="21"/>
          <w:szCs w:val="21"/>
        </w:rPr>
        <w:t>）软件系统出错处理</w:t>
      </w:r>
      <w:bookmarkEnd w:id="157"/>
      <w:bookmarkEnd w:id="158"/>
      <w:bookmarkEnd w:id="159"/>
    </w:p>
    <w:p w:rsidR="0074156F">
      <w:pPr>
        <w:spacing w:line="360" w:lineRule="auto"/>
        <w:ind w:firstLine="42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用户界面错误：在界面出错后，给出一个友好的错误提示界面，并且记录错误日志，通过监控系统发送告警信息，并提供一段时间的日志复查，为故障处理提供依据。</w:t>
      </w:r>
    </w:p>
    <w:p w:rsidR="0074156F">
      <w:pPr>
        <w:spacing w:line="360" w:lineRule="auto"/>
        <w:ind w:firstLine="420"/>
        <w:rPr>
          <w:rFonts w:ascii="Times New Roman" w:eastAsia="宋体" w:hAnsi="Times New Roman" w:cs="Times New Roman"/>
          <w:color w:val="000000"/>
          <w:szCs w:val="21"/>
        </w:rPr>
      </w:pPr>
      <w:r>
        <w:rPr>
          <w:rFonts w:ascii="Times New Roman" w:eastAsia="宋体" w:hAnsi="Times New Roman" w:cs="Times New Roman" w:hint="eastAsia"/>
          <w:color w:val="000000"/>
          <w:szCs w:val="21"/>
        </w:rPr>
        <w:t>服务错误：当各类业务处理服务出错后，提供处理状态回滚，记录错误日志，通过监控系统发送告警信息，为故障处理提供依据。可采用人工干预的方式重新启动服务，继续执行尚未完成的作业。</w:t>
      </w:r>
    </w:p>
    <w:p w:rsidR="0074156F">
      <w:pPr>
        <w:pStyle w:val="Heading3"/>
        <w:spacing w:line="360" w:lineRule="auto"/>
        <w:ind w:left="0" w:firstLine="0"/>
        <w:rPr>
          <w:rFonts w:ascii="Times New Roman" w:eastAsia="宋体" w:hAnsi="Times New Roman"/>
          <w:b w:val="0"/>
          <w:bCs w:val="0"/>
          <w:color w:val="000000"/>
          <w:sz w:val="21"/>
          <w:szCs w:val="21"/>
        </w:rPr>
      </w:pPr>
      <w:bookmarkStart w:id="160" w:name="_Toc395794202"/>
      <w:bookmarkStart w:id="161" w:name="_Toc199166581"/>
      <w:bookmarkStart w:id="162" w:name="_Toc391375336"/>
      <w:r>
        <w:rPr>
          <w:rFonts w:ascii="Times New Roman" w:eastAsia="宋体" w:hAnsi="Times New Roman" w:hint="eastAsia"/>
          <w:b w:val="0"/>
          <w:bCs w:val="0"/>
          <w:color w:val="000000"/>
          <w:sz w:val="21"/>
          <w:szCs w:val="21"/>
        </w:rPr>
        <w:t>（</w:t>
      </w:r>
      <w:r>
        <w:rPr>
          <w:rFonts w:ascii="Times New Roman" w:eastAsia="宋体" w:hAnsi="Times New Roman" w:hint="eastAsia"/>
          <w:b w:val="0"/>
          <w:bCs w:val="0"/>
          <w:color w:val="000000"/>
          <w:sz w:val="21"/>
          <w:szCs w:val="21"/>
        </w:rPr>
        <w:t>2</w:t>
      </w:r>
      <w:r>
        <w:rPr>
          <w:rFonts w:ascii="Times New Roman" w:eastAsia="宋体" w:hAnsi="Times New Roman" w:hint="eastAsia"/>
          <w:b w:val="0"/>
          <w:bCs w:val="0"/>
          <w:color w:val="000000"/>
          <w:sz w:val="21"/>
          <w:szCs w:val="21"/>
        </w:rPr>
        <w:t>）系统</w:t>
      </w:r>
      <w:r>
        <w:rPr>
          <w:rFonts w:ascii="Times New Roman" w:eastAsia="宋体" w:hAnsi="Times New Roman" w:hint="eastAsia"/>
          <w:b w:val="0"/>
          <w:bCs w:val="0"/>
          <w:color w:val="000000"/>
          <w:sz w:val="21"/>
          <w:szCs w:val="21"/>
        </w:rPr>
        <w:t>容错与</w:t>
      </w:r>
      <w:r>
        <w:rPr>
          <w:rFonts w:ascii="Times New Roman" w:eastAsia="宋体" w:hAnsi="Times New Roman" w:hint="eastAsia"/>
          <w:b w:val="0"/>
          <w:bCs w:val="0"/>
          <w:color w:val="000000"/>
          <w:sz w:val="21"/>
          <w:szCs w:val="21"/>
        </w:rPr>
        <w:t>数据备份</w:t>
      </w:r>
      <w:bookmarkEnd w:id="160"/>
      <w:bookmarkEnd w:id="161"/>
      <w:bookmarkEnd w:id="162"/>
    </w:p>
    <w:p w:rsidR="0074156F">
      <w:pPr>
        <w:spacing w:line="360" w:lineRule="auto"/>
        <w:ind w:firstLine="420"/>
        <w:rPr>
          <w:rFonts w:asciiTheme="minorEastAsia" w:hAnsiTheme="minorEastAsia" w:cstheme="minorEastAsia"/>
          <w:color w:val="000000"/>
          <w:szCs w:val="21"/>
        </w:rPr>
      </w:pPr>
      <w:r>
        <w:rPr>
          <w:rFonts w:asciiTheme="minorEastAsia" w:hAnsiTheme="minorEastAsia" w:cstheme="minorEastAsia" w:hint="eastAsia"/>
          <w:color w:val="000000"/>
          <w:szCs w:val="21"/>
        </w:rPr>
        <w:t>除正在运行的设备外，主要设备和易损件要有备份和容错；有备份设备或备件的，做到热备份、自动切换，无法作到的，要作好切换准备；系统软件的备份依托气象专有云和阿里</w:t>
      </w:r>
      <w:r>
        <w:rPr>
          <w:rFonts w:asciiTheme="minorEastAsia" w:hAnsiTheme="minorEastAsia" w:cstheme="minorEastAsia" w:hint="eastAsia"/>
          <w:color w:val="000000"/>
          <w:szCs w:val="21"/>
        </w:rPr>
        <w:t>云平台，应用程序要备份当前运行版本，应用数据要按日进行备份。</w:t>
      </w:r>
    </w:p>
    <w:p w:rsidR="0074156F">
      <w:pPr>
        <w:pStyle w:val="Heading3"/>
        <w:spacing w:line="360" w:lineRule="auto"/>
        <w:ind w:left="0" w:firstLine="0"/>
        <w:rPr>
          <w:rFonts w:asciiTheme="minorEastAsia" w:eastAsiaTheme="minorEastAsia" w:hAnsiTheme="minorEastAsia" w:cstheme="minorEastAsia"/>
          <w:sz w:val="21"/>
          <w:szCs w:val="21"/>
        </w:rPr>
      </w:pPr>
      <w:bookmarkStart w:id="163" w:name="_Toc391375337"/>
      <w:r>
        <w:rPr>
          <w:rFonts w:asciiTheme="minorEastAsia" w:eastAsiaTheme="minorEastAsia" w:hAnsiTheme="minorEastAsia" w:cstheme="minorEastAsia" w:hint="eastAsia"/>
          <w:sz w:val="21"/>
          <w:szCs w:val="21"/>
        </w:rPr>
        <w:t>1</w:t>
      </w:r>
      <w:r>
        <w:rPr>
          <w:rFonts w:asciiTheme="minorEastAsia" w:eastAsiaTheme="minorEastAsia" w:hAnsiTheme="minorEastAsia" w:cstheme="minorEastAsia" w:hint="eastAsia"/>
          <w:sz w:val="21"/>
          <w:szCs w:val="21"/>
        </w:rPr>
        <w:t>）服务器容错技术</w:t>
      </w:r>
      <w:bookmarkEnd w:id="163"/>
    </w:p>
    <w:p w:rsidR="0074156F">
      <w:pPr>
        <w:spacing w:line="360" w:lineRule="auto"/>
        <w:ind w:firstLine="420"/>
        <w:rPr>
          <w:rFonts w:asciiTheme="minorEastAsia" w:hAnsiTheme="minorEastAsia" w:cstheme="minorEastAsia"/>
          <w:color w:val="000000"/>
          <w:szCs w:val="21"/>
        </w:rPr>
      </w:pPr>
      <w:r>
        <w:rPr>
          <w:rFonts w:asciiTheme="minorEastAsia" w:hAnsiTheme="minorEastAsia" w:cstheme="minorEastAsia" w:hint="eastAsia"/>
          <w:color w:val="000000"/>
          <w:szCs w:val="21"/>
        </w:rPr>
        <w:t>由于服务器承担着关键业务，其数据和运行的安全问题显得非常重要。对气象事业来说，利用计算机系统来提供及时可靠的信息和服务实必不可少的；另一方面，计算机硬件与软件都不可避免的会发生故障，这些故障有可能给气象业务带来极大的损失，甚至整个服务终止，网络的瘫</w:t>
      </w:r>
      <w:r>
        <w:rPr>
          <w:rFonts w:asciiTheme="minorEastAsia" w:hAnsiTheme="minorEastAsia" w:cstheme="minorEastAsia" w:hint="eastAsia"/>
          <w:color w:val="000000"/>
          <w:szCs w:val="21"/>
        </w:rPr>
        <w:t>痪。本项目每天</w:t>
      </w:r>
      <w:r>
        <w:rPr>
          <w:rFonts w:asciiTheme="minorEastAsia" w:hAnsiTheme="minorEastAsia" w:cstheme="minorEastAsia" w:hint="eastAsia"/>
          <w:color w:val="000000"/>
          <w:szCs w:val="21"/>
        </w:rPr>
        <w:t>24</w:t>
      </w:r>
      <w:r>
        <w:rPr>
          <w:rFonts w:asciiTheme="minorEastAsia" w:hAnsiTheme="minorEastAsia" w:cstheme="minorEastAsia" w:hint="eastAsia"/>
          <w:color w:val="000000"/>
          <w:szCs w:val="21"/>
        </w:rPr>
        <w:t>小时不间断的自动运行，对系统的高可用性显得更为重要。因此，必须有适当的措施来确保计算机系统提供不间断的服务，以维护系统的可用性。</w:t>
      </w:r>
    </w:p>
    <w:p w:rsidR="0074156F">
      <w:pPr>
        <w:spacing w:line="360" w:lineRule="auto"/>
        <w:ind w:firstLine="420"/>
        <w:rPr>
          <w:rFonts w:asciiTheme="minorEastAsia" w:hAnsiTheme="minorEastAsia" w:cstheme="minorEastAsia"/>
          <w:color w:val="000000"/>
          <w:szCs w:val="21"/>
        </w:rPr>
      </w:pPr>
      <w:r>
        <w:rPr>
          <w:rFonts w:asciiTheme="minorEastAsia" w:hAnsiTheme="minorEastAsia" w:cstheme="minorEastAsia" w:hint="eastAsia"/>
          <w:color w:val="000000"/>
          <w:szCs w:val="21"/>
        </w:rPr>
        <w:t>系统的可用性通常在两种情况下会受到影响，一种是系统</w:t>
      </w:r>
      <w:r>
        <w:rPr>
          <w:rFonts w:asciiTheme="minorEastAsia" w:hAnsiTheme="minorEastAsia" w:cstheme="minorEastAsia" w:hint="eastAsia"/>
          <w:color w:val="000000"/>
          <w:szCs w:val="21"/>
        </w:rPr>
        <w:t>宕</w:t>
      </w:r>
      <w:r>
        <w:rPr>
          <w:rFonts w:asciiTheme="minorEastAsia" w:hAnsiTheme="minorEastAsia" w:cstheme="minorEastAsia" w:hint="eastAsia"/>
          <w:color w:val="000000"/>
          <w:szCs w:val="21"/>
        </w:rPr>
        <w:t>机、错误操作和管理引起的异常失败，另一种是由于系统维护和升级，需要安装新的硬件或软件而正常关机。高可靠性系统必须为这两种情况提供不间断的系统服务。</w:t>
      </w:r>
    </w:p>
    <w:p w:rsidR="0074156F">
      <w:pPr>
        <w:spacing w:line="360" w:lineRule="auto"/>
        <w:ind w:firstLine="420"/>
        <w:rPr>
          <w:rFonts w:asciiTheme="minorEastAsia" w:hAnsiTheme="minorEastAsia" w:cstheme="minorEastAsia"/>
          <w:color w:val="000000"/>
          <w:szCs w:val="21"/>
        </w:rPr>
      </w:pPr>
      <w:r>
        <w:rPr>
          <w:rFonts w:asciiTheme="minorEastAsia" w:hAnsiTheme="minorEastAsia" w:cstheme="minorEastAsia" w:hint="eastAsia"/>
          <w:color w:val="000000"/>
          <w:szCs w:val="21"/>
        </w:rPr>
        <w:t>高可用性系统是在冗余的通常可用性基础之上，运用高可靠性软件而构成。高可靠性软件用于自动监测系统的运行状态，在一台服务器出现故障的情况下，自动把设定的服务转道另一台服</w:t>
      </w:r>
      <w:r>
        <w:rPr>
          <w:rFonts w:asciiTheme="minorEastAsia" w:hAnsiTheme="minorEastAsia" w:cstheme="minorEastAsia" w:hint="eastAsia"/>
          <w:color w:val="000000"/>
          <w:szCs w:val="21"/>
        </w:rPr>
        <w:t>务器上。</w:t>
      </w:r>
    </w:p>
    <w:p w:rsidR="0074156F">
      <w:pPr>
        <w:spacing w:line="360" w:lineRule="auto"/>
        <w:ind w:firstLine="420"/>
        <w:rPr>
          <w:rFonts w:asciiTheme="minorEastAsia" w:hAnsiTheme="minorEastAsia" w:cstheme="minorEastAsia"/>
          <w:color w:val="000000"/>
          <w:szCs w:val="21"/>
        </w:rPr>
      </w:pPr>
      <w:r>
        <w:rPr>
          <w:rFonts w:asciiTheme="minorEastAsia" w:hAnsiTheme="minorEastAsia" w:cstheme="minorEastAsia" w:hint="eastAsia"/>
          <w:color w:val="000000"/>
          <w:szCs w:val="21"/>
        </w:rPr>
        <w:t>高可用性系统具有以下功能：</w:t>
      </w:r>
    </w:p>
    <w:p w:rsidR="0074156F">
      <w:pPr>
        <w:spacing w:line="360" w:lineRule="auto"/>
        <w:ind w:left="420"/>
        <w:rPr>
          <w:rFonts w:asciiTheme="minorEastAsia" w:hAnsiTheme="minorEastAsia" w:cstheme="minorEastAsia"/>
          <w:color w:val="000000"/>
          <w:szCs w:val="21"/>
        </w:rPr>
      </w:pPr>
      <w:r>
        <w:rPr>
          <w:rFonts w:asciiTheme="minorEastAsia" w:hAnsiTheme="minorEastAsia" w:cstheme="minorEastAsia" w:hint="eastAsia"/>
          <w:color w:val="000000"/>
          <w:szCs w:val="21"/>
        </w:rPr>
        <w:t>软件故障监测与排除</w:t>
      </w:r>
    </w:p>
    <w:p w:rsidR="0074156F">
      <w:pPr>
        <w:spacing w:line="360" w:lineRule="auto"/>
        <w:ind w:left="420"/>
        <w:rPr>
          <w:rFonts w:asciiTheme="minorEastAsia" w:hAnsiTheme="minorEastAsia" w:cstheme="minorEastAsia"/>
          <w:color w:val="000000"/>
          <w:szCs w:val="21"/>
        </w:rPr>
      </w:pPr>
      <w:r>
        <w:rPr>
          <w:rFonts w:asciiTheme="minorEastAsia" w:hAnsiTheme="minorEastAsia" w:cstheme="minorEastAsia" w:hint="eastAsia"/>
          <w:color w:val="000000"/>
          <w:szCs w:val="21"/>
        </w:rPr>
        <w:t>备份和数据保护</w:t>
      </w:r>
    </w:p>
    <w:p w:rsidR="0074156F">
      <w:pPr>
        <w:spacing w:line="360" w:lineRule="auto"/>
        <w:ind w:left="420"/>
        <w:rPr>
          <w:rFonts w:asciiTheme="minorEastAsia" w:hAnsiTheme="minorEastAsia" w:cstheme="minorEastAsia"/>
          <w:color w:val="000000"/>
          <w:szCs w:val="21"/>
        </w:rPr>
      </w:pPr>
      <w:r>
        <w:rPr>
          <w:rFonts w:asciiTheme="minorEastAsia" w:hAnsiTheme="minorEastAsia" w:cstheme="minorEastAsia" w:hint="eastAsia"/>
          <w:color w:val="000000"/>
          <w:szCs w:val="21"/>
        </w:rPr>
        <w:t>管理站能够监视各站点的运行情况，能随时或定时报告系统运行状况，故障能及时报告和告警，并有必要的控制手段</w:t>
      </w:r>
    </w:p>
    <w:p w:rsidR="0074156F">
      <w:pPr>
        <w:spacing w:line="360" w:lineRule="auto"/>
        <w:ind w:left="420"/>
        <w:rPr>
          <w:rFonts w:asciiTheme="minorEastAsia" w:hAnsiTheme="minorEastAsia" w:cstheme="minorEastAsia"/>
          <w:color w:val="000000"/>
          <w:szCs w:val="21"/>
        </w:rPr>
      </w:pPr>
      <w:r>
        <w:rPr>
          <w:rFonts w:asciiTheme="minorEastAsia" w:hAnsiTheme="minorEastAsia" w:cstheme="minorEastAsia" w:hint="eastAsia"/>
          <w:color w:val="000000"/>
          <w:szCs w:val="21"/>
        </w:rPr>
        <w:t>实现错误隔离以及主、备份服务器间的服务切换</w:t>
      </w:r>
    </w:p>
    <w:p w:rsidR="0074156F">
      <w:pPr>
        <w:spacing w:line="360" w:lineRule="auto"/>
        <w:ind w:firstLine="420"/>
        <w:rPr>
          <w:rFonts w:asciiTheme="minorEastAsia" w:hAnsiTheme="minorEastAsia" w:cstheme="minorEastAsia"/>
          <w:color w:val="000000"/>
          <w:szCs w:val="21"/>
        </w:rPr>
      </w:pPr>
      <w:r>
        <w:rPr>
          <w:rFonts w:asciiTheme="minorEastAsia" w:hAnsiTheme="minorEastAsia" w:cstheme="minorEastAsia" w:hint="eastAsia"/>
          <w:color w:val="000000"/>
          <w:szCs w:val="21"/>
        </w:rPr>
        <w:t>本次项目建设的所有作业运行软件采取双机或多机备份方案。利用服务器集群技术，故障转移技术提供高可用系统，从系统环境上杜绝单点故障的发生。</w:t>
      </w:r>
    </w:p>
    <w:p w:rsidR="0074156F">
      <w:pPr>
        <w:pStyle w:val="Heading3"/>
        <w:spacing w:line="360" w:lineRule="auto"/>
        <w:ind w:left="0" w:firstLine="0"/>
        <w:rPr>
          <w:rFonts w:asciiTheme="minorEastAsia" w:eastAsiaTheme="minorEastAsia" w:hAnsiTheme="minorEastAsia" w:cstheme="minorEastAsia"/>
          <w:sz w:val="21"/>
          <w:szCs w:val="21"/>
        </w:rPr>
      </w:pPr>
      <w:bookmarkStart w:id="164" w:name="_Toc391375339"/>
      <w:r>
        <w:rPr>
          <w:rFonts w:asciiTheme="minorEastAsia" w:eastAsiaTheme="minorEastAsia" w:hAnsiTheme="minorEastAsia" w:cstheme="minorEastAsia" w:hint="eastAsia"/>
          <w:sz w:val="21"/>
          <w:szCs w:val="21"/>
        </w:rPr>
        <w:t>2</w:t>
      </w:r>
      <w:r>
        <w:rPr>
          <w:rFonts w:asciiTheme="minorEastAsia" w:eastAsiaTheme="minorEastAsia" w:hAnsiTheme="minorEastAsia" w:cstheme="minorEastAsia" w:hint="eastAsia"/>
          <w:sz w:val="21"/>
          <w:szCs w:val="21"/>
        </w:rPr>
        <w:t>）数据备份</w:t>
      </w:r>
      <w:bookmarkEnd w:id="164"/>
    </w:p>
    <w:p w:rsidR="0074156F">
      <w:pPr>
        <w:spacing w:line="360" w:lineRule="auto"/>
        <w:ind w:firstLine="420"/>
        <w:rPr>
          <w:rFonts w:asciiTheme="minorEastAsia" w:hAnsiTheme="minorEastAsia" w:cstheme="minorEastAsia"/>
          <w:color w:val="000000"/>
          <w:szCs w:val="21"/>
        </w:rPr>
      </w:pPr>
      <w:r>
        <w:rPr>
          <w:rFonts w:asciiTheme="minorEastAsia" w:hAnsiTheme="minorEastAsia" w:cstheme="minorEastAsia" w:hint="eastAsia"/>
          <w:color w:val="000000"/>
          <w:szCs w:val="21"/>
        </w:rPr>
        <w:t>数据备份能将故障引起的后果降低到最低限度。数据的备份是保证数据安全的第一要素。能把数据拷贝到一种存储介质，当数据出现问题时，可以进行还原。当</w:t>
      </w:r>
      <w:r>
        <w:rPr>
          <w:rFonts w:asciiTheme="minorEastAsia" w:hAnsiTheme="minorEastAsia" w:cstheme="minorEastAsia" w:hint="eastAsia"/>
          <w:color w:val="000000"/>
          <w:szCs w:val="21"/>
        </w:rPr>
        <w:t>硬盘出现故障时，磁盘的容错功能，可以将数据恢复。</w:t>
      </w:r>
    </w:p>
    <w:p w:rsidR="0074156F">
      <w:pPr>
        <w:spacing w:line="360" w:lineRule="auto"/>
        <w:ind w:firstLine="420"/>
        <w:rPr>
          <w:rFonts w:asciiTheme="minorEastAsia" w:hAnsiTheme="minorEastAsia" w:cstheme="minorEastAsia"/>
          <w:color w:val="000000"/>
          <w:szCs w:val="21"/>
        </w:rPr>
      </w:pPr>
      <w:r>
        <w:rPr>
          <w:rFonts w:asciiTheme="minorEastAsia" w:hAnsiTheme="minorEastAsia" w:cstheme="minorEastAsia" w:hint="eastAsia"/>
          <w:color w:val="000000"/>
          <w:szCs w:val="21"/>
        </w:rPr>
        <w:t>数据备份包括：软件备份和数据库备份。应用程序要备份当前运行版本，应用数据库要按日进行备份。</w:t>
      </w:r>
    </w:p>
    <w:p w:rsidR="0074156F">
      <w:pPr>
        <w:pStyle w:val="Heading2"/>
        <w:tabs>
          <w:tab w:val="clear" w:pos="576"/>
        </w:tabs>
        <w:spacing w:after="240" w:line="360" w:lineRule="auto"/>
        <w:ind w:left="0" w:firstLine="0"/>
        <w:jc w:val="left"/>
        <w:rPr>
          <w:rFonts w:asciiTheme="minorEastAsia" w:eastAsiaTheme="minorEastAsia" w:hAnsiTheme="minorEastAsia" w:cstheme="minorEastAsia"/>
          <w:sz w:val="21"/>
          <w:szCs w:val="21"/>
        </w:rPr>
      </w:pPr>
      <w:bookmarkStart w:id="165" w:name="_Toc173723972"/>
      <w:bookmarkStart w:id="166" w:name="_Toc391375340"/>
      <w:bookmarkStart w:id="167" w:name="_Toc171218561"/>
      <w:bookmarkStart w:id="168" w:name="_Toc173724505"/>
      <w:bookmarkStart w:id="169" w:name="_Toc173723838"/>
      <w:bookmarkStart w:id="170" w:name="_Toc199166582"/>
      <w:bookmarkStart w:id="171" w:name="_Toc395794203"/>
      <w:bookmarkStart w:id="172" w:name="_Toc173723791"/>
      <w:r>
        <w:rPr>
          <w:rFonts w:asciiTheme="minorEastAsia" w:eastAsiaTheme="minorEastAsia" w:hAnsiTheme="minorEastAsia" w:cstheme="minorEastAsia" w:hint="eastAsia"/>
          <w:sz w:val="21"/>
          <w:szCs w:val="21"/>
        </w:rPr>
        <w:t>3</w:t>
      </w:r>
      <w:r>
        <w:rPr>
          <w:rFonts w:asciiTheme="minorEastAsia" w:eastAsiaTheme="minorEastAsia" w:hAnsiTheme="minorEastAsia" w:cstheme="minorEastAsia" w:hint="eastAsia"/>
          <w:sz w:val="21"/>
          <w:szCs w:val="21"/>
        </w:rPr>
        <w:t>、其他专门要求</w:t>
      </w:r>
      <w:bookmarkEnd w:id="165"/>
      <w:bookmarkEnd w:id="166"/>
      <w:bookmarkEnd w:id="167"/>
      <w:bookmarkEnd w:id="168"/>
      <w:bookmarkEnd w:id="169"/>
      <w:bookmarkEnd w:id="170"/>
      <w:bookmarkEnd w:id="171"/>
      <w:bookmarkEnd w:id="172"/>
    </w:p>
    <w:p w:rsidR="0074156F">
      <w:pPr>
        <w:pStyle w:val="Heading3"/>
        <w:spacing w:line="360" w:lineRule="auto"/>
        <w:ind w:left="0" w:firstLine="0"/>
        <w:rPr>
          <w:rFonts w:asciiTheme="minorEastAsia" w:eastAsiaTheme="minorEastAsia" w:hAnsiTheme="minorEastAsia" w:cstheme="minorEastAsia"/>
          <w:sz w:val="21"/>
          <w:szCs w:val="21"/>
        </w:rPr>
      </w:pPr>
      <w:bookmarkStart w:id="173" w:name="_Toc391375341"/>
      <w:bookmarkStart w:id="174" w:name="_Toc199166583"/>
      <w:bookmarkStart w:id="175" w:name="_Toc90990258"/>
      <w:bookmarkStart w:id="176" w:name="_Toc86812813"/>
      <w:bookmarkStart w:id="177" w:name="_Toc395794204"/>
      <w:r>
        <w:rPr>
          <w:rFonts w:asciiTheme="minorEastAsia" w:eastAsiaTheme="minorEastAsia" w:hAnsiTheme="minorEastAsia" w:cstheme="minorEastAsia" w:hint="eastAsia"/>
          <w:sz w:val="21"/>
          <w:szCs w:val="21"/>
        </w:rPr>
        <w:t>1</w:t>
      </w:r>
      <w:r>
        <w:rPr>
          <w:rFonts w:asciiTheme="minorEastAsia" w:eastAsiaTheme="minorEastAsia" w:hAnsiTheme="minorEastAsia" w:cstheme="minorEastAsia" w:hint="eastAsia"/>
          <w:sz w:val="21"/>
          <w:szCs w:val="21"/>
        </w:rPr>
        <w:t>）稳定性要求</w:t>
      </w:r>
      <w:bookmarkEnd w:id="173"/>
      <w:bookmarkEnd w:id="174"/>
      <w:bookmarkEnd w:id="175"/>
      <w:bookmarkEnd w:id="176"/>
      <w:bookmarkEnd w:id="177"/>
    </w:p>
    <w:p w:rsidR="0074156F">
      <w:pPr>
        <w:spacing w:line="360" w:lineRule="auto"/>
        <w:ind w:firstLine="420"/>
        <w:rPr>
          <w:rFonts w:asciiTheme="minorEastAsia" w:hAnsiTheme="minorEastAsia" w:cstheme="minorEastAsia"/>
          <w:szCs w:val="21"/>
        </w:rPr>
      </w:pPr>
      <w:r>
        <w:rPr>
          <w:rFonts w:asciiTheme="minorEastAsia" w:hAnsiTheme="minorEastAsia" w:cstheme="minorEastAsia" w:hint="eastAsia"/>
          <w:szCs w:val="21"/>
        </w:rPr>
        <w:t>本系统是一个重要的业务运行系统，在软硬件的设计实现上要考虑系统长期运行的稳定性和可靠性。软件在运行期间，针对任何一个重要操作，都必须具有判断错误的能力，必要时可以进行恢复性操作，否则要发出报警消息，以便于人工干预。</w:t>
      </w:r>
    </w:p>
    <w:p w:rsidR="0074156F">
      <w:pPr>
        <w:spacing w:line="360" w:lineRule="auto"/>
        <w:ind w:firstLine="420"/>
        <w:rPr>
          <w:rFonts w:asciiTheme="minorEastAsia" w:hAnsiTheme="minorEastAsia" w:cstheme="minorEastAsia"/>
          <w:szCs w:val="21"/>
        </w:rPr>
      </w:pPr>
      <w:r>
        <w:rPr>
          <w:rFonts w:asciiTheme="minorEastAsia" w:hAnsiTheme="minorEastAsia" w:cstheme="minorEastAsia" w:hint="eastAsia"/>
          <w:szCs w:val="21"/>
        </w:rPr>
        <w:t>本系统需要提供</w:t>
      </w:r>
      <w:r>
        <w:rPr>
          <w:rFonts w:asciiTheme="minorEastAsia" w:hAnsiTheme="minorEastAsia" w:cstheme="minorEastAsia" w:hint="eastAsia"/>
          <w:szCs w:val="21"/>
        </w:rPr>
        <w:t>7</w:t>
      </w:r>
      <w:r>
        <w:rPr>
          <w:rFonts w:asciiTheme="minorEastAsia" w:hAnsiTheme="minorEastAsia" w:cstheme="minorEastAsia" w:hint="eastAsia"/>
          <w:szCs w:val="21"/>
        </w:rPr>
        <w:t>×</w:t>
      </w:r>
      <w:r>
        <w:rPr>
          <w:rFonts w:asciiTheme="minorEastAsia" w:hAnsiTheme="minorEastAsia" w:cstheme="minorEastAsia" w:hint="eastAsia"/>
          <w:szCs w:val="21"/>
        </w:rPr>
        <w:t>24</w:t>
      </w:r>
      <w:r>
        <w:rPr>
          <w:rFonts w:asciiTheme="minorEastAsia" w:hAnsiTheme="minorEastAsia" w:cstheme="minorEastAsia" w:hint="eastAsia"/>
          <w:szCs w:val="21"/>
        </w:rPr>
        <w:t>小时不间断服务，因此，无论是计算机硬件系统还是软件系统都必须具有较高的可靠性和故障后快速恢复的能力。具体要求如下：</w:t>
      </w:r>
    </w:p>
    <w:p w:rsidR="0074156F">
      <w:pPr>
        <w:spacing w:line="360" w:lineRule="auto"/>
        <w:ind w:left="420"/>
        <w:rPr>
          <w:rFonts w:asciiTheme="minorEastAsia" w:hAnsiTheme="minorEastAsia" w:cstheme="minorEastAsia"/>
          <w:szCs w:val="21"/>
        </w:rPr>
      </w:pPr>
      <w:r>
        <w:rPr>
          <w:rFonts w:asciiTheme="minorEastAsia" w:hAnsiTheme="minorEastAsia" w:cstheme="minorEastAsia" w:hint="eastAsia"/>
          <w:szCs w:val="21"/>
        </w:rPr>
        <w:t>应用软件开发中严格遵循软件工程国标的开发、测试和集成规范。</w:t>
      </w:r>
    </w:p>
    <w:p w:rsidR="0074156F">
      <w:pPr>
        <w:spacing w:line="360" w:lineRule="auto"/>
        <w:ind w:left="420"/>
        <w:rPr>
          <w:rFonts w:asciiTheme="minorEastAsia" w:hAnsiTheme="minorEastAsia" w:cstheme="minorEastAsia"/>
          <w:szCs w:val="21"/>
        </w:rPr>
      </w:pPr>
      <w:r>
        <w:rPr>
          <w:rFonts w:asciiTheme="minorEastAsia" w:hAnsiTheme="minorEastAsia" w:cstheme="minorEastAsia" w:hint="eastAsia"/>
          <w:szCs w:val="21"/>
        </w:rPr>
        <w:t>在支撑平台可靠性的保证下，关键高可用业务系统在</w:t>
      </w:r>
      <w:r>
        <w:rPr>
          <w:rFonts w:asciiTheme="minorEastAsia" w:hAnsiTheme="minorEastAsia" w:cstheme="minorEastAsia" w:hint="eastAsia"/>
          <w:szCs w:val="21"/>
        </w:rPr>
        <w:t>1</w:t>
      </w:r>
      <w:r>
        <w:rPr>
          <w:rFonts w:asciiTheme="minorEastAsia" w:hAnsiTheme="minorEastAsia" w:cstheme="minorEastAsia" w:hint="eastAsia"/>
          <w:szCs w:val="21"/>
        </w:rPr>
        <w:t>小时内恢复运行状态。</w:t>
      </w:r>
    </w:p>
    <w:p w:rsidR="0074156F">
      <w:pPr>
        <w:spacing w:line="360" w:lineRule="auto"/>
        <w:ind w:firstLine="420"/>
        <w:rPr>
          <w:rFonts w:asciiTheme="minorEastAsia" w:hAnsiTheme="minorEastAsia" w:cstheme="minorEastAsia"/>
          <w:szCs w:val="21"/>
        </w:rPr>
      </w:pPr>
      <w:r>
        <w:rPr>
          <w:rFonts w:asciiTheme="minorEastAsia" w:hAnsiTheme="minorEastAsia" w:cstheme="minorEastAsia" w:hint="eastAsia"/>
          <w:szCs w:val="21"/>
        </w:rPr>
        <w:t>同时系统应达到如下的成熟性标准、容错性标准：</w:t>
      </w:r>
    </w:p>
    <w:p w:rsidR="0074156F">
      <w:pPr>
        <w:spacing w:line="360" w:lineRule="auto"/>
        <w:ind w:left="420"/>
        <w:rPr>
          <w:rFonts w:asciiTheme="minorEastAsia" w:hAnsiTheme="minorEastAsia" w:cstheme="minorEastAsia"/>
          <w:szCs w:val="21"/>
        </w:rPr>
      </w:pPr>
      <w:r>
        <w:rPr>
          <w:rFonts w:asciiTheme="minorEastAsia" w:hAnsiTheme="minorEastAsia" w:cstheme="minorEastAsia" w:hint="eastAsia"/>
          <w:szCs w:val="21"/>
        </w:rPr>
        <w:t>成熟性标准：</w:t>
      </w:r>
    </w:p>
    <w:p w:rsidR="0074156F">
      <w:pPr>
        <w:pStyle w:val="ListBullet2"/>
        <w:widowControl w:val="0"/>
        <w:numPr>
          <w:numId w:val="4"/>
        </w:numPr>
        <w:tabs>
          <w:tab w:val="left" w:pos="780"/>
          <w:tab w:val="left" w:pos="1260"/>
        </w:tabs>
        <w:ind w:left="1260" w:hanging="360"/>
        <w:jc w:val="both"/>
        <w:rPr>
          <w:rFonts w:asciiTheme="minorEastAsia" w:hAnsiTheme="minorEastAsia" w:cstheme="minorEastAsia"/>
          <w:szCs w:val="21"/>
        </w:rPr>
      </w:pPr>
      <w:r>
        <w:rPr>
          <w:rFonts w:asciiTheme="minorEastAsia" w:hAnsiTheme="minorEastAsia" w:cstheme="minorEastAsia" w:hint="eastAsia"/>
          <w:szCs w:val="21"/>
        </w:rPr>
        <w:t>7*24</w:t>
      </w:r>
      <w:r>
        <w:rPr>
          <w:rFonts w:asciiTheme="minorEastAsia" w:hAnsiTheme="minorEastAsia" w:cstheme="minorEastAsia" w:hint="eastAsia"/>
          <w:szCs w:val="21"/>
        </w:rPr>
        <w:t>小时业务运行期间，平均故障间隔时间（</w:t>
      </w:r>
      <w:r>
        <w:rPr>
          <w:rFonts w:asciiTheme="minorEastAsia" w:hAnsiTheme="minorEastAsia" w:cstheme="minorEastAsia" w:hint="eastAsia"/>
          <w:szCs w:val="21"/>
        </w:rPr>
        <w:t>MTBF</w:t>
      </w:r>
      <w:r>
        <w:rPr>
          <w:rFonts w:asciiTheme="minorEastAsia" w:hAnsiTheme="minorEastAsia" w:cstheme="minorEastAsia" w:hint="eastAsia"/>
          <w:szCs w:val="21"/>
        </w:rPr>
        <w:t>：</w:t>
      </w:r>
      <w:r>
        <w:rPr>
          <w:rFonts w:asciiTheme="minorEastAsia" w:hAnsiTheme="minorEastAsia" w:cstheme="minorEastAsia" w:hint="eastAsia"/>
          <w:szCs w:val="21"/>
        </w:rPr>
        <w:t>Mean Time Between Failure</w:t>
      </w:r>
      <w:r>
        <w:rPr>
          <w:rFonts w:asciiTheme="minorEastAsia" w:hAnsiTheme="minorEastAsia" w:cstheme="minorEastAsia" w:hint="eastAsia"/>
          <w:szCs w:val="21"/>
        </w:rPr>
        <w:t>）不小于</w:t>
      </w:r>
      <w:r>
        <w:rPr>
          <w:rFonts w:asciiTheme="minorEastAsia" w:hAnsiTheme="minorEastAsia" w:cstheme="minorEastAsia" w:hint="eastAsia"/>
          <w:szCs w:val="21"/>
        </w:rPr>
        <w:t>1</w:t>
      </w:r>
      <w:r>
        <w:rPr>
          <w:rFonts w:asciiTheme="minorEastAsia" w:hAnsiTheme="minorEastAsia" w:cstheme="minorEastAsia" w:hint="eastAsia"/>
          <w:szCs w:val="21"/>
        </w:rPr>
        <w:t>个月。</w:t>
      </w:r>
    </w:p>
    <w:p w:rsidR="0074156F">
      <w:pPr>
        <w:spacing w:line="360" w:lineRule="auto"/>
        <w:ind w:left="420"/>
        <w:rPr>
          <w:rFonts w:asciiTheme="minorEastAsia" w:hAnsiTheme="minorEastAsia" w:cstheme="minorEastAsia"/>
          <w:szCs w:val="21"/>
        </w:rPr>
      </w:pPr>
      <w:r>
        <w:rPr>
          <w:rFonts w:asciiTheme="minorEastAsia" w:hAnsiTheme="minorEastAsia" w:cstheme="minorEastAsia" w:hint="eastAsia"/>
          <w:szCs w:val="21"/>
        </w:rPr>
        <w:t>容错性标准：</w:t>
      </w:r>
    </w:p>
    <w:p w:rsidR="0074156F">
      <w:pPr>
        <w:pStyle w:val="ListBullet2"/>
        <w:widowControl w:val="0"/>
        <w:numPr>
          <w:numId w:val="4"/>
        </w:numPr>
        <w:tabs>
          <w:tab w:val="left" w:pos="780"/>
          <w:tab w:val="left" w:pos="1260"/>
        </w:tabs>
        <w:ind w:left="1260" w:hanging="360"/>
        <w:jc w:val="both"/>
        <w:rPr>
          <w:rFonts w:asciiTheme="minorEastAsia" w:hAnsiTheme="minorEastAsia" w:cstheme="minorEastAsia"/>
          <w:szCs w:val="21"/>
        </w:rPr>
      </w:pPr>
      <w:r>
        <w:rPr>
          <w:rFonts w:asciiTheme="minorEastAsia" w:hAnsiTheme="minorEastAsia" w:cstheme="minorEastAsia" w:hint="eastAsia"/>
          <w:szCs w:val="21"/>
        </w:rPr>
        <w:t>软件接口句法性错误检出、屏蔽率</w:t>
      </w:r>
      <w:r>
        <w:rPr>
          <w:rFonts w:asciiTheme="minorEastAsia" w:hAnsiTheme="minorEastAsia" w:cstheme="minorEastAsia" w:hint="eastAsia"/>
          <w:szCs w:val="21"/>
        </w:rPr>
        <w:t>100</w:t>
      </w:r>
      <w:r>
        <w:rPr>
          <w:rFonts w:asciiTheme="minorEastAsia" w:hAnsiTheme="minorEastAsia" w:cstheme="minorEastAsia" w:hint="eastAsia"/>
          <w:szCs w:val="21"/>
        </w:rPr>
        <w:t>％，其它软件</w:t>
      </w:r>
      <w:r>
        <w:rPr>
          <w:rFonts w:asciiTheme="minorEastAsia" w:hAnsiTheme="minorEastAsia" w:cstheme="minorEastAsia" w:hint="eastAsia"/>
          <w:szCs w:val="21"/>
        </w:rPr>
        <w:t>错误的截获不超出直接传递控制的模块范围；</w:t>
      </w:r>
    </w:p>
    <w:p w:rsidR="0074156F">
      <w:pPr>
        <w:pStyle w:val="ListBullet2"/>
        <w:widowControl w:val="0"/>
        <w:numPr>
          <w:numId w:val="4"/>
        </w:numPr>
        <w:tabs>
          <w:tab w:val="left" w:pos="780"/>
          <w:tab w:val="left" w:pos="1260"/>
        </w:tabs>
        <w:ind w:left="1260" w:hanging="360"/>
        <w:jc w:val="both"/>
        <w:rPr>
          <w:rFonts w:asciiTheme="minorEastAsia" w:hAnsiTheme="minorEastAsia" w:cstheme="minorEastAsia"/>
          <w:szCs w:val="21"/>
        </w:rPr>
      </w:pPr>
      <w:r>
        <w:rPr>
          <w:rFonts w:asciiTheme="minorEastAsia" w:hAnsiTheme="minorEastAsia" w:cstheme="minorEastAsia" w:hint="eastAsia"/>
          <w:szCs w:val="21"/>
        </w:rPr>
        <w:t>关键进程偶发故障恢复率</w:t>
      </w:r>
      <w:r>
        <w:rPr>
          <w:rFonts w:asciiTheme="minorEastAsia" w:hAnsiTheme="minorEastAsia" w:cstheme="minorEastAsia" w:hint="eastAsia"/>
          <w:szCs w:val="21"/>
        </w:rPr>
        <w:t>100</w:t>
      </w:r>
      <w:r>
        <w:rPr>
          <w:rFonts w:asciiTheme="minorEastAsia" w:hAnsiTheme="minorEastAsia" w:cstheme="minorEastAsia" w:hint="eastAsia"/>
          <w:szCs w:val="21"/>
        </w:rPr>
        <w:t>％；</w:t>
      </w:r>
    </w:p>
    <w:p w:rsidR="0074156F">
      <w:pPr>
        <w:pStyle w:val="ListBullet2"/>
        <w:widowControl w:val="0"/>
        <w:numPr>
          <w:numId w:val="4"/>
        </w:numPr>
        <w:tabs>
          <w:tab w:val="left" w:pos="780"/>
          <w:tab w:val="left" w:pos="1260"/>
        </w:tabs>
        <w:ind w:left="1260" w:hanging="360"/>
        <w:jc w:val="both"/>
        <w:rPr>
          <w:rFonts w:asciiTheme="minorEastAsia" w:hAnsiTheme="minorEastAsia" w:cstheme="minorEastAsia"/>
          <w:szCs w:val="21"/>
        </w:rPr>
      </w:pPr>
      <w:r>
        <w:rPr>
          <w:rFonts w:asciiTheme="minorEastAsia" w:hAnsiTheme="minorEastAsia" w:cstheme="minorEastAsia" w:hint="eastAsia"/>
          <w:szCs w:val="21"/>
        </w:rPr>
        <w:t>主机单点故障恢复率</w:t>
      </w:r>
      <w:r>
        <w:rPr>
          <w:rFonts w:asciiTheme="minorEastAsia" w:hAnsiTheme="minorEastAsia" w:cstheme="minorEastAsia" w:hint="eastAsia"/>
          <w:szCs w:val="21"/>
        </w:rPr>
        <w:t>100</w:t>
      </w:r>
      <w:r>
        <w:rPr>
          <w:rFonts w:asciiTheme="minorEastAsia" w:hAnsiTheme="minorEastAsia" w:cstheme="minorEastAsia" w:hint="eastAsia"/>
          <w:szCs w:val="21"/>
        </w:rPr>
        <w:t>％；</w:t>
      </w:r>
    </w:p>
    <w:p w:rsidR="0074156F">
      <w:pPr>
        <w:pStyle w:val="ListBullet2"/>
        <w:widowControl w:val="0"/>
        <w:numPr>
          <w:numId w:val="4"/>
        </w:numPr>
        <w:tabs>
          <w:tab w:val="left" w:pos="780"/>
          <w:tab w:val="left" w:pos="1260"/>
        </w:tabs>
        <w:ind w:left="1260" w:hanging="360"/>
        <w:jc w:val="both"/>
        <w:rPr>
          <w:rFonts w:asciiTheme="minorEastAsia" w:hAnsiTheme="minorEastAsia" w:cstheme="minorEastAsia"/>
          <w:szCs w:val="21"/>
        </w:rPr>
      </w:pPr>
      <w:r>
        <w:rPr>
          <w:rFonts w:asciiTheme="minorEastAsia" w:hAnsiTheme="minorEastAsia" w:cstheme="minorEastAsia" w:hint="eastAsia"/>
          <w:szCs w:val="21"/>
        </w:rPr>
        <w:t>主机单点故障主备切换可自动完成。</w:t>
      </w:r>
    </w:p>
    <w:p w:rsidR="0074156F">
      <w:pPr>
        <w:pStyle w:val="Heading3"/>
        <w:spacing w:line="360" w:lineRule="auto"/>
        <w:ind w:left="0" w:firstLine="0"/>
        <w:rPr>
          <w:rFonts w:asciiTheme="minorEastAsia" w:eastAsiaTheme="minorEastAsia" w:hAnsiTheme="minorEastAsia" w:cstheme="minorEastAsia"/>
          <w:sz w:val="21"/>
          <w:szCs w:val="21"/>
        </w:rPr>
      </w:pPr>
      <w:bookmarkStart w:id="178" w:name="_Toc199166584"/>
      <w:bookmarkStart w:id="179" w:name="_Toc395794206"/>
      <w:bookmarkStart w:id="180" w:name="_Toc90990259"/>
      <w:bookmarkStart w:id="181" w:name="_Toc391375343"/>
      <w:bookmarkStart w:id="182" w:name="_Toc86812814"/>
      <w:r>
        <w:rPr>
          <w:rFonts w:asciiTheme="minorEastAsia" w:eastAsiaTheme="minorEastAsia" w:hAnsiTheme="minorEastAsia" w:cstheme="minorEastAsia" w:hint="eastAsia"/>
          <w:sz w:val="21"/>
          <w:szCs w:val="21"/>
        </w:rPr>
        <w:t>2</w:t>
      </w:r>
      <w:r>
        <w:rPr>
          <w:rFonts w:asciiTheme="minorEastAsia" w:eastAsiaTheme="minorEastAsia" w:hAnsiTheme="minorEastAsia" w:cstheme="minorEastAsia" w:hint="eastAsia"/>
          <w:sz w:val="21"/>
          <w:szCs w:val="21"/>
        </w:rPr>
        <w:t>）灵活性要求</w:t>
      </w:r>
      <w:bookmarkEnd w:id="178"/>
      <w:bookmarkEnd w:id="179"/>
    </w:p>
    <w:p w:rsidR="0074156F">
      <w:pPr>
        <w:spacing w:line="360" w:lineRule="auto"/>
        <w:ind w:firstLine="420"/>
        <w:rPr>
          <w:rFonts w:asciiTheme="minorEastAsia" w:hAnsiTheme="minorEastAsia" w:cstheme="minorEastAsia"/>
          <w:szCs w:val="21"/>
        </w:rPr>
      </w:pPr>
      <w:r>
        <w:rPr>
          <w:rFonts w:asciiTheme="minorEastAsia" w:hAnsiTheme="minorEastAsia" w:cstheme="minorEastAsia" w:hint="eastAsia"/>
          <w:szCs w:val="21"/>
        </w:rPr>
        <w:t>在操作方式、运行环境、与其他软件的接口以及开发计划等发生变化时，应具有相应的适应能力。</w:t>
      </w:r>
    </w:p>
    <w:p w:rsidR="0074156F">
      <w:pPr>
        <w:spacing w:line="360" w:lineRule="auto"/>
        <w:ind w:firstLine="420"/>
        <w:rPr>
          <w:rFonts w:asciiTheme="minorEastAsia" w:hAnsiTheme="minorEastAsia" w:cstheme="minorEastAsia"/>
          <w:szCs w:val="21"/>
        </w:rPr>
      </w:pPr>
      <w:r>
        <w:rPr>
          <w:rFonts w:asciiTheme="minorEastAsia" w:hAnsiTheme="minorEastAsia" w:cstheme="minorEastAsia" w:hint="eastAsia"/>
          <w:szCs w:val="21"/>
        </w:rPr>
        <w:t>系统遵循开放的标准和技术、标准的软件接口开发。</w:t>
      </w:r>
    </w:p>
    <w:p w:rsidR="0074156F">
      <w:pPr>
        <w:pStyle w:val="Heading3"/>
        <w:spacing w:line="360" w:lineRule="auto"/>
        <w:ind w:left="0" w:firstLine="0"/>
        <w:rPr>
          <w:rFonts w:asciiTheme="minorEastAsia" w:eastAsiaTheme="minorEastAsia" w:hAnsiTheme="minorEastAsia" w:cstheme="minorEastAsia"/>
          <w:sz w:val="21"/>
          <w:szCs w:val="21"/>
        </w:rPr>
      </w:pPr>
      <w:bookmarkStart w:id="183" w:name="_Toc395794207"/>
      <w:bookmarkStart w:id="184" w:name="_Toc199166585"/>
      <w:r>
        <w:rPr>
          <w:rFonts w:asciiTheme="minorEastAsia" w:eastAsiaTheme="minorEastAsia" w:hAnsiTheme="minorEastAsia" w:cstheme="minorEastAsia" w:hint="eastAsia"/>
          <w:sz w:val="21"/>
          <w:szCs w:val="21"/>
        </w:rPr>
        <w:t>3</w:t>
      </w: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rPr>
        <w:t>易用性要求</w:t>
      </w:r>
      <w:bookmarkEnd w:id="180"/>
      <w:bookmarkEnd w:id="181"/>
      <w:bookmarkEnd w:id="182"/>
      <w:bookmarkEnd w:id="183"/>
      <w:bookmarkEnd w:id="184"/>
    </w:p>
    <w:p w:rsidR="0074156F">
      <w:pPr>
        <w:spacing w:line="360" w:lineRule="auto"/>
        <w:ind w:firstLine="420"/>
        <w:rPr>
          <w:rFonts w:asciiTheme="minorEastAsia" w:hAnsiTheme="minorEastAsia" w:cstheme="minorEastAsia"/>
          <w:szCs w:val="21"/>
        </w:rPr>
      </w:pPr>
      <w:r>
        <w:rPr>
          <w:rFonts w:asciiTheme="minorEastAsia" w:hAnsiTheme="minorEastAsia" w:cstheme="minorEastAsia" w:hint="eastAsia"/>
          <w:szCs w:val="21"/>
        </w:rPr>
        <w:t>在日常的业务运行中，每天</w:t>
      </w:r>
      <w:r>
        <w:rPr>
          <w:rFonts w:asciiTheme="minorEastAsia" w:hAnsiTheme="minorEastAsia" w:cstheme="minorEastAsia" w:hint="eastAsia"/>
          <w:szCs w:val="21"/>
        </w:rPr>
        <w:t>24</w:t>
      </w:r>
      <w:r>
        <w:rPr>
          <w:rFonts w:asciiTheme="minorEastAsia" w:hAnsiTheme="minorEastAsia" w:cstheme="minorEastAsia" w:hint="eastAsia"/>
          <w:szCs w:val="21"/>
        </w:rPr>
        <w:t>小时不间断的自动运行，除每日少量的配置参数需要修改之外，所有功能软件无需人工干预。运行操作人员仅在系统报警提示的情况下，进行必要的人工干预和故障维修。所有的故障状态和信息都应自</w:t>
      </w:r>
      <w:r>
        <w:rPr>
          <w:rFonts w:asciiTheme="minorEastAsia" w:hAnsiTheme="minorEastAsia" w:cstheme="minorEastAsia" w:hint="eastAsia"/>
          <w:szCs w:val="21"/>
        </w:rPr>
        <w:t>动记录和存储，便于事后的故障对策分析。为便于操作人员的人工干预，应提供直观、方便的操作界面。</w:t>
      </w:r>
    </w:p>
    <w:p w:rsidR="0074156F">
      <w:pPr>
        <w:spacing w:line="360" w:lineRule="auto"/>
        <w:ind w:left="420"/>
        <w:rPr>
          <w:rFonts w:asciiTheme="minorEastAsia" w:hAnsiTheme="minorEastAsia" w:cstheme="minorEastAsia"/>
          <w:szCs w:val="21"/>
        </w:rPr>
      </w:pPr>
      <w:r>
        <w:rPr>
          <w:rFonts w:asciiTheme="minorEastAsia" w:hAnsiTheme="minorEastAsia" w:cstheme="minorEastAsia" w:hint="eastAsia"/>
          <w:szCs w:val="21"/>
        </w:rPr>
        <w:t>易理解性标准：</w:t>
      </w:r>
    </w:p>
    <w:p w:rsidR="0074156F">
      <w:pPr>
        <w:pStyle w:val="ListBullet2"/>
        <w:widowControl w:val="0"/>
        <w:numPr>
          <w:numId w:val="4"/>
        </w:numPr>
        <w:tabs>
          <w:tab w:val="left" w:pos="780"/>
          <w:tab w:val="left" w:pos="1260"/>
        </w:tabs>
        <w:ind w:left="1260" w:hanging="360"/>
        <w:jc w:val="both"/>
        <w:rPr>
          <w:rFonts w:asciiTheme="minorEastAsia" w:hAnsiTheme="minorEastAsia" w:cstheme="minorEastAsia"/>
          <w:szCs w:val="21"/>
        </w:rPr>
      </w:pPr>
      <w:r>
        <w:rPr>
          <w:rFonts w:asciiTheme="minorEastAsia" w:hAnsiTheme="minorEastAsia" w:cstheme="minorEastAsia" w:hint="eastAsia"/>
          <w:szCs w:val="21"/>
        </w:rPr>
        <w:t>为开发引入的逻辑概念（例如，软件的体系结构、软件的层次划分与成分定义、软件及其输入输出项的命名和标识、操作员命令的命名等等）都是自然的和易于理解的，其指代的实体或事务及其适用范围也是明确的和无歧义的；</w:t>
      </w:r>
    </w:p>
    <w:p w:rsidR="0074156F">
      <w:pPr>
        <w:pStyle w:val="ListBullet2"/>
        <w:widowControl w:val="0"/>
        <w:numPr>
          <w:numId w:val="4"/>
        </w:numPr>
        <w:tabs>
          <w:tab w:val="left" w:pos="780"/>
          <w:tab w:val="left" w:pos="1260"/>
        </w:tabs>
        <w:ind w:left="1260" w:hanging="360"/>
        <w:jc w:val="both"/>
        <w:rPr>
          <w:rFonts w:asciiTheme="minorEastAsia" w:hAnsiTheme="minorEastAsia" w:cstheme="minorEastAsia"/>
          <w:szCs w:val="21"/>
        </w:rPr>
      </w:pPr>
      <w:r>
        <w:rPr>
          <w:rFonts w:asciiTheme="minorEastAsia" w:hAnsiTheme="minorEastAsia" w:cstheme="minorEastAsia" w:hint="eastAsia"/>
          <w:szCs w:val="21"/>
        </w:rPr>
        <w:t>软件运行期内的各种监视显示信息是自描述的和图形、图像化的，与软件的逻辑概念和业务的物理概念是一致的和易于理解的。</w:t>
      </w:r>
    </w:p>
    <w:p w:rsidR="0074156F">
      <w:pPr>
        <w:spacing w:line="360" w:lineRule="auto"/>
        <w:ind w:left="420"/>
        <w:rPr>
          <w:rFonts w:asciiTheme="minorEastAsia" w:hAnsiTheme="minorEastAsia" w:cstheme="minorEastAsia"/>
          <w:szCs w:val="21"/>
        </w:rPr>
      </w:pPr>
      <w:r>
        <w:rPr>
          <w:rFonts w:asciiTheme="minorEastAsia" w:hAnsiTheme="minorEastAsia" w:cstheme="minorEastAsia" w:hint="eastAsia"/>
          <w:szCs w:val="21"/>
        </w:rPr>
        <w:t>易学性标准：</w:t>
      </w:r>
    </w:p>
    <w:p w:rsidR="0074156F">
      <w:pPr>
        <w:pStyle w:val="ListBullet2"/>
        <w:widowControl w:val="0"/>
        <w:numPr>
          <w:numId w:val="4"/>
        </w:numPr>
        <w:tabs>
          <w:tab w:val="left" w:pos="780"/>
          <w:tab w:val="left" w:pos="1260"/>
        </w:tabs>
        <w:ind w:left="1260" w:hanging="360"/>
        <w:jc w:val="both"/>
        <w:rPr>
          <w:rFonts w:asciiTheme="minorEastAsia" w:hAnsiTheme="minorEastAsia" w:cstheme="minorEastAsia"/>
          <w:szCs w:val="21"/>
        </w:rPr>
      </w:pPr>
      <w:r>
        <w:rPr>
          <w:rFonts w:asciiTheme="minorEastAsia" w:hAnsiTheme="minorEastAsia" w:cstheme="minorEastAsia" w:hint="eastAsia"/>
          <w:szCs w:val="21"/>
        </w:rPr>
        <w:t>用户手册准确无误、易读易懂，能够帮助一般用户很快地了解和使用系统。</w:t>
      </w:r>
    </w:p>
    <w:p w:rsidR="0074156F">
      <w:pPr>
        <w:spacing w:line="360" w:lineRule="auto"/>
        <w:ind w:left="420"/>
        <w:rPr>
          <w:rFonts w:asciiTheme="minorEastAsia" w:hAnsiTheme="minorEastAsia" w:cstheme="minorEastAsia"/>
          <w:szCs w:val="21"/>
        </w:rPr>
      </w:pPr>
      <w:r>
        <w:rPr>
          <w:rFonts w:asciiTheme="minorEastAsia" w:hAnsiTheme="minorEastAsia" w:cstheme="minorEastAsia" w:hint="eastAsia"/>
          <w:szCs w:val="21"/>
        </w:rPr>
        <w:t>易操</w:t>
      </w:r>
      <w:r>
        <w:rPr>
          <w:rFonts w:asciiTheme="minorEastAsia" w:hAnsiTheme="minorEastAsia" w:cstheme="minorEastAsia" w:hint="eastAsia"/>
          <w:szCs w:val="21"/>
        </w:rPr>
        <w:t>作性标准：</w:t>
      </w:r>
    </w:p>
    <w:p w:rsidR="0074156F">
      <w:pPr>
        <w:pStyle w:val="ListBullet2"/>
        <w:widowControl w:val="0"/>
        <w:numPr>
          <w:numId w:val="4"/>
        </w:numPr>
        <w:tabs>
          <w:tab w:val="left" w:pos="780"/>
          <w:tab w:val="left" w:pos="1260"/>
        </w:tabs>
        <w:ind w:left="1260" w:hanging="360"/>
        <w:jc w:val="both"/>
        <w:rPr>
          <w:rFonts w:asciiTheme="minorEastAsia" w:hAnsiTheme="minorEastAsia" w:cstheme="minorEastAsia"/>
          <w:szCs w:val="21"/>
        </w:rPr>
      </w:pPr>
      <w:r>
        <w:rPr>
          <w:rFonts w:asciiTheme="minorEastAsia" w:hAnsiTheme="minorEastAsia" w:cstheme="minorEastAsia" w:hint="eastAsia"/>
          <w:szCs w:val="21"/>
        </w:rPr>
        <w:t>操作界面是图形化的，且具有菜单和快捷键等多种方式；</w:t>
      </w:r>
    </w:p>
    <w:p w:rsidR="0074156F">
      <w:pPr>
        <w:pStyle w:val="ListBullet2"/>
        <w:widowControl w:val="0"/>
        <w:numPr>
          <w:numId w:val="4"/>
        </w:numPr>
        <w:tabs>
          <w:tab w:val="left" w:pos="780"/>
          <w:tab w:val="left" w:pos="1260"/>
        </w:tabs>
        <w:ind w:left="1260" w:hanging="360"/>
        <w:jc w:val="both"/>
        <w:rPr>
          <w:rFonts w:asciiTheme="minorEastAsia" w:hAnsiTheme="minorEastAsia" w:cstheme="minorEastAsia"/>
          <w:szCs w:val="21"/>
        </w:rPr>
      </w:pPr>
      <w:r>
        <w:rPr>
          <w:rFonts w:asciiTheme="minorEastAsia" w:hAnsiTheme="minorEastAsia" w:cstheme="minorEastAsia" w:hint="eastAsia"/>
          <w:szCs w:val="21"/>
        </w:rPr>
        <w:t>操作命令或菜单选择是可导引的，即可引导用户输入正确、完整的命令或完成正确的菜单选择。</w:t>
      </w:r>
    </w:p>
    <w:p w:rsidR="0074156F">
      <w:pPr>
        <w:pStyle w:val="Heading3"/>
        <w:spacing w:line="360" w:lineRule="auto"/>
        <w:ind w:left="0" w:firstLine="0"/>
        <w:rPr>
          <w:rFonts w:asciiTheme="minorEastAsia" w:eastAsiaTheme="minorEastAsia" w:hAnsiTheme="minorEastAsia" w:cstheme="minorEastAsia"/>
          <w:sz w:val="21"/>
          <w:szCs w:val="21"/>
        </w:rPr>
      </w:pPr>
      <w:bookmarkStart w:id="185" w:name="_Toc395794208"/>
      <w:bookmarkStart w:id="186" w:name="_Toc391375344"/>
      <w:bookmarkStart w:id="187" w:name="_Toc90990261"/>
      <w:bookmarkStart w:id="188" w:name="_Toc199166586"/>
      <w:bookmarkStart w:id="189" w:name="_Toc86812816"/>
      <w:r>
        <w:rPr>
          <w:rFonts w:asciiTheme="minorEastAsia" w:eastAsiaTheme="minorEastAsia" w:hAnsiTheme="minorEastAsia" w:cstheme="minorEastAsia" w:hint="eastAsia"/>
          <w:sz w:val="21"/>
          <w:szCs w:val="21"/>
        </w:rPr>
        <w:t>4</w:t>
      </w: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rPr>
        <w:t>维护性要求</w:t>
      </w:r>
      <w:bookmarkEnd w:id="185"/>
      <w:bookmarkEnd w:id="186"/>
      <w:bookmarkEnd w:id="187"/>
      <w:bookmarkEnd w:id="188"/>
      <w:bookmarkEnd w:id="189"/>
    </w:p>
    <w:p w:rsidR="0074156F">
      <w:pPr>
        <w:spacing w:line="360" w:lineRule="auto"/>
        <w:ind w:firstLine="420"/>
        <w:rPr>
          <w:rFonts w:asciiTheme="minorEastAsia" w:hAnsiTheme="minorEastAsia" w:cstheme="minorEastAsia"/>
          <w:szCs w:val="21"/>
        </w:rPr>
      </w:pPr>
      <w:r>
        <w:rPr>
          <w:rFonts w:asciiTheme="minorEastAsia" w:hAnsiTheme="minorEastAsia" w:cstheme="minorEastAsia" w:hint="eastAsia"/>
          <w:szCs w:val="21"/>
        </w:rPr>
        <w:t>应具有较好的可扩展性，为进一步的扩充和改造提供方便。除了要求软件本身具有良好的维护性外，还应当拥有离线的维护环境，以便在不影响正常业务的情况下进行软件的维护工作。对软件设计的要求应包括软件的</w:t>
      </w:r>
      <w:r>
        <w:rPr>
          <w:rFonts w:asciiTheme="minorEastAsia" w:hAnsiTheme="minorEastAsia" w:cstheme="minorEastAsia" w:hint="eastAsia"/>
          <w:szCs w:val="21"/>
        </w:rPr>
        <w:t>易分析</w:t>
      </w:r>
      <w:r>
        <w:rPr>
          <w:rFonts w:asciiTheme="minorEastAsia" w:hAnsiTheme="minorEastAsia" w:cstheme="minorEastAsia" w:hint="eastAsia"/>
          <w:szCs w:val="21"/>
        </w:rPr>
        <w:t>性、</w:t>
      </w:r>
      <w:r>
        <w:rPr>
          <w:rFonts w:asciiTheme="minorEastAsia" w:hAnsiTheme="minorEastAsia" w:cstheme="minorEastAsia" w:hint="eastAsia"/>
          <w:szCs w:val="21"/>
        </w:rPr>
        <w:t>易改变</w:t>
      </w:r>
      <w:r>
        <w:rPr>
          <w:rFonts w:asciiTheme="minorEastAsia" w:hAnsiTheme="minorEastAsia" w:cstheme="minorEastAsia" w:hint="eastAsia"/>
          <w:szCs w:val="21"/>
        </w:rPr>
        <w:t>性、稳定性和易测试性。</w:t>
      </w:r>
    </w:p>
    <w:p w:rsidR="0074156F">
      <w:pPr>
        <w:spacing w:line="360" w:lineRule="auto"/>
        <w:ind w:left="420"/>
        <w:rPr>
          <w:rFonts w:asciiTheme="minorEastAsia" w:hAnsiTheme="minorEastAsia" w:cstheme="minorEastAsia"/>
          <w:szCs w:val="21"/>
        </w:rPr>
      </w:pPr>
      <w:r>
        <w:rPr>
          <w:rFonts w:asciiTheme="minorEastAsia" w:hAnsiTheme="minorEastAsia" w:cstheme="minorEastAsia" w:hint="eastAsia"/>
          <w:szCs w:val="21"/>
        </w:rPr>
        <w:t>易分析</w:t>
      </w:r>
      <w:r>
        <w:rPr>
          <w:rFonts w:asciiTheme="minorEastAsia" w:hAnsiTheme="minorEastAsia" w:cstheme="minorEastAsia" w:hint="eastAsia"/>
          <w:szCs w:val="21"/>
        </w:rPr>
        <w:t>性标准：</w:t>
      </w:r>
    </w:p>
    <w:p w:rsidR="0074156F">
      <w:pPr>
        <w:pStyle w:val="ListBullet2"/>
        <w:widowControl w:val="0"/>
        <w:numPr>
          <w:numId w:val="4"/>
        </w:numPr>
        <w:tabs>
          <w:tab w:val="left" w:pos="780"/>
          <w:tab w:val="left" w:pos="1260"/>
        </w:tabs>
        <w:ind w:left="1260" w:hanging="360"/>
        <w:jc w:val="both"/>
        <w:rPr>
          <w:rFonts w:asciiTheme="minorEastAsia" w:hAnsiTheme="minorEastAsia" w:cstheme="minorEastAsia"/>
          <w:szCs w:val="21"/>
        </w:rPr>
      </w:pPr>
      <w:r>
        <w:rPr>
          <w:rFonts w:asciiTheme="minorEastAsia" w:hAnsiTheme="minorEastAsia" w:cstheme="minorEastAsia" w:hint="eastAsia"/>
          <w:szCs w:val="21"/>
        </w:rPr>
        <w:t>所有应用软件能够捕获到的计算机系统故障或应用软件错误都应在尽可能低的级别上探查和捕获并以适当的形式记录或向操作员发送错误状态与报告；</w:t>
      </w:r>
    </w:p>
    <w:p w:rsidR="0074156F">
      <w:pPr>
        <w:pStyle w:val="ListBullet2"/>
        <w:widowControl w:val="0"/>
        <w:numPr>
          <w:numId w:val="4"/>
        </w:numPr>
        <w:tabs>
          <w:tab w:val="left" w:pos="780"/>
          <w:tab w:val="left" w:pos="1260"/>
        </w:tabs>
        <w:ind w:left="1260" w:hanging="360"/>
        <w:jc w:val="both"/>
        <w:rPr>
          <w:rFonts w:asciiTheme="minorEastAsia" w:hAnsiTheme="minorEastAsia" w:cstheme="minorEastAsia"/>
          <w:szCs w:val="21"/>
        </w:rPr>
      </w:pPr>
      <w:r>
        <w:rPr>
          <w:rFonts w:asciiTheme="minorEastAsia" w:hAnsiTheme="minorEastAsia" w:cstheme="minorEastAsia" w:hint="eastAsia"/>
          <w:szCs w:val="21"/>
        </w:rPr>
        <w:t>错误状态和报告（或消息）应是统一编码、结构化和自描述的。即从错误状态码和错误消息</w:t>
      </w:r>
      <w:r>
        <w:rPr>
          <w:rFonts w:asciiTheme="minorEastAsia" w:hAnsiTheme="minorEastAsia" w:cstheme="minorEastAsia" w:hint="eastAsia"/>
          <w:szCs w:val="21"/>
        </w:rPr>
        <w:t>正文串即可</w:t>
      </w:r>
      <w:r>
        <w:rPr>
          <w:rFonts w:asciiTheme="minorEastAsia" w:hAnsiTheme="minorEastAsia" w:cstheme="minorEastAsia" w:hint="eastAsia"/>
          <w:szCs w:val="21"/>
        </w:rPr>
        <w:t>判断软件捕获到的错误的位置、类型和可能的原因；</w:t>
      </w:r>
    </w:p>
    <w:p w:rsidR="0074156F">
      <w:pPr>
        <w:pStyle w:val="ListBullet2"/>
        <w:widowControl w:val="0"/>
        <w:numPr>
          <w:numId w:val="4"/>
        </w:numPr>
        <w:tabs>
          <w:tab w:val="left" w:pos="780"/>
          <w:tab w:val="left" w:pos="1260"/>
        </w:tabs>
        <w:ind w:left="1260" w:hanging="360"/>
        <w:jc w:val="both"/>
        <w:rPr>
          <w:rFonts w:asciiTheme="minorEastAsia" w:hAnsiTheme="minorEastAsia" w:cstheme="minorEastAsia"/>
          <w:szCs w:val="21"/>
        </w:rPr>
      </w:pPr>
      <w:r>
        <w:rPr>
          <w:rFonts w:asciiTheme="minorEastAsia" w:hAnsiTheme="minorEastAsia" w:cstheme="minorEastAsia" w:hint="eastAsia"/>
          <w:szCs w:val="21"/>
        </w:rPr>
        <w:t>错误报告（或消息）对于可预知（即可与程序的控制流程同步捕获到）的错误应能定位到独立的处理步骤或函数，不可预知（即不可与程序的控制流程同步捕获到）的错误应能定位到模块或进程。</w:t>
      </w:r>
    </w:p>
    <w:p w:rsidR="0074156F">
      <w:pPr>
        <w:spacing w:line="360" w:lineRule="auto"/>
        <w:ind w:left="420"/>
        <w:rPr>
          <w:rFonts w:asciiTheme="minorEastAsia" w:hAnsiTheme="minorEastAsia" w:cstheme="minorEastAsia"/>
          <w:szCs w:val="21"/>
        </w:rPr>
      </w:pPr>
      <w:r>
        <w:rPr>
          <w:rFonts w:asciiTheme="minorEastAsia" w:hAnsiTheme="minorEastAsia" w:cstheme="minorEastAsia" w:hint="eastAsia"/>
          <w:szCs w:val="21"/>
        </w:rPr>
        <w:t>易改变</w:t>
      </w:r>
      <w:r>
        <w:rPr>
          <w:rFonts w:asciiTheme="minorEastAsia" w:hAnsiTheme="minorEastAsia" w:cstheme="minorEastAsia" w:hint="eastAsia"/>
          <w:szCs w:val="21"/>
        </w:rPr>
        <w:t>性标准：</w:t>
      </w:r>
    </w:p>
    <w:p w:rsidR="0074156F">
      <w:pPr>
        <w:pStyle w:val="ListBullet2"/>
        <w:widowControl w:val="0"/>
        <w:numPr>
          <w:numId w:val="4"/>
        </w:numPr>
        <w:tabs>
          <w:tab w:val="left" w:pos="780"/>
          <w:tab w:val="left" w:pos="1260"/>
        </w:tabs>
        <w:ind w:left="1260" w:hanging="360"/>
        <w:jc w:val="both"/>
        <w:rPr>
          <w:rFonts w:asciiTheme="minorEastAsia" w:hAnsiTheme="minorEastAsia" w:cstheme="minorEastAsia"/>
          <w:szCs w:val="21"/>
        </w:rPr>
      </w:pPr>
      <w:r>
        <w:rPr>
          <w:rFonts w:asciiTheme="minorEastAsia" w:hAnsiTheme="minorEastAsia" w:cstheme="minorEastAsia" w:hint="eastAsia"/>
          <w:szCs w:val="21"/>
        </w:rPr>
        <w:t>处理软件的任务及其任务环境参数可从外部配置和修改，</w:t>
      </w:r>
      <w:r>
        <w:rPr>
          <w:rFonts w:asciiTheme="minorEastAsia" w:hAnsiTheme="minorEastAsia" w:cstheme="minorEastAsia" w:hint="eastAsia"/>
          <w:szCs w:val="21"/>
        </w:rPr>
        <w:t>并可从数据库中自动生成；</w:t>
      </w:r>
    </w:p>
    <w:p w:rsidR="0074156F">
      <w:pPr>
        <w:pStyle w:val="ListBullet2"/>
        <w:widowControl w:val="0"/>
        <w:numPr>
          <w:numId w:val="4"/>
        </w:numPr>
        <w:tabs>
          <w:tab w:val="left" w:pos="780"/>
          <w:tab w:val="left" w:pos="1260"/>
        </w:tabs>
        <w:ind w:left="1260" w:hanging="360"/>
        <w:jc w:val="both"/>
        <w:rPr>
          <w:rFonts w:asciiTheme="minorEastAsia" w:hAnsiTheme="minorEastAsia" w:cstheme="minorEastAsia"/>
          <w:szCs w:val="21"/>
        </w:rPr>
      </w:pPr>
      <w:r>
        <w:rPr>
          <w:rFonts w:asciiTheme="minorEastAsia" w:hAnsiTheme="minorEastAsia" w:cstheme="minorEastAsia" w:hint="eastAsia"/>
          <w:szCs w:val="21"/>
        </w:rPr>
        <w:t>公用接口（包括错误状态码、常数等）结构应统一说明，所有对这些接口说明的引用都应当指向同一个说明实体。</w:t>
      </w:r>
    </w:p>
    <w:p w:rsidR="0074156F">
      <w:pPr>
        <w:spacing w:line="360" w:lineRule="auto"/>
        <w:ind w:left="420"/>
        <w:rPr>
          <w:rFonts w:asciiTheme="minorEastAsia" w:hAnsiTheme="minorEastAsia" w:cstheme="minorEastAsia"/>
          <w:szCs w:val="21"/>
        </w:rPr>
      </w:pPr>
      <w:r>
        <w:rPr>
          <w:rFonts w:asciiTheme="minorEastAsia" w:hAnsiTheme="minorEastAsia" w:cstheme="minorEastAsia" w:hint="eastAsia"/>
          <w:szCs w:val="21"/>
        </w:rPr>
        <w:t>稳定性标准：</w:t>
      </w:r>
    </w:p>
    <w:p w:rsidR="0074156F">
      <w:pPr>
        <w:pStyle w:val="ListBullet2"/>
        <w:widowControl w:val="0"/>
        <w:numPr>
          <w:numId w:val="4"/>
        </w:numPr>
        <w:tabs>
          <w:tab w:val="left" w:pos="780"/>
          <w:tab w:val="left" w:pos="1260"/>
        </w:tabs>
        <w:ind w:left="1260" w:hanging="360"/>
        <w:jc w:val="both"/>
        <w:rPr>
          <w:rFonts w:asciiTheme="minorEastAsia" w:hAnsiTheme="minorEastAsia" w:cstheme="minorEastAsia"/>
          <w:szCs w:val="21"/>
        </w:rPr>
      </w:pPr>
      <w:r>
        <w:rPr>
          <w:rFonts w:asciiTheme="minorEastAsia" w:hAnsiTheme="minorEastAsia" w:cstheme="minorEastAsia" w:hint="eastAsia"/>
          <w:szCs w:val="21"/>
        </w:rPr>
        <w:t>软件模块整体上应是结构化、层次化和功能单一的；</w:t>
      </w:r>
    </w:p>
    <w:p w:rsidR="0074156F">
      <w:pPr>
        <w:pStyle w:val="ListBullet2"/>
        <w:widowControl w:val="0"/>
        <w:numPr>
          <w:numId w:val="4"/>
        </w:numPr>
        <w:tabs>
          <w:tab w:val="left" w:pos="780"/>
          <w:tab w:val="left" w:pos="1260"/>
        </w:tabs>
        <w:ind w:left="1260" w:hanging="360"/>
        <w:jc w:val="both"/>
        <w:rPr>
          <w:rFonts w:asciiTheme="minorEastAsia" w:hAnsiTheme="minorEastAsia" w:cstheme="minorEastAsia"/>
          <w:szCs w:val="21"/>
        </w:rPr>
      </w:pPr>
      <w:r>
        <w:rPr>
          <w:rFonts w:asciiTheme="minorEastAsia" w:hAnsiTheme="minorEastAsia" w:cstheme="minorEastAsia" w:hint="eastAsia"/>
          <w:szCs w:val="21"/>
        </w:rPr>
        <w:t>软件模块的处理和接口应是封装的。即处理的改变仅影响其所在的模块，接口的改变仅影响使用该接口的模块。</w:t>
      </w:r>
    </w:p>
    <w:p w:rsidR="0074156F">
      <w:pPr>
        <w:spacing w:line="360" w:lineRule="auto"/>
        <w:ind w:left="420"/>
        <w:rPr>
          <w:rFonts w:asciiTheme="minorEastAsia" w:hAnsiTheme="minorEastAsia" w:cstheme="minorEastAsia"/>
          <w:szCs w:val="21"/>
        </w:rPr>
      </w:pPr>
      <w:r>
        <w:rPr>
          <w:rFonts w:asciiTheme="minorEastAsia" w:hAnsiTheme="minorEastAsia" w:cstheme="minorEastAsia" w:hint="eastAsia"/>
          <w:szCs w:val="21"/>
        </w:rPr>
        <w:t>易测试性标准：</w:t>
      </w:r>
    </w:p>
    <w:p w:rsidR="0074156F">
      <w:pPr>
        <w:pStyle w:val="ListBullet2"/>
        <w:widowControl w:val="0"/>
        <w:numPr>
          <w:numId w:val="4"/>
        </w:numPr>
        <w:tabs>
          <w:tab w:val="left" w:pos="780"/>
          <w:tab w:val="left" w:pos="1260"/>
        </w:tabs>
        <w:ind w:left="1260" w:hanging="360"/>
        <w:jc w:val="both"/>
        <w:rPr>
          <w:rFonts w:asciiTheme="minorEastAsia" w:hAnsiTheme="minorEastAsia" w:cstheme="minorEastAsia"/>
          <w:szCs w:val="21"/>
        </w:rPr>
      </w:pPr>
      <w:r>
        <w:rPr>
          <w:rFonts w:asciiTheme="minorEastAsia" w:hAnsiTheme="minorEastAsia" w:cstheme="minorEastAsia" w:hint="eastAsia"/>
          <w:szCs w:val="21"/>
        </w:rPr>
        <w:t>软件接口是标准化的；</w:t>
      </w:r>
    </w:p>
    <w:p w:rsidR="0074156F">
      <w:pPr>
        <w:pStyle w:val="ListBullet2"/>
        <w:widowControl w:val="0"/>
        <w:numPr>
          <w:numId w:val="4"/>
        </w:numPr>
        <w:tabs>
          <w:tab w:val="left" w:pos="780"/>
          <w:tab w:val="left" w:pos="1260"/>
        </w:tabs>
        <w:ind w:left="1260" w:hanging="360"/>
        <w:jc w:val="both"/>
        <w:rPr>
          <w:rFonts w:asciiTheme="minorEastAsia" w:hAnsiTheme="minorEastAsia" w:cstheme="minorEastAsia"/>
          <w:szCs w:val="21"/>
        </w:rPr>
      </w:pPr>
      <w:r>
        <w:rPr>
          <w:rFonts w:asciiTheme="minorEastAsia" w:hAnsiTheme="minorEastAsia" w:cstheme="minorEastAsia" w:hint="eastAsia"/>
          <w:szCs w:val="21"/>
        </w:rPr>
        <w:t>测试程序有测试模拟和工具软件支持，可自动或半自动执行；</w:t>
      </w:r>
    </w:p>
    <w:p w:rsidR="0074156F">
      <w:pPr>
        <w:pStyle w:val="ListBullet2"/>
        <w:widowControl w:val="0"/>
        <w:numPr>
          <w:numId w:val="4"/>
        </w:numPr>
        <w:tabs>
          <w:tab w:val="left" w:pos="780"/>
          <w:tab w:val="left" w:pos="1260"/>
        </w:tabs>
        <w:ind w:left="1260" w:hanging="360"/>
        <w:jc w:val="both"/>
        <w:rPr>
          <w:rFonts w:asciiTheme="minorEastAsia" w:hAnsiTheme="minorEastAsia" w:cstheme="minorEastAsia"/>
          <w:szCs w:val="21"/>
        </w:rPr>
      </w:pPr>
      <w:r>
        <w:rPr>
          <w:rFonts w:asciiTheme="minorEastAsia" w:hAnsiTheme="minorEastAsia" w:cstheme="minorEastAsia" w:hint="eastAsia"/>
          <w:szCs w:val="21"/>
        </w:rPr>
        <w:t>测试程序是可固化和</w:t>
      </w:r>
      <w:r>
        <w:rPr>
          <w:rFonts w:asciiTheme="minorEastAsia" w:hAnsiTheme="minorEastAsia" w:cstheme="minorEastAsia" w:hint="eastAsia"/>
          <w:szCs w:val="21"/>
        </w:rPr>
        <w:t>可</w:t>
      </w:r>
      <w:r>
        <w:rPr>
          <w:rFonts w:asciiTheme="minorEastAsia" w:hAnsiTheme="minorEastAsia" w:cstheme="minorEastAsia" w:hint="eastAsia"/>
          <w:szCs w:val="21"/>
        </w:rPr>
        <w:t>重复的。</w:t>
      </w:r>
    </w:p>
    <w:p w:rsidR="0074156F">
      <w:pPr>
        <w:pStyle w:val="Heading3"/>
        <w:spacing w:line="360" w:lineRule="auto"/>
        <w:ind w:left="0" w:firstLine="0"/>
        <w:rPr>
          <w:rFonts w:asciiTheme="minorEastAsia" w:eastAsiaTheme="minorEastAsia" w:hAnsiTheme="minorEastAsia" w:cstheme="minorEastAsia"/>
          <w:sz w:val="21"/>
          <w:szCs w:val="21"/>
        </w:rPr>
      </w:pPr>
      <w:bookmarkStart w:id="190" w:name="_Toc395794209"/>
      <w:bookmarkStart w:id="191" w:name="_Toc86812817"/>
      <w:bookmarkStart w:id="192" w:name="_Toc391375345"/>
      <w:bookmarkStart w:id="193" w:name="_Toc90990262"/>
      <w:bookmarkStart w:id="194" w:name="_Toc199166587"/>
      <w:r>
        <w:rPr>
          <w:rFonts w:asciiTheme="minorEastAsia" w:eastAsiaTheme="minorEastAsia" w:hAnsiTheme="minorEastAsia" w:cstheme="minorEastAsia" w:hint="eastAsia"/>
          <w:sz w:val="21"/>
          <w:szCs w:val="21"/>
        </w:rPr>
        <w:t>5</w:t>
      </w: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rPr>
        <w:t>可移植性要求</w:t>
      </w:r>
      <w:bookmarkEnd w:id="190"/>
      <w:bookmarkEnd w:id="191"/>
      <w:bookmarkEnd w:id="192"/>
      <w:bookmarkEnd w:id="193"/>
      <w:bookmarkEnd w:id="194"/>
    </w:p>
    <w:p w:rsidR="0074156F">
      <w:pPr>
        <w:spacing w:line="360" w:lineRule="auto"/>
        <w:ind w:left="420"/>
        <w:rPr>
          <w:rFonts w:asciiTheme="minorEastAsia" w:hAnsiTheme="minorEastAsia" w:cstheme="minorEastAsia"/>
          <w:szCs w:val="21"/>
        </w:rPr>
      </w:pPr>
      <w:r>
        <w:rPr>
          <w:rFonts w:asciiTheme="minorEastAsia" w:hAnsiTheme="minorEastAsia" w:cstheme="minorEastAsia" w:hint="eastAsia"/>
          <w:szCs w:val="21"/>
        </w:rPr>
        <w:t>适应性标准：</w:t>
      </w:r>
    </w:p>
    <w:p w:rsidR="0074156F">
      <w:pPr>
        <w:pStyle w:val="ListBullet2"/>
        <w:widowControl w:val="0"/>
        <w:numPr>
          <w:numId w:val="4"/>
        </w:numPr>
        <w:tabs>
          <w:tab w:val="left" w:pos="780"/>
          <w:tab w:val="left" w:pos="1260"/>
        </w:tabs>
        <w:ind w:left="1260" w:hanging="360"/>
        <w:jc w:val="both"/>
        <w:rPr>
          <w:rFonts w:asciiTheme="minorEastAsia" w:hAnsiTheme="minorEastAsia" w:cstheme="minorEastAsia"/>
          <w:szCs w:val="21"/>
        </w:rPr>
      </w:pPr>
      <w:r>
        <w:rPr>
          <w:rFonts w:asciiTheme="minorEastAsia" w:hAnsiTheme="minorEastAsia" w:cstheme="minorEastAsia" w:hint="eastAsia"/>
          <w:szCs w:val="21"/>
        </w:rPr>
        <w:t>功能、模块也是外部可配置的，以适应不同的应用环境。</w:t>
      </w:r>
    </w:p>
    <w:p w:rsidR="0074156F">
      <w:pPr>
        <w:spacing w:line="360" w:lineRule="auto"/>
        <w:ind w:left="420"/>
        <w:rPr>
          <w:rFonts w:asciiTheme="minorEastAsia" w:hAnsiTheme="minorEastAsia" w:cstheme="minorEastAsia"/>
          <w:szCs w:val="21"/>
        </w:rPr>
      </w:pPr>
      <w:r>
        <w:rPr>
          <w:rFonts w:asciiTheme="minorEastAsia" w:hAnsiTheme="minorEastAsia" w:cstheme="minorEastAsia" w:hint="eastAsia"/>
          <w:szCs w:val="21"/>
        </w:rPr>
        <w:t>易安装性标准：</w:t>
      </w:r>
    </w:p>
    <w:p w:rsidR="0074156F">
      <w:pPr>
        <w:pStyle w:val="ListBullet2"/>
        <w:widowControl w:val="0"/>
        <w:numPr>
          <w:numId w:val="4"/>
        </w:numPr>
        <w:tabs>
          <w:tab w:val="left" w:pos="780"/>
          <w:tab w:val="left" w:pos="1260"/>
        </w:tabs>
        <w:ind w:left="1260" w:hanging="360"/>
        <w:jc w:val="both"/>
        <w:rPr>
          <w:rFonts w:asciiTheme="minorEastAsia" w:hAnsiTheme="minorEastAsia" w:cstheme="minorEastAsia"/>
          <w:szCs w:val="21"/>
        </w:rPr>
      </w:pPr>
      <w:r>
        <w:rPr>
          <w:rFonts w:asciiTheme="minorEastAsia" w:hAnsiTheme="minorEastAsia" w:cstheme="minorEastAsia" w:hint="eastAsia"/>
          <w:szCs w:val="21"/>
        </w:rPr>
        <w:t>通过简单配置实现软件的安装和升级过程。</w:t>
      </w:r>
    </w:p>
    <w:p w:rsidR="0074156F">
      <w:pPr>
        <w:spacing w:line="360" w:lineRule="auto"/>
        <w:ind w:left="420"/>
        <w:rPr>
          <w:rFonts w:asciiTheme="minorEastAsia" w:hAnsiTheme="minorEastAsia" w:cstheme="minorEastAsia"/>
          <w:szCs w:val="21"/>
        </w:rPr>
      </w:pPr>
      <w:r>
        <w:rPr>
          <w:rFonts w:asciiTheme="minorEastAsia" w:hAnsiTheme="minorEastAsia" w:cstheme="minorEastAsia" w:hint="eastAsia"/>
          <w:szCs w:val="21"/>
        </w:rPr>
        <w:t>易替换性标准：</w:t>
      </w:r>
    </w:p>
    <w:p w:rsidR="0074156F">
      <w:pPr>
        <w:pStyle w:val="ListBullet2"/>
        <w:widowControl w:val="0"/>
        <w:numPr>
          <w:numId w:val="4"/>
        </w:numPr>
        <w:tabs>
          <w:tab w:val="left" w:pos="780"/>
          <w:tab w:val="left" w:pos="1260"/>
        </w:tabs>
        <w:ind w:left="1260" w:hanging="360"/>
        <w:jc w:val="both"/>
        <w:rPr>
          <w:rFonts w:asciiTheme="minorEastAsia" w:hAnsiTheme="minorEastAsia" w:cstheme="minorEastAsia"/>
          <w:szCs w:val="21"/>
        </w:rPr>
      </w:pPr>
      <w:r>
        <w:rPr>
          <w:rFonts w:asciiTheme="minorEastAsia" w:hAnsiTheme="minorEastAsia" w:cstheme="minorEastAsia" w:hint="eastAsia"/>
          <w:szCs w:val="21"/>
        </w:rPr>
        <w:t>软件单元（计算机软部件设计中确定的能单独测试的一部分软件）是静态可替换的；</w:t>
      </w:r>
    </w:p>
    <w:p w:rsidR="0074156F">
      <w:pPr>
        <w:pStyle w:val="ListBullet2"/>
        <w:widowControl w:val="0"/>
        <w:numPr>
          <w:numId w:val="4"/>
        </w:numPr>
        <w:tabs>
          <w:tab w:val="left" w:pos="780"/>
          <w:tab w:val="left" w:pos="1260"/>
        </w:tabs>
        <w:ind w:left="1260" w:hanging="360"/>
        <w:jc w:val="both"/>
        <w:rPr>
          <w:rFonts w:asciiTheme="minorEastAsia" w:hAnsiTheme="minorEastAsia" w:cstheme="minorEastAsia"/>
          <w:szCs w:val="21"/>
        </w:rPr>
      </w:pPr>
      <w:r>
        <w:rPr>
          <w:rFonts w:asciiTheme="minorEastAsia" w:hAnsiTheme="minorEastAsia" w:cstheme="minorEastAsia" w:hint="eastAsia"/>
          <w:szCs w:val="21"/>
        </w:rPr>
        <w:t>关键进程是动态可替换的。</w:t>
      </w:r>
    </w:p>
    <w:p w:rsidR="0074156F">
      <w:pPr>
        <w:pStyle w:val="Heading3"/>
        <w:spacing w:line="360" w:lineRule="auto"/>
        <w:ind w:left="0" w:firstLine="0"/>
        <w:rPr>
          <w:rFonts w:asciiTheme="minorEastAsia" w:eastAsiaTheme="minorEastAsia" w:hAnsiTheme="minorEastAsia" w:cstheme="minorEastAsia"/>
          <w:sz w:val="21"/>
          <w:szCs w:val="21"/>
        </w:rPr>
      </w:pPr>
      <w:bookmarkStart w:id="195" w:name="_Toc199166588"/>
      <w:bookmarkStart w:id="196" w:name="_Toc395794210"/>
      <w:bookmarkStart w:id="197" w:name="_Toc391375346"/>
      <w:r>
        <w:rPr>
          <w:rFonts w:asciiTheme="minorEastAsia" w:eastAsiaTheme="minorEastAsia" w:hAnsiTheme="minorEastAsia" w:cstheme="minorEastAsia" w:hint="eastAsia"/>
          <w:sz w:val="21"/>
          <w:szCs w:val="21"/>
        </w:rPr>
        <w:t>6</w:t>
      </w:r>
      <w:r>
        <w:rPr>
          <w:rFonts w:asciiTheme="minorEastAsia" w:eastAsiaTheme="minorEastAsia" w:hAnsiTheme="minorEastAsia" w:cstheme="minorEastAsia" w:hint="eastAsia"/>
          <w:sz w:val="21"/>
          <w:szCs w:val="21"/>
        </w:rPr>
        <w:t>）</w:t>
      </w:r>
      <w:r>
        <w:rPr>
          <w:rFonts w:asciiTheme="minorEastAsia" w:eastAsiaTheme="minorEastAsia" w:hAnsiTheme="minorEastAsia" w:cstheme="minorEastAsia" w:hint="eastAsia"/>
          <w:sz w:val="21"/>
          <w:szCs w:val="21"/>
        </w:rPr>
        <w:t>可扩展性要求</w:t>
      </w:r>
      <w:bookmarkEnd w:id="195"/>
      <w:bookmarkEnd w:id="196"/>
      <w:bookmarkEnd w:id="197"/>
    </w:p>
    <w:p w:rsidR="0074156F">
      <w:pPr>
        <w:spacing w:line="360" w:lineRule="auto"/>
        <w:ind w:firstLine="420"/>
        <w:rPr>
          <w:rFonts w:asciiTheme="minorEastAsia" w:hAnsiTheme="minorEastAsia" w:cstheme="minorEastAsia"/>
          <w:szCs w:val="21"/>
        </w:rPr>
      </w:pPr>
      <w:r>
        <w:rPr>
          <w:rFonts w:asciiTheme="minorEastAsia" w:hAnsiTheme="minorEastAsia" w:cstheme="minorEastAsia" w:hint="eastAsia"/>
          <w:szCs w:val="21"/>
        </w:rPr>
        <w:t>本系统应具有较好的可扩展性，为系统的进一步扩充和改造提供方便。</w:t>
      </w:r>
    </w:p>
    <w:p w:rsidR="0074156F">
      <w:pPr>
        <w:spacing w:line="360" w:lineRule="auto"/>
        <w:ind w:firstLine="420"/>
        <w:rPr>
          <w:rFonts w:asciiTheme="minorEastAsia" w:hAnsiTheme="minorEastAsia" w:cstheme="minorEastAsia"/>
          <w:szCs w:val="21"/>
        </w:rPr>
      </w:pPr>
      <w:r>
        <w:rPr>
          <w:rFonts w:asciiTheme="minorEastAsia" w:hAnsiTheme="minorEastAsia" w:cstheme="minorEastAsia" w:hint="eastAsia"/>
          <w:szCs w:val="21"/>
        </w:rPr>
        <w:t>本期项目建设要兼顾后续的系统维护与升级。系统应能通过快速的配置，实现对各种气象资料的链接和显示支持。系统以参数化设计，建立完善的系统配置参数表以支持数据类型、属性结构的扩充，达到对未来气象数据服务的扩展要求。系统同时以参数化的形式设置数据的安全级别和</w:t>
      </w:r>
      <w:r>
        <w:rPr>
          <w:rFonts w:asciiTheme="minorEastAsia" w:hAnsiTheme="minorEastAsia" w:cstheme="minorEastAsia" w:hint="eastAsia"/>
          <w:szCs w:val="21"/>
        </w:rPr>
        <w:t>可</w:t>
      </w:r>
      <w:r>
        <w:rPr>
          <w:rFonts w:asciiTheme="minorEastAsia" w:hAnsiTheme="minorEastAsia" w:cstheme="minorEastAsia" w:hint="eastAsia"/>
          <w:szCs w:val="21"/>
        </w:rPr>
        <w:t>访问性，实行服务管理的动态控制。</w:t>
      </w:r>
    </w:p>
    <w:p w:rsidR="0074156F">
      <w:pPr>
        <w:pStyle w:val="Heading1"/>
        <w:spacing w:before="100" w:beforeAutospacing="1" w:after="100" w:afterAutospacing="1" w:line="360" w:lineRule="auto"/>
        <w:ind w:left="0" w:firstLine="0"/>
        <w:rPr>
          <w:rFonts w:ascii="宋体" w:eastAsia="宋体" w:hAnsi="宋体" w:cs="宋体"/>
          <w:sz w:val="21"/>
          <w:szCs w:val="21"/>
        </w:rPr>
      </w:pPr>
      <w:bookmarkStart w:id="198" w:name="_Toc199166589"/>
      <w:bookmarkStart w:id="199" w:name="_Toc176757447"/>
      <w:bookmarkStart w:id="200" w:name="_Toc161475271"/>
      <w:bookmarkStart w:id="201" w:name="_Toc176762809"/>
      <w:bookmarkStart w:id="202" w:name="_Toc138148071"/>
      <w:bookmarkStart w:id="203" w:name="_Toc176762294"/>
      <w:r>
        <w:rPr>
          <w:rFonts w:ascii="宋体" w:eastAsia="宋体" w:hAnsi="宋体" w:cs="宋体" w:hint="eastAsia"/>
          <w:sz w:val="21"/>
          <w:szCs w:val="21"/>
        </w:rPr>
        <w:t>四、设计约束与要求</w:t>
      </w:r>
      <w:bookmarkEnd w:id="198"/>
      <w:bookmarkEnd w:id="199"/>
      <w:bookmarkEnd w:id="200"/>
      <w:bookmarkEnd w:id="201"/>
      <w:bookmarkEnd w:id="202"/>
      <w:bookmarkEnd w:id="203"/>
    </w:p>
    <w:p w:rsidR="0074156F">
      <w:pPr>
        <w:pStyle w:val="NormalIndent"/>
        <w:numPr>
          <w:ilvl w:val="0"/>
          <w:numId w:val="5"/>
        </w:numPr>
        <w:ind w:firstLineChars="0"/>
        <w:rPr>
          <w:sz w:val="21"/>
          <w:szCs w:val="21"/>
        </w:rPr>
      </w:pPr>
      <w:r>
        <w:rPr>
          <w:rFonts w:hint="eastAsia"/>
          <w:sz w:val="21"/>
          <w:szCs w:val="21"/>
        </w:rPr>
        <w:t>所有资源建设，应来自于“天擎”大数据云平台资源池。</w:t>
      </w:r>
    </w:p>
    <w:p w:rsidR="0074156F">
      <w:pPr>
        <w:pStyle w:val="NormalIndent"/>
        <w:numPr>
          <w:ilvl w:val="0"/>
          <w:numId w:val="5"/>
        </w:numPr>
        <w:ind w:firstLineChars="0"/>
        <w:rPr>
          <w:sz w:val="21"/>
          <w:szCs w:val="21"/>
        </w:rPr>
      </w:pPr>
      <w:r>
        <w:rPr>
          <w:rFonts w:hint="eastAsia"/>
          <w:sz w:val="21"/>
          <w:szCs w:val="21"/>
        </w:rPr>
        <w:t>所有服务产品及元数据，应来自“天擎”气象大数据云平台存储。</w:t>
      </w:r>
    </w:p>
    <w:p w:rsidR="0074156F">
      <w:pPr>
        <w:pStyle w:val="NormalIndent"/>
        <w:numPr>
          <w:ilvl w:val="0"/>
          <w:numId w:val="5"/>
        </w:numPr>
        <w:ind w:firstLineChars="0"/>
        <w:rPr>
          <w:sz w:val="21"/>
          <w:szCs w:val="21"/>
        </w:rPr>
      </w:pPr>
      <w:r>
        <w:rPr>
          <w:rFonts w:hint="eastAsia"/>
          <w:sz w:val="21"/>
          <w:szCs w:val="21"/>
        </w:rPr>
        <w:t>采用成熟可靠的技术、遵循通用开放的标准，构建安全、可靠、实时、易用的服务平台；</w:t>
      </w:r>
    </w:p>
    <w:p w:rsidR="0074156F">
      <w:pPr>
        <w:pStyle w:val="NormalIndent"/>
        <w:numPr>
          <w:ilvl w:val="0"/>
          <w:numId w:val="5"/>
        </w:numPr>
        <w:ind w:firstLineChars="0"/>
        <w:rPr>
          <w:sz w:val="21"/>
          <w:szCs w:val="21"/>
        </w:rPr>
      </w:pPr>
      <w:r>
        <w:rPr>
          <w:rFonts w:hint="eastAsia"/>
          <w:sz w:val="21"/>
          <w:szCs w:val="21"/>
        </w:rPr>
        <w:t>B/S</w:t>
      </w:r>
      <w:r>
        <w:rPr>
          <w:rFonts w:hint="eastAsia"/>
          <w:sz w:val="21"/>
          <w:szCs w:val="21"/>
        </w:rPr>
        <w:t>系统采用</w:t>
      </w:r>
      <w:r>
        <w:rPr>
          <w:rFonts w:hint="eastAsia"/>
          <w:sz w:val="21"/>
          <w:szCs w:val="21"/>
        </w:rPr>
        <w:t>JAVAEE</w:t>
      </w:r>
      <w:r>
        <w:rPr>
          <w:rFonts w:hint="eastAsia"/>
          <w:sz w:val="21"/>
          <w:szCs w:val="21"/>
        </w:rPr>
        <w:t>（</w:t>
      </w:r>
      <w:r>
        <w:rPr>
          <w:rFonts w:hint="eastAsia"/>
          <w:sz w:val="21"/>
          <w:szCs w:val="21"/>
        </w:rPr>
        <w:t>J2EE</w:t>
      </w:r>
      <w:r>
        <w:rPr>
          <w:rFonts w:hint="eastAsia"/>
          <w:sz w:val="21"/>
          <w:szCs w:val="21"/>
        </w:rPr>
        <w:t>）技术架构，系统界面采用浏览器方式；</w:t>
      </w:r>
    </w:p>
    <w:p w:rsidR="0074156F">
      <w:pPr>
        <w:pStyle w:val="NormalIndent"/>
        <w:numPr>
          <w:ilvl w:val="0"/>
          <w:numId w:val="5"/>
        </w:numPr>
        <w:ind w:firstLineChars="0"/>
        <w:rPr>
          <w:sz w:val="21"/>
          <w:szCs w:val="21"/>
        </w:rPr>
      </w:pPr>
      <w:r>
        <w:rPr>
          <w:rFonts w:hint="eastAsia"/>
          <w:sz w:val="21"/>
          <w:szCs w:val="21"/>
        </w:rPr>
        <w:t>在技术实现上要满足系统后台运行环境支持</w:t>
      </w:r>
      <w:r>
        <w:rPr>
          <w:rFonts w:hint="eastAsia"/>
          <w:sz w:val="21"/>
          <w:szCs w:val="21"/>
        </w:rPr>
        <w:t>UNIX</w:t>
      </w:r>
      <w:r>
        <w:rPr>
          <w:rFonts w:hint="eastAsia"/>
          <w:sz w:val="21"/>
          <w:szCs w:val="21"/>
        </w:rPr>
        <w:t>、</w:t>
      </w:r>
      <w:r>
        <w:rPr>
          <w:rFonts w:hint="eastAsia"/>
          <w:sz w:val="21"/>
          <w:szCs w:val="21"/>
        </w:rPr>
        <w:t>Linux</w:t>
      </w:r>
      <w:r>
        <w:rPr>
          <w:rFonts w:hint="eastAsia"/>
          <w:sz w:val="21"/>
          <w:szCs w:val="21"/>
        </w:rPr>
        <w:t>、</w:t>
      </w:r>
      <w:r>
        <w:rPr>
          <w:rFonts w:hint="eastAsia"/>
          <w:sz w:val="21"/>
          <w:szCs w:val="21"/>
        </w:rPr>
        <w:t>Windows</w:t>
      </w:r>
      <w:r>
        <w:rPr>
          <w:rFonts w:hint="eastAsia"/>
          <w:sz w:val="21"/>
          <w:szCs w:val="21"/>
        </w:rPr>
        <w:t>等主流操作系统，部署环境支持云平台；服务器、存储和虚拟化软件技术产品与现有云平台软硬件环境完全兼容、无缝整合、协同工作，不影响原有业务运行。</w:t>
      </w:r>
    </w:p>
    <w:p w:rsidR="0074156F">
      <w:pPr>
        <w:pStyle w:val="NormalIndent"/>
        <w:numPr>
          <w:ilvl w:val="0"/>
          <w:numId w:val="5"/>
        </w:numPr>
        <w:ind w:firstLineChars="0"/>
        <w:rPr>
          <w:sz w:val="21"/>
          <w:szCs w:val="21"/>
        </w:rPr>
      </w:pPr>
      <w:r>
        <w:rPr>
          <w:rFonts w:hint="eastAsia"/>
          <w:sz w:val="21"/>
          <w:szCs w:val="21"/>
        </w:rPr>
        <w:t>支持并兼容</w:t>
      </w:r>
      <w:r>
        <w:rPr>
          <w:rFonts w:hint="eastAsia"/>
          <w:sz w:val="21"/>
          <w:szCs w:val="21"/>
        </w:rPr>
        <w:t>IE8+</w:t>
      </w:r>
      <w:r>
        <w:rPr>
          <w:rFonts w:hint="eastAsia"/>
          <w:sz w:val="21"/>
          <w:szCs w:val="21"/>
        </w:rPr>
        <w:t>、</w:t>
      </w:r>
      <w:r>
        <w:rPr>
          <w:rFonts w:hint="eastAsia"/>
          <w:sz w:val="21"/>
          <w:szCs w:val="21"/>
        </w:rPr>
        <w:t>Chrome</w:t>
      </w:r>
      <w:r>
        <w:rPr>
          <w:rFonts w:hint="eastAsia"/>
          <w:sz w:val="21"/>
          <w:szCs w:val="21"/>
        </w:rPr>
        <w:t>、</w:t>
      </w:r>
      <w:r>
        <w:rPr>
          <w:rFonts w:hint="eastAsia"/>
          <w:sz w:val="21"/>
          <w:szCs w:val="21"/>
        </w:rPr>
        <w:t>Firefox</w:t>
      </w:r>
      <w:r>
        <w:rPr>
          <w:rFonts w:hint="eastAsia"/>
          <w:sz w:val="21"/>
          <w:szCs w:val="21"/>
        </w:rPr>
        <w:t>等主流浏览器的最新版本。</w:t>
      </w:r>
    </w:p>
    <w:p w:rsidR="0074156F">
      <w:pPr>
        <w:pStyle w:val="Heading1"/>
        <w:spacing w:before="100" w:beforeAutospacing="1" w:after="100" w:afterAutospacing="1" w:line="360" w:lineRule="auto"/>
        <w:ind w:left="0" w:firstLine="0"/>
        <w:rPr>
          <w:rFonts w:ascii="宋体" w:eastAsia="宋体" w:hAnsi="宋体" w:cs="宋体"/>
          <w:sz w:val="21"/>
          <w:szCs w:val="21"/>
        </w:rPr>
      </w:pPr>
      <w:bookmarkStart w:id="204" w:name="_Toc199166590"/>
      <w:r>
        <w:rPr>
          <w:rFonts w:ascii="宋体" w:eastAsia="宋体" w:hAnsi="宋体" w:cs="宋体" w:hint="eastAsia"/>
          <w:sz w:val="21"/>
          <w:szCs w:val="21"/>
        </w:rPr>
        <w:t>五、进度要求</w:t>
      </w:r>
      <w:bookmarkEnd w:id="204"/>
    </w:p>
    <w:p w:rsidR="0074156F">
      <w:pPr>
        <w:snapToGrid w:val="0"/>
        <w:spacing w:line="360" w:lineRule="auto"/>
        <w:ind w:firstLine="482"/>
        <w:rPr>
          <w:szCs w:val="21"/>
        </w:rPr>
      </w:pPr>
      <w:r>
        <w:rPr>
          <w:rFonts w:hint="eastAsia"/>
          <w:szCs w:val="21"/>
        </w:rPr>
        <w:t>本项目</w:t>
      </w:r>
      <w:r>
        <w:rPr>
          <w:szCs w:val="21"/>
        </w:rPr>
        <w:t>要求完全按软件工程的方法和过程实施，其研制过程主要包括需求分析、概要</w:t>
      </w:r>
      <w:r>
        <w:rPr>
          <w:szCs w:val="21"/>
        </w:rPr>
        <w:t>设计、详细设计与编码调试、测试与系统集成</w:t>
      </w:r>
      <w:r>
        <w:rPr>
          <w:rFonts w:hint="eastAsia"/>
          <w:szCs w:val="21"/>
        </w:rPr>
        <w:t>、试运行、系统验收六</w:t>
      </w:r>
      <w:r>
        <w:rPr>
          <w:szCs w:val="21"/>
        </w:rPr>
        <w:t>个阶段，</w:t>
      </w:r>
      <w:r>
        <w:rPr>
          <w:rFonts w:hint="eastAsia"/>
          <w:szCs w:val="21"/>
        </w:rPr>
        <w:t>研制周期为</w:t>
      </w:r>
      <w:r>
        <w:rPr>
          <w:rFonts w:hint="eastAsia"/>
          <w:szCs w:val="21"/>
        </w:rPr>
        <w:t>12</w:t>
      </w:r>
      <w:r>
        <w:rPr>
          <w:rFonts w:hint="eastAsia"/>
          <w:szCs w:val="21"/>
        </w:rPr>
        <w:t>个月，</w:t>
      </w:r>
      <w:r>
        <w:rPr>
          <w:szCs w:val="21"/>
        </w:rPr>
        <w:t>下表给出了任务各阶段的进度要求：</w:t>
      </w:r>
    </w:p>
    <w:p w:rsidR="0074156F">
      <w:pPr>
        <w:spacing w:before="156" w:beforeLines="50"/>
        <w:jc w:val="center"/>
        <w:rPr>
          <w:szCs w:val="21"/>
        </w:rPr>
      </w:pPr>
      <w:r>
        <w:rPr>
          <w:szCs w:val="21"/>
        </w:rPr>
        <w:t>表</w:t>
      </w:r>
      <w:r>
        <w:rPr>
          <w:rFonts w:hint="eastAsia"/>
          <w:szCs w:val="21"/>
        </w:rPr>
        <w:t>6</w:t>
      </w:r>
      <w:r>
        <w:rPr>
          <w:szCs w:val="21"/>
        </w:rPr>
        <w:t>－</w:t>
      </w:r>
      <w:r>
        <w:rPr>
          <w:rFonts w:hint="eastAsia"/>
          <w:szCs w:val="21"/>
        </w:rPr>
        <w:t>1</w:t>
      </w:r>
      <w:r>
        <w:rPr>
          <w:rFonts w:hint="eastAsia"/>
          <w:szCs w:val="21"/>
        </w:rPr>
        <w:t>项目</w:t>
      </w:r>
      <w:r>
        <w:rPr>
          <w:rFonts w:ascii="宋体" w:hAnsi="宋体" w:hint="eastAsia"/>
          <w:szCs w:val="21"/>
        </w:rPr>
        <w:t>开发进度表</w:t>
      </w:r>
    </w:p>
    <w:tbl>
      <w:tblPr>
        <w:tblStyle w:val="TableNormal"/>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146"/>
        <w:gridCol w:w="1407"/>
        <w:gridCol w:w="5160"/>
      </w:tblGrid>
      <w:tr>
        <w:tblPrEx>
          <w:tblW w:w="87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jc w:val="center"/>
        </w:trPr>
        <w:tc>
          <w:tcPr>
            <w:tcW w:w="2146" w:type="dxa"/>
            <w:shd w:val="clear" w:color="auto" w:fill="D0CECE"/>
            <w:vAlign w:val="center"/>
          </w:tcPr>
          <w:p w:rsidR="0074156F">
            <w:pPr>
              <w:snapToGrid w:val="0"/>
              <w:spacing w:before="156" w:beforeLines="50" w:after="156" w:afterLines="50"/>
              <w:jc w:val="center"/>
              <w:rPr>
                <w:b/>
                <w:szCs w:val="21"/>
              </w:rPr>
            </w:pPr>
            <w:r>
              <w:rPr>
                <w:b/>
                <w:szCs w:val="21"/>
              </w:rPr>
              <w:t>软件研发过程</w:t>
            </w:r>
          </w:p>
        </w:tc>
        <w:tc>
          <w:tcPr>
            <w:tcW w:w="1407" w:type="dxa"/>
            <w:shd w:val="clear" w:color="auto" w:fill="D0CECE"/>
            <w:vAlign w:val="center"/>
          </w:tcPr>
          <w:p w:rsidR="0074156F">
            <w:pPr>
              <w:snapToGrid w:val="0"/>
              <w:spacing w:before="156" w:beforeLines="50" w:after="156" w:afterLines="50"/>
              <w:jc w:val="center"/>
              <w:rPr>
                <w:b/>
                <w:szCs w:val="21"/>
              </w:rPr>
            </w:pPr>
            <w:r>
              <w:rPr>
                <w:b/>
                <w:szCs w:val="21"/>
              </w:rPr>
              <w:t>进度要求</w:t>
            </w:r>
          </w:p>
        </w:tc>
        <w:tc>
          <w:tcPr>
            <w:tcW w:w="5160" w:type="dxa"/>
            <w:shd w:val="clear" w:color="auto" w:fill="D0CECE"/>
            <w:vAlign w:val="center"/>
          </w:tcPr>
          <w:p w:rsidR="0074156F">
            <w:pPr>
              <w:snapToGrid w:val="0"/>
              <w:spacing w:before="156" w:beforeLines="50" w:after="156" w:afterLines="50"/>
              <w:jc w:val="center"/>
              <w:rPr>
                <w:b/>
                <w:szCs w:val="21"/>
              </w:rPr>
            </w:pPr>
            <w:r>
              <w:rPr>
                <w:b/>
                <w:szCs w:val="21"/>
              </w:rPr>
              <w:t>基本要求</w:t>
            </w:r>
          </w:p>
        </w:tc>
      </w:tr>
      <w:tr>
        <w:tblPrEx>
          <w:tblW w:w="8713" w:type="dxa"/>
          <w:jc w:val="center"/>
          <w:tblLook w:val="04A0"/>
        </w:tblPrEx>
        <w:trPr>
          <w:jc w:val="center"/>
        </w:trPr>
        <w:tc>
          <w:tcPr>
            <w:tcW w:w="2146" w:type="dxa"/>
            <w:vAlign w:val="center"/>
          </w:tcPr>
          <w:p w:rsidR="0074156F">
            <w:pPr>
              <w:snapToGrid w:val="0"/>
              <w:spacing w:before="156" w:beforeLines="50" w:after="156" w:afterLines="50"/>
              <w:jc w:val="center"/>
              <w:rPr>
                <w:szCs w:val="21"/>
              </w:rPr>
            </w:pPr>
            <w:r>
              <w:rPr>
                <w:szCs w:val="21"/>
              </w:rPr>
              <w:t>需求分析</w:t>
            </w:r>
          </w:p>
        </w:tc>
        <w:tc>
          <w:tcPr>
            <w:tcW w:w="1407" w:type="dxa"/>
            <w:vAlign w:val="center"/>
          </w:tcPr>
          <w:p w:rsidR="0074156F">
            <w:pPr>
              <w:snapToGrid w:val="0"/>
              <w:spacing w:before="156" w:beforeLines="50" w:after="156" w:afterLines="50"/>
              <w:jc w:val="center"/>
              <w:rPr>
                <w:szCs w:val="21"/>
              </w:rPr>
            </w:pPr>
            <w:r>
              <w:rPr>
                <w:rFonts w:hint="eastAsia"/>
                <w:szCs w:val="21"/>
              </w:rPr>
              <w:t>2</w:t>
            </w:r>
          </w:p>
        </w:tc>
        <w:tc>
          <w:tcPr>
            <w:tcW w:w="5160" w:type="dxa"/>
            <w:vAlign w:val="center"/>
          </w:tcPr>
          <w:p w:rsidR="0074156F">
            <w:pPr>
              <w:snapToGrid w:val="0"/>
              <w:spacing w:before="156" w:beforeLines="50" w:after="156" w:afterLines="50"/>
              <w:rPr>
                <w:szCs w:val="21"/>
              </w:rPr>
            </w:pPr>
            <w:r>
              <w:rPr>
                <w:rFonts w:hint="eastAsia"/>
                <w:szCs w:val="21"/>
              </w:rPr>
              <w:t>完成任务书中</w:t>
            </w:r>
            <w:r>
              <w:rPr>
                <w:szCs w:val="21"/>
              </w:rPr>
              <w:t>所有软件功能的分析</w:t>
            </w:r>
            <w:r>
              <w:rPr>
                <w:rFonts w:hint="eastAsia"/>
                <w:szCs w:val="21"/>
              </w:rPr>
              <w:t>，</w:t>
            </w:r>
            <w:r>
              <w:rPr>
                <w:szCs w:val="21"/>
              </w:rPr>
              <w:t>提交软件需求阶段应提交的各类文档，通过</w:t>
            </w:r>
            <w:r>
              <w:rPr>
                <w:rFonts w:hint="eastAsia"/>
                <w:szCs w:val="21"/>
              </w:rPr>
              <w:t>甲方组织的评审</w:t>
            </w:r>
          </w:p>
        </w:tc>
      </w:tr>
      <w:tr>
        <w:tblPrEx>
          <w:tblW w:w="8713" w:type="dxa"/>
          <w:jc w:val="center"/>
          <w:tblLook w:val="04A0"/>
        </w:tblPrEx>
        <w:trPr>
          <w:jc w:val="center"/>
        </w:trPr>
        <w:tc>
          <w:tcPr>
            <w:tcW w:w="2146" w:type="dxa"/>
            <w:vAlign w:val="center"/>
          </w:tcPr>
          <w:p w:rsidR="0074156F">
            <w:pPr>
              <w:snapToGrid w:val="0"/>
              <w:spacing w:before="156" w:beforeLines="50" w:after="156" w:afterLines="50"/>
              <w:jc w:val="center"/>
              <w:rPr>
                <w:szCs w:val="21"/>
              </w:rPr>
            </w:pPr>
            <w:r>
              <w:rPr>
                <w:szCs w:val="21"/>
              </w:rPr>
              <w:t>概要设计</w:t>
            </w:r>
          </w:p>
        </w:tc>
        <w:tc>
          <w:tcPr>
            <w:tcW w:w="1407" w:type="dxa"/>
            <w:vAlign w:val="center"/>
          </w:tcPr>
          <w:p w:rsidR="0074156F">
            <w:pPr>
              <w:snapToGrid w:val="0"/>
              <w:spacing w:before="156" w:beforeLines="50" w:after="156" w:afterLines="50"/>
              <w:jc w:val="center"/>
              <w:rPr>
                <w:szCs w:val="21"/>
              </w:rPr>
            </w:pPr>
            <w:r>
              <w:rPr>
                <w:rFonts w:hint="eastAsia"/>
                <w:szCs w:val="21"/>
              </w:rPr>
              <w:t>1</w:t>
            </w:r>
          </w:p>
        </w:tc>
        <w:tc>
          <w:tcPr>
            <w:tcW w:w="5160" w:type="dxa"/>
            <w:vAlign w:val="center"/>
          </w:tcPr>
          <w:p w:rsidR="0074156F">
            <w:pPr>
              <w:snapToGrid w:val="0"/>
              <w:spacing w:before="156" w:beforeLines="50" w:after="156" w:afterLines="50"/>
              <w:rPr>
                <w:szCs w:val="21"/>
              </w:rPr>
            </w:pPr>
            <w:r>
              <w:rPr>
                <w:rFonts w:hint="eastAsia"/>
                <w:szCs w:val="21"/>
              </w:rPr>
              <w:t>完成任务书中</w:t>
            </w:r>
            <w:r>
              <w:rPr>
                <w:szCs w:val="21"/>
              </w:rPr>
              <w:t>所有软件功能的</w:t>
            </w:r>
            <w:r>
              <w:rPr>
                <w:rFonts w:hint="eastAsia"/>
                <w:szCs w:val="21"/>
              </w:rPr>
              <w:t>设计，</w:t>
            </w:r>
            <w:r>
              <w:rPr>
                <w:szCs w:val="21"/>
              </w:rPr>
              <w:t>提交概要设计阶段应提交的各类文档，提供客户端原型设计，通过</w:t>
            </w:r>
            <w:r>
              <w:rPr>
                <w:rFonts w:hint="eastAsia"/>
                <w:szCs w:val="21"/>
              </w:rPr>
              <w:t>甲方组织的评审</w:t>
            </w:r>
          </w:p>
        </w:tc>
      </w:tr>
      <w:tr>
        <w:tblPrEx>
          <w:tblW w:w="8713" w:type="dxa"/>
          <w:jc w:val="center"/>
          <w:tblLook w:val="04A0"/>
        </w:tblPrEx>
        <w:trPr>
          <w:jc w:val="center"/>
        </w:trPr>
        <w:tc>
          <w:tcPr>
            <w:tcW w:w="2146" w:type="dxa"/>
            <w:vAlign w:val="center"/>
          </w:tcPr>
          <w:p w:rsidR="0074156F">
            <w:pPr>
              <w:snapToGrid w:val="0"/>
              <w:spacing w:before="156" w:beforeLines="50" w:after="156" w:afterLines="50"/>
              <w:jc w:val="center"/>
              <w:rPr>
                <w:szCs w:val="21"/>
              </w:rPr>
            </w:pPr>
            <w:r>
              <w:rPr>
                <w:szCs w:val="21"/>
              </w:rPr>
              <w:t>详细设计与编码调试</w:t>
            </w:r>
          </w:p>
        </w:tc>
        <w:tc>
          <w:tcPr>
            <w:tcW w:w="1407" w:type="dxa"/>
            <w:vAlign w:val="center"/>
          </w:tcPr>
          <w:p w:rsidR="0074156F">
            <w:pPr>
              <w:snapToGrid w:val="0"/>
              <w:spacing w:before="156" w:beforeLines="50" w:after="156" w:afterLines="50"/>
              <w:jc w:val="center"/>
              <w:rPr>
                <w:szCs w:val="21"/>
              </w:rPr>
            </w:pPr>
            <w:r>
              <w:rPr>
                <w:szCs w:val="21"/>
              </w:rPr>
              <w:t>7</w:t>
            </w:r>
          </w:p>
        </w:tc>
        <w:tc>
          <w:tcPr>
            <w:tcW w:w="5160" w:type="dxa"/>
            <w:vAlign w:val="center"/>
          </w:tcPr>
          <w:p w:rsidR="0074156F">
            <w:pPr>
              <w:snapToGrid w:val="0"/>
              <w:spacing w:before="156" w:beforeLines="50" w:after="156" w:afterLines="50"/>
              <w:rPr>
                <w:szCs w:val="21"/>
              </w:rPr>
            </w:pPr>
            <w:r>
              <w:rPr>
                <w:szCs w:val="21"/>
              </w:rPr>
              <w:t>完成详细设计、程序编码、调试和单元测试</w:t>
            </w:r>
          </w:p>
        </w:tc>
      </w:tr>
      <w:tr>
        <w:tblPrEx>
          <w:tblW w:w="8713" w:type="dxa"/>
          <w:jc w:val="center"/>
          <w:tblLook w:val="04A0"/>
        </w:tblPrEx>
        <w:trPr>
          <w:jc w:val="center"/>
        </w:trPr>
        <w:tc>
          <w:tcPr>
            <w:tcW w:w="2146" w:type="dxa"/>
            <w:vAlign w:val="center"/>
          </w:tcPr>
          <w:p w:rsidR="0074156F">
            <w:pPr>
              <w:snapToGrid w:val="0"/>
              <w:spacing w:before="156" w:beforeLines="50" w:after="156" w:afterLines="50"/>
              <w:jc w:val="center"/>
              <w:rPr>
                <w:szCs w:val="21"/>
              </w:rPr>
            </w:pPr>
            <w:r>
              <w:rPr>
                <w:rFonts w:hint="eastAsia"/>
                <w:szCs w:val="21"/>
              </w:rPr>
              <w:t>系统部署</w:t>
            </w:r>
          </w:p>
        </w:tc>
        <w:tc>
          <w:tcPr>
            <w:tcW w:w="1407" w:type="dxa"/>
            <w:vAlign w:val="center"/>
          </w:tcPr>
          <w:p w:rsidR="0074156F">
            <w:pPr>
              <w:snapToGrid w:val="0"/>
              <w:spacing w:before="156" w:beforeLines="50" w:after="156" w:afterLines="50"/>
              <w:jc w:val="center"/>
              <w:rPr>
                <w:szCs w:val="21"/>
              </w:rPr>
            </w:pPr>
            <w:r>
              <w:rPr>
                <w:szCs w:val="21"/>
              </w:rPr>
              <w:t>0.5</w:t>
            </w:r>
          </w:p>
        </w:tc>
        <w:tc>
          <w:tcPr>
            <w:tcW w:w="5160" w:type="dxa"/>
            <w:vAlign w:val="center"/>
          </w:tcPr>
          <w:p w:rsidR="0074156F">
            <w:pPr>
              <w:snapToGrid w:val="0"/>
              <w:spacing w:before="156" w:beforeLines="50" w:after="156" w:afterLines="50"/>
              <w:rPr>
                <w:szCs w:val="21"/>
              </w:rPr>
            </w:pPr>
            <w:r>
              <w:rPr>
                <w:szCs w:val="21"/>
              </w:rPr>
              <w:t>完成系统功能确认测试、</w:t>
            </w:r>
            <w:r>
              <w:rPr>
                <w:rFonts w:hint="eastAsia"/>
                <w:szCs w:val="21"/>
              </w:rPr>
              <w:t>运行环境配置、</w:t>
            </w:r>
            <w:r>
              <w:rPr>
                <w:szCs w:val="21"/>
              </w:rPr>
              <w:t>系统应用集成</w:t>
            </w:r>
            <w:r>
              <w:rPr>
                <w:rFonts w:hint="eastAsia"/>
                <w:szCs w:val="21"/>
              </w:rPr>
              <w:t>与部署</w:t>
            </w:r>
          </w:p>
        </w:tc>
      </w:tr>
      <w:tr>
        <w:tblPrEx>
          <w:tblW w:w="8713" w:type="dxa"/>
          <w:jc w:val="center"/>
          <w:tblLook w:val="04A0"/>
        </w:tblPrEx>
        <w:trPr>
          <w:jc w:val="center"/>
        </w:trPr>
        <w:tc>
          <w:tcPr>
            <w:tcW w:w="2146" w:type="dxa"/>
            <w:vAlign w:val="center"/>
          </w:tcPr>
          <w:p w:rsidR="0074156F">
            <w:pPr>
              <w:snapToGrid w:val="0"/>
              <w:spacing w:before="156" w:beforeLines="50" w:after="156" w:afterLines="50"/>
              <w:jc w:val="center"/>
              <w:rPr>
                <w:szCs w:val="21"/>
              </w:rPr>
            </w:pPr>
            <w:r>
              <w:rPr>
                <w:rFonts w:hint="eastAsia"/>
                <w:szCs w:val="21"/>
              </w:rPr>
              <w:t>试运行</w:t>
            </w:r>
          </w:p>
        </w:tc>
        <w:tc>
          <w:tcPr>
            <w:tcW w:w="1407" w:type="dxa"/>
            <w:vAlign w:val="center"/>
          </w:tcPr>
          <w:p w:rsidR="0074156F">
            <w:pPr>
              <w:snapToGrid w:val="0"/>
              <w:spacing w:before="156" w:beforeLines="50" w:after="156" w:afterLines="50"/>
              <w:jc w:val="center"/>
              <w:rPr>
                <w:szCs w:val="21"/>
              </w:rPr>
            </w:pPr>
            <w:r>
              <w:rPr>
                <w:rFonts w:hint="eastAsia"/>
                <w:szCs w:val="21"/>
              </w:rPr>
              <w:t>1</w:t>
            </w:r>
          </w:p>
        </w:tc>
        <w:tc>
          <w:tcPr>
            <w:tcW w:w="5160" w:type="dxa"/>
            <w:vAlign w:val="center"/>
          </w:tcPr>
          <w:p w:rsidR="0074156F">
            <w:pPr>
              <w:snapToGrid w:val="0"/>
              <w:spacing w:before="156" w:beforeLines="50" w:after="156" w:afterLines="50"/>
              <w:rPr>
                <w:szCs w:val="21"/>
              </w:rPr>
            </w:pPr>
            <w:r>
              <w:rPr>
                <w:rFonts w:hint="eastAsia"/>
                <w:szCs w:val="21"/>
              </w:rPr>
              <w:t>完成业务试运行</w:t>
            </w:r>
          </w:p>
        </w:tc>
      </w:tr>
      <w:tr>
        <w:tblPrEx>
          <w:tblW w:w="8713" w:type="dxa"/>
          <w:jc w:val="center"/>
          <w:tblLook w:val="04A0"/>
        </w:tblPrEx>
        <w:trPr>
          <w:jc w:val="center"/>
        </w:trPr>
        <w:tc>
          <w:tcPr>
            <w:tcW w:w="2146" w:type="dxa"/>
            <w:vAlign w:val="center"/>
          </w:tcPr>
          <w:p w:rsidR="0074156F">
            <w:pPr>
              <w:snapToGrid w:val="0"/>
              <w:spacing w:before="156" w:beforeLines="50" w:after="156" w:afterLines="50"/>
              <w:jc w:val="center"/>
              <w:rPr>
                <w:szCs w:val="21"/>
              </w:rPr>
            </w:pPr>
            <w:r>
              <w:rPr>
                <w:rFonts w:hint="eastAsia"/>
                <w:szCs w:val="21"/>
              </w:rPr>
              <w:t>系统终验</w:t>
            </w:r>
          </w:p>
        </w:tc>
        <w:tc>
          <w:tcPr>
            <w:tcW w:w="1407" w:type="dxa"/>
            <w:vAlign w:val="center"/>
          </w:tcPr>
          <w:p w:rsidR="0074156F">
            <w:pPr>
              <w:snapToGrid w:val="0"/>
              <w:spacing w:before="156" w:beforeLines="50" w:after="156" w:afterLines="50"/>
              <w:jc w:val="center"/>
              <w:rPr>
                <w:szCs w:val="21"/>
              </w:rPr>
            </w:pPr>
            <w:r>
              <w:rPr>
                <w:rFonts w:hint="eastAsia"/>
                <w:szCs w:val="21"/>
              </w:rPr>
              <w:t>0.5</w:t>
            </w:r>
          </w:p>
        </w:tc>
        <w:tc>
          <w:tcPr>
            <w:tcW w:w="5160" w:type="dxa"/>
            <w:vAlign w:val="center"/>
          </w:tcPr>
          <w:p w:rsidR="0074156F">
            <w:pPr>
              <w:snapToGrid w:val="0"/>
              <w:spacing w:before="156" w:beforeLines="50" w:after="156" w:afterLines="50"/>
              <w:rPr>
                <w:szCs w:val="21"/>
              </w:rPr>
            </w:pPr>
            <w:r>
              <w:rPr>
                <w:szCs w:val="21"/>
              </w:rPr>
              <w:t>完成</w:t>
            </w:r>
            <w:r>
              <w:rPr>
                <w:rFonts w:hint="eastAsia"/>
                <w:szCs w:val="21"/>
              </w:rPr>
              <w:t>系统最终验收并移交</w:t>
            </w:r>
          </w:p>
        </w:tc>
      </w:tr>
    </w:tbl>
    <w:p w:rsidR="0074156F">
      <w:pPr>
        <w:snapToGrid w:val="0"/>
        <w:ind w:firstLine="482"/>
        <w:rPr>
          <w:szCs w:val="21"/>
        </w:rPr>
      </w:pPr>
    </w:p>
    <w:p w:rsidR="0074156F">
      <w:pPr>
        <w:pStyle w:val="Heading1"/>
        <w:spacing w:before="100" w:beforeAutospacing="1" w:after="100" w:afterAutospacing="1" w:line="360" w:lineRule="auto"/>
        <w:ind w:left="0" w:firstLine="0"/>
        <w:rPr>
          <w:rFonts w:ascii="宋体" w:eastAsia="宋体" w:hAnsi="宋体" w:cs="宋体"/>
          <w:sz w:val="21"/>
          <w:szCs w:val="21"/>
        </w:rPr>
      </w:pPr>
      <w:bookmarkStart w:id="205" w:name="_Toc199166591"/>
      <w:r>
        <w:rPr>
          <w:rFonts w:ascii="宋体" w:eastAsia="宋体" w:hAnsi="宋体" w:cs="宋体" w:hint="eastAsia"/>
          <w:sz w:val="21"/>
          <w:szCs w:val="21"/>
        </w:rPr>
        <w:t>六、软件交付物要求</w:t>
      </w:r>
      <w:bookmarkEnd w:id="205"/>
    </w:p>
    <w:p w:rsidR="0074156F">
      <w:pPr>
        <w:pStyle w:val="NormalIndent"/>
        <w:ind w:firstLineChars="0"/>
        <w:rPr>
          <w:sz w:val="21"/>
          <w:szCs w:val="21"/>
        </w:rPr>
      </w:pPr>
      <w:r>
        <w:rPr>
          <w:rFonts w:hint="eastAsia"/>
          <w:sz w:val="21"/>
          <w:szCs w:val="21"/>
        </w:rPr>
        <w:t>（</w:t>
      </w:r>
      <w:r>
        <w:rPr>
          <w:rFonts w:hint="eastAsia"/>
          <w:sz w:val="21"/>
          <w:szCs w:val="21"/>
        </w:rPr>
        <w:t>1</w:t>
      </w:r>
      <w:r>
        <w:rPr>
          <w:rFonts w:hint="eastAsia"/>
          <w:sz w:val="21"/>
          <w:szCs w:val="21"/>
        </w:rPr>
        <w:t>）产品交付物</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400"/>
        <w:gridCol w:w="7122"/>
      </w:tblGrid>
      <w:tr>
        <w:tblPrEx>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1421" w:type="dxa"/>
            <w:shd w:val="pct10" w:color="auto" w:fill="auto"/>
          </w:tcPr>
          <w:p w:rsidR="0074156F">
            <w:pPr>
              <w:pStyle w:val="B"/>
              <w:spacing w:before="156" w:beforeLines="50" w:after="156" w:afterLines="50" w:line="360" w:lineRule="auto"/>
              <w:rPr>
                <w:rFonts w:ascii="宋体" w:eastAsia="宋体" w:hAnsi="宋体"/>
              </w:rPr>
            </w:pPr>
            <w:r>
              <w:rPr>
                <w:rFonts w:ascii="宋体" w:eastAsia="宋体" w:hAnsi="宋体" w:hint="eastAsia"/>
              </w:rPr>
              <w:t>序号</w:t>
            </w:r>
          </w:p>
        </w:tc>
        <w:tc>
          <w:tcPr>
            <w:tcW w:w="7260" w:type="dxa"/>
            <w:shd w:val="pct10" w:color="auto" w:fill="auto"/>
          </w:tcPr>
          <w:p w:rsidR="0074156F">
            <w:pPr>
              <w:pStyle w:val="B"/>
              <w:spacing w:before="156" w:beforeLines="50" w:after="156" w:afterLines="50" w:line="360" w:lineRule="auto"/>
              <w:rPr>
                <w:rFonts w:ascii="宋体" w:eastAsia="宋体" w:hAnsi="宋体"/>
              </w:rPr>
            </w:pPr>
            <w:r>
              <w:rPr>
                <w:rFonts w:ascii="宋体" w:eastAsia="宋体" w:hAnsi="宋体" w:hint="eastAsia"/>
              </w:rPr>
              <w:t>产品名称</w:t>
            </w:r>
          </w:p>
        </w:tc>
      </w:tr>
      <w:tr>
        <w:tblPrEx>
          <w:tblW w:w="0" w:type="auto"/>
          <w:jc w:val="center"/>
          <w:tblLook w:val="04A0"/>
        </w:tblPrEx>
        <w:trPr>
          <w:jc w:val="center"/>
        </w:trPr>
        <w:tc>
          <w:tcPr>
            <w:tcW w:w="1421" w:type="dxa"/>
          </w:tcPr>
          <w:p w:rsidR="0074156F">
            <w:pPr>
              <w:pStyle w:val="B0"/>
              <w:spacing w:before="156" w:beforeLines="50" w:after="156" w:afterLines="50" w:line="360" w:lineRule="auto"/>
              <w:jc w:val="center"/>
              <w:rPr>
                <w:rFonts w:ascii="宋体" w:eastAsia="宋体" w:hAnsi="宋体"/>
              </w:rPr>
            </w:pPr>
            <w:r>
              <w:rPr>
                <w:rFonts w:ascii="宋体" w:eastAsia="宋体" w:hAnsi="宋体" w:hint="eastAsia"/>
              </w:rPr>
              <w:t>1</w:t>
            </w:r>
          </w:p>
        </w:tc>
        <w:tc>
          <w:tcPr>
            <w:tcW w:w="7260" w:type="dxa"/>
          </w:tcPr>
          <w:p w:rsidR="0074156F">
            <w:pPr>
              <w:pStyle w:val="B0"/>
              <w:spacing w:before="156" w:beforeLines="50" w:after="156" w:afterLines="50" w:line="360" w:lineRule="auto"/>
              <w:rPr>
                <w:rFonts w:ascii="宋体" w:eastAsia="宋体" w:hAnsi="宋体"/>
              </w:rPr>
            </w:pPr>
            <w:r>
              <w:rPr>
                <w:rFonts w:ascii="宋体" w:eastAsia="宋体" w:hAnsi="宋体" w:hint="eastAsia"/>
              </w:rPr>
              <w:t>应用软件安装包</w:t>
            </w:r>
          </w:p>
        </w:tc>
      </w:tr>
      <w:tr>
        <w:tblPrEx>
          <w:tblW w:w="0" w:type="auto"/>
          <w:jc w:val="center"/>
          <w:tblLook w:val="04A0"/>
        </w:tblPrEx>
        <w:trPr>
          <w:jc w:val="center"/>
        </w:trPr>
        <w:tc>
          <w:tcPr>
            <w:tcW w:w="1421" w:type="dxa"/>
          </w:tcPr>
          <w:p w:rsidR="0074156F">
            <w:pPr>
              <w:pStyle w:val="B0"/>
              <w:spacing w:before="156" w:beforeLines="50" w:after="156" w:afterLines="50" w:line="360" w:lineRule="auto"/>
              <w:jc w:val="center"/>
              <w:rPr>
                <w:rFonts w:ascii="宋体" w:eastAsia="宋体" w:hAnsi="宋体"/>
              </w:rPr>
            </w:pPr>
            <w:r>
              <w:rPr>
                <w:rFonts w:ascii="宋体" w:eastAsia="宋体" w:hAnsi="宋体" w:hint="eastAsia"/>
              </w:rPr>
              <w:t>2</w:t>
            </w:r>
          </w:p>
        </w:tc>
        <w:tc>
          <w:tcPr>
            <w:tcW w:w="7260" w:type="dxa"/>
          </w:tcPr>
          <w:p w:rsidR="0074156F">
            <w:pPr>
              <w:pStyle w:val="B0"/>
              <w:spacing w:before="156" w:beforeLines="50" w:after="156" w:afterLines="50" w:line="360" w:lineRule="auto"/>
              <w:rPr>
                <w:rFonts w:ascii="宋体" w:eastAsia="宋体" w:hAnsi="宋体"/>
              </w:rPr>
            </w:pPr>
            <w:r>
              <w:rPr>
                <w:rFonts w:ascii="宋体" w:eastAsia="宋体" w:hAnsi="宋体" w:hint="eastAsia"/>
              </w:rPr>
              <w:t>源代码、工程文件及程序说明</w:t>
            </w:r>
          </w:p>
        </w:tc>
      </w:tr>
    </w:tbl>
    <w:p w:rsidR="0074156F">
      <w:pPr>
        <w:pStyle w:val="NormalIndent"/>
        <w:numPr>
          <w:ilvl w:val="0"/>
          <w:numId w:val="6"/>
        </w:numPr>
        <w:spacing w:before="312" w:beforeLines="100"/>
        <w:ind w:firstLineChars="0"/>
        <w:rPr>
          <w:sz w:val="21"/>
          <w:szCs w:val="21"/>
        </w:rPr>
      </w:pPr>
      <w:r>
        <w:rPr>
          <w:rFonts w:hint="eastAsia"/>
          <w:sz w:val="21"/>
          <w:szCs w:val="21"/>
        </w:rPr>
        <w:t>文档交付物</w:t>
      </w:r>
    </w:p>
    <w:tbl>
      <w:tblPr>
        <w:tblStyle w:val="TableNormal"/>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40"/>
        <w:gridCol w:w="2841"/>
        <w:gridCol w:w="2841"/>
      </w:tblGrid>
      <w:tr>
        <w:tblPrEx>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Ex>
        <w:trPr>
          <w:jc w:val="center"/>
        </w:trPr>
        <w:tc>
          <w:tcPr>
            <w:tcW w:w="1666" w:type="pct"/>
            <w:shd w:val="pct10" w:color="auto" w:fill="auto"/>
          </w:tcPr>
          <w:p w:rsidR="0074156F">
            <w:pPr>
              <w:pStyle w:val="B"/>
              <w:spacing w:before="156" w:beforeLines="50" w:after="156" w:afterLines="50" w:line="360" w:lineRule="auto"/>
              <w:rPr>
                <w:rFonts w:ascii="宋体" w:eastAsia="宋体" w:hAnsi="宋体"/>
              </w:rPr>
            </w:pPr>
            <w:r>
              <w:rPr>
                <w:rFonts w:ascii="宋体" w:eastAsia="宋体" w:hAnsi="宋体" w:hint="eastAsia"/>
              </w:rPr>
              <w:t>工作内容</w:t>
            </w:r>
          </w:p>
        </w:tc>
        <w:tc>
          <w:tcPr>
            <w:tcW w:w="1667" w:type="pct"/>
            <w:shd w:val="pct10" w:color="auto" w:fill="auto"/>
          </w:tcPr>
          <w:p w:rsidR="0074156F">
            <w:pPr>
              <w:pStyle w:val="B"/>
              <w:spacing w:before="156" w:beforeLines="50" w:after="156" w:afterLines="50" w:line="360" w:lineRule="auto"/>
              <w:rPr>
                <w:rFonts w:ascii="宋体" w:eastAsia="宋体" w:hAnsi="宋体"/>
              </w:rPr>
            </w:pPr>
            <w:r>
              <w:rPr>
                <w:rFonts w:ascii="宋体" w:eastAsia="宋体" w:hAnsi="宋体" w:hint="eastAsia"/>
              </w:rPr>
              <w:t>技术文档</w:t>
            </w:r>
          </w:p>
        </w:tc>
        <w:tc>
          <w:tcPr>
            <w:tcW w:w="1667" w:type="pct"/>
            <w:shd w:val="pct10" w:color="auto" w:fill="auto"/>
          </w:tcPr>
          <w:p w:rsidR="0074156F">
            <w:pPr>
              <w:pStyle w:val="B"/>
              <w:spacing w:before="156" w:beforeLines="50" w:after="156" w:afterLines="50" w:line="360" w:lineRule="auto"/>
              <w:rPr>
                <w:rFonts w:ascii="宋体" w:eastAsia="宋体" w:hAnsi="宋体"/>
              </w:rPr>
            </w:pPr>
            <w:r>
              <w:rPr>
                <w:rFonts w:ascii="宋体" w:eastAsia="宋体" w:hAnsi="宋体" w:hint="eastAsia"/>
              </w:rPr>
              <w:t>管理文档</w:t>
            </w:r>
          </w:p>
        </w:tc>
      </w:tr>
      <w:tr>
        <w:tblPrEx>
          <w:tblW w:w="5000" w:type="pct"/>
          <w:jc w:val="center"/>
          <w:tblLook w:val="04A0"/>
        </w:tblPrEx>
        <w:trPr>
          <w:jc w:val="center"/>
        </w:trPr>
        <w:tc>
          <w:tcPr>
            <w:tcW w:w="1666" w:type="pct"/>
          </w:tcPr>
          <w:p w:rsidR="0074156F">
            <w:pPr>
              <w:pStyle w:val="B0"/>
              <w:spacing w:before="156" w:beforeLines="50" w:after="156" w:afterLines="50" w:line="360" w:lineRule="auto"/>
              <w:jc w:val="center"/>
              <w:rPr>
                <w:rFonts w:ascii="宋体" w:eastAsia="宋体" w:hAnsi="宋体"/>
              </w:rPr>
            </w:pPr>
            <w:r>
              <w:rPr>
                <w:rFonts w:ascii="宋体" w:eastAsia="宋体" w:hAnsi="宋体" w:hint="eastAsia"/>
              </w:rPr>
              <w:t>需求分析</w:t>
            </w:r>
          </w:p>
        </w:tc>
        <w:tc>
          <w:tcPr>
            <w:tcW w:w="1667" w:type="pct"/>
          </w:tcPr>
          <w:p w:rsidR="0074156F">
            <w:pPr>
              <w:pStyle w:val="B0"/>
              <w:spacing w:before="156" w:beforeLines="50" w:after="156" w:afterLines="50" w:line="360" w:lineRule="auto"/>
              <w:rPr>
                <w:rFonts w:ascii="宋体" w:eastAsia="宋体" w:hAnsi="宋体"/>
              </w:rPr>
            </w:pPr>
            <w:r>
              <w:rPr>
                <w:rFonts w:ascii="宋体" w:eastAsia="宋体" w:hAnsi="宋体" w:hint="eastAsia"/>
              </w:rPr>
              <w:t>软件需求规格说明书</w:t>
            </w:r>
          </w:p>
        </w:tc>
        <w:tc>
          <w:tcPr>
            <w:tcW w:w="1667" w:type="pct"/>
          </w:tcPr>
          <w:p w:rsidR="0074156F">
            <w:pPr>
              <w:pStyle w:val="B0"/>
              <w:spacing w:before="156" w:beforeLines="50" w:after="156" w:afterLines="50" w:line="360" w:lineRule="auto"/>
              <w:rPr>
                <w:rFonts w:ascii="宋体" w:eastAsia="宋体" w:hAnsi="宋体"/>
              </w:rPr>
            </w:pPr>
          </w:p>
        </w:tc>
      </w:tr>
      <w:tr>
        <w:tblPrEx>
          <w:tblW w:w="5000" w:type="pct"/>
          <w:jc w:val="center"/>
          <w:tblLook w:val="04A0"/>
        </w:tblPrEx>
        <w:trPr>
          <w:jc w:val="center"/>
        </w:trPr>
        <w:tc>
          <w:tcPr>
            <w:tcW w:w="1666" w:type="pct"/>
          </w:tcPr>
          <w:p w:rsidR="0074156F">
            <w:pPr>
              <w:pStyle w:val="B0"/>
              <w:spacing w:before="156" w:beforeLines="50" w:after="156" w:afterLines="50" w:line="360" w:lineRule="auto"/>
              <w:jc w:val="center"/>
              <w:rPr>
                <w:rFonts w:ascii="宋体" w:eastAsia="宋体" w:hAnsi="宋体"/>
              </w:rPr>
            </w:pPr>
            <w:r>
              <w:rPr>
                <w:rFonts w:ascii="宋体" w:eastAsia="宋体" w:hAnsi="宋体" w:hint="eastAsia"/>
              </w:rPr>
              <w:t>设计和开发</w:t>
            </w:r>
          </w:p>
        </w:tc>
        <w:tc>
          <w:tcPr>
            <w:tcW w:w="1667" w:type="pct"/>
          </w:tcPr>
          <w:p w:rsidR="0074156F">
            <w:pPr>
              <w:pStyle w:val="B0"/>
              <w:spacing w:before="156" w:beforeLines="50" w:after="156" w:afterLines="50" w:line="360" w:lineRule="auto"/>
              <w:rPr>
                <w:rFonts w:ascii="宋体" w:eastAsia="宋体" w:hAnsi="宋体"/>
              </w:rPr>
            </w:pPr>
            <w:r>
              <w:rPr>
                <w:rFonts w:ascii="宋体" w:eastAsia="宋体" w:hAnsi="宋体" w:hint="eastAsia"/>
              </w:rPr>
              <w:t>概要设计说明书</w:t>
            </w:r>
          </w:p>
        </w:tc>
        <w:tc>
          <w:tcPr>
            <w:tcW w:w="1667" w:type="pct"/>
          </w:tcPr>
          <w:p w:rsidR="0074156F">
            <w:pPr>
              <w:pStyle w:val="B0"/>
              <w:spacing w:before="156" w:beforeLines="50" w:after="156" w:afterLines="50" w:line="360" w:lineRule="auto"/>
              <w:rPr>
                <w:rFonts w:ascii="宋体" w:eastAsia="宋体" w:hAnsi="宋体"/>
              </w:rPr>
            </w:pPr>
          </w:p>
        </w:tc>
      </w:tr>
      <w:tr>
        <w:tblPrEx>
          <w:tblW w:w="5000" w:type="pct"/>
          <w:jc w:val="center"/>
          <w:tblLook w:val="04A0"/>
        </w:tblPrEx>
        <w:trPr>
          <w:jc w:val="center"/>
        </w:trPr>
        <w:tc>
          <w:tcPr>
            <w:tcW w:w="1666" w:type="pct"/>
            <w:vMerge w:val="restart"/>
          </w:tcPr>
          <w:p w:rsidR="0074156F">
            <w:pPr>
              <w:pStyle w:val="B0"/>
              <w:spacing w:before="156" w:beforeLines="50" w:after="156" w:afterLines="50" w:line="360" w:lineRule="auto"/>
              <w:jc w:val="center"/>
              <w:rPr>
                <w:rFonts w:ascii="宋体" w:eastAsia="宋体" w:hAnsi="宋体"/>
              </w:rPr>
            </w:pPr>
            <w:r>
              <w:rPr>
                <w:rFonts w:ascii="宋体" w:eastAsia="宋体" w:hAnsi="宋体" w:hint="eastAsia"/>
              </w:rPr>
              <w:t>测试</w:t>
            </w:r>
          </w:p>
        </w:tc>
        <w:tc>
          <w:tcPr>
            <w:tcW w:w="1667" w:type="pct"/>
          </w:tcPr>
          <w:p w:rsidR="0074156F">
            <w:pPr>
              <w:pStyle w:val="B0"/>
              <w:spacing w:before="156" w:beforeLines="50" w:after="156" w:afterLines="50" w:line="360" w:lineRule="auto"/>
              <w:rPr>
                <w:rFonts w:ascii="宋体" w:eastAsia="宋体" w:hAnsi="宋体"/>
              </w:rPr>
            </w:pPr>
            <w:r>
              <w:rPr>
                <w:rFonts w:ascii="宋体" w:eastAsia="宋体" w:hAnsi="宋体" w:hint="eastAsia"/>
              </w:rPr>
              <w:t>软件系统测试方案</w:t>
            </w:r>
          </w:p>
        </w:tc>
        <w:tc>
          <w:tcPr>
            <w:tcW w:w="1667" w:type="pct"/>
            <w:vMerge w:val="restart"/>
          </w:tcPr>
          <w:p w:rsidR="0074156F">
            <w:pPr>
              <w:pStyle w:val="B0"/>
              <w:spacing w:before="156" w:beforeLines="50" w:after="156" w:afterLines="50" w:line="360" w:lineRule="auto"/>
              <w:rPr>
                <w:rFonts w:ascii="宋体" w:eastAsia="宋体" w:hAnsi="宋体"/>
              </w:rPr>
            </w:pPr>
          </w:p>
        </w:tc>
      </w:tr>
      <w:tr>
        <w:tblPrEx>
          <w:tblW w:w="5000" w:type="pct"/>
          <w:jc w:val="center"/>
          <w:tblLook w:val="04A0"/>
        </w:tblPrEx>
        <w:trPr>
          <w:jc w:val="center"/>
        </w:trPr>
        <w:tc>
          <w:tcPr>
            <w:tcW w:w="1666" w:type="pct"/>
            <w:vMerge/>
          </w:tcPr>
          <w:p w:rsidR="0074156F">
            <w:pPr>
              <w:pStyle w:val="B0"/>
              <w:spacing w:before="156" w:beforeLines="50" w:after="156" w:afterLines="50" w:line="360" w:lineRule="auto"/>
              <w:jc w:val="center"/>
              <w:rPr>
                <w:rFonts w:ascii="宋体" w:eastAsia="宋体" w:hAnsi="宋体"/>
              </w:rPr>
            </w:pPr>
          </w:p>
        </w:tc>
        <w:tc>
          <w:tcPr>
            <w:tcW w:w="1667" w:type="pct"/>
          </w:tcPr>
          <w:p w:rsidR="0074156F">
            <w:pPr>
              <w:pStyle w:val="B0"/>
              <w:spacing w:before="156" w:beforeLines="50" w:after="156" w:afterLines="50" w:line="360" w:lineRule="auto"/>
              <w:rPr>
                <w:rFonts w:ascii="宋体" w:eastAsia="宋体" w:hAnsi="宋体"/>
              </w:rPr>
            </w:pPr>
            <w:r>
              <w:rPr>
                <w:rFonts w:ascii="宋体" w:eastAsia="宋体" w:hAnsi="宋体" w:hint="eastAsia"/>
              </w:rPr>
              <w:t>软件系统测试报告</w:t>
            </w:r>
          </w:p>
        </w:tc>
        <w:tc>
          <w:tcPr>
            <w:tcW w:w="1667" w:type="pct"/>
            <w:vMerge/>
          </w:tcPr>
          <w:p w:rsidR="0074156F">
            <w:pPr>
              <w:pStyle w:val="B0"/>
              <w:spacing w:before="156" w:beforeLines="50" w:after="156" w:afterLines="50" w:line="360" w:lineRule="auto"/>
              <w:rPr>
                <w:rFonts w:ascii="宋体" w:eastAsia="宋体" w:hAnsi="宋体"/>
              </w:rPr>
            </w:pPr>
          </w:p>
        </w:tc>
      </w:tr>
      <w:tr>
        <w:tblPrEx>
          <w:tblW w:w="5000" w:type="pct"/>
          <w:jc w:val="center"/>
          <w:tblLook w:val="04A0"/>
        </w:tblPrEx>
        <w:trPr>
          <w:jc w:val="center"/>
        </w:trPr>
        <w:tc>
          <w:tcPr>
            <w:tcW w:w="1666" w:type="pct"/>
            <w:vMerge w:val="restart"/>
          </w:tcPr>
          <w:p w:rsidR="0074156F">
            <w:pPr>
              <w:pStyle w:val="B0"/>
              <w:spacing w:before="156" w:beforeLines="50" w:after="156" w:afterLines="50" w:line="360" w:lineRule="auto"/>
              <w:jc w:val="center"/>
              <w:rPr>
                <w:rFonts w:ascii="宋体" w:eastAsia="宋体" w:hAnsi="宋体"/>
              </w:rPr>
            </w:pPr>
            <w:r>
              <w:rPr>
                <w:rFonts w:ascii="宋体" w:eastAsia="宋体" w:hAnsi="宋体" w:hint="eastAsia"/>
              </w:rPr>
              <w:t>试运行</w:t>
            </w:r>
          </w:p>
        </w:tc>
        <w:tc>
          <w:tcPr>
            <w:tcW w:w="1667" w:type="pct"/>
          </w:tcPr>
          <w:p w:rsidR="0074156F">
            <w:pPr>
              <w:pStyle w:val="B0"/>
              <w:spacing w:before="156" w:beforeLines="50" w:after="156" w:afterLines="50" w:line="360" w:lineRule="auto"/>
              <w:rPr>
                <w:rFonts w:ascii="宋体" w:eastAsia="宋体" w:hAnsi="宋体"/>
              </w:rPr>
            </w:pPr>
            <w:r>
              <w:rPr>
                <w:rFonts w:ascii="宋体" w:eastAsia="宋体" w:hAnsi="宋体" w:hint="eastAsia"/>
              </w:rPr>
              <w:t>用户手册</w:t>
            </w:r>
          </w:p>
        </w:tc>
        <w:tc>
          <w:tcPr>
            <w:tcW w:w="1667" w:type="pct"/>
            <w:vMerge w:val="restart"/>
          </w:tcPr>
          <w:p w:rsidR="0074156F">
            <w:pPr>
              <w:pStyle w:val="B0"/>
              <w:spacing w:before="156" w:beforeLines="50" w:after="156" w:afterLines="50" w:line="360" w:lineRule="auto"/>
              <w:rPr>
                <w:rFonts w:ascii="宋体" w:eastAsia="宋体" w:hAnsi="宋体"/>
              </w:rPr>
            </w:pPr>
          </w:p>
        </w:tc>
      </w:tr>
      <w:tr>
        <w:tblPrEx>
          <w:tblW w:w="5000" w:type="pct"/>
          <w:jc w:val="center"/>
          <w:tblLook w:val="04A0"/>
        </w:tblPrEx>
        <w:trPr>
          <w:jc w:val="center"/>
        </w:trPr>
        <w:tc>
          <w:tcPr>
            <w:tcW w:w="1666" w:type="pct"/>
            <w:vMerge/>
          </w:tcPr>
          <w:p w:rsidR="0074156F">
            <w:pPr>
              <w:pStyle w:val="B0"/>
              <w:spacing w:before="156" w:beforeLines="50" w:after="156" w:afterLines="50" w:line="360" w:lineRule="auto"/>
              <w:jc w:val="center"/>
              <w:rPr>
                <w:rFonts w:ascii="宋体" w:eastAsia="宋体" w:hAnsi="宋体"/>
              </w:rPr>
            </w:pPr>
          </w:p>
        </w:tc>
        <w:tc>
          <w:tcPr>
            <w:tcW w:w="1667" w:type="pct"/>
          </w:tcPr>
          <w:p w:rsidR="0074156F">
            <w:pPr>
              <w:pStyle w:val="B0"/>
              <w:spacing w:before="156" w:beforeLines="50" w:after="156" w:afterLines="50" w:line="360" w:lineRule="auto"/>
              <w:rPr>
                <w:rFonts w:ascii="宋体" w:eastAsia="宋体" w:hAnsi="宋体"/>
              </w:rPr>
            </w:pPr>
            <w:r>
              <w:rPr>
                <w:rFonts w:ascii="宋体" w:eastAsia="宋体" w:hAnsi="宋体" w:hint="eastAsia"/>
              </w:rPr>
              <w:t>软件程序及模块清单</w:t>
            </w:r>
          </w:p>
        </w:tc>
        <w:tc>
          <w:tcPr>
            <w:tcW w:w="1667" w:type="pct"/>
            <w:vMerge/>
          </w:tcPr>
          <w:p w:rsidR="0074156F">
            <w:pPr>
              <w:pStyle w:val="B0"/>
              <w:spacing w:before="156" w:beforeLines="50" w:after="156" w:afterLines="50" w:line="360" w:lineRule="auto"/>
              <w:rPr>
                <w:rFonts w:ascii="宋体" w:eastAsia="宋体" w:hAnsi="宋体"/>
              </w:rPr>
            </w:pPr>
          </w:p>
        </w:tc>
      </w:tr>
      <w:tr>
        <w:tblPrEx>
          <w:tblW w:w="5000" w:type="pct"/>
          <w:jc w:val="center"/>
          <w:tblLook w:val="04A0"/>
        </w:tblPrEx>
        <w:trPr>
          <w:jc w:val="center"/>
        </w:trPr>
        <w:tc>
          <w:tcPr>
            <w:tcW w:w="1666" w:type="pct"/>
            <w:vMerge/>
          </w:tcPr>
          <w:p w:rsidR="0074156F">
            <w:pPr>
              <w:pStyle w:val="B0"/>
              <w:spacing w:before="156" w:beforeLines="50" w:after="156" w:afterLines="50" w:line="360" w:lineRule="auto"/>
              <w:jc w:val="center"/>
              <w:rPr>
                <w:rFonts w:ascii="宋体" w:eastAsia="宋体" w:hAnsi="宋体"/>
              </w:rPr>
            </w:pPr>
          </w:p>
        </w:tc>
        <w:tc>
          <w:tcPr>
            <w:tcW w:w="1667" w:type="pct"/>
          </w:tcPr>
          <w:p w:rsidR="0074156F">
            <w:pPr>
              <w:pStyle w:val="B0"/>
              <w:spacing w:before="156" w:beforeLines="50" w:after="156" w:afterLines="50" w:line="360" w:lineRule="auto"/>
              <w:rPr>
                <w:rFonts w:ascii="宋体" w:eastAsia="宋体" w:hAnsi="宋体"/>
              </w:rPr>
            </w:pPr>
            <w:r>
              <w:rPr>
                <w:rFonts w:ascii="宋体" w:eastAsia="宋体" w:hAnsi="宋体" w:hint="eastAsia"/>
              </w:rPr>
              <w:t>试运行评估报告</w:t>
            </w:r>
          </w:p>
        </w:tc>
        <w:tc>
          <w:tcPr>
            <w:tcW w:w="1667" w:type="pct"/>
          </w:tcPr>
          <w:p w:rsidR="0074156F">
            <w:pPr>
              <w:pStyle w:val="B0"/>
              <w:spacing w:before="156" w:beforeLines="50" w:after="156" w:afterLines="50" w:line="360" w:lineRule="auto"/>
              <w:rPr>
                <w:rFonts w:ascii="宋体" w:eastAsia="宋体" w:hAnsi="宋体"/>
              </w:rPr>
            </w:pPr>
          </w:p>
        </w:tc>
      </w:tr>
      <w:tr>
        <w:tblPrEx>
          <w:tblW w:w="5000" w:type="pct"/>
          <w:jc w:val="center"/>
          <w:tblLook w:val="04A0"/>
        </w:tblPrEx>
        <w:trPr>
          <w:jc w:val="center"/>
        </w:trPr>
        <w:tc>
          <w:tcPr>
            <w:tcW w:w="1666" w:type="pct"/>
          </w:tcPr>
          <w:p w:rsidR="0074156F">
            <w:pPr>
              <w:pStyle w:val="B0"/>
              <w:spacing w:before="156" w:beforeLines="50" w:after="156" w:afterLines="50" w:line="360" w:lineRule="auto"/>
              <w:jc w:val="center"/>
              <w:rPr>
                <w:rFonts w:ascii="宋体" w:eastAsia="宋体" w:hAnsi="宋体"/>
              </w:rPr>
            </w:pPr>
            <w:r>
              <w:rPr>
                <w:rFonts w:ascii="宋体" w:eastAsia="宋体" w:hAnsi="宋体" w:hint="eastAsia"/>
              </w:rPr>
              <w:t>培训</w:t>
            </w:r>
          </w:p>
        </w:tc>
        <w:tc>
          <w:tcPr>
            <w:tcW w:w="1667" w:type="pct"/>
          </w:tcPr>
          <w:p w:rsidR="0074156F">
            <w:pPr>
              <w:pStyle w:val="B0"/>
              <w:spacing w:before="156" w:beforeLines="50" w:after="156" w:afterLines="50" w:line="360" w:lineRule="auto"/>
              <w:rPr>
                <w:rFonts w:ascii="宋体" w:eastAsia="宋体" w:hAnsi="宋体"/>
              </w:rPr>
            </w:pPr>
            <w:r>
              <w:rPr>
                <w:rFonts w:ascii="宋体" w:eastAsia="宋体" w:hAnsi="宋体" w:hint="eastAsia"/>
              </w:rPr>
              <w:t>培训教程</w:t>
            </w:r>
          </w:p>
        </w:tc>
        <w:tc>
          <w:tcPr>
            <w:tcW w:w="1667" w:type="pct"/>
          </w:tcPr>
          <w:p w:rsidR="0074156F">
            <w:pPr>
              <w:pStyle w:val="B0"/>
              <w:spacing w:before="156" w:beforeLines="50" w:after="156" w:afterLines="50" w:line="360" w:lineRule="auto"/>
              <w:rPr>
                <w:rFonts w:ascii="宋体" w:eastAsia="宋体" w:hAnsi="宋体"/>
              </w:rPr>
            </w:pPr>
            <w:r>
              <w:rPr>
                <w:rFonts w:ascii="宋体" w:eastAsia="宋体" w:hAnsi="宋体" w:hint="eastAsia"/>
              </w:rPr>
              <w:t>培训计划</w:t>
            </w:r>
          </w:p>
          <w:p w:rsidR="0074156F">
            <w:pPr>
              <w:pStyle w:val="B0"/>
              <w:spacing w:before="156" w:beforeLines="50" w:after="156" w:afterLines="50" w:line="360" w:lineRule="auto"/>
              <w:rPr>
                <w:rFonts w:ascii="宋体" w:eastAsia="宋体" w:hAnsi="宋体"/>
              </w:rPr>
            </w:pPr>
            <w:r>
              <w:rPr>
                <w:rFonts w:ascii="宋体" w:eastAsia="宋体" w:hAnsi="宋体" w:hint="eastAsia"/>
              </w:rPr>
              <w:t>培训记录</w:t>
            </w:r>
          </w:p>
        </w:tc>
      </w:tr>
      <w:tr>
        <w:tblPrEx>
          <w:tblW w:w="5000" w:type="pct"/>
          <w:jc w:val="center"/>
          <w:tblLook w:val="04A0"/>
        </w:tblPrEx>
        <w:trPr>
          <w:jc w:val="center"/>
        </w:trPr>
        <w:tc>
          <w:tcPr>
            <w:tcW w:w="1666" w:type="pct"/>
          </w:tcPr>
          <w:p w:rsidR="0074156F">
            <w:pPr>
              <w:pStyle w:val="B0"/>
              <w:spacing w:before="156" w:beforeLines="50" w:after="156" w:afterLines="50" w:line="360" w:lineRule="auto"/>
              <w:jc w:val="center"/>
              <w:rPr>
                <w:rFonts w:ascii="宋体" w:eastAsia="宋体" w:hAnsi="宋体"/>
              </w:rPr>
            </w:pPr>
            <w:r>
              <w:rPr>
                <w:rFonts w:ascii="宋体" w:eastAsia="宋体" w:hAnsi="宋体" w:hint="eastAsia"/>
              </w:rPr>
              <w:t>终验</w:t>
            </w:r>
          </w:p>
        </w:tc>
        <w:tc>
          <w:tcPr>
            <w:tcW w:w="1667" w:type="pct"/>
          </w:tcPr>
          <w:p w:rsidR="0074156F">
            <w:pPr>
              <w:pStyle w:val="B0"/>
              <w:spacing w:before="156" w:beforeLines="50" w:after="156" w:afterLines="50" w:line="360" w:lineRule="auto"/>
              <w:rPr>
                <w:rFonts w:ascii="宋体" w:eastAsia="宋体" w:hAnsi="宋体"/>
              </w:rPr>
            </w:pPr>
          </w:p>
        </w:tc>
        <w:tc>
          <w:tcPr>
            <w:tcW w:w="1667" w:type="pct"/>
          </w:tcPr>
          <w:p w:rsidR="0074156F">
            <w:pPr>
              <w:pStyle w:val="B0"/>
              <w:spacing w:before="156" w:beforeLines="50" w:after="156" w:afterLines="50" w:line="360" w:lineRule="auto"/>
              <w:rPr>
                <w:rFonts w:ascii="宋体" w:eastAsia="宋体" w:hAnsi="宋体"/>
              </w:rPr>
            </w:pPr>
            <w:r>
              <w:rPr>
                <w:rFonts w:ascii="宋体" w:eastAsia="宋体" w:hAnsi="宋体" w:hint="eastAsia"/>
              </w:rPr>
              <w:t>终验申请</w:t>
            </w:r>
          </w:p>
          <w:p w:rsidR="0074156F">
            <w:pPr>
              <w:pStyle w:val="B0"/>
              <w:spacing w:before="156" w:beforeLines="50" w:after="156" w:afterLines="50" w:line="360" w:lineRule="auto"/>
              <w:rPr>
                <w:rFonts w:ascii="宋体" w:eastAsia="宋体" w:hAnsi="宋体"/>
              </w:rPr>
            </w:pPr>
            <w:r>
              <w:rPr>
                <w:rFonts w:ascii="宋体" w:eastAsia="宋体" w:hAnsi="宋体" w:hint="eastAsia"/>
              </w:rPr>
              <w:t>终验计划</w:t>
            </w:r>
          </w:p>
          <w:p w:rsidR="0074156F">
            <w:pPr>
              <w:pStyle w:val="B0"/>
              <w:spacing w:before="156" w:beforeLines="50" w:after="156" w:afterLines="50" w:line="360" w:lineRule="auto"/>
              <w:rPr>
                <w:rFonts w:ascii="宋体" w:eastAsia="宋体" w:hAnsi="宋体"/>
              </w:rPr>
            </w:pPr>
            <w:r>
              <w:rPr>
                <w:rFonts w:ascii="宋体" w:eastAsia="宋体" w:hAnsi="宋体" w:hint="eastAsia"/>
              </w:rPr>
              <w:t>终</w:t>
            </w:r>
            <w:r>
              <w:rPr>
                <w:rFonts w:ascii="宋体" w:eastAsia="宋体" w:hAnsi="宋体" w:hint="eastAsia"/>
              </w:rPr>
              <w:t>验报告</w:t>
            </w:r>
          </w:p>
        </w:tc>
      </w:tr>
      <w:tr>
        <w:tblPrEx>
          <w:tblW w:w="5000" w:type="pct"/>
          <w:jc w:val="center"/>
          <w:tblLook w:val="04A0"/>
        </w:tblPrEx>
        <w:trPr>
          <w:jc w:val="center"/>
        </w:trPr>
        <w:tc>
          <w:tcPr>
            <w:tcW w:w="1666" w:type="pct"/>
          </w:tcPr>
          <w:p w:rsidR="0074156F">
            <w:pPr>
              <w:pStyle w:val="B0"/>
              <w:spacing w:before="156" w:beforeLines="50" w:after="156" w:afterLines="50" w:line="360" w:lineRule="auto"/>
              <w:jc w:val="center"/>
              <w:rPr>
                <w:rFonts w:ascii="宋体" w:eastAsia="宋体" w:hAnsi="宋体"/>
              </w:rPr>
            </w:pPr>
            <w:r>
              <w:rPr>
                <w:rFonts w:ascii="宋体" w:eastAsia="宋体" w:hAnsi="宋体" w:hint="eastAsia"/>
              </w:rPr>
              <w:t>其他</w:t>
            </w:r>
          </w:p>
        </w:tc>
        <w:tc>
          <w:tcPr>
            <w:tcW w:w="1667" w:type="pct"/>
          </w:tcPr>
          <w:p w:rsidR="0074156F">
            <w:pPr>
              <w:pStyle w:val="B0"/>
              <w:spacing w:before="156" w:beforeLines="50" w:after="156" w:afterLines="50" w:line="360" w:lineRule="auto"/>
              <w:rPr>
                <w:rFonts w:ascii="宋体" w:eastAsia="宋体" w:hAnsi="宋体"/>
              </w:rPr>
            </w:pPr>
          </w:p>
        </w:tc>
        <w:tc>
          <w:tcPr>
            <w:tcW w:w="1667" w:type="pct"/>
          </w:tcPr>
          <w:p w:rsidR="0074156F">
            <w:pPr>
              <w:pStyle w:val="B0"/>
              <w:spacing w:before="156" w:beforeLines="50" w:after="156" w:afterLines="50" w:line="360" w:lineRule="auto"/>
              <w:rPr>
                <w:rFonts w:ascii="宋体" w:eastAsia="宋体" w:hAnsi="宋体"/>
              </w:rPr>
            </w:pPr>
            <w:r>
              <w:rPr>
                <w:rFonts w:ascii="宋体" w:eastAsia="宋体" w:hAnsi="宋体" w:hint="eastAsia"/>
              </w:rPr>
              <w:t>项目周报</w:t>
            </w:r>
          </w:p>
          <w:p w:rsidR="0074156F">
            <w:pPr>
              <w:pStyle w:val="B0"/>
              <w:spacing w:before="156" w:beforeLines="50" w:after="156" w:afterLines="50" w:line="360" w:lineRule="auto"/>
              <w:rPr>
                <w:rFonts w:ascii="宋体" w:eastAsia="宋体" w:hAnsi="宋体"/>
              </w:rPr>
            </w:pPr>
            <w:r>
              <w:rPr>
                <w:rFonts w:ascii="宋体" w:eastAsia="宋体" w:hAnsi="宋体" w:hint="eastAsia"/>
              </w:rPr>
              <w:t>会议纪要</w:t>
            </w:r>
          </w:p>
        </w:tc>
      </w:tr>
    </w:tbl>
    <w:p w:rsidR="0074156F">
      <w:pPr>
        <w:pStyle w:val="Heading1"/>
        <w:spacing w:before="100" w:beforeAutospacing="1" w:after="100" w:afterAutospacing="1" w:line="360" w:lineRule="auto"/>
        <w:ind w:left="0" w:firstLine="0"/>
        <w:rPr>
          <w:rFonts w:ascii="宋体" w:eastAsia="宋体" w:hAnsi="宋体" w:cs="宋体"/>
          <w:sz w:val="21"/>
          <w:szCs w:val="21"/>
        </w:rPr>
      </w:pPr>
      <w:bookmarkStart w:id="206" w:name="_Toc199166592"/>
      <w:r>
        <w:rPr>
          <w:rFonts w:ascii="宋体" w:eastAsia="宋体" w:hAnsi="宋体" w:cs="宋体" w:hint="eastAsia"/>
          <w:sz w:val="21"/>
          <w:szCs w:val="21"/>
        </w:rPr>
        <w:t>七、项目组织与管理要求</w:t>
      </w:r>
      <w:bookmarkEnd w:id="206"/>
    </w:p>
    <w:p w:rsidR="0074156F">
      <w:pPr>
        <w:pStyle w:val="Heading2"/>
        <w:spacing w:line="360" w:lineRule="auto"/>
        <w:ind w:left="0" w:firstLine="0"/>
        <w:rPr>
          <w:sz w:val="21"/>
          <w:szCs w:val="21"/>
        </w:rPr>
      </w:pPr>
      <w:bookmarkStart w:id="207" w:name="_Toc199166593"/>
      <w:r>
        <w:rPr>
          <w:rFonts w:hint="eastAsia"/>
          <w:sz w:val="21"/>
          <w:szCs w:val="21"/>
        </w:rPr>
        <w:t>1</w:t>
      </w:r>
      <w:r>
        <w:rPr>
          <w:rFonts w:hint="eastAsia"/>
          <w:sz w:val="21"/>
          <w:szCs w:val="21"/>
        </w:rPr>
        <w:t>、</w:t>
      </w:r>
      <w:r>
        <w:rPr>
          <w:rFonts w:hint="eastAsia"/>
          <w:sz w:val="21"/>
          <w:szCs w:val="21"/>
        </w:rPr>
        <w:t>编制软件开发实施进度计划并组织实施</w:t>
      </w:r>
      <w:bookmarkEnd w:id="207"/>
    </w:p>
    <w:p w:rsidR="0074156F">
      <w:pPr>
        <w:pStyle w:val="NormalIndent"/>
        <w:numPr>
          <w:ilvl w:val="0"/>
          <w:numId w:val="7"/>
        </w:numPr>
        <w:ind w:firstLineChars="0"/>
        <w:rPr>
          <w:sz w:val="21"/>
          <w:szCs w:val="21"/>
        </w:rPr>
      </w:pPr>
      <w:r>
        <w:rPr>
          <w:rFonts w:hint="eastAsia"/>
          <w:sz w:val="21"/>
          <w:szCs w:val="21"/>
        </w:rPr>
        <w:t>提供软件开发实施计划。</w:t>
      </w:r>
    </w:p>
    <w:p w:rsidR="0074156F">
      <w:pPr>
        <w:pStyle w:val="NormalIndent"/>
        <w:numPr>
          <w:ilvl w:val="0"/>
          <w:numId w:val="7"/>
        </w:numPr>
        <w:ind w:firstLineChars="0"/>
        <w:rPr>
          <w:sz w:val="21"/>
          <w:szCs w:val="21"/>
        </w:rPr>
      </w:pPr>
      <w:r>
        <w:rPr>
          <w:rFonts w:hint="eastAsia"/>
          <w:sz w:val="21"/>
          <w:szCs w:val="21"/>
        </w:rPr>
        <w:t>每周向甲方提供工作实施进展情况，并提出相关建议。</w:t>
      </w:r>
    </w:p>
    <w:p w:rsidR="0074156F">
      <w:pPr>
        <w:pStyle w:val="NormalIndent"/>
        <w:numPr>
          <w:ilvl w:val="0"/>
          <w:numId w:val="7"/>
        </w:numPr>
        <w:ind w:firstLineChars="0"/>
        <w:rPr>
          <w:sz w:val="21"/>
          <w:szCs w:val="21"/>
        </w:rPr>
      </w:pPr>
      <w:r>
        <w:rPr>
          <w:rFonts w:hint="eastAsia"/>
          <w:sz w:val="21"/>
          <w:szCs w:val="21"/>
        </w:rPr>
        <w:t>解决软件开发实施过程中出现的各种技术问题。</w:t>
      </w:r>
    </w:p>
    <w:p w:rsidR="0074156F">
      <w:pPr>
        <w:pStyle w:val="NormalIndent"/>
        <w:numPr>
          <w:ilvl w:val="0"/>
          <w:numId w:val="7"/>
        </w:numPr>
        <w:ind w:firstLineChars="0"/>
        <w:rPr>
          <w:sz w:val="21"/>
          <w:szCs w:val="21"/>
        </w:rPr>
      </w:pPr>
      <w:r>
        <w:rPr>
          <w:rFonts w:hint="eastAsia"/>
          <w:sz w:val="21"/>
          <w:szCs w:val="21"/>
        </w:rPr>
        <w:t>协助甲方处理实施过程中出现的质量事故。</w:t>
      </w:r>
    </w:p>
    <w:p w:rsidR="0074156F">
      <w:pPr>
        <w:pStyle w:val="NormalIndent"/>
        <w:numPr>
          <w:ilvl w:val="0"/>
          <w:numId w:val="7"/>
        </w:numPr>
        <w:ind w:firstLineChars="0"/>
        <w:rPr>
          <w:sz w:val="21"/>
          <w:szCs w:val="21"/>
        </w:rPr>
      </w:pPr>
      <w:r>
        <w:rPr>
          <w:rFonts w:hint="eastAsia"/>
          <w:sz w:val="21"/>
          <w:szCs w:val="21"/>
        </w:rPr>
        <w:t>计划周密，当项目建设过程中出现变化时，要能及时做出调整。</w:t>
      </w:r>
    </w:p>
    <w:p w:rsidR="0074156F">
      <w:pPr>
        <w:pStyle w:val="NormalIndent"/>
        <w:numPr>
          <w:ilvl w:val="0"/>
          <w:numId w:val="7"/>
        </w:numPr>
        <w:ind w:firstLineChars="0"/>
        <w:rPr>
          <w:sz w:val="21"/>
          <w:szCs w:val="21"/>
        </w:rPr>
      </w:pPr>
      <w:r>
        <w:rPr>
          <w:rFonts w:hint="eastAsia"/>
          <w:sz w:val="21"/>
          <w:szCs w:val="21"/>
        </w:rPr>
        <w:t>要有规范的进度管理机制。</w:t>
      </w:r>
    </w:p>
    <w:p w:rsidR="0074156F">
      <w:pPr>
        <w:pStyle w:val="Heading2"/>
        <w:spacing w:line="360" w:lineRule="auto"/>
        <w:ind w:left="0" w:firstLine="0"/>
        <w:rPr>
          <w:sz w:val="21"/>
          <w:szCs w:val="21"/>
        </w:rPr>
      </w:pPr>
      <w:bookmarkStart w:id="208" w:name="_Toc199166594"/>
      <w:r>
        <w:rPr>
          <w:rFonts w:hint="eastAsia"/>
          <w:sz w:val="21"/>
          <w:szCs w:val="21"/>
        </w:rPr>
        <w:t>2</w:t>
      </w:r>
      <w:r>
        <w:rPr>
          <w:rFonts w:hint="eastAsia"/>
          <w:sz w:val="21"/>
          <w:szCs w:val="21"/>
        </w:rPr>
        <w:t>、</w:t>
      </w:r>
      <w:r>
        <w:rPr>
          <w:rFonts w:hint="eastAsia"/>
          <w:sz w:val="21"/>
          <w:szCs w:val="21"/>
        </w:rPr>
        <w:t>进行项目开发的日常组织、管理、协调</w:t>
      </w:r>
      <w:bookmarkEnd w:id="208"/>
    </w:p>
    <w:p w:rsidR="0074156F">
      <w:pPr>
        <w:pStyle w:val="NormalIndent"/>
        <w:numPr>
          <w:ilvl w:val="0"/>
          <w:numId w:val="8"/>
        </w:numPr>
        <w:ind w:firstLineChars="0"/>
        <w:rPr>
          <w:sz w:val="21"/>
          <w:szCs w:val="21"/>
        </w:rPr>
      </w:pPr>
      <w:r>
        <w:rPr>
          <w:rFonts w:hint="eastAsia"/>
          <w:sz w:val="21"/>
          <w:szCs w:val="21"/>
        </w:rPr>
        <w:t>参加甲方组织与项目建设有关的各类会议。</w:t>
      </w:r>
    </w:p>
    <w:p w:rsidR="0074156F">
      <w:pPr>
        <w:pStyle w:val="NormalIndent"/>
        <w:numPr>
          <w:ilvl w:val="0"/>
          <w:numId w:val="8"/>
        </w:numPr>
        <w:ind w:firstLineChars="0"/>
        <w:rPr>
          <w:sz w:val="21"/>
          <w:szCs w:val="21"/>
        </w:rPr>
      </w:pPr>
      <w:r>
        <w:rPr>
          <w:rFonts w:hint="eastAsia"/>
          <w:sz w:val="21"/>
          <w:szCs w:val="21"/>
        </w:rPr>
        <w:t>要遵循相应的项目管理规范，并有相应的项目管理文档。</w:t>
      </w:r>
    </w:p>
    <w:p w:rsidR="0074156F">
      <w:pPr>
        <w:pStyle w:val="NormalIndent"/>
        <w:numPr>
          <w:ilvl w:val="0"/>
          <w:numId w:val="8"/>
        </w:numPr>
        <w:ind w:firstLineChars="0"/>
        <w:rPr>
          <w:sz w:val="21"/>
          <w:szCs w:val="21"/>
        </w:rPr>
      </w:pPr>
      <w:r>
        <w:rPr>
          <w:rFonts w:hint="eastAsia"/>
          <w:sz w:val="21"/>
          <w:szCs w:val="21"/>
        </w:rPr>
        <w:t>对项目建设任务中出现的调整，要及时做出安排，并尊重甲方的安排。</w:t>
      </w:r>
    </w:p>
    <w:p w:rsidR="0074156F">
      <w:pPr>
        <w:pStyle w:val="Heading1"/>
        <w:spacing w:before="100" w:beforeAutospacing="1" w:after="100" w:afterAutospacing="1" w:line="360" w:lineRule="auto"/>
        <w:ind w:left="0" w:firstLine="0"/>
        <w:rPr>
          <w:rFonts w:ascii="宋体" w:eastAsia="宋体" w:hAnsi="宋体" w:cs="宋体"/>
          <w:sz w:val="21"/>
          <w:szCs w:val="21"/>
        </w:rPr>
      </w:pPr>
      <w:bookmarkStart w:id="209" w:name="_Toc199166595"/>
      <w:r>
        <w:rPr>
          <w:rFonts w:ascii="宋体" w:eastAsia="宋体" w:hAnsi="宋体" w:cs="宋体" w:hint="eastAsia"/>
          <w:sz w:val="21"/>
          <w:szCs w:val="21"/>
        </w:rPr>
        <w:t>八、项目的人员及组织机构要求</w:t>
      </w:r>
      <w:bookmarkEnd w:id="209"/>
    </w:p>
    <w:p w:rsidR="0074156F">
      <w:pPr>
        <w:pStyle w:val="NormalIndent"/>
        <w:ind w:firstLineChars="0"/>
        <w:rPr>
          <w:sz w:val="21"/>
          <w:szCs w:val="21"/>
        </w:rPr>
      </w:pPr>
      <w:r>
        <w:rPr>
          <w:rFonts w:hint="eastAsia"/>
          <w:sz w:val="21"/>
          <w:szCs w:val="21"/>
        </w:rPr>
        <w:t>乙方必须成立合理的组织机构，建立健全保障设计、开发工作顺利实施的各项管理制度和质量保证体系，安排好足够的高素质人才参加本项目工作。</w:t>
      </w:r>
    </w:p>
    <w:p w:rsidR="0074156F">
      <w:pPr>
        <w:pStyle w:val="NormalIndent"/>
        <w:ind w:firstLineChars="0"/>
        <w:rPr>
          <w:sz w:val="21"/>
          <w:szCs w:val="21"/>
        </w:rPr>
      </w:pPr>
      <w:r>
        <w:rPr>
          <w:rFonts w:hint="eastAsia"/>
          <w:sz w:val="21"/>
          <w:szCs w:val="21"/>
        </w:rPr>
        <w:t>在组织机构中应明确各岗位的职责、任职资格及成果，确保项目顺利实施，应分别配备有项目经理、技术负责人承担本项目工作。</w:t>
      </w:r>
    </w:p>
    <w:p w:rsidR="0074156F">
      <w:pPr>
        <w:pStyle w:val="NormalIndent"/>
        <w:ind w:firstLineChars="0"/>
        <w:rPr>
          <w:sz w:val="21"/>
          <w:szCs w:val="21"/>
        </w:rPr>
      </w:pPr>
      <w:r>
        <w:rPr>
          <w:rFonts w:hint="eastAsia"/>
          <w:sz w:val="21"/>
          <w:szCs w:val="21"/>
        </w:rPr>
        <w:t>乙方应确保服务于本项目的核心技术人员及主要开发人员稳定，服务</w:t>
      </w:r>
      <w:r>
        <w:rPr>
          <w:rFonts w:hint="eastAsia"/>
          <w:sz w:val="21"/>
          <w:szCs w:val="21"/>
        </w:rPr>
        <w:t>团队人数不少于</w:t>
      </w:r>
      <w:r>
        <w:rPr>
          <w:rFonts w:hint="eastAsia"/>
          <w:sz w:val="21"/>
          <w:szCs w:val="21"/>
        </w:rPr>
        <w:t>6</w:t>
      </w:r>
      <w:r>
        <w:rPr>
          <w:rFonts w:hint="eastAsia"/>
          <w:sz w:val="21"/>
          <w:szCs w:val="21"/>
        </w:rPr>
        <w:t>人，</w:t>
      </w:r>
      <w:r w:rsidRPr="00D84AEE">
        <w:rPr>
          <w:rFonts w:hint="eastAsia"/>
          <w:sz w:val="21"/>
          <w:szCs w:val="21"/>
        </w:rPr>
        <w:t>驻场服务人员不少于</w:t>
      </w:r>
      <w:r>
        <w:rPr>
          <w:rFonts w:hint="eastAsia"/>
          <w:sz w:val="21"/>
          <w:szCs w:val="21"/>
        </w:rPr>
        <w:t>6</w:t>
      </w:r>
      <w:r>
        <w:rPr>
          <w:rFonts w:hint="eastAsia"/>
          <w:sz w:val="21"/>
          <w:szCs w:val="21"/>
        </w:rPr>
        <w:t>人</w:t>
      </w:r>
      <w:r>
        <w:rPr>
          <w:sz w:val="21"/>
          <w:szCs w:val="21"/>
        </w:rPr>
        <w:t>，</w:t>
      </w:r>
      <w:r>
        <w:rPr>
          <w:rFonts w:hint="eastAsia"/>
          <w:sz w:val="21"/>
          <w:szCs w:val="21"/>
        </w:rPr>
        <w:t>未经甲方允许不得调整核心团队成员，甲方有权要求更换乙方项目团队成员。</w:t>
      </w:r>
    </w:p>
    <w:p w:rsidR="0074156F">
      <w:pPr>
        <w:pStyle w:val="Heading1"/>
        <w:spacing w:before="100" w:beforeAutospacing="1" w:after="100" w:afterAutospacing="1" w:line="360" w:lineRule="auto"/>
        <w:ind w:left="0" w:firstLine="0"/>
        <w:rPr>
          <w:rFonts w:ascii="宋体" w:eastAsia="宋体" w:hAnsi="宋体" w:cs="宋体"/>
          <w:sz w:val="21"/>
          <w:szCs w:val="21"/>
        </w:rPr>
      </w:pPr>
      <w:bookmarkStart w:id="210" w:name="_Toc199166596"/>
      <w:bookmarkStart w:id="211" w:name="_Toc456802898"/>
      <w:r>
        <w:rPr>
          <w:rFonts w:ascii="宋体" w:eastAsia="宋体" w:hAnsi="宋体" w:cs="宋体" w:hint="eastAsia"/>
          <w:sz w:val="21"/>
          <w:szCs w:val="21"/>
        </w:rPr>
        <w:t>九、项目评审验收要求</w:t>
      </w:r>
      <w:bookmarkEnd w:id="210"/>
      <w:bookmarkEnd w:id="211"/>
    </w:p>
    <w:p w:rsidR="0074156F">
      <w:pPr>
        <w:pStyle w:val="NormalIndent"/>
        <w:ind w:firstLineChars="0"/>
        <w:rPr>
          <w:sz w:val="21"/>
          <w:szCs w:val="21"/>
        </w:rPr>
      </w:pPr>
      <w:r>
        <w:rPr>
          <w:rFonts w:hint="eastAsia"/>
          <w:sz w:val="21"/>
          <w:szCs w:val="21"/>
        </w:rPr>
        <w:t>通过甲方组织的需求评审后形成项目评审验收方案，制订出一套明确的可操</w:t>
      </w:r>
      <w:r>
        <w:rPr>
          <w:rFonts w:hint="eastAsia"/>
          <w:sz w:val="21"/>
          <w:szCs w:val="21"/>
        </w:rPr>
        <w:t>作性的评价指标，作为甲方评价开发工作的标准，用于本项目的评审和验收。</w:t>
      </w:r>
    </w:p>
    <w:p w:rsidR="0074156F">
      <w:pPr>
        <w:pStyle w:val="Heading1"/>
        <w:spacing w:before="100" w:beforeAutospacing="1" w:after="100" w:afterAutospacing="1" w:line="360" w:lineRule="auto"/>
        <w:ind w:left="0" w:firstLine="0"/>
        <w:rPr>
          <w:rFonts w:ascii="宋体" w:eastAsia="宋体" w:hAnsi="宋体" w:cs="宋体"/>
          <w:sz w:val="21"/>
          <w:szCs w:val="21"/>
        </w:rPr>
      </w:pPr>
      <w:bookmarkStart w:id="212" w:name="_Toc199166597"/>
      <w:r>
        <w:rPr>
          <w:rFonts w:ascii="宋体" w:eastAsia="宋体" w:hAnsi="宋体" w:cs="宋体" w:hint="eastAsia"/>
          <w:sz w:val="21"/>
          <w:szCs w:val="21"/>
        </w:rPr>
        <w:t>十、培训要求</w:t>
      </w:r>
      <w:bookmarkEnd w:id="212"/>
    </w:p>
    <w:p w:rsidR="0074156F">
      <w:pPr>
        <w:pStyle w:val="NormalIndent"/>
        <w:ind w:firstLineChars="0"/>
        <w:rPr>
          <w:sz w:val="21"/>
          <w:szCs w:val="21"/>
        </w:rPr>
      </w:pPr>
      <w:r>
        <w:rPr>
          <w:rFonts w:hint="eastAsia"/>
          <w:sz w:val="21"/>
          <w:szCs w:val="21"/>
        </w:rPr>
        <w:t>1</w:t>
      </w:r>
      <w:r>
        <w:rPr>
          <w:rFonts w:hint="eastAsia"/>
          <w:sz w:val="21"/>
          <w:szCs w:val="21"/>
        </w:rPr>
        <w:t>）培训方式应包括现场培训和集中培训，并应在进行培训之前向甲方提交一份详细的培训计划。</w:t>
      </w:r>
    </w:p>
    <w:p w:rsidR="0074156F">
      <w:pPr>
        <w:pStyle w:val="NormalIndent"/>
        <w:ind w:firstLineChars="0"/>
        <w:rPr>
          <w:sz w:val="21"/>
          <w:szCs w:val="21"/>
        </w:rPr>
      </w:pPr>
      <w:r>
        <w:rPr>
          <w:rFonts w:hint="eastAsia"/>
          <w:sz w:val="21"/>
          <w:szCs w:val="21"/>
        </w:rPr>
        <w:t>2</w:t>
      </w:r>
      <w:r>
        <w:rPr>
          <w:rFonts w:hint="eastAsia"/>
          <w:sz w:val="21"/>
          <w:szCs w:val="21"/>
        </w:rPr>
        <w:t>）乙方应以培训目标的实现为目的组织培训，确保每一位系统使用人员能够独立、熟练地完成操作，保证系统用户能够独立处理软件系统故障和进行简单的功能调整。</w:t>
      </w:r>
    </w:p>
    <w:p w:rsidR="0074156F">
      <w:pPr>
        <w:pStyle w:val="NormalIndent"/>
        <w:ind w:firstLineChars="0"/>
        <w:rPr>
          <w:sz w:val="21"/>
          <w:szCs w:val="21"/>
        </w:rPr>
      </w:pPr>
      <w:r>
        <w:rPr>
          <w:rFonts w:hint="eastAsia"/>
          <w:sz w:val="21"/>
          <w:szCs w:val="21"/>
        </w:rPr>
        <w:t>3</w:t>
      </w:r>
      <w:r>
        <w:rPr>
          <w:rFonts w:hint="eastAsia"/>
          <w:sz w:val="21"/>
          <w:szCs w:val="21"/>
        </w:rPr>
        <w:t>）集中培训地点由甲方根据本项目实际情况确定，确保培训次数不少于</w:t>
      </w:r>
      <w:r>
        <w:rPr>
          <w:rFonts w:hint="eastAsia"/>
          <w:sz w:val="21"/>
          <w:szCs w:val="21"/>
        </w:rPr>
        <w:t>3</w:t>
      </w:r>
      <w:r>
        <w:rPr>
          <w:rFonts w:hint="eastAsia"/>
          <w:sz w:val="21"/>
          <w:szCs w:val="21"/>
        </w:rPr>
        <w:t>次，具体培训时间由甲方与乙方根据项目进展情况协商确定。</w:t>
      </w:r>
    </w:p>
    <w:p w:rsidR="0074156F">
      <w:pPr>
        <w:pStyle w:val="NormalIndent"/>
        <w:ind w:firstLineChars="0"/>
        <w:rPr>
          <w:sz w:val="21"/>
          <w:szCs w:val="21"/>
        </w:rPr>
      </w:pPr>
      <w:r>
        <w:rPr>
          <w:rFonts w:hint="eastAsia"/>
          <w:sz w:val="21"/>
          <w:szCs w:val="21"/>
        </w:rPr>
        <w:t>4</w:t>
      </w:r>
      <w:r>
        <w:rPr>
          <w:rFonts w:hint="eastAsia"/>
          <w:sz w:val="21"/>
          <w:szCs w:val="21"/>
        </w:rPr>
        <w:t>）乙方负责为培训搭建所需的环境，并提供培训教材等相关用品。</w:t>
      </w:r>
    </w:p>
    <w:p w:rsidR="0074156F">
      <w:pPr>
        <w:pStyle w:val="NormalIndent"/>
        <w:ind w:firstLineChars="0"/>
        <w:rPr>
          <w:sz w:val="21"/>
          <w:szCs w:val="21"/>
        </w:rPr>
      </w:pPr>
      <w:r>
        <w:rPr>
          <w:rFonts w:hint="eastAsia"/>
          <w:sz w:val="21"/>
          <w:szCs w:val="21"/>
        </w:rPr>
        <w:t>5</w:t>
      </w:r>
      <w:r>
        <w:rPr>
          <w:rFonts w:hint="eastAsia"/>
          <w:sz w:val="21"/>
          <w:szCs w:val="21"/>
        </w:rPr>
        <w:t>）乙</w:t>
      </w:r>
      <w:r>
        <w:rPr>
          <w:rFonts w:hint="eastAsia"/>
          <w:sz w:val="21"/>
          <w:szCs w:val="21"/>
        </w:rPr>
        <w:t>方人承担培训产生的食宿、场地、教师等一切费用。</w:t>
      </w:r>
    </w:p>
    <w:p w:rsidR="0074156F">
      <w:pPr>
        <w:pStyle w:val="Heading1"/>
        <w:spacing w:before="100" w:beforeAutospacing="1" w:after="100" w:afterAutospacing="1" w:line="360" w:lineRule="auto"/>
        <w:ind w:left="0" w:firstLine="0"/>
        <w:rPr>
          <w:rFonts w:ascii="宋体" w:eastAsia="宋体" w:hAnsi="宋体" w:cs="宋体"/>
          <w:sz w:val="21"/>
          <w:szCs w:val="21"/>
        </w:rPr>
      </w:pPr>
      <w:bookmarkStart w:id="213" w:name="_Toc199166598"/>
      <w:r>
        <w:rPr>
          <w:rFonts w:ascii="宋体" w:eastAsia="宋体" w:hAnsi="宋体" w:cs="宋体" w:hint="eastAsia"/>
          <w:sz w:val="21"/>
          <w:szCs w:val="21"/>
        </w:rPr>
        <w:t>十一、安全保密要求</w:t>
      </w:r>
      <w:bookmarkEnd w:id="213"/>
    </w:p>
    <w:p w:rsidR="0074156F">
      <w:pPr>
        <w:pStyle w:val="NormalIndent"/>
        <w:rPr>
          <w:sz w:val="21"/>
          <w:szCs w:val="21"/>
        </w:rPr>
      </w:pPr>
      <w:r>
        <w:rPr>
          <w:rFonts w:hint="eastAsia"/>
          <w:sz w:val="21"/>
          <w:szCs w:val="21"/>
        </w:rPr>
        <w:t>乙方要承诺在项目执行过程中严格遵守《中华人民共和国网络安全法》和《中华人民共和国数据安全法》，确保项目涉及的气象数据安全；承诺在国家气象信息中心驻场期间按照《国家气象信息中心外协单位驻场管理办法（试行）》的要求开展相关工作，签订相关安全协议书。项目所涉气象数据（或气象资料）仅</w:t>
      </w:r>
      <w:r>
        <w:rPr>
          <w:rFonts w:hint="eastAsia"/>
          <w:sz w:val="21"/>
          <w:szCs w:val="21"/>
        </w:rPr>
        <w:t>供项目</w:t>
      </w:r>
      <w:r>
        <w:rPr>
          <w:rFonts w:hint="eastAsia"/>
          <w:sz w:val="21"/>
          <w:szCs w:val="21"/>
        </w:rPr>
        <w:t>建设使用，乙方在项目执行过程中如发生气象数据丢失、转让或交易等行为，甲方将根据合同和相关法规要求乙方赔偿并追究法律责任。</w:t>
      </w:r>
    </w:p>
    <w:p w:rsidR="0074156F">
      <w:pPr>
        <w:pStyle w:val="NormalIndent"/>
        <w:ind w:firstLineChars="0"/>
        <w:rPr>
          <w:sz w:val="21"/>
          <w:szCs w:val="21"/>
        </w:rPr>
      </w:pPr>
      <w:r>
        <w:rPr>
          <w:rFonts w:hint="eastAsia"/>
          <w:sz w:val="21"/>
          <w:szCs w:val="21"/>
        </w:rPr>
        <w:t>乙方必须对项目技术文件以及由甲方提供的所有内部材料、技术文档和信息予以保密。乙方必须遵守与甲方签订的保密协议，未经甲方书面许可，乙方不得以任何形式向第三方透露本项目的任何内容。</w:t>
      </w:r>
    </w:p>
    <w:p w:rsidR="0074156F">
      <w:pPr>
        <w:pStyle w:val="Heading1"/>
        <w:spacing w:before="100" w:beforeAutospacing="1" w:after="100" w:afterAutospacing="1" w:line="360" w:lineRule="auto"/>
        <w:ind w:left="0" w:firstLine="0"/>
        <w:rPr>
          <w:rFonts w:ascii="宋体" w:eastAsia="宋体" w:hAnsi="宋体" w:cs="宋体"/>
          <w:sz w:val="21"/>
          <w:szCs w:val="21"/>
        </w:rPr>
      </w:pPr>
      <w:bookmarkStart w:id="214" w:name="_Toc199166599"/>
      <w:r>
        <w:rPr>
          <w:rFonts w:ascii="宋体" w:eastAsia="宋体" w:hAnsi="宋体" w:cs="宋体" w:hint="eastAsia"/>
          <w:sz w:val="21"/>
          <w:szCs w:val="21"/>
        </w:rPr>
        <w:t>十二、售后服务要求</w:t>
      </w:r>
      <w:bookmarkEnd w:id="214"/>
    </w:p>
    <w:p w:rsidR="0074156F">
      <w:pPr>
        <w:pStyle w:val="NormalIndent"/>
        <w:ind w:firstLineChars="0"/>
        <w:rPr>
          <w:sz w:val="21"/>
          <w:szCs w:val="21"/>
        </w:rPr>
      </w:pPr>
      <w:r>
        <w:rPr>
          <w:rFonts w:hint="eastAsia"/>
          <w:sz w:val="21"/>
          <w:szCs w:val="21"/>
        </w:rPr>
        <w:t>本项目要求乙方能够提供从系统终验之日起</w:t>
      </w:r>
      <w:r>
        <w:rPr>
          <w:rFonts w:hint="eastAsia"/>
          <w:sz w:val="21"/>
          <w:szCs w:val="21"/>
        </w:rPr>
        <w:t>1</w:t>
      </w:r>
      <w:r>
        <w:rPr>
          <w:rFonts w:hint="eastAsia"/>
          <w:sz w:val="21"/>
          <w:szCs w:val="21"/>
        </w:rPr>
        <w:t>年免费技术支持服务。</w:t>
      </w:r>
    </w:p>
    <w:p w:rsidR="0074156F">
      <w:pPr>
        <w:pStyle w:val="NormalIndent"/>
        <w:ind w:firstLineChars="0"/>
        <w:rPr>
          <w:sz w:val="21"/>
          <w:szCs w:val="21"/>
        </w:rPr>
      </w:pPr>
      <w:r>
        <w:rPr>
          <w:sz w:val="21"/>
          <w:szCs w:val="21"/>
        </w:rPr>
        <w:t>系统发生异常情况，在接到</w:t>
      </w:r>
      <w:r>
        <w:rPr>
          <w:rFonts w:hint="eastAsia"/>
          <w:sz w:val="21"/>
          <w:szCs w:val="21"/>
        </w:rPr>
        <w:t>甲方</w:t>
      </w:r>
      <w:r>
        <w:rPr>
          <w:sz w:val="21"/>
          <w:szCs w:val="21"/>
        </w:rPr>
        <w:t>的通知后，</w:t>
      </w:r>
      <w:r>
        <w:rPr>
          <w:rFonts w:hint="eastAsia"/>
          <w:sz w:val="21"/>
          <w:szCs w:val="21"/>
        </w:rPr>
        <w:t>乙方</w:t>
      </w:r>
      <w:r>
        <w:rPr>
          <w:sz w:val="21"/>
          <w:szCs w:val="21"/>
        </w:rPr>
        <w:t>技术人员应提供</w:t>
      </w:r>
      <w:r>
        <w:rPr>
          <w:sz w:val="21"/>
          <w:szCs w:val="21"/>
        </w:rPr>
        <w:t>7*24</w:t>
      </w:r>
      <w:r>
        <w:rPr>
          <w:sz w:val="21"/>
          <w:szCs w:val="21"/>
        </w:rPr>
        <w:t>小时的服务响应，</w:t>
      </w:r>
      <w:r>
        <w:rPr>
          <w:rFonts w:hint="eastAsia"/>
          <w:sz w:val="21"/>
          <w:szCs w:val="21"/>
        </w:rPr>
        <w:t>随时进行</w:t>
      </w:r>
      <w:r>
        <w:rPr>
          <w:sz w:val="21"/>
          <w:szCs w:val="21"/>
        </w:rPr>
        <w:t>电话应答；</w:t>
      </w:r>
      <w:r>
        <w:rPr>
          <w:rFonts w:hint="eastAsia"/>
          <w:sz w:val="21"/>
          <w:szCs w:val="21"/>
        </w:rPr>
        <w:t>30</w:t>
      </w:r>
      <w:r>
        <w:rPr>
          <w:rFonts w:hint="eastAsia"/>
          <w:sz w:val="21"/>
          <w:szCs w:val="21"/>
        </w:rPr>
        <w:t>分钟</w:t>
      </w:r>
      <w:r>
        <w:rPr>
          <w:sz w:val="21"/>
          <w:szCs w:val="21"/>
        </w:rPr>
        <w:t>内完成远程登录诊断；在</w:t>
      </w:r>
      <w:r>
        <w:rPr>
          <w:rFonts w:hint="eastAsia"/>
          <w:sz w:val="21"/>
          <w:szCs w:val="21"/>
        </w:rPr>
        <w:t>1</w:t>
      </w:r>
      <w:r>
        <w:rPr>
          <w:sz w:val="21"/>
          <w:szCs w:val="21"/>
        </w:rPr>
        <w:t>小时内到达</w:t>
      </w:r>
      <w:r>
        <w:rPr>
          <w:rFonts w:hint="eastAsia"/>
          <w:sz w:val="21"/>
          <w:szCs w:val="21"/>
        </w:rPr>
        <w:t>国家局</w:t>
      </w:r>
      <w:r>
        <w:rPr>
          <w:sz w:val="21"/>
          <w:szCs w:val="21"/>
        </w:rPr>
        <w:t>现场解决疑难。</w:t>
      </w:r>
    </w:p>
    <w:p w:rsidR="0074156F">
      <w:pPr>
        <w:pStyle w:val="NormalIndent"/>
        <w:ind w:firstLineChars="0"/>
        <w:rPr>
          <w:sz w:val="21"/>
          <w:szCs w:val="21"/>
        </w:rPr>
      </w:pPr>
      <w:r>
        <w:rPr>
          <w:rFonts w:hint="eastAsia"/>
          <w:sz w:val="21"/>
          <w:szCs w:val="21"/>
        </w:rPr>
        <w:t>质量</w:t>
      </w:r>
      <w:r>
        <w:rPr>
          <w:sz w:val="21"/>
          <w:szCs w:val="21"/>
        </w:rPr>
        <w:t>保证期后，</w:t>
      </w:r>
      <w:r>
        <w:rPr>
          <w:rFonts w:hint="eastAsia"/>
          <w:sz w:val="21"/>
          <w:szCs w:val="21"/>
        </w:rPr>
        <w:t>乙方</w:t>
      </w:r>
      <w:r>
        <w:rPr>
          <w:sz w:val="21"/>
          <w:szCs w:val="21"/>
        </w:rPr>
        <w:t>仍应根据合同要求向</w:t>
      </w:r>
      <w:r>
        <w:rPr>
          <w:rFonts w:hint="eastAsia"/>
          <w:sz w:val="21"/>
          <w:szCs w:val="21"/>
        </w:rPr>
        <w:t>甲方</w:t>
      </w:r>
      <w:r>
        <w:rPr>
          <w:sz w:val="21"/>
          <w:szCs w:val="21"/>
        </w:rPr>
        <w:t>提供技术服务，以合理价格提供软件功能改进技术服务。</w:t>
      </w:r>
    </w:p>
    <w:p w:rsidR="0074156F">
      <w:pPr>
        <w:pStyle w:val="NormalIndent"/>
        <w:ind w:firstLineChars="0"/>
        <w:rPr>
          <w:sz w:val="21"/>
          <w:szCs w:val="21"/>
        </w:rPr>
      </w:pPr>
      <w:r>
        <w:rPr>
          <w:rFonts w:hint="eastAsia"/>
          <w:sz w:val="21"/>
          <w:szCs w:val="21"/>
        </w:rPr>
        <w:t>质量</w:t>
      </w:r>
      <w:r>
        <w:rPr>
          <w:sz w:val="21"/>
          <w:szCs w:val="21"/>
        </w:rPr>
        <w:t>保证期</w:t>
      </w:r>
      <w:r>
        <w:rPr>
          <w:rFonts w:hint="eastAsia"/>
          <w:sz w:val="21"/>
          <w:szCs w:val="21"/>
        </w:rPr>
        <w:t>间</w:t>
      </w:r>
      <w:r>
        <w:rPr>
          <w:sz w:val="21"/>
          <w:szCs w:val="21"/>
        </w:rPr>
        <w:t>的维护服务不收取任何额外费用，</w:t>
      </w:r>
      <w:r>
        <w:rPr>
          <w:rFonts w:hint="eastAsia"/>
          <w:sz w:val="21"/>
          <w:szCs w:val="21"/>
        </w:rPr>
        <w:t>质量</w:t>
      </w:r>
      <w:r>
        <w:rPr>
          <w:sz w:val="21"/>
          <w:szCs w:val="21"/>
        </w:rPr>
        <w:t>保证期后</w:t>
      </w:r>
      <w:r>
        <w:rPr>
          <w:rFonts w:hint="eastAsia"/>
          <w:sz w:val="21"/>
          <w:szCs w:val="21"/>
        </w:rPr>
        <w:t>按合同约定进行维护。</w:t>
      </w:r>
    </w:p>
    <w:p w:rsidR="0074156F">
      <w:pPr>
        <w:pStyle w:val="Heading1"/>
        <w:spacing w:before="100" w:beforeAutospacing="1" w:after="100" w:afterAutospacing="1" w:line="360" w:lineRule="auto"/>
        <w:ind w:left="0" w:firstLine="0"/>
        <w:rPr>
          <w:rFonts w:ascii="宋体" w:eastAsia="宋体" w:hAnsi="宋体" w:cs="宋体"/>
          <w:sz w:val="21"/>
          <w:szCs w:val="21"/>
        </w:rPr>
      </w:pPr>
      <w:bookmarkStart w:id="215" w:name="_Toc199166600"/>
      <w:r>
        <w:rPr>
          <w:rFonts w:ascii="宋体" w:eastAsia="宋体" w:hAnsi="宋体" w:cs="宋体" w:hint="eastAsia"/>
          <w:sz w:val="21"/>
          <w:szCs w:val="21"/>
        </w:rPr>
        <w:t>十三、知识产权要求</w:t>
      </w:r>
      <w:bookmarkEnd w:id="215"/>
    </w:p>
    <w:p w:rsidR="0074156F">
      <w:pPr>
        <w:pStyle w:val="NormalIndent"/>
        <w:ind w:firstLineChars="0"/>
        <w:rPr>
          <w:sz w:val="21"/>
          <w:szCs w:val="21"/>
        </w:rPr>
      </w:pPr>
      <w:r>
        <w:rPr>
          <w:rFonts w:hint="eastAsia"/>
          <w:sz w:val="21"/>
          <w:szCs w:val="21"/>
        </w:rPr>
        <w:t>全部及</w:t>
      </w:r>
      <w:r>
        <w:rPr>
          <w:rFonts w:hint="eastAsia"/>
          <w:sz w:val="21"/>
          <w:szCs w:val="21"/>
        </w:rPr>
        <w:t>/</w:t>
      </w:r>
      <w:r>
        <w:rPr>
          <w:rFonts w:hint="eastAsia"/>
          <w:sz w:val="21"/>
          <w:szCs w:val="21"/>
        </w:rPr>
        <w:t>或任何部分的相关知识产权，包括相关权益，归甲方共有。乙方有不可争议的义务确保采购人依据本次采购所获得的知识产权不存在任何瑕疵并且可以不受限制地行使相关权利，包括各项延伸权利。若因此发生任何争议均应当由乙方独自承担全部及</w:t>
      </w:r>
      <w:r>
        <w:rPr>
          <w:rFonts w:hint="eastAsia"/>
          <w:sz w:val="21"/>
          <w:szCs w:val="21"/>
        </w:rPr>
        <w:t>/</w:t>
      </w:r>
      <w:r>
        <w:rPr>
          <w:rFonts w:hint="eastAsia"/>
          <w:sz w:val="21"/>
          <w:szCs w:val="21"/>
        </w:rPr>
        <w:t>或任何责任，包括但不限于应当承担其自身及采购方为排除任何争议或瑕疵所应当或所需支付的一切相关</w:t>
      </w:r>
      <w:r>
        <w:rPr>
          <w:rFonts w:hint="eastAsia"/>
          <w:sz w:val="21"/>
          <w:szCs w:val="21"/>
        </w:rPr>
        <w:t>/</w:t>
      </w:r>
      <w:r>
        <w:rPr>
          <w:rFonts w:hint="eastAsia"/>
          <w:sz w:val="21"/>
          <w:szCs w:val="21"/>
        </w:rPr>
        <w:t>或由此引起的费用。</w:t>
      </w:r>
    </w:p>
    <w:p w:rsidR="0074156F">
      <w:pPr>
        <w:pStyle w:val="NormalIndent"/>
        <w:ind w:firstLineChars="0"/>
        <w:rPr>
          <w:sz w:val="21"/>
          <w:szCs w:val="21"/>
        </w:rPr>
      </w:pPr>
      <w:r>
        <w:rPr>
          <w:rFonts w:hint="eastAsia"/>
          <w:sz w:val="21"/>
          <w:szCs w:val="21"/>
        </w:rPr>
        <w:t>乙方应当保证其有关参与本次采购相关的活动包括履行本次采购的任何行为，以及</w:t>
      </w:r>
      <w:r>
        <w:rPr>
          <w:rFonts w:hint="eastAsia"/>
          <w:sz w:val="21"/>
          <w:szCs w:val="21"/>
        </w:rPr>
        <w:t>本次采购活动结束之后的任何涉及到本次采购的行为，均不会侵犯任何第三方的知识产权。若因此发生任何争议、侵权、均应当由乙方独自承担全部及</w:t>
      </w:r>
      <w:r>
        <w:rPr>
          <w:rFonts w:hint="eastAsia"/>
          <w:sz w:val="21"/>
          <w:szCs w:val="21"/>
        </w:rPr>
        <w:t>/</w:t>
      </w:r>
      <w:r>
        <w:rPr>
          <w:rFonts w:hint="eastAsia"/>
          <w:sz w:val="21"/>
          <w:szCs w:val="21"/>
        </w:rPr>
        <w:t>或任何责任，包括但不限于应当承担其自身及采购中心为排除任何争议及</w:t>
      </w:r>
      <w:r>
        <w:rPr>
          <w:rFonts w:hint="eastAsia"/>
          <w:sz w:val="21"/>
          <w:szCs w:val="21"/>
        </w:rPr>
        <w:t>/</w:t>
      </w:r>
      <w:r>
        <w:rPr>
          <w:rFonts w:hint="eastAsia"/>
          <w:sz w:val="21"/>
          <w:szCs w:val="21"/>
        </w:rPr>
        <w:t>或赔偿侵权所应当或所需支付的一切相关及</w:t>
      </w:r>
      <w:r>
        <w:rPr>
          <w:rFonts w:hint="eastAsia"/>
          <w:sz w:val="21"/>
          <w:szCs w:val="21"/>
        </w:rPr>
        <w:t>/</w:t>
      </w:r>
      <w:r>
        <w:rPr>
          <w:rFonts w:hint="eastAsia"/>
          <w:sz w:val="21"/>
          <w:szCs w:val="21"/>
        </w:rPr>
        <w:t>或由</w:t>
      </w:r>
      <w:r>
        <w:rPr>
          <w:rFonts w:hint="eastAsia"/>
          <w:sz w:val="21"/>
          <w:szCs w:val="21"/>
        </w:rPr>
        <w:t>此引起的费用。</w:t>
      </w:r>
    </w:p>
    <w:p w:rsidR="0074156F">
      <w:pPr>
        <w:pStyle w:val="NormalIndent"/>
        <w:ind w:firstLineChars="0"/>
        <w:rPr>
          <w:sz w:val="21"/>
          <w:szCs w:val="21"/>
        </w:rPr>
      </w:pPr>
      <w:r>
        <w:rPr>
          <w:rFonts w:hint="eastAsia"/>
          <w:sz w:val="21"/>
          <w:szCs w:val="21"/>
        </w:rPr>
        <w:t>为甲方提供与本项目设计、开发和集成有关的各类技术咨询服务。</w:t>
      </w:r>
    </w:p>
    <w:p w:rsidR="0074156F">
      <w:pPr>
        <w:pStyle w:val="NormalIndent"/>
        <w:ind w:firstLineChars="0"/>
        <w:rPr>
          <w:sz w:val="21"/>
          <w:szCs w:val="21"/>
        </w:rPr>
      </w:pPr>
      <w:r>
        <w:rPr>
          <w:rFonts w:hint="eastAsia"/>
          <w:sz w:val="21"/>
          <w:szCs w:val="21"/>
        </w:rPr>
        <w:t>协助甲方预见本项目设计、开发和系统集成工作中和项目其他建设工作中可能发生的问题和困难，并向甲方提出解决的办法或建议。</w:t>
      </w:r>
    </w:p>
    <w:p w:rsidR="0074156F">
      <w:pPr>
        <w:pStyle w:val="NormalIndent"/>
        <w:ind w:firstLineChars="0"/>
        <w:rPr>
          <w:sz w:val="21"/>
          <w:szCs w:val="21"/>
        </w:rPr>
      </w:pPr>
      <w:r>
        <w:rPr>
          <w:rFonts w:hint="eastAsia"/>
          <w:sz w:val="21"/>
          <w:szCs w:val="21"/>
        </w:rPr>
        <w:t>在系统的运行维护阶段提供技术支持。对运行过程中出现的新问题提供建议和解决方</w:t>
      </w:r>
      <w:r>
        <w:rPr>
          <w:rFonts w:hint="eastAsia"/>
          <w:sz w:val="21"/>
          <w:szCs w:val="21"/>
        </w:rPr>
        <w:t>案。</w:t>
      </w:r>
    </w:p>
    <w:p w:rsidR="0074156F">
      <w:pPr>
        <w:pStyle w:val="NormalIndent"/>
        <w:ind w:firstLineChars="0"/>
        <w:rPr>
          <w:sz w:val="21"/>
          <w:szCs w:val="21"/>
        </w:rPr>
      </w:pPr>
      <w:r>
        <w:rPr>
          <w:rFonts w:hint="eastAsia"/>
          <w:sz w:val="21"/>
          <w:szCs w:val="21"/>
        </w:rPr>
        <w:t>提供其他与项目相关的服务。</w:t>
      </w:r>
    </w:p>
    <w:p w:rsidR="0074156F">
      <w:pPr>
        <w:pStyle w:val="NormalIndent"/>
        <w:ind w:firstLineChars="0"/>
        <w:rPr>
          <w:sz w:val="21"/>
          <w:szCs w:val="21"/>
        </w:rPr>
      </w:pPr>
      <w:r>
        <w:rPr>
          <w:rFonts w:hint="eastAsia"/>
          <w:sz w:val="21"/>
          <w:szCs w:val="21"/>
        </w:rPr>
        <w:t>积极协助配合甲方开展与项目有关的工作。</w:t>
      </w:r>
    </w:p>
    <w:p w:rsidR="0074156F">
      <w:pPr>
        <w:pStyle w:val="NormalIndent"/>
        <w:ind w:firstLineChars="0"/>
        <w:rPr>
          <w:sz w:val="21"/>
          <w:szCs w:val="21"/>
        </w:rPr>
      </w:pPr>
      <w:r>
        <w:rPr>
          <w:rFonts w:hint="eastAsia"/>
          <w:sz w:val="21"/>
          <w:szCs w:val="21"/>
        </w:rPr>
        <w:t>技术支持工作需要及时、有效，充分满足项目建设的需求。</w:t>
      </w:r>
    </w:p>
    <w:p w:rsidR="0074156F">
      <w:pPr>
        <w:pStyle w:val="NormalIndent"/>
        <w:ind w:firstLineChars="0"/>
        <w:rPr>
          <w:sz w:val="21"/>
          <w:szCs w:val="21"/>
        </w:rPr>
      </w:pPr>
    </w:p>
    <w:p w:rsidR="0074156F">
      <w:pPr>
        <w:spacing w:line="360" w:lineRule="auto"/>
        <w:ind w:firstLine="420" w:firstLineChars="200"/>
        <w:rPr>
          <w:rFonts w:ascii="宋体" w:eastAsia="宋体" w:hAnsi="宋体" w:cs="Times New Roman"/>
          <w:szCs w:val="21"/>
        </w:rPr>
      </w:pPr>
    </w:p>
    <w:p w:rsidR="0074156F">
      <w:pPr>
        <w:spacing w:line="360" w:lineRule="auto"/>
        <w:ind w:firstLine="420" w:firstLineChars="200"/>
        <w:rPr>
          <w:rFonts w:ascii="宋体" w:eastAsia="宋体" w:hAnsi="宋体" w:cs="Times New Roman"/>
          <w:szCs w:val="21"/>
        </w:rPr>
      </w:pPr>
    </w:p>
    <w:p w:rsidR="00A77B3E"/>
    <w:p>
      <w:pPr>
        <w:adjustRightInd w:val="0"/>
        <w:snapToGrid w:val="0"/>
        <w:spacing w:line="360" w:lineRule="auto"/>
        <w:jc w:val="center"/>
        <w:rPr>
          <w:rFonts w:ascii="宋体" w:hAnsi="宋体" w:hint="eastAsia"/>
          <w:b/>
          <w:sz w:val="30"/>
          <w:szCs w:val="30"/>
          <w:highlight w:val="none"/>
        </w:rPr>
        <w:sectPr>
          <w:footerReference w:type="default" r:id="rId6"/>
          <w:pgSz w:w="11906" w:h="16838"/>
          <w:pgMar w:top="1418" w:right="1418" w:bottom="1418" w:left="1701" w:header="851" w:footer="851" w:gutter="0"/>
          <w:cols w:space="708"/>
          <w:docGrid w:type="linesAndChars" w:linePitch="312"/>
        </w:sectPr>
      </w:pPr>
      <w:bookmarkEnd w:id="60"/>
    </w:p>
    <w:p w:rsidR="001677E1">
      <w:pPr>
        <w:spacing w:before="156" w:beforeLines="50" w:line="360" w:lineRule="auto"/>
        <w:jc w:val="center"/>
        <w:outlineLvl w:val="1"/>
        <w:rPr>
          <w:rFonts w:ascii="宋体" w:hAnsi="宋体"/>
          <w:b/>
          <w:sz w:val="30"/>
          <w:szCs w:val="30"/>
        </w:rPr>
      </w:pPr>
      <w:bookmarkStart w:id="216"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1677E1">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FB0538">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1677E1">
            <w:pPr>
              <w:rPr>
                <w:sz w:val="18"/>
                <w:szCs w:val="18"/>
              </w:rPr>
            </w:pPr>
            <w:r>
              <w:rPr>
                <w:rFonts w:hint="eastAsia"/>
                <w:sz w:val="18"/>
                <w:szCs w:val="18"/>
              </w:rPr>
              <w:t>序号</w:t>
            </w:r>
          </w:p>
        </w:tc>
        <w:tc>
          <w:tcPr>
            <w:tcW w:w="898" w:type="dxa"/>
            <w:vAlign w:val="center"/>
          </w:tcPr>
          <w:p w:rsidR="001677E1">
            <w:pPr>
              <w:jc w:val="center"/>
              <w:rPr>
                <w:sz w:val="18"/>
                <w:szCs w:val="18"/>
              </w:rPr>
            </w:pPr>
            <w:r>
              <w:rPr>
                <w:rFonts w:hint="eastAsia"/>
                <w:sz w:val="18"/>
                <w:szCs w:val="18"/>
              </w:rPr>
              <w:t>对应</w:t>
            </w:r>
          </w:p>
          <w:p w:rsidR="001677E1">
            <w:pPr>
              <w:jc w:val="center"/>
              <w:rPr>
                <w:sz w:val="18"/>
                <w:szCs w:val="18"/>
              </w:rPr>
            </w:pPr>
            <w:r>
              <w:rPr>
                <w:rFonts w:hint="eastAsia"/>
                <w:sz w:val="18"/>
                <w:szCs w:val="18"/>
              </w:rPr>
              <w:t>条款号</w:t>
            </w:r>
          </w:p>
        </w:tc>
        <w:tc>
          <w:tcPr>
            <w:tcW w:w="7347" w:type="dxa"/>
            <w:vAlign w:val="center"/>
          </w:tcPr>
          <w:p w:rsidR="001677E1">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FB0538">
        <w:tblPrEx>
          <w:tblW w:w="8789" w:type="dxa"/>
          <w:tblLayout w:type="fixed"/>
          <w:tblLook w:val="04A0"/>
        </w:tblPrEx>
        <w:trPr>
          <w:cantSplit/>
        </w:trPr>
        <w:tc>
          <w:tcPr>
            <w:tcW w:w="8789" w:type="dxa"/>
            <w:gridSpan w:val="3"/>
            <w:vAlign w:val="center"/>
          </w:tcPr>
          <w:p w:rsidR="001677E1">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FB0538">
        <w:tblPrEx>
          <w:tblW w:w="8789" w:type="dxa"/>
          <w:tblLayout w:type="fixed"/>
          <w:tblLook w:val="04A0"/>
        </w:tblPrEx>
        <w:trPr>
          <w:cantSplit/>
        </w:trPr>
        <w:tc>
          <w:tcPr>
            <w:tcW w:w="544" w:type="dxa"/>
            <w:vAlign w:val="center"/>
          </w:tcPr>
          <w:p w:rsidR="001677E1">
            <w:pPr>
              <w:numPr>
                <w:ilvl w:val="0"/>
                <w:numId w:val="52"/>
              </w:numPr>
              <w:rPr>
                <w:rFonts w:ascii="宋体" w:hAnsi="宋体"/>
                <w:sz w:val="18"/>
                <w:szCs w:val="18"/>
              </w:rPr>
            </w:pPr>
          </w:p>
        </w:tc>
        <w:tc>
          <w:tcPr>
            <w:tcW w:w="898" w:type="dxa"/>
            <w:vAlign w:val="center"/>
          </w:tcPr>
          <w:p w:rsidR="001677E1">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1677E1">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r w:rsidTr="00FB0538">
        <w:tblPrEx>
          <w:tblW w:w="8789" w:type="dxa"/>
          <w:tblLayout w:type="fixed"/>
          <w:tblLook w:val="04A0"/>
        </w:tblPrEx>
        <w:trPr>
          <w:cantSplit/>
        </w:trPr>
        <w:tc>
          <w:tcPr>
            <w:tcW w:w="8789" w:type="dxa"/>
            <w:gridSpan w:val="3"/>
            <w:vAlign w:val="center"/>
          </w:tcPr>
          <w:p w:rsidR="001677E1">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FB0538">
        <w:tblPrEx>
          <w:tblW w:w="8789" w:type="dxa"/>
          <w:tblLayout w:type="fixed"/>
          <w:tblLook w:val="04A0"/>
        </w:tblPrEx>
        <w:trPr>
          <w:cantSplit/>
        </w:trPr>
        <w:tc>
          <w:tcPr>
            <w:tcW w:w="544" w:type="dxa"/>
            <w:vAlign w:val="center"/>
          </w:tcPr>
          <w:p w:rsidR="001677E1">
            <w:pPr>
              <w:numPr>
                <w:ilvl w:val="0"/>
                <w:numId w:val="52"/>
              </w:numPr>
              <w:rPr>
                <w:rFonts w:ascii="宋体" w:hAnsi="宋体"/>
                <w:sz w:val="18"/>
                <w:szCs w:val="18"/>
              </w:rPr>
            </w:pPr>
          </w:p>
        </w:tc>
        <w:tc>
          <w:tcPr>
            <w:tcW w:w="898" w:type="dxa"/>
            <w:vAlign w:val="center"/>
          </w:tcPr>
          <w:p w:rsidR="001677E1">
            <w:pPr>
              <w:jc w:val="center"/>
              <w:rPr>
                <w:rFonts w:ascii="宋体" w:hAnsi="宋体"/>
                <w:sz w:val="18"/>
                <w:szCs w:val="18"/>
              </w:rPr>
            </w:pPr>
          </w:p>
        </w:tc>
        <w:tc>
          <w:tcPr>
            <w:tcW w:w="7347" w:type="dxa"/>
            <w:vAlign w:val="center"/>
          </w:tcPr>
          <w:p w:rsidR="001677E1">
            <w:pPr>
              <w:tabs>
                <w:tab w:val="left" w:pos="709"/>
              </w:tabs>
              <w:spacing w:line="360" w:lineRule="auto"/>
              <w:jc w:val="left"/>
              <w:rPr>
                <w:rFonts w:ascii="宋体" w:hAnsi="宋体"/>
                <w:sz w:val="18"/>
                <w:szCs w:val="18"/>
              </w:rPr>
            </w:pPr>
            <w:r>
              <w:rPr>
                <w:rFonts w:ascii="宋体" w:hAnsi="宋体" w:cs="微软雅黑" w:hint="eastAsia"/>
                <w:b/>
                <w:color w:val="0000FF"/>
                <w:kern w:val="0"/>
                <w:sz w:val="18"/>
                <w:szCs w:val="18"/>
              </w:rPr>
              <w:t>无</w:t>
            </w:r>
          </w:p>
        </w:tc>
      </w:tr>
    </w:tbl>
    <w:p w:rsidR="001677E1">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1677E1">
      <w:pPr>
        <w:spacing w:before="156" w:beforeLines="50" w:line="360" w:lineRule="auto"/>
        <w:ind w:firstLine="420"/>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7"/>
          <w:footerReference w:type="default" r:id="rId8"/>
          <w:pgSz w:w="11906" w:h="16838"/>
          <w:pgMar w:top="1440" w:right="1800" w:bottom="1440" w:left="1800" w:header="851" w:footer="992" w:gutter="0"/>
          <w:cols w:space="708"/>
          <w:docGrid w:type="lines" w:linePitch="312"/>
        </w:sectPr>
      </w:pPr>
      <w:bookmarkEnd w:id="216"/>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9"/>
        </w:numPr>
        <w:spacing w:line="360" w:lineRule="auto"/>
        <w:ind w:firstLine="3066" w:firstLineChars="1460"/>
        <w:jc w:val="left"/>
        <w:rPr>
          <w:rFonts w:ascii="Times New Roman" w:eastAsia="宋体" w:hAnsi="Times New Roman" w:cs="Times New Roman" w:hint="eastAsia"/>
          <w:b/>
          <w:bCs/>
          <w:szCs w:val="21"/>
        </w:rPr>
      </w:pPr>
      <w:bookmarkStart w:id="217" w:name="采购公告合同部分_ZBGGHT"/>
      <w:r>
        <w:rPr>
          <w:rFonts w:ascii="Times New Roman" w:eastAsia="宋体" w:hAnsi="Times New Roman" w:cs="Times New Roman" w:hint="eastAsia"/>
          <w:b/>
          <w:bCs/>
          <w:szCs w:val="21"/>
        </w:rPr>
        <w:t xml:space="preserve"> 采购合同</w:t>
      </w:r>
    </w:p>
    <w:p>
      <w:pPr>
        <w:numPr>
          <w:ilvl w:val="0"/>
          <w:numId w:val="0"/>
        </w:numPr>
        <w:spacing w:line="360" w:lineRule="auto"/>
        <w:ind w:left="1680" w:firstLine="420" w:leftChars="0" w:firstLineChars="0"/>
        <w:jc w:val="left"/>
        <w:rPr>
          <w:rFonts w:ascii="Times New Roman" w:eastAsia="宋体" w:hAnsi="Times New Roman" w:cs="Times New Roman" w:hint="eastAsia"/>
          <w:b/>
          <w:bCs/>
          <w:szCs w:val="21"/>
        </w:rPr>
      </w:pPr>
      <w:r>
        <w:rPr>
          <w:rFonts w:hint="eastAsia"/>
          <w:b/>
          <w:bCs/>
          <w:szCs w:val="21"/>
          <w:highlight w:val="none"/>
        </w:rPr>
        <w:t>必须明确合同金额支付条件及支付比例</w:t>
      </w:r>
    </w:p>
    <w:p>
      <w:pPr>
        <w:spacing w:line="360" w:lineRule="auto"/>
        <w:ind w:right="-210" w:rightChars="-100"/>
        <w:jc w:val="center"/>
        <w:rPr>
          <w:rFonts w:ascii="方正小标宋简体" w:eastAsia="方正小标宋简体" w:hAnsi="方正小标宋简体" w:cs="方正小标宋简体"/>
          <w:bCs/>
          <w:sz w:val="44"/>
          <w:szCs w:val="44"/>
        </w:rPr>
      </w:pPr>
      <w:r>
        <w:rPr>
          <w:rFonts w:ascii="宋体" w:eastAsia="宋体" w:hAnsi="宋体" w:cs="Times New Roman"/>
          <w:szCs w:val="21"/>
        </w:rPr>
        <w:br w:type="page"/>
      </w: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pPr>
        <w:spacing w:line="360" w:lineRule="auto"/>
        <w:ind w:right="-210" w:rightChars="-100"/>
        <w:rPr>
          <w:rFonts w:ascii="宋体" w:eastAsia="宋体" w:hAnsi="宋体" w:cs="宋体"/>
          <w:szCs w:val="21"/>
        </w:rPr>
      </w:pPr>
    </w:p>
    <w:p>
      <w:pPr>
        <w:spacing w:line="360" w:lineRule="auto"/>
        <w:ind w:right="-210" w:rightChars="-100"/>
        <w:rPr>
          <w:rFonts w:ascii="宋体" w:eastAsia="宋体" w:hAnsi="宋体" w:cs="宋体"/>
          <w:szCs w:val="21"/>
        </w:rPr>
      </w:pPr>
    </w:p>
    <w:p>
      <w:pPr>
        <w:spacing w:line="360" w:lineRule="auto"/>
        <w:ind w:right="-210" w:rightChars="-100"/>
        <w:rPr>
          <w:rFonts w:ascii="宋体" w:eastAsia="宋体" w:hAnsi="宋体" w:cs="宋体"/>
          <w:szCs w:val="21"/>
        </w:rPr>
      </w:pPr>
      <w:r>
        <w:rPr>
          <w:rFonts w:ascii="宋体" w:eastAsia="宋体" w:hAnsi="宋体" w:cs="宋体" w:hint="eastAsia"/>
          <w:szCs w:val="21"/>
        </w:rPr>
        <w:t>合同编号：</w:t>
      </w:r>
    </w:p>
    <w:p>
      <w:pPr>
        <w:spacing w:line="360" w:lineRule="auto"/>
        <w:jc w:val="center"/>
        <w:rPr>
          <w:rFonts w:ascii="宋体" w:eastAsia="宋体" w:hAnsi="宋体" w:cs="宋体"/>
          <w:szCs w:val="21"/>
        </w:rPr>
      </w:pPr>
    </w:p>
    <w:p>
      <w:pPr>
        <w:spacing w:line="360" w:lineRule="auto"/>
        <w:jc w:val="center"/>
        <w:rPr>
          <w:rFonts w:ascii="宋体" w:eastAsia="宋体" w:hAnsi="宋体" w:cs="宋体"/>
          <w:b/>
          <w:sz w:val="28"/>
          <w:szCs w:val="28"/>
        </w:rPr>
      </w:pPr>
      <w:r>
        <w:rPr>
          <w:rFonts w:ascii="宋体" w:eastAsia="宋体" w:hAnsi="宋体" w:cs="宋体" w:hint="eastAsia"/>
          <w:b/>
          <w:sz w:val="28"/>
          <w:szCs w:val="28"/>
        </w:rPr>
        <w:t>技术开发（委托）合同</w:t>
      </w:r>
    </w:p>
    <w:p>
      <w:pPr>
        <w:spacing w:line="360" w:lineRule="auto"/>
        <w:jc w:val="center"/>
        <w:rPr>
          <w:rFonts w:ascii="宋体" w:eastAsia="宋体" w:hAnsi="宋体" w:cs="宋体"/>
          <w:szCs w:val="21"/>
        </w:rPr>
      </w:pPr>
    </w:p>
    <w:p>
      <w:pPr>
        <w:spacing w:line="360" w:lineRule="auto"/>
        <w:jc w:val="center"/>
        <w:rPr>
          <w:rFonts w:ascii="宋体" w:eastAsia="宋体" w:hAnsi="宋体" w:cs="宋体"/>
          <w:szCs w:val="21"/>
        </w:rPr>
      </w:pPr>
    </w:p>
    <w:p>
      <w:pPr>
        <w:spacing w:line="600" w:lineRule="auto"/>
        <w:ind w:right="-32" w:firstLine="420" w:rightChars="-15" w:firstLineChars="200"/>
        <w:rPr>
          <w:rFonts w:ascii="宋体" w:eastAsia="宋体" w:hAnsi="宋体" w:cs="宋体"/>
          <w:szCs w:val="21"/>
        </w:rPr>
      </w:pPr>
      <w:r>
        <w:rPr>
          <w:rFonts w:ascii="宋体" w:eastAsia="宋体" w:hAnsi="宋体" w:cs="宋体" w:hint="eastAsia"/>
          <w:b/>
          <w:bCs/>
          <w:szCs w:val="21"/>
        </w:rPr>
        <w:t>项目名称：</w:t>
      </w:r>
      <w:r>
        <w:rPr>
          <w:rFonts w:ascii="宋体" w:eastAsia="宋体" w:hAnsi="宋体" w:cs="宋体" w:hint="eastAsia"/>
          <w:szCs w:val="21"/>
          <w:u w:val="single"/>
        </w:rPr>
        <w:t xml:space="preserve">     </w:t>
      </w:r>
      <w:r>
        <w:rPr>
          <w:rFonts w:ascii="宋体" w:eastAsia="宋体" w:hAnsi="宋体" w:cs="宋体" w:hint="eastAsia"/>
          <w:szCs w:val="21"/>
          <w:u w:val="single"/>
          <w:lang w:eastAsia="zh-CN"/>
        </w:rPr>
        <w:t>中国金融气象指数与服务网站升级</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Pr>
          <w:rFonts w:ascii="宋体" w:eastAsia="宋体" w:hAnsi="宋体" w:cs="宋体" w:hint="eastAsia"/>
          <w:szCs w:val="21"/>
          <w:u w:val="single"/>
          <w:lang w:eastAsia="zh-CN"/>
        </w:rPr>
        <w:t>国家气象信息中心</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b/>
          <w:bCs/>
          <w:szCs w:val="21"/>
          <w:u w:val="single"/>
        </w:rPr>
      </w:pPr>
    </w:p>
    <w:p>
      <w:pPr>
        <w:spacing w:line="600" w:lineRule="auto"/>
        <w:ind w:right="-15" w:firstLine="420" w:firstLineChars="200"/>
        <w:rPr>
          <w:rFonts w:ascii="宋体" w:eastAsia="宋体" w:hAnsi="宋体" w:cs="宋体"/>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left="-540" w:right="-15" w:firstLine="420" w:firstLineChars="200"/>
        <w:rPr>
          <w:rFonts w:ascii="宋体" w:eastAsia="宋体" w:hAnsi="宋体" w:cs="宋体"/>
          <w:szCs w:val="21"/>
          <w:u w:val="single"/>
        </w:rPr>
      </w:pPr>
      <w:r>
        <w:rPr>
          <w:rFonts w:ascii="宋体" w:eastAsia="宋体" w:hAnsi="宋体" w:cs="宋体" w:hint="eastAsia"/>
          <w:szCs w:val="21"/>
        </w:rPr>
        <w:t xml:space="preserve">                   </w:t>
      </w:r>
    </w:p>
    <w:p>
      <w:pPr>
        <w:spacing w:line="600" w:lineRule="auto"/>
        <w:ind w:left="-180" w:right="-15" w:firstLine="630" w:firstLineChars="300"/>
        <w:rPr>
          <w:rFonts w:ascii="宋体" w:eastAsia="宋体" w:hAnsi="宋体" w:cs="宋体"/>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600" w:lineRule="auto"/>
        <w:ind w:right="-15" w:firstLine="420" w:firstLineChars="200"/>
        <w:rPr>
          <w:rFonts w:ascii="宋体" w:eastAsia="宋体" w:hAnsi="宋体" w:cs="宋体"/>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360" w:lineRule="auto"/>
        <w:jc w:val="center"/>
        <w:rPr>
          <w:rFonts w:ascii="宋体" w:eastAsia="宋体" w:hAnsi="宋体" w:cs="宋体"/>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pPr>
        <w:spacing w:line="360" w:lineRule="auto"/>
        <w:ind w:firstLine="1680" w:firstLineChars="800"/>
        <w:rPr>
          <w:rFonts w:ascii="宋体" w:eastAsia="宋体" w:hAnsi="宋体" w:cs="宋体"/>
          <w:szCs w:val="21"/>
        </w:rPr>
      </w:pPr>
    </w:p>
    <w:p>
      <w:pPr>
        <w:spacing w:line="480" w:lineRule="auto"/>
        <w:rPr>
          <w:rFonts w:ascii="宋体" w:eastAsia="宋体" w:hAnsi="宋体" w:cs="宋体"/>
          <w:szCs w:val="21"/>
        </w:rPr>
      </w:pPr>
      <w:r>
        <w:rPr>
          <w:rFonts w:ascii="宋体" w:eastAsia="宋体" w:hAnsi="宋体" w:cs="宋体" w:hint="eastAsia"/>
          <w:szCs w:val="21"/>
        </w:rPr>
        <w:t xml:space="preserve">委托方（甲方）： </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rPr>
          <w:rFonts w:ascii="宋体" w:eastAsia="宋体" w:hAnsi="宋体" w:cs="宋体"/>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rPr>
      </w:pPr>
      <w:r>
        <w:rPr>
          <w:rFonts w:ascii="宋体" w:eastAsia="宋体" w:hAnsi="宋体" w:cs="宋体" w:hint="eastAsia"/>
          <w:szCs w:val="21"/>
        </w:rPr>
        <w:t xml:space="preserve">联系方式： </w:t>
      </w:r>
      <w:r>
        <w:rPr>
          <w:rFonts w:ascii="宋体" w:eastAsia="宋体" w:hAnsi="宋体" w:cs="宋体" w:hint="eastAsia"/>
          <w:szCs w:val="21"/>
          <w:u w:val="single"/>
        </w:rPr>
        <w:t xml:space="preserve">                                                       </w:t>
      </w:r>
    </w:p>
    <w:p>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ind w:firstLine="420" w:firstLineChars="200"/>
        <w:jc w:val="left"/>
        <w:rPr>
          <w:rFonts w:ascii="宋体" w:hAnsi="宋体" w:cs="宋体"/>
          <w:szCs w:val="21"/>
        </w:rPr>
        <w:sectPr>
          <w:footerReference w:type="even" r:id="rId9"/>
          <w:footerReference w:type="default" r:id="rId10"/>
          <w:pgSz w:w="11906" w:h="16838"/>
          <w:pgMar w:top="1440" w:right="1800" w:bottom="1440" w:left="1800" w:header="851" w:footer="992" w:gutter="0"/>
          <w:cols w:num="1" w:space="720"/>
          <w:docGrid w:type="lines" w:linePitch="312" w:charSpace="0"/>
        </w:sectPr>
      </w:pPr>
    </w:p>
    <w:p>
      <w:pPr>
        <w:jc w:val="center"/>
        <w:rPr>
          <w:rFonts w:ascii="黑体" w:eastAsia="黑体" w:hAnsi="黑体" w:cs="黑体"/>
          <w:sz w:val="32"/>
          <w:szCs w:val="32"/>
        </w:rPr>
      </w:pPr>
    </w:p>
    <w:p>
      <w:pPr>
        <w:jc w:val="center"/>
        <w:rPr>
          <w:rFonts w:ascii="黑体" w:eastAsia="黑体" w:hAnsi="黑体" w:cs="黑体"/>
          <w:sz w:val="32"/>
          <w:szCs w:val="32"/>
        </w:rPr>
      </w:pPr>
    </w:p>
    <w:p>
      <w:pPr>
        <w:jc w:val="center"/>
        <w:rPr>
          <w:rFonts w:ascii="黑体" w:eastAsia="黑体" w:hAnsi="黑体" w:cs="黑体"/>
          <w:sz w:val="32"/>
          <w:szCs w:val="32"/>
        </w:rPr>
      </w:pPr>
    </w:p>
    <w:p>
      <w:pPr>
        <w:jc w:val="center"/>
        <w:rPr>
          <w:rFonts w:ascii="黑体" w:eastAsia="黑体" w:hAnsi="黑体" w:cs="黑体"/>
          <w:sz w:val="32"/>
          <w:szCs w:val="32"/>
        </w:rPr>
      </w:pPr>
      <w:r>
        <w:rPr>
          <w:rFonts w:ascii="黑体" w:eastAsia="黑体" w:hAnsi="黑体" w:cs="黑体" w:hint="eastAsia"/>
          <w:sz w:val="32"/>
          <w:szCs w:val="32"/>
        </w:rPr>
        <w:t>使 用 说 明</w:t>
      </w:r>
    </w:p>
    <w:p>
      <w:pPr>
        <w:jc w:val="center"/>
        <w:rPr>
          <w:rFonts w:ascii="黑体" w:eastAsia="黑体" w:hAnsi="黑体" w:cs="黑体"/>
          <w:sz w:val="32"/>
          <w:szCs w:val="32"/>
        </w:rPr>
      </w:pPr>
    </w:p>
    <w:p>
      <w:pPr>
        <w:numPr>
          <w:ilvl w:val="0"/>
          <w:numId w:val="10"/>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本合同标准文本适用于气象部门需要供应商定制开发的气象业务软件采购项目。</w:t>
      </w:r>
    </w:p>
    <w:p>
      <w:pPr>
        <w:numPr>
          <w:ilvl w:val="0"/>
          <w:numId w:val="10"/>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pPr>
        <w:numPr>
          <w:ilvl w:val="0"/>
          <w:numId w:val="10"/>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pPr>
        <w:ind w:firstLine="420" w:firstLineChars="200"/>
        <w:rPr>
          <w:rFonts w:ascii="宋体" w:eastAsia="宋体" w:hAnsi="宋体" w:cs="宋体"/>
          <w:snapToGrid w:val="0"/>
          <w:szCs w:val="21"/>
        </w:rPr>
      </w:pPr>
      <w:r>
        <w:rPr>
          <w:rFonts w:ascii="宋体" w:eastAsia="宋体" w:hAnsi="宋体" w:cs="宋体"/>
          <w:szCs w:val="21"/>
        </w:rPr>
        <w:br w:type="page"/>
      </w:r>
      <w:r>
        <w:rPr>
          <w:rFonts w:ascii="宋体" w:eastAsia="宋体" w:hAnsi="宋体" w:cs="宋体" w:hint="eastAsia"/>
          <w:snapToGrid w:val="0"/>
          <w:szCs w:val="21"/>
        </w:rPr>
        <w:t>根据《中华人民共和国政府采购法》《中华人民共和国民法典》以及法律法规和行业标准，甲方通过公开招标，选定乙方为</w:t>
      </w:r>
      <w:r>
        <w:rPr>
          <w:rFonts w:ascii="宋体" w:eastAsia="宋体" w:hAnsi="宋体" w:cs="宋体" w:hint="eastAsia"/>
          <w:snapToGrid w:val="0"/>
          <w:szCs w:val="21"/>
          <w:u w:val="single"/>
        </w:rPr>
        <w:t xml:space="preserve"> </w:t>
      </w:r>
      <w:r>
        <w:rPr>
          <w:rFonts w:ascii="宋体" w:eastAsia="宋体" w:hAnsi="宋体" w:cs="宋体"/>
          <w:snapToGrid w:val="0"/>
          <w:szCs w:val="21"/>
          <w:u w:val="single"/>
        </w:rPr>
        <w:t xml:space="preserve"> </w:t>
      </w:r>
      <w:r>
        <w:rPr>
          <w:rFonts w:ascii="宋体" w:eastAsia="宋体" w:hAnsi="宋体" w:cs="宋体" w:hint="eastAsia"/>
          <w:snapToGrid w:val="0"/>
          <w:szCs w:val="21"/>
          <w:u w:val="single"/>
          <w:lang w:eastAsia="zh-CN"/>
        </w:rPr>
        <w:t>中国金融气象指数与服务网站升级</w:t>
      </w:r>
      <w:r>
        <w:rPr>
          <w:rFonts w:ascii="宋体" w:eastAsia="宋体" w:hAnsi="宋体" w:cs="宋体"/>
          <w:snapToGrid w:val="0"/>
          <w:szCs w:val="21"/>
          <w:u w:val="single"/>
        </w:rPr>
        <w:t xml:space="preserve"> </w:t>
      </w:r>
      <w:r>
        <w:rPr>
          <w:rFonts w:ascii="宋体" w:eastAsia="宋体" w:hAnsi="宋体" w:cs="宋体" w:hint="eastAsia"/>
          <w:snapToGrid w:val="0"/>
          <w:szCs w:val="21"/>
        </w:rPr>
        <w:t>项目的中标供应商。双方经过平等协商，在真实、充分地表达各自意愿的基础上，达成如下协议，并由双方共同恪守。</w:t>
      </w:r>
    </w:p>
    <w:p>
      <w:pPr>
        <w:keepNext/>
        <w:keepLines/>
        <w:numPr>
          <w:ilvl w:val="0"/>
          <w:numId w:val="11"/>
        </w:numPr>
        <w:spacing w:before="60" w:after="60" w:line="360" w:lineRule="auto"/>
        <w:ind w:left="840" w:hanging="840"/>
        <w:jc w:val="left"/>
        <w:outlineLvl w:val="1"/>
        <w:rPr>
          <w:rFonts w:ascii="宋体" w:eastAsia="宋体" w:hAnsi="宋体" w:cs="宋体"/>
          <w:b/>
          <w:bCs/>
          <w:szCs w:val="21"/>
        </w:rPr>
      </w:pPr>
      <w:bookmarkStart w:id="218" w:name="_Toc150439537"/>
      <w:r>
        <w:rPr>
          <w:rFonts w:ascii="宋体" w:eastAsia="宋体" w:hAnsi="宋体" w:cs="宋体" w:hint="eastAsia"/>
          <w:b/>
          <w:bCs/>
          <w:szCs w:val="21"/>
        </w:rPr>
        <w:t>项目内容及概况</w:t>
      </w:r>
      <w:bookmarkEnd w:id="218"/>
      <w:r>
        <w:rPr>
          <w:rFonts w:ascii="宋体" w:eastAsia="宋体" w:hAnsi="宋体" w:cs="宋体" w:hint="eastAsia"/>
          <w:b/>
          <w:bCs/>
          <w:szCs w:val="21"/>
        </w:rPr>
        <w:t xml:space="preserve"> </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960"/>
        <w:gridCol w:w="747"/>
        <w:gridCol w:w="792"/>
        <w:gridCol w:w="1500"/>
        <w:gridCol w:w="1502"/>
        <w:gridCol w:w="1502"/>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644" w:type="pct"/>
            <w:noWrap w:val="0"/>
            <w:vAlign w:val="top"/>
          </w:tcPr>
          <w:p>
            <w:pPr>
              <w:jc w:val="left"/>
              <w:rPr>
                <w:rFonts w:ascii="宋体" w:eastAsia="宋体" w:hAnsi="宋体" w:cs="宋体"/>
                <w:szCs w:val="21"/>
              </w:rPr>
            </w:pPr>
            <w:r>
              <w:rPr>
                <w:rFonts w:ascii="宋体" w:eastAsia="宋体" w:hAnsi="宋体" w:cs="宋体" w:hint="eastAsia"/>
                <w:szCs w:val="21"/>
              </w:rPr>
              <w:t>名称</w:t>
            </w:r>
          </w:p>
        </w:tc>
        <w:tc>
          <w:tcPr>
            <w:tcW w:w="415" w:type="pct"/>
            <w:noWrap w:val="0"/>
            <w:vAlign w:val="top"/>
          </w:tcPr>
          <w:p>
            <w:pPr>
              <w:jc w:val="left"/>
              <w:rPr>
                <w:rFonts w:ascii="宋体" w:eastAsia="宋体" w:hAnsi="宋体" w:cs="宋体"/>
                <w:szCs w:val="21"/>
              </w:rPr>
            </w:pPr>
            <w:r>
              <w:rPr>
                <w:rFonts w:ascii="宋体" w:eastAsia="宋体" w:hAnsi="宋体" w:cs="宋体" w:hint="eastAsia"/>
                <w:szCs w:val="21"/>
              </w:rPr>
              <w:t>数量</w:t>
            </w:r>
          </w:p>
        </w:tc>
        <w:tc>
          <w:tcPr>
            <w:tcW w:w="440" w:type="pct"/>
            <w:noWrap w:val="0"/>
            <w:vAlign w:val="top"/>
          </w:tcPr>
          <w:p>
            <w:pPr>
              <w:jc w:val="left"/>
              <w:rPr>
                <w:rFonts w:ascii="宋体" w:eastAsia="宋体" w:hAnsi="宋体" w:cs="宋体"/>
                <w:szCs w:val="21"/>
              </w:rPr>
            </w:pPr>
            <w:r>
              <w:rPr>
                <w:rFonts w:ascii="宋体" w:eastAsia="宋体" w:hAnsi="宋体" w:cs="宋体" w:hint="eastAsia"/>
                <w:szCs w:val="21"/>
              </w:rPr>
              <w:t>单位</w:t>
            </w:r>
          </w:p>
        </w:tc>
        <w:tc>
          <w:tcPr>
            <w:tcW w:w="833" w:type="pct"/>
            <w:noWrap w:val="0"/>
            <w:vAlign w:val="top"/>
          </w:tcPr>
          <w:p>
            <w:pPr>
              <w:jc w:val="left"/>
              <w:rPr>
                <w:rFonts w:ascii="宋体" w:eastAsia="宋体" w:hAnsi="宋体" w:cs="宋体"/>
                <w:szCs w:val="21"/>
              </w:rPr>
            </w:pPr>
            <w:r>
              <w:rPr>
                <w:rFonts w:ascii="宋体" w:eastAsia="宋体" w:hAnsi="宋体" w:cs="宋体" w:hint="eastAsia"/>
                <w:szCs w:val="21"/>
              </w:rPr>
              <w:t>单价（元）</w:t>
            </w:r>
          </w:p>
        </w:tc>
        <w:tc>
          <w:tcPr>
            <w:tcW w:w="834" w:type="pct"/>
            <w:noWrap w:val="0"/>
            <w:vAlign w:val="top"/>
          </w:tcPr>
          <w:p>
            <w:pPr>
              <w:jc w:val="left"/>
              <w:rPr>
                <w:rFonts w:ascii="宋体" w:eastAsia="宋体" w:hAnsi="宋体" w:cs="宋体"/>
                <w:szCs w:val="21"/>
              </w:rPr>
            </w:pPr>
            <w:r>
              <w:rPr>
                <w:rFonts w:ascii="宋体" w:eastAsia="宋体" w:hAnsi="宋体" w:cs="宋体" w:hint="eastAsia"/>
                <w:szCs w:val="21"/>
              </w:rPr>
              <w:t>合计（元）</w:t>
            </w:r>
          </w:p>
        </w:tc>
        <w:tc>
          <w:tcPr>
            <w:tcW w:w="834" w:type="pct"/>
            <w:noWrap w:val="0"/>
            <w:vAlign w:val="top"/>
          </w:tcPr>
          <w:p>
            <w:pPr>
              <w:jc w:val="left"/>
              <w:rPr>
                <w:rFonts w:ascii="宋体" w:eastAsia="宋体" w:hAnsi="宋体" w:cs="宋体"/>
                <w:szCs w:val="21"/>
              </w:rPr>
            </w:pPr>
            <w:r>
              <w:rPr>
                <w:rFonts w:ascii="宋体" w:eastAsia="宋体" w:hAnsi="宋体" w:cs="宋体" w:hint="eastAsia"/>
                <w:szCs w:val="21"/>
              </w:rPr>
              <w:t>备注</w:t>
            </w:r>
          </w:p>
        </w:tc>
      </w:tr>
      <w:tr>
        <w:tblPrEx>
          <w:tblW w:w="5000" w:type="pct"/>
          <w:tblInd w:w="0" w:type="dxa"/>
          <w:tblCellMar>
            <w:top w:w="0" w:type="dxa"/>
            <w:left w:w="108" w:type="dxa"/>
            <w:bottom w:w="0" w:type="dxa"/>
            <w:right w:w="108" w:type="dxa"/>
          </w:tblCellMar>
        </w:tblPrEx>
        <w:tc>
          <w:tcPr>
            <w:tcW w:w="1644" w:type="pct"/>
            <w:noWrap w:val="0"/>
            <w:vAlign w:val="top"/>
          </w:tcPr>
          <w:p>
            <w:pPr>
              <w:jc w:val="left"/>
              <w:rPr>
                <w:rFonts w:ascii="宋体" w:eastAsia="宋体" w:hAnsi="宋体" w:cs="宋体"/>
                <w:szCs w:val="21"/>
              </w:rPr>
            </w:pPr>
            <w:r>
              <w:rPr>
                <w:rFonts w:ascii="宋体" w:eastAsia="宋体" w:hAnsi="宋体" w:cs="宋体" w:hint="eastAsia"/>
                <w:snapToGrid w:val="0"/>
                <w:szCs w:val="21"/>
                <w:u w:val="single"/>
                <w:lang w:eastAsia="zh-CN"/>
              </w:rPr>
              <w:t>中国金融气象指数与服务网站升级</w:t>
            </w:r>
          </w:p>
        </w:tc>
        <w:tc>
          <w:tcPr>
            <w:tcW w:w="415" w:type="pct"/>
            <w:noWrap w:val="0"/>
            <w:vAlign w:val="top"/>
          </w:tcPr>
          <w:p>
            <w:pPr>
              <w:jc w:val="left"/>
              <w:rPr>
                <w:rFonts w:ascii="宋体" w:eastAsia="宋体" w:hAnsi="宋体" w:cs="宋体" w:hint="eastAsia"/>
                <w:szCs w:val="21"/>
              </w:rPr>
            </w:pPr>
            <w:r>
              <w:rPr>
                <w:rFonts w:ascii="宋体" w:eastAsia="宋体" w:hAnsi="宋体" w:cs="宋体" w:hint="eastAsia"/>
                <w:szCs w:val="21"/>
                <w:lang w:val="en-US" w:eastAsia="zh-CN"/>
              </w:rPr>
              <w:t>1</w:t>
            </w:r>
          </w:p>
        </w:tc>
        <w:tc>
          <w:tcPr>
            <w:tcW w:w="440" w:type="pct"/>
            <w:noWrap w:val="0"/>
            <w:vAlign w:val="top"/>
          </w:tcPr>
          <w:p>
            <w:pPr>
              <w:jc w:val="left"/>
              <w:rPr>
                <w:rFonts w:ascii="宋体" w:eastAsia="宋体" w:hAnsi="宋体" w:cs="宋体" w:hint="eastAsia"/>
                <w:szCs w:val="21"/>
              </w:rPr>
            </w:pPr>
            <w:r>
              <w:rPr>
                <w:rFonts w:ascii="宋体" w:eastAsia="宋体" w:hAnsi="宋体" w:cs="宋体" w:hint="eastAsia"/>
                <w:szCs w:val="21"/>
                <w:lang w:eastAsia="zh-CN"/>
              </w:rPr>
              <w:t>项</w:t>
            </w:r>
          </w:p>
        </w:tc>
        <w:tc>
          <w:tcPr>
            <w:tcW w:w="833"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r>
      <w:tr>
        <w:tblPrEx>
          <w:tblW w:w="5000" w:type="pct"/>
          <w:tblInd w:w="0" w:type="dxa"/>
          <w:tblCellMar>
            <w:top w:w="0" w:type="dxa"/>
            <w:left w:w="108" w:type="dxa"/>
            <w:bottom w:w="0" w:type="dxa"/>
            <w:right w:w="108" w:type="dxa"/>
          </w:tblCellMar>
        </w:tblPrEx>
        <w:tc>
          <w:tcPr>
            <w:tcW w:w="1644" w:type="pct"/>
            <w:noWrap w:val="0"/>
            <w:vAlign w:val="top"/>
          </w:tcPr>
          <w:p>
            <w:pPr>
              <w:jc w:val="left"/>
              <w:rPr>
                <w:rFonts w:ascii="宋体" w:eastAsia="宋体" w:hAnsi="宋体" w:cs="宋体"/>
                <w:szCs w:val="21"/>
              </w:rPr>
            </w:pPr>
          </w:p>
        </w:tc>
        <w:tc>
          <w:tcPr>
            <w:tcW w:w="415" w:type="pct"/>
            <w:noWrap w:val="0"/>
            <w:vAlign w:val="top"/>
          </w:tcPr>
          <w:p>
            <w:pPr>
              <w:jc w:val="left"/>
              <w:rPr>
                <w:rFonts w:ascii="宋体" w:eastAsia="宋体" w:hAnsi="宋体" w:cs="宋体"/>
                <w:szCs w:val="21"/>
              </w:rPr>
            </w:pPr>
          </w:p>
        </w:tc>
        <w:tc>
          <w:tcPr>
            <w:tcW w:w="440" w:type="pct"/>
            <w:noWrap w:val="0"/>
            <w:vAlign w:val="top"/>
          </w:tcPr>
          <w:p>
            <w:pPr>
              <w:jc w:val="left"/>
              <w:rPr>
                <w:rFonts w:ascii="宋体" w:eastAsia="宋体" w:hAnsi="宋体" w:cs="宋体"/>
                <w:szCs w:val="21"/>
              </w:rPr>
            </w:pPr>
          </w:p>
        </w:tc>
        <w:tc>
          <w:tcPr>
            <w:tcW w:w="833"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c>
          <w:tcPr>
            <w:tcW w:w="834" w:type="pct"/>
            <w:noWrap w:val="0"/>
            <w:vAlign w:val="top"/>
          </w:tcPr>
          <w:p>
            <w:pPr>
              <w:jc w:val="left"/>
              <w:rPr>
                <w:rFonts w:ascii="宋体" w:eastAsia="宋体" w:hAnsi="宋体" w:cs="宋体"/>
                <w:szCs w:val="21"/>
              </w:rPr>
            </w:pPr>
          </w:p>
        </w:tc>
      </w:tr>
      <w:tr>
        <w:tblPrEx>
          <w:tblW w:w="5000" w:type="pct"/>
          <w:tblInd w:w="0" w:type="dxa"/>
          <w:tblCellMar>
            <w:top w:w="0" w:type="dxa"/>
            <w:left w:w="108" w:type="dxa"/>
            <w:bottom w:w="0" w:type="dxa"/>
            <w:right w:w="108" w:type="dxa"/>
          </w:tblCellMar>
        </w:tblPrEx>
        <w:tc>
          <w:tcPr>
            <w:tcW w:w="5000" w:type="pct"/>
            <w:gridSpan w:val="6"/>
            <w:noWrap w:val="0"/>
            <w:vAlign w:val="top"/>
          </w:tcPr>
          <w:p>
            <w:pPr>
              <w:jc w:val="left"/>
              <w:rPr>
                <w:rFonts w:ascii="宋体" w:eastAsia="宋体" w:hAnsi="宋体" w:cs="宋体"/>
                <w:szCs w:val="21"/>
              </w:rPr>
            </w:pPr>
            <w:r>
              <w:rPr>
                <w:rFonts w:ascii="宋体" w:eastAsia="宋体" w:hAnsi="宋体" w:cs="宋体"/>
                <w:spacing w:val="6"/>
                <w:szCs w:val="21"/>
              </w:rPr>
              <w:t>合计总价</w:t>
            </w:r>
            <w:r>
              <w:rPr>
                <w:rFonts w:ascii="宋体" w:eastAsia="宋体" w:hAnsi="宋体" w:cs="宋体" w:hint="eastAsia"/>
                <w:spacing w:val="6"/>
                <w:szCs w:val="21"/>
              </w:rPr>
              <w:t>（人民币）</w:t>
            </w:r>
            <w:r>
              <w:rPr>
                <w:rFonts w:ascii="宋体" w:eastAsia="宋体" w:hAnsi="宋体" w:cs="宋体"/>
                <w:spacing w:val="6"/>
                <w:szCs w:val="21"/>
              </w:rPr>
              <w:t>：</w:t>
            </w:r>
            <w:r>
              <w:rPr>
                <w:rFonts w:ascii="宋体" w:eastAsia="宋体" w:hAnsi="宋体" w:cs="宋体" w:hint="eastAsia"/>
                <w:spacing w:val="6"/>
                <w:szCs w:val="21"/>
              </w:rPr>
              <w:t>￥</w:t>
            </w:r>
            <w:r>
              <w:rPr>
                <w:rFonts w:ascii="宋体" w:eastAsia="宋体" w:hAnsi="宋体" w:cs="宋体"/>
                <w:spacing w:val="7"/>
                <w:szCs w:val="21"/>
              </w:rPr>
              <w:t xml:space="preserve">    </w:t>
            </w:r>
            <w:r>
              <w:rPr>
                <w:rFonts w:ascii="宋体" w:eastAsia="宋体" w:hAnsi="宋体" w:cs="宋体"/>
                <w:spacing w:val="6"/>
                <w:szCs w:val="21"/>
              </w:rPr>
              <w:t>元（大写</w:t>
            </w:r>
            <w:r>
              <w:rPr>
                <w:rFonts w:ascii="宋体" w:eastAsia="宋体" w:hAnsi="宋体" w:cs="宋体"/>
                <w:szCs w:val="21"/>
              </w:rPr>
              <w:t>：</w:t>
            </w:r>
            <w:r>
              <w:rPr>
                <w:rFonts w:ascii="宋体" w:eastAsia="宋体" w:hAnsi="宋体" w:cs="宋体"/>
                <w:spacing w:val="1"/>
                <w:szCs w:val="21"/>
              </w:rPr>
              <w:t xml:space="preserve">                                </w:t>
            </w:r>
            <w:r>
              <w:rPr>
                <w:rFonts w:ascii="宋体" w:eastAsia="宋体" w:hAnsi="宋体" w:cs="宋体"/>
                <w:szCs w:val="21"/>
              </w:rPr>
              <w:t>）</w:t>
            </w:r>
          </w:p>
        </w:tc>
      </w:tr>
    </w:tbl>
    <w:p>
      <w:pPr>
        <w:ind w:firstLine="420" w:firstLineChars="200"/>
        <w:jc w:val="left"/>
        <w:rPr>
          <w:rFonts w:ascii="宋体" w:eastAsia="宋体" w:hAnsi="宋体" w:cs="宋体"/>
          <w:szCs w:val="21"/>
          <w:u w:val="single"/>
        </w:rPr>
      </w:pPr>
      <w:r>
        <w:rPr>
          <w:rFonts w:ascii="宋体" w:eastAsia="宋体" w:hAnsi="宋体" w:cs="宋体" w:hint="eastAsia"/>
          <w:szCs w:val="21"/>
        </w:rPr>
        <w:t>项目简要介绍：</w:t>
      </w: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ind w:firstLine="420" w:firstLineChars="200"/>
        <w:jc w:val="left"/>
        <w:rPr>
          <w:rFonts w:ascii="宋体" w:eastAsia="宋体" w:hAnsi="宋体" w:cs="宋体"/>
          <w:szCs w:val="21"/>
        </w:rPr>
      </w:pPr>
      <w:r>
        <w:rPr>
          <w:rFonts w:ascii="宋体" w:eastAsia="宋体" w:hAnsi="宋体" w:cs="宋体" w:hint="eastAsia"/>
          <w:szCs w:val="21"/>
        </w:rPr>
        <w:t>乙方承担的研究内容：</w:t>
      </w:r>
    </w:p>
    <w:p>
      <w:pPr>
        <w:ind w:firstLine="420" w:firstLineChars="200"/>
        <w:jc w:val="left"/>
        <w:rPr>
          <w:rFonts w:ascii="宋体" w:eastAsia="宋体" w:hAnsi="宋体" w:cs="宋体"/>
          <w:szCs w:val="21"/>
        </w:rPr>
      </w:pPr>
      <w:r>
        <w:rPr>
          <w:rFonts w:ascii="宋体" w:eastAsia="宋体" w:hAnsi="宋体" w:cs="宋体" w:hint="eastAsia"/>
          <w:szCs w:val="21"/>
        </w:rPr>
        <w:t>XXXX（技术交底部分）。</w:t>
      </w:r>
    </w:p>
    <w:p>
      <w:pPr>
        <w:ind w:firstLine="420" w:firstLineChars="200"/>
        <w:jc w:val="left"/>
        <w:rPr>
          <w:rFonts w:ascii="宋体" w:eastAsia="宋体" w:hAnsi="宋体" w:cs="宋体"/>
          <w:szCs w:val="21"/>
        </w:rPr>
      </w:pPr>
    </w:p>
    <w:p>
      <w:pPr>
        <w:ind w:firstLine="420" w:firstLineChars="200"/>
        <w:jc w:val="left"/>
        <w:rPr>
          <w:rFonts w:ascii="宋体" w:eastAsia="宋体" w:hAnsi="宋体" w:cs="宋体"/>
          <w:szCs w:val="21"/>
        </w:rPr>
      </w:pPr>
      <w:r>
        <w:rPr>
          <w:rFonts w:ascii="宋体" w:eastAsia="宋体" w:hAnsi="宋体" w:cs="宋体" w:hint="eastAsia"/>
          <w:szCs w:val="21"/>
        </w:rPr>
        <w:t>乙方主要研究人员</w:t>
      </w:r>
    </w:p>
    <w:p>
      <w:pPr>
        <w:ind w:firstLine="420" w:firstLineChars="200"/>
        <w:jc w:val="left"/>
        <w:rPr>
          <w:rFonts w:ascii="宋体" w:eastAsia="宋体" w:hAnsi="宋体" w:cs="宋体"/>
          <w:szCs w:val="21"/>
        </w:rPr>
      </w:pPr>
      <w:r>
        <w:rPr>
          <w:rFonts w:ascii="宋体" w:eastAsia="宋体" w:hAnsi="宋体" w:cs="宋体" w:hint="eastAsia"/>
          <w:szCs w:val="21"/>
        </w:rPr>
        <w:t xml:space="preserve"> XXXX。</w:t>
      </w:r>
    </w:p>
    <w:p>
      <w:pPr>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p>
    <w:p>
      <w:pPr>
        <w:keepNext/>
        <w:keepLines/>
        <w:numPr>
          <w:ilvl w:val="0"/>
          <w:numId w:val="11"/>
        </w:numPr>
        <w:spacing w:before="60" w:after="60" w:line="360" w:lineRule="auto"/>
        <w:ind w:left="840" w:hanging="840"/>
        <w:jc w:val="left"/>
        <w:outlineLvl w:val="1"/>
        <w:rPr>
          <w:rFonts w:ascii="宋体" w:eastAsia="宋体" w:hAnsi="宋体" w:cs="宋体"/>
          <w:b/>
          <w:bCs/>
          <w:szCs w:val="21"/>
        </w:rPr>
      </w:pPr>
      <w:bookmarkStart w:id="219" w:name="_Toc150439540"/>
      <w:r>
        <w:rPr>
          <w:rFonts w:ascii="宋体" w:eastAsia="宋体" w:hAnsi="宋体" w:cs="宋体" w:hint="eastAsia"/>
          <w:b/>
          <w:bCs/>
          <w:szCs w:val="21"/>
        </w:rPr>
        <w:t>项目相关标准</w:t>
      </w:r>
      <w:bookmarkEnd w:id="219"/>
    </w:p>
    <w:p>
      <w:pPr>
        <w:numPr>
          <w:ilvl w:val="0"/>
          <w:numId w:val="1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技术标准</w:t>
      </w:r>
    </w:p>
    <w:p>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国家政策文件</w:t>
      </w:r>
    </w:p>
    <w:p>
      <w:pPr>
        <w:numPr>
          <w:ilvl w:val="1"/>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《X</w:t>
      </w:r>
      <w:r>
        <w:rPr>
          <w:rFonts w:ascii="宋体" w:eastAsia="宋体" w:hAnsi="宋体" w:cs="宋体"/>
          <w:szCs w:val="21"/>
          <w:u w:val="single"/>
        </w:rPr>
        <w:t>XX</w:t>
      </w:r>
      <w:r>
        <w:rPr>
          <w:rFonts w:ascii="宋体" w:eastAsia="宋体" w:hAnsi="宋体" w:cs="宋体" w:hint="eastAsia"/>
          <w:szCs w:val="21"/>
          <w:u w:val="single"/>
        </w:rPr>
        <w:t>功能规格需求书》</w:t>
      </w:r>
    </w:p>
    <w:p>
      <w:pPr>
        <w:numPr>
          <w:ilvl w:val="1"/>
          <w:numId w:val="12"/>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省厅政策文件</w:t>
      </w:r>
    </w:p>
    <w:p>
      <w:pPr>
        <w:numPr>
          <w:ilvl w:val="0"/>
          <w:numId w:val="14"/>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14"/>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地区政策文件</w:t>
      </w:r>
    </w:p>
    <w:p>
      <w:pPr>
        <w:numPr>
          <w:ilvl w:val="1"/>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1"/>
          <w:numId w:val="13"/>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1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标准规范</w:t>
      </w:r>
    </w:p>
    <w:p>
      <w:pPr>
        <w:numPr>
          <w:ilvl w:val="0"/>
          <w:numId w:val="15"/>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15"/>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1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国家法律法规</w:t>
      </w:r>
    </w:p>
    <w:p>
      <w:pPr>
        <w:numPr>
          <w:ilvl w:val="0"/>
          <w:numId w:val="16"/>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《中华人民共和国政府采购法》            </w:t>
      </w:r>
    </w:p>
    <w:p>
      <w:pPr>
        <w:numPr>
          <w:ilvl w:val="0"/>
          <w:numId w:val="16"/>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《中华人民共和国民法典》                </w:t>
      </w:r>
    </w:p>
    <w:p>
      <w:pPr>
        <w:numPr>
          <w:ilvl w:val="0"/>
          <w:numId w:val="16"/>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1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气象部门管理制度</w:t>
      </w:r>
    </w:p>
    <w:p>
      <w:pPr>
        <w:numPr>
          <w:ilvl w:val="0"/>
          <w:numId w:val="17"/>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《气象业务软件外包风险监管办法（试行）》（气办发〔2023〕37号） </w:t>
      </w:r>
    </w:p>
    <w:p>
      <w:pPr>
        <w:numPr>
          <w:ilvl w:val="0"/>
          <w:numId w:val="17"/>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《气象软件工程规范》（气办发〔2023〕38号）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17"/>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《关于统筹集约建设气象业务软件的指导意见》（气发〔2024〕8号） </w:t>
      </w:r>
    </w:p>
    <w:p>
      <w:pPr>
        <w:numPr>
          <w:ilvl w:val="0"/>
          <w:numId w:val="17"/>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《气象业务软件组件化开发指南（</w:t>
      </w:r>
      <w:r>
        <w:rPr>
          <w:rFonts w:ascii="宋体" w:eastAsia="宋体" w:hAnsi="宋体" w:cs="宋体"/>
          <w:szCs w:val="21"/>
          <w:u w:val="single"/>
        </w:rPr>
        <w:t>2023版）》（气预函〔2023〕76号）</w:t>
      </w:r>
    </w:p>
    <w:p>
      <w:pPr>
        <w:numPr>
          <w:ilvl w:val="0"/>
          <w:numId w:val="17"/>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《气象数据管理办法（试行）》（气发〔</w:t>
      </w:r>
      <w:r>
        <w:rPr>
          <w:rFonts w:ascii="宋体" w:eastAsia="宋体" w:hAnsi="宋体" w:cs="宋体"/>
          <w:szCs w:val="21"/>
          <w:u w:val="single"/>
        </w:rPr>
        <w:t xml:space="preserve">2020〕92号）        </w:t>
      </w:r>
      <w:r>
        <w:rPr>
          <w:rFonts w:ascii="宋体" w:eastAsia="宋体" w:hAnsi="宋体" w:cs="宋体" w:hint="eastAsia"/>
          <w:szCs w:val="21"/>
          <w:u w:val="single"/>
        </w:rPr>
        <w:t xml:space="preserve">       </w:t>
      </w:r>
    </w:p>
    <w:p>
      <w:pPr>
        <w:numPr>
          <w:ilvl w:val="0"/>
          <w:numId w:val="17"/>
        </w:numPr>
        <w:spacing w:line="360" w:lineRule="auto"/>
        <w:ind w:firstLine="420" w:firstLineChars="200"/>
        <w:jc w:val="left"/>
        <w:rPr>
          <w:rFonts w:ascii="宋体" w:eastAsia="宋体" w:hAnsi="宋体" w:cs="宋体"/>
          <w:szCs w:val="21"/>
        </w:rPr>
      </w:pPr>
      <w:r>
        <w:rPr>
          <w:rFonts w:ascii="宋体" w:eastAsia="宋体" w:hAnsi="宋体" w:cs="宋体" w:hint="eastAsia"/>
          <w:szCs w:val="21"/>
          <w:u w:val="single"/>
        </w:rPr>
        <w:t>《气象数据共享服务与安全管理办法（试行）》（气发〔</w:t>
      </w:r>
      <w:r>
        <w:rPr>
          <w:rFonts w:ascii="宋体" w:eastAsia="宋体" w:hAnsi="宋体" w:cs="宋体"/>
          <w:szCs w:val="21"/>
          <w:u w:val="single"/>
        </w:rPr>
        <w:t>2022〕59号）</w:t>
      </w:r>
      <w:r>
        <w:rPr>
          <w:rFonts w:ascii="宋体" w:eastAsia="宋体" w:hAnsi="宋体" w:cs="宋体" w:hint="eastAsia"/>
          <w:szCs w:val="21"/>
          <w:u w:val="single"/>
        </w:rPr>
        <w:t xml:space="preserve"> </w:t>
      </w:r>
    </w:p>
    <w:p>
      <w:pPr>
        <w:numPr>
          <w:ilvl w:val="0"/>
          <w:numId w:val="17"/>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《中国气象局网络安全管理办法（试行）》（气发〔2020〕41号）     </w:t>
      </w:r>
    </w:p>
    <w:p>
      <w:pPr>
        <w:numPr>
          <w:ilvl w:val="0"/>
          <w:numId w:val="17"/>
        </w:num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p>
    <w:p>
      <w:pPr>
        <w:ind w:firstLine="420" w:firstLineChars="200"/>
        <w:jc w:val="left"/>
        <w:rPr>
          <w:rFonts w:ascii="华文楷体" w:eastAsia="华文楷体" w:hAnsi="华文楷体" w:cs="华文楷体"/>
          <w:szCs w:val="21"/>
        </w:rPr>
      </w:pPr>
      <w:r>
        <w:rPr>
          <w:rFonts w:ascii="华文楷体" w:eastAsia="华文楷体" w:hAnsi="华文楷体" w:cs="华文楷体" w:hint="eastAsia"/>
          <w:szCs w:val="21"/>
        </w:rPr>
        <w:t>注：上述气象部门管理制度应根据本合同签订时的实际情况进行更新和补充。</w:t>
      </w:r>
    </w:p>
    <w:p>
      <w:pPr>
        <w:keepNext/>
        <w:keepLines/>
        <w:numPr>
          <w:ilvl w:val="0"/>
          <w:numId w:val="11"/>
        </w:numPr>
        <w:spacing w:before="60" w:after="60" w:line="360" w:lineRule="auto"/>
        <w:ind w:left="840" w:hanging="840"/>
        <w:jc w:val="left"/>
        <w:outlineLvl w:val="1"/>
        <w:rPr>
          <w:rFonts w:ascii="宋体" w:eastAsia="宋体" w:hAnsi="宋体" w:cs="宋体"/>
          <w:b/>
          <w:bCs/>
          <w:szCs w:val="21"/>
        </w:rPr>
      </w:pPr>
      <w:bookmarkStart w:id="220" w:name="_Toc150439542"/>
      <w:r>
        <w:rPr>
          <w:rFonts w:ascii="宋体" w:eastAsia="宋体" w:hAnsi="宋体" w:cs="宋体" w:hint="eastAsia"/>
          <w:b/>
          <w:bCs/>
          <w:szCs w:val="21"/>
        </w:rPr>
        <w:t>组成本合同的文件</w:t>
      </w:r>
      <w:bookmarkEnd w:id="220"/>
    </w:p>
    <w:p>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本合同；</w:t>
      </w:r>
    </w:p>
    <w:p>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中标通知书、招标文件、投标文件等；</w:t>
      </w:r>
    </w:p>
    <w:p>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与履行本合同有关、经双方依法签字盖章确认后的下列技术文件：</w:t>
      </w:r>
    </w:p>
    <w:p>
      <w:pPr>
        <w:numPr>
          <w:ilvl w:val="0"/>
          <w:numId w:val="19"/>
        </w:numPr>
        <w:spacing w:line="360" w:lineRule="auto"/>
        <w:ind w:hanging="5"/>
        <w:jc w:val="left"/>
        <w:rPr>
          <w:rFonts w:ascii="宋体" w:eastAsia="宋体" w:hAnsi="宋体" w:cs="宋体"/>
          <w:szCs w:val="21"/>
        </w:rPr>
      </w:pPr>
      <w:r>
        <w:rPr>
          <w:rFonts w:ascii="宋体" w:eastAsia="宋体" w:hAnsi="宋体" w:cs="宋体" w:hint="eastAsia"/>
          <w:szCs w:val="21"/>
        </w:rPr>
        <w:t>技术背景资料；</w:t>
      </w:r>
    </w:p>
    <w:p>
      <w:pPr>
        <w:numPr>
          <w:ilvl w:val="0"/>
          <w:numId w:val="19"/>
        </w:numPr>
        <w:spacing w:line="360" w:lineRule="auto"/>
        <w:ind w:hanging="5"/>
        <w:jc w:val="left"/>
        <w:rPr>
          <w:rFonts w:ascii="宋体" w:eastAsia="宋体" w:hAnsi="宋体" w:cs="宋体"/>
          <w:szCs w:val="21"/>
        </w:rPr>
      </w:pPr>
      <w:r>
        <w:rPr>
          <w:rFonts w:ascii="宋体" w:eastAsia="宋体" w:hAnsi="宋体" w:cs="宋体" w:hint="eastAsia"/>
          <w:szCs w:val="21"/>
        </w:rPr>
        <w:t>可行性论证报告；</w:t>
      </w:r>
    </w:p>
    <w:p>
      <w:pPr>
        <w:numPr>
          <w:ilvl w:val="0"/>
          <w:numId w:val="19"/>
        </w:numPr>
        <w:spacing w:line="360" w:lineRule="auto"/>
        <w:ind w:hanging="5"/>
        <w:jc w:val="left"/>
        <w:rPr>
          <w:rFonts w:ascii="宋体" w:eastAsia="宋体" w:hAnsi="宋体" w:cs="宋体"/>
          <w:szCs w:val="21"/>
        </w:rPr>
      </w:pPr>
      <w:r>
        <w:rPr>
          <w:rFonts w:ascii="宋体" w:eastAsia="宋体" w:hAnsi="宋体" w:cs="宋体" w:hint="eastAsia"/>
          <w:szCs w:val="21"/>
        </w:rPr>
        <w:t>技术评价报告；</w:t>
      </w:r>
    </w:p>
    <w:p>
      <w:pPr>
        <w:numPr>
          <w:ilvl w:val="0"/>
          <w:numId w:val="19"/>
        </w:numPr>
        <w:spacing w:line="360" w:lineRule="auto"/>
        <w:ind w:hanging="5"/>
        <w:jc w:val="left"/>
        <w:rPr>
          <w:rFonts w:ascii="宋体" w:eastAsia="宋体" w:hAnsi="宋体" w:cs="宋体"/>
          <w:szCs w:val="21"/>
        </w:rPr>
      </w:pPr>
      <w:r>
        <w:rPr>
          <w:rFonts w:ascii="宋体" w:eastAsia="宋体" w:hAnsi="宋体" w:cs="宋体" w:hint="eastAsia"/>
          <w:szCs w:val="21"/>
        </w:rPr>
        <w:t>技术标准和规范；</w:t>
      </w:r>
    </w:p>
    <w:p>
      <w:pPr>
        <w:numPr>
          <w:ilvl w:val="0"/>
          <w:numId w:val="19"/>
        </w:numPr>
        <w:spacing w:line="360" w:lineRule="auto"/>
        <w:ind w:hanging="5"/>
        <w:jc w:val="left"/>
        <w:rPr>
          <w:rFonts w:ascii="宋体" w:eastAsia="宋体" w:hAnsi="宋体" w:cs="宋体"/>
          <w:szCs w:val="21"/>
        </w:rPr>
      </w:pPr>
      <w:r>
        <w:rPr>
          <w:rFonts w:ascii="宋体" w:eastAsia="宋体" w:hAnsi="宋体" w:cs="宋体"/>
          <w:szCs w:val="21"/>
        </w:rPr>
        <w:t>……</w:t>
      </w:r>
    </w:p>
    <w:p>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安全保密承诺书（签字盖章）；</w:t>
      </w:r>
    </w:p>
    <w:p>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乙方就该项目实施情况接受甲方监督检查的承诺书（签字盖章）；</w:t>
      </w:r>
    </w:p>
    <w:p>
      <w:pPr>
        <w:numPr>
          <w:ilvl w:val="0"/>
          <w:numId w:val="18"/>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在执行本合同的过程中，所有经双方签署确认的文件（包括会议纪要、补充协议、往来信函）均为本合同的有效组成部分。</w:t>
      </w:r>
    </w:p>
    <w:p>
      <w:pPr>
        <w:keepNext/>
        <w:keepLines/>
        <w:numPr>
          <w:ilvl w:val="0"/>
          <w:numId w:val="11"/>
        </w:numPr>
        <w:spacing w:before="60" w:after="60" w:line="360" w:lineRule="auto"/>
        <w:ind w:left="840" w:hanging="840"/>
        <w:jc w:val="left"/>
        <w:outlineLvl w:val="1"/>
        <w:rPr>
          <w:rFonts w:ascii="宋体" w:eastAsia="宋体" w:hAnsi="宋体" w:cs="宋体"/>
          <w:b/>
          <w:bCs/>
          <w:szCs w:val="21"/>
        </w:rPr>
      </w:pPr>
      <w:bookmarkStart w:id="221" w:name="_Toc150439545"/>
      <w:r>
        <w:rPr>
          <w:rFonts w:ascii="宋体" w:eastAsia="宋体" w:hAnsi="宋体" w:cs="宋体" w:hint="eastAsia"/>
          <w:b/>
          <w:bCs/>
          <w:szCs w:val="21"/>
        </w:rPr>
        <w:t>合同履行地点、合同服务期</w:t>
      </w:r>
      <w:bookmarkEnd w:id="221"/>
    </w:p>
    <w:p>
      <w:pPr>
        <w:numPr>
          <w:ilvl w:val="0"/>
          <w:numId w:val="2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服务地点：依据服务内容及服务方式确定，实际要求在</w:t>
      </w:r>
      <w:r>
        <w:rPr>
          <w:rFonts w:ascii="宋体" w:eastAsia="宋体" w:hAnsi="宋体" w:cs="宋体" w:hint="eastAsia"/>
          <w:szCs w:val="21"/>
          <w:u w:val="single"/>
        </w:rPr>
        <w:t xml:space="preserve">            </w:t>
      </w:r>
      <w:r>
        <w:rPr>
          <w:rFonts w:ascii="宋体" w:eastAsia="宋体" w:hAnsi="宋体" w:cs="宋体" w:hint="eastAsia"/>
          <w:szCs w:val="21"/>
        </w:rPr>
        <w:t>进行。</w:t>
      </w:r>
    </w:p>
    <w:p>
      <w:pPr>
        <w:numPr>
          <w:ilvl w:val="0"/>
          <w:numId w:val="20"/>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合同服务期：</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w:t>
      </w:r>
    </w:p>
    <w:p>
      <w:pPr>
        <w:keepNext/>
        <w:keepLines/>
        <w:numPr>
          <w:ilvl w:val="0"/>
          <w:numId w:val="11"/>
        </w:numPr>
        <w:spacing w:before="60" w:after="60" w:line="360" w:lineRule="auto"/>
        <w:ind w:left="840" w:hanging="840"/>
        <w:outlineLvl w:val="1"/>
        <w:rPr>
          <w:rFonts w:ascii="宋体" w:eastAsia="宋体" w:hAnsi="宋体" w:cs="宋体"/>
          <w:b/>
          <w:bCs/>
          <w:szCs w:val="21"/>
        </w:rPr>
      </w:pPr>
      <w:bookmarkStart w:id="222" w:name="_Toc150439547"/>
      <w:r>
        <w:rPr>
          <w:rFonts w:ascii="宋体" w:eastAsia="宋体" w:hAnsi="宋体" w:cs="宋体" w:hint="eastAsia"/>
          <w:b/>
          <w:bCs/>
          <w:szCs w:val="21"/>
        </w:rPr>
        <w:t>服务范围及内容</w:t>
      </w:r>
      <w:bookmarkEnd w:id="222"/>
    </w:p>
    <w:p>
      <w:pPr>
        <w:ind w:firstLine="420" w:firstLineChars="200"/>
        <w:rPr>
          <w:rFonts w:ascii="宋体" w:eastAsia="宋体" w:hAnsi="宋体" w:cs="宋体"/>
          <w:szCs w:val="21"/>
        </w:rPr>
      </w:pPr>
      <w:r>
        <w:rPr>
          <w:rFonts w:ascii="宋体" w:eastAsia="宋体" w:hAnsi="宋体" w:cs="宋体" w:hint="eastAsia"/>
          <w:szCs w:val="21"/>
        </w:rPr>
        <w:t>本合同研究开发项目的要求如下：</w:t>
      </w:r>
    </w:p>
    <w:p>
      <w:pPr>
        <w:numPr>
          <w:ilvl w:val="0"/>
          <w:numId w:val="21"/>
        </w:numPr>
        <w:spacing w:line="360" w:lineRule="auto"/>
        <w:ind w:firstLine="420"/>
        <w:jc w:val="left"/>
        <w:rPr>
          <w:rFonts w:ascii="宋体" w:eastAsia="宋体" w:hAnsi="宋体" w:cs="宋体"/>
          <w:szCs w:val="21"/>
        </w:rPr>
      </w:pPr>
      <w:r>
        <w:rPr>
          <w:rFonts w:ascii="宋体" w:eastAsia="宋体" w:hAnsi="宋体" w:cs="宋体" w:hint="eastAsia"/>
          <w:szCs w:val="21"/>
        </w:rPr>
        <w:t>服务范围：甲方委托乙方开发</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项目软件，该项目属于</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（公共服务、</w:t>
      </w:r>
      <w:r>
        <w:rPr>
          <w:rFonts w:ascii="仿宋_GB2312" w:eastAsia="宋体" w:hAnsi="等线" w:cs="宋体" w:hint="eastAsia"/>
          <w:szCs w:val="21"/>
        </w:rPr>
        <w:t>预报预测、综合观测、信息网络等）气象业务领域的开发定制类软件，同时属于</w:t>
      </w:r>
      <w:r>
        <w:rPr>
          <w:rFonts w:ascii="仿宋_GB2312" w:eastAsia="宋体" w:hAnsi="等线" w:cs="宋体" w:hint="eastAsia"/>
          <w:szCs w:val="21"/>
          <w:u w:val="single"/>
        </w:rPr>
        <w:t xml:space="preserve"> </w:t>
      </w:r>
      <w:r>
        <w:rPr>
          <w:rFonts w:ascii="仿宋_GB2312" w:eastAsia="宋体" w:hAnsi="等线" w:cs="宋体"/>
          <w:szCs w:val="21"/>
          <w:u w:val="single"/>
        </w:rPr>
        <w:t xml:space="preserve">    </w:t>
      </w:r>
      <w:r>
        <w:rPr>
          <w:rFonts w:ascii="仿宋_GB2312" w:eastAsia="宋体" w:hAnsi="等线" w:cs="宋体" w:hint="eastAsia"/>
          <w:szCs w:val="21"/>
        </w:rPr>
        <w:t>（重要外包、一般外包）项目。</w:t>
      </w:r>
    </w:p>
    <w:p>
      <w:pPr>
        <w:numPr>
          <w:ilvl w:val="0"/>
          <w:numId w:val="21"/>
        </w:numPr>
        <w:spacing w:line="360" w:lineRule="auto"/>
        <w:ind w:firstLine="420"/>
        <w:jc w:val="left"/>
        <w:rPr>
          <w:rFonts w:ascii="宋体" w:eastAsia="宋体" w:hAnsi="宋体" w:cs="宋体"/>
          <w:szCs w:val="21"/>
        </w:rPr>
      </w:pPr>
      <w:r>
        <w:rPr>
          <w:rFonts w:ascii="宋体" w:eastAsia="宋体" w:hAnsi="宋体" w:cs="宋体" w:hint="eastAsia"/>
          <w:szCs w:val="21"/>
        </w:rPr>
        <w:t>技术目标：</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21"/>
        </w:numPr>
        <w:spacing w:line="360" w:lineRule="auto"/>
        <w:ind w:left="840" w:hanging="420"/>
        <w:jc w:val="left"/>
        <w:rPr>
          <w:rFonts w:ascii="宋体" w:eastAsia="宋体" w:hAnsi="宋体" w:cs="宋体"/>
          <w:szCs w:val="21"/>
        </w:rPr>
      </w:pPr>
      <w:r>
        <w:rPr>
          <w:rFonts w:ascii="宋体" w:eastAsia="宋体" w:hAnsi="宋体" w:cs="宋体" w:hint="eastAsia"/>
          <w:szCs w:val="21"/>
        </w:rPr>
        <w:t>技术内容：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（以招标文件及双方签字确认的补充文件为准</w:t>
      </w:r>
      <w:r>
        <w:rPr>
          <w:rFonts w:ascii="宋体" w:eastAsia="宋体" w:hAnsi="宋体" w:cs="宋体"/>
          <w:szCs w:val="21"/>
          <w:u w:val="single"/>
        </w:rPr>
        <w:t xml:space="preserve"> </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21"/>
        </w:numPr>
        <w:spacing w:line="360" w:lineRule="auto"/>
        <w:ind w:left="840" w:hanging="420"/>
        <w:jc w:val="left"/>
        <w:rPr>
          <w:rFonts w:ascii="宋体" w:eastAsia="宋体" w:hAnsi="宋体" w:cs="宋体"/>
          <w:szCs w:val="21"/>
        </w:rPr>
      </w:pPr>
      <w:r>
        <w:rPr>
          <w:rFonts w:ascii="宋体" w:eastAsia="宋体" w:hAnsi="宋体" w:cs="宋体" w:hint="eastAsia"/>
          <w:szCs w:val="21"/>
        </w:rPr>
        <w:t>技术方法和路线：</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21"/>
        </w:numPr>
        <w:spacing w:line="360" w:lineRule="auto"/>
        <w:ind w:left="840" w:hanging="420"/>
        <w:jc w:val="left"/>
        <w:rPr>
          <w:rFonts w:ascii="宋体" w:eastAsia="宋体" w:hAnsi="宋体" w:cs="宋体"/>
          <w:szCs w:val="21"/>
        </w:rPr>
      </w:pPr>
      <w:r>
        <w:rPr>
          <w:rFonts w:ascii="宋体" w:eastAsia="宋体" w:hAnsi="宋体" w:cs="宋体" w:hint="eastAsia"/>
          <w:szCs w:val="21"/>
        </w:rPr>
        <w:t>服务内容：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21"/>
        </w:numPr>
        <w:spacing w:line="360" w:lineRule="auto"/>
        <w:ind w:left="840" w:hanging="420"/>
        <w:jc w:val="left"/>
        <w:rPr>
          <w:rFonts w:ascii="宋体" w:eastAsia="宋体" w:hAnsi="宋体" w:cs="宋体"/>
          <w:szCs w:val="21"/>
        </w:rPr>
      </w:pPr>
      <w:r>
        <w:rPr>
          <w:rFonts w:ascii="宋体" w:eastAsia="宋体" w:hAnsi="宋体" w:cs="宋体" w:hint="eastAsia"/>
          <w:szCs w:val="21"/>
        </w:rPr>
        <w:t>服务要求：</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21"/>
        </w:numPr>
        <w:spacing w:line="360" w:lineRule="auto"/>
        <w:ind w:left="840" w:hanging="420"/>
        <w:rPr>
          <w:rFonts w:ascii="宋体" w:eastAsia="宋体" w:hAnsi="宋体" w:cs="宋体"/>
          <w:szCs w:val="21"/>
        </w:rPr>
      </w:pPr>
      <w:r>
        <w:rPr>
          <w:rFonts w:ascii="宋体" w:eastAsia="宋体" w:hAnsi="宋体" w:cs="宋体" w:hint="eastAsia"/>
          <w:szCs w:val="21"/>
        </w:rPr>
        <w:t>进度安排：</w:t>
      </w:r>
    </w:p>
    <w:p>
      <w:pPr>
        <w:ind w:firstLine="420" w:firstLineChars="200"/>
        <w:rPr>
          <w:rFonts w:ascii="宋体" w:eastAsia="宋体" w:hAnsi="宋体" w:cs="宋体"/>
          <w:szCs w:val="21"/>
        </w:rPr>
      </w:pPr>
      <w:r>
        <w:rPr>
          <w:rFonts w:ascii="宋体" w:eastAsia="宋体" w:hAnsi="宋体" w:cs="宋体" w:hint="eastAsia"/>
          <w:szCs w:val="21"/>
        </w:rPr>
        <w:t>乙方应按下列进度完成研究开发工作：</w:t>
      </w:r>
    </w:p>
    <w:p>
      <w:pPr>
        <w:numPr>
          <w:ilvl w:val="0"/>
          <w:numId w:val="2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软件开发周期为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个月，自本合同生效之日起算,</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日至</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完成；</w:t>
      </w:r>
    </w:p>
    <w:p>
      <w:pPr>
        <w:numPr>
          <w:ilvl w:val="0"/>
          <w:numId w:val="22"/>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项目详细进度表</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659"/>
        <w:gridCol w:w="63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1477" w:type="pct"/>
            <w:noWrap w:val="0"/>
            <w:vAlign w:val="center"/>
          </w:tcPr>
          <w:p>
            <w:pPr>
              <w:jc w:val="center"/>
              <w:rPr>
                <w:rFonts w:ascii="宋体" w:eastAsia="宋体" w:hAnsi="宋体" w:cs="宋体"/>
                <w:b/>
                <w:bCs/>
                <w:szCs w:val="21"/>
              </w:rPr>
            </w:pPr>
            <w:r>
              <w:rPr>
                <w:rFonts w:ascii="宋体" w:eastAsia="宋体" w:hAnsi="宋体" w:cs="宋体" w:hint="eastAsia"/>
                <w:b/>
                <w:bCs/>
                <w:szCs w:val="21"/>
              </w:rPr>
              <w:t>项目执行阶段</w:t>
            </w:r>
          </w:p>
        </w:tc>
        <w:tc>
          <w:tcPr>
            <w:tcW w:w="3523" w:type="pct"/>
            <w:noWrap w:val="0"/>
            <w:vAlign w:val="center"/>
          </w:tcPr>
          <w:p>
            <w:pPr>
              <w:jc w:val="center"/>
              <w:rPr>
                <w:rFonts w:ascii="宋体" w:eastAsia="宋体" w:hAnsi="宋体" w:cs="宋体"/>
                <w:b/>
                <w:bCs/>
                <w:szCs w:val="21"/>
              </w:rPr>
            </w:pPr>
            <w:r>
              <w:rPr>
                <w:rFonts w:ascii="宋体" w:eastAsia="宋体" w:hAnsi="宋体" w:cs="宋体" w:hint="eastAsia"/>
                <w:b/>
                <w:bCs/>
                <w:szCs w:val="21"/>
              </w:rPr>
              <w:t>项目执行时间</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研究开发计划</w:t>
            </w:r>
          </w:p>
        </w:tc>
        <w:tc>
          <w:tcPr>
            <w:tcW w:w="3523" w:type="pct"/>
            <w:noWrap w:val="0"/>
            <w:vAlign w:val="center"/>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 xml:space="preserve"> 初设方案</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 xml:space="preserve"> </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 xml:space="preserve"> </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安装、测试、培训</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软件试运行</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月</w:t>
            </w:r>
            <w:r>
              <w:rPr>
                <w:rFonts w:ascii="宋体" w:eastAsia="宋体" w:hAnsi="宋体" w:cs="宋体" w:hint="eastAsia"/>
                <w:szCs w:val="21"/>
              </w:rPr>
              <w:t xml:space="preserve"> </w:t>
            </w:r>
            <w:r>
              <w:rPr>
                <w:rFonts w:ascii="宋体" w:eastAsia="宋体" w:hAnsi="宋体" w:cs="宋体"/>
                <w:szCs w:val="21"/>
              </w:rPr>
              <w:t xml:space="preserve"> 日</w:t>
            </w:r>
            <w:r>
              <w:rPr>
                <w:rFonts w:ascii="宋体" w:eastAsia="宋体" w:hAnsi="宋体" w:cs="宋体" w:hint="eastAsia"/>
                <w:szCs w:val="21"/>
              </w:rPr>
              <w:t xml:space="preserve">至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Ind w:w="0" w:type="dxa"/>
          <w:tblCellMar>
            <w:top w:w="0" w:type="dxa"/>
            <w:left w:w="108" w:type="dxa"/>
            <w:bottom w:w="0" w:type="dxa"/>
            <w:right w:w="108" w:type="dxa"/>
          </w:tblCellMar>
        </w:tblPrEx>
        <w:tc>
          <w:tcPr>
            <w:tcW w:w="1477" w:type="pct"/>
            <w:noWrap w:val="0"/>
            <w:vAlign w:val="center"/>
          </w:tcPr>
          <w:p>
            <w:pPr>
              <w:jc w:val="center"/>
              <w:rPr>
                <w:rFonts w:ascii="宋体" w:eastAsia="宋体" w:hAnsi="宋体" w:cs="宋体"/>
                <w:szCs w:val="21"/>
              </w:rPr>
            </w:pPr>
            <w:r>
              <w:rPr>
                <w:rFonts w:ascii="宋体" w:eastAsia="宋体" w:hAnsi="宋体" w:cs="宋体" w:hint="eastAsia"/>
                <w:szCs w:val="21"/>
              </w:rPr>
              <w:t>项目验收</w:t>
            </w:r>
          </w:p>
        </w:tc>
        <w:tc>
          <w:tcPr>
            <w:tcW w:w="3523" w:type="pct"/>
            <w:noWrap w:val="0"/>
            <w:vAlign w:val="top"/>
          </w:tcPr>
          <w:p>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bl>
    <w:p>
      <w:pPr>
        <w:keepNext/>
        <w:keepLines/>
        <w:numPr>
          <w:ilvl w:val="0"/>
          <w:numId w:val="11"/>
        </w:numPr>
        <w:spacing w:before="60" w:after="60" w:line="360" w:lineRule="auto"/>
        <w:ind w:left="840" w:hanging="840"/>
        <w:outlineLvl w:val="1"/>
        <w:rPr>
          <w:rFonts w:ascii="宋体" w:eastAsia="宋体" w:hAnsi="宋体" w:cs="宋体"/>
          <w:b/>
          <w:bCs/>
          <w:szCs w:val="21"/>
        </w:rPr>
      </w:pPr>
      <w:bookmarkStart w:id="223" w:name="_Toc150439549"/>
      <w:r>
        <w:rPr>
          <w:rFonts w:ascii="宋体" w:eastAsia="宋体" w:hAnsi="宋体" w:cs="宋体" w:hint="eastAsia"/>
          <w:b/>
          <w:bCs/>
          <w:szCs w:val="21"/>
        </w:rPr>
        <w:t>乙方的权利与义务</w:t>
      </w:r>
      <w:bookmarkEnd w:id="223"/>
    </w:p>
    <w:p>
      <w:pPr>
        <w:numPr>
          <w:ilvl w:val="0"/>
          <w:numId w:val="23"/>
        </w:numPr>
        <w:spacing w:line="360" w:lineRule="auto"/>
        <w:ind w:firstLine="420" w:firstLineChars="200"/>
        <w:rPr>
          <w:rFonts w:ascii="宋体" w:eastAsia="宋体" w:hAnsi="宋体" w:cs="宋体"/>
          <w:szCs w:val="21"/>
        </w:rPr>
      </w:pPr>
      <w:r>
        <w:rPr>
          <w:rFonts w:ascii="宋体" w:eastAsia="宋体" w:hAnsi="宋体" w:cs="宋体" w:hint="eastAsia"/>
          <w:szCs w:val="21"/>
        </w:rPr>
        <w:t>为保证履行合同，乙方承诺以下事项：</w:t>
      </w:r>
    </w:p>
    <w:p>
      <w:pPr>
        <w:numPr>
          <w:ilvl w:val="0"/>
          <w:numId w:val="24"/>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组成XX人的开发团队，其中专职人员X人，X人具有XXX资质，X人具有软件开发经历，技术负责人还应具有XXX资质，项目经理还应具有XXX资质；兼职人员X人，X人具有XXX资质，X人具有软件开发经历；                                       </w:t>
      </w:r>
    </w:p>
    <w:p>
      <w:pPr>
        <w:numPr>
          <w:ilvl w:val="0"/>
          <w:numId w:val="24"/>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开发团队中X人需驻场开发，驻场地址为           ；                       </w:t>
      </w:r>
    </w:p>
    <w:p>
      <w:pPr>
        <w:numPr>
          <w:ilvl w:val="0"/>
          <w:numId w:val="24"/>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投入所必需的XXX等软硬件设施资源及XXX场地；                         </w:t>
      </w:r>
    </w:p>
    <w:p>
      <w:pPr>
        <w:numPr>
          <w:ilvl w:val="0"/>
          <w:numId w:val="24"/>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制定针对本项目的备份恢复措施和应急预案；                             </w:t>
      </w:r>
    </w:p>
    <w:p>
      <w:pPr>
        <w:numPr>
          <w:ilvl w:val="0"/>
          <w:numId w:val="24"/>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具有XXX等内控、保密和管理制度。                                     </w:t>
      </w:r>
    </w:p>
    <w:p>
      <w:pPr>
        <w:numPr>
          <w:ilvl w:val="0"/>
          <w:numId w:val="24"/>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23"/>
        </w:numPr>
        <w:spacing w:line="360" w:lineRule="auto"/>
        <w:ind w:firstLine="420" w:firstLineChars="200"/>
        <w:rPr>
          <w:rFonts w:ascii="宋体" w:eastAsia="宋体" w:hAnsi="宋体" w:cs="宋体"/>
          <w:szCs w:val="21"/>
        </w:rPr>
      </w:pPr>
      <w:r>
        <w:rPr>
          <w:rFonts w:ascii="宋体" w:eastAsia="宋体" w:hAnsi="宋体" w:cs="宋体" w:hint="eastAsia"/>
          <w:szCs w:val="21"/>
        </w:rPr>
        <w:t>对非驻场软件开发，乙方承诺以下事项：</w:t>
      </w:r>
    </w:p>
    <w:p>
      <w:pPr>
        <w:numPr>
          <w:ilvl w:val="0"/>
          <w:numId w:val="25"/>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用于本项目的设施、系统和数据与其他项目有明确、清晰的边界；            </w:t>
      </w:r>
    </w:p>
    <w:p>
      <w:pPr>
        <w:numPr>
          <w:ilvl w:val="0"/>
          <w:numId w:val="25"/>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对用于本项目的乙方服务器、存储、网络设备、操作系统、数据库、中间件等软硬件设施具有最高管理权限；                                                  </w:t>
      </w:r>
    </w:p>
    <w:p>
      <w:pPr>
        <w:numPr>
          <w:ilvl w:val="0"/>
          <w:numId w:val="25"/>
        </w:num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不存在规避监管的情形。                                                </w:t>
      </w:r>
    </w:p>
    <w:p>
      <w:pPr>
        <w:numPr>
          <w:ilvl w:val="0"/>
          <w:numId w:val="23"/>
        </w:numPr>
        <w:spacing w:line="360" w:lineRule="auto"/>
        <w:ind w:firstLine="420" w:firstLineChars="200"/>
        <w:rPr>
          <w:rFonts w:ascii="宋体" w:eastAsia="宋体" w:hAnsi="宋体" w:cs="宋体"/>
          <w:szCs w:val="21"/>
        </w:rPr>
      </w:pPr>
      <w:r>
        <w:rPr>
          <w:rFonts w:ascii="宋体" w:eastAsia="宋体" w:hAnsi="宋体" w:cs="宋体" w:hint="eastAsia"/>
          <w:szCs w:val="21"/>
        </w:rPr>
        <w:t>未经甲方</w:t>
      </w:r>
      <w:r>
        <w:rPr>
          <w:rFonts w:ascii="宋体" w:eastAsia="宋体" w:hAnsi="宋体" w:cs="宋体"/>
          <w:szCs w:val="21"/>
        </w:rPr>
        <w:t>事先书面同意</w:t>
      </w:r>
      <w:r>
        <w:rPr>
          <w:rFonts w:ascii="宋体" w:eastAsia="宋体" w:hAnsi="宋体" w:cs="宋体" w:hint="eastAsia"/>
          <w:szCs w:val="21"/>
        </w:rPr>
        <w:t>，</w:t>
      </w:r>
      <w:r>
        <w:rPr>
          <w:rFonts w:ascii="宋体" w:eastAsia="宋体" w:hAnsi="宋体" w:cs="宋体"/>
          <w:szCs w:val="21"/>
        </w:rPr>
        <w:t>乙方不得部分或全部转让其应履行的合同项下的义务</w:t>
      </w:r>
      <w:r>
        <w:rPr>
          <w:rFonts w:ascii="宋体" w:eastAsia="宋体" w:hAnsi="宋体" w:cs="宋体" w:hint="eastAsia"/>
          <w:szCs w:val="21"/>
        </w:rPr>
        <w:t>。</w:t>
      </w:r>
    </w:p>
    <w:p>
      <w:pPr>
        <w:numPr>
          <w:ilvl w:val="0"/>
          <w:numId w:val="2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乙方应在本合同生效后</w:t>
      </w:r>
      <w:r>
        <w:rPr>
          <w:rFonts w:ascii="宋体" w:eastAsia="宋体" w:hAnsi="宋体" w:cs="宋体" w:hint="eastAsia"/>
          <w:szCs w:val="21"/>
          <w:u w:val="single"/>
        </w:rPr>
        <w:t xml:space="preserve">    </w:t>
      </w:r>
      <w:r>
        <w:rPr>
          <w:rFonts w:ascii="宋体" w:eastAsia="宋体" w:hAnsi="宋体" w:cs="宋体" w:hint="eastAsia"/>
          <w:szCs w:val="21"/>
        </w:rPr>
        <w:t>个工作日内向甲方提交研究开发计划。研究开发计划应包括以下主要内容：</w:t>
      </w:r>
    </w:p>
    <w:p>
      <w:pPr>
        <w:numPr>
          <w:ilvl w:val="0"/>
          <w:numId w:val="26"/>
        </w:numPr>
        <w:spacing w:line="360" w:lineRule="auto"/>
        <w:ind w:hanging="5"/>
        <w:jc w:val="left"/>
        <w:rPr>
          <w:rFonts w:ascii="宋体" w:eastAsia="宋体" w:hAnsi="宋体" w:cs="宋体"/>
          <w:szCs w:val="21"/>
        </w:rPr>
      </w:pPr>
      <w:r>
        <w:rPr>
          <w:rFonts w:ascii="宋体" w:eastAsia="宋体" w:hAnsi="宋体" w:cs="宋体" w:hint="eastAsia"/>
          <w:szCs w:val="21"/>
        </w:rPr>
        <w:t>项目功能清单；</w:t>
      </w:r>
    </w:p>
    <w:p>
      <w:pPr>
        <w:numPr>
          <w:ilvl w:val="0"/>
          <w:numId w:val="26"/>
        </w:numPr>
        <w:spacing w:line="360" w:lineRule="auto"/>
        <w:ind w:hanging="5"/>
        <w:jc w:val="left"/>
        <w:rPr>
          <w:rFonts w:ascii="宋体" w:eastAsia="宋体" w:hAnsi="宋体" w:cs="宋体"/>
          <w:szCs w:val="21"/>
        </w:rPr>
      </w:pPr>
      <w:r>
        <w:rPr>
          <w:rFonts w:ascii="宋体" w:eastAsia="宋体" w:hAnsi="宋体" w:cs="宋体" w:hint="eastAsia"/>
          <w:szCs w:val="21"/>
        </w:rPr>
        <w:t>项目实施方案。</w:t>
      </w:r>
    </w:p>
    <w:p>
      <w:pPr>
        <w:numPr>
          <w:ilvl w:val="0"/>
          <w:numId w:val="23"/>
        </w:num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乙方在软件开发实施中，应在招标文件范围内，根据甲方需求持续改进，直到最终用户确认满意。</w:t>
      </w:r>
    </w:p>
    <w:p>
      <w:pPr>
        <w:numPr>
          <w:ilvl w:val="0"/>
          <w:numId w:val="27"/>
        </w:numPr>
        <w:spacing w:line="360" w:lineRule="auto"/>
        <w:ind w:firstLine="420"/>
        <w:jc w:val="left"/>
        <w:rPr>
          <w:rFonts w:ascii="宋体" w:eastAsia="宋体" w:hAnsi="宋体" w:cs="宋体"/>
          <w:szCs w:val="21"/>
        </w:rPr>
      </w:pPr>
      <w:r>
        <w:rPr>
          <w:rFonts w:ascii="宋体" w:eastAsia="宋体" w:hAnsi="宋体" w:cs="宋体" w:hint="eastAsia"/>
          <w:szCs w:val="21"/>
        </w:rPr>
        <w:t>乙方必须对甲方的需求进行充分详细的调研，及时整理需求调研记录，请甲方签字确认，并据此开发软件系统原型。甲方可以随时补充或更正需求的细节，乙方应及时满足。</w:t>
      </w:r>
    </w:p>
    <w:p>
      <w:pPr>
        <w:numPr>
          <w:ilvl w:val="0"/>
          <w:numId w:val="27"/>
        </w:numPr>
        <w:spacing w:line="360" w:lineRule="auto"/>
        <w:ind w:firstLine="420"/>
        <w:jc w:val="left"/>
        <w:rPr>
          <w:rFonts w:ascii="宋体" w:eastAsia="宋体" w:hAnsi="宋体" w:cs="宋体"/>
          <w:szCs w:val="21"/>
        </w:rPr>
      </w:pPr>
      <w:r>
        <w:rPr>
          <w:rFonts w:ascii="宋体" w:eastAsia="宋体" w:hAnsi="宋体" w:cs="宋体" w:hint="eastAsia"/>
          <w:szCs w:val="21"/>
        </w:rPr>
        <w:t>乙方在需求分析的基础上，根据本系统的功能、性能和使用目标，按照进度完成软件的详细设计方案。在实际执行过程中出现任何与乙方设计相关的技术问题或技术调整，由乙方负责解决。</w:t>
      </w:r>
    </w:p>
    <w:p>
      <w:pPr>
        <w:numPr>
          <w:ilvl w:val="0"/>
          <w:numId w:val="27"/>
        </w:numPr>
        <w:spacing w:line="360" w:lineRule="auto"/>
        <w:ind w:firstLine="420"/>
        <w:jc w:val="left"/>
        <w:rPr>
          <w:rFonts w:ascii="宋体" w:eastAsia="宋体" w:hAnsi="宋体" w:cs="宋体"/>
          <w:szCs w:val="21"/>
        </w:rPr>
      </w:pPr>
      <w:r>
        <w:rPr>
          <w:rFonts w:ascii="宋体" w:eastAsia="宋体" w:hAnsi="宋体" w:cs="宋体" w:hint="eastAsia"/>
          <w:szCs w:val="21"/>
        </w:rPr>
        <w:t>甲方对详细设计方案的认可，并不代表对据此开发出的应用系统的认可。甲方在正式试用了本项目开发的软件后，可根据实际情况提出具体改进意见。</w:t>
      </w:r>
    </w:p>
    <w:p>
      <w:pPr>
        <w:numPr>
          <w:ilvl w:val="0"/>
          <w:numId w:val="23"/>
        </w:numPr>
        <w:spacing w:line="360" w:lineRule="auto"/>
        <w:ind w:firstLine="420" w:firstLineChars="200"/>
        <w:rPr>
          <w:rFonts w:ascii="宋体" w:eastAsia="宋体" w:hAnsi="宋体" w:cs="宋体"/>
          <w:szCs w:val="21"/>
        </w:rPr>
      </w:pPr>
      <w:r>
        <w:rPr>
          <w:rFonts w:ascii="宋体" w:eastAsia="宋体" w:hAnsi="宋体" w:cs="宋体" w:hint="eastAsia"/>
          <w:szCs w:val="21"/>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rFonts w:ascii="宋体" w:eastAsia="宋体" w:hAnsi="宋体" w:cs="宋体"/>
          <w:szCs w:val="21"/>
        </w:rPr>
        <w:t>乙方承担所有责任。</w:t>
      </w:r>
    </w:p>
    <w:p>
      <w:pPr>
        <w:numPr>
          <w:ilvl w:val="0"/>
          <w:numId w:val="23"/>
        </w:numPr>
        <w:spacing w:line="360" w:lineRule="auto"/>
        <w:ind w:firstLine="420" w:firstLineChars="200"/>
        <w:rPr>
          <w:rFonts w:ascii="宋体" w:eastAsia="宋体" w:hAnsi="宋体" w:cs="宋体"/>
          <w:szCs w:val="21"/>
        </w:rPr>
      </w:pPr>
      <w:r>
        <w:rPr>
          <w:rFonts w:ascii="宋体" w:eastAsia="宋体" w:hAnsi="宋体" w:cs="宋体" w:hint="eastAsia"/>
          <w:szCs w:val="21"/>
        </w:rPr>
        <w:t>乙方承诺接受甲方对本项目执行工作的监督、检查和评价。</w:t>
      </w:r>
    </w:p>
    <w:p>
      <w:pPr>
        <w:numPr>
          <w:ilvl w:val="0"/>
          <w:numId w:val="23"/>
        </w:numPr>
        <w:spacing w:line="360" w:lineRule="auto"/>
        <w:ind w:firstLine="420" w:firstLineChars="200"/>
        <w:rPr>
          <w:rFonts w:ascii="宋体" w:eastAsia="宋体" w:hAnsi="宋体" w:cs="Times New Roman"/>
          <w:szCs w:val="21"/>
        </w:rPr>
      </w:pPr>
      <w:r>
        <w:rPr>
          <w:rFonts w:ascii="宋体" w:eastAsia="宋体" w:hAnsi="宋体" w:cs="宋体" w:hint="eastAsia"/>
          <w:szCs w:val="21"/>
        </w:rPr>
        <w:t>乙方须选派参与软件建设的人员为甲方提供技术培训，培训内容</w:t>
      </w:r>
      <w:r>
        <w:rPr>
          <w:rFonts w:ascii="宋体" w:eastAsia="宋体" w:hAnsi="宋体" w:cs="Times New Roman"/>
          <w:szCs w:val="21"/>
        </w:rPr>
        <w:t>包括</w:t>
      </w:r>
      <w:r>
        <w:rPr>
          <w:rFonts w:ascii="宋体" w:eastAsia="宋体" w:hAnsi="宋体" w:cs="Times New Roman" w:hint="eastAsia"/>
          <w:szCs w:val="21"/>
        </w:rPr>
        <w:t>但不限于</w:t>
      </w:r>
      <w:r>
        <w:rPr>
          <w:rFonts w:ascii="宋体" w:eastAsia="宋体" w:hAnsi="宋体" w:cs="Times New Roman"/>
          <w:szCs w:val="21"/>
        </w:rPr>
        <w:t>系统的工作原理、使用操作、保养维修技术等，使受训人员达到独立使用、熟练操</w:t>
      </w:r>
      <w:r>
        <w:rPr>
          <w:rFonts w:ascii="宋体" w:eastAsia="宋体" w:hAnsi="宋体" w:cs="宋体"/>
          <w:spacing w:val="5"/>
          <w:szCs w:val="21"/>
        </w:rPr>
        <w:t>作的程度。</w:t>
      </w:r>
    </w:p>
    <w:p>
      <w:pPr>
        <w:numPr>
          <w:ilvl w:val="0"/>
          <w:numId w:val="23"/>
        </w:numPr>
        <w:spacing w:line="360" w:lineRule="auto"/>
        <w:ind w:firstLine="420" w:firstLineChars="200"/>
        <w:rPr>
          <w:rFonts w:ascii="宋体" w:eastAsia="宋体" w:hAnsi="宋体" w:cs="宋体"/>
          <w:szCs w:val="21"/>
        </w:rPr>
      </w:pPr>
      <w:r>
        <w:rPr>
          <w:rFonts w:ascii="宋体" w:eastAsia="宋体" w:hAnsi="宋体" w:cs="宋体"/>
          <w:szCs w:val="21"/>
        </w:rPr>
        <w:t>乙方交付甲方的研发成果不侵犯任何第三方的合法权益，如有发生，乙方承担所有责任</w:t>
      </w:r>
      <w:r>
        <w:rPr>
          <w:rFonts w:ascii="宋体" w:eastAsia="宋体" w:hAnsi="宋体" w:cs="宋体" w:hint="eastAsia"/>
          <w:szCs w:val="21"/>
        </w:rPr>
        <w:t>，并向甲方承担违约责任</w:t>
      </w:r>
      <w:r>
        <w:rPr>
          <w:rFonts w:ascii="宋体" w:eastAsia="宋体" w:hAnsi="宋体" w:cs="宋体"/>
          <w:szCs w:val="21"/>
        </w:rPr>
        <w:t>。</w:t>
      </w:r>
      <w:r>
        <w:rPr>
          <w:rFonts w:ascii="宋体" w:eastAsia="宋体" w:hAnsi="宋体" w:cs="宋体" w:hint="eastAsia"/>
          <w:szCs w:val="21"/>
        </w:rPr>
        <w:t>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p>
    <w:p>
      <w:pPr>
        <w:numPr>
          <w:ilvl w:val="0"/>
          <w:numId w:val="23"/>
        </w:numPr>
        <w:spacing w:line="360" w:lineRule="auto"/>
        <w:ind w:firstLine="420" w:firstLineChars="200"/>
        <w:rPr>
          <w:rFonts w:ascii="宋体" w:eastAsia="宋体" w:hAnsi="宋体" w:cs="宋体"/>
          <w:szCs w:val="21"/>
        </w:rPr>
      </w:pPr>
      <w:r>
        <w:rPr>
          <w:rFonts w:ascii="宋体" w:eastAsia="宋体" w:hAnsi="宋体" w:cs="宋体" w:hint="eastAsia"/>
          <w:szCs w:val="21"/>
        </w:rPr>
        <w:t>乙方必须遵守国家法律法规及气象部门管理制度的要求。乙方在本项目执行过程中如接触到气象数据，应遵守</w:t>
      </w:r>
      <w:r>
        <w:rPr>
          <w:rFonts w:ascii="宋体" w:eastAsia="宋体" w:hAnsi="宋体" w:cs="宋体"/>
          <w:szCs w:val="21"/>
        </w:rPr>
        <w:t>气象数据安全相关管理制度，不得将所获取的气象数据以转发、转让、出售等方式对外披露，或用于本项目以外的其他用途。</w:t>
      </w:r>
    </w:p>
    <w:p>
      <w:pPr>
        <w:numPr>
          <w:ilvl w:val="0"/>
          <w:numId w:val="23"/>
        </w:numPr>
        <w:spacing w:line="360" w:lineRule="auto"/>
        <w:ind w:firstLine="420" w:firstLineChars="200"/>
        <w:rPr>
          <w:rFonts w:ascii="宋体" w:eastAsia="宋体" w:hAnsi="宋体" w:cs="宋体"/>
          <w:szCs w:val="21"/>
        </w:rPr>
      </w:pPr>
      <w:r>
        <w:rPr>
          <w:rFonts w:ascii="宋体" w:eastAsia="宋体" w:hAnsi="宋体" w:cs="宋体" w:hint="eastAsia"/>
          <w:szCs w:val="21"/>
        </w:rPr>
        <w:t>乙方在履行合同过程中，不得擅自调整项目经理、技术负责人和软件开发人员。如出现相关人员离职、调动、生病等特殊情况，乙方应通知甲方，并与甲方协商一致后重新委派。重新委派的人员能力、资质、软件开发经历等应与原人员相当。如甲方认为需要调整项目经理、技术负责人和软件开发人员的，应与乙方协商一致后调整。</w:t>
      </w:r>
    </w:p>
    <w:p>
      <w:pPr>
        <w:keepNext/>
        <w:keepLines/>
        <w:numPr>
          <w:ilvl w:val="0"/>
          <w:numId w:val="11"/>
        </w:numPr>
        <w:spacing w:before="60" w:after="60" w:line="360" w:lineRule="auto"/>
        <w:ind w:left="0" w:firstLine="420" w:firstLineChars="200"/>
        <w:outlineLvl w:val="1"/>
        <w:rPr>
          <w:rFonts w:ascii="宋体" w:eastAsia="宋体" w:hAnsi="宋体" w:cs="宋体"/>
          <w:b/>
          <w:bCs/>
          <w:szCs w:val="21"/>
        </w:rPr>
      </w:pPr>
      <w:bookmarkStart w:id="224" w:name="_Toc150439565"/>
      <w:r>
        <w:rPr>
          <w:rFonts w:ascii="宋体" w:eastAsia="宋体" w:hAnsi="宋体" w:cs="宋体" w:hint="eastAsia"/>
          <w:b/>
          <w:bCs/>
          <w:szCs w:val="21"/>
        </w:rPr>
        <w:t>甲方</w:t>
      </w:r>
      <w:r>
        <w:rPr>
          <w:rFonts w:ascii="宋体" w:eastAsia="宋体" w:hAnsi="宋体" w:cs="宋体"/>
          <w:b/>
          <w:bCs/>
          <w:szCs w:val="21"/>
        </w:rPr>
        <w:t>的权利与义务</w:t>
      </w:r>
      <w:bookmarkEnd w:id="224"/>
    </w:p>
    <w:p>
      <w:pPr>
        <w:numPr>
          <w:ilvl w:val="0"/>
          <w:numId w:val="28"/>
        </w:numPr>
        <w:spacing w:line="360" w:lineRule="auto"/>
        <w:ind w:firstLine="420" w:firstLineChars="200"/>
        <w:rPr>
          <w:rFonts w:ascii="宋体" w:eastAsia="宋体" w:hAnsi="宋体" w:cs="宋体"/>
          <w:szCs w:val="21"/>
        </w:rPr>
      </w:pPr>
      <w:r>
        <w:rPr>
          <w:rFonts w:ascii="宋体" w:eastAsia="宋体" w:hAnsi="宋体" w:cs="宋体"/>
          <w:spacing w:val="7"/>
          <w:szCs w:val="21"/>
        </w:rPr>
        <w:t>提供基础资料数据（现有的资料和数据）</w:t>
      </w:r>
      <w:r>
        <w:rPr>
          <w:rFonts w:ascii="宋体" w:eastAsia="宋体" w:hAnsi="宋体" w:cs="宋体" w:hint="eastAsia"/>
          <w:szCs w:val="21"/>
        </w:rPr>
        <w:t>，及协作事项如下：</w:t>
      </w:r>
    </w:p>
    <w:p>
      <w:pPr>
        <w:numPr>
          <w:ilvl w:val="0"/>
          <w:numId w:val="29"/>
        </w:numPr>
        <w:tabs>
          <w:tab w:val="left" w:pos="540"/>
        </w:tabs>
        <w:spacing w:line="360" w:lineRule="auto"/>
        <w:ind w:hanging="5"/>
        <w:rPr>
          <w:rFonts w:ascii="宋体" w:eastAsia="宋体" w:hAnsi="宋体" w:cs="宋体"/>
          <w:szCs w:val="21"/>
          <w:u w:val="single"/>
        </w:rPr>
      </w:pPr>
      <w:r>
        <w:rPr>
          <w:rFonts w:ascii="宋体" w:eastAsia="宋体" w:hAnsi="宋体" w:cs="宋体" w:hint="eastAsia"/>
          <w:szCs w:val="21"/>
        </w:rPr>
        <w:t>技术资料清单：</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29"/>
        </w:numPr>
        <w:spacing w:line="360" w:lineRule="auto"/>
        <w:ind w:hanging="5"/>
        <w:rPr>
          <w:rFonts w:ascii="宋体" w:eastAsia="宋体" w:hAnsi="宋体" w:cs="宋体"/>
          <w:szCs w:val="21"/>
        </w:rPr>
      </w:pPr>
      <w:r>
        <w:rPr>
          <w:rFonts w:ascii="宋体" w:eastAsia="宋体" w:hAnsi="宋体" w:cs="宋体" w:hint="eastAsia"/>
          <w:szCs w:val="21"/>
        </w:rPr>
        <w:t>提供时间和方式：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29"/>
        </w:numPr>
        <w:spacing w:line="360" w:lineRule="auto"/>
        <w:ind w:hanging="5"/>
        <w:rPr>
          <w:rFonts w:ascii="宋体" w:eastAsia="宋体" w:hAnsi="宋体" w:cs="宋体"/>
          <w:szCs w:val="21"/>
          <w:u w:val="single"/>
        </w:rPr>
      </w:pPr>
      <w:r>
        <w:rPr>
          <w:rFonts w:ascii="宋体" w:eastAsia="宋体" w:hAnsi="宋体" w:cs="宋体" w:hint="eastAsia"/>
          <w:szCs w:val="21"/>
        </w:rPr>
        <w:t>其他协作事项：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ind w:firstLine="420" w:firstLineChars="200"/>
        <w:rPr>
          <w:rFonts w:ascii="宋体" w:eastAsia="宋体" w:hAnsi="宋体" w:cs="宋体"/>
          <w:szCs w:val="21"/>
          <w:u w:val="single"/>
        </w:rPr>
      </w:pPr>
      <w:r>
        <w:rPr>
          <w:rFonts w:ascii="宋体" w:eastAsia="宋体" w:hAnsi="宋体" w:cs="宋体" w:hint="eastAsia"/>
          <w:szCs w:val="21"/>
        </w:rPr>
        <w:t>本合同履行完毕后，上述技术资料按以下方式处理：</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numPr>
          <w:ilvl w:val="0"/>
          <w:numId w:val="28"/>
        </w:numPr>
        <w:spacing w:line="360" w:lineRule="auto"/>
        <w:ind w:firstLine="420" w:firstLineChars="200"/>
        <w:rPr>
          <w:rFonts w:ascii="宋体" w:eastAsia="宋体" w:hAnsi="宋体" w:cs="宋体"/>
          <w:spacing w:val="7"/>
          <w:szCs w:val="21"/>
        </w:rPr>
      </w:pPr>
      <w:r>
        <w:rPr>
          <w:rFonts w:ascii="宋体" w:eastAsia="宋体" w:hAnsi="宋体" w:cs="宋体" w:hint="eastAsia"/>
          <w:spacing w:val="7"/>
          <w:szCs w:val="21"/>
        </w:rPr>
        <w:t>对于满足合同约定支付条件的，甲方应当按照合同约定期限将资金支付到合同约定的乙方账户，不得将采购文件和合同中未规定的义务作为向乙方付款的条件。</w:t>
      </w:r>
    </w:p>
    <w:p>
      <w:pPr>
        <w:numPr>
          <w:ilvl w:val="0"/>
          <w:numId w:val="28"/>
        </w:numPr>
        <w:spacing w:line="360" w:lineRule="auto"/>
        <w:ind w:firstLine="420" w:firstLineChars="200"/>
        <w:rPr>
          <w:rFonts w:ascii="宋体" w:eastAsia="宋体" w:hAnsi="宋体" w:cs="宋体"/>
          <w:szCs w:val="21"/>
        </w:rPr>
      </w:pPr>
      <w:r>
        <w:rPr>
          <w:rFonts w:ascii="宋体" w:eastAsia="宋体" w:hAnsi="宋体" w:cs="宋体" w:hint="eastAsia"/>
          <w:spacing w:val="7"/>
          <w:szCs w:val="21"/>
        </w:rPr>
        <w:t>本合同的研究开发经费由乙方以研发支出的方式使用。甲方对乙方进行研究开发工作和使用研究开发经费的情况具有监督、检查和评价的权利，有权要求乙方向甲方定期汇报，但不得妨碍乙方的正常工作。</w:t>
      </w:r>
    </w:p>
    <w:p>
      <w:pPr>
        <w:numPr>
          <w:ilvl w:val="0"/>
          <w:numId w:val="28"/>
        </w:numPr>
        <w:spacing w:line="360" w:lineRule="auto"/>
        <w:ind w:firstLine="420" w:firstLineChars="200"/>
        <w:rPr>
          <w:rFonts w:ascii="宋体" w:eastAsia="宋体" w:hAnsi="宋体" w:cs="宋体"/>
          <w:spacing w:val="7"/>
          <w:szCs w:val="21"/>
        </w:rPr>
      </w:pPr>
      <w:r>
        <w:rPr>
          <w:rFonts w:ascii="宋体" w:eastAsia="宋体" w:hAnsi="宋体" w:cs="宋体" w:hint="eastAsia"/>
          <w:szCs w:val="21"/>
        </w:rPr>
        <w:t>甲方必须遵守国家法律法规及气象部门管理制度的要求。</w:t>
      </w:r>
    </w:p>
    <w:p>
      <w:pPr>
        <w:keepNext/>
        <w:keepLines/>
        <w:numPr>
          <w:ilvl w:val="0"/>
          <w:numId w:val="11"/>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知识产权归属</w:t>
      </w:r>
    </w:p>
    <w:p>
      <w:pPr>
        <w:numPr>
          <w:ilvl w:val="0"/>
          <w:numId w:val="30"/>
        </w:numPr>
        <w:spacing w:line="360" w:lineRule="auto"/>
        <w:ind w:firstLine="420" w:firstLineChars="200"/>
        <w:rPr>
          <w:rFonts w:ascii="宋体" w:eastAsia="宋体" w:hAnsi="宋体" w:cs="宋体"/>
          <w:szCs w:val="21"/>
        </w:rPr>
      </w:pPr>
      <w:r>
        <w:rPr>
          <w:rFonts w:ascii="宋体" w:eastAsia="宋体" w:hAnsi="宋体" w:cs="宋体"/>
          <w:szCs w:val="21"/>
        </w:rPr>
        <w:t>因履行本合同所产生的研究开发成果（包括阶段性成果和总成果，包括但不限于软件源代码、可执行文件及相关开发文档资料）的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pPr>
        <w:numPr>
          <w:ilvl w:val="0"/>
          <w:numId w:val="30"/>
        </w:numPr>
        <w:spacing w:line="360" w:lineRule="auto"/>
        <w:ind w:firstLine="420" w:firstLineChars="200"/>
        <w:rPr>
          <w:rFonts w:ascii="宋体" w:eastAsia="宋体" w:hAnsi="宋体" w:cs="宋体"/>
          <w:szCs w:val="21"/>
        </w:rPr>
      </w:pPr>
      <w:r>
        <w:rPr>
          <w:rFonts w:ascii="宋体" w:eastAsia="宋体" w:hAnsi="宋体" w:cs="宋体"/>
          <w:szCs w:val="21"/>
        </w:rPr>
        <w:t>甲方有权利用乙方按照本合同约定提供的研究开发成果，进行后续改进。由此产生的具有实质性或创造性技术进步特征的新的技术成果及其权属，由甲方享有。</w:t>
      </w:r>
    </w:p>
    <w:p>
      <w:pPr>
        <w:numPr>
          <w:ilvl w:val="0"/>
          <w:numId w:val="30"/>
        </w:numPr>
        <w:spacing w:line="360" w:lineRule="auto"/>
        <w:ind w:firstLine="420" w:firstLineChars="200"/>
        <w:rPr>
          <w:rFonts w:ascii="宋体" w:eastAsia="宋体" w:hAnsi="宋体" w:cs="宋体"/>
          <w:szCs w:val="21"/>
        </w:rPr>
      </w:pPr>
      <w:r>
        <w:rPr>
          <w:rFonts w:ascii="宋体" w:eastAsia="宋体" w:hAnsi="宋体" w:cs="宋体"/>
          <w:szCs w:val="21"/>
        </w:rPr>
        <w:t>平台运行采集、收集、分析的所有数据都归甲方所有，以上数据仅限于本项目使用，如由于乙方原因发生数据丢失、泄露，由乙方承担事故责任。</w:t>
      </w:r>
    </w:p>
    <w:p>
      <w:pPr>
        <w:numPr>
          <w:ilvl w:val="0"/>
          <w:numId w:val="30"/>
        </w:numPr>
        <w:spacing w:line="360" w:lineRule="auto"/>
        <w:ind w:firstLine="420" w:firstLineChars="200"/>
        <w:rPr>
          <w:rFonts w:ascii="宋体" w:eastAsia="宋体" w:hAnsi="宋体" w:cs="宋体"/>
          <w:szCs w:val="21"/>
        </w:rPr>
      </w:pPr>
      <w:r>
        <w:rPr>
          <w:rFonts w:ascii="宋体" w:eastAsia="宋体" w:hAnsi="宋体" w:cs="宋体"/>
          <w:szCs w:val="21"/>
        </w:rPr>
        <w:t>乙方利用研究开发经费所购置与研究开发工作有关的设备、器材、资料等财产，归甲方所有。</w:t>
      </w:r>
    </w:p>
    <w:p>
      <w:pPr>
        <w:numPr>
          <w:ilvl w:val="0"/>
          <w:numId w:val="30"/>
        </w:numPr>
        <w:spacing w:line="360" w:lineRule="auto"/>
        <w:ind w:firstLine="420" w:firstLineChars="200"/>
        <w:rPr>
          <w:rFonts w:ascii="宋体" w:eastAsia="宋体" w:hAnsi="宋体" w:cs="宋体"/>
          <w:szCs w:val="21"/>
        </w:rPr>
      </w:pPr>
      <w:r>
        <w:rPr>
          <w:rFonts w:ascii="宋体" w:eastAsia="宋体" w:hAnsi="宋体" w:cs="宋体"/>
          <w:szCs w:val="21"/>
        </w:rPr>
        <w:t>乙方违反上述规定的，应承担相应的违约责任并及时采取补救措施。因乙方违约行为给甲方造成经济损失的（包括但不限于给对方造成名誉信誉或物质利益的损失），应赔偿甲方全部经济损失。</w:t>
      </w:r>
    </w:p>
    <w:p>
      <w:pPr>
        <w:keepNext/>
        <w:keepLines/>
        <w:numPr>
          <w:ilvl w:val="0"/>
          <w:numId w:val="11"/>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项目联系人及相关约定</w:t>
      </w:r>
    </w:p>
    <w:p>
      <w:pPr>
        <w:numPr>
          <w:ilvl w:val="0"/>
          <w:numId w:val="31"/>
        </w:numPr>
        <w:spacing w:line="360" w:lineRule="auto"/>
        <w:ind w:firstLine="420" w:firstLineChars="200"/>
        <w:rPr>
          <w:rFonts w:ascii="宋体" w:eastAsia="宋体" w:hAnsi="宋体" w:cs="宋体"/>
          <w:szCs w:val="21"/>
        </w:rPr>
      </w:pPr>
      <w:r>
        <w:rPr>
          <w:rFonts w:ascii="宋体" w:eastAsia="宋体" w:hAnsi="宋体" w:cs="宋体" w:hint="eastAsia"/>
          <w:szCs w:val="21"/>
        </w:rPr>
        <w:t>联系人及职责</w:t>
      </w:r>
    </w:p>
    <w:p>
      <w:pPr>
        <w:ind w:left="420"/>
        <w:rPr>
          <w:rFonts w:ascii="宋体" w:eastAsia="宋体" w:hAnsi="宋体" w:cs="宋体"/>
          <w:szCs w:val="21"/>
        </w:rPr>
      </w:pPr>
      <w:r>
        <w:rPr>
          <w:rFonts w:ascii="宋体" w:eastAsia="宋体" w:hAnsi="宋体" w:cs="宋体"/>
          <w:szCs w:val="21"/>
        </w:rPr>
        <w:t>双方确定，在本合同有效期内，甲方指定</w:t>
      </w:r>
      <w:r>
        <w:rPr>
          <w:rFonts w:ascii="宋体" w:eastAsia="宋体" w:hAnsi="宋体" w:cs="宋体"/>
          <w:szCs w:val="21"/>
          <w:u w:val="single"/>
        </w:rPr>
        <w:t xml:space="preserve">    </w:t>
      </w:r>
      <w:r>
        <w:rPr>
          <w:rFonts w:ascii="宋体" w:eastAsia="宋体" w:hAnsi="宋体" w:cs="宋体"/>
          <w:szCs w:val="21"/>
        </w:rPr>
        <w:t>为甲方项目联系人，乙方指定</w:t>
      </w:r>
      <w:r>
        <w:rPr>
          <w:rFonts w:ascii="宋体" w:eastAsia="宋体" w:hAnsi="宋体" w:cs="宋体"/>
          <w:szCs w:val="21"/>
          <w:u w:val="single"/>
        </w:rPr>
        <w:t xml:space="preserve">     </w:t>
      </w:r>
    </w:p>
    <w:p>
      <w:pPr>
        <w:rPr>
          <w:rFonts w:ascii="宋体" w:eastAsia="宋体" w:hAnsi="宋体" w:cs="宋体"/>
          <w:szCs w:val="21"/>
        </w:rPr>
      </w:pPr>
      <w:r>
        <w:rPr>
          <w:rFonts w:ascii="宋体" w:eastAsia="宋体" w:hAnsi="宋体" w:cs="宋体" w:hint="eastAsia"/>
          <w:szCs w:val="21"/>
        </w:rPr>
        <w:t>为乙方项目联系人。项目联系人承担以下责任：</w:t>
      </w:r>
      <w:r>
        <w:rPr>
          <w:rFonts w:ascii="宋体" w:eastAsia="宋体" w:hAnsi="宋体" w:cs="宋体"/>
          <w:szCs w:val="21"/>
        </w:rPr>
        <w:t xml:space="preserve"> </w:t>
      </w:r>
    </w:p>
    <w:p>
      <w:pPr>
        <w:numPr>
          <w:ilvl w:val="0"/>
          <w:numId w:val="32"/>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32"/>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 </w:t>
      </w:r>
    </w:p>
    <w:p>
      <w:pPr>
        <w:numPr>
          <w:ilvl w:val="0"/>
          <w:numId w:val="32"/>
        </w:numPr>
        <w:spacing w:line="360" w:lineRule="auto"/>
        <w:ind w:hanging="5"/>
        <w:rPr>
          <w:rFonts w:ascii="宋体" w:eastAsia="宋体" w:hAnsi="宋体" w:cs="宋体"/>
          <w:szCs w:val="21"/>
          <w:u w:val="single"/>
        </w:rPr>
      </w:pPr>
      <w:r>
        <w:rPr>
          <w:rFonts w:ascii="宋体" w:eastAsia="宋体" w:hAnsi="宋体" w:cs="宋体" w:hint="eastAsia"/>
          <w:szCs w:val="21"/>
          <w:u w:val="single"/>
        </w:rPr>
        <w:t xml:space="preserve">                                                               ；</w:t>
      </w:r>
    </w:p>
    <w:p>
      <w:pPr>
        <w:numPr>
          <w:ilvl w:val="0"/>
          <w:numId w:val="32"/>
        </w:numPr>
        <w:spacing w:line="360" w:lineRule="auto"/>
        <w:ind w:hanging="5"/>
        <w:rPr>
          <w:rFonts w:ascii="宋体" w:eastAsia="宋体" w:hAnsi="宋体" w:cs="宋体"/>
          <w:szCs w:val="21"/>
          <w:u w:val="single"/>
        </w:rPr>
      </w:pPr>
      <w:r>
        <w:rPr>
          <w:rFonts w:ascii="Arial" w:eastAsia="宋体" w:hAnsi="Arial" w:cs="Arial" w:hint="eastAsia"/>
          <w:szCs w:val="21"/>
          <w:u w:val="single"/>
        </w:rPr>
        <w:t xml:space="preserve">                                                                 </w:t>
      </w:r>
    </w:p>
    <w:p>
      <w:pPr>
        <w:numPr>
          <w:ilvl w:val="0"/>
          <w:numId w:val="31"/>
        </w:numPr>
        <w:spacing w:line="360" w:lineRule="auto"/>
        <w:ind w:firstLine="420" w:firstLineChars="200"/>
        <w:rPr>
          <w:rFonts w:ascii="宋体" w:eastAsia="宋体" w:hAnsi="宋体" w:cs="宋体"/>
          <w:szCs w:val="21"/>
        </w:rPr>
      </w:pPr>
      <w:r>
        <w:rPr>
          <w:rFonts w:ascii="宋体" w:eastAsia="宋体" w:hAnsi="宋体" w:cs="宋体" w:hint="eastAsia"/>
          <w:szCs w:val="21"/>
        </w:rPr>
        <w:t>联系人变更约定</w:t>
      </w:r>
    </w:p>
    <w:p>
      <w:pPr>
        <w:numPr>
          <w:ilvl w:val="0"/>
          <w:numId w:val="33"/>
        </w:numPr>
        <w:spacing w:line="360" w:lineRule="auto"/>
        <w:ind w:left="5" w:firstLine="415"/>
        <w:rPr>
          <w:rFonts w:ascii="宋体" w:eastAsia="宋体" w:hAnsi="宋体" w:cs="宋体"/>
          <w:szCs w:val="21"/>
        </w:rPr>
      </w:pPr>
      <w:r>
        <w:rPr>
          <w:rFonts w:ascii="宋体" w:eastAsia="宋体" w:hAnsi="宋体" w:cs="宋体"/>
          <w:szCs w:val="21"/>
        </w:rPr>
        <w:t>一方变更项目联系人的，应当及时以书面形式通知另一方。未及时通知并影响本合同履行或造成损失的，应承担相应的责任。</w:t>
      </w:r>
    </w:p>
    <w:p>
      <w:pPr>
        <w:numPr>
          <w:ilvl w:val="0"/>
          <w:numId w:val="33"/>
        </w:numPr>
        <w:spacing w:line="360" w:lineRule="auto"/>
        <w:ind w:left="5" w:firstLine="415"/>
        <w:rPr>
          <w:rFonts w:ascii="宋体" w:eastAsia="宋体" w:hAnsi="宋体" w:cs="宋体"/>
          <w:szCs w:val="21"/>
        </w:rPr>
      </w:pPr>
      <w:r>
        <w:rPr>
          <w:rFonts w:ascii="宋体" w:eastAsia="宋体" w:hAnsi="宋体" w:cs="宋体"/>
          <w:szCs w:val="21"/>
        </w:rPr>
        <w:t>一方变更项目联系人的，须保证业务连续性及后续运行维护要求，由于人员变动影响本合同履行或造成损失的，应承担相应的责任。</w:t>
      </w:r>
    </w:p>
    <w:p>
      <w:pPr>
        <w:numPr>
          <w:ilvl w:val="0"/>
          <w:numId w:val="33"/>
        </w:numPr>
        <w:spacing w:line="360" w:lineRule="auto"/>
        <w:ind w:left="5" w:firstLine="415"/>
        <w:rPr>
          <w:rFonts w:ascii="宋体" w:eastAsia="宋体" w:hAnsi="宋体" w:cs="宋体"/>
          <w:szCs w:val="21"/>
        </w:rPr>
      </w:pPr>
      <w:r>
        <w:rPr>
          <w:rFonts w:ascii="宋体" w:eastAsia="宋体" w:hAnsi="宋体" w:cs="宋体"/>
          <w:szCs w:val="21"/>
        </w:rPr>
        <w:t>乙方</w:t>
      </w:r>
      <w:r>
        <w:rPr>
          <w:rFonts w:ascii="宋体" w:eastAsia="宋体" w:hAnsi="宋体" w:cs="宋体" w:hint="eastAsia"/>
          <w:szCs w:val="21"/>
        </w:rPr>
        <w:t>须定期向甲方通报汇总的</w:t>
      </w:r>
      <w:r>
        <w:rPr>
          <w:rFonts w:ascii="宋体" w:eastAsia="宋体" w:hAnsi="宋体" w:cs="宋体"/>
          <w:szCs w:val="21"/>
        </w:rPr>
        <w:t>项目参与人员并及时更新，</w:t>
      </w:r>
      <w:r>
        <w:rPr>
          <w:rFonts w:ascii="宋体" w:eastAsia="宋体" w:hAnsi="宋体" w:cs="宋体" w:hint="eastAsia"/>
          <w:szCs w:val="21"/>
        </w:rPr>
        <w:t>严格</w:t>
      </w:r>
      <w:r>
        <w:rPr>
          <w:rFonts w:ascii="宋体" w:eastAsia="宋体" w:hAnsi="宋体" w:cs="宋体"/>
          <w:szCs w:val="21"/>
        </w:rPr>
        <w:t>审核</w:t>
      </w:r>
      <w:r>
        <w:rPr>
          <w:rFonts w:ascii="宋体" w:eastAsia="宋体" w:hAnsi="宋体" w:cs="宋体" w:hint="eastAsia"/>
          <w:szCs w:val="21"/>
        </w:rPr>
        <w:t>参与</w:t>
      </w:r>
      <w:r>
        <w:rPr>
          <w:rFonts w:ascii="宋体" w:eastAsia="宋体" w:hAnsi="宋体" w:cs="宋体"/>
          <w:szCs w:val="21"/>
        </w:rPr>
        <w:t>人员背景，</w:t>
      </w:r>
      <w:r>
        <w:rPr>
          <w:rFonts w:ascii="宋体" w:eastAsia="宋体" w:hAnsi="宋体" w:cs="宋体" w:hint="eastAsia"/>
          <w:szCs w:val="21"/>
        </w:rPr>
        <w:t>不得超出应有的系统</w:t>
      </w:r>
      <w:r>
        <w:rPr>
          <w:rFonts w:ascii="宋体" w:eastAsia="宋体" w:hAnsi="宋体" w:cs="宋体"/>
          <w:szCs w:val="21"/>
        </w:rPr>
        <w:t>访问</w:t>
      </w:r>
      <w:r>
        <w:rPr>
          <w:rFonts w:ascii="宋体" w:eastAsia="宋体" w:hAnsi="宋体" w:cs="宋体" w:hint="eastAsia"/>
          <w:szCs w:val="21"/>
        </w:rPr>
        <w:t>权限</w:t>
      </w:r>
      <w:r>
        <w:rPr>
          <w:rFonts w:ascii="宋体" w:eastAsia="宋体" w:hAnsi="宋体" w:cs="宋体"/>
          <w:szCs w:val="21"/>
        </w:rPr>
        <w:t>授权，严格执行日志管理等</w:t>
      </w:r>
      <w:r>
        <w:rPr>
          <w:rFonts w:ascii="宋体" w:eastAsia="宋体" w:hAnsi="宋体" w:cs="宋体" w:hint="eastAsia"/>
          <w:szCs w:val="21"/>
        </w:rPr>
        <w:t>。</w:t>
      </w:r>
    </w:p>
    <w:p>
      <w:pPr>
        <w:keepNext/>
        <w:keepLines/>
        <w:numPr>
          <w:ilvl w:val="0"/>
          <w:numId w:val="11"/>
        </w:numPr>
        <w:spacing w:before="60" w:after="60" w:line="360" w:lineRule="auto"/>
        <w:ind w:left="0" w:firstLine="420" w:firstLineChars="200"/>
        <w:outlineLvl w:val="1"/>
        <w:rPr>
          <w:rFonts w:ascii="宋体" w:eastAsia="宋体" w:hAnsi="宋体" w:cs="宋体"/>
          <w:b/>
          <w:bCs/>
          <w:szCs w:val="21"/>
        </w:rPr>
      </w:pPr>
      <w:bookmarkStart w:id="225" w:name="_Toc150439567"/>
      <w:r>
        <w:rPr>
          <w:rFonts w:ascii="宋体" w:eastAsia="宋体" w:hAnsi="宋体" w:cs="宋体" w:hint="eastAsia"/>
          <w:b/>
          <w:bCs/>
          <w:szCs w:val="21"/>
        </w:rPr>
        <w:t>项目交付</w:t>
      </w:r>
      <w:bookmarkEnd w:id="225"/>
    </w:p>
    <w:p>
      <w:pPr>
        <w:numPr>
          <w:ilvl w:val="0"/>
          <w:numId w:val="34"/>
        </w:numPr>
        <w:spacing w:line="360" w:lineRule="auto"/>
        <w:ind w:firstLine="420" w:firstLineChars="200"/>
        <w:rPr>
          <w:rFonts w:ascii="宋体" w:eastAsia="宋体" w:hAnsi="宋体" w:cs="宋体"/>
          <w:szCs w:val="21"/>
        </w:rPr>
      </w:pPr>
      <w:r>
        <w:rPr>
          <w:rFonts w:ascii="宋体" w:eastAsia="宋体" w:hAnsi="宋体" w:cs="宋体" w:hint="eastAsia"/>
          <w:szCs w:val="21"/>
        </w:rPr>
        <w:t>乙方应当按以下方式向甲方交付研究开发成果：</w:t>
      </w:r>
    </w:p>
    <w:p>
      <w:pPr>
        <w:numPr>
          <w:ilvl w:val="0"/>
          <w:numId w:val="35"/>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研究开发成果交付内容：</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需求分析、需求规格说明书、系统原型；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概要设计、详细设计方案；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运行正常的系统；                        </w:t>
      </w:r>
    </w:p>
    <w:p>
      <w:pPr>
        <w:ind w:firstLine="420" w:firstLineChars="200"/>
        <w:rPr>
          <w:rFonts w:ascii="宋体" w:eastAsia="宋体" w:hAnsi="宋体" w:cs="宋体"/>
          <w:szCs w:val="21"/>
          <w:u w:val="single"/>
        </w:rPr>
      </w:pPr>
      <w:r>
        <w:rPr>
          <w:rFonts w:ascii="宋体" w:eastAsia="宋体" w:hAnsi="宋体" w:cs="宋体" w:hint="eastAsia"/>
          <w:szCs w:val="21"/>
          <w:u w:val="single"/>
        </w:rPr>
        <w:t>完整的软件源代码、可执行程序、安装程序；</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软件使用手册；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软件技术说明；                          </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软件测试大纲、测试报告；                </w:t>
      </w:r>
    </w:p>
    <w:p>
      <w:pPr>
        <w:ind w:firstLine="420" w:firstLineChars="200"/>
        <w:rPr>
          <w:rFonts w:ascii="宋体" w:eastAsia="宋体" w:hAnsi="宋体" w:cs="宋体"/>
          <w:szCs w:val="21"/>
          <w:u w:val="single"/>
        </w:rPr>
      </w:pPr>
      <w:r>
        <w:rPr>
          <w:rFonts w:ascii="宋体" w:eastAsia="宋体" w:hAnsi="宋体" w:cs="宋体" w:hint="eastAsia"/>
          <w:szCs w:val="21"/>
          <w:u w:val="single"/>
        </w:rPr>
        <w:t>其他按照《气象软件工程规范》要求的文档；</w:t>
      </w:r>
    </w:p>
    <w:p>
      <w:pPr>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pPr>
        <w:ind w:firstLine="420" w:firstLineChars="200"/>
        <w:rPr>
          <w:rFonts w:ascii="宋体" w:eastAsia="宋体" w:hAnsi="宋体" w:cs="宋体"/>
          <w:szCs w:val="21"/>
          <w:u w:val="single"/>
        </w:rPr>
      </w:pPr>
      <w:r>
        <w:rPr>
          <w:rFonts w:ascii="宋体" w:eastAsia="宋体" w:hAnsi="宋体" w:cs="宋体" w:hint="eastAsia"/>
          <w:szCs w:val="21"/>
          <w:u w:val="single"/>
        </w:rPr>
        <w:t>（以上文档提供电子版x套，硬拷贝x套）。</w:t>
      </w:r>
    </w:p>
    <w:p>
      <w:pPr>
        <w:numPr>
          <w:ilvl w:val="0"/>
          <w:numId w:val="35"/>
        </w:numPr>
        <w:spacing w:line="360" w:lineRule="auto"/>
        <w:ind w:firstLine="420" w:firstLineChars="200"/>
        <w:rPr>
          <w:rFonts w:ascii="宋体" w:eastAsia="宋体" w:hAnsi="宋体" w:cs="宋体"/>
          <w:szCs w:val="21"/>
        </w:rPr>
      </w:pPr>
      <w:r>
        <w:rPr>
          <w:rFonts w:ascii="宋体" w:eastAsia="宋体" w:hAnsi="宋体" w:cs="宋体" w:hint="eastAsia"/>
          <w:szCs w:val="21"/>
        </w:rPr>
        <w:t>研究开发成果交付的时间及地点：             在            交付。</w:t>
      </w:r>
    </w:p>
    <w:p>
      <w:pPr>
        <w:numPr>
          <w:ilvl w:val="0"/>
          <w:numId w:val="35"/>
        </w:numPr>
        <w:spacing w:line="360" w:lineRule="auto"/>
        <w:ind w:firstLine="420" w:firstLineChars="200"/>
        <w:rPr>
          <w:rFonts w:ascii="宋体" w:eastAsia="宋体" w:hAnsi="宋体" w:cs="宋体"/>
          <w:szCs w:val="21"/>
        </w:rPr>
      </w:pPr>
      <w:r>
        <w:rPr>
          <w:rFonts w:ascii="宋体" w:eastAsia="宋体" w:hAnsi="宋体" w:cs="宋体" w:hint="eastAsia"/>
          <w:szCs w:val="21"/>
        </w:rPr>
        <w:t>乙方应向甲方交付的其他文档资料及协作事项如下：</w:t>
      </w:r>
    </w:p>
    <w:p>
      <w:pPr>
        <w:ind w:firstLine="420" w:firstLineChars="200"/>
        <w:rPr>
          <w:rFonts w:ascii="宋体" w:eastAsia="宋体" w:hAnsi="宋体" w:cs="宋体"/>
          <w:szCs w:val="21"/>
        </w:rPr>
      </w:pPr>
      <w:r>
        <w:rPr>
          <w:rFonts w:ascii="宋体" w:eastAsia="宋体" w:hAnsi="宋体" w:cs="宋体" w:hint="eastAsia"/>
          <w:szCs w:val="21"/>
        </w:rPr>
        <w:t>资料清单:______________________</w:t>
      </w:r>
    </w:p>
    <w:p>
      <w:pPr>
        <w:ind w:firstLine="420" w:firstLineChars="200"/>
        <w:rPr>
          <w:rFonts w:ascii="宋体" w:eastAsia="宋体" w:hAnsi="宋体" w:cs="宋体"/>
          <w:szCs w:val="21"/>
        </w:rPr>
      </w:pPr>
      <w:r>
        <w:rPr>
          <w:rFonts w:ascii="宋体" w:eastAsia="宋体" w:hAnsi="宋体" w:cs="宋体" w:hint="eastAsia"/>
          <w:szCs w:val="21"/>
        </w:rPr>
        <w:t>协作事项：</w:t>
      </w:r>
      <w:r>
        <w:rPr>
          <w:rFonts w:ascii="宋体" w:eastAsia="宋体" w:hAnsi="宋体" w:cs="宋体" w:hint="eastAsia"/>
          <w:szCs w:val="21"/>
          <w:u w:val="single"/>
        </w:rPr>
        <w:t xml:space="preserve">                      </w:t>
      </w:r>
    </w:p>
    <w:p>
      <w:pPr>
        <w:numPr>
          <w:ilvl w:val="0"/>
          <w:numId w:val="34"/>
        </w:numPr>
        <w:spacing w:line="360" w:lineRule="auto"/>
        <w:ind w:firstLine="420" w:firstLineChars="200"/>
        <w:rPr>
          <w:rFonts w:ascii="宋体" w:eastAsia="宋体" w:hAnsi="宋体" w:cs="宋体"/>
          <w:szCs w:val="21"/>
        </w:rPr>
      </w:pPr>
      <w:r>
        <w:rPr>
          <w:rFonts w:ascii="宋体" w:eastAsia="宋体" w:hAnsi="宋体" w:cs="宋体" w:hint="eastAsia"/>
          <w:szCs w:val="21"/>
        </w:rPr>
        <w:t>安装调试</w:t>
      </w:r>
    </w:p>
    <w:p>
      <w:pPr>
        <w:ind w:firstLine="420" w:firstLineChars="200"/>
        <w:rPr>
          <w:rFonts w:ascii="宋体" w:eastAsia="宋体" w:hAnsi="宋体" w:cs="宋体"/>
          <w:szCs w:val="21"/>
        </w:rPr>
      </w:pPr>
      <w:r>
        <w:rPr>
          <w:rFonts w:ascii="宋体" w:eastAsia="宋体" w:hAnsi="宋体" w:cs="宋体" w:hint="eastAsia"/>
          <w:szCs w:val="21"/>
        </w:rPr>
        <w:t>乙方负责项目系统的安装及调试，内容如下：</w:t>
      </w:r>
    </w:p>
    <w:p>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确保达到系统正常运行条件和相关技术标准及业务要求；</w:t>
      </w:r>
    </w:p>
    <w:p>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系统数据达到规范要求，运行正常；</w:t>
      </w:r>
    </w:p>
    <w:p>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系统运行保证安全稳定；</w:t>
      </w:r>
    </w:p>
    <w:p>
      <w:pPr>
        <w:numPr>
          <w:ilvl w:val="0"/>
          <w:numId w:val="36"/>
        </w:numPr>
        <w:spacing w:line="360" w:lineRule="auto"/>
        <w:ind w:firstLine="420" w:firstLineChars="200"/>
        <w:rPr>
          <w:rFonts w:ascii="宋体" w:eastAsia="宋体" w:hAnsi="宋体" w:cs="宋体"/>
          <w:szCs w:val="21"/>
        </w:rPr>
      </w:pPr>
      <w:r>
        <w:rPr>
          <w:rFonts w:ascii="宋体" w:eastAsia="宋体" w:hAnsi="宋体" w:cs="宋体" w:hint="eastAsia"/>
          <w:szCs w:val="21"/>
        </w:rPr>
        <w:t>平台业务运行机制要完整。</w:t>
      </w:r>
    </w:p>
    <w:p>
      <w:pPr>
        <w:numPr>
          <w:ilvl w:val="0"/>
          <w:numId w:val="34"/>
        </w:numPr>
        <w:spacing w:line="360" w:lineRule="auto"/>
        <w:ind w:firstLine="420" w:firstLineChars="200"/>
        <w:rPr>
          <w:rFonts w:ascii="宋体" w:eastAsia="宋体" w:hAnsi="宋体" w:cs="宋体"/>
          <w:szCs w:val="21"/>
        </w:rPr>
      </w:pPr>
      <w:r>
        <w:rPr>
          <w:rFonts w:ascii="宋体" w:eastAsia="宋体" w:hAnsi="宋体" w:cs="宋体" w:hint="eastAsia"/>
          <w:szCs w:val="21"/>
        </w:rPr>
        <w:t>培训</w:t>
      </w:r>
    </w:p>
    <w:p>
      <w:pPr>
        <w:ind w:firstLine="420" w:firstLineChars="200"/>
        <w:rPr>
          <w:rFonts w:ascii="宋体" w:eastAsia="宋体" w:hAnsi="宋体" w:cs="宋体"/>
          <w:szCs w:val="21"/>
        </w:rPr>
      </w:pPr>
      <w:r>
        <w:rPr>
          <w:rFonts w:ascii="宋体" w:eastAsia="宋体" w:hAnsi="宋体" w:cs="宋体" w:hint="eastAsia"/>
          <w:szCs w:val="21"/>
        </w:rPr>
        <w:t>双方确定，乙方应在向甲方交付研究开发成果后，根据甲方的要求，为甲方指定的人员提供无偿的技术指导和培训，或提供与使用该研究开发成果相关的技术服务。</w:t>
      </w:r>
    </w:p>
    <w:p>
      <w:pPr>
        <w:ind w:firstLine="420" w:firstLineChars="200"/>
        <w:rPr>
          <w:rFonts w:ascii="宋体" w:eastAsia="宋体" w:hAnsi="宋体" w:cs="宋体"/>
          <w:szCs w:val="21"/>
          <w:u w:val="single"/>
        </w:rPr>
      </w:pPr>
      <w:r>
        <w:rPr>
          <w:rFonts w:ascii="宋体" w:eastAsia="宋体" w:hAnsi="宋体" w:cs="宋体" w:hint="eastAsia"/>
          <w:szCs w:val="21"/>
        </w:rPr>
        <w:t>技术服务和指导内容：</w:t>
      </w:r>
      <w:r>
        <w:rPr>
          <w:rFonts w:ascii="宋体" w:eastAsia="宋体" w:hAnsi="宋体" w:cs="宋体" w:hint="eastAsia"/>
          <w:szCs w:val="21"/>
          <w:u w:val="single"/>
        </w:rPr>
        <w:t xml:space="preserve">                                  </w:t>
      </w:r>
    </w:p>
    <w:p>
      <w:pPr>
        <w:ind w:firstLine="420" w:firstLineChars="200"/>
        <w:rPr>
          <w:rFonts w:ascii="宋体" w:eastAsia="宋体" w:hAnsi="宋体" w:cs="宋体"/>
          <w:szCs w:val="21"/>
          <w:u w:val="single"/>
        </w:rPr>
      </w:pPr>
      <w:r>
        <w:rPr>
          <w:rFonts w:ascii="宋体" w:eastAsia="宋体" w:hAnsi="宋体" w:cs="宋体" w:hint="eastAsia"/>
          <w:szCs w:val="21"/>
        </w:rPr>
        <w:t>地点和方式：</w:t>
      </w:r>
      <w:r>
        <w:rPr>
          <w:rFonts w:ascii="宋体" w:eastAsia="宋体" w:hAnsi="宋体" w:cs="宋体" w:hint="eastAsia"/>
          <w:szCs w:val="21"/>
          <w:u w:val="single"/>
        </w:rPr>
        <w:t xml:space="preserve">                                          </w:t>
      </w:r>
    </w:p>
    <w:p>
      <w:pPr>
        <w:keepNext/>
        <w:keepLines/>
        <w:numPr>
          <w:ilvl w:val="0"/>
          <w:numId w:val="11"/>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hint="eastAsia"/>
          <w:b/>
          <w:bCs/>
          <w:szCs w:val="21"/>
        </w:rPr>
        <w:t>支付方式</w:t>
      </w:r>
    </w:p>
    <w:p>
      <w:pPr>
        <w:ind w:firstLine="420" w:firstLineChars="200"/>
        <w:rPr>
          <w:rFonts w:ascii="宋体" w:eastAsia="宋体" w:hAnsi="宋体" w:cs="宋体"/>
          <w:szCs w:val="21"/>
        </w:rPr>
      </w:pPr>
      <w:r>
        <w:rPr>
          <w:rFonts w:ascii="宋体" w:eastAsia="宋体" w:hAnsi="宋体" w:cs="宋体" w:hint="eastAsia"/>
          <w:szCs w:val="21"/>
        </w:rPr>
        <w:t>甲方应按以下方式支付研究开发经费和报酬：</w:t>
      </w:r>
    </w:p>
    <w:p>
      <w:pPr>
        <w:numPr>
          <w:ilvl w:val="0"/>
          <w:numId w:val="37"/>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研究开发经费和报酬总额为（含税）</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 xml:space="preserve">元（大写：人民币 </w:t>
      </w:r>
      <w:r>
        <w:rPr>
          <w:rFonts w:ascii="宋体" w:eastAsia="宋体" w:hAnsi="宋体" w:cs="宋体"/>
          <w:szCs w:val="21"/>
          <w:u w:val="single"/>
        </w:rPr>
        <w:t xml:space="preserve">                     </w:t>
      </w:r>
      <w:r>
        <w:rPr>
          <w:rFonts w:ascii="宋体" w:eastAsia="宋体" w:hAnsi="宋体" w:cs="宋体" w:hint="eastAsia"/>
          <w:szCs w:val="21"/>
          <w:u w:val="single"/>
        </w:rPr>
        <w:t>元）</w:t>
      </w:r>
      <w:r>
        <w:rPr>
          <w:rFonts w:ascii="宋体" w:eastAsia="宋体" w:hAnsi="宋体" w:cs="宋体" w:hint="eastAsia"/>
          <w:szCs w:val="21"/>
        </w:rPr>
        <w:t>。其中：</w:t>
      </w:r>
    </w:p>
    <w:p>
      <w:pPr>
        <w:numPr>
          <w:ilvl w:val="0"/>
          <w:numId w:val="38"/>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pPr>
        <w:numPr>
          <w:ilvl w:val="0"/>
          <w:numId w:val="38"/>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pPr>
        <w:numPr>
          <w:ilvl w:val="0"/>
          <w:numId w:val="38"/>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pPr>
        <w:numPr>
          <w:ilvl w:val="0"/>
          <w:numId w:val="38"/>
        </w:numPr>
        <w:spacing w:line="360" w:lineRule="auto"/>
        <w:ind w:hanging="5"/>
        <w:rPr>
          <w:rFonts w:ascii="宋体" w:eastAsia="宋体" w:hAnsi="宋体" w:cs="宋体"/>
          <w:szCs w:val="21"/>
        </w:rPr>
      </w:pPr>
      <w:r>
        <w:rPr>
          <w:rFonts w:ascii="宋体" w:eastAsia="宋体" w:hAnsi="宋体" w:cs="宋体" w:hint="eastAsia"/>
          <w:szCs w:val="21"/>
          <w:u w:val="single"/>
        </w:rPr>
        <w:t xml:space="preserve">                                                              。</w:t>
      </w:r>
    </w:p>
    <w:p>
      <w:pPr>
        <w:numPr>
          <w:ilvl w:val="0"/>
          <w:numId w:val="37"/>
        </w:numPr>
        <w:tabs>
          <w:tab w:val="left" w:pos="720"/>
        </w:tabs>
        <w:spacing w:line="360" w:lineRule="auto"/>
        <w:ind w:firstLine="420" w:firstLineChars="200"/>
        <w:rPr>
          <w:rFonts w:ascii="宋体" w:eastAsia="宋体" w:hAnsi="宋体" w:cs="宋体"/>
          <w:szCs w:val="21"/>
          <w:highlight w:val="yellow"/>
        </w:rPr>
      </w:pPr>
      <w:r>
        <w:rPr>
          <w:rFonts w:ascii="宋体" w:eastAsia="宋体" w:hAnsi="宋体" w:cs="宋体" w:hint="eastAsia"/>
          <w:szCs w:val="21"/>
          <w:highlight w:val="yellow"/>
        </w:rPr>
        <w:t>研究开发经费由甲方</w:t>
      </w:r>
      <w:r>
        <w:rPr>
          <w:rFonts w:ascii="宋体" w:eastAsia="宋体" w:hAnsi="宋体" w:cs="宋体" w:hint="eastAsia"/>
          <w:szCs w:val="21"/>
          <w:highlight w:val="yellow"/>
          <w:lang w:eastAsia="zh-CN"/>
        </w:rPr>
        <w:t>一次性</w:t>
      </w:r>
      <w:r>
        <w:rPr>
          <w:rFonts w:ascii="宋体" w:eastAsia="宋体" w:hAnsi="宋体" w:cs="宋体" w:hint="eastAsia"/>
          <w:szCs w:val="21"/>
          <w:highlight w:val="yellow"/>
        </w:rPr>
        <w:t xml:space="preserve">支付给乙方。具体支付方式和时间如下： </w:t>
      </w:r>
    </w:p>
    <w:p>
      <w:pPr>
        <w:tabs>
          <w:tab w:val="left" w:pos="720"/>
        </w:tabs>
        <w:ind w:firstLine="420" w:firstLineChars="200"/>
        <w:rPr>
          <w:rFonts w:ascii="宋体" w:eastAsia="宋体" w:hAnsi="宋体" w:cs="宋体"/>
          <w:szCs w:val="21"/>
          <w:highlight w:val="yellow"/>
        </w:rPr>
      </w:pPr>
      <w:r>
        <w:rPr>
          <w:rFonts w:ascii="宋体" w:eastAsia="宋体" w:hAnsi="宋体" w:cs="宋体" w:hint="eastAsia"/>
          <w:szCs w:val="21"/>
          <w:highlight w:val="yellow"/>
        </w:rPr>
        <w:t>甲方通过电汇或银行转账方式向乙方指定银行账户付款。在甲方款项支付前，乙方向甲方提交付款申请及出具同等金额的增值税发票，否则甲方有权拒绝付款并不承担违约责任。</w:t>
      </w:r>
    </w:p>
    <w:p>
      <w:pPr>
        <w:tabs>
          <w:tab w:val="left" w:pos="720"/>
        </w:tabs>
        <w:ind w:firstLine="420" w:firstLineChars="200"/>
        <w:rPr>
          <w:rFonts w:ascii="宋体" w:eastAsia="宋体" w:hAnsi="宋体" w:cs="宋体" w:hint="eastAsia"/>
          <w:szCs w:val="21"/>
          <w:highlight w:val="yellow"/>
          <w:u w:val="single"/>
        </w:rPr>
      </w:pPr>
      <w:r>
        <w:rPr>
          <w:rFonts w:ascii="宋体" w:eastAsia="宋体" w:hAnsi="宋体" w:cs="宋体" w:hint="eastAsia"/>
          <w:szCs w:val="21"/>
          <w:highlight w:val="yellow"/>
        </w:rPr>
        <w:t>本合同签订生效及提交研究开发计划且项目开工后</w:t>
      </w:r>
      <w:r>
        <w:rPr>
          <w:rFonts w:ascii="宋体" w:eastAsia="宋体" w:hAnsi="宋体" w:cs="宋体" w:hint="eastAsia"/>
          <w:szCs w:val="21"/>
          <w:highlight w:val="yellow"/>
          <w:u w:val="single"/>
        </w:rPr>
        <w:t xml:space="preserve">【 </w:t>
      </w:r>
      <w:r>
        <w:rPr>
          <w:rFonts w:ascii="宋体" w:eastAsia="宋体" w:hAnsi="宋体" w:cs="宋体" w:hint="eastAsia"/>
          <w:szCs w:val="21"/>
          <w:highlight w:val="yellow"/>
          <w:u w:val="single"/>
          <w:lang w:val="en-US" w:eastAsia="zh-CN"/>
        </w:rPr>
        <w:t>15</w:t>
      </w:r>
      <w:r>
        <w:rPr>
          <w:rFonts w:ascii="宋体" w:eastAsia="宋体" w:hAnsi="宋体" w:cs="宋体" w:hint="eastAsia"/>
          <w:szCs w:val="21"/>
          <w:highlight w:val="yellow"/>
          <w:u w:val="single"/>
        </w:rPr>
        <w:t xml:space="preserve"> 】</w:t>
      </w:r>
      <w:r>
        <w:rPr>
          <w:rFonts w:ascii="宋体" w:eastAsia="宋体" w:hAnsi="宋体" w:cs="宋体" w:hint="eastAsia"/>
          <w:szCs w:val="21"/>
          <w:highlight w:val="yellow"/>
        </w:rPr>
        <w:t>个工作日内，甲方向乙方支付本合同</w:t>
      </w:r>
      <w:r>
        <w:rPr>
          <w:rFonts w:ascii="宋体" w:eastAsia="宋体" w:hAnsi="宋体" w:cs="宋体" w:hint="eastAsia"/>
          <w:szCs w:val="21"/>
          <w:highlight w:val="yellow"/>
          <w:lang w:eastAsia="zh-CN"/>
        </w:rPr>
        <w:t>金额的</w:t>
      </w:r>
      <w:r>
        <w:rPr>
          <w:rFonts w:ascii="宋体" w:eastAsia="宋体" w:hAnsi="宋体" w:cs="宋体" w:hint="eastAsia"/>
          <w:szCs w:val="21"/>
          <w:highlight w:val="yellow"/>
          <w:lang w:val="en-US" w:eastAsia="zh-CN"/>
        </w:rPr>
        <w:t>100%</w:t>
      </w:r>
      <w:r>
        <w:rPr>
          <w:rFonts w:ascii="宋体" w:eastAsia="宋体" w:hAnsi="宋体" w:cs="宋体" w:hint="eastAsia"/>
          <w:szCs w:val="21"/>
          <w:highlight w:val="yellow"/>
        </w:rPr>
        <w:t>至乙方指定账户，即：</w:t>
      </w:r>
      <w:r>
        <w:rPr>
          <w:rFonts w:ascii="宋体" w:eastAsia="宋体" w:hAnsi="宋体" w:cs="宋体" w:hint="eastAsia"/>
          <w:szCs w:val="21"/>
          <w:highlight w:val="yellow"/>
          <w:u w:val="single"/>
        </w:rPr>
        <w:t>￥    元（大写：人民币    元整）</w:t>
      </w:r>
      <w:r>
        <w:rPr>
          <w:rFonts w:ascii="宋体" w:eastAsia="宋体" w:hAnsi="宋体" w:cs="宋体" w:hint="eastAsia"/>
          <w:szCs w:val="21"/>
          <w:highlight w:val="yellow"/>
          <w:u w:val="single"/>
          <w:lang w:eastAsia="zh-CN"/>
        </w:rPr>
        <w:t>。</w:t>
      </w:r>
    </w:p>
    <w:p>
      <w:pPr>
        <w:tabs>
          <w:tab w:val="left" w:pos="720"/>
        </w:tabs>
        <w:ind w:firstLine="420" w:firstLineChars="200"/>
        <w:rPr>
          <w:rFonts w:ascii="宋体" w:eastAsia="宋体" w:hAnsi="宋体" w:cs="宋体" w:hint="eastAsia"/>
          <w:szCs w:val="21"/>
          <w:highlight w:val="yellow"/>
          <w:u w:val="single"/>
        </w:rPr>
      </w:pPr>
      <w:r>
        <w:rPr>
          <w:rFonts w:ascii="宋体" w:eastAsia="宋体" w:hAnsi="宋体" w:cs="宋体" w:hint="eastAsia"/>
          <w:szCs w:val="21"/>
          <w:highlight w:val="yellow"/>
          <w:u w:val="single"/>
        </w:rPr>
        <w:t>乙方提供合同总金额10%的预付款保函(有效期至合同</w:t>
      </w:r>
      <w:r>
        <w:rPr>
          <w:rFonts w:ascii="宋体" w:eastAsia="宋体" w:hAnsi="宋体" w:cs="宋体" w:hint="eastAsia"/>
          <w:szCs w:val="21"/>
          <w:highlight w:val="yellow"/>
          <w:u w:val="single"/>
          <w:lang w:eastAsia="zh-CN"/>
        </w:rPr>
        <w:t>需求评审通过</w:t>
      </w:r>
      <w:r>
        <w:rPr>
          <w:rFonts w:ascii="宋体" w:eastAsia="宋体" w:hAnsi="宋体" w:cs="宋体" w:hint="eastAsia"/>
          <w:szCs w:val="21"/>
          <w:highlight w:val="yellow"/>
          <w:u w:val="single"/>
        </w:rPr>
        <w:t>)，即￥    元（大写：人民币    元整）</w:t>
      </w:r>
      <w:r>
        <w:rPr>
          <w:rFonts w:ascii="宋体" w:eastAsia="宋体" w:hAnsi="宋体" w:cs="宋体" w:hint="eastAsia"/>
          <w:szCs w:val="21"/>
          <w:highlight w:val="yellow"/>
          <w:u w:val="single"/>
          <w:lang w:eastAsia="zh-CN"/>
        </w:rPr>
        <w:t>，并提供合同总金额10%的履约约保函(履</w:t>
      </w:r>
      <w:r>
        <w:rPr>
          <w:rFonts w:ascii="宋体" w:eastAsia="宋体" w:hAnsi="宋体" w:cs="宋体" w:hint="eastAsia"/>
          <w:szCs w:val="21"/>
          <w:highlight w:val="yellow"/>
          <w:u w:val="single"/>
          <w:lang w:eastAsia="zh-CN"/>
        </w:rPr>
        <w:t>约保函有效期截止至合同验收合格)</w:t>
      </w:r>
      <w:r>
        <w:rPr>
          <w:rFonts w:ascii="宋体" w:eastAsia="宋体" w:hAnsi="宋体" w:cs="宋体" w:hint="eastAsia"/>
          <w:szCs w:val="21"/>
          <w:highlight w:val="yellow"/>
          <w:u w:val="single"/>
        </w:rPr>
        <w:t>，即￥    元（大写：人民币    元整）</w:t>
      </w:r>
      <w:r>
        <w:rPr>
          <w:rFonts w:ascii="宋体" w:eastAsia="宋体" w:hAnsi="宋体" w:cs="宋体" w:hint="eastAsia"/>
          <w:szCs w:val="21"/>
          <w:highlight w:val="yellow"/>
          <w:u w:val="single"/>
          <w:lang w:eastAsia="zh-CN"/>
        </w:rPr>
        <w:t>。</w:t>
      </w:r>
    </w:p>
    <w:p>
      <w:pPr>
        <w:tabs>
          <w:tab w:val="left" w:pos="720"/>
        </w:tabs>
        <w:ind w:firstLine="420" w:firstLineChars="200"/>
        <w:rPr>
          <w:rFonts w:ascii="宋体" w:eastAsia="宋体" w:hAnsi="宋体" w:cs="宋体"/>
          <w:szCs w:val="21"/>
          <w:highlight w:val="yellow"/>
        </w:rPr>
      </w:pPr>
    </w:p>
    <w:p>
      <w:pPr>
        <w:numPr>
          <w:ilvl w:val="0"/>
          <w:numId w:val="37"/>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履约保证金</w:t>
      </w:r>
    </w:p>
    <w:p>
      <w:pPr>
        <w:numPr>
          <w:ilvl w:val="0"/>
          <w:numId w:val="39"/>
        </w:numPr>
        <w:tabs>
          <w:tab w:val="left" w:pos="720"/>
        </w:tabs>
        <w:spacing w:line="360" w:lineRule="auto"/>
        <w:ind w:firstLine="420"/>
        <w:rPr>
          <w:rFonts w:ascii="宋体" w:eastAsia="宋体" w:hAnsi="宋体" w:cs="宋体"/>
          <w:szCs w:val="21"/>
        </w:rPr>
      </w:pPr>
      <w:r>
        <w:rPr>
          <w:rFonts w:ascii="宋体" w:eastAsia="宋体" w:hAnsi="宋体" w:cs="宋体" w:hint="eastAsia"/>
          <w:szCs w:val="21"/>
          <w:highlight w:val="yellow"/>
        </w:rPr>
        <w:t>合同签订后</w:t>
      </w:r>
      <w:r>
        <w:rPr>
          <w:rFonts w:ascii="宋体" w:eastAsia="宋体" w:hAnsi="宋体" w:cs="宋体" w:hint="eastAsia"/>
          <w:szCs w:val="21"/>
          <w:highlight w:val="yellow"/>
          <w:u w:val="single"/>
        </w:rPr>
        <w:t xml:space="preserve">【 </w:t>
      </w:r>
      <w:r>
        <w:rPr>
          <w:rFonts w:ascii="宋体" w:eastAsia="宋体" w:hAnsi="宋体" w:cs="宋体" w:hint="eastAsia"/>
          <w:szCs w:val="21"/>
          <w:highlight w:val="yellow"/>
          <w:u w:val="single"/>
          <w:lang w:val="en-US" w:eastAsia="zh-CN"/>
        </w:rPr>
        <w:t>30</w:t>
      </w:r>
      <w:r>
        <w:rPr>
          <w:rFonts w:ascii="宋体" w:eastAsia="宋体" w:hAnsi="宋体" w:cs="宋体" w:hint="eastAsia"/>
          <w:szCs w:val="21"/>
          <w:highlight w:val="yellow"/>
          <w:u w:val="single"/>
        </w:rPr>
        <w:t xml:space="preserve">  】</w:t>
      </w:r>
      <w:r>
        <w:rPr>
          <w:rFonts w:ascii="宋体" w:eastAsia="宋体" w:hAnsi="宋体" w:cs="宋体" w:hint="eastAsia"/>
          <w:szCs w:val="21"/>
          <w:highlight w:val="yellow"/>
        </w:rPr>
        <w:t>工作日内，乙方需向甲方交纳履约保证金至甲方指定账户，履约保证金金额为合同总额</w:t>
      </w:r>
      <w:r>
        <w:rPr>
          <w:rFonts w:ascii="宋体" w:eastAsia="宋体" w:hAnsi="宋体" w:cs="宋体" w:hint="eastAsia"/>
          <w:szCs w:val="21"/>
          <w:highlight w:val="yellow"/>
          <w:u w:val="single"/>
        </w:rPr>
        <w:t xml:space="preserve">   </w:t>
      </w:r>
      <w:r>
        <w:rPr>
          <w:rFonts w:ascii="宋体" w:eastAsia="宋体" w:hAnsi="宋体" w:cs="宋体" w:hint="eastAsia"/>
          <w:szCs w:val="21"/>
          <w:highlight w:val="yellow"/>
          <w:u w:val="single"/>
          <w:lang w:val="en-US" w:eastAsia="zh-CN"/>
        </w:rPr>
        <w:t>10</w:t>
      </w:r>
      <w:r>
        <w:rPr>
          <w:rFonts w:ascii="宋体" w:eastAsia="宋体" w:hAnsi="宋体" w:cs="宋体" w:hint="eastAsia"/>
          <w:szCs w:val="21"/>
          <w:highlight w:val="yellow"/>
          <w:u w:val="single"/>
        </w:rPr>
        <w:t xml:space="preserve">  </w:t>
      </w:r>
      <w:r>
        <w:rPr>
          <w:rFonts w:ascii="宋体" w:eastAsia="宋体" w:hAnsi="宋体" w:cs="宋体" w:hint="eastAsia"/>
          <w:szCs w:val="21"/>
          <w:highlight w:val="yellow"/>
        </w:rPr>
        <w:t>%，即</w:t>
      </w:r>
      <w:r>
        <w:rPr>
          <w:rFonts w:ascii="宋体" w:eastAsia="宋体" w:hAnsi="宋体" w:cs="宋体" w:hint="eastAsia"/>
          <w:szCs w:val="21"/>
          <w:highlight w:val="yellow"/>
          <w:u w:val="single"/>
        </w:rPr>
        <w:t>￥    元（大写：人民币   元整）。</w:t>
      </w:r>
      <w:r>
        <w:rPr>
          <w:rFonts w:ascii="宋体" w:eastAsia="宋体" w:hAnsi="宋体" w:cs="宋体" w:hint="eastAsia"/>
          <w:szCs w:val="21"/>
          <w:highlight w:val="yellow"/>
        </w:rPr>
        <w:t>如果乙方未</w:t>
      </w:r>
      <w:r>
        <w:rPr>
          <w:rFonts w:ascii="宋体" w:eastAsia="宋体" w:hAnsi="宋体" w:cs="宋体" w:hint="eastAsia"/>
          <w:szCs w:val="21"/>
        </w:rPr>
        <w:t>按合同要求履行合同，或因乙方原因导致本合同解除的，甲方将不予归还履约保证金。如乙方未按前述约定支付保证金，甲方有权直接在研究开发经费和报酬中扣除相应费用。</w:t>
      </w:r>
    </w:p>
    <w:p>
      <w:pPr>
        <w:numPr>
          <w:ilvl w:val="0"/>
          <w:numId w:val="39"/>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质保阶段结束后</w:t>
      </w:r>
      <w:r>
        <w:rPr>
          <w:rFonts w:ascii="宋体" w:eastAsia="宋体" w:hAnsi="宋体" w:cs="宋体" w:hint="eastAsia"/>
          <w:szCs w:val="21"/>
          <w:u w:val="single"/>
        </w:rPr>
        <w:t xml:space="preserve">【  </w:t>
      </w:r>
      <w:r>
        <w:rPr>
          <w:rFonts w:ascii="宋体" w:eastAsia="宋体" w:hAnsi="宋体" w:cs="宋体" w:hint="eastAsia"/>
          <w:szCs w:val="21"/>
          <w:u w:val="single"/>
          <w:lang w:val="en-US" w:eastAsia="zh-CN"/>
        </w:rPr>
        <w:t>30</w:t>
      </w:r>
      <w:r>
        <w:rPr>
          <w:rFonts w:ascii="宋体" w:eastAsia="宋体" w:hAnsi="宋体" w:cs="宋体" w:hint="eastAsia"/>
          <w:szCs w:val="21"/>
          <w:u w:val="single"/>
        </w:rPr>
        <w:t xml:space="preserve"> 】</w:t>
      </w:r>
      <w:r>
        <w:rPr>
          <w:rFonts w:ascii="宋体" w:eastAsia="宋体" w:hAnsi="宋体" w:cs="宋体" w:hint="eastAsia"/>
          <w:szCs w:val="21"/>
        </w:rPr>
        <w:t>个工作日内，无息返还履约保证金。如乙方在质保期间内发生被甲方索赔款项，则相应金额从履约保证金中扣除，累计超过履约保证金数额的由乙方另外支付。如在补偿上述损失后合同继续履行的，乙方应在合同继续履行或甲方书面通知后【   】日内补齐履约保证金。</w:t>
      </w:r>
    </w:p>
    <w:p>
      <w:pPr>
        <w:numPr>
          <w:ilvl w:val="0"/>
          <w:numId w:val="39"/>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履约保证金应用本合同货币。</w:t>
      </w:r>
    </w:p>
    <w:p>
      <w:pPr>
        <w:numPr>
          <w:ilvl w:val="0"/>
          <w:numId w:val="37"/>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双方银行账户信息</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501"/>
        <w:gridCol w:w="4502"/>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甲方开户银行名称、地址和账号为：</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乙方开户银行名称、地址和账号为：</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开户银行：</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开户银行：</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地址：</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地址：</w:t>
            </w:r>
          </w:p>
        </w:tc>
      </w:tr>
      <w:tr>
        <w:tblPrEx>
          <w:tblW w:w="5000" w:type="pct"/>
          <w:tblInd w:w="0" w:type="dxa"/>
          <w:tblCellMar>
            <w:top w:w="0" w:type="dxa"/>
            <w:left w:w="108" w:type="dxa"/>
            <w:bottom w:w="0" w:type="dxa"/>
            <w:right w:w="108" w:type="dxa"/>
          </w:tblCellMar>
        </w:tblPrEx>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账号：</w:t>
            </w:r>
          </w:p>
        </w:tc>
        <w:tc>
          <w:tcPr>
            <w:tcW w:w="2500" w:type="pct"/>
            <w:noWrap w:val="0"/>
            <w:vAlign w:val="top"/>
          </w:tcPr>
          <w:p>
            <w:pPr>
              <w:tabs>
                <w:tab w:val="left" w:pos="720"/>
              </w:tabs>
              <w:ind w:firstLine="200"/>
              <w:rPr>
                <w:rFonts w:ascii="宋体" w:eastAsia="宋体" w:hAnsi="宋体" w:cs="宋体"/>
                <w:szCs w:val="21"/>
              </w:rPr>
            </w:pPr>
            <w:r>
              <w:rPr>
                <w:rFonts w:ascii="宋体" w:eastAsia="宋体" w:hAnsi="宋体" w:cs="宋体" w:hint="eastAsia"/>
                <w:szCs w:val="21"/>
              </w:rPr>
              <w:t>账号：</w:t>
            </w:r>
          </w:p>
        </w:tc>
      </w:tr>
    </w:tbl>
    <w:p>
      <w:pPr>
        <w:numPr>
          <w:ilvl w:val="0"/>
          <w:numId w:val="37"/>
        </w:num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拒付条件</w:t>
      </w:r>
    </w:p>
    <w:p>
      <w:pPr>
        <w:tabs>
          <w:tab w:val="left" w:pos="720"/>
        </w:tabs>
        <w:ind w:firstLine="420" w:firstLineChars="200"/>
        <w:rPr>
          <w:rFonts w:ascii="宋体" w:eastAsia="宋体" w:hAnsi="宋体" w:cs="宋体"/>
          <w:szCs w:val="21"/>
        </w:rPr>
      </w:pPr>
      <w:r>
        <w:rPr>
          <w:rFonts w:ascii="宋体" w:eastAsia="宋体" w:hAnsi="宋体" w:cs="宋体" w:hint="eastAsia"/>
          <w:szCs w:val="21"/>
        </w:rPr>
        <w:t>凡构成下列条件之一，甲方均有权拒付相应后续服务报酬：</w:t>
      </w:r>
    </w:p>
    <w:p>
      <w:pPr>
        <w:numPr>
          <w:ilvl w:val="0"/>
          <w:numId w:val="40"/>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乙方丧失继续完成本合同的基本条件或能力时；</w:t>
      </w:r>
    </w:p>
    <w:p>
      <w:pPr>
        <w:numPr>
          <w:ilvl w:val="0"/>
          <w:numId w:val="40"/>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乙方开展技术服务的进度严重后拖，已使合同规定的总进度及对应的条款失去执行意义时；</w:t>
      </w:r>
    </w:p>
    <w:p>
      <w:pPr>
        <w:numPr>
          <w:ilvl w:val="0"/>
          <w:numId w:val="40"/>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乙方出现严重违约行为时（如擅自更改甲方所规定的技术要求等）；</w:t>
      </w:r>
    </w:p>
    <w:p>
      <w:pPr>
        <w:numPr>
          <w:ilvl w:val="0"/>
          <w:numId w:val="40"/>
        </w:numPr>
        <w:tabs>
          <w:tab w:val="left" w:pos="720"/>
        </w:tabs>
        <w:spacing w:line="360" w:lineRule="auto"/>
        <w:ind w:firstLine="420"/>
        <w:rPr>
          <w:rFonts w:ascii="宋体" w:eastAsia="宋体" w:hAnsi="宋体" w:cs="宋体"/>
          <w:szCs w:val="21"/>
        </w:rPr>
      </w:pPr>
      <w:r>
        <w:rPr>
          <w:rFonts w:ascii="宋体" w:eastAsia="宋体" w:hAnsi="宋体" w:cs="宋体" w:hint="eastAsia"/>
          <w:szCs w:val="21"/>
        </w:rPr>
        <w:t>如乙方因自身原因未按节点完成任务或存在重大技术服务质量问题，甲方有权暂缓下期应付款项，待问题解决后再进行支付。</w:t>
      </w:r>
    </w:p>
    <w:p>
      <w:pPr>
        <w:keepNext/>
        <w:keepLines/>
        <w:numPr>
          <w:ilvl w:val="0"/>
          <w:numId w:val="11"/>
        </w:numPr>
        <w:spacing w:before="60" w:after="60" w:line="360" w:lineRule="auto"/>
        <w:ind w:left="0" w:firstLine="420" w:firstLineChars="200"/>
        <w:outlineLvl w:val="1"/>
        <w:rPr>
          <w:rFonts w:ascii="宋体" w:eastAsia="宋体" w:hAnsi="宋体" w:cs="宋体"/>
          <w:b/>
          <w:bCs/>
          <w:szCs w:val="21"/>
        </w:rPr>
      </w:pPr>
      <w:r>
        <w:rPr>
          <w:rFonts w:ascii="宋体" w:eastAsia="宋体" w:hAnsi="宋体" w:cs="宋体"/>
          <w:b/>
          <w:bCs/>
          <w:szCs w:val="21"/>
        </w:rPr>
        <w:t>税务条款</w:t>
      </w:r>
    </w:p>
    <w:p>
      <w:pPr>
        <w:tabs>
          <w:tab w:val="left" w:pos="720"/>
        </w:tabs>
        <w:ind w:firstLine="420" w:firstLineChars="200"/>
        <w:rPr>
          <w:rFonts w:ascii="宋体" w:eastAsia="宋体" w:hAnsi="宋体" w:cs="宋体"/>
          <w:szCs w:val="21"/>
        </w:rPr>
      </w:pPr>
      <w:r>
        <w:rPr>
          <w:rFonts w:ascii="宋体" w:eastAsia="宋体" w:hAnsi="宋体" w:cs="宋体" w:hint="eastAsia"/>
          <w:szCs w:val="21"/>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pPr>
        <w:keepNext/>
        <w:keepLines/>
        <w:numPr>
          <w:ilvl w:val="0"/>
          <w:numId w:val="11"/>
        </w:numPr>
        <w:spacing w:before="60" w:after="60" w:line="360" w:lineRule="auto"/>
        <w:ind w:left="0" w:firstLine="420" w:firstLineChars="200"/>
        <w:outlineLvl w:val="1"/>
        <w:rPr>
          <w:rFonts w:ascii="宋体" w:eastAsia="宋体" w:hAnsi="宋体" w:cs="宋体"/>
          <w:b/>
          <w:bCs/>
          <w:szCs w:val="21"/>
        </w:rPr>
      </w:pPr>
      <w:bookmarkStart w:id="226" w:name="_Toc150439569"/>
      <w:r>
        <w:rPr>
          <w:rFonts w:ascii="宋体" w:eastAsia="宋体" w:hAnsi="宋体" w:cs="宋体" w:hint="eastAsia"/>
          <w:b/>
          <w:bCs/>
          <w:szCs w:val="21"/>
        </w:rPr>
        <w:t>项目验收</w:t>
      </w:r>
      <w:bookmarkEnd w:id="226"/>
    </w:p>
    <w:p>
      <w:pPr>
        <w:ind w:firstLine="420" w:firstLineChars="200"/>
        <w:rPr>
          <w:rFonts w:ascii="宋体" w:eastAsia="宋体" w:hAnsi="宋体" w:cs="宋体"/>
          <w:szCs w:val="21"/>
        </w:rPr>
      </w:pPr>
      <w:r>
        <w:rPr>
          <w:rFonts w:ascii="宋体" w:eastAsia="宋体" w:hAnsi="宋体" w:cs="宋体" w:hint="eastAsia"/>
          <w:szCs w:val="21"/>
        </w:rPr>
        <w:t>1.系统测试</w:t>
      </w:r>
    </w:p>
    <w:p>
      <w:pPr>
        <w:ind w:firstLine="420" w:firstLineChars="200"/>
        <w:rPr>
          <w:rFonts w:ascii="宋体" w:eastAsia="宋体" w:hAnsi="宋体" w:cs="宋体" w:hint="eastAsia"/>
          <w:szCs w:val="21"/>
          <w:highlight w:val="yellow"/>
          <w:u w:val="single"/>
        </w:rPr>
      </w:pPr>
      <w:r>
        <w:rPr>
          <w:rFonts w:ascii="宋体" w:eastAsia="宋体" w:hAnsi="宋体" w:cs="宋体" w:hint="eastAsia"/>
          <w:szCs w:val="21"/>
          <w:highlight w:val="yellow"/>
        </w:rPr>
        <w:t>乙方应在完成</w:t>
      </w:r>
      <w:r>
        <w:rPr>
          <w:rFonts w:ascii="宋体" w:eastAsia="宋体" w:hAnsi="宋体" w:cs="宋体" w:hint="eastAsia"/>
          <w:szCs w:val="21"/>
          <w:highlight w:val="yellow"/>
          <w:u w:val="single"/>
        </w:rPr>
        <w:t>全部软件模块的开发、安装、集成</w:t>
      </w:r>
      <w:r>
        <w:rPr>
          <w:rFonts w:ascii="宋体" w:eastAsia="宋体" w:hAnsi="宋体" w:cs="宋体" w:hint="eastAsia"/>
          <w:szCs w:val="21"/>
          <w:highlight w:val="yellow"/>
        </w:rPr>
        <w:t>后，以书面形式向甲方递交测试申请，同时提交包括但不限于以下材料：</w:t>
      </w:r>
      <w:r>
        <w:rPr>
          <w:rFonts w:ascii="宋体" w:eastAsia="宋体" w:hAnsi="宋体" w:cs="宋体" w:hint="eastAsia"/>
          <w:szCs w:val="21"/>
          <w:highlight w:val="yellow"/>
          <w:u w:val="single"/>
        </w:rPr>
        <w:t>需求说明书、概要设计说明书、软件系统测试方案</w:t>
      </w:r>
      <w:r>
        <w:rPr>
          <w:rFonts w:ascii="宋体" w:eastAsia="宋体" w:hAnsi="宋体" w:cs="宋体" w:hint="eastAsia"/>
          <w:szCs w:val="21"/>
          <w:highlight w:val="yellow"/>
          <w:u w:val="single"/>
          <w:lang w:eastAsia="zh-CN"/>
        </w:rPr>
        <w:t>、</w:t>
      </w:r>
      <w:r>
        <w:rPr>
          <w:rFonts w:ascii="宋体" w:eastAsia="宋体" w:hAnsi="宋体" w:cs="宋体" w:hint="eastAsia"/>
          <w:szCs w:val="21"/>
          <w:highlight w:val="yellow"/>
          <w:u w:val="single"/>
        </w:rPr>
        <w:t>软件系统测试报告、用户手册、软件程序及模块清单试</w:t>
      </w:r>
      <w:r>
        <w:rPr>
          <w:rFonts w:ascii="宋体" w:eastAsia="宋体" w:hAnsi="宋体" w:cs="宋体" w:hint="eastAsia"/>
          <w:szCs w:val="21"/>
          <w:highlight w:val="yellow"/>
          <w:u w:val="single"/>
          <w:lang w:eastAsia="zh-CN"/>
        </w:rPr>
        <w:t>、</w:t>
      </w:r>
      <w:r>
        <w:rPr>
          <w:rFonts w:ascii="宋体" w:eastAsia="宋体" w:hAnsi="宋体" w:cs="宋体" w:hint="eastAsia"/>
          <w:szCs w:val="21"/>
          <w:highlight w:val="yellow"/>
          <w:u w:val="single"/>
        </w:rPr>
        <w:t>运行评估报告、培训教程</w:t>
      </w:r>
      <w:r>
        <w:rPr>
          <w:rFonts w:ascii="宋体" w:eastAsia="宋体" w:hAnsi="宋体" w:cs="宋体" w:hint="eastAsia"/>
          <w:szCs w:val="21"/>
          <w:highlight w:val="yellow"/>
          <w:u w:val="single"/>
          <w:lang w:eastAsia="zh-CN"/>
        </w:rPr>
        <w:t>、</w:t>
      </w:r>
      <w:r>
        <w:rPr>
          <w:rFonts w:ascii="宋体" w:eastAsia="宋体" w:hAnsi="宋体" w:cs="宋体" w:hint="eastAsia"/>
          <w:szCs w:val="21"/>
          <w:highlight w:val="yellow"/>
          <w:u w:val="single"/>
        </w:rPr>
        <w:t>用户培训计划</w:t>
      </w:r>
      <w:r>
        <w:rPr>
          <w:rFonts w:ascii="宋体" w:eastAsia="宋体" w:hAnsi="宋体" w:cs="宋体" w:hint="eastAsia"/>
          <w:szCs w:val="21"/>
          <w:highlight w:val="yellow"/>
          <w:u w:val="single"/>
          <w:lang w:eastAsia="zh-CN"/>
        </w:rPr>
        <w:t>及</w:t>
      </w:r>
      <w:r>
        <w:rPr>
          <w:rFonts w:ascii="宋体" w:eastAsia="宋体" w:hAnsi="宋体" w:cs="宋体" w:hint="eastAsia"/>
          <w:szCs w:val="21"/>
          <w:highlight w:val="yellow"/>
          <w:u w:val="single"/>
        </w:rPr>
        <w:t>记录</w:t>
      </w:r>
      <w:r>
        <w:rPr>
          <w:rFonts w:ascii="宋体" w:eastAsia="宋体" w:hAnsi="宋体" w:cs="宋体" w:hint="eastAsia"/>
          <w:szCs w:val="21"/>
          <w:highlight w:val="yellow"/>
          <w:u w:val="single"/>
          <w:lang w:eastAsia="zh-CN"/>
        </w:rPr>
        <w:t>、项目周报</w:t>
      </w:r>
      <w:r>
        <w:rPr>
          <w:rFonts w:ascii="宋体" w:eastAsia="宋体" w:hAnsi="宋体" w:cs="宋体" w:hint="eastAsia"/>
          <w:szCs w:val="21"/>
          <w:highlight w:val="yellow"/>
          <w:u w:val="single"/>
        </w:rPr>
        <w:t>和</w:t>
      </w:r>
      <w:r>
        <w:rPr>
          <w:rFonts w:ascii="宋体" w:eastAsia="宋体" w:hAnsi="宋体" w:cs="宋体" w:hint="eastAsia"/>
          <w:szCs w:val="21"/>
          <w:highlight w:val="yellow"/>
          <w:u w:val="single"/>
          <w:lang w:eastAsia="zh-CN"/>
        </w:rPr>
        <w:t>会议纪要</w:t>
      </w:r>
      <w:r>
        <w:rPr>
          <w:rFonts w:ascii="宋体" w:eastAsia="宋体" w:hAnsi="宋体" w:cs="宋体" w:hint="eastAsia"/>
          <w:szCs w:val="21"/>
          <w:highlight w:val="yellow"/>
          <w:u w:val="single"/>
        </w:rPr>
        <w:t>等</w:t>
      </w:r>
      <w:r>
        <w:rPr>
          <w:rFonts w:ascii="宋体" w:eastAsia="宋体" w:hAnsi="宋体" w:cs="宋体" w:hint="eastAsia"/>
          <w:szCs w:val="21"/>
          <w:highlight w:val="yellow"/>
          <w:u w:val="single"/>
          <w:lang w:eastAsia="zh-CN"/>
        </w:rPr>
        <w:t>。</w:t>
      </w:r>
      <w:r>
        <w:rPr>
          <w:rFonts w:ascii="宋体" w:eastAsia="宋体" w:hAnsi="宋体" w:cs="宋体" w:hint="eastAsia"/>
          <w:szCs w:val="21"/>
          <w:highlight w:val="yellow"/>
          <w:u w:val="single"/>
        </w:rPr>
        <w:t xml:space="preserve"> </w:t>
      </w:r>
    </w:p>
    <w:p>
      <w:pPr>
        <w:ind w:firstLine="420" w:firstLineChars="200"/>
        <w:rPr>
          <w:rFonts w:ascii="宋体" w:eastAsia="宋体" w:hAnsi="宋体" w:cs="宋体"/>
          <w:szCs w:val="21"/>
        </w:rPr>
      </w:pPr>
      <w:r>
        <w:rPr>
          <w:rFonts w:ascii="宋体" w:eastAsia="宋体" w:hAnsi="宋体" w:cs="宋体" w:hint="eastAsia"/>
          <w:szCs w:val="21"/>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甲方应在审核通过测试申请后的【   】个工作日内组织由甲方或甲方委托的第三方主持的软件测试，乙方参加，对软件进行测试。测试时应有甲方现场确认交付的全部源代码通过编译获得可执行程序的环节。</w:t>
      </w:r>
    </w:p>
    <w:p>
      <w:pPr>
        <w:tabs>
          <w:tab w:val="left" w:pos="720"/>
        </w:tabs>
        <w:ind w:firstLine="420" w:firstLineChars="200"/>
        <w:rPr>
          <w:rFonts w:ascii="宋体" w:eastAsia="宋体" w:hAnsi="宋体" w:cs="宋体"/>
          <w:szCs w:val="21"/>
        </w:rPr>
      </w:pPr>
      <w:r>
        <w:rPr>
          <w:rFonts w:ascii="宋体" w:eastAsia="宋体" w:hAnsi="宋体" w:cs="宋体" w:hint="eastAsia"/>
          <w:szCs w:val="21"/>
        </w:rPr>
        <w:t>确认其符合甲方要求的测试标准后，甲方签字确认。</w:t>
      </w:r>
    </w:p>
    <w:p>
      <w:pPr>
        <w:tabs>
          <w:tab w:val="left" w:pos="720"/>
        </w:tabs>
        <w:ind w:firstLine="420" w:firstLineChars="200"/>
        <w:rPr>
          <w:rFonts w:ascii="宋体" w:eastAsia="宋体" w:hAnsi="宋体" w:cs="宋体"/>
          <w:szCs w:val="21"/>
        </w:rPr>
      </w:pPr>
      <w:r>
        <w:rPr>
          <w:rFonts w:ascii="宋体" w:eastAsia="宋体" w:hAnsi="宋体" w:cs="宋体" w:hint="eastAsia"/>
          <w:szCs w:val="21"/>
        </w:rPr>
        <w:t>2.项目初验</w:t>
      </w:r>
    </w:p>
    <w:p>
      <w:pPr>
        <w:tabs>
          <w:tab w:val="left" w:pos="720"/>
        </w:tabs>
        <w:ind w:firstLine="420" w:firstLineChars="200"/>
        <w:rPr>
          <w:rFonts w:ascii="宋体" w:eastAsia="宋体" w:hAnsi="宋体" w:cs="宋体"/>
          <w:szCs w:val="21"/>
        </w:rPr>
      </w:pPr>
      <w:r>
        <w:rPr>
          <w:rFonts w:ascii="宋体" w:eastAsia="宋体" w:hAnsi="宋体" w:cs="宋体" w:hint="eastAsia"/>
          <w:szCs w:val="21"/>
        </w:rPr>
        <w:t>乙方开发的软件通过测试，并达到了系统初验的条件后，应以书面形式向甲方递交初步验收申请。甲方审核通过后，组织系统初验，并在验收通过后签署初验报告。</w:t>
      </w:r>
    </w:p>
    <w:p>
      <w:pPr>
        <w:tabs>
          <w:tab w:val="left" w:pos="720"/>
        </w:tabs>
        <w:ind w:firstLine="420" w:firstLineChars="200"/>
        <w:rPr>
          <w:rFonts w:ascii="宋体" w:eastAsia="宋体" w:hAnsi="宋体" w:cs="宋体"/>
          <w:szCs w:val="21"/>
        </w:rPr>
      </w:pPr>
      <w:r>
        <w:rPr>
          <w:rFonts w:ascii="宋体" w:eastAsia="宋体" w:hAnsi="宋体" w:cs="宋体" w:hint="eastAsia"/>
          <w:szCs w:val="21"/>
        </w:rPr>
        <w:t>3.系统试运行</w:t>
      </w:r>
    </w:p>
    <w:p>
      <w:pPr>
        <w:ind w:firstLine="420" w:firstLineChars="200"/>
        <w:rPr>
          <w:rFonts w:ascii="宋体" w:eastAsia="宋体" w:hAnsi="宋体" w:cs="宋体"/>
          <w:szCs w:val="21"/>
        </w:rPr>
      </w:pPr>
      <w:r>
        <w:rPr>
          <w:rFonts w:ascii="宋体" w:eastAsia="宋体" w:hAnsi="宋体" w:cs="宋体" w:hint="eastAsia"/>
          <w:szCs w:val="21"/>
        </w:rPr>
        <w:t>自甲方出具初验报告日起，甲方拥有</w:t>
      </w:r>
      <w:r>
        <w:rPr>
          <w:rFonts w:ascii="宋体" w:eastAsia="宋体" w:hAnsi="宋体" w:cs="宋体" w:hint="eastAsia"/>
          <w:szCs w:val="21"/>
          <w:u w:val="single"/>
        </w:rPr>
        <w:t xml:space="preserve">    </w:t>
      </w:r>
      <w:r>
        <w:rPr>
          <w:rFonts w:ascii="宋体" w:eastAsia="宋体" w:hAnsi="宋体" w:cs="宋体" w:hint="eastAsia"/>
          <w:szCs w:val="21"/>
        </w:rPr>
        <w:t xml:space="preserve">个月的试运行权利。试运行期间，乙方应进行全程跟踪，提供全面技术支持服务，及时修改、完善、补充系统功能，确保试运行的顺利进行。   </w:t>
      </w:r>
    </w:p>
    <w:p>
      <w:pPr>
        <w:ind w:firstLine="420" w:firstLineChars="200"/>
        <w:rPr>
          <w:rFonts w:ascii="宋体" w:eastAsia="宋体" w:hAnsi="宋体" w:cs="宋体"/>
          <w:szCs w:val="21"/>
        </w:rPr>
      </w:pPr>
      <w:r>
        <w:rPr>
          <w:rFonts w:ascii="宋体" w:eastAsia="宋体" w:hAnsi="宋体" w:cs="宋体" w:hint="eastAsia"/>
          <w:szCs w:val="21"/>
        </w:rPr>
        <w:t>乙方在试运行期间，必须保证开发队伍的稳定，根据甲方要求，不断修改和完善软件的功能和性能，直至甲方满意。乙方在试运行期间，应在</w:t>
      </w:r>
      <w:r>
        <w:rPr>
          <w:rFonts w:ascii="宋体" w:eastAsia="宋体" w:hAnsi="宋体" w:cs="宋体" w:hint="eastAsia"/>
          <w:szCs w:val="21"/>
          <w:u w:val="single"/>
        </w:rPr>
        <w:t xml:space="preserve">     </w:t>
      </w:r>
      <w:r>
        <w:rPr>
          <w:rFonts w:ascii="宋体" w:eastAsia="宋体" w:hAnsi="宋体" w:cs="宋体" w:hint="eastAsia"/>
          <w:szCs w:val="21"/>
        </w:rPr>
        <w:t>时间内响应故障处理，排除故障的时间一般不超过</w:t>
      </w:r>
      <w:r>
        <w:rPr>
          <w:rFonts w:ascii="宋体" w:eastAsia="宋体" w:hAnsi="宋体" w:cs="宋体" w:hint="eastAsia"/>
          <w:szCs w:val="21"/>
          <w:u w:val="single"/>
        </w:rPr>
        <w:t xml:space="preserve">     </w:t>
      </w:r>
      <w:r>
        <w:rPr>
          <w:rFonts w:ascii="宋体" w:eastAsia="宋体" w:hAnsi="宋体" w:cs="宋体" w:hint="eastAsia"/>
          <w:szCs w:val="21"/>
        </w:rPr>
        <w:t>。如由于乙方原因，发生影响甲方业务工作的重大故障，试运行期从故障排除后重新计算。</w:t>
      </w:r>
    </w:p>
    <w:p>
      <w:pPr>
        <w:ind w:firstLine="420" w:firstLineChars="200"/>
        <w:rPr>
          <w:rFonts w:ascii="宋体" w:eastAsia="宋体" w:hAnsi="宋体" w:cs="宋体"/>
          <w:szCs w:val="21"/>
        </w:rPr>
      </w:pPr>
      <w:r>
        <w:rPr>
          <w:rFonts w:ascii="宋体" w:eastAsia="宋体" w:hAnsi="宋体" w:cs="宋体" w:hint="eastAsia"/>
          <w:szCs w:val="21"/>
        </w:rPr>
        <w:t>4.项目终验</w:t>
      </w:r>
    </w:p>
    <w:p>
      <w:pPr>
        <w:tabs>
          <w:tab w:val="left" w:pos="720"/>
        </w:tabs>
        <w:ind w:firstLine="420" w:firstLineChars="200"/>
        <w:rPr>
          <w:rFonts w:ascii="宋体" w:eastAsia="宋体" w:hAnsi="宋体" w:cs="宋体"/>
          <w:szCs w:val="21"/>
        </w:rPr>
      </w:pPr>
      <w:r>
        <w:rPr>
          <w:rFonts w:ascii="宋体" w:eastAsia="宋体" w:hAnsi="宋体" w:cs="宋体" w:hint="eastAsia"/>
          <w:szCs w:val="21"/>
        </w:rPr>
        <w:t>软件试运行期满合格后，乙方应以书面形式向甲方递交最终验收申请，并更新提交全部相关文档，甲方审核通过后，组织系统终验，并在终验通过后签署终验报告。</w:t>
      </w:r>
    </w:p>
    <w:p>
      <w:pPr>
        <w:ind w:firstLine="420" w:firstLineChars="200"/>
        <w:rPr>
          <w:rFonts w:ascii="宋体" w:eastAsia="宋体" w:hAnsi="宋体" w:cs="宋体"/>
          <w:szCs w:val="21"/>
        </w:rPr>
      </w:pPr>
      <w:r>
        <w:rPr>
          <w:rFonts w:ascii="宋体" w:eastAsia="宋体" w:hAnsi="宋体" w:cs="宋体" w:hint="eastAsia"/>
          <w:szCs w:val="21"/>
        </w:rPr>
        <w:t>如果系统在试运行和验收工作进行期间发现未能满足合同和招标文件中列举的全部要求、未能实现合同和招标文件中列举的全部功能和非功能要求、未能达到合同和招标文件中列举的全部指标、文档不齐全或者与甲方其他要求的内容不符，甲方有权推迟系统验收时间并要求乙方在甲方规定的期间内整改至符合本项目要求，乙方承担因此导致的项目系统迟延交付的责任。</w:t>
      </w:r>
      <w:r>
        <w:rPr>
          <w:rFonts w:ascii="宋体" w:eastAsia="宋体" w:hAnsi="宋体" w:cs="宋体"/>
          <w:szCs w:val="21"/>
        </w:rPr>
        <w:t>系统通过</w:t>
      </w:r>
      <w:r>
        <w:rPr>
          <w:rFonts w:ascii="宋体" w:eastAsia="宋体" w:hAnsi="宋体" w:cs="宋体" w:hint="eastAsia"/>
          <w:szCs w:val="21"/>
        </w:rPr>
        <w:t>终验</w:t>
      </w:r>
      <w:r>
        <w:rPr>
          <w:rFonts w:ascii="宋体" w:eastAsia="宋体" w:hAnsi="宋体" w:cs="宋体"/>
          <w:szCs w:val="21"/>
        </w:rPr>
        <w:t>后，所有文档</w:t>
      </w:r>
      <w:r>
        <w:rPr>
          <w:rFonts w:ascii="宋体" w:eastAsia="宋体" w:hAnsi="宋体" w:cs="宋体" w:hint="eastAsia"/>
          <w:szCs w:val="21"/>
        </w:rPr>
        <w:t>资料</w:t>
      </w:r>
      <w:r>
        <w:rPr>
          <w:rFonts w:ascii="宋体" w:eastAsia="宋体" w:hAnsi="宋体" w:cs="宋体"/>
          <w:szCs w:val="21"/>
        </w:rPr>
        <w:t>、软件和</w:t>
      </w:r>
      <w:r>
        <w:rPr>
          <w:rFonts w:ascii="宋体" w:eastAsia="宋体" w:hAnsi="宋体" w:cs="宋体" w:hint="eastAsia"/>
          <w:szCs w:val="21"/>
        </w:rPr>
        <w:t>资产</w:t>
      </w:r>
      <w:r>
        <w:rPr>
          <w:rFonts w:ascii="宋体" w:eastAsia="宋体" w:hAnsi="宋体" w:cs="宋体"/>
          <w:szCs w:val="21"/>
        </w:rPr>
        <w:t>由甲方统一归档</w:t>
      </w:r>
      <w:r>
        <w:rPr>
          <w:rFonts w:ascii="宋体" w:eastAsia="宋体" w:hAnsi="宋体" w:cs="宋体" w:hint="eastAsia"/>
          <w:szCs w:val="21"/>
        </w:rPr>
        <w:t>保管</w:t>
      </w:r>
      <w:r>
        <w:rPr>
          <w:rFonts w:ascii="宋体" w:eastAsia="宋体" w:hAnsi="宋体" w:cs="宋体"/>
          <w:szCs w:val="21"/>
        </w:rPr>
        <w:t>。</w:t>
      </w:r>
    </w:p>
    <w:p>
      <w:pPr>
        <w:keepNext/>
        <w:keepLines/>
        <w:numPr>
          <w:ilvl w:val="0"/>
          <w:numId w:val="11"/>
        </w:numPr>
        <w:spacing w:before="60" w:after="60" w:line="360" w:lineRule="auto"/>
        <w:ind w:left="0" w:firstLine="420" w:firstLineChars="200"/>
        <w:outlineLvl w:val="1"/>
        <w:rPr>
          <w:rFonts w:ascii="宋体" w:eastAsia="宋体" w:hAnsi="宋体" w:cs="宋体"/>
          <w:b/>
          <w:bCs/>
          <w:szCs w:val="21"/>
        </w:rPr>
      </w:pPr>
      <w:bookmarkStart w:id="227" w:name="_Toc150439566"/>
      <w:r>
        <w:rPr>
          <w:rFonts w:ascii="宋体" w:eastAsia="宋体" w:hAnsi="宋体" w:cs="宋体" w:hint="eastAsia"/>
          <w:b/>
          <w:bCs/>
          <w:szCs w:val="21"/>
        </w:rPr>
        <w:t>质量保证</w:t>
      </w:r>
      <w:bookmarkEnd w:id="227"/>
    </w:p>
    <w:p>
      <w:pPr>
        <w:ind w:firstLine="420" w:firstLineChars="200"/>
        <w:rPr>
          <w:rFonts w:ascii="宋体" w:eastAsia="宋体" w:hAnsi="宋体" w:cs="宋体"/>
          <w:szCs w:val="21"/>
        </w:rPr>
      </w:pPr>
      <w:r>
        <w:rPr>
          <w:rFonts w:ascii="宋体" w:eastAsia="宋体" w:hAnsi="宋体" w:cs="宋体" w:hint="eastAsia"/>
          <w:szCs w:val="21"/>
        </w:rPr>
        <w:t>项目通过终验后，软件进入质量保证期。软件质量标准按照国标的软件工程化和质量保证要求执行。</w:t>
      </w:r>
    </w:p>
    <w:p>
      <w:pPr>
        <w:numPr>
          <w:ilvl w:val="0"/>
          <w:numId w:val="41"/>
        </w:numPr>
        <w:spacing w:line="360" w:lineRule="auto"/>
        <w:ind w:firstLine="420" w:firstLineChars="200"/>
        <w:rPr>
          <w:rFonts w:ascii="宋体" w:eastAsia="宋体" w:hAnsi="宋体" w:cs="宋体"/>
          <w:szCs w:val="21"/>
        </w:rPr>
      </w:pPr>
      <w:r>
        <w:rPr>
          <w:rFonts w:ascii="宋体" w:eastAsia="宋体" w:hAnsi="宋体" w:cs="宋体" w:hint="eastAsia"/>
          <w:szCs w:val="21"/>
        </w:rPr>
        <w:t>乙方应对提交的软件产品提供为期</w:t>
      </w:r>
      <w:r>
        <w:rPr>
          <w:rFonts w:ascii="宋体" w:eastAsia="宋体" w:hAnsi="宋体" w:cs="宋体" w:hint="eastAsia"/>
          <w:szCs w:val="21"/>
          <w:u w:val="single"/>
        </w:rPr>
        <w:t xml:space="preserve">     </w:t>
      </w:r>
      <w:r>
        <w:rPr>
          <w:rFonts w:ascii="宋体" w:eastAsia="宋体" w:hAnsi="宋体" w:cs="宋体" w:hint="eastAsia"/>
          <w:szCs w:val="21"/>
        </w:rPr>
        <w:t>的质量保证期。</w:t>
      </w:r>
    </w:p>
    <w:p>
      <w:pPr>
        <w:numPr>
          <w:ilvl w:val="0"/>
          <w:numId w:val="41"/>
        </w:numPr>
        <w:spacing w:line="360" w:lineRule="auto"/>
        <w:ind w:firstLine="420" w:firstLineChars="200"/>
        <w:rPr>
          <w:rFonts w:ascii="宋体" w:eastAsia="宋体" w:hAnsi="宋体" w:cs="宋体"/>
          <w:szCs w:val="21"/>
        </w:rPr>
      </w:pPr>
      <w:r>
        <w:rPr>
          <w:rFonts w:ascii="宋体" w:eastAsia="宋体" w:hAnsi="宋体" w:cs="宋体" w:hint="eastAsia"/>
          <w:szCs w:val="21"/>
        </w:rPr>
        <w:t>在质量保证期内，乙方应提供</w:t>
      </w:r>
      <w:r>
        <w:rPr>
          <w:rFonts w:ascii="宋体" w:eastAsia="宋体" w:hAnsi="宋体" w:cs="宋体" w:hint="eastAsia"/>
          <w:szCs w:val="21"/>
          <w:u w:val="single"/>
        </w:rPr>
        <w:t xml:space="preserve">     不间断</w:t>
      </w:r>
      <w:r>
        <w:rPr>
          <w:rFonts w:ascii="宋体" w:eastAsia="宋体" w:hAnsi="宋体" w:cs="宋体" w:hint="eastAsia"/>
          <w:szCs w:val="21"/>
        </w:rPr>
        <w:t>的无偿服务响应，至少保留</w:t>
      </w:r>
      <w:r>
        <w:rPr>
          <w:rFonts w:ascii="宋体" w:eastAsia="宋体" w:hAnsi="宋体" w:cs="宋体" w:hint="eastAsia"/>
          <w:szCs w:val="21"/>
          <w:u w:val="single"/>
        </w:rPr>
        <w:t xml:space="preserve">    </w:t>
      </w:r>
      <w:r>
        <w:rPr>
          <w:rFonts w:ascii="宋体" w:eastAsia="宋体" w:hAnsi="宋体" w:cs="宋体" w:hint="eastAsia"/>
          <w:szCs w:val="21"/>
        </w:rPr>
        <w:t>名工程师常驻甲方现场或随叫随到且要在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w:t>
      </w:r>
    </w:p>
    <w:p>
      <w:pPr>
        <w:numPr>
          <w:ilvl w:val="0"/>
          <w:numId w:val="41"/>
        </w:numPr>
        <w:spacing w:line="360" w:lineRule="auto"/>
        <w:ind w:firstLine="420" w:firstLineChars="200"/>
        <w:rPr>
          <w:rFonts w:ascii="宋体" w:eastAsia="宋体" w:hAnsi="宋体" w:cs="宋体"/>
          <w:szCs w:val="21"/>
        </w:rPr>
      </w:pPr>
      <w:r>
        <w:rPr>
          <w:rFonts w:ascii="宋体" w:eastAsia="宋体" w:hAnsi="宋体" w:cs="宋体" w:hint="eastAsia"/>
          <w:szCs w:val="21"/>
        </w:rPr>
        <w:t>乙方在质量保证期内提供技术支持的内容包括但不限于：</w:t>
      </w:r>
      <w:r>
        <w:rPr>
          <w:rFonts w:ascii="宋体" w:eastAsia="宋体" w:hAnsi="宋体" w:cs="宋体" w:hint="eastAsia"/>
          <w:szCs w:val="21"/>
          <w:u w:val="single"/>
        </w:rPr>
        <w:t>故障（事件）诊断与排除、系统运行安全支持、软件修改完善与升级、基础数据管理与维护等</w:t>
      </w:r>
      <w:r>
        <w:rPr>
          <w:rFonts w:ascii="宋体" w:eastAsia="宋体" w:hAnsi="宋体" w:cs="宋体" w:hint="eastAsia"/>
          <w:szCs w:val="21"/>
        </w:rPr>
        <w:t>；乙方应提供时间间隔为</w:t>
      </w:r>
      <w:r>
        <w:rPr>
          <w:rFonts w:ascii="宋体" w:eastAsia="宋体" w:hAnsi="宋体" w:cs="宋体" w:hint="eastAsia"/>
          <w:szCs w:val="21"/>
          <w:u w:val="single"/>
        </w:rPr>
        <w:t xml:space="preserve">  </w:t>
      </w:r>
    </w:p>
    <w:p>
      <w:pPr>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的定期走访甲方或时间间隔为</w:t>
      </w:r>
      <w:r>
        <w:rPr>
          <w:rFonts w:ascii="宋体" w:eastAsia="宋体" w:hAnsi="宋体" w:cs="宋体" w:hint="eastAsia"/>
          <w:szCs w:val="21"/>
          <w:u w:val="single"/>
        </w:rPr>
        <w:t xml:space="preserve">     </w:t>
      </w:r>
      <w:r>
        <w:rPr>
          <w:rFonts w:ascii="宋体" w:eastAsia="宋体" w:hAnsi="宋体" w:cs="宋体" w:hint="eastAsia"/>
          <w:szCs w:val="21"/>
        </w:rPr>
        <w:t>的定期巡检服务。</w:t>
      </w:r>
    </w:p>
    <w:p>
      <w:pPr>
        <w:numPr>
          <w:ilvl w:val="0"/>
          <w:numId w:val="41"/>
        </w:numPr>
        <w:spacing w:line="360" w:lineRule="auto"/>
        <w:ind w:firstLine="420" w:firstLineChars="200"/>
        <w:rPr>
          <w:rFonts w:ascii="宋体" w:eastAsia="宋体" w:hAnsi="宋体" w:cs="宋体"/>
          <w:szCs w:val="21"/>
        </w:rPr>
      </w:pPr>
      <w:r>
        <w:rPr>
          <w:rFonts w:ascii="宋体" w:eastAsia="宋体" w:hAnsi="宋体" w:cs="宋体" w:hint="eastAsia"/>
          <w:szCs w:val="21"/>
        </w:rPr>
        <w:t>在本期内乙方对由于设计、开发、配置、部署等缺陷而发生的任何不足负责，并提供免费的必要的升级和缺陷修改，直至甲方满意。对由此造成甲方业务连续性中断或其他损失，乙方应当根据甲方核定的情况予以全部赔偿。</w:t>
      </w:r>
    </w:p>
    <w:p>
      <w:pPr>
        <w:numPr>
          <w:ilvl w:val="0"/>
          <w:numId w:val="41"/>
        </w:numPr>
        <w:spacing w:line="360" w:lineRule="auto"/>
        <w:ind w:firstLine="420" w:firstLineChars="200"/>
        <w:rPr>
          <w:rFonts w:ascii="宋体" w:eastAsia="宋体" w:hAnsi="宋体" w:cs="宋体"/>
          <w:szCs w:val="21"/>
        </w:rPr>
      </w:pPr>
      <w:r>
        <w:rPr>
          <w:rFonts w:ascii="宋体" w:eastAsia="宋体" w:hAnsi="宋体" w:cs="宋体" w:hint="eastAsia"/>
          <w:szCs w:val="21"/>
        </w:rPr>
        <w:t>超出质量保证期后，乙方应向甲方提供响应时间在</w:t>
      </w:r>
      <w:r>
        <w:rPr>
          <w:rFonts w:ascii="宋体" w:eastAsia="宋体" w:hAnsi="宋体" w:cs="宋体" w:hint="eastAsia"/>
          <w:szCs w:val="21"/>
          <w:u w:val="single"/>
        </w:rPr>
        <w:t xml:space="preserve">     </w:t>
      </w:r>
      <w:r>
        <w:rPr>
          <w:rFonts w:ascii="宋体" w:eastAsia="宋体" w:hAnsi="宋体" w:cs="宋体" w:hint="eastAsia"/>
          <w:szCs w:val="21"/>
        </w:rPr>
        <w:t>内的技术支持服务，保证甲方可以随时找到相应的技术人员，如有必要，要在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小时之内赶到现场予以技术支持。若发生实质性需求变更，或需要乙方提供技术维护和指导的，乙方承诺以材料及人工的成本价格向甲方提供系统修改、升级及其他运维服务。</w:t>
      </w:r>
    </w:p>
    <w:p>
      <w:pPr>
        <w:keepNext/>
        <w:keepLines/>
        <w:numPr>
          <w:ilvl w:val="0"/>
          <w:numId w:val="11"/>
        </w:numPr>
        <w:spacing w:before="60" w:after="60" w:line="360" w:lineRule="auto"/>
        <w:ind w:left="0" w:firstLine="420" w:firstLineChars="200"/>
        <w:outlineLvl w:val="1"/>
        <w:rPr>
          <w:rFonts w:ascii="宋体" w:eastAsia="宋体" w:hAnsi="宋体" w:cs="宋体"/>
          <w:b/>
          <w:bCs/>
          <w:szCs w:val="21"/>
        </w:rPr>
      </w:pPr>
      <w:bookmarkStart w:id="228" w:name="_Toc150439612"/>
      <w:r>
        <w:rPr>
          <w:rFonts w:ascii="宋体" w:eastAsia="宋体" w:hAnsi="宋体" w:cs="宋体" w:hint="eastAsia"/>
          <w:b/>
          <w:bCs/>
          <w:szCs w:val="21"/>
        </w:rPr>
        <w:t>保密条款（保密协议）</w:t>
      </w:r>
      <w:bookmarkEnd w:id="228"/>
    </w:p>
    <w:p>
      <w:pPr>
        <w:ind w:firstLine="420" w:firstLineChars="200"/>
        <w:rPr>
          <w:rFonts w:ascii="宋体" w:eastAsia="宋体" w:hAnsi="宋体" w:cs="宋体"/>
          <w:szCs w:val="21"/>
        </w:rPr>
      </w:pPr>
      <w:r>
        <w:rPr>
          <w:rFonts w:ascii="宋体" w:eastAsia="宋体" w:hAnsi="宋体" w:cs="宋体" w:hint="eastAsia"/>
          <w:szCs w:val="21"/>
        </w:rPr>
        <w:t>甲方因履行本合同应遵守的保密义务如下：</w:t>
      </w:r>
    </w:p>
    <w:p>
      <w:pPr>
        <w:numPr>
          <w:ilvl w:val="0"/>
          <w:numId w:val="42"/>
        </w:numPr>
        <w:spacing w:line="360" w:lineRule="auto"/>
        <w:ind w:firstLine="420" w:firstLineChars="200"/>
        <w:rPr>
          <w:rFonts w:ascii="宋体" w:eastAsia="宋体" w:hAnsi="宋体" w:cs="宋体"/>
          <w:szCs w:val="21"/>
        </w:rPr>
      </w:pPr>
      <w:bookmarkStart w:id="229" w:name="_Hlk150343297"/>
      <w:r>
        <w:rPr>
          <w:rFonts w:ascii="宋体" w:eastAsia="宋体" w:hAnsi="宋体" w:cs="宋体" w:hint="eastAsia"/>
          <w:szCs w:val="21"/>
        </w:rPr>
        <w:t xml:space="preserve">保密内容（包括技术信息和经营信息）: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pPr>
        <w:numPr>
          <w:ilvl w:val="0"/>
          <w:numId w:val="42"/>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                                              ；</w:t>
      </w:r>
    </w:p>
    <w:p>
      <w:pPr>
        <w:numPr>
          <w:ilvl w:val="0"/>
          <w:numId w:val="42"/>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保密期限：</w:t>
      </w:r>
      <w:r>
        <w:rPr>
          <w:rFonts w:ascii="宋体" w:eastAsia="宋体" w:hAnsi="宋体" w:cs="宋体" w:hint="eastAsia"/>
          <w:szCs w:val="21"/>
          <w:u w:val="single"/>
        </w:rPr>
        <w:t xml:space="preserve">                                                 ；</w:t>
      </w:r>
    </w:p>
    <w:p>
      <w:pPr>
        <w:numPr>
          <w:ilvl w:val="0"/>
          <w:numId w:val="42"/>
        </w:numPr>
        <w:spacing w:line="360" w:lineRule="auto"/>
        <w:ind w:firstLine="420" w:firstLineChars="200"/>
        <w:rPr>
          <w:rFonts w:ascii="宋体" w:eastAsia="宋体" w:hAnsi="宋体" w:cs="宋体"/>
          <w:szCs w:val="21"/>
        </w:rPr>
      </w:pPr>
      <w:r>
        <w:rPr>
          <w:rFonts w:ascii="宋体" w:eastAsia="宋体" w:hAnsi="宋体" w:cs="宋体" w:hint="eastAsia"/>
          <w:szCs w:val="21"/>
        </w:rPr>
        <w:t>泄密责任：</w:t>
      </w:r>
      <w:r>
        <w:rPr>
          <w:rFonts w:ascii="宋体" w:eastAsia="宋体" w:hAnsi="宋体" w:cs="宋体" w:hint="eastAsia"/>
          <w:szCs w:val="21"/>
          <w:u w:val="single"/>
        </w:rPr>
        <w:t xml:space="preserve">                                                 。</w:t>
      </w:r>
    </w:p>
    <w:bookmarkEnd w:id="229"/>
    <w:p>
      <w:pPr>
        <w:ind w:firstLine="420" w:firstLineChars="200"/>
        <w:rPr>
          <w:rFonts w:ascii="宋体" w:eastAsia="宋体" w:hAnsi="宋体" w:cs="宋体"/>
          <w:szCs w:val="21"/>
        </w:rPr>
      </w:pPr>
      <w:r>
        <w:rPr>
          <w:rFonts w:ascii="宋体" w:eastAsia="宋体" w:hAnsi="宋体" w:cs="宋体" w:hint="eastAsia"/>
          <w:szCs w:val="21"/>
        </w:rPr>
        <w:t>乙方因履行本合同应遵守的保密义务如下：</w:t>
      </w:r>
    </w:p>
    <w:p>
      <w:pPr>
        <w:numPr>
          <w:ilvl w:val="0"/>
          <w:numId w:val="43"/>
        </w:numPr>
        <w:spacing w:line="360" w:lineRule="auto"/>
        <w:ind w:firstLine="420" w:firstLineChars="200"/>
        <w:rPr>
          <w:rFonts w:ascii="宋体" w:eastAsia="宋体" w:hAnsi="宋体" w:cs="宋体"/>
          <w:szCs w:val="21"/>
        </w:rPr>
      </w:pPr>
      <w:r>
        <w:rPr>
          <w:rFonts w:ascii="宋体" w:eastAsia="宋体" w:hAnsi="宋体" w:cs="宋体" w:hint="eastAsia"/>
          <w:szCs w:val="21"/>
        </w:rPr>
        <w:t>保密内容（包括技术信息和经营信息）：</w:t>
      </w:r>
    </w:p>
    <w:p>
      <w:pPr>
        <w:numPr>
          <w:ilvl w:val="0"/>
          <w:numId w:val="44"/>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乙方必须实施防止数据泄露的措施。乙方在对甲方进行系统实施服务过程中，对所取得的甲方资料、数据等应严格保密，不得外泄。                                                                     </w:t>
      </w:r>
    </w:p>
    <w:p>
      <w:pPr>
        <w:numPr>
          <w:ilvl w:val="0"/>
          <w:numId w:val="44"/>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乙方按照投标承诺严格执行内控、保密管理制度。在本项目实施过程中产生的任何文档资料，包括但不限于来往信函、邮件、产品信息，均应保密，乙方应采取严格的保密措施，未经甲方书面许可，不得向第三方透露。                                         </w:t>
      </w:r>
    </w:p>
    <w:p>
      <w:pPr>
        <w:numPr>
          <w:ilvl w:val="0"/>
          <w:numId w:val="44"/>
        </w:numPr>
        <w:spacing w:line="360" w:lineRule="auto"/>
        <w:ind w:firstLine="420"/>
        <w:rPr>
          <w:rFonts w:ascii="宋体" w:eastAsia="宋体" w:hAnsi="宋体" w:cs="宋体"/>
          <w:szCs w:val="21"/>
          <w:u w:val="single"/>
        </w:rPr>
      </w:pPr>
      <w:r>
        <w:rPr>
          <w:rFonts w:ascii="宋体" w:eastAsia="宋体" w:hAnsi="宋体" w:cs="宋体" w:hint="eastAsia"/>
          <w:szCs w:val="21"/>
          <w:u w:val="single"/>
        </w:rPr>
        <w:t xml:space="preserve">涉及国家秘密和安全的 ，依照有关保密规定执行。                          </w:t>
      </w:r>
    </w:p>
    <w:p>
      <w:pPr>
        <w:numPr>
          <w:ilvl w:val="0"/>
          <w:numId w:val="43"/>
        </w:numPr>
        <w:spacing w:line="360" w:lineRule="auto"/>
        <w:ind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所有参与本项目人员。                                      </w:t>
      </w:r>
    </w:p>
    <w:p>
      <w:pPr>
        <w:numPr>
          <w:ilvl w:val="0"/>
          <w:numId w:val="43"/>
        </w:numPr>
        <w:spacing w:line="360" w:lineRule="auto"/>
        <w:ind w:firstLine="420" w:firstLineChars="200"/>
        <w:rPr>
          <w:rFonts w:ascii="宋体" w:eastAsia="宋体" w:hAnsi="宋体" w:cs="宋体"/>
          <w:szCs w:val="21"/>
        </w:rPr>
      </w:pPr>
      <w:r>
        <w:rPr>
          <w:rFonts w:ascii="宋体" w:eastAsia="宋体" w:hAnsi="宋体" w:cs="宋体" w:hint="eastAsia"/>
          <w:szCs w:val="21"/>
        </w:rPr>
        <w:t>保密期限：</w:t>
      </w:r>
      <w:bookmarkStart w:id="230" w:name="_Hlk150343509"/>
      <w:r>
        <w:rPr>
          <w:rFonts w:ascii="宋体" w:eastAsia="宋体" w:hAnsi="宋体" w:cs="宋体" w:hint="eastAsia"/>
          <w:szCs w:val="21"/>
          <w:u w:val="single"/>
        </w:rPr>
        <w:t xml:space="preserve">                             </w:t>
      </w:r>
      <w:bookmarkEnd w:id="230"/>
      <w:r>
        <w:rPr>
          <w:rFonts w:ascii="宋体" w:eastAsia="宋体" w:hAnsi="宋体" w:cs="宋体" w:hint="eastAsia"/>
          <w:szCs w:val="21"/>
          <w:u w:val="single"/>
        </w:rPr>
        <w:t xml:space="preserve">                                </w:t>
      </w:r>
    </w:p>
    <w:p>
      <w:pPr>
        <w:numPr>
          <w:ilvl w:val="0"/>
          <w:numId w:val="43"/>
        </w:numPr>
        <w:spacing w:line="360" w:lineRule="auto"/>
        <w:ind w:firstLine="420" w:firstLineChars="200"/>
        <w:rPr>
          <w:rFonts w:ascii="宋体" w:eastAsia="宋体" w:hAnsi="宋体" w:cs="宋体"/>
          <w:szCs w:val="21"/>
          <w:u w:val="single"/>
        </w:rPr>
      </w:pPr>
      <w:r>
        <w:rPr>
          <w:rFonts w:ascii="宋体" w:eastAsia="宋体" w:hAnsi="宋体" w:cs="宋体" w:hint="eastAsia"/>
          <w:szCs w:val="21"/>
        </w:rPr>
        <w:t>泄密责任：</w:t>
      </w:r>
      <w:r>
        <w:rPr>
          <w:rFonts w:ascii="宋体" w:eastAsia="宋体" w:hAnsi="宋体" w:cs="宋体" w:hint="eastAsia"/>
          <w:szCs w:val="21"/>
          <w:u w:val="single"/>
        </w:rPr>
        <w:t xml:space="preserve">由于乙方泄密给甲方造成损失的，甲方可依据我国法律相关规定，选择移送司法机关依法办理。乙方应赔偿甲方的全部损失并向甲方承担违约责任。           </w:t>
      </w:r>
    </w:p>
    <w:p>
      <w:pPr>
        <w:ind w:firstLine="420" w:firstLineChars="200"/>
        <w:rPr>
          <w:rFonts w:ascii="宋体" w:eastAsia="宋体" w:hAnsi="宋体" w:cs="宋体"/>
          <w:szCs w:val="21"/>
        </w:rPr>
      </w:pPr>
      <w:r>
        <w:rPr>
          <w:rFonts w:ascii="宋体" w:eastAsia="宋体" w:hAnsi="宋体" w:cs="宋体" w:hint="eastAsia"/>
          <w:color w:val="000000"/>
          <w:szCs w:val="21"/>
        </w:rPr>
        <w:t>本合同的解除或终止不免除甲乙双方应承担的保密义务。</w:t>
      </w:r>
    </w:p>
    <w:p>
      <w:pPr>
        <w:keepNext/>
        <w:keepLines/>
        <w:numPr>
          <w:ilvl w:val="0"/>
          <w:numId w:val="11"/>
        </w:numPr>
        <w:spacing w:before="60" w:after="60" w:line="360" w:lineRule="auto"/>
        <w:ind w:left="0" w:firstLine="420" w:firstLineChars="200"/>
        <w:outlineLvl w:val="1"/>
        <w:rPr>
          <w:rFonts w:ascii="宋体" w:eastAsia="宋体" w:hAnsi="宋体" w:cs="宋体"/>
          <w:b/>
          <w:bCs/>
          <w:szCs w:val="21"/>
        </w:rPr>
      </w:pPr>
      <w:bookmarkStart w:id="231" w:name="_Toc150439618"/>
      <w:r>
        <w:rPr>
          <w:rFonts w:ascii="宋体" w:eastAsia="宋体" w:hAnsi="宋体" w:cs="宋体" w:hint="eastAsia"/>
          <w:b/>
          <w:bCs/>
          <w:szCs w:val="21"/>
        </w:rPr>
        <w:t>违约</w:t>
      </w:r>
      <w:r>
        <w:rPr>
          <w:rFonts w:ascii="宋体" w:eastAsia="宋体" w:hAnsi="宋体" w:cs="宋体"/>
          <w:b/>
          <w:bCs/>
          <w:szCs w:val="21"/>
        </w:rPr>
        <w:t>责任及赔偿</w:t>
      </w:r>
      <w:bookmarkEnd w:id="231"/>
    </w:p>
    <w:p>
      <w:pPr>
        <w:ind w:firstLine="420" w:firstLineChars="200"/>
        <w:rPr>
          <w:rFonts w:ascii="宋体" w:eastAsia="宋体" w:hAnsi="宋体" w:cs="宋体"/>
          <w:szCs w:val="21"/>
        </w:rPr>
      </w:pPr>
      <w:r>
        <w:rPr>
          <w:rFonts w:ascii="宋体" w:eastAsia="宋体" w:hAnsi="宋体" w:cs="宋体" w:hint="eastAsia"/>
          <w:szCs w:val="21"/>
        </w:rPr>
        <w:t>任何一方违反本合同约定，造成研究开发工作停滞、延误或失败的，按以下约定承担违约责任：</w:t>
      </w:r>
    </w:p>
    <w:p>
      <w:pPr>
        <w:numPr>
          <w:ilvl w:val="0"/>
          <w:numId w:val="45"/>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w:t>
      </w:r>
      <w:r>
        <w:rPr>
          <w:rFonts w:ascii="宋体" w:eastAsia="宋体" w:hAnsi="宋体" w:cs="宋体"/>
          <w:szCs w:val="21"/>
        </w:rPr>
        <w:t>乙方</w:t>
      </w:r>
      <w:r>
        <w:rPr>
          <w:rFonts w:ascii="宋体" w:eastAsia="宋体" w:hAnsi="宋体" w:cs="宋体" w:hint="eastAsia"/>
          <w:szCs w:val="21"/>
        </w:rPr>
        <w:t>未能按期</w:t>
      </w:r>
      <w:r>
        <w:rPr>
          <w:rFonts w:ascii="宋体" w:eastAsia="宋体" w:hAnsi="宋体" w:cs="宋体"/>
          <w:szCs w:val="21"/>
        </w:rPr>
        <w:t>交付</w:t>
      </w:r>
      <w:r>
        <w:rPr>
          <w:rFonts w:ascii="宋体" w:eastAsia="宋体" w:hAnsi="宋体" w:cs="宋体" w:hint="eastAsia"/>
          <w:szCs w:val="21"/>
        </w:rPr>
        <w:t>符合本合同约定的开发</w:t>
      </w:r>
      <w:r>
        <w:rPr>
          <w:rFonts w:ascii="宋体" w:eastAsia="宋体" w:hAnsi="宋体" w:cs="宋体"/>
          <w:szCs w:val="21"/>
        </w:rPr>
        <w:t>成果</w:t>
      </w:r>
      <w:r>
        <w:rPr>
          <w:rFonts w:ascii="宋体" w:eastAsia="宋体" w:hAnsi="宋体" w:cs="宋体" w:hint="eastAsia"/>
          <w:szCs w:val="21"/>
        </w:rPr>
        <w:t>（包括测试版本及正式版本）的</w:t>
      </w:r>
      <w:r>
        <w:rPr>
          <w:rFonts w:ascii="宋体" w:eastAsia="宋体" w:hAnsi="宋体" w:cs="宋体"/>
          <w:szCs w:val="21"/>
        </w:rPr>
        <w:t>，每</w:t>
      </w:r>
      <w:r>
        <w:rPr>
          <w:rFonts w:ascii="宋体" w:eastAsia="宋体" w:hAnsi="宋体" w:cs="宋体" w:hint="eastAsia"/>
          <w:szCs w:val="21"/>
        </w:rPr>
        <w:t>逾期</w:t>
      </w:r>
      <w:r>
        <w:rPr>
          <w:rFonts w:ascii="宋体" w:eastAsia="宋体" w:hAnsi="宋体" w:cs="宋体"/>
          <w:szCs w:val="21"/>
        </w:rPr>
        <w:t>一</w:t>
      </w:r>
      <w:r>
        <w:rPr>
          <w:rFonts w:ascii="宋体" w:eastAsia="宋体" w:hAnsi="宋体" w:cs="宋体" w:hint="eastAsia"/>
          <w:szCs w:val="21"/>
        </w:rPr>
        <w:t>日</w:t>
      </w:r>
      <w:r>
        <w:rPr>
          <w:rFonts w:ascii="宋体" w:eastAsia="宋体" w:hAnsi="宋体" w:cs="宋体"/>
          <w:szCs w:val="21"/>
        </w:rPr>
        <w:t>，乙方应支付本合同开发费用总额</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%的违约金，</w:t>
      </w:r>
      <w:r>
        <w:rPr>
          <w:rFonts w:ascii="宋体" w:eastAsia="宋体" w:hAnsi="宋体" w:cs="宋体" w:hint="eastAsia"/>
          <w:szCs w:val="21"/>
        </w:rPr>
        <w:t>并继续履行本合同规定的义务；逾期</w:t>
      </w:r>
      <w:r>
        <w:rPr>
          <w:rFonts w:ascii="宋体" w:eastAsia="宋体" w:hAnsi="宋体" w:cs="宋体"/>
          <w:szCs w:val="21"/>
          <w:u w:val="single"/>
        </w:rPr>
        <w:t>【</w:t>
      </w:r>
      <w:r>
        <w:rPr>
          <w:rFonts w:ascii="宋体" w:eastAsia="宋体" w:hAnsi="宋体" w:cs="宋体" w:hint="eastAsia"/>
          <w:szCs w:val="21"/>
          <w:u w:val="single"/>
        </w:rPr>
        <w:t xml:space="preserve">  </w:t>
      </w:r>
      <w:r>
        <w:rPr>
          <w:rFonts w:ascii="宋体" w:eastAsia="宋体" w:hAnsi="宋体" w:cs="宋体"/>
          <w:szCs w:val="21"/>
          <w:u w:val="single"/>
        </w:rPr>
        <w:t>】</w:t>
      </w:r>
      <w:r>
        <w:rPr>
          <w:rFonts w:ascii="宋体" w:eastAsia="宋体" w:hAnsi="宋体" w:cs="宋体"/>
          <w:szCs w:val="21"/>
        </w:rPr>
        <w:t>日以上的，甲方有权单方解除本合同</w:t>
      </w:r>
      <w:r>
        <w:rPr>
          <w:rFonts w:ascii="宋体" w:eastAsia="宋体" w:hAnsi="宋体" w:cs="宋体" w:hint="eastAsia"/>
          <w:szCs w:val="21"/>
        </w:rPr>
        <w:t>，且乙方全额返还甲方已付款，并按合同总额的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r>
        <w:rPr>
          <w:rFonts w:ascii="宋体" w:eastAsia="宋体" w:hAnsi="宋体" w:cs="宋体" w:hint="eastAsia"/>
          <w:szCs w:val="21"/>
        </w:rPr>
        <w:t>因甲方原因造成乙方不能按期完成的，经甲方确认后，乙方开发期限可以相应顺延。</w:t>
      </w:r>
    </w:p>
    <w:p>
      <w:pPr>
        <w:numPr>
          <w:ilvl w:val="0"/>
          <w:numId w:val="45"/>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乙方未按确认的计划进度实施研究开发工作的，甲方有权要求其实施研究开发计划并采取补救措施。乙方逾期</w:t>
      </w:r>
      <w:r>
        <w:rPr>
          <w:rFonts w:ascii="宋体" w:eastAsia="宋体" w:hAnsi="宋体" w:cs="宋体" w:hint="eastAsia"/>
          <w:szCs w:val="21"/>
          <w:u w:val="single"/>
        </w:rPr>
        <w:t>【  】</w:t>
      </w:r>
      <w:r>
        <w:rPr>
          <w:rFonts w:ascii="宋体" w:eastAsia="宋体" w:hAnsi="宋体" w:cs="宋体" w:hint="eastAsia"/>
          <w:szCs w:val="21"/>
        </w:rPr>
        <w:t>个月不实施研究开发计划的，甲方有权解除本合同。乙方应当支付数额为本项目开发费用总额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pPr>
        <w:numPr>
          <w:ilvl w:val="0"/>
          <w:numId w:val="45"/>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本系统软件的研究开发成果经甲方或者甲方聘请的第三方验收确认为部分或者全部不符合本合同约定条件标准的，乙方应当返还部分或者全部研究开发经费，并支付数额为本项目开发费用总额</w:t>
      </w:r>
      <w:r>
        <w:rPr>
          <w:rFonts w:ascii="宋体" w:eastAsia="宋体" w:hAnsi="宋体" w:cs="宋体" w:hint="eastAsia"/>
          <w:szCs w:val="21"/>
          <w:u w:val="single"/>
        </w:rPr>
        <w:t>【  】</w:t>
      </w:r>
      <w:r>
        <w:rPr>
          <w:rFonts w:ascii="宋体" w:eastAsia="宋体" w:hAnsi="宋体" w:cs="宋体" w:hint="eastAsia"/>
          <w:szCs w:val="21"/>
        </w:rPr>
        <w:t>%的违约金。</w:t>
      </w:r>
    </w:p>
    <w:p>
      <w:pPr>
        <w:numPr>
          <w:ilvl w:val="0"/>
          <w:numId w:val="45"/>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如乙方交付的软件系统，经甲方试运行</w:t>
      </w:r>
      <w:r>
        <w:rPr>
          <w:rFonts w:ascii="宋体" w:eastAsia="宋体" w:hAnsi="宋体" w:cs="宋体" w:hint="eastAsia"/>
          <w:szCs w:val="21"/>
          <w:u w:val="single"/>
        </w:rPr>
        <w:t>【  】</w:t>
      </w:r>
      <w:r>
        <w:rPr>
          <w:rFonts w:ascii="宋体" w:eastAsia="宋体" w:hAnsi="宋体" w:cs="宋体" w:hint="eastAsia"/>
          <w:szCs w:val="21"/>
        </w:rPr>
        <w:t>天内不能通过交工验收的，视为乙方不能交付符合本合同约定的技术成果，</w:t>
      </w:r>
      <w:r>
        <w:rPr>
          <w:rFonts w:ascii="宋体" w:eastAsia="宋体" w:hAnsi="宋体" w:cs="宋体"/>
          <w:szCs w:val="21"/>
        </w:rPr>
        <w:t>甲方有权单方解除本合同</w:t>
      </w:r>
      <w:r>
        <w:rPr>
          <w:rFonts w:ascii="宋体" w:eastAsia="宋体" w:hAnsi="宋体" w:cs="宋体" w:hint="eastAsia"/>
          <w:szCs w:val="21"/>
        </w:rPr>
        <w:t>，乙方除全额返还甲方已付款外，并按合同金额的</w:t>
      </w:r>
      <w:r>
        <w:rPr>
          <w:rFonts w:ascii="宋体" w:eastAsia="宋体" w:hAnsi="宋体" w:cs="宋体" w:hint="eastAsia"/>
          <w:szCs w:val="21"/>
          <w:u w:val="single"/>
        </w:rPr>
        <w:t>【  】</w:t>
      </w:r>
      <w:r>
        <w:rPr>
          <w:rFonts w:ascii="宋体" w:eastAsia="宋体" w:hAnsi="宋体" w:cs="宋体" w:hint="eastAsia"/>
          <w:szCs w:val="21"/>
        </w:rPr>
        <w:t>%向甲方承担违约责任</w:t>
      </w:r>
      <w:r>
        <w:rPr>
          <w:rFonts w:ascii="宋体" w:eastAsia="宋体" w:hAnsi="宋体" w:cs="宋体"/>
          <w:szCs w:val="21"/>
        </w:rPr>
        <w:t>。</w:t>
      </w:r>
    </w:p>
    <w:p>
      <w:pPr>
        <w:numPr>
          <w:ilvl w:val="0"/>
          <w:numId w:val="45"/>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在执行本合同过程中，乙方违反本合同之约定，均为违约。除本合同另有约定外，经甲方书面催告后</w:t>
      </w:r>
      <w:r>
        <w:rPr>
          <w:rFonts w:ascii="宋体" w:eastAsia="宋体" w:hAnsi="宋体" w:cs="宋体" w:hint="eastAsia"/>
          <w:szCs w:val="21"/>
          <w:u w:val="single"/>
        </w:rPr>
        <w:t>【  】</w:t>
      </w:r>
      <w:r>
        <w:rPr>
          <w:rFonts w:ascii="宋体" w:eastAsia="宋体" w:hAnsi="宋体" w:cs="宋体" w:hint="eastAsia"/>
          <w:szCs w:val="21"/>
        </w:rPr>
        <w:t>日内仍拒绝履行或拒绝改正完毕的，甲方有权单方解除本合同，乙方除向甲方支付相当于合同金额的</w:t>
      </w:r>
      <w:r>
        <w:rPr>
          <w:rFonts w:ascii="宋体" w:eastAsia="宋体" w:hAnsi="宋体" w:cs="宋体" w:hint="eastAsia"/>
          <w:szCs w:val="21"/>
          <w:u w:val="single"/>
        </w:rPr>
        <w:t>【  】</w:t>
      </w:r>
      <w:r>
        <w:rPr>
          <w:rFonts w:ascii="宋体" w:eastAsia="宋体" w:hAnsi="宋体" w:cs="宋体" w:hint="eastAsia"/>
          <w:szCs w:val="21"/>
        </w:rPr>
        <w:t>%的违约金，还须承担甲方为取得此等赔偿而支出的所有费用损失，包括但不限于甲方直接的经济投入、甲方由此遭受第三方的处罚、因调查取证或提请仲裁而产生的仲裁费、诉讼费、律师费、差旅费等仲裁诉讼费用。</w:t>
      </w:r>
    </w:p>
    <w:p>
      <w:pPr>
        <w:numPr>
          <w:ilvl w:val="0"/>
          <w:numId w:val="45"/>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乙方执行本合同过程中，由于自然因素、人为因素、技术漏洞或管理缺陷产生的对气象部门的伤害或损失，不包含资金风险，乙方承担相应的法律责任。</w:t>
      </w:r>
    </w:p>
    <w:p>
      <w:pPr>
        <w:numPr>
          <w:ilvl w:val="0"/>
          <w:numId w:val="45"/>
        </w:numPr>
        <w:adjustRightInd w:val="0"/>
        <w:spacing w:line="360" w:lineRule="auto"/>
        <w:ind w:firstLine="420" w:firstLineChars="200"/>
        <w:textAlignment w:val="baseline"/>
        <w:rPr>
          <w:rFonts w:ascii="宋体" w:eastAsia="宋体" w:hAnsi="宋体" w:cs="宋体"/>
          <w:szCs w:val="21"/>
        </w:rPr>
      </w:pPr>
      <w:r>
        <w:rPr>
          <w:rFonts w:ascii="宋体" w:eastAsia="宋体" w:hAnsi="宋体" w:cs="宋体" w:hint="eastAsia"/>
          <w:szCs w:val="21"/>
        </w:rPr>
        <w:t>乙方有关</w:t>
      </w:r>
      <w:r>
        <w:rPr>
          <w:rFonts w:ascii="宋体" w:eastAsia="宋体" w:hAnsi="宋体" w:cs="宋体"/>
          <w:szCs w:val="21"/>
        </w:rPr>
        <w:t>资质在</w:t>
      </w:r>
      <w:r>
        <w:rPr>
          <w:rFonts w:ascii="宋体" w:eastAsia="宋体" w:hAnsi="宋体" w:cs="宋体" w:hint="eastAsia"/>
          <w:szCs w:val="21"/>
        </w:rPr>
        <w:t>合同执行</w:t>
      </w:r>
      <w:r>
        <w:rPr>
          <w:rFonts w:ascii="宋体" w:eastAsia="宋体" w:hAnsi="宋体" w:cs="宋体"/>
          <w:szCs w:val="21"/>
        </w:rPr>
        <w:t>完</w:t>
      </w:r>
      <w:r>
        <w:rPr>
          <w:rFonts w:ascii="宋体" w:eastAsia="宋体" w:hAnsi="宋体" w:cs="宋体" w:hint="eastAsia"/>
          <w:szCs w:val="21"/>
        </w:rPr>
        <w:t>毕之前到期的，应确保该资质有效期得到延长至合同执行完毕之后，或者取得有效期至执行合同完毕之后的更高等级的该资质，否则甲</w:t>
      </w:r>
      <w:r>
        <w:rPr>
          <w:rFonts w:ascii="宋体" w:eastAsia="宋体" w:hAnsi="宋体" w:cs="宋体"/>
          <w:szCs w:val="21"/>
        </w:rPr>
        <w:t>方有权</w:t>
      </w:r>
      <w:r>
        <w:rPr>
          <w:rFonts w:ascii="宋体" w:eastAsia="宋体" w:hAnsi="宋体" w:cs="宋体" w:hint="eastAsia"/>
          <w:szCs w:val="21"/>
        </w:rPr>
        <w:t>中止合同，并</w:t>
      </w:r>
      <w:r>
        <w:rPr>
          <w:rFonts w:ascii="宋体" w:eastAsia="宋体" w:hAnsi="宋体" w:cs="宋体"/>
          <w:szCs w:val="21"/>
        </w:rPr>
        <w:t>追究</w:t>
      </w:r>
      <w:r>
        <w:rPr>
          <w:rFonts w:ascii="宋体" w:eastAsia="宋体" w:hAnsi="宋体" w:cs="宋体" w:hint="eastAsia"/>
          <w:szCs w:val="21"/>
        </w:rPr>
        <w:t>乙</w:t>
      </w:r>
      <w:r>
        <w:rPr>
          <w:rFonts w:ascii="宋体" w:eastAsia="宋体" w:hAnsi="宋体" w:cs="宋体"/>
          <w:szCs w:val="21"/>
        </w:rPr>
        <w:t>方的责任</w:t>
      </w:r>
      <w:r>
        <w:rPr>
          <w:rFonts w:ascii="宋体" w:eastAsia="宋体" w:hAnsi="宋体" w:cs="宋体" w:hint="eastAsia"/>
          <w:szCs w:val="21"/>
        </w:rPr>
        <w:t>。</w:t>
      </w:r>
    </w:p>
    <w:p>
      <w:pPr>
        <w:keepNext/>
        <w:keepLines/>
        <w:numPr>
          <w:ilvl w:val="0"/>
          <w:numId w:val="11"/>
        </w:numPr>
        <w:spacing w:before="60" w:after="60" w:line="360" w:lineRule="auto"/>
        <w:ind w:left="0" w:firstLine="420" w:firstLineChars="200"/>
        <w:outlineLvl w:val="1"/>
        <w:rPr>
          <w:rFonts w:ascii="宋体" w:eastAsia="宋体" w:hAnsi="宋体" w:cs="宋体"/>
          <w:b/>
          <w:bCs/>
          <w:szCs w:val="21"/>
        </w:rPr>
      </w:pPr>
      <w:bookmarkStart w:id="232" w:name="_Toc150439619"/>
      <w:r>
        <w:rPr>
          <w:rFonts w:ascii="宋体" w:eastAsia="宋体" w:hAnsi="宋体" w:cs="宋体" w:hint="eastAsia"/>
          <w:b/>
          <w:bCs/>
          <w:szCs w:val="21"/>
        </w:rPr>
        <w:t>争议的解决</w:t>
      </w:r>
      <w:bookmarkEnd w:id="232"/>
    </w:p>
    <w:p>
      <w:pPr>
        <w:ind w:firstLine="420" w:firstLineChars="200"/>
        <w:rPr>
          <w:rFonts w:ascii="宋体" w:eastAsia="宋体" w:hAnsi="宋体" w:cs="宋体"/>
          <w:szCs w:val="21"/>
        </w:rPr>
      </w:pPr>
      <w:r>
        <w:rPr>
          <w:rFonts w:ascii="宋体" w:eastAsia="宋体" w:hAnsi="宋体" w:cs="宋体" w:hint="eastAsia"/>
          <w:szCs w:val="21"/>
        </w:rPr>
        <w:t>双方因履行本合同而发生的争议，应协商、调解解决。协商、调解不成的，确定按以下第</w:t>
      </w:r>
      <w:r>
        <w:rPr>
          <w:rFonts w:ascii="宋体" w:eastAsia="宋体" w:hAnsi="宋体" w:cs="宋体" w:hint="eastAsia"/>
          <w:szCs w:val="21"/>
          <w:u w:val="single"/>
        </w:rPr>
        <w:t xml:space="preserve">      </w:t>
      </w:r>
      <w:r>
        <w:rPr>
          <w:rFonts w:ascii="宋体" w:eastAsia="宋体" w:hAnsi="宋体" w:cs="宋体" w:hint="eastAsia"/>
          <w:szCs w:val="21"/>
        </w:rPr>
        <w:t>种方式处理：</w:t>
      </w:r>
    </w:p>
    <w:p>
      <w:pPr>
        <w:numPr>
          <w:ilvl w:val="0"/>
          <w:numId w:val="46"/>
        </w:numPr>
        <w:spacing w:line="360" w:lineRule="auto"/>
        <w:ind w:hanging="5"/>
        <w:rPr>
          <w:rFonts w:ascii="宋体" w:eastAsia="宋体" w:hAnsi="宋体" w:cs="宋体"/>
          <w:szCs w:val="21"/>
        </w:rPr>
      </w:pPr>
      <w:r>
        <w:rPr>
          <w:rFonts w:ascii="宋体" w:eastAsia="宋体" w:hAnsi="宋体" w:cs="宋体" w:hint="eastAsia"/>
          <w:szCs w:val="21"/>
        </w:rPr>
        <w:t>提交</w:t>
      </w:r>
      <w:r>
        <w:rPr>
          <w:rFonts w:ascii="宋体" w:eastAsia="宋体" w:hAnsi="宋体" w:cs="宋体" w:hint="eastAsia"/>
          <w:szCs w:val="21"/>
          <w:u w:val="single"/>
        </w:rPr>
        <w:t xml:space="preserve">                    </w:t>
      </w:r>
      <w:r>
        <w:rPr>
          <w:rFonts w:ascii="宋体" w:eastAsia="宋体" w:hAnsi="宋体" w:cs="宋体" w:hint="eastAsia"/>
          <w:szCs w:val="21"/>
        </w:rPr>
        <w:t>仲裁委员会仲裁；</w:t>
      </w:r>
    </w:p>
    <w:p>
      <w:pPr>
        <w:numPr>
          <w:ilvl w:val="0"/>
          <w:numId w:val="46"/>
        </w:numPr>
        <w:spacing w:line="360" w:lineRule="auto"/>
        <w:ind w:hanging="5"/>
        <w:rPr>
          <w:rFonts w:ascii="宋体" w:eastAsia="宋体" w:hAnsi="宋体" w:cs="宋体"/>
          <w:szCs w:val="21"/>
        </w:rPr>
      </w:pPr>
      <w:r>
        <w:rPr>
          <w:rFonts w:ascii="宋体" w:eastAsia="宋体" w:hAnsi="宋体" w:cs="宋体" w:hint="eastAsia"/>
          <w:szCs w:val="21"/>
        </w:rPr>
        <w:t>依法向甲方所在地人民法院起诉。</w:t>
      </w:r>
    </w:p>
    <w:p>
      <w:pPr>
        <w:keepNext/>
        <w:keepLines/>
        <w:numPr>
          <w:ilvl w:val="0"/>
          <w:numId w:val="11"/>
        </w:numPr>
        <w:spacing w:before="60" w:after="60" w:line="360" w:lineRule="auto"/>
        <w:ind w:left="0" w:firstLine="420" w:firstLineChars="200"/>
        <w:outlineLvl w:val="1"/>
        <w:rPr>
          <w:rFonts w:ascii="宋体" w:eastAsia="宋体" w:hAnsi="宋体" w:cs="宋体"/>
          <w:b/>
          <w:bCs/>
          <w:szCs w:val="21"/>
        </w:rPr>
      </w:pPr>
      <w:bookmarkStart w:id="233" w:name="_Toc150439621"/>
      <w:r>
        <w:rPr>
          <w:rFonts w:ascii="宋体" w:eastAsia="宋体" w:hAnsi="宋体" w:cs="宋体" w:hint="eastAsia"/>
          <w:b/>
          <w:bCs/>
          <w:szCs w:val="21"/>
        </w:rPr>
        <w:t>不可抗力</w:t>
      </w:r>
      <w:bookmarkEnd w:id="233"/>
    </w:p>
    <w:p>
      <w:pPr>
        <w:numPr>
          <w:ilvl w:val="0"/>
          <w:numId w:val="47"/>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在本合同履行中，因出现在现有技术水平和条件下难以克服的技术困难，双方确定，本合同项目的技术风险按</w:t>
      </w:r>
      <w:r>
        <w:rPr>
          <w:rFonts w:ascii="宋体" w:eastAsia="宋体" w:hAnsi="宋体" w:cs="宋体" w:hint="eastAsia"/>
          <w:szCs w:val="21"/>
          <w:u w:val="single"/>
        </w:rPr>
        <w:t xml:space="preserve">               </w:t>
      </w:r>
      <w:r>
        <w:rPr>
          <w:rFonts w:ascii="宋体" w:eastAsia="宋体" w:hAnsi="宋体" w:cs="宋体" w:hint="eastAsia"/>
          <w:szCs w:val="21"/>
        </w:rPr>
        <w:t>的方式认定。认定技术风险的基本内容应当包括技术风险的存在、范围、程度及损失大小等。认定技术风险的基本条件是：</w:t>
      </w:r>
    </w:p>
    <w:p>
      <w:pPr>
        <w:numPr>
          <w:ilvl w:val="0"/>
          <w:numId w:val="48"/>
        </w:numPr>
        <w:spacing w:line="360" w:lineRule="auto"/>
        <w:ind w:hanging="5"/>
        <w:rPr>
          <w:rFonts w:ascii="宋体" w:eastAsia="宋体" w:hAnsi="宋体" w:cs="宋体"/>
          <w:szCs w:val="21"/>
        </w:rPr>
      </w:pPr>
      <w:r>
        <w:rPr>
          <w:rFonts w:ascii="宋体" w:eastAsia="宋体" w:hAnsi="宋体" w:cs="宋体" w:hint="eastAsia"/>
          <w:szCs w:val="21"/>
        </w:rPr>
        <w:t>本合同项目在现有技术水平条件下具有足够的难度；</w:t>
      </w:r>
    </w:p>
    <w:p>
      <w:pPr>
        <w:numPr>
          <w:ilvl w:val="0"/>
          <w:numId w:val="48"/>
        </w:numPr>
        <w:spacing w:line="360" w:lineRule="auto"/>
        <w:ind w:hanging="5"/>
        <w:rPr>
          <w:rFonts w:ascii="宋体" w:eastAsia="宋体" w:hAnsi="宋体" w:cs="宋体"/>
          <w:szCs w:val="21"/>
        </w:rPr>
      </w:pPr>
      <w:r>
        <w:rPr>
          <w:rFonts w:ascii="宋体" w:eastAsia="宋体" w:hAnsi="宋体" w:cs="宋体" w:hint="eastAsia"/>
          <w:szCs w:val="21"/>
        </w:rPr>
        <w:t>乙方在主观上无过错且经认定研究开发失败为合理的失败。</w:t>
      </w:r>
    </w:p>
    <w:p>
      <w:pPr>
        <w:ind w:firstLine="420" w:firstLineChars="200"/>
        <w:rPr>
          <w:rFonts w:ascii="宋体" w:eastAsia="宋体" w:hAnsi="宋体" w:cs="宋体"/>
          <w:szCs w:val="21"/>
        </w:rPr>
      </w:pPr>
      <w:r>
        <w:rPr>
          <w:rFonts w:ascii="宋体" w:eastAsia="宋体" w:hAnsi="宋体" w:cs="宋体" w:hint="eastAsia"/>
          <w:szCs w:val="21"/>
        </w:rPr>
        <w:t>一方发现技术风险存在并有可能致使研究开发失败或部分失败的情形时，应当在</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pPr>
        <w:rPr>
          <w:rFonts w:ascii="宋体" w:eastAsia="宋体" w:hAnsi="宋体" w:cs="宋体"/>
          <w:szCs w:val="21"/>
        </w:rPr>
      </w:pPr>
      <w:r>
        <w:rPr>
          <w:rFonts w:ascii="宋体" w:eastAsia="宋体" w:hAnsi="宋体" w:cs="宋体" w:hint="eastAsia"/>
          <w:szCs w:val="21"/>
        </w:rPr>
        <w:t>日内通知另一方并采取适当措施减少损失。逾期未通知并未采取适当措施而致使损失扩大的，应当就扩大的损失承担赔偿责任。</w:t>
      </w:r>
    </w:p>
    <w:p>
      <w:pPr>
        <w:numPr>
          <w:ilvl w:val="0"/>
          <w:numId w:val="47"/>
        </w:numPr>
        <w:spacing w:line="360" w:lineRule="auto"/>
        <w:ind w:firstLine="420" w:firstLineChars="200"/>
        <w:rPr>
          <w:rFonts w:ascii="宋体" w:eastAsia="宋体" w:hAnsi="宋体" w:cs="宋体"/>
          <w:szCs w:val="21"/>
        </w:rPr>
      </w:pPr>
      <w:r>
        <w:rPr>
          <w:rFonts w:ascii="宋体" w:eastAsia="宋体" w:hAnsi="宋体" w:cs="宋体" w:hint="eastAsia"/>
          <w:szCs w:val="21"/>
        </w:rPr>
        <w:t>在本合同履行中，因作为研究开发标的技术已经由他人公开（包括以专利权方式公开），一方应在</w:t>
      </w:r>
      <w:r>
        <w:rPr>
          <w:rFonts w:ascii="宋体" w:eastAsia="宋体" w:hAnsi="宋体" w:cs="宋体" w:hint="eastAsia"/>
          <w:szCs w:val="21"/>
          <w:u w:val="single"/>
        </w:rPr>
        <w:t xml:space="preserve">      </w:t>
      </w:r>
      <w:r>
        <w:rPr>
          <w:rFonts w:ascii="宋体" w:eastAsia="宋体" w:hAnsi="宋体" w:cs="宋体" w:hint="eastAsia"/>
          <w:szCs w:val="21"/>
        </w:rPr>
        <w:t>日内通知另一方解除合同。逾期未通知并致使另一方产生损失的，另一方有权要求予以赔偿。</w:t>
      </w:r>
    </w:p>
    <w:p>
      <w:pPr>
        <w:numPr>
          <w:ilvl w:val="0"/>
          <w:numId w:val="47"/>
        </w:numPr>
        <w:spacing w:line="360" w:lineRule="auto"/>
        <w:ind w:firstLine="420" w:firstLineChars="200"/>
        <w:rPr>
          <w:rFonts w:ascii="宋体" w:eastAsia="宋体" w:hAnsi="宋体" w:cs="宋体"/>
          <w:szCs w:val="21"/>
        </w:rPr>
      </w:pPr>
      <w:r>
        <w:rPr>
          <w:rFonts w:ascii="宋体" w:eastAsia="宋体" w:hAnsi="宋体" w:cs="宋体" w:hint="eastAsia"/>
          <w:szCs w:val="21"/>
        </w:rPr>
        <w:t>双方确定出现下列情形，致使本合同的履行成为不必要或不可能的，一方可以通知另一方解除本合同；</w:t>
      </w:r>
    </w:p>
    <w:p>
      <w:pPr>
        <w:numPr>
          <w:ilvl w:val="0"/>
          <w:numId w:val="49"/>
        </w:numPr>
        <w:spacing w:line="360" w:lineRule="auto"/>
        <w:ind w:hanging="5"/>
        <w:rPr>
          <w:rFonts w:ascii="宋体" w:eastAsia="宋体" w:hAnsi="宋体" w:cs="宋体"/>
          <w:szCs w:val="21"/>
        </w:rPr>
      </w:pPr>
      <w:r>
        <w:rPr>
          <w:rFonts w:ascii="宋体" w:eastAsia="宋体" w:hAnsi="宋体" w:cs="宋体" w:hint="eastAsia"/>
          <w:szCs w:val="21"/>
        </w:rPr>
        <w:t>因发生不可抗力或技术风险；</w:t>
      </w:r>
    </w:p>
    <w:p>
      <w:pPr>
        <w:numPr>
          <w:ilvl w:val="0"/>
          <w:numId w:val="49"/>
        </w:numPr>
        <w:spacing w:line="360" w:lineRule="auto"/>
        <w:ind w:hanging="5"/>
        <w:rPr>
          <w:rFonts w:ascii="宋体" w:eastAsia="宋体" w:hAnsi="宋体" w:cs="宋体"/>
          <w:szCs w:val="21"/>
        </w:rPr>
      </w:pPr>
      <w:r>
        <w:rPr>
          <w:rFonts w:ascii="宋体" w:eastAsia="宋体" w:hAnsi="宋体" w:cs="宋体" w:hint="eastAsia"/>
          <w:szCs w:val="21"/>
        </w:rPr>
        <w:t>因一方未按约定履行合同义务支付款项的；</w:t>
      </w:r>
    </w:p>
    <w:p>
      <w:pPr>
        <w:numPr>
          <w:ilvl w:val="0"/>
          <w:numId w:val="49"/>
        </w:numPr>
        <w:spacing w:line="360" w:lineRule="auto"/>
        <w:ind w:hanging="5"/>
        <w:rPr>
          <w:rFonts w:ascii="宋体" w:eastAsia="宋体" w:hAnsi="宋体" w:cs="宋体"/>
          <w:szCs w:val="21"/>
        </w:rPr>
      </w:pPr>
      <w:r>
        <w:rPr>
          <w:rFonts w:ascii="宋体" w:eastAsia="宋体" w:hAnsi="宋体" w:cs="宋体" w:hint="eastAsia"/>
          <w:szCs w:val="21"/>
        </w:rPr>
        <w:t>因一方未按期完成合同约定的项目开发任务。</w:t>
      </w:r>
    </w:p>
    <w:p>
      <w:pPr>
        <w:keepNext/>
        <w:keepLines/>
        <w:numPr>
          <w:ilvl w:val="0"/>
          <w:numId w:val="11"/>
        </w:numPr>
        <w:spacing w:before="60" w:after="60" w:line="360" w:lineRule="auto"/>
        <w:ind w:left="0" w:firstLine="420" w:firstLineChars="200"/>
        <w:outlineLvl w:val="1"/>
        <w:rPr>
          <w:rFonts w:ascii="宋体" w:eastAsia="宋体" w:hAnsi="宋体" w:cs="宋体"/>
          <w:b/>
          <w:bCs/>
          <w:szCs w:val="21"/>
        </w:rPr>
      </w:pPr>
      <w:bookmarkStart w:id="234" w:name="_Toc150439624"/>
      <w:r>
        <w:rPr>
          <w:rFonts w:ascii="宋体" w:eastAsia="宋体" w:hAnsi="宋体" w:cs="宋体" w:hint="eastAsia"/>
          <w:b/>
          <w:bCs/>
          <w:szCs w:val="21"/>
        </w:rPr>
        <w:t>本合同的变更</w:t>
      </w:r>
      <w:bookmarkEnd w:id="234"/>
    </w:p>
    <w:p>
      <w:pPr>
        <w:numPr>
          <w:ilvl w:val="0"/>
          <w:numId w:val="50"/>
        </w:numPr>
        <w:spacing w:before="221" w:line="360" w:lineRule="auto"/>
        <w:ind w:firstLine="420" w:firstLineChars="200"/>
        <w:rPr>
          <w:rFonts w:ascii="宋体" w:eastAsia="宋体" w:hAnsi="宋体" w:cs="宋体"/>
          <w:szCs w:val="21"/>
        </w:rPr>
      </w:pPr>
      <w:r>
        <w:rPr>
          <w:rFonts w:ascii="宋体" w:eastAsia="宋体" w:hAnsi="宋体" w:cs="宋体" w:hint="eastAsia"/>
          <w:szCs w:val="21"/>
        </w:rPr>
        <w:t>合同一经签订，不得随意变更、调整、中止或终止。对确需变更、调整或者中止、终止合同的，应按规定履行相应的手续。</w:t>
      </w:r>
    </w:p>
    <w:p>
      <w:pPr>
        <w:numPr>
          <w:ilvl w:val="0"/>
          <w:numId w:val="50"/>
        </w:numPr>
        <w:spacing w:before="221" w:line="360" w:lineRule="auto"/>
        <w:ind w:firstLine="420" w:firstLineChars="200"/>
        <w:rPr>
          <w:rFonts w:ascii="宋体" w:eastAsia="宋体" w:hAnsi="宋体" w:cs="宋体"/>
          <w:szCs w:val="21"/>
        </w:rPr>
      </w:pPr>
      <w:r>
        <w:rPr>
          <w:rFonts w:ascii="宋体" w:eastAsia="宋体" w:hAnsi="宋体" w:cs="宋体" w:hint="eastAsia"/>
          <w:szCs w:val="21"/>
        </w:rPr>
        <w:t>本合同的变更必须由双方协商一致，并以书面形式确定。但有下列情形之一的，一方可以向另一方提出变更合同权利与义务的请求，另一方应当在</w:t>
      </w:r>
      <w:r>
        <w:rPr>
          <w:rFonts w:ascii="宋体" w:eastAsia="宋体" w:hAnsi="宋体" w:cs="宋体" w:hint="eastAsia"/>
          <w:szCs w:val="21"/>
          <w:u w:val="single"/>
        </w:rPr>
        <w:t xml:space="preserve">      </w:t>
      </w:r>
      <w:r>
        <w:rPr>
          <w:rFonts w:ascii="宋体" w:eastAsia="宋体" w:hAnsi="宋体" w:cs="宋体" w:hint="eastAsia"/>
          <w:szCs w:val="21"/>
        </w:rPr>
        <w:t>日内予以答复；逾期未予答复的，视为同意。</w:t>
      </w:r>
    </w:p>
    <w:p>
      <w:pPr>
        <w:spacing w:before="221"/>
        <w:ind w:left="420" w:leftChars="200"/>
        <w:rPr>
          <w:rFonts w:ascii="宋体" w:eastAsia="宋体" w:hAnsi="宋体" w:cs="宋体"/>
          <w:szCs w:val="21"/>
          <w:u w:val="single"/>
        </w:rPr>
      </w:pPr>
      <w:r>
        <w:rPr>
          <w:rFonts w:ascii="宋体" w:eastAsia="宋体" w:hAnsi="宋体" w:cs="宋体" w:hint="eastAsia"/>
          <w:szCs w:val="21"/>
          <w:u w:val="single"/>
        </w:rPr>
        <w:t xml:space="preserve">                                                              </w:t>
      </w:r>
    </w:p>
    <w:p>
      <w:pPr>
        <w:keepNext/>
        <w:keepLines/>
        <w:numPr>
          <w:ilvl w:val="0"/>
          <w:numId w:val="11"/>
        </w:numPr>
        <w:spacing w:before="60" w:after="60" w:line="360" w:lineRule="auto"/>
        <w:ind w:left="0" w:firstLine="420" w:firstLineChars="200"/>
        <w:outlineLvl w:val="1"/>
        <w:rPr>
          <w:rFonts w:ascii="宋体" w:eastAsia="宋体" w:hAnsi="宋体" w:cs="宋体"/>
          <w:b/>
          <w:bCs/>
          <w:szCs w:val="21"/>
        </w:rPr>
      </w:pPr>
      <w:bookmarkStart w:id="235" w:name="_Toc150439623"/>
      <w:r>
        <w:rPr>
          <w:rFonts w:ascii="宋体" w:eastAsia="宋体" w:hAnsi="宋体" w:cs="宋体" w:hint="eastAsia"/>
          <w:b/>
          <w:bCs/>
          <w:szCs w:val="21"/>
        </w:rPr>
        <w:t>其它</w:t>
      </w:r>
      <w:bookmarkEnd w:id="235"/>
    </w:p>
    <w:p>
      <w:pPr>
        <w:ind w:left="420" w:leftChars="200"/>
        <w:rPr>
          <w:rFonts w:ascii="宋体" w:eastAsia="宋体" w:hAnsi="宋体" w:cs="宋体"/>
          <w:szCs w:val="21"/>
        </w:rPr>
      </w:pPr>
      <w:r>
        <w:rPr>
          <w:rFonts w:ascii="宋体" w:eastAsia="宋体" w:hAnsi="宋体" w:cs="宋体" w:hint="eastAsia"/>
          <w:szCs w:val="21"/>
        </w:rPr>
        <w:t>本合同未尽事宜，由双方协商后按有关程序办理，并以书面形式进行确定。</w:t>
      </w:r>
    </w:p>
    <w:p>
      <w:pPr>
        <w:keepNext/>
        <w:keepLines/>
        <w:numPr>
          <w:ilvl w:val="0"/>
          <w:numId w:val="11"/>
        </w:numPr>
        <w:spacing w:before="60" w:after="60" w:line="360" w:lineRule="auto"/>
        <w:ind w:left="0" w:firstLine="420" w:firstLineChars="200"/>
        <w:outlineLvl w:val="1"/>
        <w:rPr>
          <w:rFonts w:ascii="宋体" w:eastAsia="宋体" w:hAnsi="宋体" w:cs="宋体"/>
          <w:b/>
          <w:bCs/>
          <w:szCs w:val="21"/>
        </w:rPr>
      </w:pPr>
      <w:bookmarkStart w:id="236" w:name="_Toc150439626"/>
      <w:r>
        <w:rPr>
          <w:rFonts w:ascii="宋体" w:eastAsia="宋体" w:hAnsi="宋体" w:cs="宋体" w:hint="eastAsia"/>
          <w:b/>
          <w:bCs/>
          <w:szCs w:val="21"/>
        </w:rPr>
        <w:t>合同生效</w:t>
      </w:r>
      <w:bookmarkEnd w:id="236"/>
    </w:p>
    <w:p>
      <w:pPr>
        <w:numPr>
          <w:ilvl w:val="0"/>
          <w:numId w:val="51"/>
        </w:numPr>
        <w:spacing w:line="360" w:lineRule="auto"/>
        <w:ind w:firstLine="420" w:firstLineChars="200"/>
        <w:rPr>
          <w:rFonts w:ascii="宋体" w:eastAsia="宋体" w:hAnsi="宋体" w:cs="宋体"/>
          <w:szCs w:val="21"/>
        </w:rPr>
      </w:pPr>
      <w:r>
        <w:rPr>
          <w:rFonts w:ascii="宋体" w:eastAsia="宋体" w:hAnsi="宋体" w:cs="宋体" w:hint="eastAsia"/>
          <w:szCs w:val="21"/>
        </w:rPr>
        <w:t>本合同经双方法定代表人或授权代表签字盖章后生效，至质保期结束终止。</w:t>
      </w:r>
    </w:p>
    <w:p>
      <w:pPr>
        <w:numPr>
          <w:ilvl w:val="0"/>
          <w:numId w:val="51"/>
        </w:numPr>
        <w:spacing w:line="360" w:lineRule="auto"/>
        <w:ind w:firstLine="420" w:firstLineChars="200"/>
        <w:rPr>
          <w:rFonts w:ascii="宋体" w:eastAsia="宋体" w:hAnsi="宋体" w:cs="宋体"/>
          <w:szCs w:val="21"/>
        </w:rPr>
      </w:pPr>
      <w:r>
        <w:rPr>
          <w:rFonts w:ascii="宋体" w:eastAsia="宋体" w:hAnsi="宋体" w:cs="宋体" w:hint="eastAsia"/>
          <w:szCs w:val="21"/>
        </w:rPr>
        <w:t>本合同一式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份，双方各执</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份，具有同等法律效力。</w:t>
      </w:r>
    </w:p>
    <w:p>
      <w:pPr>
        <w:ind w:firstLine="420" w:firstLineChars="200"/>
        <w:jc w:val="left"/>
        <w:rPr>
          <w:rFonts w:ascii="宋体" w:eastAsia="宋体" w:hAnsi="宋体" w:cs="宋体"/>
          <w:szCs w:val="21"/>
        </w:rPr>
      </w:pPr>
      <w:r>
        <w:rPr>
          <w:rFonts w:ascii="宋体" w:eastAsia="宋体" w:hAnsi="宋体" w:cs="宋体" w:hint="eastAsia"/>
          <w:szCs w:val="21"/>
        </w:rPr>
        <w:t>甲方：</w:t>
      </w:r>
      <w:r>
        <w:rPr>
          <w:rFonts w:ascii="宋体" w:eastAsia="宋体" w:hAnsi="宋体" w:cs="宋体" w:hint="eastAsia"/>
          <w:szCs w:val="21"/>
          <w:u w:val="single"/>
        </w:rPr>
        <w:t xml:space="preserve">            </w:t>
      </w:r>
      <w:r>
        <w:rPr>
          <w:rFonts w:ascii="宋体" w:eastAsia="宋体" w:hAnsi="宋体" w:cs="宋体" w:hint="eastAsia"/>
          <w:szCs w:val="21"/>
        </w:rPr>
        <w:t xml:space="preserve"> (盖章） </w:t>
      </w:r>
    </w:p>
    <w:p>
      <w:pPr>
        <w:ind w:firstLine="420" w:firstLineChars="200"/>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pPr>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p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w:t>
      </w:r>
      <w:r>
        <w:rPr>
          <w:rFonts w:ascii="宋体" w:eastAsia="宋体" w:hAnsi="宋体" w:cs="宋体" w:hint="eastAsia"/>
          <w:szCs w:val="21"/>
          <w:u w:val="single"/>
        </w:rPr>
        <w:t xml:space="preserve">             </w:t>
      </w:r>
      <w:r>
        <w:rPr>
          <w:rFonts w:ascii="宋体" w:eastAsia="宋体" w:hAnsi="宋体" w:cs="宋体" w:hint="eastAsia"/>
          <w:szCs w:val="21"/>
        </w:rPr>
        <w:t>（盖章）</w:t>
      </w:r>
    </w:p>
    <w:p>
      <w:pPr>
        <w:spacing w:line="360" w:lineRule="auto"/>
        <w:ind w:firstLine="420" w:firstLineChars="200"/>
        <w:jc w:val="left"/>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pPr>
        <w:spacing w:line="360" w:lineRule="auto"/>
        <w:ind w:firstLine="420" w:firstLineChars="200"/>
        <w:rPr>
          <w:rFonts w:ascii="宋体" w:eastAsia="宋体" w:hAnsi="宋体" w:cs="宋体"/>
          <w:szCs w:val="21"/>
        </w:rPr>
      </w:pPr>
      <w:r>
        <w:rPr>
          <w:rFonts w:ascii="宋体" w:eastAsia="宋体" w:hAnsi="宋体" w:cs="宋体" w:hint="eastAsia"/>
          <w:szCs w:val="21"/>
        </w:rPr>
        <w:t>法定代表人/授权代理人：</w:t>
      </w:r>
      <w:r>
        <w:rPr>
          <w:rFonts w:ascii="宋体" w:eastAsia="宋体" w:hAnsi="宋体" w:cs="宋体" w:hint="eastAsia"/>
          <w:szCs w:val="21"/>
          <w:u w:val="single"/>
        </w:rPr>
        <w:t xml:space="preserve">                            </w:t>
      </w:r>
      <w:r>
        <w:rPr>
          <w:rFonts w:ascii="宋体" w:eastAsia="宋体" w:hAnsi="宋体" w:cs="宋体" w:hint="eastAsia"/>
          <w:szCs w:val="21"/>
        </w:rPr>
        <w:t>（签名）</w:t>
      </w:r>
    </w:p>
    <w:p>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p w:rsidR="00A77B3E"/>
    <w:p>
      <w:pPr>
        <w:spacing w:line="360" w:lineRule="auto"/>
        <w:ind w:firstLine="3066" w:firstLineChars="1460"/>
        <w:jc w:val="left"/>
        <w:rPr>
          <w:b/>
          <w:bCs/>
          <w:szCs w:val="21"/>
          <w:highlight w:val="none"/>
        </w:rPr>
      </w:pPr>
      <w:bookmarkEnd w:id="217"/>
    </w:p>
    <w:p>
      <w:pPr>
        <w:rPr>
          <w:rFonts w:ascii="Calibri" w:hAnsi="Calibri"/>
          <w:szCs w:val="22"/>
          <w:highlight w:val="none"/>
        </w:rPr>
      </w:pPr>
    </w:p>
    <w:p>
      <w:pPr>
        <w:spacing w:line="360" w:lineRule="auto"/>
        <w:jc w:val="left"/>
        <w:rPr>
          <w:b/>
          <w:bCs/>
          <w:sz w:val="44"/>
          <w:szCs w:val="44"/>
          <w:highlight w:val="none"/>
        </w:rPr>
      </w:pPr>
    </w:p>
    <w:sectPr>
      <w:headerReference w:type="even" r:id="rId11"/>
      <w:headerReference w:type="default" r:id="rId12"/>
      <w:footerReference w:type="default" r:id="rId13"/>
      <w:headerReference w:type="first" r:id="rId14"/>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方正小标宋简体">
    <w:panose1 w:val="02010601030101010101"/>
    <w:charset w:val="86"/>
    <w:family w:val="auto"/>
    <w:pitch w:val="default"/>
    <w:sig w:usb0="00000001" w:usb1="080E0000" w:usb2="00000000" w:usb3="00000000" w:csb0="00040000" w:csb1="00000000"/>
  </w:font>
  <w:font w:name="等线">
    <w:altName w:val="Arial Unicode MS"/>
    <w:panose1 w:val="02010600030101010101"/>
    <w:charset w:val="86"/>
    <w:family w:val="auto"/>
    <w:pitch w:val="default"/>
    <w:sig w:usb0="00000000" w:usb1="00000000" w:usb2="00000016" w:usb3="00000000" w:csb0="0004000F"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framePr w:wrap="around" w:vAnchor="text" w:hAnchor="margin" w:xAlign="right" w:y="1"/>
      <w:widowControl w:val="0"/>
      <w:snapToGrid w:val="0"/>
      <w:jc w:val="left"/>
      <w:rPr>
        <w:rStyle w:val="PageNumber"/>
        <w:rFonts w:ascii="Times New Roman" w:eastAsia="宋体" w:hAnsi="Times New Roman" w:cs="Times New Roman"/>
        <w:sz w:val="18"/>
      </w:rPr>
    </w:pPr>
    <w:r>
      <w:rPr>
        <w:rFonts w:ascii="Times New Roman" w:eastAsia="宋体" w:hAnsi="Times New Roman" w:cs="Times New Roman"/>
        <w:kern w:val="2"/>
        <w:sz w:val="18"/>
        <w:lang w:val="en-US" w:eastAsia="zh-CN" w:bidi="ar-SA"/>
      </w:rPr>
      <w:fldChar w:fldCharType="begin"/>
    </w:r>
    <w:r>
      <w:rPr>
        <w:rStyle w:val="PageNumber"/>
        <w:rFonts w:ascii="Times New Roman" w:eastAsia="宋体" w:hAnsi="Times New Roman" w:cs="Times New Roman"/>
        <w:kern w:val="2"/>
        <w:sz w:val="21"/>
        <w:lang w:val="en-US" w:eastAsia="zh-CN" w:bidi="ar-SA"/>
      </w:rPr>
      <w:instrText xml:space="preserve">PAGE  </w:instrText>
    </w:r>
    <w:r>
      <w:rPr>
        <w:rFonts w:ascii="Times New Roman" w:eastAsia="宋体" w:hAnsi="Times New Roman" w:cs="Times New Roman"/>
        <w:kern w:val="2"/>
        <w:sz w:val="18"/>
        <w:lang w:val="en-US" w:eastAsia="zh-CN" w:bidi="ar-SA"/>
      </w:rPr>
      <w:fldChar w:fldCharType="separate"/>
    </w:r>
    <w:r>
      <w:rPr>
        <w:rFonts w:ascii="Times New Roman" w:eastAsia="宋体" w:hAnsi="Times New Roman" w:cs="Times New Roman"/>
        <w:kern w:val="2"/>
        <w:sz w:val="18"/>
        <w:lang w:val="en-US" w:eastAsia="zh-CN" w:bidi="ar-SA"/>
      </w:rPr>
      <w:fldChar w:fldCharType="end"/>
    </w:r>
  </w:p>
  <w:p>
    <w:pPr>
      <w:widowControl w:val="0"/>
      <w:snapToGrid w:val="0"/>
      <w:ind w:right="360"/>
      <w:jc w:val="left"/>
      <w:rPr>
        <w:rFonts w:ascii="Times New Roman" w:eastAsia="宋体" w:hAnsi="Times New Roman" w:cs="Times New Roman"/>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widowControl w:val="0"/>
      <w:snapToGrid w:val="0"/>
      <w:jc w:val="center"/>
      <w:rPr>
        <w:rFonts w:ascii="宋体" w:eastAsia="宋体" w:hAnsi="宋体" w:cs="Times New Roman"/>
        <w:szCs w:val="21"/>
      </w:rPr>
    </w:pPr>
    <w:r>
      <w:rPr>
        <w:rFonts w:ascii="宋体" w:eastAsia="宋体" w:hAnsi="宋体" w:cs="Times New Roman"/>
        <w:kern w:val="2"/>
        <w:sz w:val="21"/>
        <w:szCs w:val="21"/>
        <w:lang w:val="en-US" w:eastAsia="zh-CN" w:bidi="ar-SA"/>
      </w:rPr>
      <w:fldChar w:fldCharType="begin"/>
    </w:r>
    <w:r>
      <w:rPr>
        <w:rFonts w:ascii="宋体" w:eastAsia="宋体" w:hAnsi="宋体" w:cs="Times New Roman"/>
        <w:kern w:val="2"/>
        <w:sz w:val="21"/>
        <w:szCs w:val="21"/>
        <w:lang w:val="en-US" w:eastAsia="zh-CN" w:bidi="ar-SA"/>
      </w:rPr>
      <w:instrText>PAGE   \* MERGEFORMAT</w:instrText>
    </w:r>
    <w:r>
      <w:rPr>
        <w:rFonts w:ascii="宋体" w:eastAsia="宋体" w:hAnsi="宋体" w:cs="Times New Roman"/>
        <w:kern w:val="2"/>
        <w:sz w:val="21"/>
        <w:szCs w:val="21"/>
        <w:lang w:val="en-US" w:eastAsia="zh-CN" w:bidi="ar-SA"/>
      </w:rPr>
      <w:fldChar w:fldCharType="separate"/>
    </w:r>
    <w:r>
      <w:rPr>
        <w:rFonts w:ascii="宋体" w:eastAsia="宋体" w:hAnsi="宋体" w:cs="Times New Roman"/>
        <w:kern w:val="2"/>
        <w:sz w:val="21"/>
        <w:szCs w:val="21"/>
        <w:lang w:val="zh-CN" w:eastAsia="zh-CN" w:bidi="ar-SA"/>
      </w:rPr>
      <w:t>24</w:t>
    </w:r>
    <w:r>
      <w:rPr>
        <w:rFonts w:ascii="宋体" w:eastAsia="宋体" w:hAnsi="宋体" w:cs="Times New Roman"/>
        <w:kern w:val="2"/>
        <w:sz w:val="21"/>
        <w:szCs w:val="21"/>
        <w:lang w:val="en-US" w:eastAsia="zh-CN" w:bidi="ar-SA"/>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73</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DFE1FBA"/>
    <w:multiLevelType w:val="multilevel"/>
    <w:tmpl w:val="9DFE1FBA"/>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
    <w:nsid w:val="A7BFD79F"/>
    <w:multiLevelType w:val="singleLevel"/>
    <w:tmpl w:val="A7BFD79F"/>
    <w:lvl w:ilvl="0">
      <w:start w:val="1"/>
      <w:numFmt w:val="decimal"/>
      <w:lvlText w:val="%1)"/>
      <w:lvlJc w:val="left"/>
      <w:pPr>
        <w:ind w:left="425" w:hanging="425"/>
      </w:pPr>
      <w:rPr>
        <w:rFonts w:hint="default"/>
      </w:rPr>
    </w:lvl>
  </w:abstractNum>
  <w:abstractNum w:abstractNumId="3">
    <w:nsid w:val="AF9F7ACF"/>
    <w:multiLevelType w:val="singleLevel"/>
    <w:tmpl w:val="AF9F7ACF"/>
    <w:lvl w:ilvl="0">
      <w:start w:val="1"/>
      <w:numFmt w:val="decimal"/>
      <w:lvlText w:val="%1)"/>
      <w:lvlJc w:val="left"/>
      <w:pPr>
        <w:ind w:left="425" w:hanging="425"/>
      </w:pPr>
      <w:rPr>
        <w:rFonts w:hint="default"/>
      </w:rPr>
    </w:lvl>
  </w:abstractNum>
  <w:abstractNum w:abstractNumId="4">
    <w:nsid w:val="DF7A974B"/>
    <w:multiLevelType w:val="singleLevel"/>
    <w:tmpl w:val="DF7A974B"/>
    <w:lvl w:ilvl="0">
      <w:start w:val="1"/>
      <w:numFmt w:val="decimal"/>
      <w:lvlText w:val="%1)"/>
      <w:lvlJc w:val="left"/>
      <w:pPr>
        <w:ind w:left="425" w:hanging="425"/>
      </w:pPr>
      <w:rPr>
        <w:rFonts w:hint="default"/>
      </w:rPr>
    </w:lvl>
  </w:abstractNum>
  <w:abstractNum w:abstractNumId="5">
    <w:nsid w:val="DFBE2221"/>
    <w:multiLevelType w:val="singleLevel"/>
    <w:tmpl w:val="DFBE2221"/>
    <w:lvl w:ilvl="0">
      <w:start w:val="1"/>
      <w:numFmt w:val="decimal"/>
      <w:lvlText w:val="%1)"/>
      <w:lvlJc w:val="left"/>
      <w:pPr>
        <w:ind w:left="425" w:hanging="425"/>
      </w:pPr>
      <w:rPr>
        <w:rFonts w:hint="default"/>
      </w:rPr>
    </w:lvl>
  </w:abstractNum>
  <w:abstractNum w:abstractNumId="6">
    <w:nsid w:val="DFCE4441"/>
    <w:multiLevelType w:val="singleLevel"/>
    <w:tmpl w:val="DFCE4441"/>
    <w:lvl w:ilvl="0">
      <w:start w:val="1"/>
      <w:numFmt w:val="decimal"/>
      <w:lvlText w:val="%1)"/>
      <w:lvlJc w:val="left"/>
      <w:pPr>
        <w:ind w:left="425" w:hanging="425"/>
      </w:pPr>
      <w:rPr>
        <w:rFonts w:hint="default"/>
      </w:rPr>
    </w:lvl>
  </w:abstractNum>
  <w:abstractNum w:abstractNumId="7">
    <w:nsid w:val="E7F65004"/>
    <w:multiLevelType w:val="singleLevel"/>
    <w:tmpl w:val="E7F65004"/>
    <w:lvl w:ilvl="0">
      <w:start w:val="1"/>
      <w:numFmt w:val="decimal"/>
      <w:lvlText w:val="%1)"/>
      <w:lvlJc w:val="left"/>
      <w:pPr>
        <w:ind w:left="425" w:hanging="425"/>
      </w:pPr>
      <w:rPr>
        <w:rFonts w:hint="default"/>
      </w:rPr>
    </w:lvl>
  </w:abstractNum>
  <w:abstractNum w:abstractNumId="8">
    <w:nsid w:val="EDECB7AC"/>
    <w:multiLevelType w:val="singleLevel"/>
    <w:tmpl w:val="EDECB7AC"/>
    <w:lvl w:ilvl="0">
      <w:start w:val="1"/>
      <w:numFmt w:val="decimal"/>
      <w:lvlText w:val="%1)"/>
      <w:lvlJc w:val="left"/>
      <w:pPr>
        <w:ind w:left="425" w:hanging="425"/>
      </w:pPr>
      <w:rPr>
        <w:rFonts w:hint="default"/>
      </w:rPr>
    </w:lvl>
  </w:abstractNum>
  <w:abstractNum w:abstractNumId="9">
    <w:nsid w:val="EFF96211"/>
    <w:multiLevelType w:val="singleLevel"/>
    <w:tmpl w:val="EFF96211"/>
    <w:lvl w:ilvl="0">
      <w:start w:val="1"/>
      <w:numFmt w:val="decimal"/>
      <w:lvlText w:val="%1)"/>
      <w:lvlJc w:val="left"/>
      <w:pPr>
        <w:ind w:left="425" w:hanging="425"/>
      </w:pPr>
      <w:rPr>
        <w:rFonts w:hint="default"/>
      </w:rPr>
    </w:lvl>
  </w:abstractNum>
  <w:abstractNum w:abstractNumId="10">
    <w:nsid w:val="FCFBA019"/>
    <w:multiLevelType w:val="singleLevel"/>
    <w:tmpl w:val="FCFBA019"/>
    <w:lvl w:ilvl="0">
      <w:start w:val="1"/>
      <w:numFmt w:val="decimal"/>
      <w:lvlText w:val="%1)"/>
      <w:lvlJc w:val="left"/>
      <w:pPr>
        <w:ind w:left="425" w:hanging="425"/>
      </w:pPr>
      <w:rPr>
        <w:rFonts w:hint="default"/>
      </w:rPr>
    </w:lvl>
  </w:abstractNum>
  <w:abstractNum w:abstractNumId="11">
    <w:nsid w:val="FDBF5E33"/>
    <w:multiLevelType w:val="singleLevel"/>
    <w:tmpl w:val="FDBF5E33"/>
    <w:lvl w:ilvl="0">
      <w:start w:val="1"/>
      <w:numFmt w:val="decimal"/>
      <w:lvlText w:val="%1."/>
      <w:lvlJc w:val="left"/>
      <w:pPr>
        <w:ind w:left="425" w:hanging="425"/>
      </w:pPr>
      <w:rPr>
        <w:rFonts w:hint="default"/>
      </w:rPr>
    </w:lvl>
  </w:abstractNum>
  <w:abstractNum w:abstractNumId="12">
    <w:nsid w:val="FFFEE893"/>
    <w:multiLevelType w:val="singleLevel"/>
    <w:tmpl w:val="FFFEE893"/>
    <w:lvl w:ilvl="0">
      <w:start w:val="1"/>
      <w:numFmt w:val="decimal"/>
      <w:lvlText w:val="%1)"/>
      <w:lvlJc w:val="left"/>
      <w:pPr>
        <w:ind w:left="425" w:hanging="425"/>
      </w:pPr>
      <w:rPr>
        <w:rFonts w:hint="default"/>
      </w:rPr>
    </w:lvl>
  </w:abstractNum>
  <w:abstractNum w:abstractNumId="13">
    <w:nsid w:val="FFFEFF75"/>
    <w:multiLevelType w:val="singleLevel"/>
    <w:tmpl w:val="FFFEFF75"/>
    <w:lvl w:ilvl="0">
      <w:start w:val="1"/>
      <w:numFmt w:val="decimal"/>
      <w:lvlText w:val="%1)"/>
      <w:lvlJc w:val="left"/>
      <w:pPr>
        <w:ind w:left="425" w:hanging="425"/>
      </w:pPr>
      <w:rPr>
        <w:rFonts w:hint="default"/>
      </w:rPr>
    </w:lvl>
  </w:abstractNum>
  <w:abstractNum w:abstractNumId="14">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5">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6">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7">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3DD946C"/>
    <w:multiLevelType w:val="singleLevel"/>
    <w:tmpl w:val="13DD946C"/>
    <w:lvl w:ilvl="0">
      <w:start w:val="9"/>
      <w:numFmt w:val="chineseCounting"/>
      <w:suff w:val="space"/>
      <w:lvlText w:val="第%1章"/>
      <w:lvlJc w:val="left"/>
      <w:rPr>
        <w:rFonts w:hint="eastAsia"/>
      </w:rPr>
    </w:lvl>
  </w:abstractNum>
  <w:abstractNum w:abstractNumId="23">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4">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5">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7">
    <w:nsid w:val="3A20CAAF"/>
    <w:multiLevelType w:val="singleLevel"/>
    <w:tmpl w:val="3A20CAAF"/>
    <w:lvl w:ilvl="0">
      <w:start w:val="2"/>
      <w:numFmt w:val="decimal"/>
      <w:suff w:val="nothing"/>
      <w:lvlText w:val="（%1）"/>
      <w:lvlJc w:val="left"/>
    </w:lvl>
  </w:abstractNum>
  <w:abstractNum w:abstractNumId="28">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9">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0">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48AE6FF2"/>
    <w:multiLevelType w:val="multilevel"/>
    <w:tmpl w:val="48AE6FF2"/>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32">
    <w:nsid w:val="4C7A993F"/>
    <w:multiLevelType w:val="singleLevel"/>
    <w:tmpl w:val="4C7A993F"/>
    <w:lvl w:ilvl="0">
      <w:start w:val="1"/>
      <w:numFmt w:val="decimal"/>
      <w:lvlText w:val="%1)"/>
      <w:lvlJc w:val="left"/>
      <w:pPr>
        <w:ind w:left="425" w:hanging="425"/>
      </w:pPr>
      <w:rPr>
        <w:rFonts w:hint="default"/>
      </w:rPr>
    </w:lvl>
  </w:abstractNum>
  <w:abstractNum w:abstractNumId="33">
    <w:nsid w:val="57FFC18B"/>
    <w:multiLevelType w:val="singleLevel"/>
    <w:tmpl w:val="57FFC18B"/>
    <w:lvl w:ilvl="0">
      <w:start w:val="1"/>
      <w:numFmt w:val="decimal"/>
      <w:lvlText w:val="%1)"/>
      <w:lvlJc w:val="left"/>
      <w:pPr>
        <w:ind w:left="425" w:hanging="425"/>
      </w:pPr>
      <w:rPr>
        <w:rFonts w:hint="default"/>
      </w:rPr>
    </w:lvl>
  </w:abstractNum>
  <w:abstractNum w:abstractNumId="34">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36">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7">
    <w:nsid w:val="5DCE03AA"/>
    <w:multiLevelType w:val="multilevel"/>
    <w:tmpl w:val="5DCE03AA"/>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38">
    <w:nsid w:val="628C55F2"/>
    <w:multiLevelType w:val="multilevel"/>
    <w:tmpl w:val="628C55F2"/>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39">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0">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1">
    <w:nsid w:val="6CB818BE"/>
    <w:multiLevelType w:val="singleLevel"/>
    <w:tmpl w:val="6CB818BE"/>
    <w:lvl w:ilvl="0">
      <w:start w:val="1"/>
      <w:numFmt w:val="bullet"/>
      <w:pStyle w:val="ListBullet2"/>
      <w:lvlText w:val=""/>
      <w:lvlJc w:val="left"/>
      <w:pPr>
        <w:tabs>
          <w:tab w:val="left" w:pos="780"/>
        </w:tabs>
        <w:ind w:left="780" w:hanging="360"/>
      </w:pPr>
      <w:rPr>
        <w:rFonts w:ascii="Wingdings" w:hAnsi="Wingdings" w:hint="default"/>
      </w:rPr>
    </w:lvl>
  </w:abstractNum>
  <w:abstractNum w:abstractNumId="42">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43">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4">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5">
    <w:nsid w:val="74DD23B7"/>
    <w:multiLevelType w:val="multilevel"/>
    <w:tmpl w:val="74DD23B7"/>
    <w:lvl w:ilvl="0">
      <w:start w:val="1"/>
      <w:numFmt w:val="decimalEnclosedCircle"/>
      <w:lvlText w:val="%1"/>
      <w:lvlJc w:val="left"/>
      <w:pPr>
        <w:ind w:left="440" w:hanging="440"/>
      </w:pPr>
      <w:rPr>
        <w:rFonts w:ascii="宋体" w:eastAsia="宋体" w:hAnsi="宋体" w:cs="宋体"/>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6">
    <w:nsid w:val="79F8DDAB"/>
    <w:multiLevelType w:val="singleLevel"/>
    <w:tmpl w:val="79F8DDAB"/>
    <w:lvl w:ilvl="0">
      <w:start w:val="1"/>
      <w:numFmt w:val="decimal"/>
      <w:lvlText w:val="%1)"/>
      <w:lvlJc w:val="left"/>
      <w:pPr>
        <w:ind w:left="425" w:hanging="425"/>
      </w:pPr>
      <w:rPr>
        <w:rFonts w:hint="default"/>
      </w:rPr>
    </w:lvl>
  </w:abstractNum>
  <w:abstractNum w:abstractNumId="47">
    <w:nsid w:val="7BF79D3F"/>
    <w:multiLevelType w:val="singleLevel"/>
    <w:tmpl w:val="7BF79D3F"/>
    <w:lvl w:ilvl="0">
      <w:start w:val="1"/>
      <w:numFmt w:val="decimal"/>
      <w:lvlText w:val="%1)"/>
      <w:lvlJc w:val="left"/>
      <w:pPr>
        <w:ind w:left="425" w:hanging="425"/>
      </w:pPr>
      <w:rPr>
        <w:rFonts w:hint="default"/>
      </w:rPr>
    </w:lvl>
  </w:abstractNum>
  <w:abstractNum w:abstractNumId="48">
    <w:nsid w:val="7FAFA353"/>
    <w:multiLevelType w:val="singleLevel"/>
    <w:tmpl w:val="7FAFA353"/>
    <w:lvl w:ilvl="0">
      <w:start w:val="1"/>
      <w:numFmt w:val="decimal"/>
      <w:lvlText w:val="%1)"/>
      <w:lvlJc w:val="left"/>
      <w:pPr>
        <w:ind w:left="425" w:hanging="425"/>
      </w:pPr>
      <w:rPr>
        <w:rFonts w:hint="default"/>
      </w:rPr>
    </w:lvl>
  </w:abstractNum>
  <w:abstractNum w:abstractNumId="49">
    <w:nsid w:val="7FDAC479"/>
    <w:multiLevelType w:val="singleLevel"/>
    <w:tmpl w:val="7FDAC479"/>
    <w:lvl w:ilvl="0">
      <w:start w:val="1"/>
      <w:numFmt w:val="decimal"/>
      <w:lvlText w:val="%1)"/>
      <w:lvlJc w:val="left"/>
      <w:pPr>
        <w:ind w:left="425" w:hanging="425"/>
      </w:pPr>
      <w:rPr>
        <w:rFonts w:hint="default"/>
      </w:rPr>
    </w:lvl>
  </w:abstractNum>
  <w:abstractNum w:abstractNumId="50">
    <w:nsid w:val="7FF73EAD"/>
    <w:multiLevelType w:val="singleLevel"/>
    <w:tmpl w:val="7FF73EAD"/>
    <w:lvl w:ilvl="0">
      <w:start w:val="1"/>
      <w:numFmt w:val="decimal"/>
      <w:lvlText w:val="%1)"/>
      <w:lvlJc w:val="left"/>
      <w:pPr>
        <w:ind w:left="425" w:hanging="425"/>
      </w:pPr>
      <w:rPr>
        <w:rFonts w:hint="default"/>
      </w:rPr>
    </w:lvl>
  </w:abstractNum>
  <w:abstractNum w:abstractNumId="51">
    <w:nsid w:val="7FFFA005"/>
    <w:multiLevelType w:val="singleLevel"/>
    <w:tmpl w:val="7FFFA005"/>
    <w:lvl w:ilvl="0">
      <w:start w:val="1"/>
      <w:numFmt w:val="decimal"/>
      <w:lvlText w:val="%1)"/>
      <w:lvlJc w:val="left"/>
      <w:pPr>
        <w:ind w:left="425" w:hanging="425"/>
      </w:pPr>
      <w:rPr>
        <w:rFonts w:hint="default"/>
      </w:rPr>
    </w:lvl>
  </w:abstractNum>
  <w:num w:numId="1">
    <w:abstractNumId w:val="15"/>
  </w:num>
  <w:num w:numId="2">
    <w:abstractNumId w:val="14"/>
  </w:num>
  <w:num w:numId="3">
    <w:abstractNumId w:val="18"/>
  </w:num>
  <w:num w:numId="4">
    <w:abstractNumId w:val="41"/>
  </w:num>
  <w:num w:numId="5">
    <w:abstractNumId w:val="31"/>
  </w:num>
  <w:num w:numId="6">
    <w:abstractNumId w:val="27"/>
  </w:num>
  <w:num w:numId="7">
    <w:abstractNumId w:val="37"/>
  </w:num>
  <w:num w:numId="8">
    <w:abstractNumId w:val="38"/>
  </w:num>
  <w:num w:numId="9">
    <w:abstractNumId w:val="22"/>
  </w:num>
  <w:num w:numId="10">
    <w:abstractNumId w:val="0"/>
  </w:num>
  <w:num w:numId="11">
    <w:abstractNumId w:val="24"/>
  </w:num>
  <w:num w:numId="12">
    <w:abstractNumId w:val="42"/>
  </w:num>
  <w:num w:numId="13">
    <w:abstractNumId w:val="23"/>
  </w:num>
  <w:num w:numId="14">
    <w:abstractNumId w:val="45"/>
  </w:num>
  <w:num w:numId="15">
    <w:abstractNumId w:val="3"/>
  </w:num>
  <w:num w:numId="16">
    <w:abstractNumId w:val="50"/>
  </w:num>
  <w:num w:numId="17">
    <w:abstractNumId w:val="6"/>
  </w:num>
  <w:num w:numId="18">
    <w:abstractNumId w:val="40"/>
  </w:num>
  <w:num w:numId="19">
    <w:abstractNumId w:val="12"/>
  </w:num>
  <w:num w:numId="20">
    <w:abstractNumId w:val="39"/>
  </w:num>
  <w:num w:numId="21">
    <w:abstractNumId w:val="36"/>
  </w:num>
  <w:num w:numId="22">
    <w:abstractNumId w:val="17"/>
  </w:num>
  <w:num w:numId="23">
    <w:abstractNumId w:val="44"/>
  </w:num>
  <w:num w:numId="24">
    <w:abstractNumId w:val="2"/>
  </w:num>
  <w:num w:numId="25">
    <w:abstractNumId w:val="46"/>
  </w:num>
  <w:num w:numId="26">
    <w:abstractNumId w:val="47"/>
  </w:num>
  <w:num w:numId="27">
    <w:abstractNumId w:val="33"/>
  </w:num>
  <w:num w:numId="28">
    <w:abstractNumId w:val="26"/>
  </w:num>
  <w:num w:numId="29">
    <w:abstractNumId w:val="8"/>
  </w:num>
  <w:num w:numId="30">
    <w:abstractNumId w:val="1"/>
  </w:num>
  <w:num w:numId="31">
    <w:abstractNumId w:val="20"/>
  </w:num>
  <w:num w:numId="32">
    <w:abstractNumId w:val="48"/>
  </w:num>
  <w:num w:numId="33">
    <w:abstractNumId w:val="32"/>
  </w:num>
  <w:num w:numId="34">
    <w:abstractNumId w:val="28"/>
  </w:num>
  <w:num w:numId="35">
    <w:abstractNumId w:val="49"/>
  </w:num>
  <w:num w:numId="36">
    <w:abstractNumId w:val="7"/>
  </w:num>
  <w:num w:numId="37">
    <w:abstractNumId w:val="43"/>
  </w:num>
  <w:num w:numId="38">
    <w:abstractNumId w:val="9"/>
  </w:num>
  <w:num w:numId="39">
    <w:abstractNumId w:val="5"/>
  </w:num>
  <w:num w:numId="40">
    <w:abstractNumId w:val="51"/>
  </w:num>
  <w:num w:numId="41">
    <w:abstractNumId w:val="30"/>
  </w:num>
  <w:num w:numId="42">
    <w:abstractNumId w:val="34"/>
  </w:num>
  <w:num w:numId="43">
    <w:abstractNumId w:val="19"/>
  </w:num>
  <w:num w:numId="44">
    <w:abstractNumId w:val="13"/>
  </w:num>
  <w:num w:numId="45">
    <w:abstractNumId w:val="21"/>
  </w:num>
  <w:num w:numId="46">
    <w:abstractNumId w:val="11"/>
  </w:num>
  <w:num w:numId="47">
    <w:abstractNumId w:val="35"/>
  </w:num>
  <w:num w:numId="48">
    <w:abstractNumId w:val="4"/>
  </w:num>
  <w:num w:numId="49">
    <w:abstractNumId w:val="10"/>
  </w:num>
  <w:num w:numId="50">
    <w:abstractNumId w:val="16"/>
  </w:num>
  <w:num w:numId="51">
    <w:abstractNumId w:val="29"/>
  </w:num>
  <w:num w:numId="52">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BDF"/>
    <w:rsid w:val="00006928"/>
    <w:rsid w:val="00007B85"/>
    <w:rsid w:val="000117CF"/>
    <w:rsid w:val="00012E11"/>
    <w:rsid w:val="00013C5A"/>
    <w:rsid w:val="00014327"/>
    <w:rsid w:val="00015560"/>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AED"/>
    <w:rsid w:val="0004234F"/>
    <w:rsid w:val="00043FC9"/>
    <w:rsid w:val="00044ACA"/>
    <w:rsid w:val="00046983"/>
    <w:rsid w:val="00047C9E"/>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7A69"/>
    <w:rsid w:val="0008172E"/>
    <w:rsid w:val="00083280"/>
    <w:rsid w:val="00084233"/>
    <w:rsid w:val="000868CE"/>
    <w:rsid w:val="00087892"/>
    <w:rsid w:val="00087F70"/>
    <w:rsid w:val="00091254"/>
    <w:rsid w:val="000921EB"/>
    <w:rsid w:val="00092756"/>
    <w:rsid w:val="00093FB7"/>
    <w:rsid w:val="0009416F"/>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7730"/>
    <w:rsid w:val="001677E1"/>
    <w:rsid w:val="00170164"/>
    <w:rsid w:val="001705C0"/>
    <w:rsid w:val="00170CAE"/>
    <w:rsid w:val="00171F6F"/>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21DC"/>
    <w:rsid w:val="00293227"/>
    <w:rsid w:val="002945BB"/>
    <w:rsid w:val="00295225"/>
    <w:rsid w:val="0029629F"/>
    <w:rsid w:val="00297198"/>
    <w:rsid w:val="002A0C63"/>
    <w:rsid w:val="002A1C12"/>
    <w:rsid w:val="002A2D26"/>
    <w:rsid w:val="002A48ED"/>
    <w:rsid w:val="002A4C61"/>
    <w:rsid w:val="002A5D00"/>
    <w:rsid w:val="002B099F"/>
    <w:rsid w:val="002B15DF"/>
    <w:rsid w:val="002B2385"/>
    <w:rsid w:val="002B41FC"/>
    <w:rsid w:val="002B49BC"/>
    <w:rsid w:val="002B4BBB"/>
    <w:rsid w:val="002B5B71"/>
    <w:rsid w:val="002B61E5"/>
    <w:rsid w:val="002B71B4"/>
    <w:rsid w:val="002B72BC"/>
    <w:rsid w:val="002C0552"/>
    <w:rsid w:val="002C05B2"/>
    <w:rsid w:val="002C0DEA"/>
    <w:rsid w:val="002C160C"/>
    <w:rsid w:val="002C5F3F"/>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50D0"/>
    <w:rsid w:val="0038761B"/>
    <w:rsid w:val="003919BC"/>
    <w:rsid w:val="00391F25"/>
    <w:rsid w:val="003931DC"/>
    <w:rsid w:val="003955E2"/>
    <w:rsid w:val="00396088"/>
    <w:rsid w:val="0039748A"/>
    <w:rsid w:val="00397C86"/>
    <w:rsid w:val="003A0036"/>
    <w:rsid w:val="003A30B5"/>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165A"/>
    <w:rsid w:val="0044281E"/>
    <w:rsid w:val="0044314C"/>
    <w:rsid w:val="004432CC"/>
    <w:rsid w:val="0044395C"/>
    <w:rsid w:val="004439CA"/>
    <w:rsid w:val="00444CEF"/>
    <w:rsid w:val="00445D8B"/>
    <w:rsid w:val="0045096D"/>
    <w:rsid w:val="0045101E"/>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9C"/>
    <w:rsid w:val="00521878"/>
    <w:rsid w:val="00523063"/>
    <w:rsid w:val="0052492E"/>
    <w:rsid w:val="00524ED9"/>
    <w:rsid w:val="00526A71"/>
    <w:rsid w:val="00526CA1"/>
    <w:rsid w:val="00527753"/>
    <w:rsid w:val="005277A2"/>
    <w:rsid w:val="005302F5"/>
    <w:rsid w:val="00530718"/>
    <w:rsid w:val="00530BC2"/>
    <w:rsid w:val="00531C9B"/>
    <w:rsid w:val="00536561"/>
    <w:rsid w:val="00536909"/>
    <w:rsid w:val="00540056"/>
    <w:rsid w:val="00540483"/>
    <w:rsid w:val="00540EE2"/>
    <w:rsid w:val="005428B5"/>
    <w:rsid w:val="00542A08"/>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C026B"/>
    <w:rsid w:val="005C1832"/>
    <w:rsid w:val="005C241B"/>
    <w:rsid w:val="005C310D"/>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A03"/>
    <w:rsid w:val="005F4E48"/>
    <w:rsid w:val="005F5B4C"/>
    <w:rsid w:val="005F6416"/>
    <w:rsid w:val="00600F9B"/>
    <w:rsid w:val="006015A1"/>
    <w:rsid w:val="00601EE5"/>
    <w:rsid w:val="00602F8F"/>
    <w:rsid w:val="00603008"/>
    <w:rsid w:val="00603919"/>
    <w:rsid w:val="00604394"/>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6982"/>
    <w:rsid w:val="00686D66"/>
    <w:rsid w:val="0068754E"/>
    <w:rsid w:val="006904AE"/>
    <w:rsid w:val="00691B74"/>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061"/>
    <w:rsid w:val="00735503"/>
    <w:rsid w:val="00735C31"/>
    <w:rsid w:val="007371C5"/>
    <w:rsid w:val="00740D25"/>
    <w:rsid w:val="0074156F"/>
    <w:rsid w:val="007416CB"/>
    <w:rsid w:val="007420B7"/>
    <w:rsid w:val="00743B25"/>
    <w:rsid w:val="007458A7"/>
    <w:rsid w:val="007462F2"/>
    <w:rsid w:val="007464CE"/>
    <w:rsid w:val="00746748"/>
    <w:rsid w:val="00746859"/>
    <w:rsid w:val="00746DF5"/>
    <w:rsid w:val="00747A4A"/>
    <w:rsid w:val="00747D27"/>
    <w:rsid w:val="007501D8"/>
    <w:rsid w:val="00752015"/>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774B"/>
    <w:rsid w:val="00820E3E"/>
    <w:rsid w:val="00821BDB"/>
    <w:rsid w:val="00821D8A"/>
    <w:rsid w:val="008227E7"/>
    <w:rsid w:val="00822A75"/>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90AE7"/>
    <w:rsid w:val="008923A1"/>
    <w:rsid w:val="0089269E"/>
    <w:rsid w:val="00895F08"/>
    <w:rsid w:val="00896A96"/>
    <w:rsid w:val="008A06FA"/>
    <w:rsid w:val="008A0AB2"/>
    <w:rsid w:val="008A0F55"/>
    <w:rsid w:val="008A11DA"/>
    <w:rsid w:val="008A21E1"/>
    <w:rsid w:val="008A3AF5"/>
    <w:rsid w:val="008A3C1B"/>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589E"/>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147"/>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6B89"/>
    <w:rsid w:val="00A66EAB"/>
    <w:rsid w:val="00A678FE"/>
    <w:rsid w:val="00A70492"/>
    <w:rsid w:val="00A71E82"/>
    <w:rsid w:val="00A7233E"/>
    <w:rsid w:val="00A73439"/>
    <w:rsid w:val="00A74C47"/>
    <w:rsid w:val="00A77B3E"/>
    <w:rsid w:val="00A805F8"/>
    <w:rsid w:val="00A82BA5"/>
    <w:rsid w:val="00A82D6A"/>
    <w:rsid w:val="00A83BF4"/>
    <w:rsid w:val="00A846E4"/>
    <w:rsid w:val="00A84966"/>
    <w:rsid w:val="00A910E7"/>
    <w:rsid w:val="00A95729"/>
    <w:rsid w:val="00A96395"/>
    <w:rsid w:val="00AA1282"/>
    <w:rsid w:val="00AA2238"/>
    <w:rsid w:val="00AA25DA"/>
    <w:rsid w:val="00AA3160"/>
    <w:rsid w:val="00AA4670"/>
    <w:rsid w:val="00AA493B"/>
    <w:rsid w:val="00AB079C"/>
    <w:rsid w:val="00AB0B0A"/>
    <w:rsid w:val="00AB3FC3"/>
    <w:rsid w:val="00AB6EAB"/>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7ED"/>
    <w:rsid w:val="00BC49B9"/>
    <w:rsid w:val="00BC49CB"/>
    <w:rsid w:val="00BC4EF0"/>
    <w:rsid w:val="00BC4F48"/>
    <w:rsid w:val="00BC51DC"/>
    <w:rsid w:val="00BC5E6C"/>
    <w:rsid w:val="00BD05A0"/>
    <w:rsid w:val="00BD0DBE"/>
    <w:rsid w:val="00BD2169"/>
    <w:rsid w:val="00BD2D4E"/>
    <w:rsid w:val="00BD5498"/>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73E0"/>
    <w:rsid w:val="00C20A23"/>
    <w:rsid w:val="00C21111"/>
    <w:rsid w:val="00C217D1"/>
    <w:rsid w:val="00C27FEC"/>
    <w:rsid w:val="00C300CF"/>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726"/>
    <w:rsid w:val="00C71F25"/>
    <w:rsid w:val="00C7484E"/>
    <w:rsid w:val="00C75A6E"/>
    <w:rsid w:val="00C7632B"/>
    <w:rsid w:val="00C80272"/>
    <w:rsid w:val="00C81CD5"/>
    <w:rsid w:val="00C825D9"/>
    <w:rsid w:val="00C837E5"/>
    <w:rsid w:val="00C8385D"/>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41A5"/>
    <w:rsid w:val="00D44AF4"/>
    <w:rsid w:val="00D50F12"/>
    <w:rsid w:val="00D517D5"/>
    <w:rsid w:val="00D530BF"/>
    <w:rsid w:val="00D547CC"/>
    <w:rsid w:val="00D556A2"/>
    <w:rsid w:val="00D55F02"/>
    <w:rsid w:val="00D6052D"/>
    <w:rsid w:val="00D60B02"/>
    <w:rsid w:val="00D6111B"/>
    <w:rsid w:val="00D61DCA"/>
    <w:rsid w:val="00D6251E"/>
    <w:rsid w:val="00D642A1"/>
    <w:rsid w:val="00D643AE"/>
    <w:rsid w:val="00D6462C"/>
    <w:rsid w:val="00D674B3"/>
    <w:rsid w:val="00D70123"/>
    <w:rsid w:val="00D70EF5"/>
    <w:rsid w:val="00D72B01"/>
    <w:rsid w:val="00D72C63"/>
    <w:rsid w:val="00D752F4"/>
    <w:rsid w:val="00D7615F"/>
    <w:rsid w:val="00D77133"/>
    <w:rsid w:val="00D77A30"/>
    <w:rsid w:val="00D80DA8"/>
    <w:rsid w:val="00D81FB1"/>
    <w:rsid w:val="00D82AD9"/>
    <w:rsid w:val="00D84AEE"/>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56D8"/>
    <w:rsid w:val="00E5003E"/>
    <w:rsid w:val="00E5054D"/>
    <w:rsid w:val="00E5088E"/>
    <w:rsid w:val="00E518A3"/>
    <w:rsid w:val="00E52801"/>
    <w:rsid w:val="00E55C6F"/>
    <w:rsid w:val="00E6178A"/>
    <w:rsid w:val="00E632BD"/>
    <w:rsid w:val="00E634A5"/>
    <w:rsid w:val="00E65F55"/>
    <w:rsid w:val="00E66025"/>
    <w:rsid w:val="00E66E01"/>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389"/>
    <w:rsid w:val="00EE5177"/>
    <w:rsid w:val="00EE6139"/>
    <w:rsid w:val="00EE6266"/>
    <w:rsid w:val="00EE73FB"/>
    <w:rsid w:val="00EF08F6"/>
    <w:rsid w:val="00EF20BF"/>
    <w:rsid w:val="00EF5E1A"/>
    <w:rsid w:val="00F0002B"/>
    <w:rsid w:val="00F01E99"/>
    <w:rsid w:val="00F028B2"/>
    <w:rsid w:val="00F02D7F"/>
    <w:rsid w:val="00F03E21"/>
    <w:rsid w:val="00F051C3"/>
    <w:rsid w:val="00F105BE"/>
    <w:rsid w:val="00F1089D"/>
    <w:rsid w:val="00F1545A"/>
    <w:rsid w:val="00F15851"/>
    <w:rsid w:val="00F15CC8"/>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styleId="NormalIndent">
    <w:name w:val="Normal Indent"/>
    <w:basedOn w:val="Normal"/>
    <w:qFormat/>
    <w:pPr>
      <w:spacing w:line="360" w:lineRule="auto"/>
      <w:ind w:firstLine="420" w:firstLineChars="200"/>
    </w:pPr>
    <w:rPr>
      <w:sz w:val="24"/>
      <w:szCs w:val="24"/>
    </w:rPr>
  </w:style>
  <w:style w:type="paragraph" w:styleId="ListBullet2">
    <w:name w:val="List Bullet 2"/>
    <w:basedOn w:val="Normal"/>
    <w:pPr>
      <w:numPr>
        <w:numId w:val="4"/>
      </w:numPr>
    </w:pPr>
    <w:rPr>
      <w:rFonts w:asciiTheme="minorHAnsi" w:eastAsiaTheme="minorEastAsia" w:hAnsiTheme="minorHAnsi" w:cstheme="minorBidi"/>
      <w:szCs w:val="22"/>
    </w:rPr>
  </w:style>
  <w:style w:type="paragraph" w:customStyle="1" w:styleId="B">
    <w:name w:val="B表头样式"/>
    <w:next w:val="Normal"/>
    <w:qFormat/>
    <w:pPr>
      <w:jc w:val="center"/>
    </w:pPr>
    <w:rPr>
      <w:rFonts w:ascii="Calibri" w:eastAsia="黑体" w:hAnsi="Calibri"/>
      <w:b/>
      <w:kern w:val="2"/>
      <w:sz w:val="21"/>
      <w:szCs w:val="21"/>
      <w:lang w:eastAsia="zh-CN"/>
    </w:rPr>
  </w:style>
  <w:style w:type="paragraph" w:customStyle="1" w:styleId="B0">
    <w:name w:val="B表格正文"/>
    <w:qFormat/>
    <w:rPr>
      <w:rFonts w:ascii="Calibri" w:eastAsia="黑体" w:hAnsi="Calibri"/>
      <w:kern w:val="2"/>
      <w:sz w:val="21"/>
      <w:szCs w:val="21"/>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5.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6.xml" /><Relationship Id="rId14" Type="http://schemas.openxmlformats.org/officeDocument/2006/relationships/header" Target="header5.xml" /><Relationship Id="rId15" Type="http://schemas.openxmlformats.org/officeDocument/2006/relationships/theme" Target="theme/theme1.xml" /><Relationship Id="rId16" Type="http://schemas.openxmlformats.org/officeDocument/2006/relationships/numbering" Target="numbering.xml" /><Relationship Id="rId17"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footer" Target="footer2.xml" /><Relationship Id="rId7" Type="http://schemas.openxmlformats.org/officeDocument/2006/relationships/header" Target="header2.xml" /><Relationship Id="rId8" Type="http://schemas.openxmlformats.org/officeDocument/2006/relationships/footer" Target="footer3.xml" /><Relationship Id="rId9" Type="http://schemas.openxmlformats.org/officeDocument/2006/relationships/footer" Target="foot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