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2025年内蒙古等6省（市）高光谱辐射观测系统采购项目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ZQCD-25378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呼和浩特市气象局， 湖南省气象灾害防御技术中心，  乌兰乌苏农业气象试验站， 济南市济阳区气象局， 寿县气象局， 海南省三亚市气象局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2025年内蒙古等6省（市）高光谱辐射观测系统采购项目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ZQCD-25378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合同签订后120天内交货，60天内完成安装调试并具备验收条件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呼和浩特市气象局， 湖南省气象灾害防御技术中心，  乌兰乌苏农业气象试验站， 济南市济阳区气象局， 寿县气象局， 海南省三亚市气象局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2025年10月31日 00:00:00</w:t>
      </w:r>
      <w:bookmarkEnd w:id="26"/>
      <w:r>
        <w:rPr>
          <w:rFonts w:ascii="宋体" w:hint="eastAsia"/>
          <w:szCs w:val="21"/>
          <w:highlight w:val="none"/>
        </w:rPr>
        <w:t>至</w:t>
      </w:r>
      <w:bookmarkStart w:id="27" w:name="项目公告_signUpLastTime"/>
      <w:r>
        <w:rPr>
          <w:rFonts w:ascii="宋体" w:hint="eastAsia"/>
          <w:szCs w:val="21"/>
          <w:highlight w:val="none"/>
        </w:rPr>
        <w:t>2025年11月07日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2025年11月26日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呼和浩特市气象局， 湖南省气象灾害防御技术中心，  乌兰乌苏农业气象试验站， 济南市济阳区气象局， 寿县气象局， 海南省三亚市气象局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马召伟</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0471-4348017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内蒙古自治区呼和浩特市赛罕区金桥开发区青河路</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呼和浩特市气象局， 湖南省气象灾害防御技术中心，  乌兰乌苏农业气象试验站， 济南市济阳区气象局， 寿县气象局， 海南省三亚市气象局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不允许（仅针对以下产品：高光谱辐射观测系统不允许代理商投标）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（1）标的：高光谱辐射观测系统，属于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1,309.600000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1,309.600000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销售合同必须包括气象光谱类设备或本项目机载相关设备，每提供1份合同得1分，最多得5分。否则不得分。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作物多模态高光谱仪（包含：荧光观测仪、可见近红外地物光谱仪、智能采集器、机载多波段光谱成像仪、机载光合植被观测仪、实景相机、多点温度传感器），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针对气象光谱类设备或本项目机载相关设备，每提供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2、除项目经理外至少8人具有2年及以上相关工作经验的，得1分；为本项目派出的技术人员至少5人具有1年及以上相关工作经验的，得1分；其他不得分。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针对作物多模态高光谱仪（包含：荧光观测仪、可见近红外地物光谱仪、智能采集器、机载多波段光谱成像仪、机载光合植被观测仪、实景相机）设备，测试报告应涵盖低温、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3"/>
        <w:gridCol w:w="689"/>
        <w:gridCol w:w="2361"/>
        <w:gridCol w:w="5435"/>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6" w:type="pct"/>
            <w:gridSpan w:val="2"/>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trHeight w:val="2280"/>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作物多模态高光谱仪</w:t>
            </w:r>
          </w:p>
        </w:tc>
        <w:tc>
          <w:tcPr>
            <w:tcW w:w="1282" w:type="pct"/>
            <w:vAlign w:val="center"/>
          </w:tcPr>
          <w:p>
            <w:pPr>
              <w:rPr>
                <w:rFonts w:ascii="仿宋" w:eastAsia="仿宋" w:hAnsi="仿宋" w:cs="仿宋" w:hint="eastAsia"/>
              </w:rPr>
            </w:pPr>
            <w:r>
              <w:rPr>
                <w:rFonts w:ascii="仿宋" w:eastAsia="仿宋" w:hAnsi="仿宋" w:cs="仿宋" w:hint="eastAsia"/>
                <w:sz w:val="24"/>
              </w:rPr>
              <w:t>荧光观测仪</w:t>
            </w:r>
          </w:p>
        </w:tc>
        <w:tc>
          <w:tcPr>
            <w:tcW w:w="2951" w:type="pct"/>
            <w:vAlign w:val="center"/>
          </w:tcPr>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rPr>
              <w:t>光谱有效范围：650～800nm</w:t>
            </w:r>
            <w:r>
              <w:rPr>
                <w:rFonts w:ascii="仿宋" w:eastAsia="仿宋" w:hAnsi="仿宋" w:cs="仿宋"/>
                <w:sz w:val="24"/>
                <w:szCs w:val="24"/>
              </w:rPr>
              <w:br/>
            </w:r>
            <w:r>
              <w:rPr>
                <w:rFonts w:ascii="仿宋" w:eastAsia="仿宋" w:hAnsi="仿宋" w:cs="仿宋" w:hint="eastAsia"/>
                <w:sz w:val="24"/>
                <w:szCs w:val="24"/>
                <w:highlight w:val="yellow"/>
              </w:rPr>
              <w:t>#</w:t>
            </w:r>
            <w:r>
              <w:rPr>
                <w:rFonts w:ascii="仿宋" w:eastAsia="仿宋" w:hAnsi="仿宋" w:cs="仿宋" w:hint="eastAsia"/>
                <w:sz w:val="24"/>
                <w:highlight w:val="yellow"/>
              </w:rPr>
              <w:t>光学分辨率：0.3</w:t>
            </w:r>
            <w:r>
              <w:rPr>
                <w:rFonts w:ascii="仿宋" w:eastAsia="仿宋" w:hAnsi="仿宋" w:cs="仿宋" w:hint="eastAsia"/>
                <w:sz w:val="24"/>
                <w:highlight w:val="yellow"/>
              </w:rPr>
              <w:t>±</w:t>
            </w:r>
            <w:r>
              <w:rPr>
                <w:rFonts w:ascii="仿宋" w:eastAsia="仿宋" w:hAnsi="仿宋" w:cs="仿宋" w:hint="eastAsia"/>
                <w:sz w:val="24"/>
                <w:highlight w:val="yellow"/>
              </w:rPr>
              <w:t>0.1nm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波长示值误差：</w:t>
            </w:r>
            <w:r>
              <w:rPr>
                <w:rFonts w:ascii="仿宋" w:eastAsia="仿宋" w:hAnsi="仿宋" w:cs="仿宋" w:hint="eastAsia"/>
                <w:sz w:val="24"/>
                <w:highlight w:val="yellow"/>
              </w:rPr>
              <w:t>≤</w:t>
            </w:r>
            <w:r>
              <w:rPr>
                <w:rFonts w:ascii="仿宋" w:eastAsia="仿宋" w:hAnsi="仿宋" w:cs="仿宋" w:hint="eastAsia"/>
                <w:sz w:val="24"/>
                <w:highlight w:val="yellow"/>
              </w:rPr>
              <w:t>0.2nm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#杂散光：</w:t>
            </w:r>
            <w:r>
              <w:rPr>
                <w:rFonts w:ascii="仿宋" w:eastAsia="仿宋" w:hAnsi="仿宋" w:cs="仿宋" w:hint="eastAsia"/>
                <w:sz w:val="24"/>
                <w:highlight w:val="yellow"/>
              </w:rPr>
              <w:t>≤</w:t>
            </w:r>
            <w:r>
              <w:rPr>
                <w:rFonts w:ascii="仿宋" w:eastAsia="仿宋" w:hAnsi="仿宋" w:cs="仿宋" w:hint="eastAsia"/>
                <w:sz w:val="24"/>
                <w:highlight w:val="yellow"/>
              </w:rPr>
              <w:t>0.1%</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修正线性度：</w:t>
            </w:r>
            <w:r>
              <w:rPr>
                <w:rFonts w:ascii="仿宋" w:eastAsia="仿宋" w:hAnsi="仿宋" w:cs="仿宋" w:hint="eastAsia"/>
                <w:sz w:val="24"/>
              </w:rPr>
              <w:t>≥</w:t>
            </w:r>
            <w:r>
              <w:rPr>
                <w:rFonts w:ascii="仿宋" w:eastAsia="仿宋" w:hAnsi="仿宋" w:cs="仿宋" w:hint="eastAsia"/>
                <w:sz w:val="24"/>
              </w:rPr>
              <w:t>99.5%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widowControl/>
              <w:jc w:val="left"/>
              <w:rPr>
                <w:rFonts w:ascii="仿宋" w:eastAsia="仿宋" w:hAnsi="仿宋" w:cs="仿宋" w:hint="eastAsia"/>
              </w:rPr>
            </w:pPr>
            <w:r>
              <w:rPr>
                <w:rStyle w:val="fontstyle01"/>
                <w:rFonts w:ascii="仿宋" w:eastAsia="仿宋" w:hAnsi="仿宋" w:hint="default"/>
                <w:sz w:val="24"/>
                <w:szCs w:val="24"/>
              </w:rPr>
              <w:t>强光响应上限：辐射亮度可检测值</w:t>
            </w:r>
            <w:r>
              <w:rPr>
                <w:rStyle w:val="fontstyle11"/>
                <w:rFonts w:ascii="仿宋" w:eastAsia="仿宋" w:hAnsi="仿宋"/>
                <w:sz w:val="24"/>
                <w:szCs w:val="24"/>
              </w:rPr>
              <w:t>≥5.3E-1W/nm-sr-m2(760nm)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sz w:val="24"/>
              </w:rPr>
              <w:t>4.4E-3W/nm-sr-m2(760nm)</w:t>
            </w:r>
          </w:p>
          <w:p>
            <w:pPr>
              <w:widowControl/>
              <w:jc w:val="left"/>
              <w:rPr>
                <w:rFonts w:ascii="仿宋" w:eastAsia="仿宋" w:hAnsi="仿宋" w:cs="仿宋" w:hint="eastAsia"/>
                <w:kern w:val="0"/>
                <w:szCs w:val="32"/>
              </w:rPr>
            </w:pPr>
            <w:r>
              <w:rPr>
                <w:rFonts w:ascii="仿宋" w:eastAsia="仿宋" w:hAnsi="仿宋" w:cs="仿宋" w:hint="eastAsia"/>
                <w:sz w:val="24"/>
                <w:highlight w:val="yellow"/>
              </w:rPr>
              <w:t>#</w:t>
            </w:r>
            <w:r>
              <w:rPr>
                <w:rFonts w:ascii="仿宋" w:eastAsia="仿宋" w:hAnsi="仿宋" w:cs="仿宋" w:hint="eastAsia"/>
                <w:kern w:val="0"/>
                <w:sz w:val="24"/>
                <w:szCs w:val="32"/>
                <w:highlight w:val="yellow"/>
              </w:rPr>
              <w:t>反射率测量稳定性：</w:t>
            </w:r>
            <w:r>
              <w:rPr>
                <w:rFonts w:ascii="仿宋" w:eastAsia="仿宋" w:hAnsi="仿宋" w:cs="仿宋" w:hint="eastAsia"/>
                <w:kern w:val="0"/>
                <w:sz w:val="24"/>
                <w:szCs w:val="32"/>
                <w:highlight w:val="yellow"/>
              </w:rPr>
              <w:t>≤</w:t>
            </w:r>
            <w:r>
              <w:rPr>
                <w:rFonts w:ascii="仿宋" w:eastAsia="仿宋" w:hAnsi="仿宋" w:cs="仿宋" w:hint="eastAsia"/>
                <w:kern w:val="0"/>
                <w:sz w:val="24"/>
                <w:szCs w:val="32"/>
                <w:highlight w:val="yellow"/>
              </w:rPr>
              <w:t>0.5%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4.4E-4W/m2-sr-nm（760nm）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#波长示值温漂：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szCs w:val="24"/>
                <w:highlight w:val="yellow"/>
              </w:rPr>
              <w:t>#</w:t>
            </w:r>
            <w:r>
              <w:rPr>
                <w:rFonts w:ascii="仿宋" w:eastAsia="仿宋" w:hAnsi="仿宋" w:cs="仿宋" w:hint="eastAsia"/>
                <w:sz w:val="24"/>
                <w:highlight w:val="yellow"/>
              </w:rPr>
              <w:t>分辨率温漂：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反射率测量最大允许误差</w:t>
            </w:r>
            <w:r>
              <w:rPr>
                <w:rFonts w:ascii="仿宋" w:eastAsia="仿宋" w:hAnsi="仿宋" w:cs="仿宋" w:hint="eastAsia"/>
                <w:sz w:val="24"/>
                <w:highlight w:val="yellow"/>
              </w:rPr>
              <w:t>≤</w:t>
            </w:r>
            <w:r>
              <w:rPr>
                <w:rFonts w:ascii="仿宋" w:eastAsia="仿宋" w:hAnsi="仿宋" w:cs="仿宋" w:hint="eastAsia"/>
                <w:sz w:val="24"/>
                <w:highlight w:val="yellow"/>
              </w:rPr>
              <w:t>1%（760nm）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A/D位深：</w:t>
            </w:r>
            <w:r>
              <w:rPr>
                <w:rFonts w:ascii="仿宋" w:eastAsia="仿宋" w:hAnsi="仿宋" w:cs="仿宋" w:hint="eastAsia"/>
                <w:sz w:val="24"/>
              </w:rPr>
              <w:t>≥</w:t>
            </w:r>
            <w:r>
              <w:rPr>
                <w:rFonts w:ascii="仿宋" w:eastAsia="仿宋" w:hAnsi="仿宋" w:cs="仿宋" w:hint="eastAsia"/>
                <w:sz w:val="24"/>
              </w:rPr>
              <w:t>16bit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动态范围：</w:t>
            </w:r>
            <w:r>
              <w:rPr>
                <w:rFonts w:ascii="仿宋" w:eastAsia="仿宋" w:hAnsi="仿宋" w:cs="仿宋" w:hint="eastAsia"/>
                <w:sz w:val="24"/>
              </w:rPr>
              <w:t>≥</w:t>
            </w:r>
            <w:r>
              <w:rPr>
                <w:rFonts w:ascii="仿宋" w:eastAsia="仿宋" w:hAnsi="仿宋" w:cs="仿宋" w:hint="eastAsia"/>
                <w:sz w:val="24"/>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可见近红外地物光谱仪</w:t>
            </w:r>
          </w:p>
        </w:tc>
        <w:tc>
          <w:tcPr>
            <w:tcW w:w="2951" w:type="pct"/>
            <w:vAlign w:val="center"/>
          </w:tcPr>
          <w:p>
            <w:pPr>
              <w:rPr>
                <w:rFonts w:ascii="仿宋" w:eastAsia="仿宋" w:hAnsi="仿宋" w:cs="仿宋"/>
                <w:kern w:val="0"/>
              </w:rPr>
            </w:pPr>
            <w:r>
              <w:rPr>
                <w:rFonts w:ascii="仿宋" w:eastAsia="仿宋" w:hAnsi="仿宋" w:cs="仿宋" w:hint="eastAsia"/>
                <w:kern w:val="0"/>
                <w:sz w:val="24"/>
              </w:rPr>
              <w:t>光谱有效范围:400～1700nm</w:t>
            </w:r>
          </w:p>
          <w:p>
            <w:pPr>
              <w:rPr>
                <w:rFonts w:ascii="仿宋" w:eastAsia="仿宋" w:hAnsi="仿宋" w:cs="仿宋"/>
              </w:rPr>
            </w:pPr>
            <w:r>
              <w:rPr>
                <w:rFonts w:ascii="仿宋" w:eastAsia="仿宋" w:hAnsi="仿宋" w:cs="仿宋" w:hint="eastAsia"/>
                <w:sz w:val="24"/>
              </w:rPr>
              <w:t>光谱采样间隔:</w:t>
            </w:r>
          </w:p>
          <w:p>
            <w:pPr>
              <w:rPr>
                <w:rFonts w:ascii="仿宋" w:eastAsia="仿宋" w:hAnsi="仿宋" w:cs="仿宋"/>
              </w:rPr>
            </w:pPr>
            <w:r>
              <w:rPr>
                <w:rFonts w:ascii="仿宋" w:eastAsia="仿宋" w:hAnsi="仿宋" w:cs="仿宋" w:hint="eastAsia"/>
                <w:sz w:val="24"/>
              </w:rPr>
              <w:t>原始数据</w:t>
            </w:r>
            <w:r>
              <w:rPr>
                <w:rFonts w:ascii="仿宋" w:eastAsia="仿宋" w:hAnsi="仿宋" w:cs="仿宋" w:hint="eastAsia"/>
                <w:sz w:val="24"/>
              </w:rPr>
              <w:t>≤</w:t>
            </w:r>
            <w:r>
              <w:rPr>
                <w:rFonts w:ascii="仿宋" w:eastAsia="仿宋" w:hAnsi="仿宋" w:cs="仿宋" w:hint="eastAsia"/>
                <w:sz w:val="24"/>
              </w:rPr>
              <w:t>0.5nm（4000~1000nm）</w:t>
            </w:r>
            <w:r>
              <w:rPr>
                <w:rFonts w:ascii="仿宋" w:eastAsia="仿宋" w:hAnsi="仿宋" w:cs="仿宋" w:hint="eastAsia"/>
                <w:sz w:val="24"/>
              </w:rPr>
              <w:t>≤</w:t>
            </w:r>
            <w:r>
              <w:rPr>
                <w:rFonts w:ascii="仿宋" w:eastAsia="仿宋" w:hAnsi="仿宋" w:cs="仿宋" w:hint="eastAsia"/>
                <w:sz w:val="24"/>
              </w:rPr>
              <w:t>2nm（1000~1700nm）</w:t>
            </w:r>
          </w:p>
          <w:p>
            <w:pPr>
              <w:rPr>
                <w:rFonts w:ascii="仿宋" w:eastAsia="仿宋" w:hAnsi="仿宋" w:cs="仿宋"/>
              </w:rPr>
            </w:pPr>
            <w:r>
              <w:rPr>
                <w:rFonts w:ascii="仿宋" w:eastAsia="仿宋" w:hAnsi="仿宋" w:cs="仿宋" w:hint="eastAsia"/>
                <w:sz w:val="24"/>
              </w:rPr>
              <w:t>插值后光谱数据间隔0.25nm（400~1000nm）1nm（1000~1700nm）</w:t>
            </w:r>
          </w:p>
          <w:p>
            <w:pPr>
              <w:rPr>
                <w:highlight w:val="yellow"/>
              </w:rPr>
            </w:pPr>
            <w:r>
              <w:rPr>
                <w:rFonts w:ascii="仿宋" w:eastAsia="仿宋" w:hAnsi="仿宋" w:cs="仿宋" w:hint="eastAsia"/>
                <w:sz w:val="24"/>
                <w:highlight w:val="yellow"/>
              </w:rPr>
              <w:t>#光学分辨率:</w:t>
            </w:r>
            <w:r>
              <w:rPr>
                <w:rFonts w:hint="eastAsia"/>
                <w:highlight w:val="yellow"/>
              </w:rPr>
              <w:t xml:space="preserve"> </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7nm(1000～1700nm)</w:t>
            </w:r>
          </w:p>
          <w:p>
            <w:pPr>
              <w:rPr>
                <w:rFonts w:ascii="仿宋" w:eastAsia="仿宋" w:hAnsi="仿宋" w:cs="仿宋"/>
                <w:highlight w:val="yellow"/>
              </w:rPr>
            </w:pPr>
            <w:r>
              <w:rPr>
                <w:rFonts w:ascii="仿宋" w:eastAsia="仿宋" w:hAnsi="仿宋" w:cs="仿宋" w:hint="eastAsia"/>
                <w:sz w:val="24"/>
                <w:highlight w:val="yellow"/>
              </w:rPr>
              <w:t>#波长示值误差:</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0.5nm（400～1000nm）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1nm（1000～1700nm）</w:t>
            </w:r>
          </w:p>
          <w:p>
            <w:pPr>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0.15%（740nm，1150nm）</w:t>
            </w:r>
          </w:p>
          <w:p>
            <w:pPr>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 （700nm，1400nm）</w:t>
            </w:r>
          </w:p>
          <w:p>
            <w:pPr>
              <w:rPr>
                <w:rFonts w:ascii="仿宋" w:eastAsia="仿宋" w:hAnsi="仿宋" w:cs="仿宋" w:hint="eastAsia"/>
              </w:rPr>
            </w:pPr>
            <w:r>
              <w:rPr>
                <w:rFonts w:ascii="仿宋" w:eastAsia="仿宋" w:hAnsi="仿宋" w:cs="仿宋" w:hint="eastAsia"/>
                <w:sz w:val="24"/>
              </w:rPr>
              <w:t>光谱辐射亮度最大</w:t>
            </w:r>
            <w:r>
              <w:rPr>
                <w:rFonts w:ascii="仿宋" w:eastAsia="仿宋" w:hAnsi="仿宋" w:cs="仿宋" w:hint="eastAsia"/>
                <w:sz w:val="24"/>
              </w:rPr>
              <w:t>允许</w:t>
            </w:r>
            <w:r>
              <w:rPr>
                <w:rFonts w:ascii="仿宋" w:eastAsia="仿宋" w:hAnsi="仿宋" w:cs="仿宋" w:hint="eastAsia"/>
                <w:sz w:val="24"/>
              </w:rPr>
              <w:t>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rPr>
            </w:pPr>
            <w:r>
              <w:rPr>
                <w:rFonts w:ascii="仿宋" w:eastAsia="仿宋" w:hAnsi="仿宋" w:cs="仿宋" w:hint="eastAsia"/>
                <w:sz w:val="24"/>
              </w:rPr>
              <w:t>光谱辐射照度最大允许误差: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hint="eastAsia"/>
              </w:rPr>
            </w:pPr>
            <w:r>
              <w:rPr>
                <w:rFonts w:ascii="仿宋" w:eastAsia="仿宋" w:hAnsi="仿宋" w:cs="仿宋" w:hint="eastAsia"/>
                <w:sz w:val="24"/>
              </w:rPr>
              <w:t>强光响应上限:辐射亮度可检测值</w:t>
            </w:r>
            <w:r>
              <w:rPr>
                <w:rFonts w:ascii="仿宋" w:eastAsia="仿宋" w:hAnsi="仿宋" w:cs="仿宋" w:hint="eastAsia"/>
                <w:sz w:val="24"/>
              </w:rPr>
              <w:t>≥</w:t>
            </w:r>
            <w:r>
              <w:rPr>
                <w:rFonts w:ascii="仿宋" w:eastAsia="仿宋" w:hAnsi="仿宋" w:cs="仿宋" w:hint="eastAsia"/>
                <w:sz w:val="24"/>
              </w:rPr>
              <w:t>5.3E-1W/nm-sr-m2(700nm)</w:t>
            </w:r>
            <w:r>
              <w:rPr>
                <w:rFonts w:ascii="仿宋" w:eastAsia="仿宋" w:hAnsi="仿宋" w:cs="仿宋" w:hint="eastAsia"/>
                <w:sz w:val="24"/>
              </w:rPr>
              <w:t>≥</w:t>
            </w:r>
            <w:r>
              <w:rPr>
                <w:rFonts w:ascii="仿宋" w:eastAsia="仿宋" w:hAnsi="仿宋" w:cs="仿宋" w:hint="eastAsia"/>
                <w:sz w:val="24"/>
              </w:rPr>
              <w:t>1.3E-1W/nm-sr-m2(1400nm)</w:t>
            </w:r>
          </w:p>
          <w:p>
            <w:pPr>
              <w:rPr>
                <w:rFonts w:ascii="仿宋" w:eastAsia="仿宋" w:hAnsi="仿宋" w:cs="仿宋"/>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hint="eastAsia"/>
                <w:sz w:val="24"/>
              </w:rPr>
              <w:t>4.4E-3W/nm-sr-m2(700nm)</w:t>
            </w:r>
            <w:r>
              <w:rPr>
                <w:rFonts w:ascii="仿宋" w:eastAsia="仿宋" w:hAnsi="仿宋" w:cs="仿宋" w:hint="eastAsia"/>
                <w:sz w:val="24"/>
              </w:rPr>
              <w:t>≤</w:t>
            </w:r>
            <w:r>
              <w:rPr>
                <w:rFonts w:ascii="仿宋" w:eastAsia="仿宋" w:hAnsi="仿宋" w:cs="仿宋" w:hint="eastAsia"/>
                <w:sz w:val="24"/>
              </w:rPr>
              <w:t>1.1E-3W/nm-sr-m2(1400nm)</w:t>
            </w:r>
          </w:p>
          <w:p>
            <w:pPr>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1%（0/45测量条件）（700nm，1400nm</w:t>
            </w:r>
            <w:r>
              <w:rPr>
                <w:rFonts w:ascii="仿宋" w:eastAsia="仿宋" w:hAnsi="仿宋" w:cs="仿宋"/>
                <w:sz w:val="24"/>
              </w:rPr>
              <w:t>）</w:t>
            </w:r>
          </w:p>
          <w:p>
            <w:pPr>
              <w:rPr>
                <w:rFonts w:ascii="仿宋" w:hAnsi="仿宋" w:cs="仿宋"/>
              </w:rPr>
            </w:pPr>
            <w:r>
              <w:rPr>
                <w:rFonts w:ascii="仿宋" w:eastAsia="仿宋" w:hAnsi="仿宋" w:cs="仿宋" w:hint="eastAsia"/>
                <w:sz w:val="24"/>
              </w:rPr>
              <w:t>光谱等效辐射暗噪声:</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4.4E-4W/nm-sr-m2（700nm）</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5.5E-4W/nm-sr-m2（1400nm）</w:t>
            </w:r>
          </w:p>
          <w:p>
            <w:pPr>
              <w:rPr>
                <w:rFonts w:ascii="仿宋" w:eastAsia="仿宋" w:hAnsi="仿宋" w:cs="仿宋"/>
                <w:highlight w:val="yellow"/>
              </w:rPr>
            </w:pPr>
            <w:r>
              <w:rPr>
                <w:rFonts w:ascii="仿宋" w:eastAsia="仿宋" w:hAnsi="仿宋" w:cs="仿宋" w:hint="eastAsia"/>
                <w:sz w:val="24"/>
                <w:highlight w:val="yellow"/>
              </w:rPr>
              <w:t>#信噪比:</w:t>
            </w:r>
          </w:p>
          <w:p>
            <w:pPr>
              <w:rPr>
                <w:rFonts w:ascii="宋体" w:eastAsia="宋体" w:hAnsi="宋体" w:cs="宋体"/>
                <w:szCs w:val="18"/>
                <w:highlight w:val="yellow"/>
              </w:rPr>
            </w:pPr>
            <w:r>
              <w:rPr>
                <w:rFonts w:ascii="宋体" w:eastAsia="宋体" w:hAnsi="宋体"/>
                <w:sz w:val="24"/>
                <w:szCs w:val="18"/>
                <w:highlight w:val="yellow"/>
              </w:rPr>
              <w:t>≥2</w:t>
            </w:r>
            <w:r>
              <w:rPr>
                <w:rFonts w:ascii="宋体" w:eastAsia="宋体" w:hAnsi="宋体" w:hint="eastAsia"/>
                <w:sz w:val="24"/>
                <w:szCs w:val="18"/>
                <w:highlight w:val="yellow"/>
              </w:rPr>
              <w:t>5</w:t>
            </w:r>
            <w:r>
              <w:rPr>
                <w:rFonts w:ascii="宋体" w:eastAsia="宋体" w:hAnsi="宋体"/>
                <w:sz w:val="24"/>
                <w:szCs w:val="18"/>
                <w:highlight w:val="yellow"/>
              </w:rPr>
              <w:t>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=700n</w:t>
            </w:r>
            <w:r>
              <w:rPr>
                <w:rFonts w:ascii="宋体" w:eastAsia="宋体" w:hAnsi="宋体" w:hint="eastAsia"/>
                <w:sz w:val="24"/>
                <w:szCs w:val="18"/>
                <w:highlight w:val="yellow"/>
              </w:rPr>
              <w:t>m,</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w:t>
            </w:r>
            <w:r>
              <w:rPr>
                <w:rFonts w:ascii="宋体" w:eastAsia="宋体" w:hAnsi="宋体" w:hint="eastAsia"/>
                <w:sz w:val="24"/>
                <w:szCs w:val="18"/>
                <w:highlight w:val="yellow"/>
              </w:rPr>
              <w:t>r</w:t>
            </w:r>
            <w:r>
              <w:rPr>
                <w:rFonts w:ascii="Symbol" w:eastAsia="宋体" w:hAnsi="Symbol"/>
                <w:sz w:val="24"/>
                <w:szCs w:val="18"/>
                <w:highlight w:val="yellow"/>
              </w:rPr>
              <w:sym w:font="Symbol" w:char="F0D7"/>
            </w:r>
            <w:r>
              <w:rPr>
                <w:rFonts w:ascii="宋体" w:eastAsia="宋体" w:hAnsi="宋体" w:hint="eastAsia"/>
                <w:sz w:val="24"/>
                <w:szCs w:val="18"/>
                <w:highlight w:val="yellow"/>
              </w:rPr>
              <w:t>nm)</w:t>
            </w:r>
            <w:r>
              <w:rPr>
                <w:rFonts w:ascii="宋体" w:eastAsia="宋体" w:hAnsi="宋体" w:cs="宋体" w:hint="eastAsia"/>
                <w:sz w:val="24"/>
                <w:szCs w:val="18"/>
                <w:highlight w:val="yellow"/>
              </w:rPr>
              <w:t>，</w:t>
            </w:r>
          </w:p>
          <w:p>
            <w:pPr>
              <w:rPr>
                <w:rFonts w:ascii="宋体" w:eastAsia="宋体" w:hAnsi="宋体" w:cs="宋体"/>
                <w:szCs w:val="18"/>
              </w:rPr>
            </w:pPr>
            <w:r>
              <w:rPr>
                <w:rFonts w:ascii="宋体" w:eastAsia="宋体" w:hAnsi="宋体"/>
                <w:sz w:val="24"/>
                <w:szCs w:val="18"/>
                <w:highlight w:val="yellow"/>
              </w:rPr>
              <w:t>≥3000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=1400nm</w:t>
            </w:r>
            <w:r>
              <w:rPr>
                <w:rFonts w:ascii="宋体" w:eastAsia="宋体" w:hAnsi="宋体" w:hint="eastAsia"/>
                <w:sz w:val="24"/>
                <w:szCs w:val="18"/>
                <w:highlight w:val="yellow"/>
              </w:rPr>
              <w:t>,</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sr</w:t>
            </w:r>
            <w:r>
              <w:rPr>
                <w:rFonts w:ascii="Symbol" w:eastAsia="宋体" w:hAnsi="Symbol"/>
                <w:sz w:val="24"/>
                <w:szCs w:val="18"/>
                <w:highlight w:val="yellow"/>
              </w:rPr>
              <w:sym w:font="Symbol" w:char="F0D7"/>
            </w:r>
            <w:r>
              <w:rPr>
                <w:rFonts w:ascii="宋体" w:eastAsia="宋体" w:hAnsi="宋体"/>
                <w:sz w:val="24"/>
                <w:szCs w:val="18"/>
                <w:highlight w:val="yellow"/>
              </w:rPr>
              <w:t>nm</w:t>
            </w:r>
            <w:r>
              <w:rPr>
                <w:rFonts w:ascii="宋体" w:eastAsia="宋体" w:hAnsi="宋体" w:cs="宋体" w:hint="eastAsia"/>
                <w:sz w:val="24"/>
                <w:szCs w:val="18"/>
                <w:highlight w:val="yellow"/>
              </w:rPr>
              <w:t>）</w:t>
            </w:r>
          </w:p>
          <w:p>
            <w:pPr>
              <w:rPr>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波长示值温漂:</w:t>
            </w:r>
            <w:r>
              <w:rPr>
                <w:rFonts w:hint="eastAsia"/>
                <w:highlight w:val="yellow"/>
              </w:rPr>
              <w:t xml:space="preserve"> </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分辨率温漂:</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rPr>
              <w:t>光谱反射率测量最大允许误差:</w:t>
            </w:r>
            <w:r>
              <w:rPr>
                <w:rFonts w:ascii="宋体" w:eastAsia="宋体" w:hAnsi="宋体" w:hint="eastAsia"/>
                <w:sz w:val="24"/>
                <w:szCs w:val="18"/>
              </w:rPr>
              <w:t>≤</w:t>
            </w:r>
            <w:r>
              <w:rPr>
                <w:rFonts w:ascii="宋体" w:eastAsia="宋体" w:hAnsi="宋体" w:hint="eastAsia"/>
                <w:sz w:val="24"/>
                <w:szCs w:val="18"/>
              </w:rPr>
              <w:t>2%（700nm，1400nm）</w:t>
            </w:r>
          </w:p>
          <w:p>
            <w:pPr>
              <w:rPr>
                <w:rFonts w:ascii="宋体" w:eastAsia="宋体" w:hAnsi="宋体" w:hint="eastAsia"/>
                <w:szCs w:val="18"/>
              </w:rPr>
            </w:pPr>
            <w:r>
              <w:rPr>
                <w:rFonts w:ascii="宋体" w:eastAsia="宋体" w:hAnsi="宋体" w:hint="eastAsia"/>
                <w:sz w:val="24"/>
                <w:szCs w:val="18"/>
              </w:rPr>
              <w:t>动态范围:</w:t>
            </w:r>
            <w:r>
              <w:rPr>
                <w:rFonts w:ascii="宋体" w:eastAsia="宋体" w:hAnsi="宋体" w:hint="eastAsia"/>
                <w:sz w:val="24"/>
                <w:szCs w:val="18"/>
              </w:rPr>
              <w:t>≥</w:t>
            </w:r>
            <w:r>
              <w:rPr>
                <w:rFonts w:ascii="宋体" w:eastAsia="宋体" w:hAnsi="宋体" w:hint="eastAsia"/>
                <w:sz w:val="24"/>
                <w:szCs w:val="18"/>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智能采集器</w:t>
            </w:r>
          </w:p>
        </w:tc>
        <w:tc>
          <w:tcPr>
            <w:tcW w:w="2951" w:type="pct"/>
            <w:vAlign w:val="center"/>
          </w:tcPr>
          <w:p>
            <w:pPr>
              <w:rPr>
                <w:rFonts w:ascii="仿宋" w:eastAsia="仿宋" w:hAnsi="仿宋" w:cs="仿宋" w:hint="eastAsia"/>
              </w:rPr>
            </w:pPr>
            <w:r>
              <w:rPr>
                <w:rFonts w:ascii="仿宋" w:eastAsia="仿宋" w:hAnsi="仿宋" w:cs="仿宋" w:hint="eastAsia"/>
                <w:sz w:val="24"/>
              </w:rPr>
              <w:t>CPU：不低于4核1.6GHz；</w:t>
            </w:r>
          </w:p>
          <w:p>
            <w:pPr>
              <w:rPr>
                <w:rFonts w:ascii="仿宋" w:eastAsia="仿宋" w:hAnsi="仿宋" w:cs="仿宋" w:hint="eastAsia"/>
              </w:rPr>
            </w:pPr>
            <w:r>
              <w:rPr>
                <w:rFonts w:ascii="仿宋" w:eastAsia="仿宋" w:hAnsi="仿宋" w:cs="仿宋" w:hint="eastAsia"/>
                <w:sz w:val="24"/>
              </w:rPr>
              <w:t>RAM：LPDDR4，不低于4GB；</w:t>
            </w:r>
          </w:p>
          <w:p>
            <w:pPr>
              <w:rPr>
                <w:rFonts w:ascii="仿宋" w:eastAsia="仿宋" w:hAnsi="仿宋" w:cs="仿宋"/>
              </w:rPr>
            </w:pPr>
            <w:r>
              <w:rPr>
                <w:rFonts w:ascii="仿宋" w:eastAsia="仿宋" w:hAnsi="仿宋" w:cs="仿宋" w:hint="eastAsia"/>
                <w:sz w:val="24"/>
              </w:rPr>
              <w:t>ROM：不低于32GB的eMMC存储容量，支持1TB及以上的存储空间，可满足数据存储业务（1年）；</w:t>
            </w:r>
          </w:p>
          <w:p>
            <w:pPr>
              <w:rPr>
                <w:rFonts w:ascii="仿宋" w:eastAsia="仿宋" w:hAnsi="仿宋" w:cs="仿宋" w:hint="eastAsia"/>
              </w:rPr>
            </w:pPr>
            <w:r>
              <w:rPr>
                <w:rFonts w:ascii="仿宋" w:eastAsia="仿宋" w:hAnsi="仿宋" w:cs="仿宋" w:hint="eastAsia"/>
                <w:sz w:val="24"/>
              </w:rPr>
              <w:t>操作系统：可运行Linux系统;</w:t>
            </w:r>
          </w:p>
          <w:p>
            <w:pPr>
              <w:rPr>
                <w:rFonts w:ascii="仿宋" w:eastAsia="仿宋" w:hAnsi="仿宋" w:cs="仿宋" w:hint="eastAsia"/>
              </w:rPr>
            </w:pPr>
            <w:r>
              <w:rPr>
                <w:rFonts w:ascii="仿宋" w:eastAsia="仿宋" w:hAnsi="仿宋" w:cs="仿宋" w:hint="eastAsia"/>
                <w:sz w:val="24"/>
              </w:rPr>
              <w:t>RS485或RS232接口不低于4个;</w:t>
            </w:r>
          </w:p>
          <w:p>
            <w:pPr>
              <w:rPr>
                <w:rFonts w:ascii="仿宋" w:eastAsia="仿宋" w:hAnsi="仿宋" w:cs="仿宋" w:hint="eastAsia"/>
              </w:rPr>
            </w:pPr>
            <w:r>
              <w:rPr>
                <w:rFonts w:ascii="仿宋" w:eastAsia="仿宋" w:hAnsi="仿宋" w:cs="仿宋" w:hint="eastAsia"/>
                <w:sz w:val="24"/>
              </w:rPr>
              <w:t>RJ45接口不低于4个;</w:t>
            </w:r>
          </w:p>
          <w:p>
            <w:r>
              <w:rPr>
                <w:rFonts w:ascii="仿宋" w:eastAsia="仿宋" w:hAnsi="仿宋" w:cs="仿宋" w:hint="eastAsia"/>
                <w:sz w:val="24"/>
              </w:rPr>
              <w:t>USB接口不低于2个（其中至少1个为USB3.0）;</w:t>
            </w:r>
          </w:p>
          <w:p>
            <w:pPr>
              <w:rPr>
                <w:rFonts w:ascii="仿宋" w:eastAsia="仿宋" w:hAnsi="仿宋" w:cs="仿宋" w:hint="eastAsia"/>
              </w:rPr>
            </w:pPr>
          </w:p>
          <w:p>
            <w:pPr>
              <w:rPr>
                <w:rFonts w:ascii="仿宋" w:eastAsia="仿宋" w:hAnsi="仿宋" w:cs="仿宋" w:hint="eastAsia"/>
              </w:rPr>
            </w:pPr>
            <w:r>
              <w:rPr>
                <w:rFonts w:ascii="仿宋" w:eastAsia="仿宋" w:hAnsi="仿宋" w:cs="仿宋" w:hint="eastAsia"/>
                <w:sz w:val="24"/>
              </w:rPr>
              <w:t>具有HDMI接口可连接显示屏。</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机载多波段光谱成像仪</w:t>
            </w:r>
          </w:p>
        </w:tc>
        <w:tc>
          <w:tcPr>
            <w:tcW w:w="2951" w:type="pct"/>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rPr>
            </w:pP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6nm@530nm,570nm；</w:t>
            </w:r>
          </w:p>
          <w:p>
            <w:r>
              <w:rPr>
                <w:rFonts w:ascii="仿宋" w:eastAsia="仿宋" w:hAnsi="仿宋" w:cs="仿宋" w:hint="eastAsia"/>
                <w:sz w:val="24"/>
                <w:highlight w:val="yellow"/>
              </w:rPr>
              <w:t>≤</w:t>
            </w:r>
            <w:r>
              <w:rPr>
                <w:rFonts w:ascii="仿宋" w:eastAsia="仿宋" w:hAnsi="仿宋" w:cs="仿宋" w:hint="eastAsia"/>
                <w:sz w:val="24"/>
                <w:highlight w:val="yellow"/>
              </w:rPr>
              <w:t>10nm@470nm,650nm,705nm,</w:t>
            </w:r>
          </w:p>
          <w:p>
            <w:pPr>
              <w:rPr>
                <w:rFonts w:ascii="仿宋" w:eastAsia="仿宋" w:hAnsi="仿宋" w:cs="仿宋"/>
              </w:rPr>
            </w:pP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
            <w:pPr>
              <w:rPr>
                <w:rFonts w:ascii="仿宋" w:eastAsia="仿宋" w:hAnsi="仿宋" w:cs="仿宋" w:hint="eastAsia"/>
              </w:rPr>
            </w:pP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100：1（35dB）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机载光合植被观测仪</w:t>
            </w:r>
          </w:p>
        </w:tc>
        <w:tc>
          <w:tcPr>
            <w:tcW w:w="2951" w:type="pct"/>
            <w:vAlign w:val="center"/>
          </w:tcPr>
          <w:p>
            <w:pPr>
              <w:shd w:val="clear" w:color="auto" w:fill="FFFFFF"/>
              <w:snapToGrid w:val="0"/>
              <w:contextualSpacing/>
              <w:rPr>
                <w:rFonts w:ascii="仿宋" w:eastAsia="仿宋" w:hAnsi="仿宋" w:cs="仿宋"/>
              </w:rPr>
            </w:pPr>
            <w:r>
              <w:rPr>
                <w:rFonts w:ascii="仿宋" w:eastAsia="仿宋" w:hAnsi="仿宋" w:cs="仿宋" w:hint="eastAsia"/>
                <w:sz w:val="24"/>
              </w:rPr>
              <w:t>日光诱导叶绿素荧光观测仪: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650～800nm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highlight w:val="yellow"/>
              </w:rPr>
              <w:t xml:space="preserve"> </w:t>
            </w:r>
            <w:r>
              <w:rPr>
                <w:rFonts w:ascii="仿宋" w:eastAsia="仿宋" w:hAnsi="仿宋" w:cs="仿宋"/>
                <w:sz w:val="24"/>
                <w:highlight w:val="yellow"/>
              </w:rPr>
              <w:t>0.3±0.1nm</w:t>
            </w:r>
          </w:p>
          <w:p>
            <w:pPr>
              <w:shd w:val="clear" w:color="auto" w:fill="FFFFFF"/>
              <w:snapToGrid w:val="0"/>
              <w:contextualSpacing/>
              <w:rPr>
                <w:rFonts w:ascii="仿宋" w:eastAsia="仿宋" w:hAnsi="仿宋" w:cs="仿宋"/>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shd w:val="clear" w:color="auto" w:fill="FFFFFF"/>
              <w:snapToGrid w:val="0"/>
              <w:contextualSpacing/>
              <w:rPr>
                <w:rFonts w:ascii="仿宋" w:eastAsia="仿宋" w:hAnsi="仿宋" w:cs="仿宋"/>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10000：1</w:t>
            </w:r>
          </w:p>
          <w:p>
            <w:pPr>
              <w:shd w:val="clear" w:color="auto" w:fill="FFFFFF"/>
              <w:snapToGrid w:val="0"/>
              <w:contextualSpacing/>
              <w:rPr>
                <w:rFonts w:ascii="仿宋" w:eastAsia="仿宋" w:hAnsi="仿宋" w:cs="仿宋"/>
              </w:rPr>
            </w:pPr>
            <w:r>
              <w:rPr>
                <w:rFonts w:ascii="仿宋" w:eastAsia="仿宋" w:hAnsi="仿宋" w:cs="仿宋" w:hint="eastAsia"/>
                <w:sz w:val="24"/>
              </w:rPr>
              <w:t>A/D 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16bit</w:t>
            </w:r>
          </w:p>
          <w:p>
            <w:pPr>
              <w:shd w:val="clear" w:color="auto" w:fill="FFFFFF"/>
              <w:snapToGrid w:val="0"/>
              <w:contextualSpacing/>
              <w:rPr>
                <w:rFonts w:ascii="仿宋" w:eastAsia="仿宋" w:hAnsi="仿宋" w:cs="仿宋"/>
              </w:rPr>
            </w:pPr>
            <w:r>
              <w:rPr>
                <w:rFonts w:ascii="仿宋" w:eastAsia="仿宋" w:hAnsi="仿宋" w:cs="仿宋" w:hint="eastAsia"/>
                <w:sz w:val="24"/>
              </w:rPr>
              <w:t>波长示值误差:</w:t>
            </w:r>
            <w:r>
              <w:rPr>
                <w:rFonts w:hint="eastAsia"/>
              </w:rPr>
              <w:t xml:space="preserve"> </w:t>
            </w:r>
            <w:r>
              <w:rPr>
                <w:rFonts w:ascii="仿宋" w:eastAsia="仿宋" w:hAnsi="仿宋" w:cs="仿宋" w:hint="eastAsia"/>
                <w:sz w:val="24"/>
              </w:rPr>
              <w:t>≤</w:t>
            </w:r>
            <w:r>
              <w:rPr>
                <w:rFonts w:ascii="仿宋" w:eastAsia="仿宋" w:hAnsi="仿宋" w:cs="仿宋" w:hint="eastAsia"/>
                <w:sz w:val="24"/>
              </w:rPr>
              <w:t>0.2nm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w:t>
            </w:r>
          </w:p>
          <w:p>
            <w:pPr>
              <w:shd w:val="clear" w:color="auto" w:fill="FFFFFF"/>
              <w:snapToGrid w:val="0"/>
              <w:contextualSpacing/>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w:t>
            </w:r>
          </w:p>
          <w:p>
            <w:pPr>
              <w:shd w:val="clear" w:color="auto" w:fill="FFFFFF"/>
              <w:snapToGrid w:val="0"/>
              <w:contextualSpacing/>
              <w:rPr>
                <w:rFonts w:ascii="仿宋" w:eastAsia="仿宋" w:hAnsi="仿宋" w:cs="仿宋"/>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弱光响应下限：辐射亮度可检测值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4.4E-3W/nm-sr-m2(760nm)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强光响应上限：辐射亮度可检测值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5.3E-1W/nm-sr-m2(760nm)</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0.5%</w:t>
            </w:r>
          </w:p>
          <w:p>
            <w:pPr>
              <w:shd w:val="clear" w:color="auto" w:fill="FFFFFF"/>
              <w:snapToGrid w:val="0"/>
              <w:contextualSpacing/>
              <w:rPr>
                <w:rFonts w:ascii="仿宋" w:eastAsia="仿宋" w:hAnsi="仿宋" w:cs="仿宋"/>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w:t>
            </w:r>
            <w:r>
              <w:rPr>
                <w:rFonts w:ascii="仿宋" w:eastAsia="仿宋" w:hAnsi="仿宋" w:cs="仿宋"/>
                <w:sz w:val="24"/>
              </w:rPr>
              <w:t>E-</w:t>
            </w:r>
            <w:r>
              <w:rPr>
                <w:rFonts w:ascii="仿宋" w:eastAsia="仿宋" w:hAnsi="仿宋" w:cs="仿宋" w:hint="eastAsia"/>
                <w:sz w:val="24"/>
              </w:rPr>
              <w:t>4</w:t>
            </w:r>
            <w:r>
              <w:rPr>
                <w:rFonts w:ascii="仿宋" w:eastAsia="仿宋" w:hAnsi="仿宋" w:cs="仿宋"/>
                <w:sz w:val="24"/>
              </w:rPr>
              <w:t>W/m2-sr-nm (760nm)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反射率测量最大允许误差:</w:t>
            </w:r>
            <w:r>
              <w:rPr>
                <w:rFonts w:hint="eastAsia"/>
              </w:rPr>
              <w:t xml:space="preserve"> </w:t>
            </w:r>
            <w:r>
              <w:rPr>
                <w:rFonts w:ascii="仿宋" w:eastAsia="仿宋" w:hAnsi="仿宋" w:cs="仿宋" w:hint="eastAsia"/>
                <w:sz w:val="24"/>
              </w:rPr>
              <w:t>≤</w:t>
            </w:r>
            <w:r>
              <w:rPr>
                <w:rFonts w:ascii="仿宋" w:eastAsia="仿宋" w:hAnsi="仿宋" w:cs="仿宋" w:hint="eastAsia"/>
                <w:sz w:val="24"/>
              </w:rPr>
              <w:t>1%（760nm）</w:t>
            </w:r>
          </w:p>
          <w:p>
            <w:pPr>
              <w:shd w:val="clear" w:color="auto" w:fill="FFFFFF"/>
              <w:snapToGrid w:val="0"/>
              <w:contextualSpacing/>
              <w:rPr>
                <w:rFonts w:ascii="仿宋" w:eastAsia="仿宋" w:hAnsi="仿宋" w:cs="仿宋"/>
              </w:rPr>
            </w:pPr>
            <w:r>
              <w:rPr>
                <w:rFonts w:ascii="仿宋" w:eastAsia="仿宋" w:hAnsi="仿宋" w:cs="仿宋" w:hint="eastAsia"/>
                <w:sz w:val="24"/>
              </w:rPr>
              <w:t>植被指数观测仪: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400～1000nm</w:t>
            </w:r>
          </w:p>
          <w:p>
            <w:pPr>
              <w:shd w:val="clear" w:color="auto" w:fill="FFFFFF"/>
              <w:snapToGrid w:val="0"/>
              <w:contextualSpacing/>
              <w:rPr>
                <w:rFonts w:ascii="仿宋" w:eastAsia="仿宋" w:hAnsi="仿宋" w:cs="仿宋"/>
                <w:highlight w:val="yellow"/>
              </w:rPr>
            </w:pPr>
            <w:r>
              <w:rPr>
                <w:rFonts w:ascii="仿宋" w:eastAsia="仿宋" w:hAnsi="仿宋" w:cs="仿宋" w:hint="eastAsia"/>
                <w:sz w:val="24"/>
                <w:highlight w:val="yellow"/>
              </w:rPr>
              <w:t>#信噪比:</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300：1（760nm）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1.5nm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1300:1（单次扫描）</w:t>
            </w:r>
          </w:p>
        </w:tc>
      </w:tr>
    </w:tbl>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校准要求：荧光观测仪、可见近红外地物光谱仪、机载多波段光谱成像仪、机载光合植被观测仪由供应商每年至少进行2次校准。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要求：供应商提供的荧光观测仪、可见近红外地物光谱仪、智能采集器、机载多波段光谱成像仪、机载光合植被观测仪、实景相机应能够实时回传功能规格需求书中要求的数据，智能机库应能够接收并存储机载多波段光谱成像仪、机载光合植被观测仪的功能规格需求书中要求存储的所有数据，同时支持有线或无线网络传输的方式将所有存储的数据传输到智能机库，支持有线网络导出到本地台站。采集器不低于32GB的eMMC存储容量，支持1TB及以上的存储空间，可满足数据存储业务（1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四、质保服务等要求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供应商按照业务运行规范要求执行，确保设备可稳定运行，主要包括巡检、巡查工作，以及关键器件及系统故障的维修等。故障维修和巡检巡查等需按照《</w:t>
      </w:r>
      <w:r>
        <w:rPr>
          <w:rFonts w:ascii="仿宋" w:eastAsia="仿宋" w:hAnsi="仿宋" w:cs="仿宋" w:hint="eastAsia"/>
          <w:sz w:val="28"/>
          <w:szCs w:val="28"/>
        </w:rPr>
        <w:t>“</w:t>
      </w:r>
      <w:r>
        <w:rPr>
          <w:rFonts w:ascii="仿宋" w:eastAsia="仿宋" w:hAnsi="仿宋" w:cs="仿宋" w:hint="eastAsia"/>
          <w:sz w:val="28"/>
          <w:szCs w:val="28"/>
        </w:rPr>
        <w:t>十四五</w:t>
      </w:r>
      <w:r>
        <w:rPr>
          <w:rFonts w:ascii="仿宋" w:eastAsia="仿宋" w:hAnsi="仿宋" w:cs="仿宋" w:hint="eastAsia"/>
          <w:sz w:val="28"/>
          <w:szCs w:val="28"/>
        </w:rPr>
        <w:t>”</w:t>
      </w:r>
      <w:r>
        <w:rPr>
          <w:rFonts w:ascii="仿宋" w:eastAsia="仿宋" w:hAnsi="仿宋" w:cs="仿宋" w:hint="eastAsia"/>
          <w:sz w:val="28"/>
          <w:szCs w:val="28"/>
        </w:rPr>
        <w:t>期间综合观测类工程项目新上设备建设及质保指导意见》中</w:t>
      </w:r>
      <w:r>
        <w:rPr>
          <w:rFonts w:ascii="仿宋" w:eastAsia="仿宋" w:hAnsi="仿宋" w:cs="仿宋" w:hint="eastAsia"/>
          <w:sz w:val="28"/>
          <w:szCs w:val="28"/>
        </w:rPr>
        <w:t>“</w:t>
      </w:r>
      <w:r>
        <w:rPr>
          <w:rFonts w:ascii="仿宋" w:eastAsia="仿宋" w:hAnsi="仿宋" w:cs="仿宋" w:hint="eastAsia"/>
          <w:sz w:val="28"/>
          <w:szCs w:val="28"/>
        </w:rPr>
        <w:t>作物多模态高光谱仪</w:t>
      </w:r>
      <w:r>
        <w:rPr>
          <w:rFonts w:ascii="仿宋" w:eastAsia="仿宋" w:hAnsi="仿宋" w:cs="仿宋" w:hint="eastAsia"/>
          <w:sz w:val="28"/>
          <w:szCs w:val="28"/>
        </w:rPr>
        <w:t>”</w:t>
      </w:r>
      <w:r>
        <w:rPr>
          <w:rFonts w:ascii="仿宋" w:eastAsia="仿宋" w:hAnsi="仿宋" w:cs="仿宋" w:hint="eastAsia"/>
          <w:sz w:val="28"/>
          <w:szCs w:val="28"/>
        </w:rPr>
        <w:t>采购要求中相关要求执行，并提供相关承诺函。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（1）供应商将所有设备运送到招标人指定地点（运输相关费用由供应商负责），并负责安装调试。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*质保期：8年</w:t>
      </w:r>
      <w:r>
        <w:rPr>
          <w:rFonts w:ascii="仿宋" w:eastAsia="仿宋" w:hAnsi="仿宋" w:cs="仿宋" w:hint="eastAsia"/>
          <w:sz w:val="28"/>
          <w:szCs w:val="28"/>
        </w:rPr>
        <w:t>，供应商需对质保期（保内、保外）政策进行阐述或承诺，列明有偿服务和无偿服务内容。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（3）在质保期内， 设备供应商服务时间应为7</w:t>
      </w:r>
      <w:r>
        <w:rPr>
          <w:rFonts w:ascii="仿宋" w:eastAsia="仿宋" w:hAnsi="仿宋" w:cs="仿宋" w:hint="eastAsia"/>
          <w:sz w:val="28"/>
          <w:szCs w:val="28"/>
        </w:rPr>
        <w:t>×</w:t>
      </w:r>
      <w:r>
        <w:rPr>
          <w:rFonts w:ascii="仿宋" w:eastAsia="仿宋" w:hAnsi="仿宋" w:cs="仿宋" w:hint="eastAsia"/>
          <w:sz w:val="28"/>
          <w:szCs w:val="28"/>
        </w:rPr>
        <w:t>24小时，当投标产品或软件遭到损坏或出现故障时，要在用户报修之时起48小时内做出响应，开展维修维护工作，视情况双方协商设备恢复正常运行时限。</w:t>
      </w:r>
    </w:p>
    <w:p>
      <w:pPr>
        <w:widowControl w:val="0"/>
        <w:spacing w:line="560" w:lineRule="exact"/>
        <w:ind w:firstLine="560" w:firstLineChars="200"/>
        <w:jc w:val="both"/>
        <w:rPr>
          <w:rFonts w:ascii="仿宋" w:eastAsia="仿宋" w:hAnsi="仿宋" w:cs="仿宋" w:hint="eastAsia"/>
          <w:sz w:val="28"/>
          <w:szCs w:val="28"/>
        </w:rPr>
      </w:pPr>
      <w:r>
        <w:rPr>
          <w:rFonts w:ascii="仿宋" w:eastAsia="仿宋" w:hAnsi="仿宋" w:cs="仿宋" w:hint="eastAsia"/>
          <w:sz w:val="28"/>
          <w:szCs w:val="28"/>
        </w:rPr>
        <w:t>（4）质保期过后，供应商仍有义务提供技术服务（包括提供设备维护、备件等）。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五、技术培训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（1）供应商应免费向甲方提供培训，培训次数不少于5次，培训人次不少于20人次，免费向用户提供设备安装、调试以及软件技术培训。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（3）技术培训内容包括：设备工作原理、使用方法、日常维护、仪器校准及一般常见故障的诊断及排除等。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五、验收要求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参照功能规格需求书、测试大纲，以及中国气象局最新业务管理规定等有关文件要求开展检验考核。</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提供的荧光观测仪、可见近红外地物光谱仪、智能采集器、机载多波段光谱成像仪、机载光合植被观测仪设备均需具备装备许可，否则验收为不合格，追究中标方责任。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出厂前，采购人需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设备经过1个月试运行期，其中机载设备部分，在试运行期间进行1次/每天，每次不少于30分钟的飞行试验，指标达到《作物多模态高光谱仪-荧光观测仪功能规格需求书》、《作物多模态高光谱仪-可见近红外地物光谱仪功能规格需求书》、《作物多模态高光谱仪-机载多波段光谱成像仪功能规格需求书》、《作物多模态高光谱仪-机载光合植被观测仪功能规格需求书》、《作物多模态高光谱仪-智能采集器功能规格需求书》的要求可进行最终验收。在试运行期间，由于设备质量等造成某些指标达不到要求，允许供应商更换或进行修复。</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（5）设备安装调试和试运行结束后，采购人组织最终验收。当满足以下条件时，采购人确认验收合格签署验收合格证：</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供应商已提供合同中签署的全部货物及完整技术资料；</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hint="eastAsia"/>
          <w:sz w:val="28"/>
          <w:szCs w:val="28"/>
        </w:rPr>
        <w:t>货物符合技术规格，性能满足要求；</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安装工程符合技术要求，系统性能满足要求，设备正常运行。</w:t>
      </w:r>
    </w:p>
    <w:p>
      <w:pPr>
        <w:spacing w:line="560" w:lineRule="exact"/>
        <w:ind w:firstLine="560" w:firstLineChars="200"/>
        <w:rPr>
          <w:rFonts w:ascii="仿宋" w:eastAsia="仿宋" w:hAnsi="仿宋" w:cs="仿宋" w:hint="eastAsia"/>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供应商提供1个月试运行报告。</w:t>
      </w:r>
    </w:p>
    <w:p>
      <w:pPr>
        <w:spacing w:line="560" w:lineRule="exact"/>
        <w:ind w:firstLine="560" w:firstLineChars="200"/>
        <w:rPr>
          <w:rFonts w:eastAsia="仿宋"/>
          <w:sz w:val="28"/>
          <w:szCs w:val="20"/>
        </w:rPr>
      </w:pPr>
      <w:r>
        <w:rPr>
          <w:rFonts w:eastAsia="仿宋"/>
          <w:sz w:val="28"/>
          <w:szCs w:val="28"/>
        </w:rPr>
        <w:t>六、其他要求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ind w:firstLine="560" w:firstLineChars="200"/>
        <w:rPr>
          <w:rFonts w:ascii="仿宋" w:eastAsia="仿宋" w:hAnsi="仿宋" w:cs="仿宋" w:hint="eastAsia"/>
          <w:sz w:val="28"/>
          <w:szCs w:val="28"/>
        </w:rPr>
      </w:pPr>
    </w:p>
    <w:p>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2075"/>
        <w:gridCol w:w="1050"/>
        <w:gridCol w:w="1460"/>
        <w:gridCol w:w="1665"/>
        <w:gridCol w:w="1050"/>
        <w:gridCol w:w="6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作物多模态高光谱仪</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13,096,000.00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13,096,000.00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01"/>
        <w:gridCol w:w="1701"/>
        <w:gridCol w:w="977"/>
        <w:gridCol w:w="301"/>
        <w:gridCol w:w="687"/>
        <w:gridCol w:w="573"/>
        <w:gridCol w:w="1749"/>
        <w:gridCol w:w="22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防御技术中心(001014040)</w:t>
            </w:r>
          </w:p>
        </w:tc>
        <w:tc>
          <w:tcPr/>
          <w:p>
            <w:r>
              <w:t>作物多模态高光谱仪</w:t>
            </w:r>
          </w:p>
        </w:tc>
        <w:tc>
          <w:tcPr/>
          <w:p>
            <w:r>
              <w:t>1</w:t>
            </w:r>
          </w:p>
        </w:tc>
        <w:tc>
          <w:tcPr/>
          <w:p>
            <w:r>
              <w:t>2248000.00</w:t>
            </w:r>
          </w:p>
        </w:tc>
        <w:tc>
          <w:tcPr>
            <w:vMerge w:val="restart"/>
          </w:tcPr>
          <w:p>
            <w:r>
              <w:t xml:space="preserve">2248000.00  </w:t>
            </w:r>
          </w:p>
        </w:tc>
        <w:tc>
          <w:tcPr/>
          <w:p>
            <w:r>
              <w:t>湖南省气象灾害防御技术中心指定地点</w:t>
            </w:r>
          </w:p>
        </w:tc>
        <w:tc>
          <w:tcPr/>
          <w:p>
            <w:r>
              <w:t>黄浩，13874910121，含设备，8年质保和基础建设</w:t>
            </w:r>
          </w:p>
        </w:tc>
      </w:tr>
      <w:tr>
        <w:tblPrEx>
          <w:tblW w:w="5000" w:type="pct"/>
          <w:tblCellMar>
            <w:left w:w="108" w:type="dxa"/>
            <w:right w:w="108" w:type="dxa"/>
          </w:tblCellMar>
        </w:tblPrEx>
        <w:tc>
          <w:tcPr/>
          <w:p>
            <w:r>
              <w:t>2</w:t>
            </w:r>
          </w:p>
        </w:tc>
        <w:tc>
          <w:tcPr>
            <w:vMerge w:val="restart"/>
          </w:tcPr>
          <w:p>
            <w:r>
              <w:t>呼和浩特市局(001035027)</w:t>
            </w:r>
          </w:p>
        </w:tc>
        <w:tc>
          <w:tcPr/>
          <w:p>
            <w:r>
              <w:t>作物多模态高光谱仪</w:t>
            </w:r>
          </w:p>
        </w:tc>
        <w:tc>
          <w:tcPr/>
          <w:p>
            <w:r>
              <w:t>1</w:t>
            </w:r>
          </w:p>
        </w:tc>
        <w:tc>
          <w:tcPr/>
          <w:p>
            <w:r>
              <w:t>2150000.00</w:t>
            </w:r>
          </w:p>
        </w:tc>
        <w:tc>
          <w:tcPr>
            <w:vMerge w:val="restart"/>
          </w:tcPr>
          <w:p>
            <w:r>
              <w:t xml:space="preserve">2150000.00 </w:t>
            </w:r>
          </w:p>
        </w:tc>
        <w:tc>
          <w:tcPr/>
          <w:p>
            <w:r>
              <w:t>呼和浩特市气象局指定地点</w:t>
            </w:r>
          </w:p>
        </w:tc>
        <w:tc>
          <w:tcPr/>
          <w:p>
            <w:r>
              <w:t>马召伟，18748130765，含设备及8年质保</w:t>
            </w:r>
          </w:p>
        </w:tc>
      </w:tr>
      <w:tr>
        <w:tblPrEx>
          <w:tblW w:w="5000" w:type="pct"/>
          <w:tblCellMar>
            <w:left w:w="108" w:type="dxa"/>
            <w:right w:w="108" w:type="dxa"/>
          </w:tblCellMar>
        </w:tblPrEx>
        <w:tc>
          <w:tcPr/>
          <w:p>
            <w:r>
              <w:t>3</w:t>
            </w:r>
          </w:p>
        </w:tc>
        <w:tc>
          <w:tcPr/>
          <w:p>
            <w:r>
              <w:t>寿县局(001042035009)</w:t>
            </w:r>
          </w:p>
        </w:tc>
        <w:tc>
          <w:tcPr/>
          <w:p>
            <w:r>
              <w:t>作物多模态高光谱仪</w:t>
            </w:r>
          </w:p>
        </w:tc>
        <w:tc>
          <w:tcPr/>
          <w:p>
            <w:r>
              <w:t>1</w:t>
            </w:r>
          </w:p>
        </w:tc>
        <w:tc>
          <w:tcPr/>
          <w:p>
            <w:r>
              <w:t>2248000.00</w:t>
            </w:r>
          </w:p>
        </w:tc>
        <w:tc>
          <w:tcPr/>
          <w:p>
            <w:r>
              <w:t xml:space="preserve">2248000.00  </w:t>
            </w:r>
          </w:p>
        </w:tc>
        <w:tc>
          <w:tcPr/>
          <w:p>
            <w:r>
              <w:t>寿县气象局指定地点</w:t>
            </w:r>
          </w:p>
        </w:tc>
        <w:tc>
          <w:tcPr/>
          <w:p>
            <w:r>
              <w:t>刘悦，18205544383，含设备，8年质保和基础建设</w:t>
            </w:r>
          </w:p>
        </w:tc>
      </w:tr>
      <w:tr>
        <w:tblPrEx>
          <w:tblW w:w="5000" w:type="pct"/>
          <w:tblCellMar>
            <w:left w:w="108" w:type="dxa"/>
            <w:right w:w="108" w:type="dxa"/>
          </w:tblCellMar>
        </w:tblPrEx>
        <w:tc>
          <w:tcPr/>
          <w:p>
            <w:r>
              <w:t>4</w:t>
            </w:r>
          </w:p>
        </w:tc>
        <w:tc>
          <w:tcPr/>
          <w:p>
            <w:r>
              <w:t>济阳区局(001045012011)</w:t>
            </w:r>
          </w:p>
        </w:tc>
        <w:tc>
          <w:tcPr/>
          <w:p>
            <w:r>
              <w:t>作物多模态高光谱仪</w:t>
            </w:r>
          </w:p>
        </w:tc>
        <w:tc>
          <w:tcPr/>
          <w:p>
            <w:r>
              <w:t>1</w:t>
            </w:r>
          </w:p>
        </w:tc>
        <w:tc>
          <w:tcPr/>
          <w:p>
            <w:r>
              <w:t>2150000.00</w:t>
            </w:r>
          </w:p>
        </w:tc>
        <w:tc>
          <w:tcPr/>
          <w:p>
            <w:r>
              <w:t xml:space="preserve">2150000.00 </w:t>
            </w:r>
          </w:p>
        </w:tc>
        <w:tc>
          <w:tcPr/>
          <w:p>
            <w:r>
              <w:t>济南市济阳区气象局指定地点</w:t>
            </w:r>
          </w:p>
        </w:tc>
        <w:tc>
          <w:tcPr/>
          <w:p>
            <w:r>
              <w:t>王华，18615585906，含设备及8年质保</w:t>
            </w:r>
          </w:p>
        </w:tc>
      </w:tr>
      <w:tr>
        <w:tblPrEx>
          <w:tblW w:w="5000" w:type="pct"/>
          <w:tblCellMar>
            <w:left w:w="108" w:type="dxa"/>
            <w:right w:w="108" w:type="dxa"/>
          </w:tblCellMar>
        </w:tblPrEx>
        <w:tc>
          <w:tcPr/>
          <w:p>
            <w:r>
              <w:t>5</w:t>
            </w:r>
          </w:p>
        </w:tc>
        <w:tc>
          <w:tcPr/>
          <w:p>
            <w:r>
              <w:t>三亚市局（南滨农气站）(001050023)</w:t>
            </w:r>
          </w:p>
        </w:tc>
        <w:tc>
          <w:tcPr/>
          <w:p>
            <w:r>
              <w:t>作物多模态高光谱仪</w:t>
            </w:r>
          </w:p>
        </w:tc>
        <w:tc>
          <w:tcPr/>
          <w:p>
            <w:r>
              <w:t>1</w:t>
            </w:r>
          </w:p>
        </w:tc>
        <w:tc>
          <w:tcPr/>
          <w:p>
            <w:r>
              <w:t>2150000.00</w:t>
            </w:r>
          </w:p>
        </w:tc>
        <w:tc>
          <w:tcPr/>
          <w:p>
            <w:r>
              <w:t xml:space="preserve">2150000.00  </w:t>
            </w:r>
          </w:p>
        </w:tc>
        <w:tc>
          <w:tcPr/>
          <w:p>
            <w:r>
              <w:t>海南省三亚市气象局指定地点</w:t>
            </w:r>
          </w:p>
        </w:tc>
        <w:tc>
          <w:tcPr/>
          <w:p>
            <w:r>
              <w:t>马凤娓，18117706480，含设备及8年质保</w:t>
            </w:r>
          </w:p>
        </w:tc>
      </w:tr>
      <w:tr>
        <w:tblPrEx>
          <w:tblW w:w="5000" w:type="pct"/>
          <w:tblCellMar>
            <w:left w:w="108" w:type="dxa"/>
            <w:right w:w="108" w:type="dxa"/>
          </w:tblCellMar>
        </w:tblPrEx>
        <w:tc>
          <w:tcPr/>
          <w:p>
            <w:r>
              <w:t>6</w:t>
            </w:r>
          </w:p>
        </w:tc>
        <w:tc>
          <w:tcPr/>
          <w:p>
            <w:r>
              <w:t>乌兰乌苏站(001059031008)</w:t>
            </w:r>
          </w:p>
        </w:tc>
        <w:tc>
          <w:tcPr/>
          <w:p>
            <w:r>
              <w:t>作物多模态高光谱仪</w:t>
            </w:r>
          </w:p>
        </w:tc>
        <w:tc>
          <w:tcPr/>
          <w:p>
            <w:r>
              <w:t>1</w:t>
            </w:r>
          </w:p>
        </w:tc>
        <w:tc>
          <w:tcPr/>
          <w:p>
            <w:r>
              <w:t>2150000.00</w:t>
            </w:r>
          </w:p>
        </w:tc>
        <w:tc>
          <w:tcPr/>
          <w:p>
            <w:r>
              <w:t xml:space="preserve">2150000.00 </w:t>
            </w:r>
          </w:p>
        </w:tc>
        <w:tc>
          <w:tcPr/>
          <w:p>
            <w:r>
              <w:t>乌兰乌苏农业气象试验站指定地点</w:t>
            </w:r>
          </w:p>
        </w:tc>
        <w:tc>
          <w:tcPr/>
          <w:p>
            <w:r>
              <w:t>杨明凤，18935712258，含设备及8年质保</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hint="eastAsia"/>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hint="eastAsia"/>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为切实提升农业生产和生态环境等的监测与服务能力，聚焦农业生态保护和修复，加强气象灾害、气候变化对农业生态安全影响的监测，发挥气象防灾减灾第一道防线作用，推动气象事业高质量发展。在呼和浩特市气象局、湖南省气象灾害防御技术中心、乌兰乌苏农业气象试验站、济南市济阳区气象局、寿县气象局和海南省三亚市气象局共6地各新建1套高光谱辐射观测系统-智能无人机系统。具备全自动测量天空入射光谱辐照度、作物反射光谱辐亮度、作物可见及短波红外波段光谱范围的光谱反射率等要素，反演日光诱导叶绿素荧光（SIF）、光合作用速率、光合有效辐射、多种类植被指数等，实现反映作物和植被生长状况、健康程度和预期产量的自动化观测，提高农田田间生产管理水平，为高质量农业气象、生态气象等应用提供观测数据支撑和产品服务。</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设备供应商对每套投标产品提供至少2次技术培训，培训课时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8个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18人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呼和浩特市气象局、湖南省气象灾害防御技术中心、乌兰乌苏农业气象试验站、济南市济阳区气象局、寿县气象局和海南省三亚市气象局（运输相关费用由供应商负责），并负责安装调试。</w:t>
      </w:r>
    </w:p>
    <w:p>
      <w:pPr>
        <w:ind w:firstLine="560" w:firstLineChars="200"/>
        <w:rPr>
          <w:rFonts w:ascii="仿宋" w:eastAsia="仿宋" w:hAnsi="仿宋" w:cs="仿宋" w:hint="eastAsia"/>
          <w:b/>
          <w:bCs/>
          <w:sz w:val="28"/>
          <w:szCs w:val="20"/>
        </w:rPr>
      </w:pPr>
      <w:r>
        <w:rPr>
          <w:rFonts w:ascii="仿宋" w:eastAsia="仿宋" w:hAnsi="仿宋" w:cs="仿宋" w:hint="eastAsia"/>
          <w:sz w:val="28"/>
          <w:szCs w:val="20"/>
          <w:highlight w:val="yellow"/>
        </w:rPr>
        <w:t>合同签订后120天内交货，60天内完成安装调试并具备验收条件</w:t>
      </w:r>
      <w:r>
        <w:rPr>
          <w:rFonts w:ascii="仿宋" w:eastAsia="仿宋" w:hAnsi="仿宋" w:cs="仿宋" w:hint="eastAsia"/>
          <w:sz w:val="28"/>
          <w:szCs w:val="20"/>
          <w:highlight w:val="yellow"/>
          <w:lang w:eastAsia="zh-CN"/>
        </w:rPr>
        <w:t>。</w:t>
      </w:r>
      <w:r>
        <w:rPr>
          <w:rFonts w:ascii="仿宋" w:eastAsia="仿宋" w:hAnsi="仿宋" w:cs="仿宋" w:hint="eastAsia"/>
          <w:sz w:val="28"/>
          <w:szCs w:val="20"/>
        </w:rPr>
        <w:br/>
      </w:r>
      <w:r>
        <w:rPr>
          <w:rFonts w:ascii="仿宋" w:eastAsia="仿宋" w:hAnsi="仿宋" w:cs="仿宋" w:hint="eastAsia"/>
          <w:sz w:val="28"/>
          <w:szCs w:val="20"/>
          <w:lang w:val="en-US" w:eastAsia="zh-CN"/>
        </w:rPr>
        <w:tab/>
        <w:t xml:space="preserve"> </w:t>
      </w:r>
      <w:r>
        <w:rPr>
          <w:rFonts w:ascii="仿宋" w:eastAsia="仿宋" w:hAnsi="仿宋" w:cs="仿宋" w:hint="eastAsia"/>
          <w:b/>
          <w:bCs/>
          <w:sz w:val="28"/>
          <w:szCs w:val="20"/>
        </w:rPr>
        <w:t>五、服务团队要求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完全符合甲方相关要求和规范，保证其系统的兼容性和功能的完整性。</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七、设备基础建设及安装</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包括场地平整、电缆沟槽铺设、挖坑、土方回填、预埋件基础及防雷地网建设及设备的选址和站点级的现场测试。</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eastAsia="zh-CN"/>
              </w:rPr>
              <w:t>四（</w:t>
            </w:r>
            <w:r>
              <w:rPr>
                <w:rFonts w:ascii="宋体" w:hAnsi="宋体" w:hint="eastAsia"/>
                <w:sz w:val="18"/>
                <w:szCs w:val="18"/>
                <w:highlight w:val="none"/>
                <w:lang w:val="en-US" w:eastAsia="zh-CN"/>
              </w:rPr>
              <w:t>2</w:t>
            </w:r>
            <w:r>
              <w:rPr>
                <w:rFonts w:ascii="宋体" w:hAnsi="宋体" w:hint="eastAsia"/>
                <w:sz w:val="18"/>
                <w:szCs w:val="18"/>
                <w:highlight w:val="none"/>
                <w:lang w:eastAsia="zh-CN"/>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*质保期：8年，供应商需对质保期（保内、保外）政策进行阐述或承诺</w:t>
            </w:r>
            <w:r>
              <w:rPr>
                <w:rFonts w:ascii="宋体" w:hAnsi="宋体" w:cs="微软雅黑"/>
                <w:b/>
                <w:color w:val="0000FF"/>
                <w:kern w:val="0"/>
                <w:sz w:val="18"/>
                <w:szCs w:val="18"/>
                <w:highlight w:val="none"/>
              </w:rPr>
              <w:t xml:space="preserve"> </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双方签署合同后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w:t>
      </w:r>
      <w:r>
        <w:rPr>
          <w:rFonts w:ascii="宋体" w:hAnsi="宋体" w:hint="eastAsia"/>
          <w:szCs w:val="21"/>
          <w:highlight w:val="none"/>
          <w:u w:val="single"/>
        </w:rPr>
        <w:t>甲方向乙方支付合同总金额的90%</w:t>
      </w:r>
      <w:r>
        <w:rPr>
          <w:rFonts w:ascii="宋体" w:hAnsi="宋体" w:hint="eastAsia"/>
          <w:szCs w:val="21"/>
          <w:highlight w:val="none"/>
        </w:rPr>
        <w:t>，</w:t>
      </w:r>
      <w:r>
        <w:rPr>
          <w:rFonts w:ascii="宋体" w:hAnsi="宋体" w:hint="eastAsia"/>
          <w:szCs w:val="21"/>
          <w:highlight w:val="none"/>
          <w:u w:val="single"/>
        </w:rPr>
        <w:t>到货、检验后付款：双方签署验收报告后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个工作日内，甲方向乙方支付合同总金额的10 %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NewRomanPSMT">
    <w:altName w:val="Times New Roman"/>
    <w:panose1 w:val="00000000000000000000"/>
    <w:charset w:val="00"/>
    <w:family w:val="roman"/>
    <w:pitch w:val="default"/>
    <w:sig w:usb0="00000000" w:usb1="00000000" w:usb2="00000000" w:usb3="00000000" w:csb0="00040001" w:csb1="00000000"/>
  </w:font>
  <w:font w:name="Microsoft YaHei">
    <w:panose1 w:val="020B0503020204020204"/>
    <w:charset w:val="86"/>
    <w:family w:val="auto"/>
    <w:pitch w:val="default"/>
    <w:sig w:usb0="80000287" w:usb1="280F3C52"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character" w:customStyle="1" w:styleId="fontstyle01">
    <w:name w:val="fontstyle01"/>
    <w:rPr>
      <w:rFonts w:ascii="宋体" w:eastAsia="宋体" w:hAnsi="宋体"/>
      <w:color w:val="000000"/>
      <w:sz w:val="22"/>
      <w:szCs w:val="22"/>
    </w:rPr>
  </w:style>
  <w:style w:type="character" w:customStyle="1" w:styleId="fontstyle11">
    <w:name w:val="fontstyle11"/>
    <w:rPr>
      <w:rFonts w:ascii="TimesNewRomanPSMT" w:hAnsi="TimesNewRomanPSMT"/>
      <w:color w:val="00000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