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华北区域人工影响天气能力建设-人工消减云雾试验示范基地建设（地基微波辐射计）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ZQCD-26107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天津气象雷达研究试验中心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华北区域人工影响天气能力建设-人工消减云雾试验示范基地建设（地基微波辐射计）</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ZQCD-26107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合同签订后60天内交货，90天内完成安装调试并具备验收条件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天津市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2026年06月23日 00:00:00</w:t>
      </w:r>
      <w:bookmarkEnd w:id="26"/>
      <w:r>
        <w:rPr>
          <w:rFonts w:ascii="宋体" w:hint="eastAsia"/>
          <w:szCs w:val="21"/>
          <w:highlight w:val="none"/>
        </w:rPr>
        <w:t>至</w:t>
      </w:r>
      <w:bookmarkStart w:id="27" w:name="项目公告_signUpLastTime"/>
      <w:r>
        <w:rPr>
          <w:rFonts w:ascii="宋体" w:hint="eastAsia"/>
          <w:szCs w:val="21"/>
          <w:highlight w:val="none"/>
        </w:rPr>
        <w:t>2026年06月30日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2026年07月15日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天津气象雷达研究试验中心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宋薇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022-23348845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天津市滨海新区生态城航美道246号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天津气象雷达研究试验中心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必须，以下产品需要提供至投标截止日仍有效的《气象专用技术装备使用许可证》：地基微波辐射计</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（1）标的：地基微波辐射计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是，中标服务费：1.8万元。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135.000000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135.000000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销售合同必须包括地基微波辐射计，每提供1份合同得1分，最多得5分。否则不得分。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针对本项目采购的地基微波辐射计，承诺每提前10天交货的得1分，最多得1分。否则不得分。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针对地基微波辐射计设备，每提供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2、除项目经理外至少1人具有2年及以上相关工作经验的，得1分；为本项目派出的技术人员至少1人具有1年及以上相关工作经验的，得0.5分；其他不得分。</w:t>
              <w:cr/>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 xml:space="preserve">二档：技术方案能按照招标文件的格式进行响应，技术响应比较浅显，缺乏针对性。 </w:t>
              <w:cr/>
              <w:t xml:space="preserve">三档：技术方案基本能按照招标文件的要求进行响应，有一定针对性，基本满足采购文件需求。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针对地基微波辐射计设备，测试报告应涵盖耐腐蚀、高低温等内容，每包含一项得1分，最多得2分。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hAnsi="宋体"/>
          <w:szCs w:val="21"/>
        </w:rPr>
      </w:pPr>
      <w:r>
        <w:rPr>
          <w:rFonts w:ascii="宋体" w:hAnsi="宋体" w:hint="eastAsia"/>
          <w:szCs w:val="21"/>
        </w:rPr>
        <w:t>（一）项目概况</w:t>
      </w:r>
    </w:p>
    <w:p>
      <w:pPr>
        <w:spacing w:line="360" w:lineRule="auto"/>
        <w:ind w:firstLine="420" w:firstLineChars="200"/>
        <w:rPr>
          <w:rFonts w:ascii="宋体" w:hAnsi="宋体"/>
          <w:szCs w:val="21"/>
        </w:rPr>
      </w:pPr>
      <w:r>
        <w:rPr>
          <w:rFonts w:ascii="宋体" w:hAnsi="宋体" w:hint="eastAsia"/>
          <w:szCs w:val="21"/>
        </w:rPr>
        <w:t>本次采购属于“华北区域人工影响天气能力建设-人工消减云雾试验示范基地建设”设备采购项目，主要涉及人工消减云雾试验示范基地的1部地基微波辐射计采购，项目预算为135万元。地基微波辐射计是利用被动接收各个高度传来的大气辐射的微波信号来判断大气温度、湿度变化的地基微波遥感设备，对雾过程具有很好的监测能力。</w:t>
      </w:r>
    </w:p>
    <w:p>
      <w:pPr>
        <w:spacing w:line="360" w:lineRule="auto"/>
        <w:ind w:firstLine="420" w:firstLineChars="200"/>
        <w:rPr>
          <w:rFonts w:ascii="宋体" w:hAnsi="宋体"/>
          <w:szCs w:val="21"/>
        </w:rPr>
      </w:pPr>
      <w:r>
        <w:rPr>
          <w:rFonts w:ascii="宋体" w:hAnsi="宋体" w:hint="eastAsia"/>
          <w:szCs w:val="21"/>
        </w:rPr>
        <w:t>（二）总体需求</w:t>
      </w:r>
    </w:p>
    <w:p>
      <w:pPr>
        <w:spacing w:line="360" w:lineRule="auto"/>
        <w:ind w:firstLine="420" w:firstLineChars="200"/>
        <w:rPr>
          <w:rFonts w:ascii="宋体" w:hAnsi="宋体"/>
          <w:szCs w:val="21"/>
        </w:rPr>
      </w:pPr>
      <w:r>
        <w:rPr>
          <w:rFonts w:ascii="宋体" w:hAnsi="宋体" w:hint="eastAsia"/>
          <w:szCs w:val="21"/>
        </w:rPr>
        <w:t>面向人工消减云雾试验需要，采购地基微波辐射计1部。</w:t>
      </w:r>
    </w:p>
    <w:p>
      <w:pPr>
        <w:spacing w:line="360" w:lineRule="auto"/>
        <w:ind w:firstLine="420" w:firstLineChars="200"/>
        <w:rPr>
          <w:rFonts w:ascii="宋体" w:hAnsi="宋体"/>
          <w:szCs w:val="21"/>
        </w:rPr>
      </w:pPr>
      <w:r>
        <w:rPr>
          <w:rFonts w:ascii="宋体" w:hAnsi="宋体" w:hint="eastAsia"/>
          <w:szCs w:val="21"/>
        </w:rPr>
        <w:t>二、付款方式</w:t>
      </w:r>
    </w:p>
    <w:p>
      <w:pPr>
        <w:spacing w:line="360" w:lineRule="auto"/>
        <w:ind w:firstLine="420" w:firstLineChars="200"/>
        <w:rPr>
          <w:rFonts w:ascii="宋体" w:hAnsi="宋体"/>
          <w:szCs w:val="21"/>
        </w:rPr>
      </w:pPr>
      <w:r>
        <w:rPr>
          <w:rFonts w:ascii="宋体" w:hAnsi="宋体" w:hint="eastAsia"/>
          <w:szCs w:val="21"/>
        </w:rPr>
        <w:t>（一）支付方式：银行转账</w:t>
      </w:r>
    </w:p>
    <w:p>
      <w:pPr>
        <w:spacing w:line="360" w:lineRule="auto"/>
        <w:ind w:firstLine="420" w:firstLineChars="200"/>
        <w:rPr>
          <w:rFonts w:ascii="宋体" w:hAnsi="宋体"/>
          <w:szCs w:val="21"/>
        </w:rPr>
      </w:pPr>
      <w:r>
        <w:rPr>
          <w:rFonts w:ascii="宋体" w:hAnsi="宋体" w:hint="eastAsia"/>
          <w:szCs w:val="21"/>
        </w:rPr>
        <w:t>（二）货币单位：人民币</w:t>
      </w:r>
    </w:p>
    <w:p>
      <w:pPr>
        <w:spacing w:line="360" w:lineRule="auto"/>
        <w:ind w:firstLine="420" w:firstLineChars="200"/>
        <w:rPr>
          <w:rFonts w:ascii="宋体" w:hAnsi="宋体"/>
          <w:szCs w:val="21"/>
        </w:rPr>
      </w:pPr>
      <w:r>
        <w:rPr>
          <w:rFonts w:ascii="宋体" w:hAnsi="宋体" w:hint="eastAsia"/>
          <w:szCs w:val="21"/>
        </w:rPr>
        <w:t>（三）结算方式：</w:t>
      </w:r>
    </w:p>
    <w:p>
      <w:pPr>
        <w:spacing w:line="360" w:lineRule="auto"/>
        <w:ind w:firstLine="420" w:firstLineChars="200"/>
        <w:rPr>
          <w:rFonts w:ascii="宋体" w:hAnsi="宋体"/>
          <w:szCs w:val="21"/>
        </w:rPr>
      </w:pPr>
      <w:r>
        <w:rPr>
          <w:rFonts w:ascii="宋体" w:hAnsi="宋体" w:hint="eastAsia"/>
          <w:szCs w:val="21"/>
        </w:rPr>
        <w:t>合同签订后，乙方向甲方提供合同总金额5%的银行履约保函，设备验收合格</w:t>
      </w:r>
      <w:r>
        <w:rPr>
          <w:rFonts w:ascii="宋体" w:hAnsi="宋体" w:hint="eastAsia"/>
          <w:szCs w:val="21"/>
        </w:rPr>
        <w:t>后，甲方将银行履约保函退还乙方。</w:t>
      </w:r>
    </w:p>
    <w:p>
      <w:pPr>
        <w:spacing w:line="360" w:lineRule="auto"/>
        <w:ind w:firstLine="420" w:firstLineChars="200"/>
        <w:rPr>
          <w:rFonts w:ascii="宋体" w:hAnsi="宋体"/>
          <w:szCs w:val="21"/>
        </w:rPr>
      </w:pPr>
      <w:r>
        <w:rPr>
          <w:rFonts w:ascii="宋体" w:hAnsi="宋体" w:hint="eastAsia"/>
          <w:szCs w:val="21"/>
        </w:rPr>
        <w:t>合同签订后30日内支付合同金额的30%，用于地基微波辐射计的生产；设备完成出厂验收后，支付合同金额的30%；设备现场安装验收合格后，支付合同金额的30%；合同验收意见签署完成后支付合同金额的10%。</w:t>
      </w:r>
    </w:p>
    <w:p>
      <w:pPr>
        <w:spacing w:line="360" w:lineRule="auto"/>
        <w:ind w:firstLine="420" w:firstLineChars="200"/>
        <w:rPr>
          <w:rFonts w:ascii="宋体" w:hAnsi="宋体"/>
          <w:szCs w:val="21"/>
        </w:rPr>
      </w:pPr>
      <w:r>
        <w:rPr>
          <w:rFonts w:ascii="宋体" w:hAnsi="宋体" w:hint="eastAsia"/>
          <w:szCs w:val="21"/>
        </w:rPr>
        <w:t>三、设备需求一览表（见第七章 采购需求 附表）</w:t>
      </w:r>
    </w:p>
    <w:p>
      <w:pPr>
        <w:spacing w:line="360" w:lineRule="auto"/>
        <w:ind w:firstLine="420" w:firstLineChars="200"/>
        <w:rPr>
          <w:rFonts w:ascii="宋体" w:hAnsi="宋体"/>
          <w:szCs w:val="21"/>
        </w:rPr>
      </w:pPr>
      <w:r>
        <w:rPr>
          <w:rFonts w:ascii="宋体" w:hAnsi="宋体" w:hint="eastAsia"/>
          <w:szCs w:val="21"/>
        </w:rPr>
        <w:t>四、技术性能指标</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地基微波辐射计被动接收各个高度传来的大气辐射微波信号来判断大气温度、湿度变化，其对中小尺度天气现象，如暴风雨、闪电、强降雨、雾、冰冻及边界层紊流具有重要的监测能力。</w:t>
      </w:r>
    </w:p>
    <w:p>
      <w:pPr>
        <w:jc w:val="center"/>
        <w:rPr>
          <w:rFonts w:ascii="Arial" w:eastAsia="黑体" w:hAnsi="Arial" w:cs="Arial"/>
          <w:sz w:val="20"/>
          <w:szCs w:val="20"/>
        </w:rPr>
      </w:pPr>
      <w:r>
        <w:rPr>
          <w:rFonts w:ascii="Arial" w:eastAsia="黑体" w:hAnsi="Arial" w:cs="Arial"/>
          <w:sz w:val="20"/>
          <w:szCs w:val="20"/>
        </w:rPr>
        <w:t>地基微波辐射计主要设备</w:t>
      </w:r>
      <w:r>
        <w:rPr>
          <w:rFonts w:ascii="Arial" w:eastAsia="黑体" w:hAnsi="Arial" w:cs="Arial" w:hint="eastAsia"/>
          <w:sz w:val="20"/>
          <w:szCs w:val="20"/>
        </w:rPr>
        <w:t>配置</w:t>
      </w:r>
      <w:r>
        <w:rPr>
          <w:rFonts w:ascii="Arial" w:eastAsia="黑体" w:hAnsi="Arial" w:cs="Arial"/>
          <w:sz w:val="20"/>
          <w:szCs w:val="20"/>
        </w:rPr>
        <w:t>清单</w:t>
      </w:r>
    </w:p>
    <w:tbl>
      <w:tblPr>
        <w:tblStyle w:val="TableNormal"/>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Pr>
      <w:tblGrid>
        <w:gridCol w:w="558"/>
        <w:gridCol w:w="1846"/>
        <w:gridCol w:w="709"/>
        <w:gridCol w:w="709"/>
        <w:gridCol w:w="3823"/>
        <w:gridCol w:w="1452"/>
      </w:tblGrid>
      <w:tr>
        <w:tblPrEx>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PrEx>
        <w:trPr>
          <w:trHeight w:val="503"/>
          <w:jc w:val="center"/>
        </w:trPr>
        <w:tc>
          <w:tcPr>
            <w:tcW w:w="558" w:type="dxa"/>
            <w:vAlign w:val="center"/>
          </w:tcPr>
          <w:p>
            <w:pPr>
              <w:widowControl/>
              <w:jc w:val="center"/>
              <w:rPr>
                <w:rFonts w:ascii="宋体" w:eastAsia="宋体" w:hAnsi="宋体" w:cs="仿宋"/>
                <w:b/>
                <w:kern w:val="0"/>
                <w:szCs w:val="21"/>
              </w:rPr>
            </w:pPr>
            <w:r>
              <w:rPr>
                <w:rFonts w:ascii="宋体" w:eastAsia="宋体" w:hAnsi="宋体" w:cs="仿宋" w:hint="eastAsia"/>
                <w:b/>
                <w:kern w:val="0"/>
                <w:szCs w:val="21"/>
              </w:rPr>
              <w:t>序号</w:t>
            </w:r>
          </w:p>
        </w:tc>
        <w:tc>
          <w:tcPr>
            <w:tcW w:w="1846" w:type="dxa"/>
            <w:vAlign w:val="center"/>
          </w:tcPr>
          <w:p>
            <w:pPr>
              <w:widowControl/>
              <w:jc w:val="center"/>
              <w:rPr>
                <w:rFonts w:ascii="宋体" w:eastAsia="宋体" w:hAnsi="宋体" w:cs="仿宋"/>
                <w:b/>
                <w:kern w:val="0"/>
                <w:szCs w:val="21"/>
              </w:rPr>
            </w:pPr>
            <w:r>
              <w:rPr>
                <w:rFonts w:ascii="宋体" w:eastAsia="宋体" w:hAnsi="宋体" w:cs="仿宋" w:hint="eastAsia"/>
                <w:b/>
                <w:kern w:val="0"/>
                <w:szCs w:val="21"/>
              </w:rPr>
              <w:t>设备名称</w:t>
            </w:r>
          </w:p>
        </w:tc>
        <w:tc>
          <w:tcPr>
            <w:tcW w:w="709" w:type="dxa"/>
            <w:vAlign w:val="center"/>
          </w:tcPr>
          <w:p>
            <w:pPr>
              <w:widowControl/>
              <w:jc w:val="center"/>
              <w:rPr>
                <w:rFonts w:ascii="宋体" w:eastAsia="宋体" w:hAnsi="宋体" w:cs="仿宋"/>
                <w:b/>
                <w:kern w:val="0"/>
                <w:szCs w:val="21"/>
              </w:rPr>
            </w:pPr>
            <w:r>
              <w:rPr>
                <w:rFonts w:ascii="宋体" w:eastAsia="宋体" w:hAnsi="宋体" w:cs="仿宋" w:hint="eastAsia"/>
                <w:b/>
                <w:kern w:val="0"/>
                <w:szCs w:val="21"/>
              </w:rPr>
              <w:t>单位</w:t>
            </w:r>
          </w:p>
        </w:tc>
        <w:tc>
          <w:tcPr>
            <w:tcW w:w="709" w:type="dxa"/>
            <w:vAlign w:val="center"/>
          </w:tcPr>
          <w:p>
            <w:pPr>
              <w:widowControl/>
              <w:jc w:val="center"/>
              <w:rPr>
                <w:rFonts w:ascii="宋体" w:eastAsia="宋体" w:hAnsi="宋体" w:cs="仿宋"/>
                <w:b/>
                <w:kern w:val="0"/>
                <w:szCs w:val="21"/>
              </w:rPr>
            </w:pPr>
            <w:r>
              <w:rPr>
                <w:rFonts w:ascii="宋体" w:eastAsia="宋体" w:hAnsi="宋体" w:cs="仿宋" w:hint="eastAsia"/>
                <w:b/>
                <w:kern w:val="0"/>
                <w:szCs w:val="21"/>
              </w:rPr>
              <w:t>数量</w:t>
            </w:r>
          </w:p>
        </w:tc>
        <w:tc>
          <w:tcPr>
            <w:tcW w:w="3823" w:type="dxa"/>
            <w:vAlign w:val="center"/>
          </w:tcPr>
          <w:p>
            <w:pPr>
              <w:widowControl/>
              <w:jc w:val="center"/>
              <w:rPr>
                <w:rFonts w:ascii="宋体" w:eastAsia="宋体" w:hAnsi="宋体" w:cs="仿宋"/>
                <w:b/>
                <w:kern w:val="0"/>
                <w:szCs w:val="21"/>
              </w:rPr>
            </w:pPr>
            <w:r>
              <w:rPr>
                <w:rFonts w:ascii="宋体" w:eastAsia="宋体" w:hAnsi="宋体" w:cs="仿宋" w:hint="eastAsia"/>
                <w:b/>
                <w:kern w:val="0"/>
                <w:szCs w:val="21"/>
              </w:rPr>
              <w:t>主要功能</w:t>
            </w:r>
          </w:p>
        </w:tc>
        <w:tc>
          <w:tcPr>
            <w:tcW w:w="1452" w:type="dxa"/>
            <w:vAlign w:val="center"/>
          </w:tcPr>
          <w:p>
            <w:pPr>
              <w:widowControl/>
              <w:jc w:val="center"/>
              <w:rPr>
                <w:rFonts w:ascii="宋体" w:eastAsia="宋体" w:hAnsi="宋体" w:cs="仿宋"/>
                <w:b/>
                <w:kern w:val="0"/>
                <w:szCs w:val="21"/>
              </w:rPr>
            </w:pPr>
            <w:r>
              <w:rPr>
                <w:rFonts w:ascii="宋体" w:eastAsia="宋体" w:hAnsi="宋体" w:cs="仿宋" w:hint="eastAsia"/>
                <w:b/>
                <w:kern w:val="0"/>
                <w:szCs w:val="21"/>
              </w:rPr>
              <w:t>备注</w:t>
            </w:r>
          </w:p>
        </w:tc>
      </w:tr>
      <w:tr>
        <w:tblPrEx>
          <w:tblW w:w="9097" w:type="dxa"/>
          <w:jc w:val="center"/>
          <w:tblLayout w:type="fixed"/>
          <w:tblCellMar>
            <w:top w:w="0" w:type="dxa"/>
            <w:left w:w="10" w:type="dxa"/>
            <w:bottom w:w="0" w:type="dxa"/>
            <w:right w:w="10" w:type="dxa"/>
          </w:tblCellMar>
        </w:tblPrEx>
        <w:trPr>
          <w:trHeight w:val="1260"/>
          <w:jc w:val="center"/>
        </w:trPr>
        <w:tc>
          <w:tcPr>
            <w:tcW w:w="558"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1</w:t>
            </w:r>
          </w:p>
        </w:tc>
        <w:tc>
          <w:tcPr>
            <w:tcW w:w="1846"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微波辐射计室外主机</w:t>
            </w:r>
          </w:p>
        </w:tc>
        <w:tc>
          <w:tcPr>
            <w:tcW w:w="70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台</w:t>
            </w:r>
          </w:p>
        </w:tc>
        <w:tc>
          <w:tcPr>
            <w:tcW w:w="70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1</w:t>
            </w:r>
          </w:p>
        </w:tc>
        <w:tc>
          <w:tcPr>
            <w:tcW w:w="3823" w:type="dxa"/>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具备温度、水汽多通道复合大气微波辐射及云红外辐射接收能力，同时还能监测工作现场的温度、湿度、气压、降水等气象要素以及设备工作状态信息。</w:t>
            </w:r>
          </w:p>
        </w:tc>
        <w:tc>
          <w:tcPr>
            <w:tcW w:w="1452" w:type="dxa"/>
            <w:vMerge w:val="restart"/>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包含设备运输、安装、调试、验收等。</w:t>
            </w:r>
          </w:p>
        </w:tc>
      </w:tr>
      <w:tr>
        <w:tblPrEx>
          <w:tblW w:w="9097" w:type="dxa"/>
          <w:jc w:val="center"/>
          <w:tblLayout w:type="fixed"/>
          <w:tblCellMar>
            <w:top w:w="0" w:type="dxa"/>
            <w:left w:w="10" w:type="dxa"/>
            <w:bottom w:w="0" w:type="dxa"/>
            <w:right w:w="10" w:type="dxa"/>
          </w:tblCellMar>
        </w:tblPrEx>
        <w:trPr>
          <w:trHeight w:val="638"/>
          <w:jc w:val="center"/>
        </w:trPr>
        <w:tc>
          <w:tcPr>
            <w:tcW w:w="558"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2</w:t>
            </w:r>
          </w:p>
        </w:tc>
        <w:tc>
          <w:tcPr>
            <w:tcW w:w="1846"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辅助单元</w:t>
            </w:r>
          </w:p>
        </w:tc>
        <w:tc>
          <w:tcPr>
            <w:tcW w:w="70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套</w:t>
            </w:r>
          </w:p>
        </w:tc>
        <w:tc>
          <w:tcPr>
            <w:tcW w:w="70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1</w:t>
            </w:r>
          </w:p>
        </w:tc>
        <w:tc>
          <w:tcPr>
            <w:tcW w:w="3823" w:type="dxa"/>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外部液氮标定组件、防雨雾干燥组件、加热组件、地面气象观测要素观测组件。</w:t>
            </w:r>
          </w:p>
        </w:tc>
        <w:tc>
          <w:tcPr>
            <w:tcW w:w="1452" w:type="dxa"/>
            <w:vMerge/>
            <w:vAlign w:val="center"/>
          </w:tcPr>
          <w:p>
            <w:pPr>
              <w:widowControl/>
              <w:jc w:val="left"/>
              <w:rPr>
                <w:rFonts w:ascii="宋体" w:eastAsia="宋体" w:hAnsi="宋体" w:cs="仿宋"/>
                <w:bCs/>
                <w:kern w:val="0"/>
                <w:szCs w:val="21"/>
              </w:rPr>
            </w:pPr>
          </w:p>
        </w:tc>
      </w:tr>
      <w:tr>
        <w:tblPrEx>
          <w:tblW w:w="9097" w:type="dxa"/>
          <w:jc w:val="center"/>
          <w:tblLayout w:type="fixed"/>
          <w:tblCellMar>
            <w:top w:w="0" w:type="dxa"/>
            <w:left w:w="10" w:type="dxa"/>
            <w:bottom w:w="0" w:type="dxa"/>
            <w:right w:w="10" w:type="dxa"/>
          </w:tblCellMar>
        </w:tblPrEx>
        <w:trPr>
          <w:trHeight w:val="638"/>
          <w:jc w:val="center"/>
        </w:trPr>
        <w:tc>
          <w:tcPr>
            <w:tcW w:w="558"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3</w:t>
            </w:r>
          </w:p>
        </w:tc>
        <w:tc>
          <w:tcPr>
            <w:tcW w:w="1846"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辐射计管理应用软件</w:t>
            </w:r>
          </w:p>
        </w:tc>
        <w:tc>
          <w:tcPr>
            <w:tcW w:w="70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套</w:t>
            </w:r>
          </w:p>
        </w:tc>
        <w:tc>
          <w:tcPr>
            <w:tcW w:w="70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1</w:t>
            </w:r>
          </w:p>
        </w:tc>
        <w:tc>
          <w:tcPr>
            <w:tcW w:w="3823" w:type="dxa"/>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运算生成大气温湿度廓线等多种气象产品，控制和监测辐射计主机及附属设备的工作状态。</w:t>
            </w:r>
          </w:p>
        </w:tc>
        <w:tc>
          <w:tcPr>
            <w:tcW w:w="1452" w:type="dxa"/>
            <w:vMerge/>
            <w:vAlign w:val="center"/>
          </w:tcPr>
          <w:p>
            <w:pPr>
              <w:widowControl/>
              <w:jc w:val="left"/>
              <w:rPr>
                <w:rFonts w:ascii="宋体" w:eastAsia="宋体" w:hAnsi="宋体" w:cs="仿宋"/>
                <w:bCs/>
                <w:kern w:val="0"/>
                <w:szCs w:val="21"/>
              </w:rPr>
            </w:pPr>
          </w:p>
        </w:tc>
      </w:tr>
      <w:tr>
        <w:tblPrEx>
          <w:tblW w:w="9097" w:type="dxa"/>
          <w:jc w:val="center"/>
          <w:tblLayout w:type="fixed"/>
          <w:tblCellMar>
            <w:top w:w="0" w:type="dxa"/>
            <w:left w:w="10" w:type="dxa"/>
            <w:bottom w:w="0" w:type="dxa"/>
            <w:right w:w="10" w:type="dxa"/>
          </w:tblCellMar>
        </w:tblPrEx>
        <w:trPr>
          <w:trHeight w:val="327"/>
          <w:jc w:val="center"/>
        </w:trPr>
        <w:tc>
          <w:tcPr>
            <w:tcW w:w="558"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4</w:t>
            </w:r>
          </w:p>
        </w:tc>
        <w:tc>
          <w:tcPr>
            <w:tcW w:w="1846"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标准输出控制单元</w:t>
            </w:r>
          </w:p>
        </w:tc>
        <w:tc>
          <w:tcPr>
            <w:tcW w:w="70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套</w:t>
            </w:r>
          </w:p>
        </w:tc>
        <w:tc>
          <w:tcPr>
            <w:tcW w:w="70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1</w:t>
            </w:r>
          </w:p>
        </w:tc>
        <w:tc>
          <w:tcPr>
            <w:tcW w:w="3823" w:type="dxa"/>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辐射计数据质量监测单元。</w:t>
            </w:r>
          </w:p>
        </w:tc>
        <w:tc>
          <w:tcPr>
            <w:tcW w:w="1452" w:type="dxa"/>
            <w:vMerge/>
            <w:vAlign w:val="center"/>
          </w:tcPr>
          <w:p>
            <w:pPr>
              <w:widowControl/>
              <w:jc w:val="left"/>
              <w:rPr>
                <w:rFonts w:ascii="宋体" w:eastAsia="宋体" w:hAnsi="宋体" w:cs="仿宋"/>
                <w:bCs/>
                <w:kern w:val="0"/>
                <w:szCs w:val="21"/>
              </w:rPr>
            </w:pPr>
          </w:p>
        </w:tc>
      </w:tr>
      <w:tr>
        <w:tblPrEx>
          <w:tblW w:w="9097" w:type="dxa"/>
          <w:jc w:val="center"/>
          <w:tblLayout w:type="fixed"/>
          <w:tblCellMar>
            <w:top w:w="0" w:type="dxa"/>
            <w:left w:w="10" w:type="dxa"/>
            <w:bottom w:w="0" w:type="dxa"/>
            <w:right w:w="10" w:type="dxa"/>
          </w:tblCellMar>
        </w:tblPrEx>
        <w:trPr>
          <w:trHeight w:val="327"/>
          <w:jc w:val="center"/>
        </w:trPr>
        <w:tc>
          <w:tcPr>
            <w:tcW w:w="558"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5</w:t>
            </w:r>
          </w:p>
        </w:tc>
        <w:tc>
          <w:tcPr>
            <w:tcW w:w="1846"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室外支架</w:t>
            </w:r>
          </w:p>
        </w:tc>
        <w:tc>
          <w:tcPr>
            <w:tcW w:w="70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台</w:t>
            </w:r>
          </w:p>
        </w:tc>
        <w:tc>
          <w:tcPr>
            <w:tcW w:w="70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1</w:t>
            </w:r>
          </w:p>
        </w:tc>
        <w:tc>
          <w:tcPr>
            <w:tcW w:w="3823" w:type="dxa"/>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室外主机安装。</w:t>
            </w:r>
          </w:p>
        </w:tc>
        <w:tc>
          <w:tcPr>
            <w:tcW w:w="1452" w:type="dxa"/>
            <w:vMerge/>
            <w:vAlign w:val="center"/>
          </w:tcPr>
          <w:p>
            <w:pPr>
              <w:widowControl/>
              <w:jc w:val="left"/>
              <w:rPr>
                <w:rFonts w:ascii="宋体" w:eastAsia="宋体" w:hAnsi="宋体" w:cs="仿宋"/>
                <w:bCs/>
                <w:kern w:val="0"/>
                <w:szCs w:val="21"/>
              </w:rPr>
            </w:pPr>
          </w:p>
        </w:tc>
      </w:tr>
      <w:tr>
        <w:tblPrEx>
          <w:tblW w:w="9097" w:type="dxa"/>
          <w:jc w:val="center"/>
          <w:tblLayout w:type="fixed"/>
          <w:tblCellMar>
            <w:top w:w="0" w:type="dxa"/>
            <w:left w:w="10" w:type="dxa"/>
            <w:bottom w:w="0" w:type="dxa"/>
            <w:right w:w="10" w:type="dxa"/>
          </w:tblCellMar>
        </w:tblPrEx>
        <w:trPr>
          <w:trHeight w:val="638"/>
          <w:jc w:val="center"/>
        </w:trPr>
        <w:tc>
          <w:tcPr>
            <w:tcW w:w="558"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6</w:t>
            </w:r>
          </w:p>
        </w:tc>
        <w:tc>
          <w:tcPr>
            <w:tcW w:w="1846"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产品技术手册</w:t>
            </w:r>
          </w:p>
        </w:tc>
        <w:tc>
          <w:tcPr>
            <w:tcW w:w="70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套</w:t>
            </w:r>
          </w:p>
        </w:tc>
        <w:tc>
          <w:tcPr>
            <w:tcW w:w="70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1</w:t>
            </w:r>
          </w:p>
        </w:tc>
        <w:tc>
          <w:tcPr>
            <w:tcW w:w="3823" w:type="dxa"/>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产品技术说明书、软件使用操作说明书、产品维护说明书。</w:t>
            </w:r>
          </w:p>
        </w:tc>
        <w:tc>
          <w:tcPr>
            <w:tcW w:w="1452" w:type="dxa"/>
            <w:vMerge/>
            <w:vAlign w:val="center"/>
          </w:tcPr>
          <w:p>
            <w:pPr>
              <w:widowControl/>
              <w:jc w:val="left"/>
              <w:rPr>
                <w:rFonts w:ascii="宋体" w:eastAsia="宋体" w:hAnsi="宋体" w:cs="仿宋"/>
                <w:bCs/>
                <w:kern w:val="0"/>
                <w:szCs w:val="21"/>
              </w:rPr>
            </w:pPr>
          </w:p>
        </w:tc>
      </w:tr>
      <w:tr>
        <w:tblPrEx>
          <w:tblW w:w="9097" w:type="dxa"/>
          <w:jc w:val="center"/>
          <w:tblLayout w:type="fixed"/>
          <w:tblCellMar>
            <w:top w:w="0" w:type="dxa"/>
            <w:left w:w="10" w:type="dxa"/>
            <w:bottom w:w="0" w:type="dxa"/>
            <w:right w:w="10" w:type="dxa"/>
          </w:tblCellMar>
        </w:tblPrEx>
        <w:trPr>
          <w:trHeight w:val="342"/>
          <w:jc w:val="center"/>
        </w:trPr>
        <w:tc>
          <w:tcPr>
            <w:tcW w:w="558"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7</w:t>
            </w:r>
          </w:p>
        </w:tc>
        <w:tc>
          <w:tcPr>
            <w:tcW w:w="1846"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随机附件备件</w:t>
            </w:r>
          </w:p>
        </w:tc>
        <w:tc>
          <w:tcPr>
            <w:tcW w:w="70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套</w:t>
            </w:r>
          </w:p>
        </w:tc>
        <w:tc>
          <w:tcPr>
            <w:tcW w:w="70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1</w:t>
            </w:r>
          </w:p>
        </w:tc>
        <w:tc>
          <w:tcPr>
            <w:tcW w:w="3823" w:type="dxa"/>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随机备件一套。</w:t>
            </w:r>
          </w:p>
        </w:tc>
        <w:tc>
          <w:tcPr>
            <w:tcW w:w="1452" w:type="dxa"/>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随机免费提供</w:t>
            </w:r>
          </w:p>
        </w:tc>
      </w:tr>
    </w:tbl>
    <w:p>
      <w:pPr>
        <w:spacing w:line="360" w:lineRule="auto"/>
        <w:rPr>
          <w:rFonts w:ascii="宋体" w:eastAsia="宋体" w:hAnsi="宋体" w:cs="Times New Roman"/>
          <w:szCs w:val="21"/>
        </w:rPr>
      </w:pPr>
    </w:p>
    <w:p>
      <w:pPr>
        <w:spacing w:line="360" w:lineRule="auto"/>
        <w:ind w:firstLine="2730" w:firstLineChars="1300"/>
        <w:rPr>
          <w:rFonts w:ascii="宋体" w:eastAsia="宋体" w:hAnsi="宋体" w:cs="Times New Roman"/>
          <w:szCs w:val="21"/>
        </w:rPr>
      </w:pPr>
      <w:r>
        <w:rPr>
          <w:rFonts w:ascii="宋体" w:eastAsia="宋体" w:hAnsi="宋体" w:cs="Times New Roman" w:hint="eastAsia"/>
          <w:szCs w:val="21"/>
        </w:rPr>
        <w:t>地基微波辐射计技术性能指标要求</w:t>
      </w:r>
    </w:p>
    <w:tbl>
      <w:tblPr>
        <w:tblStyle w:val="TableNormal"/>
        <w:tblW w:w="9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29"/>
        <w:gridCol w:w="41"/>
        <w:gridCol w:w="951"/>
        <w:gridCol w:w="1090"/>
        <w:gridCol w:w="695"/>
        <w:gridCol w:w="2966"/>
        <w:gridCol w:w="2531"/>
        <w:gridCol w:w="108"/>
      </w:tblGrid>
      <w:tr>
        <w:tblPrEx>
          <w:tblW w:w="9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90"/>
          <w:jc w:val="center"/>
        </w:trPr>
        <w:tc>
          <w:tcPr>
            <w:tcW w:w="770" w:type="dxa"/>
            <w:gridSpan w:val="2"/>
            <w:vAlign w:val="center"/>
          </w:tcPr>
          <w:p>
            <w:pPr>
              <w:tabs>
                <w:tab w:val="left" w:pos="3119"/>
              </w:tabs>
              <w:jc w:val="center"/>
              <w:rPr>
                <w:rFonts w:ascii="宋体" w:eastAsia="宋体" w:hAnsi="宋体" w:cs="仿宋"/>
                <w:b/>
                <w:kern w:val="0"/>
                <w:szCs w:val="21"/>
              </w:rPr>
            </w:pPr>
            <w:r>
              <w:rPr>
                <w:rFonts w:ascii="宋体" w:eastAsia="宋体" w:hAnsi="宋体" w:cs="仿宋" w:hint="eastAsia"/>
                <w:b/>
                <w:kern w:val="0"/>
                <w:szCs w:val="21"/>
              </w:rPr>
              <w:t>序号</w:t>
            </w:r>
          </w:p>
        </w:tc>
        <w:tc>
          <w:tcPr>
            <w:tcW w:w="2041" w:type="dxa"/>
            <w:gridSpan w:val="2"/>
            <w:vAlign w:val="center"/>
          </w:tcPr>
          <w:p>
            <w:pPr>
              <w:tabs>
                <w:tab w:val="left" w:pos="3119"/>
              </w:tabs>
              <w:jc w:val="center"/>
              <w:rPr>
                <w:rFonts w:ascii="宋体" w:eastAsia="宋体" w:hAnsi="宋体" w:cs="仿宋"/>
                <w:b/>
                <w:kern w:val="0"/>
                <w:szCs w:val="21"/>
              </w:rPr>
            </w:pPr>
            <w:r>
              <w:rPr>
                <w:rFonts w:ascii="宋体" w:eastAsia="宋体" w:hAnsi="宋体" w:cs="仿宋" w:hint="eastAsia"/>
                <w:b/>
                <w:kern w:val="0"/>
                <w:szCs w:val="21"/>
              </w:rPr>
              <w:t>项目</w:t>
            </w:r>
          </w:p>
        </w:tc>
        <w:tc>
          <w:tcPr>
            <w:tcW w:w="6300" w:type="dxa"/>
            <w:gridSpan w:val="4"/>
            <w:vAlign w:val="center"/>
          </w:tcPr>
          <w:p>
            <w:pPr>
              <w:tabs>
                <w:tab w:val="left" w:pos="3119"/>
              </w:tabs>
              <w:jc w:val="center"/>
              <w:rPr>
                <w:rFonts w:ascii="宋体" w:eastAsia="宋体" w:hAnsi="宋体" w:cs="仿宋"/>
                <w:b/>
                <w:kern w:val="0"/>
                <w:szCs w:val="21"/>
              </w:rPr>
            </w:pPr>
            <w:r>
              <w:rPr>
                <w:rFonts w:ascii="宋体" w:eastAsia="宋体" w:hAnsi="宋体" w:cs="仿宋" w:hint="eastAsia"/>
                <w:b/>
                <w:kern w:val="0"/>
                <w:szCs w:val="21"/>
              </w:rPr>
              <w:t>技术指标</w:t>
            </w:r>
          </w:p>
        </w:tc>
      </w:tr>
      <w:tr>
        <w:tblPrEx>
          <w:tblW w:w="9111" w:type="dxa"/>
          <w:jc w:val="center"/>
          <w:tblCellMar>
            <w:top w:w="0" w:type="dxa"/>
            <w:left w:w="108" w:type="dxa"/>
            <w:bottom w:w="0" w:type="dxa"/>
            <w:right w:w="108" w:type="dxa"/>
          </w:tblCellMar>
        </w:tblPrEx>
        <w:trPr>
          <w:cantSplit/>
          <w:trHeight w:val="1226"/>
          <w:jc w:val="center"/>
        </w:trPr>
        <w:tc>
          <w:tcPr>
            <w:tcW w:w="770" w:type="dxa"/>
            <w:gridSpan w:val="2"/>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1</w:t>
            </w:r>
          </w:p>
        </w:tc>
        <w:tc>
          <w:tcPr>
            <w:tcW w:w="2041"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主要功能</w:t>
            </w:r>
          </w:p>
        </w:tc>
        <w:tc>
          <w:tcPr>
            <w:tcW w:w="6300" w:type="dxa"/>
            <w:gridSpan w:val="4"/>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tblPrEx>
          <w:tblW w:w="9111" w:type="dxa"/>
          <w:jc w:val="center"/>
          <w:tblCellMar>
            <w:top w:w="0" w:type="dxa"/>
            <w:left w:w="108" w:type="dxa"/>
            <w:bottom w:w="0" w:type="dxa"/>
            <w:right w:w="108" w:type="dxa"/>
          </w:tblCellMar>
        </w:tblPrEx>
        <w:trPr>
          <w:cantSplit/>
          <w:jc w:val="center"/>
        </w:trPr>
        <w:tc>
          <w:tcPr>
            <w:tcW w:w="770" w:type="dxa"/>
            <w:gridSpan w:val="2"/>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2</w:t>
            </w:r>
          </w:p>
        </w:tc>
        <w:tc>
          <w:tcPr>
            <w:tcW w:w="2041" w:type="dxa"/>
            <w:gridSpan w:val="2"/>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基本数据产品</w:t>
            </w:r>
          </w:p>
        </w:tc>
        <w:tc>
          <w:tcPr>
            <w:tcW w:w="6300" w:type="dxa"/>
            <w:gridSpan w:val="4"/>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大气辐射亮温，大气温度廓线，边界层温度廓线，水汽密度廓线，相对湿度廓线，液态水廓线，积分水汽，积分液态水，降雨标志，云底温度和云底高度等。</w:t>
            </w:r>
          </w:p>
        </w:tc>
      </w:tr>
      <w:tr>
        <w:tblPrEx>
          <w:tblW w:w="9111" w:type="dxa"/>
          <w:jc w:val="center"/>
          <w:tblCellMar>
            <w:top w:w="0" w:type="dxa"/>
            <w:left w:w="108" w:type="dxa"/>
            <w:bottom w:w="0" w:type="dxa"/>
            <w:right w:w="108" w:type="dxa"/>
          </w:tblCellMar>
        </w:tblPrEx>
        <w:trPr>
          <w:cantSplit/>
          <w:jc w:val="center"/>
        </w:trPr>
        <w:tc>
          <w:tcPr>
            <w:tcW w:w="770" w:type="dxa"/>
            <w:gridSpan w:val="2"/>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3</w:t>
            </w:r>
          </w:p>
        </w:tc>
        <w:tc>
          <w:tcPr>
            <w:tcW w:w="2041" w:type="dxa"/>
            <w:gridSpan w:val="2"/>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数据质控</w:t>
            </w:r>
          </w:p>
        </w:tc>
        <w:tc>
          <w:tcPr>
            <w:tcW w:w="6300" w:type="dxa"/>
            <w:gridSpan w:val="4"/>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具有亮温、地面辅助观测数据和气象产品数据质量的自动检测和质量控制功能。</w:t>
            </w:r>
          </w:p>
        </w:tc>
      </w:tr>
      <w:tr>
        <w:tblPrEx>
          <w:tblW w:w="9111" w:type="dxa"/>
          <w:jc w:val="center"/>
          <w:tblCellMar>
            <w:top w:w="0" w:type="dxa"/>
            <w:left w:w="108" w:type="dxa"/>
            <w:bottom w:w="0" w:type="dxa"/>
            <w:right w:w="108" w:type="dxa"/>
          </w:tblCellMar>
        </w:tblPrEx>
        <w:trPr>
          <w:cantSplit/>
          <w:jc w:val="center"/>
        </w:trPr>
        <w:tc>
          <w:tcPr>
            <w:tcW w:w="770" w:type="dxa"/>
            <w:gridSpan w:val="2"/>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4</w:t>
            </w:r>
          </w:p>
        </w:tc>
        <w:tc>
          <w:tcPr>
            <w:tcW w:w="2041" w:type="dxa"/>
            <w:gridSpan w:val="2"/>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廓线采样速率</w:t>
            </w:r>
          </w:p>
        </w:tc>
        <w:tc>
          <w:tcPr>
            <w:tcW w:w="6300" w:type="dxa"/>
            <w:gridSpan w:val="4"/>
            <w:vAlign w:val="center"/>
          </w:tcPr>
          <w:p>
            <w:pPr>
              <w:tabs>
                <w:tab w:val="left" w:pos="3119"/>
              </w:tabs>
              <w:rPr>
                <w:rFonts w:ascii="宋体" w:eastAsia="宋体" w:hAnsi="宋体" w:cs="仿宋"/>
                <w:bCs/>
                <w:kern w:val="0"/>
                <w:szCs w:val="21"/>
              </w:rPr>
            </w:pPr>
            <w:r>
              <w:rPr>
                <w:rFonts w:ascii="宋体" w:eastAsia="宋体" w:hAnsi="宋体" w:cs="仿宋" w:hint="eastAsia"/>
                <w:bCs/>
                <w:kern w:val="0"/>
                <w:szCs w:val="21"/>
              </w:rPr>
              <w:t>≤2min</w:t>
            </w:r>
          </w:p>
        </w:tc>
      </w:tr>
      <w:tr>
        <w:tblPrEx>
          <w:tblW w:w="9111" w:type="dxa"/>
          <w:jc w:val="center"/>
          <w:tblCellMar>
            <w:top w:w="0" w:type="dxa"/>
            <w:left w:w="108" w:type="dxa"/>
            <w:bottom w:w="0" w:type="dxa"/>
            <w:right w:w="108" w:type="dxa"/>
          </w:tblCellMar>
        </w:tblPrEx>
        <w:trPr>
          <w:cantSplit/>
          <w:jc w:val="center"/>
        </w:trPr>
        <w:tc>
          <w:tcPr>
            <w:tcW w:w="770" w:type="dxa"/>
            <w:gridSpan w:val="2"/>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5</w:t>
            </w:r>
          </w:p>
        </w:tc>
        <w:tc>
          <w:tcPr>
            <w:tcW w:w="2041"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探测高度</w:t>
            </w:r>
          </w:p>
        </w:tc>
        <w:tc>
          <w:tcPr>
            <w:tcW w:w="6300" w:type="dxa"/>
            <w:gridSpan w:val="4"/>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≥10km</w:t>
            </w:r>
          </w:p>
        </w:tc>
      </w:tr>
      <w:tr>
        <w:tblPrEx>
          <w:tblW w:w="9111" w:type="dxa"/>
          <w:jc w:val="center"/>
          <w:tblCellMar>
            <w:top w:w="0" w:type="dxa"/>
            <w:left w:w="108" w:type="dxa"/>
            <w:bottom w:w="0" w:type="dxa"/>
            <w:right w:w="108" w:type="dxa"/>
          </w:tblCellMar>
        </w:tblPrEx>
        <w:trPr>
          <w:gridAfter w:val="1"/>
          <w:wAfter w:w="108" w:type="dxa"/>
          <w:cantSplit/>
          <w:trHeight w:val="308"/>
          <w:jc w:val="center"/>
        </w:trPr>
        <w:tc>
          <w:tcPr>
            <w:tcW w:w="729" w:type="dxa"/>
            <w:vMerge w:val="restart"/>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6</w:t>
            </w:r>
          </w:p>
        </w:tc>
        <w:tc>
          <w:tcPr>
            <w:tcW w:w="992" w:type="dxa"/>
            <w:gridSpan w:val="2"/>
            <w:vMerge w:val="restart"/>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天线单元</w:t>
            </w:r>
          </w:p>
        </w:tc>
        <w:tc>
          <w:tcPr>
            <w:tcW w:w="1785" w:type="dxa"/>
            <w:gridSpan w:val="2"/>
            <w:vAlign w:val="center"/>
          </w:tcPr>
          <w:p>
            <w:pPr>
              <w:widowControl/>
              <w:jc w:val="center"/>
              <w:rPr>
                <w:rFonts w:ascii="宋体" w:eastAsia="宋体" w:hAnsi="宋体" w:cs="仿宋"/>
                <w:bCs/>
                <w:kern w:val="0"/>
                <w:szCs w:val="21"/>
                <w:highlight w:val="yellow"/>
              </w:rPr>
            </w:pPr>
            <w:r>
              <w:rPr>
                <w:rFonts w:ascii="宋体" w:eastAsia="宋体" w:hAnsi="宋体" w:cs="仿宋" w:hint="eastAsia"/>
                <w:bCs/>
                <w:kern w:val="0"/>
                <w:szCs w:val="21"/>
                <w:highlight w:val="yellow"/>
              </w:rPr>
              <w:t>#天线半功率波束宽度</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水汽通道≤5°，温度通道≤3°</w:t>
            </w:r>
          </w:p>
        </w:tc>
      </w:tr>
      <w:tr>
        <w:tblPrEx>
          <w:tblW w:w="9111" w:type="dxa"/>
          <w:jc w:val="center"/>
          <w:tblCellMar>
            <w:top w:w="0" w:type="dxa"/>
            <w:left w:w="108" w:type="dxa"/>
            <w:bottom w:w="0" w:type="dxa"/>
            <w:right w:w="108" w:type="dxa"/>
          </w:tblCellMar>
        </w:tblPrEx>
        <w:trPr>
          <w:gridAfter w:val="1"/>
          <w:wAfter w:w="108" w:type="dxa"/>
          <w:cantSplit/>
          <w:trHeight w:val="308"/>
          <w:jc w:val="center"/>
        </w:trPr>
        <w:tc>
          <w:tcPr>
            <w:tcW w:w="729" w:type="dxa"/>
            <w:vMerge/>
            <w:vAlign w:val="center"/>
          </w:tcPr>
          <w:p>
            <w:pPr>
              <w:tabs>
                <w:tab w:val="left" w:pos="3119"/>
              </w:tabs>
              <w:jc w:val="center"/>
              <w:rPr>
                <w:rFonts w:ascii="宋体" w:eastAsia="宋体" w:hAnsi="宋体" w:cs="仿宋"/>
                <w:bCs/>
                <w:kern w:val="0"/>
                <w:szCs w:val="21"/>
              </w:rPr>
            </w:pPr>
          </w:p>
        </w:tc>
        <w:tc>
          <w:tcPr>
            <w:tcW w:w="992" w:type="dxa"/>
            <w:gridSpan w:val="2"/>
            <w:vMerge/>
            <w:vAlign w:val="center"/>
          </w:tcPr>
          <w:p>
            <w:pPr>
              <w:tabs>
                <w:tab w:val="left" w:pos="3119"/>
              </w:tabs>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highlight w:val="yellow"/>
              </w:rPr>
            </w:pPr>
            <w:r>
              <w:rPr>
                <w:rFonts w:ascii="宋体" w:eastAsia="宋体" w:hAnsi="宋体" w:cs="仿宋" w:hint="eastAsia"/>
                <w:bCs/>
                <w:kern w:val="0"/>
                <w:szCs w:val="21"/>
                <w:highlight w:val="yellow"/>
              </w:rPr>
              <w:t>#天线旁瓣电平</w:t>
            </w:r>
          </w:p>
        </w:tc>
        <w:tc>
          <w:tcPr>
            <w:tcW w:w="5497" w:type="dxa"/>
            <w:gridSpan w:val="2"/>
            <w:vAlign w:val="center"/>
          </w:tcPr>
          <w:p>
            <w:pPr>
              <w:widowControl/>
              <w:jc w:val="left"/>
              <w:rPr>
                <w:rFonts w:ascii="宋体" w:eastAsia="宋体" w:hAnsi="宋体" w:cs="仿宋"/>
                <w:bCs/>
                <w:kern w:val="0"/>
                <w:szCs w:val="21"/>
              </w:rPr>
            </w:pPr>
            <w:r>
              <w:rPr>
                <w:rFonts w:ascii="Times New Roman" w:eastAsia="宋体" w:hint="eastAsia"/>
                <w:szCs w:val="21"/>
              </w:rPr>
              <w:t>水汽通道＜</w:t>
            </w:r>
            <w:r>
              <w:rPr>
                <w:rFonts w:ascii="Times New Roman" w:eastAsia="宋体"/>
                <w:szCs w:val="21"/>
              </w:rPr>
              <w:t>-25 dB</w:t>
            </w:r>
            <w:r>
              <w:rPr>
                <w:rFonts w:ascii="Times New Roman" w:eastAsia="宋体" w:hint="eastAsia"/>
                <w:szCs w:val="21"/>
              </w:rPr>
              <w:t>，温度通道＜</w:t>
            </w:r>
            <w:r>
              <w:rPr>
                <w:rFonts w:ascii="Times New Roman" w:eastAsia="宋体"/>
                <w:szCs w:val="21"/>
              </w:rPr>
              <w:t>-28dB</w:t>
            </w:r>
          </w:p>
        </w:tc>
      </w:tr>
      <w:tr>
        <w:tblPrEx>
          <w:tblW w:w="9111" w:type="dxa"/>
          <w:jc w:val="center"/>
          <w:tblCellMar>
            <w:top w:w="0" w:type="dxa"/>
            <w:left w:w="108" w:type="dxa"/>
            <w:bottom w:w="0" w:type="dxa"/>
            <w:right w:w="108" w:type="dxa"/>
          </w:tblCellMar>
        </w:tblPrEx>
        <w:trPr>
          <w:gridAfter w:val="1"/>
          <w:wAfter w:w="108" w:type="dxa"/>
          <w:cantSplit/>
          <w:trHeight w:val="308"/>
          <w:jc w:val="center"/>
        </w:trPr>
        <w:tc>
          <w:tcPr>
            <w:tcW w:w="729" w:type="dxa"/>
            <w:vMerge/>
            <w:vAlign w:val="center"/>
          </w:tcPr>
          <w:p>
            <w:pPr>
              <w:tabs>
                <w:tab w:val="left" w:pos="3119"/>
              </w:tabs>
              <w:jc w:val="center"/>
              <w:rPr>
                <w:rFonts w:ascii="宋体" w:eastAsia="宋体" w:hAnsi="宋体" w:cs="仿宋"/>
                <w:bCs/>
                <w:kern w:val="0"/>
                <w:szCs w:val="21"/>
              </w:rPr>
            </w:pPr>
          </w:p>
        </w:tc>
        <w:tc>
          <w:tcPr>
            <w:tcW w:w="992" w:type="dxa"/>
            <w:gridSpan w:val="2"/>
            <w:vMerge/>
            <w:vAlign w:val="center"/>
          </w:tcPr>
          <w:p>
            <w:pPr>
              <w:tabs>
                <w:tab w:val="left" w:pos="3119"/>
              </w:tabs>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天线罩损耗</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≤0.1dB</w:t>
            </w:r>
          </w:p>
        </w:tc>
      </w:tr>
      <w:tr>
        <w:tblPrEx>
          <w:tblW w:w="9111" w:type="dxa"/>
          <w:jc w:val="center"/>
          <w:tblCellMar>
            <w:top w:w="0" w:type="dxa"/>
            <w:left w:w="108" w:type="dxa"/>
            <w:bottom w:w="0" w:type="dxa"/>
            <w:right w:w="108" w:type="dxa"/>
          </w:tblCellMar>
        </w:tblPrEx>
        <w:trPr>
          <w:gridAfter w:val="1"/>
          <w:wAfter w:w="108" w:type="dxa"/>
          <w:cantSplit/>
          <w:trHeight w:val="68"/>
          <w:jc w:val="center"/>
        </w:trPr>
        <w:tc>
          <w:tcPr>
            <w:tcW w:w="729" w:type="dxa"/>
            <w:vMerge w:val="restart"/>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7</w:t>
            </w:r>
          </w:p>
        </w:tc>
        <w:tc>
          <w:tcPr>
            <w:tcW w:w="992" w:type="dxa"/>
            <w:gridSpan w:val="2"/>
            <w:vMerge w:val="restart"/>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接收单元</w:t>
            </w: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技术体制</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直接检波或混频检波</w:t>
            </w:r>
          </w:p>
        </w:tc>
      </w:tr>
      <w:tr>
        <w:tblPrEx>
          <w:tblW w:w="9111" w:type="dxa"/>
          <w:jc w:val="center"/>
          <w:tblCellMar>
            <w:top w:w="0" w:type="dxa"/>
            <w:left w:w="108" w:type="dxa"/>
            <w:bottom w:w="0" w:type="dxa"/>
            <w:right w:w="108" w:type="dxa"/>
          </w:tblCellMar>
        </w:tblPrEx>
        <w:trPr>
          <w:gridAfter w:val="1"/>
          <w:wAfter w:w="108" w:type="dxa"/>
          <w:cantSplit/>
          <w:trHeight w:val="68"/>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工作频率</w:t>
            </w:r>
          </w:p>
        </w:tc>
        <w:tc>
          <w:tcPr>
            <w:tcW w:w="5497" w:type="dxa"/>
            <w:gridSpan w:val="2"/>
            <w:vAlign w:val="center"/>
          </w:tcPr>
          <w:p>
            <w:pPr>
              <w:widowControl/>
              <w:jc w:val="left"/>
              <w:rPr>
                <w:rFonts w:ascii="宋体" w:eastAsia="宋体" w:hAnsi="宋体" w:cs="仿宋"/>
                <w:bCs/>
                <w:kern w:val="0"/>
                <w:szCs w:val="21"/>
              </w:rPr>
            </w:pPr>
            <w:r>
              <w:rPr>
                <w:rFonts w:ascii="Times New Roman" w:eastAsia="宋体" w:hint="eastAsia"/>
                <w:szCs w:val="21"/>
              </w:rPr>
              <w:t>水汽通道22-32GHz，温度通道51-59GHz</w:t>
            </w:r>
          </w:p>
        </w:tc>
      </w:tr>
      <w:tr>
        <w:tblPrEx>
          <w:tblW w:w="9111" w:type="dxa"/>
          <w:jc w:val="center"/>
          <w:tblCellMar>
            <w:top w:w="0" w:type="dxa"/>
            <w:left w:w="108" w:type="dxa"/>
            <w:bottom w:w="0" w:type="dxa"/>
            <w:right w:w="108" w:type="dxa"/>
          </w:tblCellMar>
        </w:tblPrEx>
        <w:trPr>
          <w:gridAfter w:val="1"/>
          <w:wAfter w:w="108" w:type="dxa"/>
          <w:cantSplit/>
          <w:trHeight w:val="307"/>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Merge w:val="restart"/>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通道数量</w:t>
            </w:r>
          </w:p>
        </w:tc>
        <w:tc>
          <w:tcPr>
            <w:tcW w:w="5497" w:type="dxa"/>
            <w:gridSpan w:val="2"/>
            <w:vAlign w:val="center"/>
          </w:tcPr>
          <w:p>
            <w:pPr>
              <w:widowControl/>
              <w:jc w:val="left"/>
              <w:rPr>
                <w:rFonts w:ascii="宋体" w:eastAsia="宋体" w:hAnsi="宋体" w:cs="Times New Roman"/>
                <w:szCs w:val="21"/>
              </w:rPr>
            </w:pPr>
            <w:r>
              <w:rPr>
                <w:rFonts w:ascii="宋体" w:eastAsia="宋体" w:hAnsi="宋体" w:cs="仿宋" w:hint="eastAsia"/>
                <w:bCs/>
                <w:kern w:val="0"/>
                <w:szCs w:val="21"/>
              </w:rPr>
              <w:t>温度通道≥7个</w:t>
            </w:r>
          </w:p>
        </w:tc>
      </w:tr>
      <w:tr>
        <w:tblPrEx>
          <w:tblW w:w="9111" w:type="dxa"/>
          <w:jc w:val="center"/>
          <w:tblCellMar>
            <w:top w:w="0" w:type="dxa"/>
            <w:left w:w="108" w:type="dxa"/>
            <w:bottom w:w="0" w:type="dxa"/>
            <w:right w:w="108" w:type="dxa"/>
          </w:tblCellMar>
        </w:tblPrEx>
        <w:trPr>
          <w:gridAfter w:val="1"/>
          <w:wAfter w:w="108" w:type="dxa"/>
          <w:cantSplit/>
          <w:trHeight w:val="307"/>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Merge/>
            <w:vAlign w:val="center"/>
          </w:tcPr>
          <w:p>
            <w:pPr>
              <w:widowControl/>
              <w:jc w:val="center"/>
              <w:rPr>
                <w:rFonts w:ascii="宋体" w:eastAsia="宋体" w:hAnsi="宋体" w:cs="仿宋"/>
                <w:bCs/>
                <w:kern w:val="0"/>
                <w:szCs w:val="21"/>
              </w:rPr>
            </w:pP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水汽通道≥7个</w:t>
            </w:r>
          </w:p>
        </w:tc>
      </w:tr>
      <w:tr>
        <w:tblPrEx>
          <w:tblW w:w="9111" w:type="dxa"/>
          <w:jc w:val="center"/>
          <w:tblCellMar>
            <w:top w:w="0" w:type="dxa"/>
            <w:left w:w="108" w:type="dxa"/>
            <w:bottom w:w="0" w:type="dxa"/>
            <w:right w:w="108" w:type="dxa"/>
          </w:tblCellMar>
        </w:tblPrEx>
        <w:trPr>
          <w:gridAfter w:val="1"/>
          <w:wAfter w:w="108" w:type="dxa"/>
          <w:cantSplit/>
          <w:trHeight w:val="68"/>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highlight w:val="yellow"/>
              </w:rPr>
            </w:pPr>
            <w:r>
              <w:rPr>
                <w:rFonts w:ascii="宋体" w:eastAsia="宋体" w:hAnsi="宋体" w:cs="仿宋" w:hint="eastAsia"/>
                <w:bCs/>
                <w:kern w:val="0"/>
                <w:szCs w:val="21"/>
                <w:highlight w:val="yellow"/>
              </w:rPr>
              <w:t>#噪声系数</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水汽通道≤4dB，温度通道≤6dB</w:t>
            </w:r>
          </w:p>
        </w:tc>
      </w:tr>
      <w:tr>
        <w:tblPrEx>
          <w:tblW w:w="9111" w:type="dxa"/>
          <w:jc w:val="center"/>
          <w:tblCellMar>
            <w:top w:w="0" w:type="dxa"/>
            <w:left w:w="108" w:type="dxa"/>
            <w:bottom w:w="0" w:type="dxa"/>
            <w:right w:w="108" w:type="dxa"/>
          </w:tblCellMar>
        </w:tblPrEx>
        <w:trPr>
          <w:gridAfter w:val="1"/>
          <w:wAfter w:w="108" w:type="dxa"/>
          <w:cantSplit/>
          <w:trHeight w:val="68"/>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亮温测量范围</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0K～400K</w:t>
            </w:r>
          </w:p>
        </w:tc>
      </w:tr>
      <w:tr>
        <w:tblPrEx>
          <w:tblW w:w="9111" w:type="dxa"/>
          <w:jc w:val="center"/>
          <w:tblCellMar>
            <w:top w:w="0" w:type="dxa"/>
            <w:left w:w="108" w:type="dxa"/>
            <w:bottom w:w="0" w:type="dxa"/>
            <w:right w:w="108" w:type="dxa"/>
          </w:tblCellMar>
        </w:tblPrEx>
        <w:trPr>
          <w:gridAfter w:val="1"/>
          <w:wAfter w:w="108" w:type="dxa"/>
          <w:cantSplit/>
          <w:trHeight w:val="68"/>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亮温灵敏度</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水汽通道≤0.2K（1s积分时间）</w:t>
            </w:r>
          </w:p>
          <w:p>
            <w:pPr>
              <w:widowControl/>
              <w:jc w:val="left"/>
              <w:rPr>
                <w:rFonts w:ascii="宋体" w:eastAsia="宋体" w:hAnsi="宋体" w:cs="仿宋"/>
                <w:bCs/>
                <w:kern w:val="0"/>
                <w:szCs w:val="21"/>
              </w:rPr>
            </w:pPr>
            <w:r>
              <w:rPr>
                <w:rFonts w:ascii="宋体" w:eastAsia="宋体" w:hAnsi="宋体" w:cs="仿宋" w:hint="eastAsia"/>
                <w:bCs/>
                <w:kern w:val="0"/>
                <w:szCs w:val="21"/>
              </w:rPr>
              <w:t>氧气通道≤0.3K（1s积分时间）</w:t>
            </w:r>
          </w:p>
        </w:tc>
      </w:tr>
      <w:tr>
        <w:tblPrEx>
          <w:tblW w:w="9111" w:type="dxa"/>
          <w:jc w:val="center"/>
          <w:tblCellMar>
            <w:top w:w="0" w:type="dxa"/>
            <w:left w:w="108" w:type="dxa"/>
            <w:bottom w:w="0" w:type="dxa"/>
            <w:right w:w="108" w:type="dxa"/>
          </w:tblCellMar>
        </w:tblPrEx>
        <w:trPr>
          <w:gridAfter w:val="1"/>
          <w:wAfter w:w="108" w:type="dxa"/>
          <w:cantSplit/>
          <w:trHeight w:val="68"/>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highlight w:val="yellow"/>
              </w:rPr>
            </w:pPr>
            <w:r>
              <w:rPr>
                <w:rFonts w:ascii="宋体" w:eastAsia="宋体" w:hAnsi="宋体" w:cs="仿宋" w:hint="eastAsia"/>
                <w:bCs/>
                <w:kern w:val="0"/>
                <w:szCs w:val="21"/>
                <w:highlight w:val="yellow"/>
              </w:rPr>
              <w:t>#亮温测量误差</w:t>
            </w:r>
          </w:p>
        </w:tc>
        <w:tc>
          <w:tcPr>
            <w:tcW w:w="5497" w:type="dxa"/>
            <w:gridSpan w:val="2"/>
            <w:vAlign w:val="center"/>
          </w:tcPr>
          <w:p>
            <w:pPr>
              <w:widowControl/>
              <w:jc w:val="left"/>
              <w:rPr>
                <w:rFonts w:ascii="宋体" w:eastAsia="宋体" w:hAnsi="宋体" w:cs="仿宋"/>
                <w:bCs/>
                <w:kern w:val="0"/>
                <w:szCs w:val="21"/>
              </w:rPr>
            </w:pPr>
            <w:r>
              <w:rPr>
                <w:rFonts w:ascii="Times New Roman" w:eastAsia="宋体" w:hint="eastAsia"/>
                <w:szCs w:val="21"/>
              </w:rPr>
              <w:t>≤</w:t>
            </w:r>
            <w:r>
              <w:rPr>
                <w:rFonts w:ascii="Times New Roman" w:eastAsia="宋体"/>
                <w:szCs w:val="21"/>
              </w:rPr>
              <w:t>1K RMS</w:t>
            </w:r>
          </w:p>
        </w:tc>
      </w:tr>
      <w:tr>
        <w:tblPrEx>
          <w:tblW w:w="9111" w:type="dxa"/>
          <w:jc w:val="center"/>
          <w:tblCellMar>
            <w:top w:w="0" w:type="dxa"/>
            <w:left w:w="108" w:type="dxa"/>
            <w:bottom w:w="0" w:type="dxa"/>
            <w:right w:w="108" w:type="dxa"/>
          </w:tblCellMar>
        </w:tblPrEx>
        <w:trPr>
          <w:gridAfter w:val="1"/>
          <w:wAfter w:w="108" w:type="dxa"/>
          <w:cantSplit/>
          <w:trHeight w:val="68"/>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highlight w:val="yellow"/>
              </w:rPr>
            </w:pPr>
            <w:r>
              <w:rPr>
                <w:rFonts w:ascii="宋体" w:eastAsia="宋体" w:hAnsi="宋体" w:cs="仿宋" w:hint="eastAsia"/>
                <w:bCs/>
                <w:kern w:val="0"/>
                <w:szCs w:val="21"/>
                <w:highlight w:val="yellow"/>
              </w:rPr>
              <w:t>#检波器线性度</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0.9999</w:t>
            </w:r>
          </w:p>
        </w:tc>
      </w:tr>
      <w:tr>
        <w:tblPrEx>
          <w:tblW w:w="9111" w:type="dxa"/>
          <w:jc w:val="center"/>
          <w:tblCellMar>
            <w:top w:w="0" w:type="dxa"/>
            <w:left w:w="108" w:type="dxa"/>
            <w:bottom w:w="0" w:type="dxa"/>
            <w:right w:w="108" w:type="dxa"/>
          </w:tblCellMar>
        </w:tblPrEx>
        <w:trPr>
          <w:gridAfter w:val="1"/>
          <w:wAfter w:w="108" w:type="dxa"/>
          <w:cantSplit/>
          <w:trHeight w:val="307"/>
          <w:jc w:val="center"/>
        </w:trPr>
        <w:tc>
          <w:tcPr>
            <w:tcW w:w="729" w:type="dxa"/>
            <w:vMerge w:val="restart"/>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8</w:t>
            </w:r>
          </w:p>
        </w:tc>
        <w:tc>
          <w:tcPr>
            <w:tcW w:w="992" w:type="dxa"/>
            <w:gridSpan w:val="2"/>
            <w:vMerge w:val="restart"/>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定标单元</w:t>
            </w:r>
          </w:p>
        </w:tc>
        <w:tc>
          <w:tcPr>
            <w:tcW w:w="1785" w:type="dxa"/>
            <w:gridSpan w:val="2"/>
            <w:vAlign w:val="center"/>
          </w:tcPr>
          <w:p>
            <w:pPr>
              <w:widowControl/>
              <w:jc w:val="center"/>
              <w:rPr>
                <w:rFonts w:ascii="宋体" w:eastAsia="宋体" w:hAnsi="宋体" w:cs="仿宋"/>
                <w:bCs/>
                <w:kern w:val="0"/>
                <w:szCs w:val="21"/>
                <w:highlight w:val="yellow"/>
              </w:rPr>
            </w:pPr>
            <w:r>
              <w:rPr>
                <w:rFonts w:ascii="宋体" w:eastAsia="宋体" w:hAnsi="宋体" w:cs="仿宋" w:hint="eastAsia"/>
                <w:bCs/>
                <w:kern w:val="0"/>
                <w:szCs w:val="21"/>
                <w:highlight w:val="yellow"/>
              </w:rPr>
              <w:t>#内置黑体温度均匀性</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≤0.5K</w:t>
            </w:r>
          </w:p>
        </w:tc>
      </w:tr>
      <w:tr>
        <w:tblPrEx>
          <w:tblW w:w="9111" w:type="dxa"/>
          <w:jc w:val="center"/>
          <w:tblCellMar>
            <w:top w:w="0" w:type="dxa"/>
            <w:left w:w="108" w:type="dxa"/>
            <w:bottom w:w="0" w:type="dxa"/>
            <w:right w:w="108" w:type="dxa"/>
          </w:tblCellMar>
        </w:tblPrEx>
        <w:trPr>
          <w:gridAfter w:val="1"/>
          <w:wAfter w:w="108" w:type="dxa"/>
          <w:cantSplit/>
          <w:trHeight w:val="307"/>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黑体内置温度传感器误差</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≤0.2K</w:t>
            </w:r>
          </w:p>
        </w:tc>
      </w:tr>
      <w:tr>
        <w:tblPrEx>
          <w:tblW w:w="9111" w:type="dxa"/>
          <w:jc w:val="center"/>
          <w:tblCellMar>
            <w:top w:w="0" w:type="dxa"/>
            <w:left w:w="108" w:type="dxa"/>
            <w:bottom w:w="0" w:type="dxa"/>
            <w:right w:w="108" w:type="dxa"/>
          </w:tblCellMar>
        </w:tblPrEx>
        <w:trPr>
          <w:gridAfter w:val="1"/>
          <w:wAfter w:w="108" w:type="dxa"/>
          <w:cantSplit/>
          <w:trHeight w:val="122"/>
          <w:jc w:val="center"/>
        </w:trPr>
        <w:tc>
          <w:tcPr>
            <w:tcW w:w="729" w:type="dxa"/>
            <w:vMerge w:val="restart"/>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9</w:t>
            </w:r>
          </w:p>
        </w:tc>
        <w:tc>
          <w:tcPr>
            <w:tcW w:w="992" w:type="dxa"/>
            <w:gridSpan w:val="2"/>
            <w:vMerge w:val="restart"/>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辅助单元</w:t>
            </w: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地面温度传感器</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测量范围：-50℃～50℃；</w:t>
            </w:r>
          </w:p>
          <w:p>
            <w:pPr>
              <w:widowControl/>
              <w:jc w:val="left"/>
              <w:rPr>
                <w:rFonts w:ascii="宋体" w:eastAsia="宋体" w:hAnsi="宋体" w:cs="仿宋"/>
                <w:bCs/>
                <w:kern w:val="0"/>
                <w:szCs w:val="21"/>
              </w:rPr>
            </w:pPr>
            <w:r>
              <w:rPr>
                <w:rFonts w:ascii="宋体" w:eastAsia="宋体" w:hAnsi="宋体" w:cs="仿宋" w:hint="eastAsia"/>
                <w:bCs/>
                <w:kern w:val="0"/>
                <w:szCs w:val="21"/>
              </w:rPr>
              <w:t>允许误差：≤0.2℃</w:t>
            </w:r>
          </w:p>
        </w:tc>
      </w:tr>
      <w:tr>
        <w:tblPrEx>
          <w:tblW w:w="9111" w:type="dxa"/>
          <w:jc w:val="center"/>
          <w:tblCellMar>
            <w:top w:w="0" w:type="dxa"/>
            <w:left w:w="108" w:type="dxa"/>
            <w:bottom w:w="0" w:type="dxa"/>
            <w:right w:w="108" w:type="dxa"/>
          </w:tblCellMar>
        </w:tblPrEx>
        <w:trPr>
          <w:gridAfter w:val="1"/>
          <w:wAfter w:w="108" w:type="dxa"/>
          <w:cantSplit/>
          <w:trHeight w:val="122"/>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
                <w:bCs/>
                <w:kern w:val="0"/>
                <w:szCs w:val="21"/>
              </w:rPr>
            </w:pPr>
            <w:r>
              <w:rPr>
                <w:rFonts w:ascii="宋体" w:eastAsia="宋体" w:hAnsi="宋体" w:cs="仿宋" w:hint="eastAsia"/>
                <w:bCs/>
                <w:kern w:val="0"/>
                <w:szCs w:val="21"/>
              </w:rPr>
              <w:t>地面湿度传感器</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测量范围：5%～100%RH；</w:t>
            </w:r>
          </w:p>
          <w:p>
            <w:pPr>
              <w:widowControl/>
              <w:jc w:val="left"/>
              <w:rPr>
                <w:rFonts w:ascii="宋体" w:eastAsia="宋体" w:hAnsi="宋体" w:cs="仿宋"/>
                <w:bCs/>
                <w:kern w:val="0"/>
                <w:szCs w:val="21"/>
              </w:rPr>
            </w:pPr>
            <w:r>
              <w:rPr>
                <w:rFonts w:ascii="Times New Roman" w:eastAsia="宋体" w:hint="eastAsia"/>
                <w:szCs w:val="21"/>
              </w:rPr>
              <w:t>允许误差：≤</w:t>
            </w:r>
            <w:r>
              <w:rPr>
                <w:rFonts w:ascii="Times New Roman" w:eastAsia="宋体"/>
                <w:szCs w:val="21"/>
              </w:rPr>
              <w:t>3%</w:t>
            </w:r>
            <w:r>
              <w:rPr>
                <w:rFonts w:ascii="Times New Roman" w:eastAsia="宋体" w:hint="eastAsia"/>
                <w:szCs w:val="21"/>
              </w:rPr>
              <w:t>（≤</w:t>
            </w:r>
            <w:r>
              <w:rPr>
                <w:rFonts w:ascii="Times New Roman" w:eastAsia="宋体"/>
                <w:szCs w:val="21"/>
              </w:rPr>
              <w:t>80%</w:t>
            </w:r>
            <w:r>
              <w:rPr>
                <w:rFonts w:ascii="Times New Roman" w:eastAsia="宋体" w:hint="eastAsia"/>
                <w:szCs w:val="21"/>
              </w:rPr>
              <w:t>）；≤</w:t>
            </w:r>
            <w:r>
              <w:rPr>
                <w:rFonts w:ascii="Times New Roman" w:eastAsia="宋体"/>
                <w:szCs w:val="21"/>
              </w:rPr>
              <w:t>5%</w:t>
            </w:r>
            <w:r>
              <w:rPr>
                <w:rFonts w:ascii="Times New Roman" w:eastAsia="宋体" w:hint="eastAsia"/>
                <w:szCs w:val="21"/>
              </w:rPr>
              <w:t>（＞</w:t>
            </w:r>
            <w:r>
              <w:rPr>
                <w:rFonts w:ascii="Times New Roman" w:eastAsia="宋体"/>
                <w:szCs w:val="21"/>
              </w:rPr>
              <w:t>80%</w:t>
            </w:r>
            <w:r>
              <w:rPr>
                <w:rFonts w:ascii="Times New Roman" w:eastAsia="宋体" w:hint="eastAsia"/>
                <w:szCs w:val="21"/>
              </w:rPr>
              <w:t>）</w:t>
            </w:r>
          </w:p>
        </w:tc>
      </w:tr>
      <w:tr>
        <w:tblPrEx>
          <w:tblW w:w="9111" w:type="dxa"/>
          <w:jc w:val="center"/>
          <w:tblCellMar>
            <w:top w:w="0" w:type="dxa"/>
            <w:left w:w="108" w:type="dxa"/>
            <w:bottom w:w="0" w:type="dxa"/>
            <w:right w:w="108" w:type="dxa"/>
          </w:tblCellMar>
        </w:tblPrEx>
        <w:trPr>
          <w:gridAfter w:val="1"/>
          <w:wAfter w:w="108" w:type="dxa"/>
          <w:cantSplit/>
          <w:trHeight w:val="122"/>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地面气压传感器</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测量范围：500hPa～1060hPa；</w:t>
            </w:r>
          </w:p>
          <w:p>
            <w:pPr>
              <w:widowControl/>
              <w:jc w:val="left"/>
              <w:rPr>
                <w:rFonts w:ascii="宋体" w:eastAsia="宋体" w:hAnsi="宋体" w:cs="仿宋"/>
                <w:bCs/>
                <w:kern w:val="0"/>
                <w:szCs w:val="21"/>
              </w:rPr>
            </w:pPr>
            <w:r>
              <w:rPr>
                <w:rFonts w:ascii="Times New Roman" w:eastAsia="宋体" w:hint="eastAsia"/>
                <w:szCs w:val="21"/>
              </w:rPr>
              <w:t>允许误差：≤</w:t>
            </w:r>
            <w:r>
              <w:rPr>
                <w:rFonts w:ascii="Times New Roman" w:eastAsia="宋体"/>
                <w:szCs w:val="21"/>
              </w:rPr>
              <w:t>0.3hPa</w:t>
            </w:r>
          </w:p>
        </w:tc>
      </w:tr>
      <w:tr>
        <w:tblPrEx>
          <w:tblW w:w="9111" w:type="dxa"/>
          <w:jc w:val="center"/>
          <w:tblCellMar>
            <w:top w:w="0" w:type="dxa"/>
            <w:left w:w="108" w:type="dxa"/>
            <w:bottom w:w="0" w:type="dxa"/>
            <w:right w:w="108" w:type="dxa"/>
          </w:tblCellMar>
        </w:tblPrEx>
        <w:trPr>
          <w:gridAfter w:val="1"/>
          <w:wAfter w:w="108" w:type="dxa"/>
          <w:cantSplit/>
          <w:trHeight w:val="122"/>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tcPr>
          <w:p>
            <w:pPr>
              <w:widowControl/>
              <w:jc w:val="center"/>
              <w:rPr>
                <w:rFonts w:ascii="宋体" w:eastAsia="宋体" w:hAnsi="宋体" w:cs="仿宋"/>
                <w:bCs/>
                <w:kern w:val="0"/>
                <w:szCs w:val="21"/>
                <w:highlight w:val="yellow"/>
              </w:rPr>
            </w:pPr>
            <w:r>
              <w:rPr>
                <w:rFonts w:hint="eastAsia"/>
              </w:rPr>
              <w:t>雨雪传感器灵敏阈</w:t>
            </w:r>
          </w:p>
        </w:tc>
        <w:tc>
          <w:tcPr>
            <w:tcW w:w="5497" w:type="dxa"/>
            <w:gridSpan w:val="2"/>
          </w:tcPr>
          <w:p>
            <w:pPr>
              <w:widowControl/>
              <w:jc w:val="left"/>
              <w:rPr>
                <w:rFonts w:ascii="宋体" w:eastAsia="宋体" w:hAnsi="宋体" w:cs="仿宋"/>
                <w:bCs/>
                <w:kern w:val="0"/>
                <w:szCs w:val="21"/>
                <w:highlight w:val="yellow"/>
              </w:rPr>
            </w:pPr>
            <w:r>
              <w:rPr>
                <w:rFonts w:hint="eastAsia"/>
              </w:rPr>
              <w:t>≤0.03mm</w:t>
            </w:r>
          </w:p>
        </w:tc>
      </w:tr>
      <w:tr>
        <w:tblPrEx>
          <w:tblW w:w="9111" w:type="dxa"/>
          <w:jc w:val="center"/>
          <w:tblCellMar>
            <w:top w:w="0" w:type="dxa"/>
            <w:left w:w="108" w:type="dxa"/>
            <w:bottom w:w="0" w:type="dxa"/>
            <w:right w:w="108" w:type="dxa"/>
          </w:tblCellMar>
        </w:tblPrEx>
        <w:trPr>
          <w:gridAfter w:val="1"/>
          <w:wAfter w:w="108" w:type="dxa"/>
          <w:cantSplit/>
          <w:trHeight w:val="122"/>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tcPr>
          <w:p>
            <w:pPr>
              <w:widowControl/>
              <w:jc w:val="center"/>
              <w:rPr>
                <w:rFonts w:ascii="宋体" w:eastAsia="宋体" w:hAnsi="宋体" w:cs="仿宋"/>
                <w:bCs/>
                <w:kern w:val="0"/>
                <w:szCs w:val="21"/>
                <w:highlight w:val="yellow"/>
              </w:rPr>
            </w:pPr>
            <w:r>
              <w:rPr>
                <w:rFonts w:hint="eastAsia"/>
              </w:rPr>
              <w:t>时钟精度</w:t>
            </w:r>
          </w:p>
        </w:tc>
        <w:tc>
          <w:tcPr>
            <w:tcW w:w="5497" w:type="dxa"/>
            <w:gridSpan w:val="2"/>
          </w:tcPr>
          <w:p>
            <w:pPr>
              <w:widowControl/>
              <w:jc w:val="left"/>
              <w:rPr>
                <w:rFonts w:ascii="宋体" w:eastAsia="宋体" w:hAnsi="宋体" w:cs="仿宋"/>
                <w:bCs/>
                <w:kern w:val="0"/>
                <w:szCs w:val="21"/>
                <w:highlight w:val="yellow"/>
              </w:rPr>
            </w:pPr>
            <w:r>
              <w:rPr>
                <w:rFonts w:hint="eastAsia"/>
              </w:rPr>
              <w:t>不会因断电造成走时误差，走时误差不大于15s /月</w:t>
            </w:r>
          </w:p>
        </w:tc>
      </w:tr>
      <w:tr>
        <w:tblPrEx>
          <w:tblW w:w="9111" w:type="dxa"/>
          <w:jc w:val="center"/>
          <w:tblCellMar>
            <w:top w:w="0" w:type="dxa"/>
            <w:left w:w="108" w:type="dxa"/>
            <w:bottom w:w="0" w:type="dxa"/>
            <w:right w:w="108" w:type="dxa"/>
          </w:tblCellMar>
        </w:tblPrEx>
        <w:trPr>
          <w:gridAfter w:val="1"/>
          <w:wAfter w:w="108" w:type="dxa"/>
          <w:cantSplit/>
          <w:jc w:val="center"/>
        </w:trPr>
        <w:tc>
          <w:tcPr>
            <w:tcW w:w="729" w:type="dxa"/>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10</w:t>
            </w:r>
          </w:p>
        </w:tc>
        <w:tc>
          <w:tcPr>
            <w:tcW w:w="992"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采集与控制单元</w:t>
            </w: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存储</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满足1年以上基数据和产品等数据存储要求</w:t>
            </w:r>
          </w:p>
        </w:tc>
      </w:tr>
      <w:tr>
        <w:tblPrEx>
          <w:tblW w:w="9111" w:type="dxa"/>
          <w:jc w:val="center"/>
          <w:tblCellMar>
            <w:top w:w="0" w:type="dxa"/>
            <w:left w:w="108" w:type="dxa"/>
            <w:bottom w:w="0" w:type="dxa"/>
            <w:right w:w="108" w:type="dxa"/>
          </w:tblCellMar>
        </w:tblPrEx>
        <w:trPr>
          <w:gridAfter w:val="1"/>
          <w:wAfter w:w="108" w:type="dxa"/>
          <w:cantSplit/>
          <w:trHeight w:val="75"/>
          <w:jc w:val="center"/>
        </w:trPr>
        <w:tc>
          <w:tcPr>
            <w:tcW w:w="729" w:type="dxa"/>
            <w:vMerge w:val="restart"/>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11</w:t>
            </w:r>
          </w:p>
        </w:tc>
        <w:tc>
          <w:tcPr>
            <w:tcW w:w="992" w:type="dxa"/>
            <w:gridSpan w:val="2"/>
            <w:vMerge w:val="restart"/>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观测性能</w:t>
            </w:r>
          </w:p>
        </w:tc>
        <w:tc>
          <w:tcPr>
            <w:tcW w:w="1785" w:type="dxa"/>
            <w:gridSpan w:val="2"/>
            <w:vAlign w:val="center"/>
          </w:tcPr>
          <w:p>
            <w:pPr>
              <w:widowControl/>
              <w:jc w:val="center"/>
              <w:rPr>
                <w:rFonts w:ascii="宋体" w:eastAsia="宋体" w:hAnsi="宋体" w:cs="仿宋"/>
                <w:bCs/>
                <w:kern w:val="0"/>
                <w:szCs w:val="21"/>
                <w:highlight w:val="yellow"/>
              </w:rPr>
            </w:pPr>
            <w:r>
              <w:rPr>
                <w:rFonts w:ascii="宋体" w:eastAsia="宋体" w:hAnsi="宋体" w:cs="仿宋" w:hint="eastAsia"/>
                <w:bCs/>
                <w:kern w:val="0"/>
                <w:szCs w:val="21"/>
                <w:highlight w:val="yellow"/>
              </w:rPr>
              <w:t>#相对湿度廓线</w:t>
            </w:r>
          </w:p>
        </w:tc>
        <w:tc>
          <w:tcPr>
            <w:tcW w:w="2966" w:type="dxa"/>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垂直分辨率：</w:t>
            </w:r>
          </w:p>
          <w:p>
            <w:pPr>
              <w:widowControl/>
              <w:jc w:val="left"/>
              <w:rPr>
                <w:rFonts w:ascii="宋体" w:eastAsia="宋体" w:hAnsi="宋体" w:cs="仿宋"/>
                <w:bCs/>
                <w:kern w:val="0"/>
                <w:szCs w:val="21"/>
              </w:rPr>
            </w:pPr>
            <w:r>
              <w:rPr>
                <w:rFonts w:ascii="宋体" w:eastAsia="宋体" w:hAnsi="宋体" w:cs="仿宋" w:hint="eastAsia"/>
                <w:bCs/>
                <w:kern w:val="0"/>
                <w:szCs w:val="21"/>
              </w:rPr>
              <w:t>≤50m（0m～500m）；</w:t>
            </w:r>
          </w:p>
          <w:p>
            <w:pPr>
              <w:widowControl/>
              <w:jc w:val="left"/>
              <w:rPr>
                <w:rFonts w:ascii="宋体" w:eastAsia="宋体" w:hAnsi="宋体" w:cs="仿宋"/>
                <w:bCs/>
                <w:kern w:val="0"/>
                <w:szCs w:val="21"/>
              </w:rPr>
            </w:pPr>
            <w:r>
              <w:rPr>
                <w:rFonts w:ascii="宋体" w:eastAsia="宋体" w:hAnsi="宋体" w:cs="仿宋" w:hint="eastAsia"/>
                <w:bCs/>
                <w:kern w:val="0"/>
                <w:szCs w:val="21"/>
              </w:rPr>
              <w:t>≤100m（500m～2000m）；</w:t>
            </w:r>
          </w:p>
          <w:p>
            <w:pPr>
              <w:widowControl/>
              <w:jc w:val="left"/>
              <w:rPr>
                <w:rFonts w:ascii="宋体" w:eastAsia="宋体" w:hAnsi="宋体" w:cs="仿宋"/>
                <w:bCs/>
                <w:kern w:val="0"/>
                <w:szCs w:val="21"/>
              </w:rPr>
            </w:pPr>
            <w:r>
              <w:rPr>
                <w:rFonts w:ascii="宋体" w:eastAsia="宋体" w:hAnsi="宋体" w:cs="仿宋" w:hint="eastAsia"/>
                <w:bCs/>
                <w:kern w:val="0"/>
                <w:szCs w:val="21"/>
              </w:rPr>
              <w:t>≤250m（2km～10km）</w:t>
            </w:r>
          </w:p>
        </w:tc>
        <w:tc>
          <w:tcPr>
            <w:tcW w:w="2531" w:type="dxa"/>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相对湿度廓线反演误差满足均方根误差：≤15%RH</w:t>
            </w:r>
          </w:p>
        </w:tc>
      </w:tr>
      <w:tr>
        <w:tblPrEx>
          <w:tblW w:w="9111" w:type="dxa"/>
          <w:jc w:val="center"/>
          <w:tblCellMar>
            <w:top w:w="0" w:type="dxa"/>
            <w:left w:w="108" w:type="dxa"/>
            <w:bottom w:w="0" w:type="dxa"/>
            <w:right w:w="108" w:type="dxa"/>
          </w:tblCellMar>
        </w:tblPrEx>
        <w:trPr>
          <w:gridAfter w:val="1"/>
          <w:wAfter w:w="108" w:type="dxa"/>
          <w:cantSplit/>
          <w:trHeight w:val="75"/>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highlight w:val="yellow"/>
              </w:rPr>
            </w:pPr>
            <w:r>
              <w:rPr>
                <w:rFonts w:ascii="宋体" w:eastAsia="宋体" w:hAnsi="宋体" w:cs="仿宋" w:hint="eastAsia"/>
                <w:bCs/>
                <w:kern w:val="0"/>
                <w:szCs w:val="21"/>
                <w:highlight w:val="yellow"/>
              </w:rPr>
              <w:t>#温度廓线</w:t>
            </w:r>
          </w:p>
        </w:tc>
        <w:tc>
          <w:tcPr>
            <w:tcW w:w="2966" w:type="dxa"/>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垂直分辨率：</w:t>
            </w:r>
          </w:p>
          <w:p>
            <w:pPr>
              <w:widowControl/>
              <w:jc w:val="left"/>
              <w:rPr>
                <w:rFonts w:ascii="宋体" w:eastAsia="宋体" w:hAnsi="宋体" w:cs="仿宋"/>
                <w:bCs/>
                <w:kern w:val="0"/>
                <w:szCs w:val="21"/>
              </w:rPr>
            </w:pPr>
            <w:r>
              <w:rPr>
                <w:rFonts w:ascii="宋体" w:eastAsia="宋体" w:hAnsi="宋体" w:cs="仿宋" w:hint="eastAsia"/>
                <w:bCs/>
                <w:kern w:val="0"/>
                <w:szCs w:val="21"/>
              </w:rPr>
              <w:t>≤25m（0m～500m）；</w:t>
            </w:r>
          </w:p>
          <w:p>
            <w:pPr>
              <w:widowControl/>
              <w:jc w:val="left"/>
              <w:rPr>
                <w:rFonts w:ascii="宋体" w:eastAsia="宋体" w:hAnsi="宋体" w:cs="仿宋"/>
                <w:bCs/>
                <w:kern w:val="0"/>
                <w:szCs w:val="21"/>
              </w:rPr>
            </w:pPr>
            <w:r>
              <w:rPr>
                <w:rFonts w:ascii="宋体" w:eastAsia="宋体" w:hAnsi="宋体" w:cs="仿宋" w:hint="eastAsia"/>
                <w:bCs/>
                <w:kern w:val="0"/>
                <w:szCs w:val="21"/>
              </w:rPr>
              <w:t>≤50m（500m～2000m）；</w:t>
            </w:r>
          </w:p>
          <w:p>
            <w:pPr>
              <w:widowControl/>
              <w:jc w:val="left"/>
              <w:rPr>
                <w:rFonts w:ascii="宋体" w:eastAsia="宋体" w:hAnsi="宋体" w:cs="仿宋"/>
                <w:bCs/>
                <w:kern w:val="0"/>
                <w:szCs w:val="21"/>
              </w:rPr>
            </w:pPr>
            <w:r>
              <w:rPr>
                <w:rFonts w:ascii="宋体" w:eastAsia="宋体" w:hAnsi="宋体" w:cs="仿宋" w:hint="eastAsia"/>
                <w:bCs/>
                <w:kern w:val="0"/>
                <w:szCs w:val="21"/>
              </w:rPr>
              <w:t>≤250m（2km～10km）</w:t>
            </w:r>
          </w:p>
        </w:tc>
        <w:tc>
          <w:tcPr>
            <w:tcW w:w="2531" w:type="dxa"/>
            <w:vAlign w:val="center"/>
          </w:tcPr>
          <w:p>
            <w:pPr>
              <w:widowControl/>
              <w:ind w:firstLine="420" w:firstLineChars="200"/>
              <w:jc w:val="left"/>
              <w:rPr>
                <w:rFonts w:ascii="宋体" w:eastAsia="宋体" w:hAnsi="宋体" w:cs="仿宋"/>
                <w:bCs/>
                <w:kern w:val="0"/>
                <w:szCs w:val="21"/>
              </w:rPr>
            </w:pPr>
            <w:r>
              <w:rPr>
                <w:rFonts w:ascii="宋体" w:eastAsia="宋体" w:hAnsi="宋体" w:cs="仿宋" w:hint="eastAsia"/>
                <w:bCs/>
                <w:kern w:val="0"/>
                <w:szCs w:val="21"/>
              </w:rPr>
              <w:t>当高度＞2000m时，均方根误差：≤1.8K；</w:t>
            </w:r>
          </w:p>
          <w:p>
            <w:pPr>
              <w:widowControl/>
              <w:ind w:firstLine="420" w:firstLineChars="200"/>
              <w:jc w:val="left"/>
              <w:rPr>
                <w:rFonts w:ascii="宋体" w:eastAsia="宋体" w:hAnsi="宋体" w:cs="仿宋"/>
                <w:bCs/>
                <w:kern w:val="0"/>
                <w:szCs w:val="21"/>
              </w:rPr>
            </w:pPr>
            <w:r>
              <w:rPr>
                <w:rFonts w:ascii="宋体" w:eastAsia="宋体" w:hAnsi="宋体" w:cs="仿宋" w:hint="eastAsia"/>
                <w:bCs/>
                <w:kern w:val="0"/>
                <w:szCs w:val="21"/>
              </w:rPr>
              <w:t>当高度≤2000m时，均方根误差：≤1K</w:t>
            </w:r>
          </w:p>
        </w:tc>
      </w:tr>
      <w:tr>
        <w:tblPrEx>
          <w:tblW w:w="9111" w:type="dxa"/>
          <w:jc w:val="center"/>
          <w:tblCellMar>
            <w:top w:w="0" w:type="dxa"/>
            <w:left w:w="108" w:type="dxa"/>
            <w:bottom w:w="0" w:type="dxa"/>
            <w:right w:w="108" w:type="dxa"/>
          </w:tblCellMar>
        </w:tblPrEx>
        <w:trPr>
          <w:gridAfter w:val="1"/>
          <w:wAfter w:w="108" w:type="dxa"/>
          <w:cantSplit/>
          <w:trHeight w:val="75"/>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hint="eastAsia"/>
                <w:bCs/>
                <w:kern w:val="0"/>
                <w:szCs w:val="21"/>
                <w:highlight w:val="yellow"/>
              </w:rPr>
            </w:pPr>
            <w:r>
              <w:rPr>
                <w:rFonts w:ascii="宋体" w:eastAsia="宋体" w:hAnsi="宋体" w:cs="仿宋" w:hint="eastAsia"/>
                <w:bCs/>
                <w:kern w:val="0"/>
                <w:szCs w:val="21"/>
                <w:highlight w:val="yellow"/>
              </w:rPr>
              <w:t>#水汽密度廓线</w:t>
            </w:r>
          </w:p>
        </w:tc>
        <w:tc>
          <w:tcPr>
            <w:tcW w:w="2966" w:type="dxa"/>
            <w:vAlign w:val="center"/>
          </w:tcPr>
          <w:p>
            <w:pPr>
              <w:widowControl/>
              <w:jc w:val="left"/>
              <w:rPr>
                <w:rFonts w:ascii="宋体" w:eastAsia="宋体" w:hAnsi="宋体" w:cs="仿宋" w:hint="eastAsia"/>
                <w:bCs/>
                <w:kern w:val="0"/>
                <w:szCs w:val="21"/>
              </w:rPr>
            </w:pPr>
            <w:r>
              <w:rPr>
                <w:rFonts w:ascii="宋体" w:eastAsia="宋体" w:hAnsi="宋体" w:cs="仿宋" w:hint="eastAsia"/>
                <w:bCs/>
                <w:kern w:val="0"/>
                <w:szCs w:val="21"/>
              </w:rPr>
              <w:t>垂直分辨率：</w:t>
            </w:r>
          </w:p>
          <w:p>
            <w:pPr>
              <w:widowControl/>
              <w:jc w:val="left"/>
              <w:rPr>
                <w:rFonts w:ascii="宋体" w:eastAsia="宋体" w:hAnsi="宋体" w:cs="仿宋" w:hint="eastAsia"/>
                <w:bCs/>
                <w:kern w:val="0"/>
                <w:szCs w:val="21"/>
              </w:rPr>
            </w:pPr>
            <w:r>
              <w:rPr>
                <w:rFonts w:ascii="宋体" w:eastAsia="宋体" w:hAnsi="宋体" w:cs="仿宋" w:hint="eastAsia"/>
                <w:bCs/>
                <w:kern w:val="0"/>
                <w:szCs w:val="21"/>
              </w:rPr>
              <w:t>≤50m（0m～500m）；</w:t>
            </w:r>
          </w:p>
          <w:p>
            <w:pPr>
              <w:widowControl/>
              <w:jc w:val="left"/>
              <w:rPr>
                <w:rFonts w:ascii="宋体" w:eastAsia="宋体" w:hAnsi="宋体" w:cs="仿宋" w:hint="eastAsia"/>
                <w:bCs/>
                <w:kern w:val="0"/>
                <w:szCs w:val="21"/>
              </w:rPr>
            </w:pPr>
            <w:r>
              <w:rPr>
                <w:rFonts w:ascii="宋体" w:eastAsia="宋体" w:hAnsi="宋体" w:cs="仿宋" w:hint="eastAsia"/>
                <w:bCs/>
                <w:kern w:val="0"/>
                <w:szCs w:val="21"/>
              </w:rPr>
              <w:t>≤100m（500m～2000m）；</w:t>
            </w:r>
          </w:p>
          <w:p>
            <w:pPr>
              <w:widowControl/>
              <w:jc w:val="left"/>
              <w:rPr>
                <w:rFonts w:ascii="宋体" w:eastAsia="宋体" w:hAnsi="宋体" w:cs="仿宋" w:hint="eastAsia"/>
                <w:bCs/>
                <w:kern w:val="0"/>
                <w:szCs w:val="21"/>
              </w:rPr>
            </w:pPr>
            <w:r>
              <w:rPr>
                <w:rFonts w:ascii="宋体" w:eastAsia="宋体" w:hAnsi="宋体" w:cs="仿宋" w:hint="eastAsia"/>
                <w:bCs/>
                <w:kern w:val="0"/>
                <w:szCs w:val="21"/>
              </w:rPr>
              <w:t>≤250m（2km～10km）</w:t>
            </w:r>
          </w:p>
        </w:tc>
        <w:tc>
          <w:tcPr>
            <w:tcW w:w="2531" w:type="dxa"/>
            <w:vAlign w:val="center"/>
          </w:tcPr>
          <w:p>
            <w:pPr>
              <w:widowControl/>
              <w:jc w:val="left"/>
              <w:rPr>
                <w:rFonts w:ascii="宋体" w:eastAsia="宋体" w:hAnsi="宋体" w:cs="仿宋" w:hint="eastAsia"/>
                <w:bCs/>
                <w:kern w:val="0"/>
                <w:szCs w:val="21"/>
              </w:rPr>
            </w:pPr>
            <w:r>
              <w:rPr>
                <w:rFonts w:ascii="宋体" w:eastAsia="宋体" w:hAnsi="宋体" w:cs="仿宋" w:hint="eastAsia"/>
                <w:bCs/>
                <w:kern w:val="0"/>
                <w:szCs w:val="21"/>
              </w:rPr>
              <w:t>均方根误差≤0.8</w:t>
            </w:r>
            <w:r>
              <w:rPr>
                <w:rFonts w:ascii="Times New Roman" w:eastAsia="宋体" w:hAnsi="Times New Roman" w:cs="Times New Roman"/>
                <w:bCs/>
                <w:kern w:val="0"/>
                <w:szCs w:val="21"/>
              </w:rPr>
              <w:t>g/m</w:t>
            </w:r>
            <w:r>
              <w:rPr>
                <w:rFonts w:ascii="Times New Roman" w:eastAsia="宋体" w:hAnsi="Times New Roman" w:cs="Times New Roman"/>
                <w:bCs/>
                <w:kern w:val="0"/>
                <w:szCs w:val="21"/>
                <w:vertAlign w:val="superscript"/>
              </w:rPr>
              <w:t>3</w:t>
            </w:r>
          </w:p>
        </w:tc>
      </w:tr>
      <w:tr>
        <w:tblPrEx>
          <w:tblW w:w="9111" w:type="dxa"/>
          <w:jc w:val="center"/>
          <w:tblCellMar>
            <w:top w:w="0" w:type="dxa"/>
            <w:left w:w="108" w:type="dxa"/>
            <w:bottom w:w="0" w:type="dxa"/>
            <w:right w:w="108" w:type="dxa"/>
          </w:tblCellMar>
        </w:tblPrEx>
        <w:trPr>
          <w:gridAfter w:val="1"/>
          <w:wAfter w:w="108" w:type="dxa"/>
          <w:cantSplit/>
          <w:trHeight w:val="75"/>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highlight w:val="yellow"/>
              </w:rPr>
            </w:pPr>
            <w:r>
              <w:rPr>
                <w:rFonts w:ascii="宋体" w:eastAsia="宋体" w:hAnsi="宋体" w:cs="仿宋" w:hint="eastAsia"/>
                <w:bCs/>
                <w:kern w:val="0"/>
                <w:szCs w:val="21"/>
                <w:highlight w:val="yellow"/>
              </w:rPr>
              <w:t>#积分水汽含量</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均方根误差≤4mm</w:t>
            </w:r>
          </w:p>
        </w:tc>
      </w:tr>
      <w:tr>
        <w:tblPrEx>
          <w:tblW w:w="9111" w:type="dxa"/>
          <w:jc w:val="center"/>
          <w:tblCellMar>
            <w:top w:w="0" w:type="dxa"/>
            <w:left w:w="108" w:type="dxa"/>
            <w:bottom w:w="0" w:type="dxa"/>
            <w:right w:w="108" w:type="dxa"/>
          </w:tblCellMar>
        </w:tblPrEx>
        <w:trPr>
          <w:gridAfter w:val="1"/>
          <w:wAfter w:w="108" w:type="dxa"/>
          <w:cantSplit/>
          <w:trHeight w:val="75"/>
          <w:jc w:val="center"/>
        </w:trPr>
        <w:tc>
          <w:tcPr>
            <w:tcW w:w="72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12</w:t>
            </w:r>
          </w:p>
        </w:tc>
        <w:tc>
          <w:tcPr>
            <w:tcW w:w="992" w:type="dxa"/>
            <w:gridSpan w:val="2"/>
          </w:tcPr>
          <w:p>
            <w:pPr>
              <w:widowControl/>
              <w:jc w:val="center"/>
              <w:rPr>
                <w:rFonts w:ascii="宋体" w:eastAsia="宋体" w:hAnsi="宋体" w:cs="仿宋"/>
                <w:bCs/>
                <w:kern w:val="0"/>
                <w:szCs w:val="21"/>
              </w:rPr>
            </w:pPr>
            <w:r>
              <w:rPr>
                <w:rFonts w:hint="eastAsia"/>
              </w:rPr>
              <w:t>可靠性</w:t>
            </w:r>
          </w:p>
        </w:tc>
        <w:tc>
          <w:tcPr>
            <w:tcW w:w="1785" w:type="dxa"/>
            <w:gridSpan w:val="2"/>
          </w:tcPr>
          <w:p>
            <w:pPr>
              <w:widowControl/>
              <w:jc w:val="center"/>
              <w:rPr>
                <w:rFonts w:ascii="宋体" w:eastAsia="宋体" w:hAnsi="宋体" w:cs="仿宋"/>
                <w:bCs/>
                <w:kern w:val="0"/>
                <w:szCs w:val="21"/>
              </w:rPr>
            </w:pPr>
            <w:r>
              <w:rPr>
                <w:rFonts w:hint="eastAsia"/>
              </w:rPr>
              <w:t>平均故障间隔时间（MTBF）</w:t>
            </w:r>
          </w:p>
        </w:tc>
        <w:tc>
          <w:tcPr>
            <w:tcW w:w="5497" w:type="dxa"/>
            <w:gridSpan w:val="2"/>
          </w:tcPr>
          <w:p>
            <w:pPr>
              <w:widowControl/>
              <w:jc w:val="left"/>
              <w:rPr>
                <w:rFonts w:ascii="宋体" w:eastAsia="宋体" w:hAnsi="宋体" w:cs="仿宋"/>
                <w:bCs/>
                <w:kern w:val="0"/>
                <w:szCs w:val="21"/>
              </w:rPr>
            </w:pPr>
            <w:r>
              <w:rPr>
                <w:rFonts w:hint="eastAsia"/>
              </w:rPr>
              <w:t>≥2500h</w:t>
            </w:r>
          </w:p>
        </w:tc>
      </w:tr>
      <w:tr>
        <w:tblPrEx>
          <w:tblW w:w="9111" w:type="dxa"/>
          <w:jc w:val="center"/>
          <w:tblCellMar>
            <w:top w:w="0" w:type="dxa"/>
            <w:left w:w="108" w:type="dxa"/>
            <w:bottom w:w="0" w:type="dxa"/>
            <w:right w:w="108" w:type="dxa"/>
          </w:tblCellMar>
        </w:tblPrEx>
        <w:trPr>
          <w:gridAfter w:val="1"/>
          <w:wAfter w:w="108" w:type="dxa"/>
          <w:cantSplit/>
          <w:trHeight w:val="75"/>
          <w:jc w:val="center"/>
        </w:trPr>
        <w:tc>
          <w:tcPr>
            <w:tcW w:w="729" w:type="dxa"/>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13</w:t>
            </w:r>
          </w:p>
        </w:tc>
        <w:tc>
          <w:tcPr>
            <w:tcW w:w="992" w:type="dxa"/>
            <w:gridSpan w:val="2"/>
            <w:vAlign w:val="center"/>
          </w:tcPr>
          <w:p>
            <w:pPr>
              <w:widowControl/>
              <w:jc w:val="center"/>
              <w:rPr>
                <w:rFonts w:ascii="宋体" w:eastAsia="宋体" w:hAnsi="宋体" w:cs="仿宋"/>
                <w:bCs/>
                <w:kern w:val="0"/>
                <w:szCs w:val="21"/>
              </w:rPr>
            </w:pPr>
            <w:r>
              <w:rPr>
                <w:rFonts w:ascii="Times New Roman" w:eastAsia="宋体" w:hint="eastAsia"/>
                <w:szCs w:val="21"/>
              </w:rPr>
              <w:t>维修性</w:t>
            </w:r>
          </w:p>
        </w:tc>
        <w:tc>
          <w:tcPr>
            <w:tcW w:w="1785" w:type="dxa"/>
            <w:gridSpan w:val="2"/>
            <w:vAlign w:val="center"/>
          </w:tcPr>
          <w:p>
            <w:pPr>
              <w:widowControl/>
              <w:jc w:val="center"/>
              <w:rPr>
                <w:rFonts w:ascii="宋体" w:eastAsia="宋体" w:hAnsi="宋体" w:cs="仿宋"/>
                <w:bCs/>
                <w:kern w:val="0"/>
                <w:szCs w:val="21"/>
              </w:rPr>
            </w:pPr>
            <w:r>
              <w:rPr>
                <w:rFonts w:ascii="Times New Roman" w:eastAsia="宋体" w:hint="eastAsia"/>
                <w:szCs w:val="21"/>
              </w:rPr>
              <w:t>平均故障修复时间（</w:t>
            </w:r>
            <w:r>
              <w:rPr>
                <w:rFonts w:ascii="Times New Roman" w:eastAsia="宋体"/>
                <w:szCs w:val="21"/>
              </w:rPr>
              <w:t>MTTR</w:t>
            </w:r>
            <w:r>
              <w:rPr>
                <w:rFonts w:ascii="Times New Roman" w:eastAsia="宋体" w:hint="eastAsia"/>
                <w:szCs w:val="21"/>
              </w:rPr>
              <w:t>）</w:t>
            </w:r>
          </w:p>
        </w:tc>
        <w:tc>
          <w:tcPr>
            <w:tcW w:w="5497" w:type="dxa"/>
            <w:gridSpan w:val="2"/>
            <w:vAlign w:val="center"/>
          </w:tcPr>
          <w:p>
            <w:pPr>
              <w:widowControl/>
              <w:jc w:val="left"/>
              <w:rPr>
                <w:rFonts w:ascii="宋体" w:eastAsia="宋体" w:hAnsi="宋体" w:cs="仿宋"/>
                <w:bCs/>
                <w:kern w:val="0"/>
                <w:szCs w:val="21"/>
              </w:rPr>
            </w:pPr>
            <w:r>
              <w:rPr>
                <w:rFonts w:ascii="Times New Roman" w:eastAsia="宋体" w:hint="eastAsia"/>
                <w:szCs w:val="21"/>
              </w:rPr>
              <w:t>≤</w:t>
            </w:r>
            <w:r>
              <w:rPr>
                <w:rFonts w:ascii="Times New Roman" w:eastAsia="宋体"/>
                <w:szCs w:val="21"/>
              </w:rPr>
              <w:t>0.5h</w:t>
            </w:r>
          </w:p>
        </w:tc>
      </w:tr>
      <w:tr>
        <w:tblPrEx>
          <w:tblW w:w="9111" w:type="dxa"/>
          <w:jc w:val="center"/>
          <w:tblCellMar>
            <w:top w:w="0" w:type="dxa"/>
            <w:left w:w="108" w:type="dxa"/>
            <w:bottom w:w="0" w:type="dxa"/>
            <w:right w:w="108" w:type="dxa"/>
          </w:tblCellMar>
        </w:tblPrEx>
        <w:trPr>
          <w:gridAfter w:val="1"/>
          <w:wAfter w:w="108" w:type="dxa"/>
          <w:cantSplit/>
          <w:trHeight w:val="122"/>
          <w:jc w:val="center"/>
        </w:trPr>
        <w:tc>
          <w:tcPr>
            <w:tcW w:w="729" w:type="dxa"/>
            <w:vMerge w:val="restart"/>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14</w:t>
            </w:r>
          </w:p>
        </w:tc>
        <w:tc>
          <w:tcPr>
            <w:tcW w:w="992" w:type="dxa"/>
            <w:gridSpan w:val="2"/>
            <w:vMerge w:val="restart"/>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环境适应性</w:t>
            </w: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温度</w:t>
            </w:r>
          </w:p>
        </w:tc>
        <w:tc>
          <w:tcPr>
            <w:tcW w:w="5497" w:type="dxa"/>
            <w:gridSpan w:val="2"/>
            <w:vAlign w:val="center"/>
          </w:tcPr>
          <w:p>
            <w:pPr>
              <w:widowControl/>
              <w:jc w:val="left"/>
              <w:rPr>
                <w:rFonts w:ascii="Times New Roman" w:eastAsia="宋体"/>
              </w:rPr>
            </w:pPr>
            <w:r>
              <w:rPr>
                <w:rFonts w:ascii="Times New Roman" w:eastAsia="宋体" w:hint="eastAsia"/>
              </w:rPr>
              <w:t>工作温度：</w:t>
            </w:r>
            <w:r>
              <w:rPr>
                <w:rFonts w:ascii="Times New Roman" w:eastAsia="宋体"/>
              </w:rPr>
              <w:t>−40</w:t>
            </w:r>
            <w:r>
              <w:rPr>
                <w:rFonts w:ascii="Times New Roman" w:eastAsia="宋体" w:hint="eastAsia"/>
              </w:rPr>
              <w:t>℃～</w:t>
            </w:r>
            <w:r>
              <w:rPr>
                <w:rFonts w:ascii="Times New Roman" w:eastAsia="宋体"/>
              </w:rPr>
              <w:t>50</w:t>
            </w:r>
            <w:r>
              <w:rPr>
                <w:rFonts w:ascii="Times New Roman" w:eastAsia="宋体" w:hint="eastAsia"/>
              </w:rPr>
              <w:t>℃（室外设备），</w:t>
            </w:r>
            <w:r>
              <w:rPr>
                <w:rFonts w:ascii="Times New Roman" w:eastAsia="宋体"/>
              </w:rPr>
              <w:t>0</w:t>
            </w:r>
            <w:r>
              <w:rPr>
                <w:rFonts w:ascii="Times New Roman" w:eastAsia="宋体" w:hint="eastAsia"/>
              </w:rPr>
              <w:t>℃～</w:t>
            </w:r>
            <w:r>
              <w:rPr>
                <w:rFonts w:ascii="Times New Roman" w:eastAsia="宋体"/>
              </w:rPr>
              <w:t>40</w:t>
            </w:r>
            <w:r>
              <w:rPr>
                <w:rFonts w:ascii="Times New Roman" w:eastAsia="宋体" w:hint="eastAsia"/>
              </w:rPr>
              <w:t>℃（室内设备）</w:t>
            </w:r>
          </w:p>
          <w:p>
            <w:pPr>
              <w:widowControl/>
              <w:jc w:val="left"/>
              <w:rPr>
                <w:rFonts w:ascii="宋体" w:eastAsia="宋体" w:hAnsi="宋体" w:cs="仿宋"/>
                <w:bCs/>
                <w:kern w:val="0"/>
                <w:szCs w:val="21"/>
              </w:rPr>
            </w:pPr>
            <w:r>
              <w:rPr>
                <w:rFonts w:ascii="宋体" w:eastAsia="宋体" w:hAnsi="宋体" w:cs="仿宋" w:hint="eastAsia"/>
                <w:bCs/>
                <w:kern w:val="0"/>
                <w:szCs w:val="21"/>
              </w:rPr>
              <w:t>贮存温度：</w:t>
            </w:r>
            <w:r>
              <w:rPr>
                <w:rFonts w:ascii="MS Gothic" w:eastAsia="MS Gothic" w:hAnsi="MS Gothic" w:cs="MS Gothic" w:hint="eastAsia"/>
                <w:bCs/>
                <w:kern w:val="0"/>
                <w:szCs w:val="21"/>
              </w:rPr>
              <w:t>−</w:t>
            </w:r>
            <w:r>
              <w:rPr>
                <w:rFonts w:ascii="宋体" w:eastAsia="宋体" w:hAnsi="宋体" w:cs="仿宋"/>
                <w:bCs/>
                <w:kern w:val="0"/>
                <w:szCs w:val="21"/>
              </w:rPr>
              <w:t>50</w:t>
            </w:r>
            <w:r>
              <w:rPr>
                <w:rFonts w:ascii="宋体" w:eastAsia="宋体" w:hAnsi="宋体" w:cs="仿宋" w:hint="eastAsia"/>
                <w:bCs/>
                <w:kern w:val="0"/>
                <w:szCs w:val="21"/>
              </w:rPr>
              <w:t>℃～</w:t>
            </w:r>
            <w:r>
              <w:rPr>
                <w:rFonts w:ascii="宋体" w:eastAsia="宋体" w:hAnsi="宋体" w:cs="仿宋"/>
                <w:bCs/>
                <w:kern w:val="0"/>
                <w:szCs w:val="21"/>
              </w:rPr>
              <w:t>55</w:t>
            </w:r>
            <w:r>
              <w:rPr>
                <w:rFonts w:ascii="宋体" w:eastAsia="宋体" w:hAnsi="宋体" w:cs="仿宋" w:hint="eastAsia"/>
                <w:bCs/>
                <w:kern w:val="0"/>
                <w:szCs w:val="21"/>
              </w:rPr>
              <w:t>℃。</w:t>
            </w:r>
          </w:p>
        </w:tc>
      </w:tr>
      <w:tr>
        <w:tblPrEx>
          <w:tblW w:w="9111" w:type="dxa"/>
          <w:jc w:val="center"/>
          <w:tblCellMar>
            <w:top w:w="0" w:type="dxa"/>
            <w:left w:w="108" w:type="dxa"/>
            <w:bottom w:w="0" w:type="dxa"/>
            <w:right w:w="108" w:type="dxa"/>
          </w:tblCellMar>
        </w:tblPrEx>
        <w:trPr>
          <w:gridAfter w:val="1"/>
          <w:wAfter w:w="108" w:type="dxa"/>
          <w:cantSplit/>
          <w:trHeight w:val="122"/>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恒定湿热</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在相对湿度95%，环境温度35℃的湿热条件下设备正常运行48h</w:t>
            </w:r>
          </w:p>
        </w:tc>
      </w:tr>
      <w:tr>
        <w:tblPrEx>
          <w:tblW w:w="9111" w:type="dxa"/>
          <w:jc w:val="center"/>
          <w:tblCellMar>
            <w:top w:w="0" w:type="dxa"/>
            <w:left w:w="108" w:type="dxa"/>
            <w:bottom w:w="0" w:type="dxa"/>
            <w:right w:w="108" w:type="dxa"/>
          </w:tblCellMar>
        </w:tblPrEx>
        <w:trPr>
          <w:gridAfter w:val="1"/>
          <w:wAfter w:w="108" w:type="dxa"/>
          <w:cantSplit/>
          <w:trHeight w:val="122"/>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气压</w:t>
            </w:r>
          </w:p>
        </w:tc>
        <w:tc>
          <w:tcPr>
            <w:tcW w:w="5497" w:type="dxa"/>
            <w:gridSpan w:val="2"/>
            <w:vAlign w:val="center"/>
          </w:tcPr>
          <w:p>
            <w:pPr>
              <w:widowControl/>
              <w:jc w:val="left"/>
              <w:rPr>
                <w:rFonts w:ascii="宋体" w:eastAsia="宋体" w:hAnsi="宋体" w:cs="仿宋"/>
                <w:bCs/>
                <w:kern w:val="0"/>
                <w:szCs w:val="21"/>
              </w:rPr>
            </w:pPr>
            <w:r>
              <w:rPr>
                <w:rFonts w:ascii="Times New Roman" w:eastAsia="宋体"/>
              </w:rPr>
              <w:t>500</w:t>
            </w:r>
            <w:r>
              <w:rPr>
                <w:rFonts w:ascii="Times New Roman" w:eastAsia="宋体" w:hint="eastAsia"/>
              </w:rPr>
              <w:t>～</w:t>
            </w:r>
            <w:r>
              <w:rPr>
                <w:rFonts w:ascii="Times New Roman" w:eastAsia="宋体"/>
              </w:rPr>
              <w:t>1060hPa</w:t>
            </w:r>
          </w:p>
        </w:tc>
      </w:tr>
      <w:tr>
        <w:tblPrEx>
          <w:tblW w:w="9111" w:type="dxa"/>
          <w:jc w:val="center"/>
          <w:tblCellMar>
            <w:top w:w="0" w:type="dxa"/>
            <w:left w:w="108" w:type="dxa"/>
            <w:bottom w:w="0" w:type="dxa"/>
            <w:right w:w="108" w:type="dxa"/>
          </w:tblCellMar>
        </w:tblPrEx>
        <w:trPr>
          <w:gridAfter w:val="1"/>
          <w:wAfter w:w="108" w:type="dxa"/>
          <w:cantSplit/>
          <w:trHeight w:val="122"/>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外壳防护</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室外设备外壳防护等级应达到IP55</w:t>
            </w:r>
          </w:p>
        </w:tc>
      </w:tr>
      <w:tr>
        <w:tblPrEx>
          <w:tblW w:w="9111" w:type="dxa"/>
          <w:jc w:val="center"/>
          <w:tblCellMar>
            <w:top w:w="0" w:type="dxa"/>
            <w:left w:w="108" w:type="dxa"/>
            <w:bottom w:w="0" w:type="dxa"/>
            <w:right w:w="108" w:type="dxa"/>
          </w:tblCellMar>
        </w:tblPrEx>
        <w:trPr>
          <w:gridAfter w:val="1"/>
          <w:wAfter w:w="108" w:type="dxa"/>
          <w:cantSplit/>
          <w:trHeight w:val="122"/>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抗盐雾腐</w:t>
            </w:r>
          </w:p>
          <w:p>
            <w:pPr>
              <w:widowControl/>
              <w:jc w:val="center"/>
              <w:rPr>
                <w:rFonts w:ascii="宋体" w:eastAsia="宋体" w:hAnsi="宋体" w:cs="仿宋"/>
                <w:bCs/>
                <w:kern w:val="0"/>
                <w:szCs w:val="21"/>
              </w:rPr>
            </w:pPr>
            <w:r>
              <w:rPr>
                <w:rFonts w:ascii="宋体" w:eastAsia="宋体" w:hAnsi="宋体" w:cs="仿宋" w:hint="eastAsia"/>
                <w:bCs/>
                <w:kern w:val="0"/>
                <w:szCs w:val="21"/>
              </w:rPr>
              <w:t>蚀</w:t>
            </w:r>
          </w:p>
        </w:tc>
        <w:tc>
          <w:tcPr>
            <w:tcW w:w="5497" w:type="dxa"/>
            <w:gridSpan w:val="2"/>
            <w:vAlign w:val="center"/>
          </w:tcPr>
          <w:p>
            <w:pPr>
              <w:widowControl/>
              <w:jc w:val="left"/>
              <w:rPr>
                <w:rFonts w:ascii="宋体" w:eastAsia="宋体" w:hAnsi="宋体" w:cs="仿宋"/>
                <w:bCs/>
                <w:kern w:val="0"/>
                <w:szCs w:val="21"/>
              </w:rPr>
            </w:pPr>
            <w:r>
              <w:rPr>
                <w:rFonts w:ascii="Times New Roman" w:eastAsia="宋体" w:hint="eastAsia"/>
              </w:rPr>
              <w:t>外露零件镀层耐</w:t>
            </w:r>
            <w:r>
              <w:rPr>
                <w:rFonts w:ascii="Times New Roman" w:eastAsia="宋体"/>
              </w:rPr>
              <w:t>48</w:t>
            </w:r>
            <w:r>
              <w:rPr>
                <w:rFonts w:ascii="Times New Roman" w:eastAsia="宋体" w:hint="eastAsia"/>
              </w:rPr>
              <w:t>小时盐雾沉降试验</w:t>
            </w:r>
          </w:p>
        </w:tc>
      </w:tr>
      <w:tr>
        <w:tblPrEx>
          <w:tblW w:w="9111" w:type="dxa"/>
          <w:jc w:val="center"/>
          <w:tblCellMar>
            <w:top w:w="0" w:type="dxa"/>
            <w:left w:w="108" w:type="dxa"/>
            <w:bottom w:w="0" w:type="dxa"/>
            <w:right w:w="108" w:type="dxa"/>
          </w:tblCellMar>
        </w:tblPrEx>
        <w:trPr>
          <w:gridAfter w:val="1"/>
          <w:wAfter w:w="108" w:type="dxa"/>
          <w:cantSplit/>
          <w:trHeight w:val="122"/>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生物环境</w:t>
            </w:r>
          </w:p>
        </w:tc>
        <w:tc>
          <w:tcPr>
            <w:tcW w:w="5497" w:type="dxa"/>
            <w:gridSpan w:val="2"/>
            <w:vAlign w:val="center"/>
          </w:tcPr>
          <w:p>
            <w:pPr>
              <w:widowControl/>
              <w:jc w:val="left"/>
              <w:rPr>
                <w:rFonts w:ascii="Times New Roman" w:eastAsia="宋体"/>
              </w:rPr>
            </w:pPr>
            <w:r>
              <w:rPr>
                <w:rFonts w:ascii="Times New Roman" w:eastAsia="宋体" w:hint="eastAsia"/>
              </w:rPr>
              <w:t>设备应采取适当的防霉菌措施。采取适当的措施防止昆虫、动物等的影响，如蜘蛛网、鼠咬、蚁啃等</w:t>
            </w:r>
          </w:p>
        </w:tc>
      </w:tr>
      <w:tr>
        <w:tblPrEx>
          <w:tblW w:w="9111" w:type="dxa"/>
          <w:jc w:val="center"/>
          <w:tblCellMar>
            <w:top w:w="0" w:type="dxa"/>
            <w:left w:w="108" w:type="dxa"/>
            <w:bottom w:w="0" w:type="dxa"/>
            <w:right w:w="108" w:type="dxa"/>
          </w:tblCellMar>
        </w:tblPrEx>
        <w:trPr>
          <w:gridAfter w:val="1"/>
          <w:wAfter w:w="108" w:type="dxa"/>
          <w:cantSplit/>
          <w:jc w:val="center"/>
        </w:trPr>
        <w:tc>
          <w:tcPr>
            <w:tcW w:w="729" w:type="dxa"/>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15</w:t>
            </w:r>
          </w:p>
        </w:tc>
        <w:tc>
          <w:tcPr>
            <w:tcW w:w="992"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机械</w:t>
            </w:r>
          </w:p>
          <w:p>
            <w:pPr>
              <w:widowControl/>
              <w:jc w:val="center"/>
              <w:rPr>
                <w:rFonts w:ascii="宋体" w:eastAsia="宋体" w:hAnsi="宋体" w:cs="仿宋"/>
                <w:bCs/>
                <w:kern w:val="0"/>
                <w:szCs w:val="21"/>
              </w:rPr>
            </w:pPr>
            <w:r>
              <w:rPr>
                <w:rFonts w:ascii="宋体" w:eastAsia="宋体" w:hAnsi="宋体" w:cs="仿宋" w:hint="eastAsia"/>
                <w:bCs/>
                <w:kern w:val="0"/>
                <w:szCs w:val="21"/>
              </w:rPr>
              <w:t>条件</w:t>
            </w: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冲击振动</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在产品规定包装条件下，宽带随机振动试验应达到2M3等级（参考标准GB/T 4798.2-2008）</w:t>
            </w:r>
          </w:p>
        </w:tc>
      </w:tr>
      <w:tr>
        <w:tblPrEx>
          <w:tblW w:w="9111" w:type="dxa"/>
          <w:jc w:val="center"/>
          <w:tblCellMar>
            <w:top w:w="0" w:type="dxa"/>
            <w:left w:w="108" w:type="dxa"/>
            <w:bottom w:w="0" w:type="dxa"/>
            <w:right w:w="108" w:type="dxa"/>
          </w:tblCellMar>
        </w:tblPrEx>
        <w:trPr>
          <w:gridAfter w:val="1"/>
          <w:wAfter w:w="108" w:type="dxa"/>
          <w:cantSplit/>
          <w:trHeight w:val="4243"/>
          <w:jc w:val="center"/>
        </w:trPr>
        <w:tc>
          <w:tcPr>
            <w:tcW w:w="729" w:type="dxa"/>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16</w:t>
            </w:r>
          </w:p>
        </w:tc>
        <w:tc>
          <w:tcPr>
            <w:tcW w:w="992"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电磁兼容性</w:t>
            </w: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电磁抗扰度</w:t>
            </w:r>
          </w:p>
        </w:tc>
        <w:tc>
          <w:tcPr>
            <w:tcW w:w="5497" w:type="dxa"/>
            <w:gridSpan w:val="2"/>
            <w:vAlign w:val="center"/>
          </w:tcPr>
          <w:p>
            <w:pPr>
              <w:widowControl/>
              <w:jc w:val="left"/>
              <w:rPr>
                <w:rFonts w:ascii="宋体" w:eastAsia="宋体" w:hAnsi="宋体" w:cs="仿宋"/>
                <w:bCs/>
                <w:kern w:val="0"/>
                <w:szCs w:val="21"/>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518"/>
              <w:gridCol w:w="1028"/>
              <w:gridCol w:w="1004"/>
              <w:gridCol w:w="1721"/>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77"/>
                <w:jc w:val="center"/>
              </w:trPr>
              <w:tc>
                <w:tcPr>
                  <w:tcW w:w="0" w:type="auto"/>
                  <w:vMerge w:val="restart"/>
                  <w:shd w:val="clear" w:color="auto" w:fill="auto"/>
                  <w:vAlign w:val="center"/>
                </w:tcPr>
                <w:p>
                  <w:pPr>
                    <w:widowControl/>
                    <w:jc w:val="center"/>
                    <w:rPr>
                      <w:rFonts w:asciiTheme="minorEastAsia" w:hAnsiTheme="minorEastAsia"/>
                      <w:szCs w:val="21"/>
                    </w:rPr>
                  </w:pPr>
                  <w:r>
                    <w:rPr>
                      <w:rFonts w:asciiTheme="minorEastAsia" w:hAnsiTheme="minorEastAsia" w:hint="eastAsia"/>
                      <w:szCs w:val="21"/>
                    </w:rPr>
                    <w:t>内容</w:t>
                  </w:r>
                </w:p>
              </w:tc>
              <w:tc>
                <w:tcPr>
                  <w:tcW w:w="0" w:type="auto"/>
                  <w:gridSpan w:val="2"/>
                  <w:shd w:val="clear" w:color="auto" w:fill="auto"/>
                  <w:vAlign w:val="center"/>
                </w:tcPr>
                <w:p>
                  <w:pPr>
                    <w:widowControl/>
                    <w:jc w:val="center"/>
                    <w:rPr>
                      <w:rFonts w:asciiTheme="minorEastAsia" w:hAnsiTheme="minorEastAsia"/>
                      <w:szCs w:val="21"/>
                    </w:rPr>
                  </w:pPr>
                  <w:r>
                    <w:rPr>
                      <w:rFonts w:asciiTheme="minorEastAsia" w:hAnsiTheme="minorEastAsia" w:hint="eastAsia"/>
                      <w:szCs w:val="21"/>
                    </w:rPr>
                    <w:t>严酷度等级</w:t>
                  </w:r>
                </w:p>
              </w:tc>
              <w:tc>
                <w:tcPr>
                  <w:tcW w:w="0" w:type="auto"/>
                  <w:vMerge w:val="restart"/>
                  <w:shd w:val="clear" w:color="auto" w:fill="auto"/>
                  <w:vAlign w:val="center"/>
                </w:tcPr>
                <w:p>
                  <w:pPr>
                    <w:widowControl/>
                    <w:jc w:val="center"/>
                    <w:rPr>
                      <w:rFonts w:asciiTheme="minorEastAsia" w:hAnsiTheme="minorEastAsia"/>
                      <w:szCs w:val="21"/>
                    </w:rPr>
                  </w:pPr>
                  <w:r>
                    <w:rPr>
                      <w:rFonts w:asciiTheme="minorEastAsia" w:hAnsiTheme="minorEastAsia" w:hint="eastAsia"/>
                      <w:szCs w:val="21"/>
                    </w:rPr>
                    <w:t>参考标准</w:t>
                  </w:r>
                </w:p>
              </w:tc>
            </w:tr>
            <w:tr>
              <w:tblPrEx>
                <w:tblW w:w="0" w:type="auto"/>
                <w:jc w:val="center"/>
                <w:tblCellMar>
                  <w:top w:w="0" w:type="dxa"/>
                  <w:left w:w="108" w:type="dxa"/>
                  <w:bottom w:w="0" w:type="dxa"/>
                  <w:right w:w="108" w:type="dxa"/>
                </w:tblCellMar>
              </w:tblPrEx>
              <w:trPr>
                <w:trHeight w:val="346"/>
                <w:jc w:val="center"/>
              </w:trPr>
              <w:tc>
                <w:tcPr>
                  <w:tcW w:w="0" w:type="auto"/>
                  <w:vMerge/>
                  <w:vAlign w:val="center"/>
                </w:tcPr>
                <w:p>
                  <w:pPr>
                    <w:widowControl/>
                    <w:jc w:val="left"/>
                    <w:rPr>
                      <w:rFonts w:asciiTheme="minorEastAsia" w:hAnsiTheme="minorEastAsia"/>
                      <w:szCs w:val="21"/>
                    </w:rPr>
                  </w:pPr>
                </w:p>
              </w:tc>
              <w:tc>
                <w:tcPr>
                  <w:tcW w:w="0" w:type="auto"/>
                  <w:shd w:val="clear" w:color="auto" w:fill="auto"/>
                  <w:vAlign w:val="center"/>
                </w:tcPr>
                <w:p>
                  <w:pPr>
                    <w:widowControl/>
                    <w:jc w:val="center"/>
                    <w:rPr>
                      <w:rFonts w:asciiTheme="minorEastAsia" w:hAnsiTheme="minorEastAsia"/>
                      <w:szCs w:val="21"/>
                    </w:rPr>
                  </w:pPr>
                  <w:r>
                    <w:rPr>
                      <w:rFonts w:asciiTheme="minorEastAsia" w:hAnsiTheme="minorEastAsia" w:hint="eastAsia"/>
                      <w:szCs w:val="21"/>
                    </w:rPr>
                    <w:t>交流电源端口</w:t>
                  </w:r>
                </w:p>
              </w:tc>
              <w:tc>
                <w:tcPr>
                  <w:tcW w:w="0" w:type="auto"/>
                  <w:shd w:val="clear" w:color="auto" w:fill="auto"/>
                  <w:vAlign w:val="center"/>
                </w:tcPr>
                <w:p>
                  <w:pPr>
                    <w:widowControl/>
                    <w:jc w:val="center"/>
                    <w:rPr>
                      <w:rFonts w:asciiTheme="minorEastAsia" w:hAnsiTheme="minorEastAsia"/>
                      <w:szCs w:val="21"/>
                    </w:rPr>
                  </w:pPr>
                  <w:r>
                    <w:rPr>
                      <w:rFonts w:asciiTheme="minorEastAsia" w:hAnsiTheme="minorEastAsia" w:hint="eastAsia"/>
                      <w:szCs w:val="21"/>
                    </w:rPr>
                    <w:t>数据端口</w:t>
                  </w:r>
                </w:p>
              </w:tc>
              <w:tc>
                <w:tcPr>
                  <w:tcW w:w="0" w:type="auto"/>
                  <w:vMerge/>
                  <w:vAlign w:val="center"/>
                </w:tcPr>
                <w:p>
                  <w:pPr>
                    <w:widowControl/>
                    <w:jc w:val="left"/>
                    <w:rPr>
                      <w:rFonts w:asciiTheme="minorEastAsia" w:hAnsiTheme="minorEastAsia"/>
                      <w:szCs w:val="21"/>
                    </w:rPr>
                  </w:pPr>
                </w:p>
              </w:tc>
            </w:tr>
            <w:tr>
              <w:tblPrEx>
                <w:tblW w:w="0" w:type="auto"/>
                <w:jc w:val="center"/>
                <w:tblCellMar>
                  <w:top w:w="0" w:type="dxa"/>
                  <w:left w:w="108" w:type="dxa"/>
                  <w:bottom w:w="0" w:type="dxa"/>
                  <w:right w:w="108" w:type="dxa"/>
                </w:tblCellMar>
              </w:tblPrEx>
              <w:trPr>
                <w:trHeight w:val="337"/>
                <w:jc w:val="center"/>
              </w:trPr>
              <w:tc>
                <w:tcPr>
                  <w:tcW w:w="0" w:type="auto"/>
                  <w:vMerge w:val="restart"/>
                  <w:shd w:val="clear" w:color="auto" w:fill="auto"/>
                  <w:vAlign w:val="center"/>
                </w:tcPr>
                <w:p>
                  <w:pPr>
                    <w:widowControl/>
                    <w:jc w:val="center"/>
                    <w:rPr>
                      <w:rFonts w:asciiTheme="minorEastAsia" w:hAnsiTheme="minorEastAsia"/>
                      <w:szCs w:val="21"/>
                    </w:rPr>
                  </w:pPr>
                  <w:r>
                    <w:rPr>
                      <w:rFonts w:asciiTheme="minorEastAsia" w:hAnsiTheme="minorEastAsia" w:hint="eastAsia"/>
                      <w:szCs w:val="21"/>
                    </w:rPr>
                    <w:t>浪涌（冲击）抗扰度</w:t>
                  </w:r>
                </w:p>
              </w:tc>
              <w:tc>
                <w:tcPr>
                  <w:tcW w:w="0" w:type="auto"/>
                  <w:shd w:val="clear" w:color="auto" w:fill="auto"/>
                  <w:vAlign w:val="center"/>
                </w:tcPr>
                <w:p>
                  <w:pPr>
                    <w:widowControl/>
                    <w:jc w:val="center"/>
                    <w:rPr>
                      <w:rFonts w:asciiTheme="minorEastAsia" w:hAnsiTheme="minorEastAsia"/>
                      <w:szCs w:val="21"/>
                    </w:rPr>
                  </w:pPr>
                  <w:r>
                    <w:rPr>
                      <w:rFonts w:asciiTheme="minorEastAsia" w:hAnsiTheme="minorEastAsia" w:hint="eastAsia"/>
                      <w:szCs w:val="21"/>
                    </w:rPr>
                    <w:t>线对线：</w:t>
                  </w:r>
                  <w:r>
                    <w:rPr>
                      <w:rFonts w:asciiTheme="minorEastAsia" w:hAnsiTheme="minorEastAsia"/>
                      <w:szCs w:val="21"/>
                    </w:rPr>
                    <w:t>2</w:t>
                  </w:r>
                  <w:r>
                    <w:rPr>
                      <w:rFonts w:asciiTheme="minorEastAsia" w:hAnsiTheme="minorEastAsia" w:hint="eastAsia"/>
                      <w:szCs w:val="21"/>
                    </w:rPr>
                    <w:t>级</w:t>
                  </w:r>
                </w:p>
              </w:tc>
              <w:tc>
                <w:tcPr>
                  <w:tcW w:w="0" w:type="auto"/>
                  <w:shd w:val="clear" w:color="auto" w:fill="auto"/>
                  <w:vAlign w:val="center"/>
                </w:tcPr>
                <w:p>
                  <w:pPr>
                    <w:widowControl/>
                    <w:jc w:val="center"/>
                    <w:rPr>
                      <w:rFonts w:asciiTheme="minorEastAsia" w:hAnsiTheme="minorEastAsia"/>
                      <w:szCs w:val="21"/>
                    </w:rPr>
                  </w:pPr>
                  <w:r>
                    <w:rPr>
                      <w:rFonts w:asciiTheme="minorEastAsia" w:hAnsiTheme="minorEastAsia" w:hint="eastAsia"/>
                      <w:szCs w:val="21"/>
                    </w:rPr>
                    <w:t>线对线：</w:t>
                  </w:r>
                  <w:r>
                    <w:rPr>
                      <w:rFonts w:asciiTheme="minorEastAsia" w:hAnsiTheme="minorEastAsia"/>
                      <w:szCs w:val="21"/>
                    </w:rPr>
                    <w:t>2</w:t>
                  </w:r>
                  <w:r>
                    <w:rPr>
                      <w:rFonts w:asciiTheme="minorEastAsia" w:hAnsiTheme="minorEastAsia" w:hint="eastAsia"/>
                      <w:szCs w:val="21"/>
                    </w:rPr>
                    <w:t>级</w:t>
                  </w:r>
                </w:p>
              </w:tc>
              <w:tc>
                <w:tcPr>
                  <w:tcW w:w="0" w:type="auto"/>
                  <w:vMerge w:val="restart"/>
                  <w:shd w:val="clear" w:color="auto" w:fill="auto"/>
                  <w:vAlign w:val="center"/>
                </w:tcPr>
                <w:p>
                  <w:pPr>
                    <w:widowControl/>
                    <w:jc w:val="center"/>
                    <w:rPr>
                      <w:rFonts w:asciiTheme="minorEastAsia" w:hAnsiTheme="minorEastAsia"/>
                      <w:szCs w:val="21"/>
                    </w:rPr>
                  </w:pPr>
                  <w:r>
                    <w:rPr>
                      <w:rFonts w:asciiTheme="minorEastAsia" w:hAnsiTheme="minorEastAsia"/>
                      <w:szCs w:val="21"/>
                    </w:rPr>
                    <w:t>GB/T 17626.5-2008</w:t>
                  </w:r>
                </w:p>
              </w:tc>
            </w:tr>
            <w:tr>
              <w:tblPrEx>
                <w:tblW w:w="0" w:type="auto"/>
                <w:jc w:val="center"/>
                <w:tblCellMar>
                  <w:top w:w="0" w:type="dxa"/>
                  <w:left w:w="108" w:type="dxa"/>
                  <w:bottom w:w="0" w:type="dxa"/>
                  <w:right w:w="108" w:type="dxa"/>
                </w:tblCellMar>
              </w:tblPrEx>
              <w:trPr>
                <w:trHeight w:val="346"/>
                <w:jc w:val="center"/>
              </w:trPr>
              <w:tc>
                <w:tcPr>
                  <w:tcW w:w="0" w:type="auto"/>
                  <w:vMerge/>
                  <w:vAlign w:val="center"/>
                </w:tcPr>
                <w:p>
                  <w:pPr>
                    <w:widowControl/>
                    <w:jc w:val="left"/>
                    <w:rPr>
                      <w:rFonts w:asciiTheme="minorEastAsia" w:hAnsiTheme="minorEastAsia"/>
                      <w:szCs w:val="21"/>
                    </w:rPr>
                  </w:pPr>
                </w:p>
              </w:tc>
              <w:tc>
                <w:tcPr>
                  <w:tcW w:w="0" w:type="auto"/>
                  <w:shd w:val="clear" w:color="auto" w:fill="auto"/>
                  <w:vAlign w:val="center"/>
                </w:tcPr>
                <w:p>
                  <w:pPr>
                    <w:widowControl/>
                    <w:jc w:val="center"/>
                    <w:rPr>
                      <w:rFonts w:asciiTheme="minorEastAsia" w:hAnsiTheme="minorEastAsia"/>
                      <w:szCs w:val="21"/>
                    </w:rPr>
                  </w:pPr>
                  <w:r>
                    <w:rPr>
                      <w:rFonts w:asciiTheme="minorEastAsia" w:hAnsiTheme="minorEastAsia" w:hint="eastAsia"/>
                      <w:szCs w:val="21"/>
                    </w:rPr>
                    <w:t>线对地：</w:t>
                  </w:r>
                  <w:r>
                    <w:rPr>
                      <w:rFonts w:asciiTheme="minorEastAsia" w:hAnsiTheme="minorEastAsia"/>
                      <w:szCs w:val="21"/>
                    </w:rPr>
                    <w:t>3</w:t>
                  </w:r>
                  <w:r>
                    <w:rPr>
                      <w:rFonts w:asciiTheme="minorEastAsia" w:hAnsiTheme="minorEastAsia" w:hint="eastAsia"/>
                      <w:szCs w:val="21"/>
                    </w:rPr>
                    <w:t>级</w:t>
                  </w:r>
                </w:p>
              </w:tc>
              <w:tc>
                <w:tcPr>
                  <w:tcW w:w="0" w:type="auto"/>
                  <w:shd w:val="clear" w:color="auto" w:fill="auto"/>
                  <w:vAlign w:val="center"/>
                </w:tcPr>
                <w:p>
                  <w:pPr>
                    <w:widowControl/>
                    <w:jc w:val="center"/>
                    <w:rPr>
                      <w:rFonts w:asciiTheme="minorEastAsia" w:hAnsiTheme="minorEastAsia"/>
                      <w:szCs w:val="21"/>
                    </w:rPr>
                  </w:pPr>
                  <w:r>
                    <w:rPr>
                      <w:rFonts w:asciiTheme="minorEastAsia" w:hAnsiTheme="minorEastAsia" w:hint="eastAsia"/>
                      <w:szCs w:val="21"/>
                    </w:rPr>
                    <w:t>线对地：</w:t>
                  </w:r>
                  <w:r>
                    <w:rPr>
                      <w:rFonts w:asciiTheme="minorEastAsia" w:hAnsiTheme="minorEastAsia"/>
                      <w:szCs w:val="21"/>
                    </w:rPr>
                    <w:t>3</w:t>
                  </w:r>
                  <w:r>
                    <w:rPr>
                      <w:rFonts w:asciiTheme="minorEastAsia" w:hAnsiTheme="minorEastAsia" w:hint="eastAsia"/>
                      <w:szCs w:val="21"/>
                    </w:rPr>
                    <w:t>级</w:t>
                  </w:r>
                </w:p>
              </w:tc>
              <w:tc>
                <w:tcPr>
                  <w:tcW w:w="0" w:type="auto"/>
                  <w:vMerge/>
                  <w:vAlign w:val="center"/>
                </w:tcPr>
                <w:p>
                  <w:pPr>
                    <w:widowControl/>
                    <w:jc w:val="left"/>
                    <w:rPr>
                      <w:rFonts w:asciiTheme="minorEastAsia" w:hAnsiTheme="minorEastAsia"/>
                      <w:szCs w:val="21"/>
                    </w:rPr>
                  </w:pPr>
                </w:p>
              </w:tc>
            </w:tr>
            <w:tr>
              <w:tblPrEx>
                <w:tblW w:w="0" w:type="auto"/>
                <w:jc w:val="center"/>
                <w:tblCellMar>
                  <w:top w:w="0" w:type="dxa"/>
                  <w:left w:w="108" w:type="dxa"/>
                  <w:bottom w:w="0" w:type="dxa"/>
                  <w:right w:w="108" w:type="dxa"/>
                </w:tblCellMar>
              </w:tblPrEx>
              <w:trPr>
                <w:trHeight w:val="518"/>
                <w:jc w:val="center"/>
              </w:trPr>
              <w:tc>
                <w:tcPr>
                  <w:tcW w:w="0" w:type="auto"/>
                  <w:shd w:val="clear" w:color="auto" w:fill="auto"/>
                  <w:vAlign w:val="center"/>
                </w:tcPr>
                <w:p>
                  <w:pPr>
                    <w:widowControl/>
                    <w:jc w:val="center"/>
                    <w:rPr>
                      <w:rFonts w:asciiTheme="minorEastAsia" w:hAnsiTheme="minorEastAsia"/>
                      <w:szCs w:val="21"/>
                    </w:rPr>
                  </w:pPr>
                  <w:r>
                    <w:rPr>
                      <w:rFonts w:asciiTheme="minorEastAsia" w:hAnsiTheme="minorEastAsia" w:hint="eastAsia"/>
                      <w:szCs w:val="21"/>
                    </w:rPr>
                    <w:t>电快速瞬变脉冲群抗扰度</w:t>
                  </w:r>
                </w:p>
              </w:tc>
              <w:tc>
                <w:tcPr>
                  <w:tcW w:w="0" w:type="auto"/>
                  <w:shd w:val="clear" w:color="auto" w:fill="auto"/>
                  <w:vAlign w:val="center"/>
                </w:tcPr>
                <w:p>
                  <w:pPr>
                    <w:widowControl/>
                    <w:jc w:val="center"/>
                    <w:rPr>
                      <w:rFonts w:asciiTheme="minorEastAsia" w:hAnsiTheme="minorEastAsia"/>
                      <w:szCs w:val="21"/>
                    </w:rPr>
                  </w:pPr>
                  <w:r>
                    <w:rPr>
                      <w:rFonts w:asciiTheme="minorEastAsia" w:hAnsiTheme="minorEastAsia"/>
                      <w:szCs w:val="21"/>
                    </w:rPr>
                    <w:t>3</w:t>
                  </w:r>
                  <w:r>
                    <w:rPr>
                      <w:rFonts w:asciiTheme="minorEastAsia" w:hAnsiTheme="minorEastAsia" w:hint="eastAsia"/>
                      <w:szCs w:val="21"/>
                    </w:rPr>
                    <w:t>级</w:t>
                  </w:r>
                </w:p>
              </w:tc>
              <w:tc>
                <w:tcPr>
                  <w:tcW w:w="0" w:type="auto"/>
                  <w:shd w:val="clear" w:color="auto" w:fill="auto"/>
                  <w:vAlign w:val="center"/>
                </w:tcPr>
                <w:p>
                  <w:pPr>
                    <w:widowControl/>
                    <w:jc w:val="center"/>
                    <w:rPr>
                      <w:rFonts w:asciiTheme="minorEastAsia" w:hAnsiTheme="minorEastAsia"/>
                      <w:szCs w:val="21"/>
                    </w:rPr>
                  </w:pPr>
                  <w:r>
                    <w:rPr>
                      <w:rFonts w:asciiTheme="minorEastAsia" w:hAnsiTheme="minorEastAsia"/>
                      <w:szCs w:val="21"/>
                    </w:rPr>
                    <w:t>3</w:t>
                  </w:r>
                  <w:r>
                    <w:rPr>
                      <w:rFonts w:asciiTheme="minorEastAsia" w:hAnsiTheme="minorEastAsia" w:hint="eastAsia"/>
                      <w:szCs w:val="21"/>
                    </w:rPr>
                    <w:t>级</w:t>
                  </w:r>
                </w:p>
              </w:tc>
              <w:tc>
                <w:tcPr>
                  <w:tcW w:w="0" w:type="auto"/>
                  <w:shd w:val="clear" w:color="auto" w:fill="auto"/>
                  <w:vAlign w:val="center"/>
                </w:tcPr>
                <w:p>
                  <w:pPr>
                    <w:widowControl/>
                    <w:jc w:val="center"/>
                    <w:rPr>
                      <w:rFonts w:asciiTheme="minorEastAsia" w:hAnsiTheme="minorEastAsia"/>
                      <w:szCs w:val="21"/>
                    </w:rPr>
                  </w:pPr>
                  <w:r>
                    <w:rPr>
                      <w:rFonts w:asciiTheme="minorEastAsia" w:hAnsiTheme="minorEastAsia"/>
                      <w:szCs w:val="21"/>
                    </w:rPr>
                    <w:t>GB/T 17626.4-2008</w:t>
                  </w:r>
                </w:p>
              </w:tc>
            </w:tr>
            <w:tr>
              <w:tblPrEx>
                <w:tblW w:w="0" w:type="auto"/>
                <w:jc w:val="center"/>
                <w:tblCellMar>
                  <w:top w:w="0" w:type="dxa"/>
                  <w:left w:w="108" w:type="dxa"/>
                  <w:bottom w:w="0" w:type="dxa"/>
                  <w:right w:w="108" w:type="dxa"/>
                </w:tblCellMar>
              </w:tblPrEx>
              <w:trPr>
                <w:trHeight w:val="518"/>
                <w:jc w:val="center"/>
              </w:trPr>
              <w:tc>
                <w:tcPr>
                  <w:tcW w:w="0" w:type="auto"/>
                  <w:shd w:val="clear" w:color="auto" w:fill="auto"/>
                  <w:vAlign w:val="center"/>
                </w:tcPr>
                <w:p>
                  <w:pPr>
                    <w:widowControl/>
                    <w:jc w:val="center"/>
                    <w:rPr>
                      <w:rFonts w:asciiTheme="minorEastAsia" w:hAnsiTheme="minorEastAsia"/>
                      <w:szCs w:val="21"/>
                    </w:rPr>
                  </w:pPr>
                  <w:r>
                    <w:rPr>
                      <w:rFonts w:asciiTheme="minorEastAsia" w:hAnsiTheme="minorEastAsia" w:hint="eastAsia"/>
                      <w:szCs w:val="21"/>
                    </w:rPr>
                    <w:t>静电放电抗扰度</w:t>
                  </w:r>
                </w:p>
              </w:tc>
              <w:tc>
                <w:tcPr>
                  <w:tcW w:w="0" w:type="auto"/>
                  <w:gridSpan w:val="2"/>
                  <w:shd w:val="clear" w:color="auto" w:fill="auto"/>
                  <w:vAlign w:val="center"/>
                </w:tcPr>
                <w:p>
                  <w:pPr>
                    <w:widowControl/>
                    <w:jc w:val="center"/>
                    <w:rPr>
                      <w:rFonts w:asciiTheme="minorEastAsia" w:hAnsiTheme="minorEastAsia"/>
                      <w:szCs w:val="21"/>
                    </w:rPr>
                  </w:pPr>
                  <w:r>
                    <w:rPr>
                      <w:rFonts w:asciiTheme="minorEastAsia" w:hAnsiTheme="minorEastAsia"/>
                      <w:szCs w:val="21"/>
                    </w:rPr>
                    <w:t>2</w:t>
                  </w:r>
                  <w:r>
                    <w:rPr>
                      <w:rFonts w:asciiTheme="minorEastAsia" w:hAnsiTheme="minorEastAsia" w:hint="eastAsia"/>
                      <w:szCs w:val="21"/>
                    </w:rPr>
                    <w:t>级</w:t>
                  </w:r>
                </w:p>
              </w:tc>
              <w:tc>
                <w:tcPr>
                  <w:tcW w:w="0" w:type="auto"/>
                  <w:shd w:val="clear" w:color="auto" w:fill="auto"/>
                  <w:vAlign w:val="center"/>
                </w:tcPr>
                <w:p>
                  <w:pPr>
                    <w:widowControl/>
                    <w:jc w:val="center"/>
                    <w:rPr>
                      <w:rFonts w:asciiTheme="minorEastAsia" w:hAnsiTheme="minorEastAsia"/>
                      <w:szCs w:val="21"/>
                    </w:rPr>
                  </w:pPr>
                  <w:r>
                    <w:rPr>
                      <w:rFonts w:asciiTheme="minorEastAsia" w:hAnsiTheme="minorEastAsia"/>
                      <w:szCs w:val="21"/>
                    </w:rPr>
                    <w:t>GB/T 17626.2-2006</w:t>
                  </w:r>
                </w:p>
              </w:tc>
            </w:tr>
          </w:tbl>
          <w:p>
            <w:pPr>
              <w:widowControl/>
              <w:jc w:val="left"/>
              <w:rPr>
                <w:rFonts w:ascii="宋体" w:eastAsia="宋体" w:hAnsi="宋体" w:cs="仿宋"/>
                <w:bCs/>
                <w:kern w:val="0"/>
                <w:szCs w:val="21"/>
              </w:rPr>
            </w:pPr>
          </w:p>
        </w:tc>
      </w:tr>
      <w:tr>
        <w:tblPrEx>
          <w:tblW w:w="9111" w:type="dxa"/>
          <w:jc w:val="center"/>
          <w:tblCellMar>
            <w:top w:w="0" w:type="dxa"/>
            <w:left w:w="108" w:type="dxa"/>
            <w:bottom w:w="0" w:type="dxa"/>
            <w:right w:w="108" w:type="dxa"/>
          </w:tblCellMar>
        </w:tblPrEx>
        <w:trPr>
          <w:gridAfter w:val="1"/>
          <w:wAfter w:w="108" w:type="dxa"/>
          <w:cantSplit/>
          <w:trHeight w:val="307"/>
          <w:jc w:val="center"/>
        </w:trPr>
        <w:tc>
          <w:tcPr>
            <w:tcW w:w="729" w:type="dxa"/>
            <w:vMerge w:val="restart"/>
            <w:vAlign w:val="center"/>
          </w:tcPr>
          <w:p>
            <w:pPr>
              <w:tabs>
                <w:tab w:val="left" w:pos="3119"/>
              </w:tabs>
              <w:jc w:val="center"/>
              <w:rPr>
                <w:rFonts w:ascii="宋体" w:eastAsia="宋体" w:hAnsi="宋体" w:cs="仿宋"/>
                <w:bCs/>
                <w:kern w:val="0"/>
                <w:szCs w:val="21"/>
              </w:rPr>
            </w:pPr>
            <w:r>
              <w:rPr>
                <w:rFonts w:ascii="宋体" w:eastAsia="宋体" w:hAnsi="宋体" w:cs="仿宋" w:hint="eastAsia"/>
                <w:bCs/>
                <w:kern w:val="0"/>
                <w:szCs w:val="21"/>
              </w:rPr>
              <w:t>17</w:t>
            </w:r>
          </w:p>
        </w:tc>
        <w:tc>
          <w:tcPr>
            <w:tcW w:w="992" w:type="dxa"/>
            <w:gridSpan w:val="2"/>
            <w:vMerge w:val="restart"/>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其他</w:t>
            </w: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天线罩性能</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天线罩碰撞防护能力满足GB/T20138-2006中IK07防护等级，具有雨、雪、尘土等防护作用</w:t>
            </w:r>
          </w:p>
        </w:tc>
      </w:tr>
      <w:tr>
        <w:tblPrEx>
          <w:tblW w:w="9111" w:type="dxa"/>
          <w:jc w:val="center"/>
          <w:tblCellMar>
            <w:top w:w="0" w:type="dxa"/>
            <w:left w:w="108" w:type="dxa"/>
            <w:bottom w:w="0" w:type="dxa"/>
            <w:right w:w="108" w:type="dxa"/>
          </w:tblCellMar>
        </w:tblPrEx>
        <w:trPr>
          <w:gridAfter w:val="1"/>
          <w:wAfter w:w="108" w:type="dxa"/>
          <w:cantSplit/>
          <w:trHeight w:val="441"/>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自动观测</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投标产品具备无人值守观测方式，要求投标产品具备内定标技术，实现自动定标观测能力</w:t>
            </w:r>
          </w:p>
        </w:tc>
      </w:tr>
      <w:tr>
        <w:tblPrEx>
          <w:tblW w:w="9111" w:type="dxa"/>
          <w:jc w:val="center"/>
          <w:tblCellMar>
            <w:top w:w="0" w:type="dxa"/>
            <w:left w:w="108" w:type="dxa"/>
            <w:bottom w:w="0" w:type="dxa"/>
            <w:right w:w="108" w:type="dxa"/>
          </w:tblCellMar>
        </w:tblPrEx>
        <w:trPr>
          <w:gridAfter w:val="1"/>
          <w:wAfter w:w="108" w:type="dxa"/>
          <w:cantSplit/>
          <w:trHeight w:val="441"/>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vAlign w:val="center"/>
          </w:tcPr>
          <w:p>
            <w:pPr>
              <w:widowControl/>
              <w:jc w:val="center"/>
              <w:rPr>
                <w:rFonts w:ascii="宋体" w:eastAsia="宋体" w:hAnsi="宋体" w:cs="仿宋"/>
                <w:bCs/>
                <w:kern w:val="0"/>
                <w:szCs w:val="21"/>
              </w:rPr>
            </w:pPr>
            <w:r>
              <w:rPr>
                <w:rFonts w:ascii="宋体" w:eastAsia="宋体" w:hAnsi="宋体" w:cs="仿宋" w:hint="eastAsia"/>
                <w:bCs/>
                <w:kern w:val="0"/>
                <w:szCs w:val="21"/>
              </w:rPr>
              <w:t>设计寿命</w:t>
            </w:r>
          </w:p>
        </w:tc>
        <w:tc>
          <w:tcPr>
            <w:tcW w:w="5497" w:type="dxa"/>
            <w:gridSpan w:val="2"/>
            <w:vAlign w:val="center"/>
          </w:tcPr>
          <w:p>
            <w:pPr>
              <w:widowControl/>
              <w:jc w:val="left"/>
              <w:rPr>
                <w:rFonts w:ascii="宋体" w:eastAsia="宋体" w:hAnsi="宋体" w:cs="仿宋"/>
                <w:bCs/>
                <w:kern w:val="0"/>
                <w:szCs w:val="21"/>
              </w:rPr>
            </w:pPr>
            <w:r>
              <w:rPr>
                <w:rFonts w:ascii="宋体" w:eastAsia="宋体" w:hAnsi="宋体" w:cs="仿宋" w:hint="eastAsia"/>
                <w:bCs/>
                <w:kern w:val="0"/>
                <w:szCs w:val="21"/>
              </w:rPr>
              <w:t>不小于10年</w:t>
            </w:r>
          </w:p>
        </w:tc>
      </w:tr>
      <w:tr>
        <w:tblPrEx>
          <w:tblW w:w="9111" w:type="dxa"/>
          <w:jc w:val="center"/>
          <w:tblCellMar>
            <w:top w:w="0" w:type="dxa"/>
            <w:left w:w="108" w:type="dxa"/>
            <w:bottom w:w="0" w:type="dxa"/>
            <w:right w:w="108" w:type="dxa"/>
          </w:tblCellMar>
        </w:tblPrEx>
        <w:trPr>
          <w:gridAfter w:val="1"/>
          <w:wAfter w:w="108" w:type="dxa"/>
          <w:cantSplit/>
          <w:trHeight w:val="441"/>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tcPr>
          <w:p>
            <w:pPr>
              <w:widowControl/>
              <w:jc w:val="center"/>
              <w:rPr>
                <w:rFonts w:ascii="宋体" w:eastAsia="宋体" w:hAnsi="宋体" w:cs="仿宋"/>
                <w:bCs/>
                <w:color w:val="FF0000"/>
                <w:kern w:val="0"/>
                <w:szCs w:val="21"/>
              </w:rPr>
            </w:pPr>
            <w:r>
              <w:rPr>
                <w:rFonts w:hint="eastAsia"/>
              </w:rPr>
              <w:t>供电</w:t>
            </w:r>
          </w:p>
        </w:tc>
        <w:tc>
          <w:tcPr>
            <w:tcW w:w="5497" w:type="dxa"/>
            <w:gridSpan w:val="2"/>
          </w:tcPr>
          <w:p>
            <w:pPr>
              <w:widowControl/>
              <w:jc w:val="left"/>
              <w:rPr>
                <w:rFonts w:ascii="宋体" w:eastAsia="宋体" w:hAnsi="宋体" w:cs="仿宋"/>
                <w:bCs/>
                <w:color w:val="FF0000"/>
                <w:kern w:val="0"/>
                <w:szCs w:val="21"/>
              </w:rPr>
            </w:pPr>
            <w:r>
              <w:rPr>
                <w:rFonts w:hint="eastAsia"/>
              </w:rPr>
              <w:t>220V、50Hz，电压变化－15％～10％，频率变化±3％时，系统能正常工作</w:t>
            </w:r>
          </w:p>
        </w:tc>
      </w:tr>
      <w:tr>
        <w:tblPrEx>
          <w:tblW w:w="9111" w:type="dxa"/>
          <w:jc w:val="center"/>
          <w:tblCellMar>
            <w:top w:w="0" w:type="dxa"/>
            <w:left w:w="108" w:type="dxa"/>
            <w:bottom w:w="0" w:type="dxa"/>
            <w:right w:w="108" w:type="dxa"/>
          </w:tblCellMar>
        </w:tblPrEx>
        <w:trPr>
          <w:gridAfter w:val="1"/>
          <w:wAfter w:w="108" w:type="dxa"/>
          <w:cantSplit/>
          <w:trHeight w:val="441"/>
          <w:jc w:val="center"/>
        </w:trPr>
        <w:tc>
          <w:tcPr>
            <w:tcW w:w="729" w:type="dxa"/>
            <w:vMerge/>
            <w:vAlign w:val="center"/>
          </w:tcPr>
          <w:p>
            <w:pPr>
              <w:widowControl/>
              <w:jc w:val="center"/>
              <w:rPr>
                <w:rFonts w:ascii="宋体" w:eastAsia="宋体" w:hAnsi="宋体" w:cs="仿宋"/>
                <w:bCs/>
                <w:kern w:val="0"/>
                <w:szCs w:val="21"/>
              </w:rPr>
            </w:pPr>
          </w:p>
        </w:tc>
        <w:tc>
          <w:tcPr>
            <w:tcW w:w="992" w:type="dxa"/>
            <w:gridSpan w:val="2"/>
            <w:vMerge/>
            <w:vAlign w:val="center"/>
          </w:tcPr>
          <w:p>
            <w:pPr>
              <w:widowControl/>
              <w:jc w:val="center"/>
              <w:rPr>
                <w:rFonts w:ascii="宋体" w:eastAsia="宋体" w:hAnsi="宋体" w:cs="仿宋"/>
                <w:bCs/>
                <w:kern w:val="0"/>
                <w:szCs w:val="21"/>
              </w:rPr>
            </w:pPr>
          </w:p>
        </w:tc>
        <w:tc>
          <w:tcPr>
            <w:tcW w:w="1785" w:type="dxa"/>
            <w:gridSpan w:val="2"/>
          </w:tcPr>
          <w:p>
            <w:pPr>
              <w:widowControl/>
              <w:jc w:val="center"/>
              <w:rPr>
                <w:rFonts w:ascii="宋体" w:eastAsia="宋体" w:hAnsi="宋体" w:cs="仿宋"/>
                <w:bCs/>
                <w:color w:val="FF0000"/>
                <w:kern w:val="0"/>
                <w:szCs w:val="21"/>
              </w:rPr>
            </w:pPr>
            <w:r>
              <w:rPr>
                <w:rFonts w:hint="eastAsia"/>
              </w:rPr>
              <w:t>功耗</w:t>
            </w:r>
          </w:p>
        </w:tc>
        <w:tc>
          <w:tcPr>
            <w:tcW w:w="5497" w:type="dxa"/>
            <w:gridSpan w:val="2"/>
          </w:tcPr>
          <w:p>
            <w:pPr>
              <w:widowControl/>
              <w:jc w:val="left"/>
              <w:rPr>
                <w:rFonts w:hint="eastAsia"/>
              </w:rPr>
            </w:pPr>
            <w:r>
              <w:rPr>
                <w:rFonts w:hint="eastAsia"/>
              </w:rPr>
              <w:t>未开启防雾干燥系统加热模块时，整机功耗应≤600W；</w:t>
            </w:r>
          </w:p>
          <w:p>
            <w:pPr>
              <w:widowControl/>
              <w:jc w:val="left"/>
              <w:rPr>
                <w:rFonts w:ascii="宋体" w:eastAsia="宋体" w:hAnsi="宋体" w:cs="仿宋"/>
                <w:bCs/>
                <w:color w:val="FF0000"/>
                <w:kern w:val="0"/>
                <w:szCs w:val="21"/>
              </w:rPr>
            </w:pPr>
            <w:r>
              <w:rPr>
                <w:rFonts w:hint="eastAsia"/>
              </w:rPr>
              <w:t>最大允许功耗应≤2100W</w:t>
            </w:r>
          </w:p>
        </w:tc>
      </w:tr>
    </w:tbl>
    <w:p>
      <w:pPr>
        <w:spacing w:line="360" w:lineRule="auto"/>
        <w:rPr>
          <w:rFonts w:ascii="宋体" w:hAnsi="宋体"/>
          <w:szCs w:val="21"/>
        </w:rPr>
      </w:pPr>
    </w:p>
    <w:p>
      <w:pPr>
        <w:spacing w:line="360" w:lineRule="auto"/>
        <w:ind w:firstLine="420" w:firstLineChars="200"/>
        <w:rPr>
          <w:rFonts w:ascii="宋体" w:hAnsi="宋体"/>
          <w:szCs w:val="21"/>
        </w:rPr>
      </w:pPr>
      <w:r>
        <w:rPr>
          <w:rFonts w:ascii="宋体" w:hAnsi="宋体" w:hint="eastAsia"/>
          <w:szCs w:val="21"/>
        </w:rPr>
        <w:t>五、检验考核要求</w:t>
      </w:r>
    </w:p>
    <w:p>
      <w:pPr>
        <w:spacing w:line="360" w:lineRule="auto"/>
        <w:ind w:firstLine="420" w:firstLineChars="200"/>
        <w:rPr>
          <w:rFonts w:ascii="宋体" w:eastAsia="宋体" w:hAnsi="宋体" w:cs="仿宋"/>
          <w:szCs w:val="21"/>
        </w:rPr>
      </w:pPr>
      <w:r>
        <w:rPr>
          <w:rFonts w:ascii="宋体" w:eastAsia="宋体" w:hAnsi="宋体" w:cs="仿宋" w:hint="eastAsia"/>
          <w:szCs w:val="21"/>
        </w:rPr>
        <w:t>5.1 设备建设</w:t>
      </w:r>
    </w:p>
    <w:p>
      <w:pPr>
        <w:spacing w:line="360" w:lineRule="auto"/>
        <w:ind w:firstLine="420" w:firstLineChars="200"/>
        <w:rPr>
          <w:rFonts w:ascii="宋体" w:eastAsia="宋体" w:hAnsi="宋体" w:cs="仿宋"/>
          <w:szCs w:val="21"/>
        </w:rPr>
      </w:pPr>
      <w:r>
        <w:rPr>
          <w:rFonts w:ascii="宋体" w:eastAsia="宋体" w:hAnsi="宋体" w:cs="仿宋" w:hint="eastAsia"/>
          <w:szCs w:val="21"/>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pPr>
        <w:spacing w:line="360" w:lineRule="auto"/>
        <w:ind w:firstLine="420" w:firstLineChars="200"/>
        <w:rPr>
          <w:rFonts w:ascii="宋体" w:eastAsia="宋体" w:hAnsi="宋体" w:cs="仿宋"/>
          <w:szCs w:val="21"/>
        </w:rPr>
      </w:pPr>
      <w:r>
        <w:rPr>
          <w:rFonts w:ascii="宋体" w:eastAsia="宋体" w:hAnsi="宋体" w:cs="仿宋" w:hint="eastAsia"/>
          <w:szCs w:val="21"/>
        </w:rPr>
        <w:t>5.2验收要求</w:t>
      </w:r>
    </w:p>
    <w:p>
      <w:pPr>
        <w:spacing w:line="360" w:lineRule="auto"/>
        <w:ind w:firstLine="420" w:firstLineChars="200"/>
        <w:rPr>
          <w:rFonts w:ascii="宋体" w:eastAsia="宋体" w:hAnsi="宋体" w:cs="仿宋"/>
          <w:szCs w:val="21"/>
        </w:rPr>
      </w:pPr>
      <w:r>
        <w:rPr>
          <w:rFonts w:ascii="宋体" w:eastAsia="宋体" w:hAnsi="宋体" w:cs="仿宋" w:hint="eastAsia"/>
          <w:szCs w:val="21"/>
        </w:rPr>
        <w:t>（1）出厂验收</w:t>
      </w:r>
    </w:p>
    <w:p>
      <w:pPr>
        <w:spacing w:line="360" w:lineRule="auto"/>
        <w:ind w:firstLine="420" w:firstLineChars="200"/>
        <w:rPr>
          <w:rFonts w:ascii="宋体" w:eastAsia="宋体" w:hAnsi="宋体" w:cs="仿宋"/>
          <w:szCs w:val="21"/>
        </w:rPr>
      </w:pPr>
      <w:r>
        <w:rPr>
          <w:rFonts w:ascii="宋体" w:eastAsia="宋体" w:hAnsi="宋体" w:cs="仿宋" w:hint="eastAsia"/>
          <w:szCs w:val="21"/>
        </w:rPr>
        <w:t>中标人应在设备出厂前严格按照中国气象局业务规范、相关行业标准及招标文件技术要求组织出厂验收，完成整机性能、关键技术指标、系统功能及连续考机测试，提交全套资质文件、技术资料、校准及检测报告。采购人派员参与验收，验收合格并签署出厂验收报告后方可发货，未通过出厂验收严禁出厂。</w:t>
      </w:r>
    </w:p>
    <w:p>
      <w:pPr>
        <w:widowControl/>
        <w:spacing w:line="360" w:lineRule="auto"/>
        <w:ind w:firstLine="420" w:firstLineChars="200"/>
        <w:rPr>
          <w:rFonts w:ascii="宋体" w:hAnsi="宋体"/>
          <w:szCs w:val="21"/>
        </w:rPr>
      </w:pPr>
      <w:r>
        <w:rPr>
          <w:rFonts w:ascii="宋体" w:hAnsi="宋体"/>
          <w:szCs w:val="21"/>
        </w:rPr>
        <w:t xml:space="preserve">2 </w:t>
      </w:r>
      <w:r>
        <w:rPr>
          <w:rFonts w:ascii="宋体" w:hAnsi="宋体" w:hint="eastAsia"/>
          <w:szCs w:val="21"/>
        </w:rPr>
        <w:t>现场安装验收</w:t>
      </w:r>
    </w:p>
    <w:p>
      <w:pPr>
        <w:widowControl/>
        <w:spacing w:line="360" w:lineRule="auto"/>
        <w:ind w:firstLine="420" w:firstLineChars="200"/>
        <w:jc w:val="left"/>
        <w:rPr>
          <w:rFonts w:ascii="宋体" w:hAnsi="宋体"/>
          <w:szCs w:val="21"/>
          <w:lang w:bidi="ar"/>
        </w:rPr>
      </w:pPr>
      <w:r>
        <w:rPr>
          <w:rFonts w:ascii="宋体" w:hAnsi="宋体" w:hint="eastAsia"/>
          <w:szCs w:val="21"/>
          <w:lang w:bidi="ar"/>
        </w:rPr>
        <w:t>设备到货后，中标人负责完成设备安装就位、基础及塔架施工、线缆敷设、防雷接地、供电及机房配套建设，按气象装备安装规范完成系统安装、标校调试、整机联调及业务数据链路接入测试。安装调试完成后由采购人组织现场安装验收，核查安装工艺、设备状态及系统联调功能，验收合格后方可进入试运行阶段。</w:t>
      </w:r>
    </w:p>
    <w:p>
      <w:pPr>
        <w:widowControl/>
        <w:spacing w:line="360" w:lineRule="auto"/>
        <w:ind w:firstLine="420" w:firstLineChars="200"/>
        <w:rPr>
          <w:rFonts w:ascii="宋体" w:hAnsi="宋体"/>
          <w:szCs w:val="21"/>
        </w:rPr>
      </w:pPr>
      <w:r>
        <w:rPr>
          <w:rFonts w:ascii="宋体" w:hAnsi="宋体"/>
          <w:szCs w:val="21"/>
        </w:rPr>
        <w:t>3.</w:t>
      </w:r>
      <w:r>
        <w:rPr>
          <w:rFonts w:ascii="宋体" w:hAnsi="宋体" w:hint="eastAsia"/>
          <w:szCs w:val="21"/>
        </w:rPr>
        <w:t>试运行验收</w:t>
      </w:r>
    </w:p>
    <w:p>
      <w:pPr>
        <w:widowControl/>
        <w:spacing w:line="360" w:lineRule="auto"/>
        <w:ind w:firstLine="420" w:firstLineChars="200"/>
        <w:jc w:val="left"/>
        <w:rPr>
          <w:rFonts w:ascii="宋体" w:hAnsi="宋体"/>
          <w:szCs w:val="21"/>
          <w:lang w:bidi="ar"/>
        </w:rPr>
      </w:pPr>
      <w:r>
        <w:rPr>
          <w:rFonts w:ascii="宋体" w:hAnsi="宋体" w:hint="eastAsia"/>
          <w:szCs w:val="21"/>
          <w:lang w:bidi="ar"/>
        </w:rPr>
        <w:t>地面观测设备现场调试合格后进入试运行期，试运行周期不少于</w:t>
      </w:r>
      <w:r>
        <w:rPr>
          <w:rFonts w:ascii="宋体" w:hAnsi="宋体"/>
          <w:szCs w:val="21"/>
          <w:lang w:bidi="ar"/>
        </w:rPr>
        <w:t xml:space="preserve"> 90 </w:t>
      </w:r>
      <w:r>
        <w:rPr>
          <w:rFonts w:ascii="宋体" w:hAnsi="宋体" w:hint="eastAsia"/>
          <w:szCs w:val="21"/>
          <w:lang w:bidi="ar"/>
        </w:rPr>
        <w:t>天。试运行期间设备应连续稳定运行，无重大故障停机，观测数据完整率、运行稳定性、产品精度均满足气象业务运行要求。中标人做好运行值守、故障处置、运行台账记录，并完成现场操作及维护培训。试运行期满组织专项验收，验收合格后方可申请最终合同验收。</w:t>
      </w:r>
    </w:p>
    <w:p>
      <w:pPr>
        <w:widowControl/>
        <w:spacing w:line="360" w:lineRule="auto"/>
        <w:ind w:firstLine="420" w:firstLineChars="200"/>
        <w:rPr>
          <w:rFonts w:ascii="宋体" w:hAnsi="宋体"/>
          <w:szCs w:val="21"/>
        </w:rPr>
      </w:pPr>
      <w:r>
        <w:rPr>
          <w:rFonts w:ascii="宋体" w:hAnsi="宋体"/>
          <w:szCs w:val="21"/>
        </w:rPr>
        <w:t>4.</w:t>
      </w:r>
      <w:r>
        <w:rPr>
          <w:rFonts w:ascii="宋体" w:hAnsi="宋体" w:hint="eastAsia"/>
          <w:szCs w:val="21"/>
        </w:rPr>
        <w:t>合同验收</w:t>
      </w:r>
    </w:p>
    <w:p>
      <w:pPr>
        <w:widowControl/>
        <w:spacing w:line="360" w:lineRule="auto"/>
        <w:ind w:firstLine="420" w:firstLineChars="200"/>
        <w:jc w:val="left"/>
        <w:rPr>
          <w:rFonts w:ascii="宋体" w:hAnsi="宋体"/>
          <w:szCs w:val="21"/>
          <w:lang w:bidi="ar"/>
        </w:rPr>
      </w:pPr>
      <w:r>
        <w:rPr>
          <w:rFonts w:ascii="宋体" w:hAnsi="宋体" w:hint="eastAsia"/>
          <w:szCs w:val="21"/>
          <w:lang w:bidi="ar"/>
        </w:rPr>
        <w:t>在出厂、安装、试运行各阶段验收均合格的前提下，组织项目合同最终验收。全面核查设备配置、资料归档、备品备件、技术培训、履约服务及质保承诺等全部合同内容，对照技术参数、行业标准及业务应用要求综合评审，全部满足要求后签署最终验收证书，正式交付投入业务运行，进入质保期。若最终验收仍存在缺项、指标不达标、资料不全等问题，不予通过验收，中标人须限期完成补齐、整改、完善，直至终审合格，相关费用及责任由中标人自行承担。</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六、技术服务和质保期服务要求</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6.1</w:t>
      </w:r>
      <w:r>
        <w:rPr>
          <w:rFonts w:ascii="宋体" w:eastAsia="宋体" w:hAnsi="宋体" w:cs="仿宋" w:hint="eastAsia"/>
          <w:szCs w:val="21"/>
        </w:rPr>
        <w:t>技术服务</w:t>
      </w:r>
    </w:p>
    <w:p>
      <w:pPr>
        <w:spacing w:line="360" w:lineRule="auto"/>
        <w:ind w:firstLine="420" w:firstLineChars="200"/>
        <w:rPr>
          <w:rFonts w:ascii="宋体" w:eastAsia="宋体" w:hAnsi="宋体" w:cs="仿宋"/>
          <w:szCs w:val="21"/>
        </w:rPr>
      </w:pPr>
      <w:r>
        <w:rPr>
          <w:rFonts w:ascii="宋体" w:eastAsia="宋体" w:hAnsi="宋体" w:cs="仿宋" w:hint="eastAsia"/>
          <w:szCs w:val="21"/>
        </w:rPr>
        <w:t>（1）设备供应商需提供详细技术服务方案，包括但不限于：设备安装建设规范、设备工作原理、设备部件结构组成、设备操作手册、设备运行维护手册、设备软件使用手册、相关产品算法说明文档等。</w:t>
      </w:r>
    </w:p>
    <w:p>
      <w:pPr>
        <w:spacing w:line="360" w:lineRule="auto"/>
        <w:ind w:firstLine="420" w:firstLineChars="200"/>
        <w:rPr>
          <w:rFonts w:ascii="宋体" w:eastAsia="宋体" w:hAnsi="宋体" w:cs="仿宋"/>
          <w:szCs w:val="21"/>
        </w:rPr>
      </w:pPr>
      <w:r>
        <w:rPr>
          <w:rFonts w:ascii="宋体" w:eastAsia="宋体" w:hAnsi="宋体" w:cs="仿宋" w:hint="eastAsia"/>
          <w:szCs w:val="21"/>
        </w:rPr>
        <w:t>（2）设备供应商需提供详细售后服务方案，包括设备售后服务组织机构、人员组成、技术支持文档等。其中，售后服务组织机构设置合理，人员技术能力强，技术文档内容全面。</w:t>
      </w:r>
    </w:p>
    <w:p>
      <w:pPr>
        <w:spacing w:line="360" w:lineRule="auto"/>
        <w:ind w:firstLine="420" w:firstLineChars="200"/>
        <w:rPr>
          <w:rFonts w:ascii="宋体" w:eastAsia="宋体" w:hAnsi="宋体" w:cs="仿宋"/>
          <w:szCs w:val="21"/>
        </w:rPr>
      </w:pPr>
      <w:r>
        <w:rPr>
          <w:rFonts w:ascii="宋体" w:eastAsia="宋体" w:hAnsi="宋体" w:cs="仿宋" w:hint="eastAsia"/>
          <w:szCs w:val="21"/>
        </w:rPr>
        <w:t>（3）设备供应商对每套投标产品提供至少2次技术培训，</w:t>
      </w:r>
      <w:r>
        <w:rPr>
          <w:rFonts w:ascii="宋体" w:hAnsi="宋体" w:cs="仿宋" w:hint="eastAsia"/>
          <w:szCs w:val="21"/>
        </w:rPr>
        <w:t>技术培训内容包括：设备工作原理、使用方法、日常维护及一般常见故障的诊断及排除等，并在培训时免费提供完整的技术资料，其中包括使用说明、工作原理、注意事项、安装调试方法和维修指南等。</w:t>
      </w:r>
      <w:r>
        <w:rPr>
          <w:rFonts w:ascii="宋体" w:eastAsia="宋体" w:hAnsi="宋体" w:cs="仿宋" w:hint="eastAsia"/>
          <w:szCs w:val="21"/>
        </w:rPr>
        <w:t>培训时间及地点双方协商确定。</w:t>
      </w:r>
    </w:p>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6.2质保期服务要求</w:t>
      </w:r>
    </w:p>
    <w:p>
      <w:pPr>
        <w:spacing w:line="360" w:lineRule="auto"/>
        <w:ind w:firstLine="420" w:firstLineChars="200"/>
        <w:rPr>
          <w:rFonts w:ascii="宋体" w:eastAsia="宋体" w:hAnsi="宋体" w:cs="仿宋"/>
          <w:szCs w:val="21"/>
        </w:rPr>
      </w:pPr>
      <w:r>
        <w:rPr>
          <w:rFonts w:ascii="宋体" w:eastAsia="宋体" w:hAnsi="宋体" w:cs="仿宋" w:hint="eastAsia"/>
          <w:szCs w:val="21"/>
        </w:rPr>
        <w:t>（1）设备供应商对所有设备提供自验收合格后8年的免费维护维修服务*，并提供设备质保承诺函。质保期内因设备设计、质量出现问题，中标人需及时无偿解决(包括更换器件)，如因自身故障致设备停用时间累计超过20天时，则质保期在状态恢复正常时重新计算。质保期内，经中标人累计5次维修仍无法正常使用或达不到相关质量标准的，视作设备存在严重质量问题，应支付赔偿金并退还已付全部款项。</w:t>
      </w:r>
    </w:p>
    <w:p>
      <w:pPr>
        <w:spacing w:line="360" w:lineRule="auto"/>
        <w:ind w:firstLine="420" w:firstLineChars="200"/>
        <w:rPr>
          <w:rFonts w:ascii="宋体" w:hAnsi="宋体"/>
          <w:bCs/>
          <w:szCs w:val="21"/>
        </w:rPr>
      </w:pPr>
      <w:r>
        <w:rPr>
          <w:rFonts w:ascii="宋体" w:hAnsi="宋体" w:hint="eastAsia"/>
          <w:bCs/>
          <w:szCs w:val="21"/>
        </w:rPr>
        <w:t>（2）质保期内中标人应对投标产品每年提供2次巡检服务及定标服务，具体时间及地点根据设备安装地点双方协商确定。质保期内为免费用户提供1~2次搬移服务。</w:t>
      </w:r>
    </w:p>
    <w:p>
      <w:pPr>
        <w:spacing w:line="360" w:lineRule="auto"/>
        <w:ind w:firstLine="420" w:firstLineChars="200"/>
        <w:rPr>
          <w:rFonts w:ascii="宋体" w:hAnsi="宋体"/>
          <w:bCs/>
          <w:szCs w:val="21"/>
        </w:rPr>
      </w:pPr>
      <w:r>
        <w:rPr>
          <w:rFonts w:ascii="宋体" w:hAnsi="宋体" w:hint="eastAsia"/>
          <w:bCs/>
          <w:szCs w:val="21"/>
        </w:rPr>
        <w:t>（3）在质保期满之前，要对设备进行一次整体全面的维护和检查；</w:t>
      </w:r>
    </w:p>
    <w:p>
      <w:pPr>
        <w:spacing w:line="360" w:lineRule="auto"/>
        <w:ind w:firstLine="420" w:firstLineChars="200"/>
        <w:rPr>
          <w:rFonts w:ascii="宋体" w:hAnsi="宋体"/>
          <w:bCs/>
          <w:szCs w:val="21"/>
        </w:rPr>
      </w:pPr>
      <w:r>
        <w:rPr>
          <w:rFonts w:ascii="宋体" w:hAnsi="宋体" w:hint="eastAsia"/>
          <w:bCs/>
          <w:szCs w:val="21"/>
        </w:rPr>
        <w:t>（4）无论是质保期内还是质保期外发现的技术、质量问题，应及时予以解决，要做到在接到设备故障通知后4小时内做出响应，及时提供维修配件，2个工作日内工程师到达用户现场进行维修服务，未尽事宜协商解决；</w:t>
      </w:r>
    </w:p>
    <w:p>
      <w:pPr>
        <w:spacing w:line="360" w:lineRule="auto"/>
        <w:ind w:firstLine="420" w:firstLineChars="200"/>
        <w:rPr>
          <w:rFonts w:ascii="宋体" w:hAnsi="宋体"/>
          <w:bCs/>
          <w:szCs w:val="21"/>
        </w:rPr>
      </w:pPr>
      <w:r>
        <w:rPr>
          <w:rFonts w:ascii="宋体" w:hAnsi="宋体" w:hint="eastAsia"/>
          <w:bCs/>
          <w:szCs w:val="21"/>
        </w:rPr>
        <w:t>（5）需要提供设备使用手册，并进行必要的理论和实操培训，包含日常操作和故障排查等内容。</w:t>
      </w:r>
    </w:p>
    <w:p>
      <w:pPr>
        <w:spacing w:line="360" w:lineRule="auto"/>
        <w:ind w:firstLine="420" w:firstLineChars="200"/>
        <w:rPr>
          <w:rFonts w:ascii="宋体" w:hAnsi="宋体"/>
          <w:bCs/>
          <w:szCs w:val="21"/>
        </w:rPr>
      </w:pPr>
      <w:r>
        <w:rPr>
          <w:rFonts w:ascii="宋体" w:hAnsi="宋体" w:hint="eastAsia"/>
          <w:bCs/>
          <w:szCs w:val="21"/>
        </w:rPr>
        <w:t>（6）提供投标产品软件免费升级服务，所提供观测设备观测数据能接入采购人现有气象数据平台。</w:t>
      </w:r>
    </w:p>
    <w:p>
      <w:pPr>
        <w:spacing w:line="360" w:lineRule="auto"/>
        <w:ind w:firstLine="420" w:firstLineChars="200"/>
        <w:rPr>
          <w:rFonts w:ascii="宋体" w:hAnsi="宋体"/>
          <w:bCs/>
          <w:szCs w:val="21"/>
        </w:rPr>
      </w:pPr>
      <w:r>
        <w:rPr>
          <w:rFonts w:ascii="宋体" w:hAnsi="宋体" w:hint="eastAsia"/>
          <w:bCs/>
          <w:szCs w:val="21"/>
        </w:rPr>
        <w:t>七、培训要求</w:t>
      </w:r>
    </w:p>
    <w:p>
      <w:pPr>
        <w:spacing w:line="360" w:lineRule="auto"/>
        <w:ind w:firstLine="420" w:firstLineChars="200"/>
        <w:rPr>
          <w:rFonts w:ascii="宋体" w:hAnsi="宋体"/>
          <w:szCs w:val="21"/>
        </w:rPr>
      </w:pPr>
      <w:r>
        <w:rPr>
          <w:rFonts w:ascii="宋体" w:hAnsi="宋体"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升级、应用所需的知识和技能。书面承诺每种设备的培训讲师具有中级以上职称或从事该设备技术工作至少2年；设备供应商对每套投标产品提供至少5次技术培训，并在培训时免费提供完整的技术资料，培训内容包括设备安装、使用、日常维护、观测原理及产品应用，培训时间及地点双方协商确定。</w:t>
      </w:r>
    </w:p>
    <w:p>
      <w:pPr>
        <w:spacing w:line="360" w:lineRule="auto"/>
        <w:ind w:firstLine="420" w:firstLineChars="200"/>
        <w:rPr>
          <w:rFonts w:ascii="宋体" w:eastAsia="宋体" w:hAnsi="宋体" w:cs="Times New Roman" w:hint="eastAsia"/>
          <w:szCs w:val="21"/>
        </w:rPr>
      </w:pPr>
    </w:p>
    <w:p>
      <w:pPr>
        <w:spacing w:line="360" w:lineRule="auto"/>
        <w:ind w:firstLine="420" w:firstLineChars="200"/>
        <w:rPr>
          <w:rFonts w:ascii="宋体" w:eastAsia="宋体" w:hAnsi="宋体" w:cs="Times New Roman" w:hint="eastAsia"/>
          <w:szCs w:val="21"/>
        </w:rPr>
      </w:pPr>
    </w:p>
    <w:p>
      <w:pPr>
        <w:spacing w:line="360" w:lineRule="auto"/>
        <w:ind w:firstLine="420" w:firstLineChars="200"/>
        <w:rPr>
          <w:rFonts w:ascii="宋体" w:eastAsia="宋体" w:hAnsi="宋体" w:cs="Times New Roman" w:hint="eastAsia"/>
          <w:szCs w:val="21"/>
        </w:rPr>
      </w:pP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9"/>
        <w:gridCol w:w="2280"/>
        <w:gridCol w:w="672"/>
        <w:gridCol w:w="672"/>
        <w:gridCol w:w="1207"/>
        <w:gridCol w:w="806"/>
        <w:gridCol w:w="2246"/>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375"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序号</w:t>
            </w:r>
          </w:p>
        </w:tc>
        <w:tc>
          <w:tcPr>
            <w:tcW w:w="133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设备名称</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规格</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数量</w:t>
            </w:r>
          </w:p>
        </w:tc>
        <w:tc>
          <w:tcPr>
            <w:tcW w:w="70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交货期</w:t>
            </w:r>
          </w:p>
        </w:tc>
        <w:tc>
          <w:tcPr>
            <w:tcW w:w="473"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交货地</w:t>
            </w:r>
          </w:p>
        </w:tc>
        <w:tc>
          <w:tcPr>
            <w:tcW w:w="131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备注</w:t>
            </w:r>
          </w:p>
        </w:tc>
      </w:tr>
      <w:tr>
        <w:tblPrEx>
          <w:tblW w:w="5000" w:type="pct"/>
          <w:jc w:val="center"/>
          <w:tblCellMar>
            <w:top w:w="0" w:type="dxa"/>
            <w:left w:w="108" w:type="dxa"/>
            <w:bottom w:w="0" w:type="dxa"/>
            <w:right w:w="108" w:type="dxa"/>
          </w:tblCellMar>
        </w:tblPrEx>
        <w:trPr>
          <w:jc w:val="center"/>
        </w:trPr>
        <w:tc>
          <w:tcPr>
            <w:tcW w:w="375" w:type="pct"/>
            <w:vAlign w:val="center"/>
          </w:tcPr>
          <w:p>
            <w:pPr>
              <w:numPr>
                <w:ilvl w:val="0"/>
                <w:numId w:val="4"/>
              </w:numPr>
              <w:spacing w:line="360" w:lineRule="auto"/>
              <w:rPr>
                <w:rFonts w:ascii="宋体" w:eastAsia="宋体" w:hAnsi="宋体" w:cs="Times New Roman"/>
                <w:szCs w:val="21"/>
              </w:rPr>
            </w:pPr>
          </w:p>
        </w:tc>
        <w:tc>
          <w:tcPr>
            <w:tcW w:w="133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地基微波辐射计</w:t>
            </w:r>
          </w:p>
        </w:tc>
        <w:tc>
          <w:tcPr>
            <w:tcW w:w="394"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台</w:t>
            </w:r>
          </w:p>
        </w:tc>
        <w:tc>
          <w:tcPr>
            <w:tcW w:w="394" w:type="pct"/>
            <w:vAlign w:val="center"/>
          </w:tcPr>
          <w:p>
            <w:pPr>
              <w:rPr>
                <w:rFonts w:ascii="宋体" w:eastAsia="宋体" w:hAnsi="宋体" w:cs="Times New Roman"/>
                <w:szCs w:val="21"/>
              </w:rPr>
            </w:pPr>
            <w:r>
              <w:rPr>
                <w:rFonts w:ascii="宋体" w:eastAsia="宋体" w:hAnsi="宋体" w:cs="Times New Roman" w:hint="eastAsia"/>
                <w:szCs w:val="21"/>
              </w:rPr>
              <w:t>1</w:t>
            </w:r>
          </w:p>
        </w:tc>
        <w:tc>
          <w:tcPr>
            <w:tcW w:w="708" w:type="pct"/>
            <w:vAlign w:val="center"/>
          </w:tcPr>
          <w:p>
            <w:pPr>
              <w:rPr>
                <w:rFonts w:ascii="宋体" w:eastAsia="宋体" w:hAnsi="宋体" w:cs="Times New Roman"/>
                <w:szCs w:val="21"/>
              </w:rPr>
            </w:pPr>
            <w:r>
              <w:rPr>
                <w:rFonts w:ascii="宋体" w:eastAsia="宋体" w:hAnsi="宋体" w:cs="Times New Roman" w:hint="eastAsia"/>
                <w:szCs w:val="21"/>
              </w:rPr>
              <w:t>合同签订后60天内交货，90天内完成安装调试并具备验收条件</w:t>
            </w:r>
          </w:p>
        </w:tc>
        <w:tc>
          <w:tcPr>
            <w:tcW w:w="473" w:type="pct"/>
            <w:vAlign w:val="center"/>
          </w:tcPr>
          <w:p>
            <w:pPr>
              <w:spacing w:line="360" w:lineRule="auto"/>
              <w:rPr>
                <w:rFonts w:ascii="宋体" w:eastAsia="宋体" w:hAnsi="宋体" w:cs="Times New Roman"/>
                <w:szCs w:val="21"/>
              </w:rPr>
            </w:pPr>
            <w:r>
              <w:rPr>
                <w:rFonts w:ascii="宋体" w:eastAsia="宋体" w:hAnsi="宋体" w:cs="Times New Roman"/>
                <w:szCs w:val="21"/>
              </w:rPr>
              <w:t>由采购人指定</w:t>
            </w:r>
          </w:p>
        </w:tc>
        <w:tc>
          <w:tcPr>
            <w:tcW w:w="1318" w:type="pct"/>
            <w:vAlign w:val="center"/>
          </w:tcPr>
          <w:p>
            <w:pPr>
              <w:spacing w:line="360" w:lineRule="auto"/>
              <w:rPr>
                <w:rFonts w:ascii="宋体" w:eastAsia="宋体" w:hAnsi="宋体" w:cs="Times New Roman"/>
                <w:szCs w:val="21"/>
              </w:rPr>
            </w:pPr>
            <w:r>
              <w:rPr>
                <w:rFonts w:ascii="宋体" w:eastAsia="宋体" w:hAnsi="宋体" w:cs="Times New Roman" w:hint="eastAsia"/>
                <w:szCs w:val="21"/>
              </w:rPr>
              <w:t>含微波辐射计室外主机、辅助单元、辐射计管理应用软件、标准输出控制单元、室外支架、产品技术手册、随机附件备件等</w:t>
            </w:r>
          </w:p>
        </w:tc>
      </w:tr>
    </w:tbl>
    <w:p>
      <w:pPr>
        <w:spacing w:line="360" w:lineRule="auto"/>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2"/>
        <w:gridCol w:w="1294"/>
        <w:gridCol w:w="1089"/>
        <w:gridCol w:w="1496"/>
        <w:gridCol w:w="1706"/>
        <w:gridCol w:w="1135"/>
        <w:gridCol w:w="92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微波辐射计</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1,350,000.00</w:t>
            </w:r>
          </w:p>
        </w:tc>
        <w:tc>
          <w:tcPr/>
          <w:p>
            <w:pPr>
              <w:autoSpaceDE w:val="0"/>
              <w:jc w:val="center"/>
              <w:rPr>
                <w:rFonts w:asciiTheme="minorEastAsia" w:hAnsiTheme="minorEastAsia" w:cstheme="minorEastAsia" w:hint="eastAsia"/>
                <w:kern w:val="0"/>
                <w:szCs w:val="21"/>
              </w:rPr>
            </w:pPr>
            <w:r>
              <w:t>60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1,350,000.00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75"/>
        <w:gridCol w:w="2323"/>
        <w:gridCol w:w="1127"/>
        <w:gridCol w:w="575"/>
        <w:gridCol w:w="1311"/>
        <w:gridCol w:w="1093"/>
        <w:gridCol w:w="943"/>
        <w:gridCol w:w="57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雷达研试中心(001033019)</w:t>
            </w:r>
          </w:p>
        </w:tc>
        <w:tc>
          <w:tcPr/>
          <w:p>
            <w:r>
              <w:t>微波辐射计</w:t>
            </w:r>
          </w:p>
        </w:tc>
        <w:tc>
          <w:tcPr/>
          <w:p>
            <w:r>
              <w:t>1</w:t>
            </w:r>
          </w:p>
        </w:tc>
        <w:tc>
          <w:tcPr/>
          <w:p>
            <w:r>
              <w:t>1350000.00</w:t>
            </w:r>
          </w:p>
        </w:tc>
        <w:tc>
          <w:tcPr/>
          <w:p>
            <w:r>
              <w:t xml:space="preserve">1350000.00  </w:t>
            </w:r>
          </w:p>
        </w:tc>
        <w:tc>
          <w:tcPr/>
          <w:p>
            <w:r>
              <w:t>天津</w:t>
            </w: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CE4AA8">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CE4AA8">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616D3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CE4AA8">
            <w:pPr>
              <w:rPr>
                <w:sz w:val="18"/>
                <w:szCs w:val="18"/>
              </w:rPr>
            </w:pPr>
            <w:r>
              <w:rPr>
                <w:rFonts w:hint="eastAsia"/>
                <w:sz w:val="18"/>
                <w:szCs w:val="18"/>
              </w:rPr>
              <w:t>序号</w:t>
            </w:r>
          </w:p>
        </w:tc>
        <w:tc>
          <w:tcPr>
            <w:tcW w:w="898" w:type="dxa"/>
            <w:vAlign w:val="center"/>
          </w:tcPr>
          <w:p w:rsidR="00CE4AA8">
            <w:pPr>
              <w:jc w:val="center"/>
              <w:rPr>
                <w:sz w:val="18"/>
                <w:szCs w:val="18"/>
              </w:rPr>
            </w:pPr>
            <w:r>
              <w:rPr>
                <w:rFonts w:hint="eastAsia"/>
                <w:sz w:val="18"/>
                <w:szCs w:val="18"/>
              </w:rPr>
              <w:t>对应</w:t>
            </w:r>
          </w:p>
          <w:p w:rsidR="00CE4AA8">
            <w:pPr>
              <w:jc w:val="center"/>
              <w:rPr>
                <w:sz w:val="18"/>
                <w:szCs w:val="18"/>
              </w:rPr>
            </w:pPr>
            <w:r>
              <w:rPr>
                <w:rFonts w:hint="eastAsia"/>
                <w:sz w:val="18"/>
                <w:szCs w:val="18"/>
              </w:rPr>
              <w:t>条款号</w:t>
            </w:r>
          </w:p>
        </w:tc>
        <w:tc>
          <w:tcPr>
            <w:tcW w:w="7347" w:type="dxa"/>
            <w:vAlign w:val="center"/>
          </w:tcPr>
          <w:p w:rsidR="00CE4AA8">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616D32">
        <w:tblPrEx>
          <w:tblW w:w="8789" w:type="dxa"/>
          <w:tblLayout w:type="fixed"/>
          <w:tblLook w:val="04A0"/>
        </w:tblPrEx>
        <w:trPr>
          <w:cantSplit/>
        </w:trPr>
        <w:tc>
          <w:tcPr>
            <w:tcW w:w="8789" w:type="dxa"/>
            <w:gridSpan w:val="3"/>
            <w:vAlign w:val="center"/>
          </w:tcPr>
          <w:p w:rsidR="00CE4AA8">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616D32">
        <w:tblPrEx>
          <w:tblW w:w="8789" w:type="dxa"/>
          <w:tblLayout w:type="fixed"/>
          <w:tblLook w:val="04A0"/>
        </w:tblPrEx>
        <w:trPr>
          <w:cantSplit/>
        </w:trPr>
        <w:tc>
          <w:tcPr>
            <w:tcW w:w="544" w:type="dxa"/>
            <w:vAlign w:val="center"/>
          </w:tcPr>
          <w:p w:rsidR="00CE4AA8">
            <w:pPr>
              <w:numPr>
                <w:ilvl w:val="0"/>
                <w:numId w:val="14"/>
              </w:numPr>
              <w:rPr>
                <w:rFonts w:ascii="宋体" w:hAnsi="宋体"/>
                <w:sz w:val="18"/>
                <w:szCs w:val="18"/>
              </w:rPr>
            </w:pPr>
          </w:p>
        </w:tc>
        <w:tc>
          <w:tcPr>
            <w:tcW w:w="898" w:type="dxa"/>
            <w:vAlign w:val="center"/>
          </w:tcPr>
          <w:p w:rsidR="00CE4AA8">
            <w:pPr>
              <w:jc w:val="center"/>
              <w:rPr>
                <w:rFonts w:ascii="宋体" w:hAnsi="宋体"/>
                <w:sz w:val="18"/>
                <w:szCs w:val="18"/>
              </w:rPr>
            </w:pPr>
            <w:r>
              <w:rPr>
                <w:rFonts w:ascii="宋体" w:hAnsi="宋体" w:hint="eastAsia"/>
                <w:sz w:val="18"/>
                <w:szCs w:val="18"/>
              </w:rPr>
              <w:t>5</w:t>
            </w:r>
            <w:r>
              <w:rPr>
                <w:rFonts w:ascii="宋体" w:hAnsi="宋体"/>
                <w:sz w:val="18"/>
                <w:szCs w:val="18"/>
              </w:rPr>
              <w:t>.</w:t>
            </w:r>
            <w:r w:rsidR="009C5F0A">
              <w:rPr>
                <w:rFonts w:ascii="宋体" w:hAnsi="宋体" w:hint="eastAsia"/>
                <w:sz w:val="18"/>
                <w:szCs w:val="18"/>
              </w:rPr>
              <w:t>7</w:t>
            </w:r>
          </w:p>
        </w:tc>
        <w:tc>
          <w:tcPr>
            <w:tcW w:w="7347" w:type="dxa"/>
          </w:tcPr>
          <w:p w:rsidR="00CE4AA8" w:rsidP="009C5F0A">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w:t>
            </w:r>
            <w:r w:rsidR="00C46B2A">
              <w:rPr>
                <w:rFonts w:ascii="宋体" w:hAnsi="宋体" w:cs="微软雅黑" w:hint="eastAsia"/>
                <w:b/>
                <w:color w:val="0000FF"/>
                <w:kern w:val="0"/>
                <w:sz w:val="18"/>
                <w:szCs w:val="18"/>
              </w:rPr>
              <w:t>地基微波辐射计</w:t>
            </w:r>
          </w:p>
        </w:tc>
      </w:tr>
      <w:tr w:rsidTr="00616D32">
        <w:tblPrEx>
          <w:tblW w:w="8789" w:type="dxa"/>
          <w:tblLayout w:type="fixed"/>
          <w:tblLook w:val="04A0"/>
        </w:tblPrEx>
        <w:trPr>
          <w:cantSplit/>
        </w:trPr>
        <w:tc>
          <w:tcPr>
            <w:tcW w:w="8789" w:type="dxa"/>
            <w:gridSpan w:val="3"/>
            <w:vAlign w:val="center"/>
          </w:tcPr>
          <w:p w:rsidR="00CE4AA8">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616D32">
        <w:tblPrEx>
          <w:tblW w:w="8789" w:type="dxa"/>
          <w:tblLayout w:type="fixed"/>
          <w:tblLook w:val="04A0"/>
        </w:tblPrEx>
        <w:trPr>
          <w:cantSplit/>
        </w:trPr>
        <w:tc>
          <w:tcPr>
            <w:tcW w:w="544" w:type="dxa"/>
            <w:vAlign w:val="center"/>
          </w:tcPr>
          <w:p w:rsidR="00CE4AA8">
            <w:pPr>
              <w:numPr>
                <w:ilvl w:val="0"/>
                <w:numId w:val="14"/>
              </w:numPr>
              <w:rPr>
                <w:rFonts w:ascii="宋体" w:hAnsi="宋体"/>
                <w:sz w:val="18"/>
                <w:szCs w:val="18"/>
              </w:rPr>
            </w:pPr>
          </w:p>
        </w:tc>
        <w:tc>
          <w:tcPr>
            <w:tcW w:w="898" w:type="dxa"/>
            <w:vAlign w:val="center"/>
          </w:tcPr>
          <w:p w:rsidR="00CE4AA8">
            <w:pPr>
              <w:jc w:val="center"/>
              <w:rPr>
                <w:rFonts w:ascii="宋体" w:hAnsi="宋体"/>
                <w:sz w:val="18"/>
                <w:szCs w:val="18"/>
              </w:rPr>
            </w:pPr>
            <w:r>
              <w:rPr>
                <w:rFonts w:ascii="宋体" w:hAnsi="宋体"/>
                <w:sz w:val="18"/>
                <w:szCs w:val="18"/>
              </w:rPr>
              <w:t>6.2.1</w:t>
            </w:r>
          </w:p>
        </w:tc>
        <w:tc>
          <w:tcPr>
            <w:tcW w:w="7347" w:type="dxa"/>
            <w:vAlign w:val="center"/>
          </w:tcPr>
          <w:p w:rsidR="00CE4AA8" w:rsidP="009C5F0A">
            <w:pPr>
              <w:tabs>
                <w:tab w:val="left" w:pos="709"/>
              </w:tabs>
              <w:spacing w:line="360" w:lineRule="auto"/>
              <w:jc w:val="left"/>
              <w:rPr>
                <w:rFonts w:ascii="宋体" w:hAnsi="宋体"/>
                <w:sz w:val="18"/>
                <w:szCs w:val="18"/>
              </w:rPr>
            </w:pPr>
            <w:r w:rsidRPr="005D4F43">
              <w:rPr>
                <w:rFonts w:ascii="宋体" w:hAnsi="宋体" w:cs="微软雅黑" w:hint="eastAsia"/>
                <w:b/>
                <w:color w:val="0000FF"/>
                <w:kern w:val="0"/>
                <w:sz w:val="18"/>
                <w:szCs w:val="18"/>
              </w:rPr>
              <w:t>*质保期要求：</w:t>
            </w:r>
            <w:r w:rsidRPr="004C7636" w:rsidR="004C7636">
              <w:rPr>
                <w:rFonts w:ascii="宋体" w:hAnsi="宋体" w:cs="微软雅黑" w:hint="eastAsia"/>
                <w:b/>
                <w:color w:val="0000FF"/>
                <w:kern w:val="0"/>
                <w:sz w:val="18"/>
                <w:szCs w:val="18"/>
              </w:rPr>
              <w:t>设备供应商提供自验收合格后8年的质保服务，需提供设备质保承诺函（格式自拟）</w:t>
            </w:r>
          </w:p>
        </w:tc>
      </w:tr>
    </w:tbl>
    <w:p w:rsidR="00CE4AA8">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CE4AA8">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b/>
          <w:bCs/>
          <w:szCs w:val="21"/>
        </w:rPr>
      </w:pPr>
      <w:bookmarkStart w:id="69" w:name="采购公告合同部分_ZBGGHT"/>
      <w:r>
        <w:rPr>
          <w:rFonts w:hint="eastAsia"/>
          <w:b/>
          <w:bCs/>
          <w:szCs w:val="21"/>
        </w:rPr>
        <w:t xml:space="preserve"> 采购合同</w:t>
      </w:r>
    </w:p>
    <w:p>
      <w:pPr>
        <w:spacing w:line="360" w:lineRule="auto"/>
        <w:ind w:left="1680" w:firstLine="420"/>
        <w:jc w:val="left"/>
        <w:rPr>
          <w:b/>
          <w:bCs/>
          <w:szCs w:val="21"/>
        </w:rPr>
      </w:pPr>
      <w:r>
        <w:rPr>
          <w:rFonts w:hint="eastAsia"/>
          <w:b/>
          <w:bCs/>
          <w:szCs w:val="21"/>
        </w:rPr>
        <w:t>必须明确合同金额支付条件及支付比例</w:t>
      </w:r>
    </w:p>
    <w:p>
      <w:pPr>
        <w:pStyle w:val="BodyText"/>
        <w:spacing w:after="0"/>
        <w:jc w:val="center"/>
        <w:rPr>
          <w:rFonts w:ascii="宋体" w:hAnsi="宋体" w:cs="宋体"/>
          <w:b/>
          <w:bCs/>
          <w:spacing w:val="-20"/>
          <w:kern w:val="44"/>
          <w:sz w:val="48"/>
          <w:szCs w:val="48"/>
        </w:rPr>
      </w:pPr>
      <w:r>
        <w:rPr>
          <w:b/>
          <w:bCs/>
          <w:szCs w:val="21"/>
        </w:rPr>
        <w:br w:type="page"/>
      </w:r>
      <w:bookmarkStart w:id="70" w:name="_Toc3995"/>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pPr>
        <w:rPr>
          <w:rFonts w:eastAsia="黑体"/>
          <w:sz w:val="44"/>
          <w:szCs w:val="44"/>
        </w:rPr>
        <w:sectPr>
          <w:pgSz w:w="11906" w:h="16838"/>
          <w:pgMar w:top="1440" w:right="1800" w:bottom="1440" w:left="1800" w:header="851" w:footer="992" w:gutter="0"/>
          <w:cols w:num="1" w:space="425"/>
          <w:docGrid w:type="lines" w:linePitch="312" w:charSpace="0"/>
        </w:sectPr>
      </w:pPr>
    </w:p>
    <w:bookmarkEnd w:id="70"/>
    <w:p>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1"/>
    </w:p>
    <w:p>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rPr>
          <w:rFonts w:ascii="宋体" w:hAnsi="宋体"/>
          <w:iCs/>
          <w:szCs w:val="21"/>
        </w:rPr>
      </w:pPr>
      <w:r>
        <w:rPr>
          <w:rFonts w:hint="eastAsia"/>
        </w:rPr>
        <w:t xml:space="preserve">         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pPr>
        <w:snapToGrid w:val="0"/>
        <w:spacing w:line="400" w:lineRule="exact"/>
        <w:ind w:firstLine="630" w:firstLineChars="300"/>
        <w:rPr>
          <w:rFonts w:ascii="宋体" w:hAnsi="宋体"/>
          <w:color w:val="FF0000"/>
          <w:szCs w:val="21"/>
          <w:u w:val="single"/>
        </w:rPr>
      </w:pPr>
      <w:r>
        <w:rPr>
          <w:rFonts w:ascii="Wingdings 2" w:hAnsi="Wingdings 2" w:cs="微软雅黑"/>
          <w:b/>
          <w:kern w:val="0"/>
          <w:szCs w:val="21"/>
        </w:rPr>
        <w:sym w:font="Wingdings 2" w:char="F052"/>
      </w:r>
      <w:r>
        <w:rPr>
          <w:rFonts w:ascii="宋体" w:hAnsi="宋体" w:hint="eastAsia"/>
          <w:szCs w:val="21"/>
        </w:rPr>
        <w:t>分期付款：</w:t>
      </w:r>
      <w:r>
        <w:rPr>
          <w:rFonts w:ascii="宋体" w:hAnsi="宋体" w:hint="eastAsia"/>
          <w:color w:val="FF0000"/>
          <w:szCs w:val="21"/>
          <w:u w:val="single"/>
        </w:rPr>
        <w:t xml:space="preserve"> </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合同采用分期付款方式，各期支付比例一经确定在合同履行过程中不得调整，具体支付比例为：</w:t>
      </w:r>
    </w:p>
    <w:p>
      <w:pPr>
        <w:autoSpaceDE w:val="0"/>
        <w:autoSpaceDN w:val="0"/>
        <w:adjustRightInd w:val="0"/>
        <w:snapToGrid w:val="0"/>
        <w:spacing w:line="400" w:lineRule="exact"/>
        <w:ind w:firstLine="420" w:firstLineChars="200"/>
        <w:jc w:val="left"/>
        <w:rPr>
          <w:rFonts w:ascii="宋体" w:eastAsia="宋体" w:hAnsi="宋体" w:cs="Times New Roman"/>
          <w:szCs w:val="21"/>
          <w:highlight w:val="yellow"/>
        </w:rPr>
      </w:pPr>
      <w:r>
        <w:rPr>
          <w:rFonts w:ascii="宋体" w:eastAsia="宋体" w:hAnsi="宋体" w:cs="Times New Roman" w:hint="eastAsia"/>
          <w:szCs w:val="21"/>
          <w:highlight w:val="yellow"/>
        </w:rPr>
        <w:t>合同签订后，乙方向甲方提供合同总金额5%的银行履约保函，设备验收合格</w:t>
      </w:r>
      <w:r>
        <w:rPr>
          <w:rFonts w:ascii="宋体" w:eastAsia="宋体" w:hAnsi="宋体" w:cs="Times New Roman" w:hint="eastAsia"/>
          <w:szCs w:val="21"/>
          <w:highlight w:val="yellow"/>
        </w:rPr>
        <w:t>后，甲方将银行履约保函退还乙方。</w:t>
      </w:r>
    </w:p>
    <w:p>
      <w:pPr>
        <w:autoSpaceDE w:val="0"/>
        <w:autoSpaceDN w:val="0"/>
        <w:adjustRightInd w:val="0"/>
        <w:snapToGrid w:val="0"/>
        <w:spacing w:line="400" w:lineRule="exact"/>
        <w:ind w:firstLine="420" w:firstLineChars="200"/>
        <w:jc w:val="left"/>
        <w:rPr>
          <w:rFonts w:ascii="宋体" w:eastAsia="宋体" w:hAnsi="宋体" w:cs="Times New Roman"/>
          <w:szCs w:val="21"/>
          <w:highlight w:val="yellow"/>
        </w:rPr>
      </w:pPr>
      <w:r>
        <w:rPr>
          <w:rFonts w:ascii="宋体" w:eastAsia="宋体" w:hAnsi="宋体" w:cs="Times New Roman" w:hint="eastAsia"/>
          <w:szCs w:val="21"/>
          <w:highlight w:val="yellow"/>
        </w:rPr>
        <w:t>（1）合同签订生效后，30个工作日内甲方向乙方支付合同金额的30%，人民币小写：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元，大写：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元整；</w:t>
      </w:r>
    </w:p>
    <w:p>
      <w:pPr>
        <w:autoSpaceDE w:val="0"/>
        <w:autoSpaceDN w:val="0"/>
        <w:adjustRightInd w:val="0"/>
        <w:snapToGrid w:val="0"/>
        <w:spacing w:line="400" w:lineRule="exact"/>
        <w:ind w:firstLine="420" w:firstLineChars="200"/>
        <w:jc w:val="left"/>
        <w:rPr>
          <w:rFonts w:ascii="宋体" w:eastAsia="宋体" w:hAnsi="宋体" w:cs="Times New Roman"/>
          <w:szCs w:val="21"/>
          <w:highlight w:val="yellow"/>
        </w:rPr>
      </w:pPr>
      <w:r>
        <w:rPr>
          <w:rFonts w:ascii="宋体" w:eastAsia="宋体" w:hAnsi="宋体" w:cs="Times New Roman" w:hint="eastAsia"/>
          <w:szCs w:val="21"/>
          <w:highlight w:val="yellow"/>
        </w:rPr>
        <w:t>（2）设备完成出厂验收后，甲方向乙方支付合同金额的30%，人民币小写：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元，大写：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元整；</w:t>
      </w:r>
    </w:p>
    <w:p>
      <w:pPr>
        <w:autoSpaceDE w:val="0"/>
        <w:autoSpaceDN w:val="0"/>
        <w:adjustRightInd w:val="0"/>
        <w:snapToGrid w:val="0"/>
        <w:spacing w:line="400" w:lineRule="exact"/>
        <w:ind w:firstLine="420" w:firstLineChars="200"/>
        <w:jc w:val="left"/>
        <w:rPr>
          <w:rFonts w:ascii="宋体" w:eastAsia="宋体" w:hAnsi="宋体" w:cs="Times New Roman"/>
          <w:szCs w:val="21"/>
          <w:highlight w:val="yellow"/>
        </w:rPr>
      </w:pPr>
      <w:r>
        <w:rPr>
          <w:rFonts w:ascii="宋体" w:eastAsia="宋体" w:hAnsi="宋体" w:cs="Times New Roman" w:hint="eastAsia"/>
          <w:szCs w:val="21"/>
          <w:highlight w:val="yellow"/>
        </w:rPr>
        <w:t>（3）设备现场安装验收合格后，甲方向乙方支付合同金额的30%，人民币小写：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元，大写：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元整；</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highlight w:val="yellow"/>
        </w:rPr>
        <w:t>（4）设备通过合同验收后，甲方向乙方支付合同金额的10%，人民币小写：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元，大写：</w:t>
      </w:r>
      <w:r>
        <w:rPr>
          <w:rFonts w:ascii="宋体" w:eastAsia="宋体" w:hAnsi="宋体" w:cs="Times New Roman"/>
          <w:szCs w:val="21"/>
          <w:highlight w:val="yellow"/>
          <w:u w:val="single"/>
        </w:rPr>
        <w:t xml:space="preserve">       </w:t>
      </w:r>
      <w:r>
        <w:rPr>
          <w:rFonts w:ascii="宋体" w:eastAsia="宋体" w:hAnsi="宋体" w:cs="Times New Roman" w:hint="eastAsia"/>
          <w:szCs w:val="21"/>
          <w:highlight w:val="yellow"/>
        </w:rPr>
        <w:t>元整。</w:t>
      </w:r>
    </w:p>
    <w:p>
      <w:pPr>
        <w:autoSpaceDE w:val="0"/>
        <w:autoSpaceDN w:val="0"/>
        <w:adjustRightInd w:val="0"/>
        <w:snapToGrid w:val="0"/>
        <w:spacing w:line="400" w:lineRule="exact"/>
        <w:ind w:firstLine="420" w:firstLineChars="200"/>
        <w:jc w:val="left"/>
        <w:rPr>
          <w:rFonts w:ascii="宋体" w:eastAsia="宋体" w:hAnsi="宋体" w:cs="Times New Roman"/>
          <w:szCs w:val="21"/>
        </w:rPr>
      </w:pPr>
      <w:r>
        <w:rPr>
          <w:rFonts w:ascii="宋体" w:eastAsia="宋体" w:hAnsi="宋体" w:cs="Times New Roman" w:hint="eastAsia"/>
          <w:szCs w:val="21"/>
        </w:rPr>
        <w:t>各期支付条件均与分期履约验收情况挂钩，验收不合格的甲方有权暂缓支付相应款项，其中预付款在支付后不因后续验收情况调整，如涉及预付款保函其有效期应覆盖至预付款全部抵扣完毕。</w:t>
      </w:r>
    </w:p>
    <w:p>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 政府采购合同通用条款</w:t>
      </w:r>
      <w:bookmarkEnd w:id="72"/>
    </w:p>
    <w:p>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3"/>
      <w:r>
        <w:rPr>
          <w:rFonts w:ascii="宋体" w:hAnsi="宋体" w:hint="eastAsia"/>
          <w:szCs w:val="21"/>
        </w:rPr>
        <w:t>。</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pPr>
        <w:adjustRightInd w:val="0"/>
        <w:snapToGrid w:val="0"/>
        <w:spacing w:line="400" w:lineRule="exact"/>
        <w:jc w:val="left"/>
        <w:rPr>
          <w:rFonts w:ascii="宋体" w:hAnsi="宋体"/>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pPr>
        <w:pStyle w:val="AONormal"/>
        <w:ind w:firstLine="420"/>
        <w:jc w:val="both"/>
        <w:rPr>
          <w:rFonts w:ascii="宋体" w:eastAsia="宋体" w:hAnsi="宋体" w:cs="宋体"/>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4" w:name="_Toc20313"/>
    </w:p>
    <w:p>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snapToGrid w:val="0"/>
              <w:jc w:val="center"/>
              <w:rPr>
                <w:rFonts w:ascii="宋体" w:hAnsi="宋体"/>
                <w:szCs w:val="21"/>
              </w:rPr>
            </w:pPr>
            <w:r>
              <w:rPr>
                <w:rFonts w:ascii="宋体" w:hAnsi="宋体" w:hint="eastAsia"/>
                <w:szCs w:val="21"/>
              </w:rPr>
              <w:t>第6.1款</w:t>
            </w:r>
          </w:p>
        </w:tc>
        <w:tc>
          <w:tcPr>
            <w:tcW w:w="1742" w:type="dxa"/>
            <w:vAlign w:val="center"/>
          </w:tcPr>
          <w:p>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hAnsi="宋体"/>
                <w:szCs w:val="21"/>
              </w:rPr>
            </w:pPr>
          </w:p>
        </w:tc>
        <w:tc>
          <w:tcPr>
            <w:tcW w:w="1742" w:type="dxa"/>
            <w:vAlign w:val="center"/>
          </w:tcPr>
          <w:p>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pPr>
              <w:adjustRightInd w:val="0"/>
              <w:snapToGrid w:val="0"/>
              <w:jc w:val="left"/>
              <w:rPr>
                <w:rFonts w:ascii="宋体" w:hAnsi="宋体"/>
                <w:szCs w:val="21"/>
              </w:rPr>
            </w:pPr>
            <w:r>
              <w:rPr>
                <w:rFonts w:ascii="宋体" w:hAnsi="宋体" w:hint="eastAsia"/>
                <w:szCs w:val="21"/>
              </w:rPr>
              <w:t>货物质量缺陷</w:t>
            </w:r>
          </w:p>
          <w:p>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hAnsi="宋体" w:cs="宋体"/>
                <w:szCs w:val="21"/>
              </w:rPr>
            </w:pPr>
            <w:r>
              <w:rPr>
                <w:rFonts w:ascii="宋体" w:hAnsi="宋体" w:cs="宋体" w:hint="eastAsia"/>
                <w:szCs w:val="21"/>
              </w:rPr>
              <w:t>第二节</w:t>
            </w:r>
          </w:p>
          <w:p>
            <w:pPr>
              <w:pStyle w:val="AONormal"/>
              <w:ind w:firstLine="0" w:firstLineChars="0"/>
              <w:jc w:val="center"/>
            </w:pPr>
            <w:r>
              <w:rPr>
                <w:rFonts w:ascii="宋体" w:eastAsia="宋体" w:hAnsi="宋体" w:cs="宋体" w:hint="eastAsia"/>
              </w:rPr>
              <w:t>第11.1款</w:t>
            </w:r>
          </w:p>
        </w:tc>
        <w:tc>
          <w:tcPr>
            <w:tcW w:w="1742" w:type="dxa"/>
            <w:vAlign w:val="center"/>
          </w:tcPr>
          <w:p>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hAnsi="宋体"/>
                <w:szCs w:val="21"/>
              </w:rPr>
            </w:pPr>
            <w:r>
              <w:rPr>
                <w:rFonts w:ascii="宋体" w:hAnsi="宋体" w:hint="eastAsia"/>
                <w:szCs w:val="21"/>
              </w:rPr>
              <w:t>第二节</w:t>
            </w:r>
          </w:p>
          <w:p>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szCs w:val="21"/>
              </w:rPr>
            </w:pPr>
          </w:p>
        </w:tc>
      </w:tr>
    </w:tbl>
    <w:p/>
    <w:p>
      <w:pPr>
        <w:rPr>
          <w:b/>
          <w:bCs/>
          <w:sz w:val="44"/>
          <w:szCs w:val="44"/>
        </w:rPr>
      </w:pPr>
    </w:p>
    <w:p/>
    <w:p w:rsidR="00A77B3E"/>
    <w:p w:rsidR="00026ECA" w:rsidP="00F86C13">
      <w:pPr>
        <w:numPr>
          <w:ilvl w:val="0"/>
          <w:numId w:val="5"/>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variable"/>
    <w:sig w:usb0="00000000" w:usb1="00000000" w:usb2="00000000" w:usb3="00000000" w:csb0="80000000" w:csb1="00000000"/>
  </w:font>
  <w:font w:name="MS Gothic">
    <w:panose1 w:val="020B0609070205080204"/>
    <w:charset w:val="80"/>
    <w:family w:val="modern"/>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宋体"/>
    <w:panose1 w:val="00000000000000000000"/>
    <w:charset w:val="86"/>
    <w:family w:val="auto"/>
    <w:pitch w:val="default"/>
    <w:sig w:usb0="00000000" w:usb1="00000000" w:usb2="00000016"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1CD3C09"/>
    <w:multiLevelType w:val="multilevel"/>
    <w:tmpl w:val="31CD3C0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0"/>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6ECA"/>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183B"/>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6A83"/>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C7636"/>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4F43"/>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0567"/>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5F0A"/>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2CB2"/>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6B2A"/>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AA8"/>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273BF"/>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86C1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