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2025年短临工程微小型X波段双线偏振多普勒天气雷达采购项目(南宁市气象局、钦州市气象局)</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ZQCD-25452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南宁市气象局;钦州市气象局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2025年短临工程微小型X波段双线偏振多普勒天气雷达采购项目(南宁市气象局、钦州市气象局)</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ZQCD-25452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南宁市，钦州市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2025年12月08日 00:00:00</w:t>
      </w:r>
      <w:bookmarkEnd w:id="26"/>
      <w:r>
        <w:rPr>
          <w:rFonts w:ascii="宋体" w:hint="eastAsia"/>
          <w:szCs w:val="21"/>
          <w:highlight w:val="none"/>
        </w:rPr>
        <w:t>至</w:t>
      </w:r>
      <w:bookmarkStart w:id="27" w:name="项目公告_signUpLastTime"/>
      <w:r>
        <w:rPr>
          <w:rFonts w:ascii="宋体" w:hint="eastAsia"/>
          <w:szCs w:val="21"/>
          <w:highlight w:val="none"/>
        </w:rPr>
        <w:t>2025年12月12日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2025年12月29日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南宁市气象局;钦州市气象局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林奕桐</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077-5672417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南宁市青秀区凤岭南路9号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南宁市气象局;钦州市气象局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不允许（仅针对以下产品：微小型X波段多普勒天气雷达不允许代理商投标）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微小型X波段多普勒天气雷达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257.200000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257.200000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针对本项目采购的微小型X波段多普勒天气雷达，承诺每提前10天交货的得1分，最多得1分。否则不得分。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针对微小型X波段多普勒天气雷达，每提供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针对微小型X波段多普勒天气雷达，测试报告应涵盖低温试验、高温使用、低气压试验等内容，每包含一项得1分，最多得3分。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馈线主要用于传输发射信号和接收信号。</w:t>
      </w:r>
    </w:p>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bookmarkEnd w:id="62"/>
      <w:bookmarkEnd w:id="63"/>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p>
      <w:pPr>
        <w:ind w:firstLine="560" w:firstLineChars="200"/>
        <w:outlineLvl w:val="4"/>
        <w:rPr>
          <w:rFonts w:ascii="仿宋_GB2312" w:eastAsia="仿宋_GB2312" w:hAnsi="仿宋_GB2312" w:cs="仿宋_GB2312" w:hint="eastAsia"/>
          <w:bCs/>
          <w:sz w:val="28"/>
          <w:szCs w:val="28"/>
        </w:rPr>
      </w:pPr>
      <w:bookmarkStart w:id="70" w:name="_Toc773431488"/>
      <w:bookmarkEnd w:id="67"/>
      <w:bookmarkEnd w:id="68"/>
      <w:bookmarkEnd w:id="69"/>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w:t>
      </w:r>
      <w:r>
        <w:rPr>
          <w:rFonts w:ascii="仿宋_GB2312" w:eastAsia="仿宋_GB2312" w:hAnsi="仿宋_GB2312" w:cs="仿宋_GB2312" w:hint="eastAsia"/>
          <w:bCs/>
          <w:sz w:val="28"/>
          <w:szCs w:val="28"/>
        </w:rPr>
        <w:t>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Start w:id="73" w:name="_Toc28016954"/>
      <w:bookmarkEnd w:id="72"/>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w:t>
      </w:r>
      <w:r>
        <w:rPr>
          <w:rFonts w:ascii="仿宋" w:eastAsia="仿宋" w:hAnsi="仿宋" w:hint="eastAsia"/>
          <w:sz w:val="28"/>
          <w:szCs w:val="28"/>
        </w:rPr>
        <w:t>≥</w:t>
      </w:r>
      <w:r>
        <w:rPr>
          <w:rFonts w:ascii="仿宋" w:eastAsia="仿宋" w:hAnsi="仿宋" w:hint="eastAsia"/>
          <w:sz w:val="28"/>
          <w:szCs w:val="28"/>
        </w:rPr>
        <w:t>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35"/>
        <w:gridCol w:w="3847"/>
        <w:gridCol w:w="3401"/>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p>
      <w:pPr>
        <w:ind w:firstLine="560" w:firstLineChars="200"/>
        <w:outlineLvl w:val="6"/>
        <w:rPr>
          <w:rFonts w:ascii="仿宋_GB2312" w:eastAsia="仿宋_GB2312" w:hAnsi="仿宋_GB2312" w:cs="仿宋_GB2312" w:hint="eastAsia"/>
          <w:b w:val="0"/>
          <w:bCs w:val="0"/>
          <w:sz w:val="28"/>
          <w:szCs w:val="28"/>
        </w:rPr>
      </w:pPr>
      <w:bookmarkEnd w:id="74"/>
      <w:bookmarkEnd w:id="75"/>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p>
      <w:pPr>
        <w:spacing w:line="570" w:lineRule="exact"/>
        <w:ind w:firstLine="560" w:firstLineChars="200"/>
        <w:rPr>
          <w:rFonts w:ascii="仿宋" w:eastAsia="仿宋" w:hAnsi="仿宋" w:hint="eastAsia"/>
          <w:sz w:val="28"/>
          <w:szCs w:val="28"/>
        </w:rPr>
      </w:pPr>
      <w:bookmarkStart w:id="77" w:name="_Toc524551142"/>
      <w:bookmarkEnd w:id="76"/>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15年</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w:t>
            </w:r>
            <w:r>
              <w:rPr>
                <w:rFonts w:ascii="仿宋_GB2312" w:hint="eastAsia"/>
                <w:sz w:val="24"/>
              </w:rPr>
              <w:t>≥</w:t>
            </w:r>
            <w:r>
              <w:rPr>
                <w:rFonts w:ascii="仿宋_GB2312" w:hint="eastAsia"/>
                <w:sz w:val="24"/>
              </w:rPr>
              <w:t>35km</w:t>
            </w:r>
          </w:p>
        </w:tc>
      </w:tr>
      <w:tr>
        <w:tblPrEx>
          <w:tblW w:w="8760" w:type="dxa"/>
          <w:jc w:val="center"/>
          <w:tblLayout w:type="fixed"/>
          <w:tblCellMar>
            <w:top w:w="0" w:type="dxa"/>
            <w:left w:w="108" w:type="dxa"/>
            <w:bottom w:w="0" w:type="dxa"/>
            <w:right w:w="108" w:type="dxa"/>
          </w:tblCellMar>
          <w:tblLook w:val="000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500m</w:t>
            </w:r>
          </w:p>
        </w:tc>
      </w:tr>
      <w:tr>
        <w:tblPrEx>
          <w:tblW w:w="8760" w:type="dxa"/>
          <w:jc w:val="center"/>
          <w:tblLayout w:type="fixed"/>
          <w:tblCellMar>
            <w:top w:w="0" w:type="dxa"/>
            <w:left w:w="108" w:type="dxa"/>
            <w:bottom w:w="0" w:type="dxa"/>
            <w:right w:w="108" w:type="dxa"/>
          </w:tblCellMar>
          <w:tblLook w:val="0000"/>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75m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48m/s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w:t>
            </w:r>
            <w:r>
              <w:rPr>
                <w:rFonts w:ascii="仿宋_GB2312" w:hint="eastAsia"/>
                <w:sz w:val="24"/>
              </w:rPr>
              <w:t>°</w:t>
            </w:r>
            <w:r>
              <w:rPr>
                <w:rFonts w:ascii="仿宋_GB2312" w:hint="eastAsia"/>
                <w:sz w:val="24"/>
              </w:rPr>
              <w:t>～+180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w:t>
            </w:r>
            <w:r>
              <w:rPr>
                <w:rFonts w:ascii="仿宋_GB2312" w:hint="eastAsia"/>
                <w:sz w:val="24"/>
              </w:rPr>
              <w:t>°</w:t>
            </w:r>
            <w:r>
              <w:rPr>
                <w:rFonts w:ascii="仿宋_GB2312" w:hint="eastAsia"/>
                <w:sz w:val="24"/>
              </w:rPr>
              <w:t>/km～+10</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0.5dB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0.01</w:t>
            </w:r>
          </w:p>
        </w:tc>
      </w:tr>
      <w:tr>
        <w:tblPrEx>
          <w:tblW w:w="8760" w:type="dxa"/>
          <w:jc w:val="center"/>
          <w:tblLayout w:type="fixed"/>
          <w:tblCellMar>
            <w:top w:w="0" w:type="dxa"/>
            <w:left w:w="108" w:type="dxa"/>
            <w:bottom w:w="0" w:type="dxa"/>
            <w:right w:w="108" w:type="dxa"/>
          </w:tblCellMar>
          <w:tblLook w:val="0000"/>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18dBZ</w:t>
            </w:r>
          </w:p>
        </w:tc>
      </w:tr>
      <w:tr>
        <w:tblPrEx>
          <w:tblW w:w="8760" w:type="dxa"/>
          <w:jc w:val="center"/>
          <w:tblLayout w:type="fixed"/>
          <w:tblCellMar>
            <w:top w:w="0" w:type="dxa"/>
            <w:left w:w="108" w:type="dxa"/>
            <w:bottom w:w="0" w:type="dxa"/>
            <w:right w:w="108" w:type="dxa"/>
          </w:tblCellMar>
          <w:tblLook w:val="0000"/>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w:t>
            </w:r>
          </w:p>
        </w:tc>
      </w:tr>
      <w:tr>
        <w:tblPrEx>
          <w:tblW w:w="8760" w:type="dxa"/>
          <w:jc w:val="center"/>
          <w:tblLayout w:type="fixed"/>
          <w:tblCellMar>
            <w:top w:w="0" w:type="dxa"/>
            <w:left w:w="108" w:type="dxa"/>
            <w:bottom w:w="0" w:type="dxa"/>
            <w:right w:w="108" w:type="dxa"/>
          </w:tblCellMar>
          <w:tblLook w:val="0000"/>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30MHz</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Look w:val="0000"/>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w:t>
            </w:r>
            <w:r>
              <w:rPr>
                <w:rFonts w:ascii="仿宋_GB2312" w:hint="eastAsia"/>
                <w:sz w:val="24"/>
              </w:rPr>
              <w:t>±</w:t>
            </w:r>
            <w:r>
              <w:rPr>
                <w:rFonts w:ascii="仿宋_GB2312" w:hint="eastAsia"/>
                <w:sz w:val="24"/>
              </w:rPr>
              <w:t>10%，或太阳能、风能等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w:t>
            </w:r>
            <w:r>
              <w:rPr>
                <w:rFonts w:ascii="仿宋_GB2312" w:hint="eastAsia"/>
                <w:sz w:val="24"/>
              </w:rPr>
              <w:t>≤</w:t>
            </w:r>
            <w:r>
              <w:rPr>
                <w:rFonts w:ascii="仿宋_GB2312" w:hint="eastAsia"/>
                <w:sz w:val="24"/>
              </w:rPr>
              <w:t>5000m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800W</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5000h</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w:t>
            </w:r>
            <w:r>
              <w:rPr>
                <w:rFonts w:ascii="仿宋_GB2312" w:hint="eastAsia"/>
                <w:sz w:val="24"/>
              </w:rPr>
              <w:t>Ω</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1.3m</w:t>
            </w:r>
          </w:p>
        </w:tc>
      </w:tr>
      <w:tr>
        <w:tblPrEx>
          <w:tblW w:w="8819" w:type="dxa"/>
          <w:jc w:val="center"/>
          <w:tblLayout w:type="fixed"/>
          <w:tblCellMar>
            <w:top w:w="0" w:type="dxa"/>
            <w:left w:w="108" w:type="dxa"/>
            <w:bottom w:w="0" w:type="dxa"/>
            <w:right w:w="108" w:type="dxa"/>
          </w:tblCellMar>
          <w:tblLook w:val="0000"/>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1.2dB（双程）</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Look w:val="000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1m</w:t>
            </w:r>
          </w:p>
        </w:tc>
      </w:tr>
      <w:tr>
        <w:tblPrEx>
          <w:tblW w:w="8776" w:type="dxa"/>
          <w:jc w:val="center"/>
          <w:tblLayout w:type="fixed"/>
          <w:tblCellMar>
            <w:top w:w="0" w:type="dxa"/>
            <w:left w:w="108" w:type="dxa"/>
            <w:bottom w:w="0" w:type="dxa"/>
            <w:right w:w="108" w:type="dxa"/>
          </w:tblCellMar>
          <w:tblLook w:val="0000"/>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（含天线罩）</w:t>
            </w:r>
          </w:p>
        </w:tc>
      </w:tr>
      <w:tr>
        <w:tblPrEx>
          <w:tblW w:w="8776" w:type="dxa"/>
          <w:jc w:val="center"/>
          <w:tblLayout w:type="fixed"/>
          <w:tblCellMar>
            <w:top w:w="0" w:type="dxa"/>
            <w:left w:w="108" w:type="dxa"/>
            <w:bottom w:w="0" w:type="dxa"/>
            <w:right w:w="108" w:type="dxa"/>
          </w:tblCellMar>
          <w:tblLook w:val="0000"/>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（不含天线罩）</w:t>
            </w:r>
          </w:p>
        </w:tc>
      </w:tr>
      <w:tr>
        <w:tblPrEx>
          <w:tblW w:w="8776" w:type="dxa"/>
          <w:jc w:val="center"/>
          <w:tblLayout w:type="fixed"/>
          <w:tblCellMar>
            <w:top w:w="0" w:type="dxa"/>
            <w:left w:w="108" w:type="dxa"/>
            <w:bottom w:w="0" w:type="dxa"/>
            <w:right w:w="108" w:type="dxa"/>
          </w:tblCellMar>
          <w:tblLook w:val="0000"/>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Look w:val="0000"/>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0.3dB</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Look w:val="0000"/>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3dB</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w:t>
            </w:r>
            <w:r>
              <w:rPr>
                <w:rFonts w:ascii="仿宋_GB2312" w:hint="eastAsia"/>
                <w:sz w:val="24"/>
              </w:rPr>
              <w:t>±</w:t>
            </w:r>
            <w:r>
              <w:rPr>
                <w:rFonts w:ascii="仿宋_GB2312" w:hint="eastAsia"/>
                <w:sz w:val="24"/>
              </w:rPr>
              <w:t>1dB</w:t>
            </w:r>
          </w:p>
        </w:tc>
      </w:tr>
      <w:tr>
        <w:tblPrEx>
          <w:tblW w:w="8739" w:type="dxa"/>
          <w:jc w:val="center"/>
          <w:tblLayout w:type="fixed"/>
          <w:tblCellMar>
            <w:top w:w="0" w:type="dxa"/>
            <w:left w:w="108" w:type="dxa"/>
            <w:bottom w:w="0" w:type="dxa"/>
            <w:right w:w="108" w:type="dxa"/>
          </w:tblCellMar>
          <w:tblLook w:val="0000"/>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w:t>
            </w:r>
            <w:r>
              <w:rPr>
                <w:rFonts w:ascii="仿宋_GB2312" w:hint="eastAsia"/>
                <w:sz w:val="24"/>
              </w:rPr>
              <w:t>°</w:t>
            </w:r>
            <w:r>
              <w:rPr>
                <w:rFonts w:ascii="仿宋_GB2312" w:hint="eastAsia"/>
                <w:sz w:val="24"/>
              </w:rPr>
              <w:t>连续扫描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w:t>
            </w:r>
            <w:r>
              <w:rPr>
                <w:rFonts w:ascii="仿宋_GB2312" w:hint="eastAsia"/>
                <w:sz w:val="24"/>
              </w:rPr>
              <w:t>°</w:t>
            </w:r>
            <w:r>
              <w:rPr>
                <w:rFonts w:ascii="仿宋_GB2312" w:hint="eastAsia"/>
                <w:sz w:val="24"/>
              </w:rPr>
              <w:t>往返扫描</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36</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12</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Look w:val="0000"/>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0.3</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02"/>
        <w:gridCol w:w="4961"/>
      </w:tblGrid>
      <w:tr>
        <w:tblPrEx>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w:t>
            </w:r>
            <w:r>
              <w:rPr>
                <w:rFonts w:ascii="仿宋_GB2312" w:hint="eastAsia"/>
                <w:sz w:val="24"/>
              </w:rPr>
              <w:t>μ</w:t>
            </w:r>
            <w:r>
              <w:rPr>
                <w:rFonts w:ascii="仿宋_GB2312" w:hint="eastAsia"/>
                <w:sz w:val="24"/>
              </w:rPr>
              <w:t>s（可选）</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38"/>
        <w:gridCol w:w="1355"/>
        <w:gridCol w:w="4475"/>
      </w:tblGrid>
      <w:tr>
        <w:tblPrEx>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3dB（机外）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80dB（机外）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-110dBm（带宽1MHz）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-40dBc</w:t>
            </w:r>
          </w:p>
        </w:tc>
      </w:tr>
      <w:tr>
        <w:tblPrEx>
          <w:tblW w:w="8668" w:type="dxa"/>
          <w:jc w:val="center"/>
          <w:tblInd w:w="-593" w:type="dxa"/>
          <w:tblLayout w:type="fixed"/>
          <w:tblCellMar>
            <w:top w:w="0" w:type="dxa"/>
            <w:left w:w="108" w:type="dxa"/>
            <w:bottom w:w="0" w:type="dxa"/>
            <w:right w:w="108" w:type="dxa"/>
          </w:tblCellMar>
          <w:tblLook w:val="0000"/>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-110dBc/Hz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-115dBc/Hz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w:t>
            </w:r>
            <w:r>
              <w:rPr>
                <w:rFonts w:ascii="仿宋_GB2312" w:hint="eastAsia"/>
                <w:sz w:val="24"/>
              </w:rPr>
              <w:t>≥</w:t>
            </w:r>
            <w:r>
              <w:rPr>
                <w:rFonts w:ascii="仿宋_GB2312" w:hint="eastAsia"/>
                <w:sz w:val="24"/>
              </w:rPr>
              <w:t>100时，</w:t>
            </w:r>
            <w:r>
              <w:rPr>
                <w:rFonts w:ascii="仿宋_GB2312" w:hint="eastAsia"/>
                <w:sz w:val="24"/>
              </w:rPr>
              <w:t>≥</w:t>
            </w:r>
            <w:r>
              <w:rPr>
                <w:rFonts w:ascii="仿宋_GB2312" w:hint="eastAsia"/>
                <w:sz w:val="24"/>
              </w:rPr>
              <w:t>50dB</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500个</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w:t>
            </w:r>
            <w:r>
              <w:rPr>
                <w:rFonts w:ascii="仿宋_GB2312" w:hint="eastAsia"/>
                <w:sz w:val="24"/>
              </w:rPr>
              <w:t>μ</w:t>
            </w:r>
            <w:r>
              <w:rPr>
                <w:rFonts w:ascii="仿宋_GB2312" w:hint="eastAsia"/>
                <w:sz w:val="24"/>
              </w:rPr>
              <w:t>s</w:t>
            </w:r>
            <w:r>
              <w:rPr>
                <w:rFonts w:ascii="宋体" w:eastAsia="宋体" w:hAnsi="宋体" w:hint="eastAsia"/>
                <w:sz w:val="24"/>
              </w:rPr>
              <w:t>～</w:t>
            </w:r>
            <w:r>
              <w:rPr>
                <w:rFonts w:ascii="仿宋_GB2312" w:hint="eastAsia"/>
                <w:sz w:val="24"/>
              </w:rPr>
              <w:t>200</w:t>
            </w:r>
            <w:r>
              <w:rPr>
                <w:rFonts w:ascii="仿宋_GB2312" w:hint="eastAsia"/>
                <w:sz w:val="24"/>
              </w:rPr>
              <w:t>μ</w:t>
            </w:r>
            <w:r>
              <w:rPr>
                <w:rFonts w:ascii="仿宋_GB2312" w:hint="eastAsia"/>
                <w:sz w:val="24"/>
              </w:rPr>
              <w:t>s</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Ind w:w="203" w:type="dxa"/>
        <w:tblCellMar>
          <w:top w:w="0" w:type="dxa"/>
          <w:left w:w="108" w:type="dxa"/>
          <w:bottom w:w="0" w:type="dxa"/>
          <w:right w:w="108" w:type="dxa"/>
        </w:tblCellMar>
        <w:tblLook w:val="0000"/>
      </w:tblPr>
      <w:tblGrid>
        <w:gridCol w:w="878"/>
        <w:gridCol w:w="1896"/>
        <w:gridCol w:w="5881"/>
      </w:tblGrid>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240" w:lineRule="auto"/>
              <w:jc w:val="center"/>
              <w:rPr>
                <w:rFonts w:ascii="仿宋_GB2312"/>
                <w:b/>
              </w:rPr>
            </w:pPr>
            <w:r>
              <w:rPr>
                <w:rFonts w:ascii="仿宋_GB2312" w:hint="eastAsia"/>
                <w:b/>
                <w:sz w:val="24"/>
                <w:szCs w:val="24"/>
              </w:rPr>
              <w:t>类别</w:t>
            </w:r>
          </w:p>
        </w:tc>
        <w:tc>
          <w:tcPr>
            <w:tcW w:w="2875" w:type="dxa"/>
            <w:vAlign w:val="center"/>
          </w:tcPr>
          <w:p>
            <w:pPr>
              <w:spacing w:line="240" w:lineRule="auto"/>
              <w:jc w:val="center"/>
              <w:rPr>
                <w:rFonts w:ascii="仿宋_GB2312"/>
                <w:b/>
              </w:rPr>
            </w:pPr>
            <w:r>
              <w:rPr>
                <w:rFonts w:ascii="仿宋_GB2312" w:hint="eastAsia"/>
                <w:b/>
                <w:sz w:val="24"/>
                <w:szCs w:val="24"/>
              </w:rPr>
              <w:t>产品名称</w:t>
            </w:r>
          </w:p>
        </w:tc>
        <w:tc>
          <w:tcPr>
            <w:tcW w:w="3489" w:type="dxa"/>
            <w:vAlign w:val="center"/>
          </w:tcPr>
          <w:p>
            <w:pPr>
              <w:spacing w:line="240" w:lineRule="auto"/>
              <w:jc w:val="center"/>
              <w:rPr>
                <w:rFonts w:ascii="仿宋_GB2312"/>
                <w:b/>
              </w:rPr>
            </w:pPr>
            <w:r>
              <w:rPr>
                <w:rFonts w:ascii="仿宋_GB2312" w:hint="eastAsia"/>
                <w:b/>
                <w:sz w:val="24"/>
                <w:szCs w:val="24"/>
              </w:rPr>
              <w:t>产品标识</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基础量</w:t>
            </w:r>
          </w:p>
          <w:p>
            <w:pPr>
              <w:spacing w:line="240" w:lineRule="auto"/>
              <w:jc w:val="center"/>
              <w:rPr>
                <w:rFonts w:ascii="仿宋_GB2312"/>
              </w:rPr>
            </w:pPr>
            <w:r>
              <w:rPr>
                <w:rFonts w:ascii="仿宋_GB2312" w:hint="eastAsia"/>
                <w:sz w:val="24"/>
                <w:szCs w:val="24"/>
              </w:rPr>
              <w:t>（9种）</w:t>
            </w:r>
          </w:p>
        </w:tc>
        <w:tc>
          <w:tcPr>
            <w:tcW w:w="2875" w:type="dxa"/>
            <w:vAlign w:val="center"/>
          </w:tcPr>
          <w:p>
            <w:pPr>
              <w:spacing w:line="240" w:lineRule="auto"/>
              <w:jc w:val="center"/>
              <w:rPr>
                <w:rFonts w:ascii="仿宋_GB2312"/>
              </w:rPr>
            </w:pPr>
            <w:r>
              <w:rPr>
                <w:rFonts w:ascii="仿宋_GB2312" w:hint="eastAsia"/>
                <w:sz w:val="24"/>
                <w:szCs w:val="24"/>
              </w:rPr>
              <w:t>滤波后反射率</w:t>
            </w:r>
          </w:p>
        </w:tc>
        <w:tc>
          <w:tcPr>
            <w:tcW w:w="3489" w:type="dxa"/>
            <w:vAlign w:val="center"/>
          </w:tcPr>
          <w:p>
            <w:pPr>
              <w:spacing w:line="240" w:lineRule="auto"/>
              <w:jc w:val="center"/>
              <w:rPr>
                <w:rFonts w:ascii="仿宋_GB2312"/>
              </w:rPr>
            </w:pPr>
            <w:r>
              <w:rPr>
                <w:rFonts w:ascii="仿宋_GB2312" w:hint="eastAsia"/>
                <w:sz w:val="24"/>
                <w:szCs w:val="24"/>
              </w:rPr>
              <w:t>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径向速度</w:t>
            </w:r>
          </w:p>
        </w:tc>
        <w:tc>
          <w:tcPr>
            <w:tcW w:w="3489" w:type="dxa"/>
            <w:vAlign w:val="center"/>
          </w:tcPr>
          <w:p>
            <w:pPr>
              <w:spacing w:line="240" w:lineRule="auto"/>
              <w:jc w:val="center"/>
              <w:rPr>
                <w:rFonts w:ascii="仿宋_GB2312"/>
              </w:rPr>
            </w:pPr>
            <w:r>
              <w:rPr>
                <w:rFonts w:ascii="仿宋_GB2312" w:hint="eastAsia"/>
                <w:sz w:val="24"/>
                <w:szCs w:val="24"/>
              </w:rPr>
              <w:t>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速度谱宽</w:t>
            </w:r>
          </w:p>
        </w:tc>
        <w:tc>
          <w:tcPr>
            <w:tcW w:w="3489" w:type="dxa"/>
            <w:vAlign w:val="center"/>
          </w:tcPr>
          <w:p>
            <w:pPr>
              <w:spacing w:line="240" w:lineRule="auto"/>
              <w:jc w:val="center"/>
              <w:rPr>
                <w:rFonts w:ascii="仿宋_GB2312"/>
              </w:rPr>
            </w:pPr>
            <w:r>
              <w:rPr>
                <w:rFonts w:ascii="仿宋_GB2312" w:hint="eastAsia"/>
                <w:sz w:val="24"/>
                <w:szCs w:val="24"/>
              </w:rPr>
              <w:t>SW</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水平通道信噪比</w:t>
            </w:r>
          </w:p>
        </w:tc>
        <w:tc>
          <w:tcPr>
            <w:tcW w:w="3489" w:type="dxa"/>
            <w:vAlign w:val="center"/>
          </w:tcPr>
          <w:p>
            <w:pPr>
              <w:spacing w:line="240" w:lineRule="auto"/>
              <w:jc w:val="center"/>
              <w:rPr>
                <w:rFonts w:ascii="仿宋_GB2312"/>
              </w:rPr>
            </w:pPr>
            <w:r>
              <w:rPr>
                <w:rFonts w:ascii="仿宋_GB2312" w:hint="eastAsia"/>
                <w:sz w:val="24"/>
                <w:szCs w:val="24"/>
              </w:rPr>
              <w:t>SNRH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差分反射率</w:t>
            </w:r>
          </w:p>
        </w:tc>
        <w:tc>
          <w:tcPr>
            <w:tcW w:w="3489" w:type="dxa"/>
            <w:vAlign w:val="center"/>
          </w:tcPr>
          <w:p>
            <w:pPr>
              <w:spacing w:line="240" w:lineRule="auto"/>
              <w:jc w:val="center"/>
              <w:rPr>
                <w:rFonts w:ascii="仿宋_GB2312"/>
              </w:rPr>
            </w:pPr>
            <w:r>
              <w:rPr>
                <w:rFonts w:ascii="仿宋_GB2312" w:hint="eastAsia"/>
                <w:sz w:val="24"/>
                <w:szCs w:val="24"/>
              </w:rPr>
              <w:t>ZDR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w:t>
            </w:r>
          </w:p>
        </w:tc>
        <w:tc>
          <w:tcPr>
            <w:tcW w:w="3489" w:type="dxa"/>
            <w:vAlign w:val="center"/>
          </w:tcPr>
          <w:p>
            <w:pPr>
              <w:spacing w:line="240" w:lineRule="auto"/>
              <w:jc w:val="center"/>
              <w:rPr>
                <w:rFonts w:ascii="仿宋_GB2312"/>
              </w:rPr>
            </w:pPr>
            <w:r>
              <w:rPr>
                <w:rFonts w:ascii="仿宋_GB2312" w:hint="eastAsia"/>
                <w:sz w:val="24"/>
                <w:szCs w:val="24"/>
              </w:rPr>
              <w:t>PDP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差分传播相移率</w:t>
            </w:r>
          </w:p>
        </w:tc>
        <w:tc>
          <w:tcPr>
            <w:tcW w:w="3489" w:type="dxa"/>
            <w:vAlign w:val="center"/>
          </w:tcPr>
          <w:p>
            <w:pPr>
              <w:spacing w:line="240" w:lineRule="auto"/>
              <w:jc w:val="center"/>
              <w:rPr>
                <w:rFonts w:ascii="仿宋_GB2312"/>
              </w:rPr>
            </w:pPr>
            <w:r>
              <w:rPr>
                <w:rFonts w:ascii="仿宋_GB2312" w:hint="eastAsia"/>
                <w:sz w:val="24"/>
                <w:szCs w:val="24"/>
              </w:rPr>
              <w:t>KDP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相关系数</w:t>
            </w:r>
          </w:p>
        </w:tc>
        <w:tc>
          <w:tcPr>
            <w:tcW w:w="3489" w:type="dxa"/>
            <w:vAlign w:val="center"/>
          </w:tcPr>
          <w:p>
            <w:pPr>
              <w:spacing w:line="240" w:lineRule="auto"/>
              <w:jc w:val="center"/>
              <w:rPr>
                <w:rFonts w:ascii="仿宋_GB2312"/>
              </w:rPr>
            </w:pPr>
            <w:r>
              <w:rPr>
                <w:rFonts w:ascii="仿宋_GB2312" w:hint="eastAsia"/>
                <w:sz w:val="24"/>
                <w:szCs w:val="24"/>
              </w:rPr>
              <w:t>CC</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垂直通道信噪比</w:t>
            </w:r>
          </w:p>
        </w:tc>
        <w:tc>
          <w:tcPr>
            <w:tcW w:w="3489" w:type="dxa"/>
            <w:vAlign w:val="center"/>
          </w:tcPr>
          <w:p>
            <w:pPr>
              <w:spacing w:line="240" w:lineRule="auto"/>
              <w:jc w:val="center"/>
              <w:rPr>
                <w:rFonts w:ascii="仿宋_GB2312"/>
              </w:rPr>
            </w:pPr>
            <w:r>
              <w:rPr>
                <w:rFonts w:ascii="仿宋_GB2312" w:hint="eastAsia"/>
                <w:sz w:val="24"/>
                <w:szCs w:val="24"/>
              </w:rPr>
              <w:t>SNRV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物理量</w:t>
            </w:r>
          </w:p>
          <w:p>
            <w:pPr>
              <w:spacing w:line="240" w:lineRule="auto"/>
              <w:jc w:val="center"/>
              <w:rPr>
                <w:rFonts w:ascii="仿宋_GB2312"/>
              </w:rPr>
            </w:pPr>
            <w:r>
              <w:rPr>
                <w:rFonts w:ascii="仿宋_GB2312" w:hint="eastAsia"/>
                <w:sz w:val="24"/>
                <w:szCs w:val="24"/>
              </w:rPr>
              <w:t>（1</w:t>
            </w:r>
            <w:r>
              <w:rPr>
                <w:rFonts w:ascii="仿宋_GB2312"/>
                <w:sz w:val="24"/>
                <w:szCs w:val="24"/>
              </w:rPr>
              <w:t>0</w:t>
            </w:r>
            <w:r>
              <w:rPr>
                <w:rFonts w:ascii="仿宋_GB2312" w:hint="eastAsia"/>
                <w:sz w:val="24"/>
                <w:szCs w:val="24"/>
              </w:rPr>
              <w:t>种）</w:t>
            </w:r>
          </w:p>
        </w:tc>
        <w:tc>
          <w:tcPr>
            <w:tcW w:w="2875" w:type="dxa"/>
            <w:vAlign w:val="center"/>
          </w:tcPr>
          <w:p>
            <w:pPr>
              <w:spacing w:line="240" w:lineRule="auto"/>
              <w:jc w:val="center"/>
              <w:rPr>
                <w:rFonts w:ascii="仿宋_GB2312"/>
              </w:rPr>
            </w:pPr>
            <w:r>
              <w:rPr>
                <w:rFonts w:ascii="仿宋_GB2312" w:hint="eastAsia"/>
                <w:sz w:val="24"/>
                <w:szCs w:val="24"/>
              </w:rPr>
              <w:t>组合反射率</w:t>
            </w:r>
          </w:p>
        </w:tc>
        <w:tc>
          <w:tcPr>
            <w:tcW w:w="3489" w:type="dxa"/>
            <w:vAlign w:val="center"/>
          </w:tcPr>
          <w:p>
            <w:pPr>
              <w:spacing w:line="240" w:lineRule="auto"/>
              <w:jc w:val="center"/>
              <w:rPr>
                <w:rFonts w:ascii="仿宋_GB2312"/>
              </w:rPr>
            </w:pPr>
            <w:r>
              <w:rPr>
                <w:rFonts w:ascii="仿宋_GB2312" w:hint="eastAsia"/>
                <w:sz w:val="24"/>
                <w:szCs w:val="24"/>
              </w:rPr>
              <w:t>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垂直积分液态水</w:t>
            </w:r>
          </w:p>
        </w:tc>
        <w:tc>
          <w:tcPr>
            <w:tcW w:w="3489" w:type="dxa"/>
            <w:vAlign w:val="center"/>
          </w:tcPr>
          <w:p>
            <w:pPr>
              <w:spacing w:line="240" w:lineRule="auto"/>
              <w:jc w:val="center"/>
              <w:rPr>
                <w:rFonts w:ascii="仿宋_GB2312"/>
              </w:rPr>
            </w:pPr>
            <w:r>
              <w:rPr>
                <w:rFonts w:ascii="仿宋_GB2312" w:hint="eastAsia"/>
                <w:sz w:val="24"/>
                <w:szCs w:val="24"/>
              </w:rPr>
              <w:t>VIL</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回波顶高</w:t>
            </w:r>
          </w:p>
        </w:tc>
        <w:tc>
          <w:tcPr>
            <w:tcW w:w="3489" w:type="dxa"/>
            <w:vAlign w:val="center"/>
          </w:tcPr>
          <w:p>
            <w:pPr>
              <w:spacing w:line="240" w:lineRule="auto"/>
              <w:jc w:val="center"/>
              <w:rPr>
                <w:rFonts w:ascii="仿宋_GB2312"/>
              </w:rPr>
            </w:pPr>
            <w:r>
              <w:rPr>
                <w:rFonts w:ascii="仿宋_GB2312" w:hint="eastAsia"/>
                <w:sz w:val="24"/>
                <w:szCs w:val="24"/>
              </w:rPr>
              <w:t>ET</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分层组合反射率</w:t>
            </w:r>
          </w:p>
        </w:tc>
        <w:tc>
          <w:tcPr>
            <w:tcW w:w="3489" w:type="dxa"/>
            <w:vAlign w:val="center"/>
          </w:tcPr>
          <w:p>
            <w:pPr>
              <w:spacing w:line="240" w:lineRule="auto"/>
              <w:jc w:val="center"/>
              <w:rPr>
                <w:rFonts w:ascii="仿宋_GB2312"/>
              </w:rPr>
            </w:pPr>
            <w:r>
              <w:rPr>
                <w:rFonts w:ascii="仿宋_GB2312" w:hint="eastAsia"/>
                <w:sz w:val="24"/>
                <w:szCs w:val="24"/>
              </w:rPr>
              <w:t>LCR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风暴质心高度</w:t>
            </w:r>
          </w:p>
        </w:tc>
        <w:tc>
          <w:tcPr>
            <w:tcW w:w="3489" w:type="dxa"/>
            <w:vAlign w:val="center"/>
          </w:tcPr>
          <w:p>
            <w:pPr>
              <w:spacing w:line="240" w:lineRule="auto"/>
              <w:jc w:val="center"/>
              <w:rPr>
                <w:rFonts w:ascii="仿宋_GB2312"/>
              </w:rPr>
            </w:pPr>
            <w:r>
              <w:rPr>
                <w:rFonts w:ascii="仿宋_GB2312" w:hint="eastAsia"/>
                <w:sz w:val="24"/>
                <w:szCs w:val="24"/>
              </w:rPr>
              <w:t>RCH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速度方位显示风廓线</w:t>
            </w:r>
          </w:p>
        </w:tc>
        <w:tc>
          <w:tcPr>
            <w:tcW w:w="3489" w:type="dxa"/>
            <w:vAlign w:val="center"/>
          </w:tcPr>
          <w:p>
            <w:pPr>
              <w:spacing w:line="240" w:lineRule="auto"/>
              <w:jc w:val="center"/>
              <w:rPr>
                <w:rFonts w:ascii="仿宋_GB2312"/>
              </w:rPr>
            </w:pPr>
            <w:r>
              <w:rPr>
                <w:rFonts w:ascii="仿宋_GB2312" w:hint="eastAsia"/>
                <w:sz w:val="24"/>
                <w:szCs w:val="24"/>
              </w:rPr>
              <w:t>VWP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1小时累积降水量</w:t>
            </w:r>
          </w:p>
        </w:tc>
        <w:tc>
          <w:tcPr>
            <w:tcW w:w="3489" w:type="dxa"/>
            <w:vAlign w:val="center"/>
          </w:tcPr>
          <w:p>
            <w:pPr>
              <w:spacing w:line="240" w:lineRule="auto"/>
              <w:jc w:val="center"/>
              <w:rPr>
                <w:rFonts w:ascii="仿宋_GB2312"/>
              </w:rPr>
            </w:pPr>
            <w:r>
              <w:rPr>
                <w:rFonts w:ascii="仿宋_GB2312"/>
                <w:sz w:val="24"/>
                <w:szCs w:val="24"/>
              </w:rPr>
              <w:t>1</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小时累积降水量</w:t>
            </w:r>
          </w:p>
        </w:tc>
        <w:tc>
          <w:tcPr>
            <w:tcW w:w="3489"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N小时累积降水量</w:t>
            </w:r>
          </w:p>
        </w:tc>
        <w:tc>
          <w:tcPr>
            <w:tcW w:w="3489" w:type="dxa"/>
            <w:vAlign w:val="center"/>
          </w:tcPr>
          <w:p>
            <w:pPr>
              <w:spacing w:line="240" w:lineRule="auto"/>
              <w:jc w:val="center"/>
              <w:rPr>
                <w:rFonts w:ascii="仿宋_GB2312"/>
              </w:rPr>
            </w:pPr>
            <w:r>
              <w:rPr>
                <w:rFonts w:ascii="仿宋_GB2312" w:hint="eastAsia"/>
                <w:sz w:val="24"/>
                <w:szCs w:val="24"/>
              </w:rPr>
              <w:t>NHP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风暴相对径向速度</w:t>
            </w:r>
          </w:p>
        </w:tc>
        <w:tc>
          <w:tcPr>
            <w:tcW w:w="3489" w:type="dxa"/>
            <w:vAlign w:val="center"/>
          </w:tcPr>
          <w:p>
            <w:pPr>
              <w:spacing w:line="240" w:lineRule="auto"/>
              <w:jc w:val="center"/>
              <w:rPr>
                <w:rFonts w:ascii="仿宋_GB2312"/>
              </w:rPr>
            </w:pPr>
            <w:r>
              <w:rPr>
                <w:rFonts w:ascii="仿宋_GB2312" w:hint="eastAsia"/>
                <w:sz w:val="24"/>
                <w:szCs w:val="24"/>
              </w:rPr>
              <w:t>SRM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识别产品</w:t>
            </w:r>
          </w:p>
          <w:p>
            <w:pPr>
              <w:spacing w:line="240" w:lineRule="auto"/>
              <w:jc w:val="center"/>
              <w:rPr>
                <w:rFonts w:ascii="仿宋_GB2312"/>
              </w:rPr>
            </w:pPr>
            <w:r>
              <w:rPr>
                <w:rFonts w:ascii="仿宋_GB2312" w:hint="eastAsia"/>
                <w:sz w:val="24"/>
                <w:szCs w:val="24"/>
              </w:rPr>
              <w:t>（6种）</w:t>
            </w:r>
          </w:p>
        </w:tc>
        <w:tc>
          <w:tcPr>
            <w:tcW w:w="2875" w:type="dxa"/>
            <w:vAlign w:val="center"/>
          </w:tcPr>
          <w:p>
            <w:pPr>
              <w:spacing w:line="240" w:lineRule="auto"/>
              <w:jc w:val="center"/>
              <w:rPr>
                <w:rFonts w:ascii="仿宋_GB2312"/>
              </w:rPr>
            </w:pPr>
            <w:r>
              <w:rPr>
                <w:rFonts w:ascii="仿宋_GB2312" w:hint="eastAsia"/>
                <w:sz w:val="24"/>
                <w:szCs w:val="24"/>
              </w:rPr>
              <w:t>冰雹指数</w:t>
            </w:r>
          </w:p>
        </w:tc>
        <w:tc>
          <w:tcPr>
            <w:tcW w:w="3489" w:type="dxa"/>
            <w:vAlign w:val="center"/>
          </w:tcPr>
          <w:p>
            <w:pPr>
              <w:spacing w:line="240" w:lineRule="auto"/>
              <w:jc w:val="center"/>
              <w:rPr>
                <w:rFonts w:ascii="仿宋_GB2312"/>
              </w:rPr>
            </w:pPr>
            <w:r>
              <w:rPr>
                <w:rFonts w:ascii="仿宋_GB2312" w:hint="eastAsia"/>
                <w:sz w:val="24"/>
                <w:szCs w:val="24"/>
              </w:rPr>
              <w:t>HI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风暴追踪信息</w:t>
            </w:r>
          </w:p>
        </w:tc>
        <w:tc>
          <w:tcPr>
            <w:tcW w:w="3489" w:type="dxa"/>
            <w:vAlign w:val="center"/>
          </w:tcPr>
          <w:p>
            <w:pPr>
              <w:spacing w:line="240" w:lineRule="auto"/>
              <w:jc w:val="center"/>
              <w:rPr>
                <w:rFonts w:ascii="仿宋_GB2312"/>
              </w:rPr>
            </w:pPr>
            <w:r>
              <w:rPr>
                <w:rFonts w:ascii="仿宋_GB2312" w:hint="eastAsia"/>
                <w:sz w:val="24"/>
                <w:szCs w:val="24"/>
              </w:rPr>
              <w:t>STI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中气旋</w:t>
            </w:r>
          </w:p>
        </w:tc>
        <w:tc>
          <w:tcPr>
            <w:tcW w:w="3489" w:type="dxa"/>
            <w:vAlign w:val="center"/>
          </w:tcPr>
          <w:p>
            <w:pPr>
              <w:spacing w:line="240" w:lineRule="auto"/>
              <w:jc w:val="center"/>
              <w:rPr>
                <w:rFonts w:ascii="仿宋_GB2312"/>
              </w:rPr>
            </w:pPr>
            <w:r>
              <w:rPr>
                <w:rFonts w:ascii="仿宋_GB2312" w:hint="eastAsia"/>
                <w:sz w:val="24"/>
                <w:szCs w:val="24"/>
              </w:rPr>
              <w:t>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雷暴大风</w:t>
            </w:r>
          </w:p>
        </w:tc>
        <w:tc>
          <w:tcPr>
            <w:tcW w:w="3489" w:type="dxa"/>
            <w:vAlign w:val="center"/>
          </w:tcPr>
          <w:p>
            <w:pPr>
              <w:spacing w:line="240" w:lineRule="auto"/>
              <w:jc w:val="center"/>
              <w:rPr>
                <w:rFonts w:ascii="仿宋_GB2312"/>
              </w:rPr>
            </w:pPr>
            <w:r>
              <w:rPr>
                <w:rFonts w:ascii="仿宋_GB2312" w:hint="eastAsia"/>
                <w:sz w:val="24"/>
                <w:szCs w:val="24"/>
              </w:rPr>
              <w:t>TD</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短时强降水</w:t>
            </w:r>
          </w:p>
        </w:tc>
        <w:tc>
          <w:tcPr>
            <w:tcW w:w="3489" w:type="dxa"/>
            <w:vAlign w:val="center"/>
          </w:tcPr>
          <w:p>
            <w:pPr>
              <w:spacing w:line="240" w:lineRule="auto"/>
              <w:jc w:val="center"/>
              <w:rPr>
                <w:rFonts w:ascii="仿宋_GB2312"/>
              </w:rPr>
            </w:pPr>
            <w:r>
              <w:rPr>
                <w:rFonts w:ascii="仿宋_GB2312" w:hint="eastAsia"/>
                <w:sz w:val="24"/>
                <w:szCs w:val="24"/>
              </w:rPr>
              <w:t>HR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水凝物分类</w:t>
            </w:r>
          </w:p>
        </w:tc>
        <w:tc>
          <w:tcPr>
            <w:tcW w:w="3489" w:type="dxa"/>
            <w:vAlign w:val="center"/>
          </w:tcPr>
          <w:p>
            <w:pPr>
              <w:spacing w:line="240" w:lineRule="auto"/>
              <w:jc w:val="center"/>
              <w:rPr>
                <w:rFonts w:ascii="仿宋_GB2312"/>
              </w:rPr>
            </w:pPr>
            <w:r>
              <w:rPr>
                <w:rFonts w:ascii="仿宋_GB2312" w:hint="eastAsia"/>
                <w:sz w:val="24"/>
                <w:szCs w:val="24"/>
              </w:rPr>
              <w:t>HCL</w:t>
            </w:r>
          </w:p>
        </w:tc>
      </w:tr>
      <w:tr>
        <w:tblPrEx>
          <w:tblW w:w="8592" w:type="dxa"/>
          <w:jc w:val="center"/>
          <w:tblLayout w:type="fixed"/>
          <w:tblCellMar>
            <w:top w:w="0" w:type="dxa"/>
            <w:left w:w="108" w:type="dxa"/>
            <w:bottom w:w="0" w:type="dxa"/>
            <w:right w:w="108" w:type="dxa"/>
          </w:tblCellMar>
          <w:tblLook w:val="0000"/>
        </w:tblPrEx>
        <w:trPr>
          <w:cantSplit/>
          <w:trHeight w:val="424"/>
          <w:jc w:val="center"/>
        </w:trPr>
        <w:tc>
          <w:tcPr>
            <w:tcW w:w="2228" w:type="dxa"/>
            <w:vMerge w:val="restart"/>
            <w:vAlign w:val="center"/>
          </w:tcPr>
          <w:p>
            <w:pPr>
              <w:spacing w:line="240" w:lineRule="auto"/>
              <w:jc w:val="center"/>
              <w:rPr>
                <w:rFonts w:ascii="仿宋_GB2312"/>
              </w:rPr>
            </w:pPr>
            <w:r>
              <w:rPr>
                <w:rFonts w:ascii="仿宋_GB2312" w:hint="eastAsia"/>
                <w:sz w:val="24"/>
                <w:szCs w:val="24"/>
              </w:rPr>
              <w:t>告警产品</w:t>
            </w:r>
          </w:p>
          <w:p>
            <w:pPr>
              <w:spacing w:line="240" w:lineRule="auto"/>
              <w:jc w:val="center"/>
              <w:rPr>
                <w:rFonts w:ascii="仿宋_GB2312"/>
              </w:rPr>
            </w:pPr>
            <w:r>
              <w:rPr>
                <w:rFonts w:ascii="仿宋_GB2312" w:hint="eastAsia"/>
                <w:sz w:val="24"/>
                <w:szCs w:val="24"/>
              </w:rPr>
              <w:t>（2种）</w:t>
            </w:r>
          </w:p>
        </w:tc>
        <w:tc>
          <w:tcPr>
            <w:tcW w:w="2875" w:type="dxa"/>
            <w:vAlign w:val="center"/>
          </w:tcPr>
          <w:p>
            <w:pPr>
              <w:spacing w:line="240" w:lineRule="auto"/>
              <w:jc w:val="center"/>
              <w:rPr>
                <w:rFonts w:ascii="仿宋_GB2312"/>
              </w:rPr>
            </w:pPr>
            <w:r>
              <w:rPr>
                <w:rFonts w:ascii="仿宋_GB2312"/>
                <w:sz w:val="24"/>
                <w:szCs w:val="24"/>
              </w:rPr>
              <w:t>冰雹强度趋势</w:t>
            </w:r>
            <w:r>
              <w:rPr>
                <w:rFonts w:ascii="仿宋_GB2312" w:hint="eastAsia"/>
                <w:sz w:val="24"/>
                <w:szCs w:val="24"/>
              </w:rPr>
              <w:t>告警</w:t>
            </w:r>
          </w:p>
        </w:tc>
        <w:tc>
          <w:tcPr>
            <w:tcW w:w="3489" w:type="dxa"/>
            <w:vAlign w:val="center"/>
          </w:tcPr>
          <w:p>
            <w:pPr>
              <w:spacing w:line="240" w:lineRule="auto"/>
              <w:jc w:val="center"/>
              <w:rPr>
                <w:rFonts w:ascii="仿宋_GB2312"/>
              </w:rPr>
            </w:pPr>
            <w:r>
              <w:rPr>
                <w:rFonts w:ascii="仿宋_GB2312" w:hint="eastAsia"/>
                <w:sz w:val="24"/>
                <w:szCs w:val="24"/>
              </w:rPr>
              <w:t>MESHT</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降雨强度告警</w:t>
            </w:r>
          </w:p>
        </w:tc>
        <w:tc>
          <w:tcPr>
            <w:tcW w:w="3489" w:type="dxa"/>
            <w:vAlign w:val="center"/>
          </w:tcPr>
          <w:p>
            <w:pPr>
              <w:spacing w:line="240" w:lineRule="auto"/>
              <w:jc w:val="center"/>
              <w:rPr>
                <w:rFonts w:ascii="仿宋_GB2312"/>
              </w:rPr>
            </w:pPr>
            <w:r>
              <w:rPr>
                <w:rFonts w:ascii="仿宋_GB2312"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p>
      <w:pPr>
        <w:spacing w:line="240" w:lineRule="auto"/>
        <w:ind w:firstLine="560" w:firstLineChars="200"/>
        <w:outlineLvl w:val="2"/>
        <w:rPr>
          <w:rFonts w:ascii="仿宋" w:eastAsia="仿宋" w:hAnsi="仿宋" w:cs="仿宋" w:hint="eastAsia"/>
          <w:sz w:val="28"/>
          <w:szCs w:val="20"/>
        </w:rPr>
      </w:pPr>
      <w:bookmarkEnd w:id="79"/>
      <w:r>
        <w:rPr>
          <w:rFonts w:ascii="仿宋_GB2312" w:eastAsia="仿宋_GB2312" w:hAnsi="仿宋_GB2312" w:cs="仿宋_GB2312" w:hint="eastAsia"/>
          <w:bCs/>
          <w:sz w:val="28"/>
          <w:szCs w:val="28"/>
          <w:highlight w:val="none"/>
        </w:rPr>
        <w:t>六</w:t>
      </w:r>
      <w:r>
        <w:rPr>
          <w:rFonts w:ascii="仿宋_GB2312" w:eastAsia="仿宋_GB2312" w:hAnsi="仿宋_GB2312" w:cs="仿宋_GB2312" w:hint="eastAsia"/>
          <w:bCs/>
          <w:sz w:val="28"/>
          <w:szCs w:val="28"/>
          <w:highlight w:val="none"/>
        </w:rPr>
        <w:t xml:space="preserve"> </w:t>
      </w:r>
      <w:r>
        <w:rPr>
          <w:rFonts w:ascii="仿宋_GB2312" w:eastAsia="仿宋_GB2312" w:hAnsi="仿宋_GB2312" w:cs="仿宋_GB2312" w:hint="eastAsia"/>
          <w:bCs/>
          <w:sz w:val="28"/>
          <w:szCs w:val="28"/>
          <w:highlight w:val="none"/>
        </w:rPr>
        <w:t>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1"/>
        <w:gridCol w:w="2173"/>
        <w:gridCol w:w="1034"/>
        <w:gridCol w:w="1438"/>
        <w:gridCol w:w="1640"/>
        <w:gridCol w:w="1034"/>
        <w:gridCol w:w="61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2,572,000.00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2,572,000.00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7"/>
        <w:gridCol w:w="1485"/>
        <w:gridCol w:w="1505"/>
        <w:gridCol w:w="437"/>
        <w:gridCol w:w="996"/>
        <w:gridCol w:w="830"/>
        <w:gridCol w:w="716"/>
        <w:gridCol w:w="211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南宁市局(001049031)</w:t>
            </w:r>
          </w:p>
        </w:tc>
        <w:tc>
          <w:tcPr/>
          <w:p>
            <w:r>
              <w:t>X波段双线偏振多普勒天气雷达（简易型）</w:t>
            </w:r>
          </w:p>
        </w:tc>
        <w:tc>
          <w:tcPr/>
          <w:p>
            <w:r>
              <w:t>1</w:t>
            </w:r>
          </w:p>
        </w:tc>
        <w:tc>
          <w:tcPr/>
          <w:p>
            <w:r>
              <w:t>800000.00</w:t>
            </w:r>
          </w:p>
        </w:tc>
        <w:tc>
          <w:tcPr/>
          <w:p>
            <w:r>
              <w:t xml:space="preserve">800000.00  </w:t>
            </w:r>
          </w:p>
        </w:tc>
        <w:tc>
          <w:tcPr/>
          <w:p>
            <w:r>
              <w:t>南宁市</w:t>
            </w:r>
          </w:p>
        </w:tc>
        <w:tc>
          <w:tcPr/>
          <w:p>
            <w:r>
              <w:t>南宁市气象局，联系人：林奕桐  18878729273</w:t>
            </w:r>
          </w:p>
        </w:tc>
      </w:tr>
      <w:tr>
        <w:tblPrEx>
          <w:tblW w:w="5000" w:type="pct"/>
          <w:tblCellMar>
            <w:left w:w="108" w:type="dxa"/>
            <w:right w:w="108" w:type="dxa"/>
          </w:tblCellMar>
        </w:tblPrEx>
        <w:tc>
          <w:tcPr/>
          <w:p>
            <w:r>
              <w:t>2</w:t>
            </w:r>
          </w:p>
        </w:tc>
        <w:tc>
          <w:tcPr/>
          <w:p>
            <w:r>
              <w:t>钦州市局(001049037)</w:t>
            </w:r>
          </w:p>
        </w:tc>
        <w:tc>
          <w:tcPr/>
          <w:p>
            <w:r>
              <w:t>X波段双线偏振多普勒天气雷达（简易型）</w:t>
            </w:r>
          </w:p>
        </w:tc>
        <w:tc>
          <w:tcPr/>
          <w:p>
            <w:r>
              <w:t>2</w:t>
            </w:r>
          </w:p>
        </w:tc>
        <w:tc>
          <w:tcPr/>
          <w:p>
            <w:r>
              <w:t>1772000.00</w:t>
            </w:r>
          </w:p>
        </w:tc>
        <w:tc>
          <w:tcPr/>
          <w:p>
            <w:r>
              <w:t xml:space="preserve">1772000.00 </w:t>
            </w:r>
          </w:p>
        </w:tc>
        <w:tc>
          <w:tcPr/>
          <w:p>
            <w:r>
              <w:t>钦州市</w:t>
            </w:r>
          </w:p>
        </w:tc>
        <w:tc>
          <w:tcPr/>
          <w:p>
            <w:r>
              <w:t>钦州市气象局，联系人：毛琳 18376999460</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highlight w:val="none"/>
        </w:rPr>
      </w:pPr>
      <w:r>
        <w:rPr>
          <w:rFonts w:ascii="仿宋" w:eastAsia="仿宋" w:hAnsi="仿宋" w:cs="仿宋"/>
          <w:b/>
          <w:sz w:val="36"/>
          <w:szCs w:val="36"/>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highlight w:val="none"/>
        </w:rPr>
        <w:instrText>ADDIN CNKISM.UserStyle</w:instrText>
      </w:r>
      <w:r>
        <w:rPr>
          <w:rFonts w:ascii="仿宋" w:eastAsia="仿宋" w:hAnsi="仿宋" w:cs="仿宋"/>
          <w:b/>
          <w:sz w:val="36"/>
          <w:szCs w:val="36"/>
          <w:highlight w:val="none"/>
        </w:rPr>
        <w:fldChar w:fldCharType="separate"/>
      </w:r>
      <w:r>
        <w:rPr>
          <w:rFonts w:ascii="仿宋" w:eastAsia="仿宋" w:hAnsi="仿宋" w:cs="仿宋"/>
          <w:b/>
          <w:sz w:val="36"/>
          <w:szCs w:val="36"/>
          <w:highlight w:val="none"/>
        </w:rPr>
        <w:fldChar w:fldCharType="end"/>
      </w:r>
      <w:r>
        <w:rPr>
          <w:rFonts w:ascii="仿宋" w:eastAsia="仿宋" w:hAnsi="仿宋" w:cs="仿宋" w:hint="eastAsia"/>
          <w:b/>
          <w:sz w:val="36"/>
          <w:szCs w:val="36"/>
          <w:highlight w:val="none"/>
        </w:rPr>
        <w:t>采购需求（其他技术及商务需求）</w:t>
      </w:r>
    </w:p>
    <w:p>
      <w:pPr>
        <w:spacing w:line="560" w:lineRule="exact"/>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一、项目概况及总体要求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eastAsia="zh-CN"/>
        </w:rPr>
        <w:t>依据</w:t>
      </w:r>
      <w:r>
        <w:rPr>
          <w:rFonts w:ascii="仿宋" w:eastAsia="仿宋" w:hAnsi="仿宋" w:cs="仿宋" w:hint="eastAsia"/>
          <w:sz w:val="28"/>
          <w:szCs w:val="20"/>
          <w:highlight w:val="none"/>
        </w:rPr>
        <w:t>2025年四川等8省（区、市）微小型X波段天气雷达建设</w:t>
      </w:r>
      <w:r>
        <w:rPr>
          <w:rFonts w:ascii="仿宋" w:eastAsia="仿宋" w:hAnsi="仿宋" w:cs="仿宋" w:hint="eastAsia"/>
          <w:sz w:val="28"/>
          <w:szCs w:val="20"/>
          <w:highlight w:val="none"/>
          <w:lang w:eastAsia="zh-CN"/>
        </w:rPr>
        <w:t>项目的要求，</w:t>
      </w:r>
      <w:r>
        <w:rPr>
          <w:rFonts w:ascii="仿宋" w:eastAsia="仿宋" w:hAnsi="仿宋" w:cs="仿宋" w:hint="eastAsia"/>
          <w:sz w:val="28"/>
          <w:szCs w:val="20"/>
          <w:highlight w:val="none"/>
        </w:rPr>
        <w:t>在山川、河谷等因海拔高差或地形导致小尺度天气灾害易发区，建设一种成本低、功耗小、轻巧的微小型X波段天气雷达，填补位置偏远、交通不便的主要天气系统上游地区监测盲区，提升流域、山地、丘陵等现有雷达观测盲区对特定方位灾害天气的监测能力，提高灾害易发区短时临近预报能力。目前南宁市仅有一部S波段天气雷达及一部X波段天气雷达，无法形成三维空间观测组网，无法有效监测冰雹和短时阵性雷暴大风为典型的中小尺度强对流灾害性天气系统，筑牢气象防灾减灾第一道防线需要建设具有更高时空分辨率的气象探测设备。紧紧围绕监测精密，在南宁市新增一部微小型X波段天气雷达，一是弥补从近地层到1km高度区域内（雷暴大风、冰雹、短时强降雨易发区）灾害性强对流天气的实况监测；二是形成三维组网以精确探测中小尺度灾害性天气系统的内部结构的不足，实现快速发现、精细扫描和预警中小尺度天气系统的能力。</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二、售后服务要求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三、培训要求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通过培训，使工作人员需要了解如何正确操作设备，以确保准确</w:t>
      </w:r>
      <w:r>
        <w:rPr>
          <w:rFonts w:ascii="仿宋" w:eastAsia="仿宋" w:hAnsi="仿宋" w:cs="仿宋" w:hint="eastAsia"/>
          <w:sz w:val="28"/>
          <w:szCs w:val="20"/>
          <w:highlight w:val="none"/>
        </w:rPr>
        <w:t>的数据收集和技术处理</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rPr>
        <w:t>工作人员需要了解如何排除故障并进行日常维护，以确保设备的正常运行</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rPr>
        <w:t>需要特定的安全操作规程，工作人员需要了解并遵守这些规程，以确保自身和他人的安全。书面承诺每种设备的培训讲师具有中级以上职称或从事该设备技术工作至少2年；</w:t>
      </w:r>
    </w:p>
    <w:p>
      <w:pPr>
        <w:ind w:firstLine="560" w:firstLineChars="200"/>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24</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r>
        <w:rPr>
          <w:rFonts w:ascii="仿宋" w:eastAsia="仿宋" w:hAnsi="仿宋" w:cs="仿宋" w:hint="eastAsia"/>
          <w:sz w:val="28"/>
          <w:szCs w:val="20"/>
          <w:highlight w:val="none"/>
          <w:lang w:val="en-US" w:eastAsia="zh-CN"/>
        </w:rPr>
        <w:t xml:space="preserve">      </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四、交货要求及履约地点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中标供应商将所有设备运送至</w:t>
      </w:r>
      <w:r>
        <w:rPr>
          <w:rFonts w:ascii="仿宋" w:eastAsia="仿宋" w:hAnsi="仿宋" w:cs="仿宋" w:hint="eastAsia"/>
          <w:sz w:val="28"/>
          <w:szCs w:val="20"/>
          <w:highlight w:val="none"/>
          <w:lang w:val="en-US" w:eastAsia="zh-CN"/>
        </w:rPr>
        <w:t>南宁、钦州</w:t>
      </w:r>
      <w:r>
        <w:rPr>
          <w:rFonts w:ascii="仿宋" w:eastAsia="仿宋" w:hAnsi="仿宋" w:cs="仿宋" w:hint="eastAsia"/>
          <w:sz w:val="28"/>
          <w:szCs w:val="20"/>
          <w:highlight w:val="none"/>
        </w:rPr>
        <w:t>（运输相关费用由供应商负责），并负责安装调试。</w:t>
      </w:r>
    </w:p>
    <w:p>
      <w:pPr>
        <w:ind w:left="559" w:leftChars="266"/>
        <w:rPr>
          <w:rFonts w:ascii="仿宋" w:eastAsia="仿宋" w:hAnsi="仿宋" w:cs="仿宋"/>
          <w:b/>
          <w:bCs/>
          <w:sz w:val="28"/>
          <w:szCs w:val="20"/>
          <w:highlight w:val="none"/>
        </w:rPr>
      </w:pPr>
      <w:r>
        <w:rPr>
          <w:rFonts w:ascii="仿宋" w:eastAsia="仿宋" w:hAnsi="仿宋" w:cs="仿宋" w:hint="eastAsia"/>
          <w:sz w:val="28"/>
          <w:szCs w:val="20"/>
          <w:highlight w:val="none"/>
        </w:rPr>
        <w:t>合同签订后120天内完成供货、</w:t>
      </w:r>
      <w:r>
        <w:rPr>
          <w:rFonts w:ascii="仿宋" w:eastAsia="仿宋" w:hAnsi="仿宋" w:cs="仿宋" w:hint="eastAsia"/>
          <w:sz w:val="28"/>
          <w:szCs w:val="20"/>
          <w:highlight w:val="none"/>
          <w:lang w:val="en-US" w:eastAsia="zh-CN"/>
        </w:rPr>
        <w:t>180天</w:t>
      </w:r>
      <w:r>
        <w:rPr>
          <w:rFonts w:ascii="仿宋" w:eastAsia="仿宋" w:hAnsi="仿宋" w:cs="仿宋" w:hint="eastAsia"/>
          <w:sz w:val="28"/>
          <w:szCs w:val="20"/>
          <w:highlight w:val="none"/>
        </w:rPr>
        <w:t>安装调试并具备验收条件。</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五、服务团队要求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六、投标产品软件兼容性要求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设备软件兼容性强，设备数据传输模式、数据格式、数据通讯协议满足气象部门功能要求，可无缝接入气象业务内网网络系统，实现与气象业务内网网络系统省级业务平台无缝接入，完全符合甲方相关要求和规范，保证其系统的兼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b/>
          <w:bCs/>
          <w:szCs w:val="21"/>
        </w:rPr>
      </w:pPr>
      <w:bookmarkStart w:id="89"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90"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space="708"/>
          <w:docGrid w:type="lines" w:linePitch="312"/>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91" w:name="_Toc22209"/>
      <w:bookmarkEnd w:id="9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91"/>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w:t>
      </w:r>
      <w:r>
        <w:rPr>
          <w:rFonts w:ascii="宋体" w:hAnsi="宋体" w:hint="eastAsia"/>
          <w:szCs w:val="21"/>
          <w:u w:val="single"/>
          <w:lang w:val="en-US" w:eastAsia="zh-CN"/>
        </w:rPr>
        <w:t xml:space="preserve"> </w:t>
      </w:r>
      <w:r>
        <w:rPr>
          <w:rFonts w:ascii="宋体" w:hAnsi="宋体" w:hint="eastAsia"/>
          <w:szCs w:val="21"/>
          <w:u w:val="single"/>
        </w:rPr>
        <w:t>签订合同首付</w:t>
      </w:r>
      <w:r>
        <w:rPr>
          <w:rFonts w:ascii="宋体" w:hAnsi="宋体" w:hint="eastAsia"/>
          <w:szCs w:val="21"/>
          <w:u w:val="single"/>
          <w:lang w:val="en-US" w:eastAsia="zh-CN"/>
        </w:rPr>
        <w:t>90</w:t>
      </w:r>
      <w:r>
        <w:rPr>
          <w:rFonts w:ascii="宋体" w:hAnsi="宋体" w:hint="eastAsia"/>
          <w:szCs w:val="21"/>
          <w:u w:val="single"/>
        </w:rPr>
        <w:t>%，完成验收就支付尾款1</w:t>
      </w:r>
      <w:r>
        <w:rPr>
          <w:rFonts w:ascii="宋体" w:hAnsi="宋体" w:hint="eastAsia"/>
          <w:szCs w:val="21"/>
          <w:u w:val="single"/>
          <w:lang w:val="en-US" w:eastAsia="zh-CN"/>
        </w:rPr>
        <w:t>0</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宋体" w:hAnsi="宋体" w:cs="宋体" w:hint="eastAsia"/>
          <w:lang w:val="en-US" w:eastAsia="zh-CN"/>
        </w:rPr>
        <w:t xml:space="preserve"> </w:t>
      </w:r>
      <w:r>
        <w:rPr>
          <w:rFonts w:ascii="宋体" w:hAnsi="宋体" w:cs="宋体" w:hint="eastAsia"/>
          <w:szCs w:val="21"/>
        </w:rPr>
        <w:t xml:space="preserve">是   </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银行保函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合同金额5%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8"/>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8"/>
        </w:numPr>
        <w:tabs>
          <w:tab w:val="left" w:pos="1573"/>
        </w:tabs>
        <w:adjustRightInd w:val="0"/>
        <w:snapToGrid w:val="0"/>
        <w:spacing w:line="360" w:lineRule="auto"/>
        <w:ind w:firstLine="420" w:firstLineChars="200"/>
        <w:rPr>
          <w:rFonts w:hint="eastAsia"/>
        </w:rPr>
      </w:pPr>
      <w:r>
        <w:rPr>
          <w:rFonts w:hint="eastAsia"/>
        </w:rPr>
        <w:t>合同签订后XXX天内，完成设备出厂测试，XXX天内发货</w:t>
      </w:r>
    </w:p>
    <w:p>
      <w:pPr>
        <w:numPr>
          <w:ilvl w:val="0"/>
          <w:numId w:val="8"/>
        </w:numPr>
        <w:tabs>
          <w:tab w:val="left" w:pos="1573"/>
        </w:tabs>
        <w:adjustRightInd w:val="0"/>
        <w:snapToGrid w:val="0"/>
        <w:spacing w:line="360" w:lineRule="auto"/>
        <w:ind w:firstLine="420" w:firstLineChars="200"/>
        <w:rPr>
          <w:rFonts w:hint="eastAsia"/>
        </w:rPr>
      </w:pPr>
      <w:r>
        <w:rPr>
          <w:rFonts w:hint="eastAsia"/>
        </w:rPr>
        <w:t>合同签订后XXX天内，完成现场后安装、测试和数据上传。</w:t>
      </w:r>
    </w:p>
    <w:p>
      <w:pPr>
        <w:numPr>
          <w:ilvl w:val="0"/>
          <w:numId w:val="8"/>
        </w:numPr>
        <w:tabs>
          <w:tab w:val="left" w:pos="1573"/>
        </w:tabs>
        <w:adjustRightInd w:val="0"/>
        <w:snapToGrid w:val="0"/>
        <w:spacing w:line="360" w:lineRule="auto"/>
        <w:ind w:firstLine="420" w:firstLineChars="200"/>
      </w:pPr>
      <w:r>
        <w:rPr>
          <w:rFonts w:hint="eastAsia"/>
        </w:rPr>
        <w:t>合同签订后XXX天内，完成现场验收。</w:t>
      </w:r>
    </w:p>
    <w:p>
      <w:pPr>
        <w:numPr>
          <w:ilvl w:val="0"/>
          <w:numId w:val="8"/>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备品备件、故障维修、巡检巡查等具体要求按照《2024年气象观测站网工程新上设备建设及质保指导意见（7种生态观测设备）》、《</w:t>
      </w:r>
      <w:r>
        <w:rPr>
          <w:rFonts w:hint="eastAsia"/>
        </w:rPr>
        <w:t>“</w:t>
      </w:r>
      <w:r>
        <w:rPr>
          <w:rFonts w:hint="eastAsia"/>
        </w:rPr>
        <w:t>十四五</w:t>
      </w:r>
      <w:r>
        <w:rPr>
          <w:rFonts w:hint="eastAsia"/>
        </w:rPr>
        <w:t>”</w:t>
      </w:r>
      <w:r>
        <w:rPr>
          <w:rFonts w:hint="eastAsia"/>
        </w:rPr>
        <w:t>期间综合观测类工程项目新上设备建设及质保指导意见》文件执行。</w:t>
      </w:r>
      <w:r>
        <w:rPr>
          <w:rFonts w:hAnsi="仿宋_GB2312" w:cs="仿宋_GB2312" w:hint="eastAsia"/>
          <w:color w:val="3366FF"/>
        </w:rPr>
        <w:t>（已发布质保指导意见的设备采购遵照指导意见具体要求执行，未发布的修改为：按照XXXXXX招标文件具体要求执行）</w:t>
      </w:r>
    </w:p>
    <w:p>
      <w:pPr>
        <w:numPr>
          <w:ilvl w:val="0"/>
          <w:numId w:val="7"/>
        </w:numPr>
        <w:adjustRightInd w:val="0"/>
        <w:snapToGrid w:val="0"/>
        <w:spacing w:line="360" w:lineRule="auto"/>
        <w:ind w:left="420"/>
        <w:rPr>
          <w:b/>
        </w:rPr>
      </w:pPr>
      <w:r>
        <w:rPr>
          <w:rFonts w:hint="eastAsia"/>
          <w:b/>
        </w:rPr>
        <w:t>验收</w:t>
      </w:r>
    </w:p>
    <w:p>
      <w:pPr>
        <w:pStyle w:val="BodyTextFirstIndent2"/>
        <w:numPr>
          <w:ilvl w:val="0"/>
          <w:numId w:val="9"/>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color w:val="FF0000"/>
          <w:highlight w:val="yellow"/>
        </w:rPr>
        <w:t>XX</w:t>
      </w:r>
      <w:r>
        <w:rPr>
          <w:rFonts w:hint="eastAsia"/>
          <w:highlight w:val="yellow"/>
        </w:rPr>
        <w:t>设备需具备装备许可，否则验收为不合格，追究乙方责任。满足《</w:t>
      </w:r>
      <w:r>
        <w:rPr>
          <w:rFonts w:hint="eastAsia"/>
          <w:highlight w:val="yellow"/>
        </w:rPr>
        <w:t>“</w:t>
      </w:r>
      <w:r>
        <w:rPr>
          <w:rFonts w:hint="eastAsia"/>
          <w:highlight w:val="yellow"/>
        </w:rPr>
        <w:t>十四五</w:t>
      </w:r>
      <w:r>
        <w:rPr>
          <w:rFonts w:hint="eastAsia"/>
          <w:highlight w:val="yellow"/>
        </w:rPr>
        <w:t>”</w:t>
      </w:r>
      <w:r>
        <w:rPr>
          <w:rFonts w:hint="eastAsia"/>
          <w:highlight w:val="yellow"/>
        </w:rPr>
        <w:t>期间综合观测类工程项目新上设备验收技术指南》验收要求。</w:t>
      </w:r>
    </w:p>
    <w:p>
      <w:pPr>
        <w:pStyle w:val="BodyTextFirstIndent2"/>
        <w:numPr>
          <w:ilvl w:val="0"/>
          <w:numId w:val="9"/>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9"/>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9"/>
        </w:numPr>
        <w:ind w:leftChars="0" w:firstLineChars="0"/>
        <w:rPr>
          <w:rFonts w:hint="eastAsia"/>
          <w:highlight w:val="yellow"/>
        </w:rPr>
      </w:pPr>
      <w:r>
        <w:rPr>
          <w:rFonts w:hint="eastAsia"/>
          <w:highlight w:val="yellow"/>
        </w:rPr>
        <w:t>在设备试运行结束后，经甲方验收合格后签署合同验收报告。</w:t>
      </w:r>
      <w:r>
        <w:rPr>
          <w:rFonts w:hint="eastAsia"/>
          <w:color w:val="FF0000"/>
          <w:highlight w:val="yellow"/>
        </w:rPr>
        <w:t>各省根据设备情况补充，</w:t>
      </w:r>
      <w:r>
        <w:rPr>
          <w:rFonts w:hint="eastAsia"/>
          <w:highlight w:val="yellow"/>
        </w:rPr>
        <w:t>按照验收技术指导意见完善。</w:t>
      </w:r>
    </w:p>
    <w:p>
      <w:pPr>
        <w:pStyle w:val="BodyTextFirstIndent2"/>
        <w:numPr>
          <w:ilvl w:val="0"/>
          <w:numId w:val="9"/>
        </w:numPr>
        <w:ind w:leftChars="0" w:firstLineChars="0"/>
        <w:rPr>
          <w:rFonts w:hint="eastAsia"/>
          <w:highlight w:val="yellow"/>
        </w:rPr>
      </w:pPr>
      <w:r>
        <w:rPr>
          <w:rFonts w:hint="eastAsia"/>
          <w:color w:val="FF0000"/>
          <w:highlight w:val="yellow"/>
        </w:rPr>
        <w:t>各省根据情况补充。</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各省根据情况可补充。</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乙方承诺为甲方提供终身免费7天</w:t>
      </w:r>
      <w:r>
        <w:rPr>
          <w:rFonts w:ascii="宋体" w:hAnsi="宋体" w:hint="eastAsia"/>
          <w:szCs w:val="21"/>
          <w:highlight w:val="yellow"/>
        </w:rPr>
        <w:t>×</w:t>
      </w:r>
      <w:r>
        <w:rPr>
          <w:rFonts w:ascii="宋体" w:hAnsi="宋体"/>
          <w:szCs w:val="21"/>
          <w:highlight w:val="yellow"/>
        </w:rPr>
        <w:t>24</w:t>
      </w:r>
      <w:r>
        <w:rPr>
          <w:rFonts w:ascii="宋体" w:hAnsi="宋体" w:hint="eastAsia"/>
          <w:szCs w:val="21"/>
          <w:highlight w:val="yellow"/>
        </w:rPr>
        <w:t>小时远程技术支持服务。在货物出现故障或接到甲方提出的技术服务要求后2小时内予以答复，1</w:t>
      </w:r>
      <w:r>
        <w:rPr>
          <w:rFonts w:ascii="宋体" w:hAnsi="宋体"/>
          <w:szCs w:val="21"/>
          <w:highlight w:val="yellow"/>
        </w:rPr>
        <w:t>2</w:t>
      </w:r>
      <w:r>
        <w:rPr>
          <w:rFonts w:ascii="宋体" w:hAnsi="宋体" w:hint="eastAsia"/>
          <w:szCs w:val="21"/>
          <w:highlight w:val="yellow"/>
        </w:rPr>
        <w:t>小时内给出维修方案。甲方有要求或必要时，乙方将在接到甲方通知后7</w:t>
      </w:r>
      <w:r>
        <w:rPr>
          <w:rFonts w:ascii="宋体" w:hAnsi="宋体"/>
          <w:szCs w:val="21"/>
          <w:highlight w:val="yellow"/>
        </w:rPr>
        <w:t>2</w:t>
      </w:r>
      <w:r>
        <w:rPr>
          <w:rFonts w:ascii="宋体" w:hAnsi="宋体" w:hint="eastAsia"/>
          <w:szCs w:val="21"/>
          <w:highlight w:val="yellow"/>
        </w:rPr>
        <w:t>小时内到达现场。</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szCs w:val="21"/>
          <w:highlight w:val="yellow"/>
        </w:rPr>
        <w:t>4）质保期内提供XX 次现场培训</w:t>
      </w:r>
    </w:p>
    <w:p>
      <w:pPr>
        <w:adjustRightInd w:val="0"/>
        <w:snapToGrid w:val="0"/>
        <w:spacing w:line="360" w:lineRule="auto"/>
        <w:ind w:left="420"/>
        <w:rPr>
          <w:b/>
        </w:rPr>
      </w:pPr>
      <w:r>
        <w:rPr>
          <w:rFonts w:hint="eastAsia"/>
          <w:b/>
        </w:rPr>
        <w:t>（5）安全生产责任</w:t>
      </w:r>
    </w:p>
    <w:p>
      <w:pPr>
        <w:pStyle w:val="BodyTextFirstIndent2"/>
        <w:ind w:left="0" w:leftChars="0"/>
        <w:rPr>
          <w:rFonts w:ascii="宋体" w:hAnsi="宋体"/>
          <w:color w:val="FF0000"/>
          <w:szCs w:val="21"/>
          <w:highlight w:val="yellow"/>
        </w:rPr>
      </w:pPr>
      <w:r>
        <w:rPr>
          <w:rFonts w:hint="eastAsia"/>
          <w:color w:val="FF0000"/>
          <w:highlight w:val="yellow"/>
        </w:rPr>
        <w:t>各省根据情况可补充</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CellMar>
            <w:top w:w="0" w:type="dxa"/>
            <w:left w:w="108" w:type="dxa"/>
            <w:bottom w:w="0" w:type="dxa"/>
            <w:right w:w="108" w:type="dxa"/>
          </w:tblCellMar>
          <w:tblLook w:val="0000"/>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CellMar>
            <w:top w:w="0" w:type="dxa"/>
            <w:left w:w="108" w:type="dxa"/>
            <w:bottom w:w="0" w:type="dxa"/>
            <w:right w:w="108" w:type="dxa"/>
          </w:tblCellMar>
          <w:tblLook w:val="0000"/>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92" w:name="_Toc27624"/>
      <w:r>
        <w:rPr>
          <w:rFonts w:ascii="黑体" w:hAnsi="黑体" w:hint="eastAsia"/>
          <w:b w:val="0"/>
          <w:bCs w:val="0"/>
          <w:sz w:val="28"/>
          <w:szCs w:val="28"/>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合同</w:t>
      </w:r>
      <w:r>
        <w:rPr>
          <w:rFonts w:ascii="宋体" w:hAnsi="宋体" w:hint="eastAsia"/>
          <w:szCs w:val="21"/>
        </w:rPr>
        <w:t>”</w:t>
      </w:r>
      <w:r>
        <w:rPr>
          <w:rFonts w:ascii="宋体" w:hAnsi="宋体" w:hint="eastAsia"/>
          <w:szCs w:val="21"/>
        </w:rPr>
        <w:t>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合同价款</w:t>
      </w:r>
      <w:r>
        <w:rPr>
          <w:rFonts w:ascii="宋体" w:hAnsi="宋体" w:hint="eastAsia"/>
          <w:szCs w:val="21"/>
        </w:rPr>
        <w:t>”</w:t>
      </w:r>
      <w:r>
        <w:rPr>
          <w:rFonts w:ascii="宋体" w:hAnsi="宋体" w:hint="eastAsia"/>
          <w:szCs w:val="21"/>
        </w:rPr>
        <w:t>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w:t>
      </w:r>
      <w:r>
        <w:rPr>
          <w:rFonts w:ascii="宋体" w:hAnsi="宋体" w:hint="eastAsia"/>
          <w:szCs w:val="21"/>
        </w:rPr>
        <w:t>“</w:t>
      </w:r>
      <w:r>
        <w:rPr>
          <w:rFonts w:ascii="宋体" w:hAnsi="宋体" w:hint="eastAsia"/>
          <w:szCs w:val="21"/>
        </w:rPr>
        <w:t>货物</w:t>
      </w:r>
      <w:r>
        <w:rPr>
          <w:rFonts w:ascii="宋体" w:hAnsi="宋体" w:hint="eastAsia"/>
          <w:szCs w:val="21"/>
        </w:rPr>
        <w:t>”</w:t>
      </w:r>
      <w:r>
        <w:rPr>
          <w:rFonts w:ascii="宋体" w:hAnsi="宋体" w:hint="eastAsia"/>
          <w:szCs w:val="21"/>
        </w:rPr>
        <w:t>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w:t>
      </w:r>
      <w:r>
        <w:rPr>
          <w:rFonts w:ascii="宋体" w:hAnsi="宋体" w:hint="eastAsia"/>
          <w:color w:val="000000"/>
          <w:szCs w:val="21"/>
        </w:rPr>
        <w:t>”</w:t>
      </w:r>
      <w:r>
        <w:rPr>
          <w:rFonts w:ascii="宋体" w:hAnsi="宋体" w:hint="eastAsia"/>
          <w:color w:val="000000"/>
          <w:szCs w:val="21"/>
        </w:rPr>
        <w:t>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分包</w:t>
      </w:r>
      <w:r>
        <w:rPr>
          <w:rFonts w:ascii="宋体" w:hAnsi="宋体" w:hint="eastAsia"/>
          <w:color w:val="000000"/>
          <w:szCs w:val="21"/>
        </w:rPr>
        <w:t>”</w:t>
      </w:r>
      <w:r>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w:t>
      </w:r>
      <w:r>
        <w:rPr>
          <w:rFonts w:ascii="宋体" w:hAnsi="宋体" w:hint="eastAsia"/>
          <w:szCs w:val="21"/>
        </w:rPr>
        <w:t>联合体</w:t>
      </w:r>
      <w:r>
        <w:rPr>
          <w:rFonts w:ascii="宋体" w:hAnsi="宋体" w:hint="eastAsia"/>
          <w:szCs w:val="21"/>
        </w:rPr>
        <w:t>”</w:t>
      </w:r>
      <w:r>
        <w:rPr>
          <w:rFonts w:ascii="宋体" w:hAnsi="宋体" w:hint="eastAsia"/>
          <w:szCs w:val="21"/>
        </w:rPr>
        <w:t>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94"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Look w:val="0000"/>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5"/>
        </w:numPr>
        <w:spacing w:line="360" w:lineRule="auto"/>
        <w:ind w:firstLine="3066" w:firstLineChars="1460"/>
        <w:jc w:val="left"/>
        <w:rPr>
          <w:b/>
          <w:bCs/>
          <w:szCs w:val="21"/>
        </w:rPr>
      </w:pPr>
      <w:bookmarkEnd w:id="89"/>
    </w:p>
    <w:sectPr>
      <w:pgSz w:w="11906" w:h="16838"/>
      <w:pgMar w:top="1440" w:right="1800" w:bottom="1440" w:left="1800" w:header="851" w:footer="992" w:gutter="0"/>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1530C5B"/>
    <w:multiLevelType w:val="singleLevel"/>
    <w:tmpl w:val="21530C5B"/>
    <w:lvl w:ilvl="0">
      <w:start w:val="1"/>
      <w:numFmt w:val="decimal"/>
      <w:lvlText w:val="%1)"/>
      <w:lvlJc w:val="left"/>
      <w:pPr>
        <w:ind w:left="56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0"/>
  </w:num>
  <w:num w:numId="5">
    <w:abstractNumId w:val="12"/>
  </w:num>
  <w:num w:numId="6">
    <w:abstractNumId w:val="14"/>
  </w:num>
  <w:num w:numId="7">
    <w:abstractNumId w:val="2"/>
  </w:num>
  <w:num w:numId="8">
    <w:abstractNumId w:val="9"/>
  </w:num>
  <w:num w:numId="9">
    <w:abstractNumId w:val="13"/>
  </w:num>
  <w:num w:numId="10">
    <w:abstractNumId w:val="4"/>
  </w:num>
  <w:num w:numId="11">
    <w:abstractNumId w:val="3"/>
  </w:num>
  <w:num w:numId="12">
    <w:abstractNumId w:val="11"/>
  </w:num>
  <w:num w:numId="13">
    <w:abstractNumId w:val="1"/>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link w:val="2Char"/>
    <w:pPr>
      <w:ind w:firstLine="420" w:firstLineChars="200"/>
    </w:pPr>
    <w:rPr>
      <w:rFonts w:ascii="Calibri" w:hAnsi="Calibri"/>
      <w:szCs w:val="22"/>
    </w:rPr>
  </w:style>
  <w:style w:type="character" w:customStyle="1" w:styleId="2Char">
    <w:name w:val="正文首行缩进 2 Char"/>
    <w:link w:val="BodyTextFirstIndent2"/>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