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2026年空中国王人影作业飞机通用机载焰条采购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ZQCD-26047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2026年空中国王人影作业飞机通用机载焰条采购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ZQCD-26047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合同签订后210天内交货，并具备验收条件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2026年04月16日 00:00:00</w:t>
      </w:r>
      <w:bookmarkEnd w:id="26"/>
      <w:r>
        <w:rPr>
          <w:rFonts w:ascii="宋体" w:hint="eastAsia"/>
          <w:szCs w:val="21"/>
          <w:highlight w:val="none"/>
        </w:rPr>
        <w:t>至</w:t>
      </w:r>
      <w:bookmarkStart w:id="27" w:name="项目公告_signUpLastTime"/>
      <w:r>
        <w:rPr>
          <w:rFonts w:ascii="宋体" w:hint="eastAsia"/>
          <w:szCs w:val="21"/>
          <w:highlight w:val="none"/>
        </w:rPr>
        <w:t>2026年04月23日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（1）标的：空中国王人影作业飞机通用机载焰条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110.500000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110.500000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企业资格</w:t>
            </w:r>
          </w:p>
        </w:tc>
        <w:tc>
          <w:tcPr/>
          <w:p>
            <w:r>
              <w:t>勾选打分</w:t>
            </w:r>
            <w:r>
              <w:t>(2)</w:t>
            </w:r>
          </w:p>
        </w:tc>
        <w:tc>
          <w:tcPr/>
          <w:p>
            <w:r>
              <w:t>评审标准：</w:t>
            </w:r>
          </w:p>
          <w:p>
            <w:r>
              <w:t>投标人具有民用爆炸物品生产许可证， 得2 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(5)</w:t>
            </w:r>
          </w:p>
        </w:tc>
        <w:tc>
          <w:tcPr/>
          <w:p>
            <w:r>
              <w:t>评审标准：</w:t>
            </w:r>
          </w:p>
          <w:p>
            <w:r>
              <w:t>销售合同必须包括空中国王人影作业飞机通用机载焰条。每提供1份合同得1分，最多得5分。否则不得分。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val="restart"/>
          </w:tcPr>
          <w:p>
            <w:r>
              <w:t>服务部分</w:t>
            </w:r>
          </w:p>
        </w:tc>
        <w:tc>
          <w:tcPr/>
          <w:p>
            <w:r>
              <w:t>质保期服务（主观分）</w:t>
            </w:r>
          </w:p>
        </w:tc>
        <w:tc>
          <w:tcPr/>
          <w:p>
            <w:r>
              <w:t>勾选打分</w:t>
            </w:r>
            <w:r>
              <w:t>(4)</w:t>
            </w:r>
          </w:p>
        </w:tc>
        <w:tc>
          <w:tcPr/>
          <w:p>
            <w:r>
              <w:t>评审标准：</w:t>
            </w:r>
          </w:p>
          <w:p>
            <w:r>
              <w:t>一档0分</w:t>
              <w:cr/>
              <w:t>二档1分</w:t>
              <w:cr/>
              <w:t>三档2分</w:t>
              <w:cr/>
              <w:t>四档4分</w:t>
            </w:r>
          </w:p>
          <w:p>
            <w:r>
              <w:t>评审标准说明：</w:t>
            </w:r>
          </w:p>
          <w:p>
            <w:r>
              <w:t>根据投标人提供质保期服务方案进行评分。质保期服务方案应包括质保期服务响应速度、质保期服务承诺、技术支持服务、售后人员配置等。具体评分标准如下：</w:t>
              <w:cr/>
              <w:t>一档：未提供质保期服务方案；</w:t>
              <w:cr/>
              <w:t>二档：质保期服务方案不完整（指缺失质保期服务响应速度、质保期服务承诺、技术支持服务、售后人员配置中任一项内容）；</w:t>
              <w:cr/>
              <w:t>三档：质保期服务方案较完整，但针对性一般，没有建立合理的技术支持机构或技术支持小组，技术支持内容不明确；或者未提供质保期内的7×24小时电话技术支持和保修的承诺。</w:t>
              <w:cr/>
              <w:t>四档：质保期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危险品安全管理方案（主观分）</w:t>
            </w:r>
          </w:p>
        </w:tc>
        <w:tc>
          <w:tcPr/>
          <w:p>
            <w:r>
              <w:t>勾选打分</w:t>
            </w:r>
            <w:r>
              <w:t>(5)</w:t>
            </w:r>
          </w:p>
        </w:tc>
        <w:tc>
          <w:tcPr/>
          <w:p>
            <w:r>
              <w:t>评审标准：</w:t>
            </w:r>
          </w:p>
          <w:p>
            <w:r>
              <w:t>一档0分</w:t>
              <w:cr/>
              <w:t>二档1分</w:t>
              <w:cr/>
              <w:t>三档3分</w:t>
              <w:cr/>
              <w:t>四档5分</w:t>
            </w:r>
          </w:p>
          <w:p>
            <w:r>
              <w:t>评审标准说明：</w:t>
            </w:r>
          </w:p>
          <w:p>
            <w:r>
              <w:t>提供危险品生产、存储、运输、使用等环节中危险品安全管理方案。根据投标人提供的危险品安全管理方案进行评分。具体评分标准如下：</w:t>
              <w:cr/>
              <w:t xml:space="preserve">一档：未提供危险品安全管理方案。 </w:t>
              <w:cr/>
              <w:t xml:space="preserve">二档：危险品安全管理方案能按照招标文件的要求进行响应，方案结构不清晰，缺乏系统性。 </w:t>
              <w:cr/>
              <w:t xml:space="preserve">三档：危险品安全管理方案基本能按照招标文件的要求进行响应，有一定针对性，基本满足采购文件的需求。 </w:t>
              <w:cr/>
              <w:t xml:space="preserve">四档：危险品安全管理方案能按照招标文件的要求进行响应，详细具体，针对性强，与项目实际情况相契合，完全满足采购文件的需求。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7</w:t>
            </w:r>
          </w:p>
        </w:tc>
        <w:tc>
          <w:tcPr>
            <w:vMerge/>
          </w:tcPr>
          <w:p>
            <w:r>
              <w:t>服务部分</w:t>
            </w:r>
          </w:p>
        </w:tc>
        <w:tc>
          <w:tcPr/>
          <w:p>
            <w:r>
              <w:t>事故处理解决方案（主观分）</w:t>
            </w:r>
          </w:p>
        </w:tc>
        <w:tc>
          <w:tcPr/>
          <w:p>
            <w:r>
              <w:t>勾选打分</w:t>
            </w:r>
            <w:r>
              <w:t>(5)</w:t>
            </w:r>
          </w:p>
        </w:tc>
        <w:tc>
          <w:tcPr/>
          <w:p>
            <w:r>
              <w:t>评审标准：</w:t>
            </w:r>
          </w:p>
          <w:p>
            <w:r>
              <w:t>一档0分</w:t>
              <w:cr/>
              <w:t>二档1分</w:t>
              <w:cr/>
              <w:t>三档3分</w:t>
              <w:cr/>
              <w:t>四档5分</w:t>
            </w:r>
          </w:p>
          <w:p>
            <w:r>
              <w:t>评审标准说明：</w:t>
            </w:r>
          </w:p>
          <w:p>
            <w:r>
              <w:t>提供人影作业催化剂出现事故后，投标人派员到场处理时间、事故处理解决时长、事故解决满意度等内容的事故处理解决方案。根据投标人提供事故处理解决方案进行评分。具体评分标准如下：</w:t>
              <w:cr/>
              <w:t xml:space="preserve">一档：未提供事故处理解决方案。 </w:t>
              <w:cr/>
              <w:t xml:space="preserve">二档：事故处理解决方案能按照到场处理时间≤72 小时、安全事故处理时长≤10 个工作日、事故解决满意度≥90%的要求进行响应，方案结构不清晰，缺乏系统性。 </w:t>
              <w:cr/>
              <w:t xml:space="preserve">三档：事故处理解决方案基本能按照到场处理≤72 小时、安全事故处理时长≤10 个工作日、事故解决满意度≥90%的要求进行响应，有一定针对性，基本满足采购文件的需求。 </w:t>
              <w:cr/>
              <w:t>四档：事故处理解决方案能按照到场处理≤72 小时、安全事故处理时长≤10 个工作日、事故解决满意度≥90%的要求进行响应，详细具体，针对性强，与实际情况相契合，完全满足采购文件的需求。</w:t>
            </w:r>
          </w:p>
          <w:p/>
        </w:tc>
      </w:tr>
      <w:tr>
        <w:tblPrEx>
          <w:tblW w:w="5000" w:type="pct"/>
          <w:tblCellMar>
            <w:left w:w="108" w:type="dxa"/>
            <w:right w:w="108" w:type="dxa"/>
          </w:tblCellMar>
        </w:tblPrEx>
        <w:tc>
          <w:tcPr/>
          <w:p>
            <w:r>
              <w:t>8</w:t>
            </w:r>
          </w:p>
        </w:tc>
        <w:tc>
          <w:tcPr>
            <w:vMerge/>
          </w:tcPr>
          <w:p>
            <w:r>
              <w:t>服务部分</w:t>
            </w:r>
          </w:p>
        </w:tc>
        <w:tc>
          <w:tcPr/>
          <w:p>
            <w:r>
              <w:t>废旧故障机载焰条处理承诺（客观分）</w:t>
            </w:r>
          </w:p>
        </w:tc>
        <w:tc>
          <w:tcPr/>
          <w:p>
            <w:r>
              <w:t>勾选打分</w:t>
            </w:r>
            <w:r>
              <w:t>(7)</w:t>
            </w:r>
          </w:p>
        </w:tc>
        <w:tc>
          <w:tcPr/>
          <w:p>
            <w:r>
              <w:t>评审标准：</w:t>
            </w:r>
          </w:p>
          <w:p>
            <w:r>
              <w:t>每提供一项承诺得3.5分，最多得7分。否则不得分。</w:t>
            </w:r>
          </w:p>
          <w:p>
            <w:r>
              <w:t>评审标准说明：</w:t>
            </w:r>
          </w:p>
          <w:p>
            <w:r>
              <w:t>1、投标人提供每 2 年（无废旧故障弹产生年份除外）免费进行一次废旧故障机载焰条回收返厂销毁的承诺；</w:t>
              <w:cr/>
              <w:t>2、投标人提供负责废旧故障机载焰条在采购方全省范围的免费运输回收事宜，不得指定回收地点和方式的承诺。</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(4)</w:t>
            </w:r>
          </w:p>
        </w:tc>
        <w:tc>
          <w:tcPr/>
          <w:p>
            <w:r>
              <w:t>评审标准：</w:t>
            </w:r>
          </w:p>
          <w:p>
            <w:r>
              <w:t>针对空中国王人影作业飞机通用机载焰条采购（适配空中国王人影作业飞机配置的“RYF-1”型机载焰条播撒器），每提供 1份用户证明材料得1 分，最多得4分。否则不得分。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(4)</w:t>
            </w:r>
          </w:p>
        </w:tc>
        <w:tc>
          <w:tcPr/>
          <w:p>
            <w:r>
              <w:t>评审标准：</w:t>
            </w:r>
          </w:p>
          <w:p>
            <w:r>
              <w:t xml:space="preserve">1、投标人为本项目拟派的服务团队中项目经理应具有3年以上相关工作经验的得2分； </w:t>
              <w:cr/>
              <w:t>2、除项目经理外至少4人具有2年及以上相关工作经验的，得2分；至少2人具有1年及以上相关工作经验的，得1分。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p>
            <w:r>
              <w:t>技术部分</w:t>
            </w:r>
          </w:p>
        </w:tc>
        <w:tc>
          <w:tcPr/>
          <w:p>
            <w:r>
              <w:t>投标产品技术性能（客观分）</w:t>
            </w:r>
          </w:p>
        </w:tc>
        <w:tc>
          <w:tcPr/>
          <w:p>
            <w:r>
              <w:t>区间打分</w:t>
            </w:r>
            <w:r>
              <w:t>(32)</w:t>
            </w:r>
          </w:p>
        </w:tc>
        <w:tc>
          <w:tcPr/>
          <w:p>
            <w:r>
              <w:t>评审标准：</w:t>
            </w:r>
          </w:p>
          <w:p>
            <w:r>
              <w:t>1. 招标文件第七章技术参数及配置中，标注#的重要指标共8项，每满足1项得3分，共24分。</w:t>
              <w:cr/>
              <w:t>2. 招标文件第七章技术参数及配置中，未标注#的指标共4项，每满足1项得2分，共8分。</w:t>
              <w:cr/>
              <w:t>本项满分32分。</w:t>
            </w:r>
          </w:p>
          <w:p>
            <w:r>
              <w:t>评审标准说明：</w:t>
            </w:r>
          </w:p>
          <w:p>
            <w:r>
              <w:t>需提供技术文档。响应且满足招标文件第七章详细技术指标要求，需提供加盖投标人公章的技术材料。</w:t>
            </w:r>
          </w:p>
          <w:p/>
        </w:tc>
      </w:tr>
    </w:tbl>
    <w:p w:rsidR="00A77B3E">
      <w:r>
        <w:t xml:space="preserve">      </w:t>
      </w:r>
    </w:p>
    <w:p w:rsidR="00A77B3E"/>
    <w:p w:rsidR="00A77B3E">
      <w:bookmarkEnd w:id="58"/>
    </w:p>
    <w:p w:rsidR="00256D7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256D7F">
      <w:pPr>
        <w:spacing w:line="360" w:lineRule="auto"/>
        <w:ind w:firstLine="420" w:firstLineChars="200"/>
        <w:rPr>
          <w:rFonts w:ascii="宋体" w:hAnsi="宋体"/>
          <w:szCs w:val="21"/>
        </w:rPr>
      </w:pPr>
      <w:r>
        <w:rPr>
          <w:rFonts w:ascii="宋体" w:hAnsi="宋体" w:hint="eastAsia"/>
          <w:szCs w:val="21"/>
        </w:rPr>
        <w:t>一、项目概况及总体要求</w:t>
      </w:r>
    </w:p>
    <w:p w:rsidR="00295404">
      <w:pPr>
        <w:spacing w:line="360" w:lineRule="auto"/>
        <w:ind w:firstLine="420" w:firstLineChars="200"/>
        <w:rPr>
          <w:rFonts w:ascii="宋体" w:hAnsi="宋体"/>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年青海省人工影响天气工作计划》安排，青海省人工影响天气中心为开展202</w:t>
      </w:r>
      <w:r>
        <w:rPr>
          <w:rFonts w:ascii="宋体" w:hAnsi="宋体" w:hint="eastAsia"/>
          <w:szCs w:val="21"/>
        </w:rPr>
        <w:t>6</w:t>
      </w:r>
      <w:r w:rsidRPr="00295404">
        <w:rPr>
          <w:rFonts w:ascii="宋体" w:hAnsi="宋体" w:hint="eastAsia"/>
          <w:szCs w:val="21"/>
        </w:rPr>
        <w:t>年人工增雨（雪）工作，特采购空中国王人影作业飞机</w:t>
      </w:r>
      <w:bookmarkStart w:id="60" w:name="_Hlk226534230"/>
      <w:r w:rsidR="003A6751">
        <w:rPr>
          <w:rFonts w:ascii="宋体" w:hAnsi="宋体" w:hint="eastAsia"/>
          <w:szCs w:val="21"/>
        </w:rPr>
        <w:t>通用</w:t>
      </w:r>
      <w:r w:rsidRPr="00295404" w:rsidR="003A6751">
        <w:rPr>
          <w:rFonts w:ascii="宋体" w:hAnsi="宋体" w:hint="eastAsia"/>
          <w:szCs w:val="21"/>
        </w:rPr>
        <w:t>机载焰条</w:t>
      </w:r>
      <w:bookmarkEnd w:id="60"/>
      <w:r w:rsidRPr="00295404">
        <w:rPr>
          <w:rFonts w:ascii="宋体" w:hAnsi="宋体" w:hint="eastAsia"/>
          <w:szCs w:val="21"/>
        </w:rPr>
        <w:t>。</w:t>
      </w:r>
    </w:p>
    <w:p w:rsidR="00256D7F">
      <w:pPr>
        <w:spacing w:line="360" w:lineRule="auto"/>
        <w:ind w:firstLine="420" w:firstLineChars="200"/>
        <w:rPr>
          <w:rFonts w:ascii="宋体" w:hAnsi="宋体"/>
          <w:szCs w:val="21"/>
        </w:rPr>
      </w:pPr>
      <w:r w:rsidRPr="00295404">
        <w:rPr>
          <w:rFonts w:ascii="宋体" w:hAnsi="宋体" w:hint="eastAsia"/>
          <w:szCs w:val="21"/>
        </w:rPr>
        <w:t>本次采购空中国王人影作业飞机</w:t>
      </w:r>
      <w:r w:rsidR="00560B8D">
        <w:rPr>
          <w:rFonts w:ascii="宋体" w:hAnsi="宋体" w:hint="eastAsia"/>
          <w:szCs w:val="21"/>
        </w:rPr>
        <w:t>通用</w:t>
      </w:r>
      <w:r w:rsidRPr="00295404">
        <w:rPr>
          <w:rFonts w:ascii="宋体" w:hAnsi="宋体" w:hint="eastAsia"/>
          <w:szCs w:val="21"/>
        </w:rPr>
        <w:t>机载焰条，由中标供应商运输至采购单位指定地点，并完成交付验收。运输费根据实际产生由采购单位与中标供应商签订运输合同并另行承担运输费用。</w:t>
      </w:r>
      <w:r>
        <w:rPr>
          <w:rFonts w:ascii="宋体" w:hAnsi="宋体" w:hint="eastAsia"/>
          <w:szCs w:val="21"/>
        </w:rPr>
        <w:t>。</w:t>
      </w:r>
    </w:p>
    <w:p w:rsidR="00256D7F">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256D7F">
      <w:pPr>
        <w:spacing w:line="360" w:lineRule="auto"/>
        <w:ind w:firstLine="420" w:firstLineChars="200"/>
        <w:rPr>
          <w:rFonts w:ascii="宋体" w:hAnsi="宋体"/>
          <w:szCs w:val="21"/>
        </w:rPr>
      </w:pPr>
      <w:r>
        <w:rPr>
          <w:rFonts w:ascii="宋体" w:hAnsi="宋体" w:hint="eastAsia"/>
          <w:szCs w:val="21"/>
        </w:rPr>
        <w:t>三、技术性能指标</w:t>
      </w:r>
    </w:p>
    <w:p w:rsidR="00295404" w:rsidRPr="00295404" w:rsidP="00295404">
      <w:pPr>
        <w:spacing w:line="360" w:lineRule="auto"/>
        <w:ind w:firstLine="420" w:firstLineChars="200"/>
        <w:rPr>
          <w:rFonts w:ascii="宋体" w:eastAsia="宋体" w:hAnsi="宋体" w:cs="Times New Roman"/>
          <w:szCs w:val="21"/>
        </w:rPr>
      </w:pPr>
      <w:r w:rsidRPr="005A3C45">
        <w:rPr>
          <w:rFonts w:ascii="宋体" w:eastAsia="宋体" w:hAnsi="宋体" w:cs="Times New Roman" w:hint="eastAsia"/>
          <w:b/>
          <w:bCs/>
          <w:szCs w:val="21"/>
        </w:rPr>
        <w:t>空中国王人影作业飞机</w:t>
      </w:r>
      <w:r w:rsidRPr="005A3C45" w:rsidR="00560B8D">
        <w:rPr>
          <w:rFonts w:ascii="宋体" w:eastAsia="宋体" w:hAnsi="宋体" w:cs="Times New Roman" w:hint="eastAsia"/>
          <w:b/>
          <w:bCs/>
          <w:szCs w:val="21"/>
        </w:rPr>
        <w:t>通用</w:t>
      </w:r>
      <w:r w:rsidRPr="005A3C45">
        <w:rPr>
          <w:rFonts w:ascii="宋体" w:eastAsia="宋体" w:hAnsi="宋体" w:cs="Times New Roman" w:hint="eastAsia"/>
          <w:b/>
          <w:bCs/>
          <w:szCs w:val="21"/>
        </w:rPr>
        <w:t>机载焰条</w:t>
      </w:r>
      <w:r w:rsidRPr="00295404">
        <w:rPr>
          <w:rFonts w:ascii="宋体" w:eastAsia="宋体" w:hAnsi="宋体" w:cs="Times New Roman" w:hint="eastAsia"/>
          <w:szCs w:val="21"/>
        </w:rPr>
        <w:t>：</w:t>
      </w:r>
    </w:p>
    <w:tbl>
      <w:tblPr>
        <w:tblStyle w:val="TableNormal"/>
        <w:tblpPr w:leftFromText="180" w:rightFromText="180" w:vertAnchor="text" w:tblpX="108" w:tblpY="137"/>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72"/>
      </w:tblGrid>
      <w:tr w:rsidTr="007638DA">
        <w:tblPrEx>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358"/>
        </w:trPr>
        <w:tc>
          <w:tcPr>
            <w:tcW w:w="8472" w:type="dxa"/>
            <w:vAlign w:val="center"/>
          </w:tcPr>
          <w:p w:rsidR="005A3C45" w:rsidP="007638DA">
            <w:pPr>
              <w:jc w:val="center"/>
              <w:rPr>
                <w:b/>
                <w:color w:val="000000"/>
                <w:kern w:val="0"/>
                <w:szCs w:val="21"/>
              </w:rPr>
            </w:pPr>
            <w:r>
              <w:rPr>
                <w:b/>
                <w:color w:val="000000"/>
                <w:kern w:val="0"/>
                <w:szCs w:val="21"/>
              </w:rPr>
              <w:t>技术参数及配置要求</w:t>
            </w:r>
          </w:p>
          <w:p w:rsidR="005A3C45" w:rsidP="007638DA">
            <w:pPr>
              <w:ind w:firstLine="420" w:firstLineChars="200"/>
              <w:rPr>
                <w:b/>
                <w:bCs/>
              </w:rPr>
            </w:pPr>
            <w:r>
              <w:rPr>
                <w:rFonts w:hint="eastAsia"/>
                <w:b/>
                <w:bCs/>
              </w:rPr>
              <w:t>一、配置要求</w:t>
            </w:r>
          </w:p>
          <w:p w:rsidR="005A3C45" w:rsidP="007638DA">
            <w:pPr>
              <w:ind w:firstLine="420" w:firstLineChars="200"/>
              <w:rPr>
                <w:rFonts w:ascii="宋体" w:hAnsi="宋体"/>
              </w:rPr>
            </w:pPr>
            <w:bookmarkStart w:id="61" w:name="_Hlk203466540"/>
            <w:r>
              <w:rPr>
                <w:rFonts w:ascii="宋体" w:hAnsi="宋体" w:hint="eastAsia"/>
                <w:b/>
                <w:bCs/>
                <w:color w:val="FF0000"/>
              </w:rPr>
              <w:t>#</w:t>
            </w:r>
            <w:r>
              <w:rPr>
                <w:rFonts w:ascii="宋体" w:hAnsi="宋体" w:hint="eastAsia"/>
              </w:rPr>
              <w:t>焰条必须完全适配空中国王人影作业飞机配置的“RYF-1”型机载焰条播撒器</w:t>
            </w:r>
            <w:bookmarkEnd w:id="61"/>
            <w:r>
              <w:rPr>
                <w:rFonts w:ascii="宋体" w:hAnsi="宋体" w:hint="eastAsia"/>
              </w:rPr>
              <w:t>。</w:t>
            </w:r>
          </w:p>
          <w:p w:rsidR="005A3C45" w:rsidP="007638DA">
            <w:pPr>
              <w:ind w:firstLine="420" w:firstLineChars="200"/>
              <w:rPr>
                <w:b/>
                <w:bCs/>
              </w:rPr>
            </w:pPr>
            <w:r>
              <w:rPr>
                <w:rFonts w:hint="eastAsia"/>
                <w:b/>
                <w:bCs/>
              </w:rPr>
              <w:t>二、主要技术参数</w:t>
            </w:r>
          </w:p>
          <w:p w:rsidR="005A3C45" w:rsidP="007638DA">
            <w:pPr>
              <w:ind w:firstLine="420" w:firstLineChars="200"/>
              <w:rPr>
                <w:rFonts w:ascii="宋体" w:hAnsi="宋体"/>
              </w:rPr>
            </w:pPr>
            <w:r>
              <w:rPr>
                <w:rFonts w:ascii="宋体" w:hAnsi="宋体" w:hint="eastAsia"/>
                <w:b/>
                <w:bCs/>
                <w:color w:val="FF0000"/>
              </w:rPr>
              <w:t>#</w:t>
            </w:r>
            <w:r>
              <w:rPr>
                <w:rFonts w:ascii="宋体" w:hAnsi="宋体" w:hint="eastAsia"/>
              </w:rPr>
              <w:t>1.长度：335</w:t>
            </w:r>
            <w:r w:rsidRPr="008E3798">
              <w:rPr>
                <w:rFonts w:ascii="宋体" w:hAnsi="宋体" w:hint="eastAsia"/>
              </w:rPr>
              <w:t>±</w:t>
            </w:r>
            <w:r>
              <w:rPr>
                <w:rFonts w:ascii="宋体" w:hAnsi="宋体" w:hint="eastAsia"/>
              </w:rPr>
              <w:t>5 mm；</w:t>
            </w:r>
          </w:p>
          <w:p w:rsidR="005A3C45" w:rsidRPr="008E3798" w:rsidP="007638DA">
            <w:pPr>
              <w:ind w:firstLine="420" w:firstLineChars="200"/>
              <w:rPr>
                <w:rFonts w:ascii="宋体" w:hAnsi="宋体"/>
                <w:color w:val="000000" w:themeColor="text1"/>
              </w:rPr>
            </w:pPr>
            <w:r>
              <w:rPr>
                <w:rFonts w:ascii="宋体" w:hAnsi="宋体" w:hint="eastAsia"/>
                <w:b/>
                <w:bCs/>
                <w:color w:val="FF0000"/>
              </w:rPr>
              <w:t>#</w:t>
            </w:r>
            <w:r>
              <w:rPr>
                <w:rFonts w:ascii="宋体" w:hAnsi="宋体" w:hint="eastAsia"/>
              </w:rPr>
              <w:t>2.外径：</w:t>
            </w:r>
            <w:r w:rsidRPr="008E3798">
              <w:rPr>
                <w:rFonts w:ascii="宋体" w:hAnsi="宋体" w:hint="eastAsia"/>
                <w:color w:val="000000" w:themeColor="text1"/>
              </w:rPr>
              <w:t>61mm；</w:t>
            </w:r>
          </w:p>
          <w:p w:rsidR="005A3C45" w:rsidRPr="008E3798" w:rsidP="007638DA">
            <w:pPr>
              <w:ind w:firstLine="420" w:firstLineChars="200"/>
              <w:rPr>
                <w:rFonts w:ascii="宋体" w:hAnsi="宋体"/>
                <w:color w:val="000000" w:themeColor="text1"/>
              </w:rPr>
            </w:pPr>
            <w:r w:rsidRPr="00A27F66">
              <w:rPr>
                <w:rFonts w:ascii="宋体" w:hAnsi="宋体" w:hint="eastAsia"/>
                <w:b/>
                <w:bCs/>
                <w:color w:val="EE0000"/>
              </w:rPr>
              <w:t>#</w:t>
            </w:r>
            <w:r w:rsidRPr="008E3798">
              <w:rPr>
                <w:rFonts w:ascii="宋体" w:hAnsi="宋体" w:hint="eastAsia"/>
                <w:color w:val="000000" w:themeColor="text1"/>
              </w:rPr>
              <w:t>3.焰条总重：1250±10g；</w:t>
            </w:r>
          </w:p>
          <w:p w:rsidR="005A3C45" w:rsidRPr="008E3798" w:rsidP="007638DA">
            <w:pPr>
              <w:ind w:firstLine="420" w:firstLineChars="200"/>
              <w:rPr>
                <w:rFonts w:ascii="宋体" w:hAnsi="宋体"/>
                <w:color w:val="000000" w:themeColor="text1"/>
              </w:rPr>
            </w:pPr>
            <w:r w:rsidRPr="00A27F66">
              <w:rPr>
                <w:rFonts w:ascii="宋体" w:hAnsi="宋体" w:hint="eastAsia"/>
                <w:b/>
                <w:bCs/>
                <w:color w:val="EE0000"/>
              </w:rPr>
              <w:t>#</w:t>
            </w:r>
            <w:r w:rsidRPr="008E3798">
              <w:rPr>
                <w:rFonts w:ascii="宋体" w:hAnsi="宋体" w:hint="eastAsia"/>
                <w:color w:val="000000" w:themeColor="text1"/>
              </w:rPr>
              <w:t>4.催化方式：燃烧播撒；</w:t>
            </w:r>
          </w:p>
          <w:p w:rsidR="005A3C45" w:rsidRPr="008E3798" w:rsidP="007638DA">
            <w:pPr>
              <w:ind w:firstLine="420" w:firstLineChars="200"/>
              <w:rPr>
                <w:rFonts w:ascii="宋体" w:hAnsi="宋体"/>
                <w:color w:val="000000" w:themeColor="text1"/>
              </w:rPr>
            </w:pPr>
            <w:r w:rsidRPr="008E3798">
              <w:rPr>
                <w:rFonts w:ascii="宋体" w:hAnsi="宋体" w:hint="eastAsia"/>
                <w:color w:val="000000" w:themeColor="text1"/>
              </w:rPr>
              <w:t>5.催化剂携带量：900±10g；</w:t>
            </w:r>
          </w:p>
          <w:p w:rsidR="005A3C45" w:rsidRPr="008E3798" w:rsidP="007638DA">
            <w:pPr>
              <w:ind w:firstLine="420" w:firstLineChars="200"/>
              <w:rPr>
                <w:rFonts w:ascii="宋体" w:hAnsi="宋体"/>
                <w:color w:val="000000" w:themeColor="text1"/>
              </w:rPr>
            </w:pPr>
            <w:r w:rsidRPr="00A27F66">
              <w:rPr>
                <w:rFonts w:ascii="宋体" w:hAnsi="宋体" w:hint="eastAsia"/>
                <w:b/>
                <w:bCs/>
                <w:color w:val="EE0000"/>
              </w:rPr>
              <w:t>#</w:t>
            </w:r>
            <w:r w:rsidRPr="008E3798">
              <w:rPr>
                <w:rFonts w:ascii="宋体" w:hAnsi="宋体" w:hint="eastAsia"/>
                <w:color w:val="000000" w:themeColor="text1"/>
              </w:rPr>
              <w:t>6.每根烟条AgI含量：27±3g；</w:t>
            </w:r>
          </w:p>
          <w:p w:rsidR="005A3C45" w:rsidRPr="008E3798" w:rsidP="007638DA">
            <w:pPr>
              <w:ind w:firstLine="420" w:firstLineChars="200"/>
              <w:rPr>
                <w:rFonts w:ascii="宋体" w:hAnsi="宋体"/>
                <w:color w:val="000000" w:themeColor="text1"/>
              </w:rPr>
            </w:pPr>
            <w:r w:rsidRPr="008E3798">
              <w:rPr>
                <w:rFonts w:ascii="宋体" w:hAnsi="宋体" w:hint="eastAsia"/>
                <w:color w:val="000000" w:themeColor="text1"/>
              </w:rPr>
              <w:t>7.成核率：（-10℃）：约1.03×10</w:t>
            </w:r>
            <w:r w:rsidRPr="008E3798">
              <w:rPr>
                <w:rFonts w:ascii="宋体" w:hAnsi="宋体" w:hint="eastAsia"/>
                <w:color w:val="000000" w:themeColor="text1"/>
                <w:vertAlign w:val="superscript"/>
              </w:rPr>
              <w:t>15</w:t>
            </w:r>
            <w:r w:rsidRPr="008E3798">
              <w:rPr>
                <w:rFonts w:ascii="宋体" w:hAnsi="宋体" w:hint="eastAsia"/>
                <w:color w:val="000000" w:themeColor="text1"/>
              </w:rPr>
              <w:t>个／g；</w:t>
            </w:r>
          </w:p>
          <w:p w:rsidR="005A3C45" w:rsidP="007638DA">
            <w:pPr>
              <w:ind w:firstLine="420" w:firstLineChars="200"/>
              <w:rPr>
                <w:rFonts w:ascii="宋体" w:hAnsi="宋体"/>
              </w:rPr>
            </w:pPr>
            <w:r w:rsidRPr="00A27F66">
              <w:rPr>
                <w:rFonts w:ascii="宋体" w:hAnsi="宋体" w:hint="eastAsia"/>
                <w:b/>
                <w:bCs/>
                <w:color w:val="EE0000"/>
              </w:rPr>
              <w:t>#</w:t>
            </w:r>
            <w:r w:rsidRPr="008E3798">
              <w:rPr>
                <w:rFonts w:ascii="宋体" w:hAnsi="宋体" w:hint="eastAsia"/>
                <w:color w:val="000000" w:themeColor="text1"/>
              </w:rPr>
              <w:t>8.催化剂燃烧时间：4—8分钟（可调）</w:t>
            </w:r>
            <w:r>
              <w:rPr>
                <w:rFonts w:ascii="宋体" w:hAnsi="宋体" w:hint="eastAsia"/>
              </w:rPr>
              <w:t>；</w:t>
            </w:r>
          </w:p>
          <w:p w:rsidR="005A3C45" w:rsidP="007638DA">
            <w:pPr>
              <w:ind w:firstLine="420" w:firstLineChars="200"/>
              <w:rPr>
                <w:rFonts w:ascii="宋体" w:hAnsi="宋体"/>
              </w:rPr>
            </w:pPr>
            <w:r>
              <w:rPr>
                <w:rFonts w:ascii="宋体" w:hAnsi="宋体" w:hint="eastAsia"/>
              </w:rPr>
              <w:t xml:space="preserve">9.使用温度-40℃～50℃；       </w:t>
            </w:r>
          </w:p>
          <w:p w:rsidR="005A3C45" w:rsidP="007638DA">
            <w:pPr>
              <w:ind w:firstLine="420" w:firstLineChars="200"/>
              <w:rPr>
                <w:rFonts w:ascii="宋体" w:hAnsi="宋体"/>
              </w:rPr>
            </w:pPr>
            <w:r>
              <w:rPr>
                <w:rFonts w:ascii="宋体" w:hAnsi="宋体" w:hint="eastAsia"/>
              </w:rPr>
              <w:t>10.储存期：3年。</w:t>
            </w:r>
          </w:p>
          <w:p w:rsidR="005A3C45" w:rsidP="007638DA">
            <w:pPr>
              <w:ind w:firstLine="420" w:firstLineChars="200"/>
              <w:rPr>
                <w:rFonts w:ascii="宋体" w:hAnsi="宋体"/>
                <w:b/>
                <w:bCs/>
              </w:rPr>
            </w:pPr>
            <w:r>
              <w:rPr>
                <w:rFonts w:ascii="宋体" w:hAnsi="宋体" w:hint="eastAsia"/>
                <w:b/>
                <w:bCs/>
              </w:rPr>
              <w:t>三、安全要求</w:t>
            </w:r>
          </w:p>
          <w:p w:rsidR="005A3C45" w:rsidP="007638DA">
            <w:pPr>
              <w:ind w:firstLine="420" w:firstLineChars="200"/>
              <w:rPr>
                <w:rFonts w:ascii="宋体" w:hAnsi="宋体"/>
                <w:b/>
                <w:bCs/>
              </w:rPr>
            </w:pPr>
            <w:r>
              <w:rPr>
                <w:rFonts w:ascii="宋体" w:hAnsi="宋体" w:hint="eastAsia"/>
                <w:b/>
                <w:bCs/>
                <w:color w:val="FF0000"/>
              </w:rPr>
              <w:t>#</w:t>
            </w:r>
            <w:r>
              <w:rPr>
                <w:rFonts w:ascii="宋体" w:hAnsi="宋体" w:hint="eastAsia"/>
              </w:rPr>
              <w:t>燃烧时无残渣掉落。</w:t>
            </w:r>
          </w:p>
          <w:p w:rsidR="005A3C45" w:rsidP="007638DA">
            <w:pPr>
              <w:ind w:firstLine="420" w:firstLineChars="200"/>
            </w:pPr>
          </w:p>
        </w:tc>
      </w:tr>
    </w:tbl>
    <w:p w:rsidR="007638DA">
      <w:pPr>
        <w:spacing w:line="360" w:lineRule="auto"/>
        <w:ind w:firstLine="420" w:firstLineChars="200"/>
        <w:rPr>
          <w:rFonts w:ascii="宋体" w:hAnsi="宋体"/>
          <w:szCs w:val="21"/>
        </w:rPr>
      </w:pPr>
    </w:p>
    <w:p w:rsidR="00256D7F">
      <w:pPr>
        <w:spacing w:line="360" w:lineRule="auto"/>
        <w:ind w:firstLine="420" w:firstLineChars="200"/>
        <w:rPr>
          <w:rFonts w:ascii="宋体" w:hAnsi="宋体"/>
          <w:szCs w:val="21"/>
        </w:rPr>
      </w:pPr>
      <w:r>
        <w:rPr>
          <w:rFonts w:ascii="宋体" w:hAnsi="宋体" w:hint="eastAsia"/>
          <w:szCs w:val="21"/>
        </w:rPr>
        <w:t>四、检验考核要求</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1、货物质量必须达到设计要求，静态检测及动态试验等各项指标符合技术参数；</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2、出厂验收。产品出厂前由国务院气象主管机构指定单位进行组织验收。中标供应商需配合并具体实施。</w:t>
      </w:r>
    </w:p>
    <w:p w:rsidR="00256D7F" w:rsidP="00295404">
      <w:pPr>
        <w:spacing w:line="360" w:lineRule="auto"/>
        <w:ind w:firstLine="420" w:firstLineChars="200"/>
        <w:rPr>
          <w:rFonts w:ascii="宋体" w:hAnsi="宋体"/>
          <w:szCs w:val="21"/>
        </w:rPr>
      </w:pPr>
      <w:r w:rsidRPr="00295404">
        <w:rPr>
          <w:rFonts w:ascii="宋体" w:hAnsi="宋体" w:hint="eastAsia"/>
          <w:szCs w:val="21"/>
        </w:rPr>
        <w:t>3、到货验收。到货后用户检查包装并核对货物品种、数量以及完好性。未通过验收的货物，将不予接受。</w:t>
      </w:r>
    </w:p>
    <w:p w:rsidR="00256D7F">
      <w:pPr>
        <w:spacing w:line="360" w:lineRule="auto"/>
        <w:ind w:firstLine="420" w:firstLineChars="200"/>
        <w:rPr>
          <w:rFonts w:ascii="宋体" w:hAnsi="宋体"/>
          <w:szCs w:val="21"/>
        </w:rPr>
      </w:pPr>
      <w:r>
        <w:rPr>
          <w:rFonts w:ascii="宋体" w:hAnsi="宋体" w:hint="eastAsia"/>
          <w:szCs w:val="21"/>
        </w:rPr>
        <w:t>五、技术服务和质保期服务要求</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1、培训</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中标供应商应具备应对采购单位需求的服务团队，服务团队主要对采购单位人员进行专业培训、售后服务、废旧故障</w:t>
      </w:r>
      <w:r w:rsidRPr="00BA516E" w:rsidR="00BA516E">
        <w:rPr>
          <w:rFonts w:ascii="宋体" w:hAnsi="宋体" w:hint="eastAsia"/>
          <w:szCs w:val="21"/>
        </w:rPr>
        <w:t>机载焰条和焰弹</w:t>
      </w:r>
      <w:r w:rsidRPr="009A52A6">
        <w:rPr>
          <w:rFonts w:ascii="宋体" w:hAnsi="宋体" w:hint="eastAsia"/>
          <w:szCs w:val="21"/>
        </w:rPr>
        <w:t>等工作。</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2、技术支持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中标供应商提供免费热线服务电话、保障服务货物收发联系部门及人员的名称和联系方式。</w:t>
      </w:r>
      <w:r w:rsidRPr="00BA516E" w:rsidR="00BA516E">
        <w:rPr>
          <w:rFonts w:ascii="宋体" w:hAnsi="宋体" w:hint="eastAsia"/>
          <w:szCs w:val="21"/>
        </w:rPr>
        <w:t>机载焰条</w:t>
      </w:r>
      <w:r w:rsidRPr="009A52A6">
        <w:rPr>
          <w:rFonts w:ascii="宋体" w:hAnsi="宋体" w:hint="eastAsia"/>
          <w:szCs w:val="21"/>
        </w:rPr>
        <w:t>的更换</w:t>
      </w:r>
      <w:r w:rsidR="005A3C45">
        <w:rPr>
          <w:rFonts w:ascii="宋体" w:hAnsi="宋体" w:hint="eastAsia"/>
          <w:szCs w:val="21"/>
        </w:rPr>
        <w:t>、</w:t>
      </w:r>
      <w:r w:rsidRPr="009A52A6">
        <w:rPr>
          <w:rFonts w:ascii="宋体" w:hAnsi="宋体" w:hint="eastAsia"/>
          <w:szCs w:val="21"/>
        </w:rPr>
        <w:t>过期</w:t>
      </w:r>
      <w:r w:rsidRPr="00BA516E" w:rsidR="00BA516E">
        <w:rPr>
          <w:rFonts w:ascii="宋体" w:hAnsi="宋体" w:hint="eastAsia"/>
          <w:szCs w:val="21"/>
        </w:rPr>
        <w:t>机载焰条</w:t>
      </w:r>
      <w:r w:rsidRPr="009A52A6">
        <w:rPr>
          <w:rFonts w:ascii="宋体" w:hAnsi="宋体" w:hint="eastAsia"/>
          <w:szCs w:val="21"/>
        </w:rPr>
        <w:t>的回收及销毁工作按照采购单位要求在约定时间内完成。</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3、技术资料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提供完整的技术资料，包括：危险品生产、存储、运输、使用等安全保障手册；产品验收标准（含产品合格证验收清单等）；使用说明书及合同中要求的其他文件资料。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4、质保期内服务内容</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w:t>
      </w:r>
      <w:r w:rsidRPr="00BA516E" w:rsidR="00BA516E">
        <w:rPr>
          <w:rFonts w:ascii="宋体" w:hAnsi="宋体" w:hint="eastAsia"/>
          <w:szCs w:val="21"/>
        </w:rPr>
        <w:t>机载焰条</w:t>
      </w:r>
      <w:r w:rsidR="00BA516E">
        <w:rPr>
          <w:rFonts w:ascii="宋体" w:hAnsi="宋体" w:hint="eastAsia"/>
          <w:szCs w:val="21"/>
        </w:rPr>
        <w:t>质保期</w:t>
      </w:r>
      <w:r w:rsidRPr="009A52A6">
        <w:rPr>
          <w:rFonts w:ascii="宋体" w:hAnsi="宋体" w:hint="eastAsia"/>
          <w:szCs w:val="21"/>
        </w:rPr>
        <w:t>为出厂验收后3年；</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（2）因产品质量问题所造成的直接或间接损失由中标供应商负责，并且中标供应商应负责免费更换合格品；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（3）中标供应商根据采购方要求回收及销毁本项目采购的过期</w:t>
      </w:r>
      <w:r w:rsidRPr="00911111" w:rsidR="00911111">
        <w:rPr>
          <w:rFonts w:ascii="宋体" w:hAnsi="宋体" w:hint="eastAsia"/>
          <w:szCs w:val="21"/>
        </w:rPr>
        <w:t>机载焰条</w:t>
      </w:r>
      <w:r w:rsidRPr="009A52A6">
        <w:rPr>
          <w:rFonts w:ascii="宋体" w:hAnsi="宋体" w:hint="eastAsia"/>
          <w:szCs w:val="21"/>
        </w:rPr>
        <w:t>和故障</w:t>
      </w:r>
      <w:r w:rsidRPr="00911111" w:rsidR="00911111">
        <w:rPr>
          <w:rFonts w:ascii="宋体" w:hAnsi="宋体" w:hint="eastAsia"/>
          <w:szCs w:val="21"/>
        </w:rPr>
        <w:t>机载焰条</w:t>
      </w:r>
      <w:r w:rsidRPr="009A52A6">
        <w:rPr>
          <w:rFonts w:ascii="宋体" w:hAnsi="宋体" w:hint="eastAsia"/>
          <w:szCs w:val="21"/>
        </w:rPr>
        <w:t>，产生的所有费用包含在报价中。</w:t>
      </w:r>
    </w:p>
    <w:p w:rsidR="00256D7F" w:rsidP="009A52A6">
      <w:pPr>
        <w:spacing w:line="360" w:lineRule="auto"/>
        <w:ind w:firstLine="420" w:firstLineChars="200"/>
        <w:rPr>
          <w:rFonts w:ascii="宋体" w:hAnsi="宋体"/>
          <w:szCs w:val="21"/>
        </w:rPr>
      </w:pPr>
      <w:r w:rsidRPr="009A52A6">
        <w:rPr>
          <w:rFonts w:ascii="宋体" w:hAnsi="宋体" w:hint="eastAsia"/>
          <w:szCs w:val="21"/>
        </w:rPr>
        <w:t>（4）因产品质量原因造成人员伤亡等事故时，中标供应商应迅速赶赴现场，协助当地有关部门分析事故原因，承担应有的责任，并将产品质量原因分析报告报国务院气象主管机构。</w:t>
      </w:r>
    </w:p>
    <w:p w:rsidR="0091451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六、</w:t>
      </w:r>
      <w:r>
        <w:rPr>
          <w:rFonts w:ascii="宋体" w:eastAsia="宋体" w:hAnsi="宋体" w:cs="Times New Roman"/>
          <w:szCs w:val="21"/>
        </w:rPr>
        <w:t>交货期</w:t>
      </w:r>
    </w:p>
    <w:p w:rsidR="00564DD6">
      <w:pPr>
        <w:spacing w:line="360" w:lineRule="auto"/>
        <w:ind w:firstLine="420" w:firstLineChars="200"/>
        <w:rPr>
          <w:rFonts w:ascii="宋体" w:eastAsia="宋体" w:hAnsi="宋体" w:cs="Times New Roman"/>
          <w:szCs w:val="21"/>
        </w:rPr>
      </w:pPr>
      <w:r w:rsidRPr="00564DD6">
        <w:rPr>
          <w:rFonts w:ascii="宋体" w:eastAsia="宋体" w:hAnsi="宋体" w:cs="Times New Roman" w:hint="eastAsia"/>
          <w:szCs w:val="21"/>
        </w:rPr>
        <w:t>合同签订后210天内交货，并具备验收条件</w:t>
      </w:r>
      <w:r>
        <w:rPr>
          <w:rFonts w:ascii="宋体" w:eastAsia="宋体" w:hAnsi="宋体" w:cs="Times New Roman" w:hint="eastAsia"/>
          <w:szCs w:val="21"/>
        </w:rPr>
        <w:t>。</w:t>
      </w:r>
    </w:p>
    <w:p w:rsidR="0091451C">
      <w:pPr>
        <w:spacing w:line="360" w:lineRule="auto"/>
        <w:ind w:firstLine="420" w:firstLineChars="200"/>
        <w:rPr>
          <w:rFonts w:ascii="宋体" w:eastAsia="宋体" w:hAnsi="宋体" w:cs="Times New Roman"/>
          <w:szCs w:val="21"/>
        </w:rPr>
      </w:pPr>
    </w:p>
    <w:p w:rsidR="00256D7F">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0"/>
        <w:gridCol w:w="2890"/>
        <w:gridCol w:w="918"/>
        <w:gridCol w:w="1277"/>
        <w:gridCol w:w="1456"/>
        <w:gridCol w:w="918"/>
        <w:gridCol w:w="54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机载焰条播撒系统（焰条、焰弹）</w:t>
            </w:r>
          </w:p>
        </w:tc>
        <w:tc>
          <w:tcPr/>
          <w:p>
            <w:pPr>
              <w:autoSpaceDE w:val="0"/>
              <w:jc w:val="center"/>
              <w:rPr>
                <w:rFonts w:asciiTheme="minorEastAsia" w:hAnsiTheme="minorEastAsia" w:cstheme="minorEastAsia"/>
                <w:kern w:val="0"/>
                <w:szCs w:val="21"/>
              </w:rPr>
            </w:pPr>
            <w:r>
              <w:t>1700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1,105,000.00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1,105,000.00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4"/>
        <w:gridCol w:w="2449"/>
        <w:gridCol w:w="2240"/>
        <w:gridCol w:w="438"/>
        <w:gridCol w:w="990"/>
        <w:gridCol w:w="825"/>
        <w:gridCol w:w="712"/>
        <w:gridCol w:w="43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青海省人工影响天气中心(001057019)</w:t>
            </w:r>
          </w:p>
        </w:tc>
        <w:tc>
          <w:tcPr/>
          <w:p>
            <w:r>
              <w:t>机载焰条播撒系统（焰条、焰弹）</w:t>
            </w:r>
          </w:p>
        </w:tc>
        <w:tc>
          <w:tcPr/>
          <w:p>
            <w:r>
              <w:t>1700</w:t>
            </w:r>
          </w:p>
        </w:tc>
        <w:tc>
          <w:tcPr/>
          <w:p>
            <w:r>
              <w:t>1105000.00</w:t>
            </w:r>
          </w:p>
        </w:tc>
        <w:tc>
          <w:tcPr/>
          <w:p>
            <w:r>
              <w:t xml:space="preserve">1105000.00  </w:t>
            </w:r>
          </w:p>
        </w:tc>
        <w:tc>
          <w:tcPr/>
          <w:p>
            <w:r>
              <w:t>青海省</w:t>
            </w:r>
          </w:p>
        </w:tc>
        <w:tc>
          <w:tcP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256D7F">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lang w:val="en-US" w:eastAsia="zh-CN"/>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B664B">
      <w:pPr>
        <w:numPr>
          <w:ilvl w:val="0"/>
          <w:numId w:val="4"/>
        </w:numPr>
        <w:spacing w:line="360" w:lineRule="auto"/>
        <w:ind w:firstLine="3066" w:firstLineChars="1460"/>
        <w:jc w:val="left"/>
        <w:rPr>
          <w:b/>
          <w:bCs/>
          <w:szCs w:val="21"/>
        </w:rPr>
      </w:pPr>
      <w:bookmarkStart w:id="71" w:name="采购公告合同部分_ZBGGHT"/>
      <w:r>
        <w:rPr>
          <w:rFonts w:hint="eastAsia"/>
          <w:b/>
          <w:bCs/>
          <w:szCs w:val="21"/>
        </w:rPr>
        <w:t xml:space="preserve"> </w:t>
      </w:r>
      <w:r>
        <w:rPr>
          <w:rFonts w:hint="eastAsia"/>
          <w:b/>
          <w:bCs/>
          <w:szCs w:val="21"/>
        </w:rPr>
        <w:t>采购合同</w:t>
      </w:r>
    </w:p>
    <w:p w:rsidR="002B664B">
      <w:pPr>
        <w:spacing w:line="360" w:lineRule="auto"/>
        <w:ind w:left="1680" w:firstLine="420"/>
        <w:jc w:val="left"/>
        <w:rPr>
          <w:b/>
          <w:bCs/>
          <w:szCs w:val="21"/>
        </w:rPr>
      </w:pPr>
      <w:r>
        <w:rPr>
          <w:rFonts w:hint="eastAsia"/>
          <w:b/>
          <w:bCs/>
          <w:szCs w:val="21"/>
        </w:rPr>
        <w:t>必须明确合同金额支付条件及支付比例</w:t>
      </w:r>
    </w:p>
    <w:p w:rsidR="002B664B">
      <w:pPr>
        <w:pStyle w:val="BodyText"/>
        <w:spacing w:after="0"/>
        <w:jc w:val="center"/>
        <w:rPr>
          <w:rFonts w:ascii="宋体" w:hAnsi="宋体" w:cs="宋体" w:hint="eastAsia"/>
          <w:b/>
          <w:bCs/>
          <w:spacing w:val="-20"/>
          <w:kern w:val="44"/>
          <w:sz w:val="48"/>
          <w:szCs w:val="48"/>
        </w:rPr>
      </w:pPr>
      <w:r>
        <w:rPr>
          <w:b/>
          <w:bCs/>
          <w:szCs w:val="21"/>
        </w:rPr>
        <w:br w:type="page"/>
      </w:r>
      <w:bookmarkStart w:id="72" w:name="_Toc3995"/>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p w:rsidR="002B664B">
      <w:pPr>
        <w:rPr>
          <w:rFonts w:eastAsia="黑体"/>
          <w:sz w:val="44"/>
          <w:szCs w:val="44"/>
        </w:rPr>
      </w:pPr>
      <w:r>
        <w:rPr>
          <w:rFonts w:eastAsia="黑体"/>
          <w:sz w:val="44"/>
          <w:szCs w:val="44"/>
        </w:rPr>
        <w:br w:type="page"/>
      </w:r>
    </w:p>
    <w:p w:rsidR="002B664B">
      <w:pPr>
        <w:rPr>
          <w:rFonts w:eastAsia="黑体"/>
          <w:sz w:val="44"/>
          <w:szCs w:val="44"/>
        </w:rPr>
      </w:pPr>
    </w:p>
    <w:p w:rsidR="002B664B">
      <w:pPr>
        <w:rPr>
          <w:rFonts w:eastAsia="黑体"/>
          <w:sz w:val="44"/>
          <w:szCs w:val="44"/>
        </w:rPr>
      </w:pPr>
    </w:p>
    <w:p w:rsidR="002B664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pPr>
        <w:ind w:firstLine="640" w:firstLineChars="200"/>
        <w:rPr>
          <w:rFonts w:ascii="仿宋_GB2312" w:eastAsia="仿宋_GB2312" w:hAnsi="仿宋_GB2312" w:cs="仿宋_GB2312" w:hint="eastAsia"/>
          <w:sz w:val="32"/>
          <w:szCs w:val="32"/>
        </w:rPr>
      </w:pP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pPr>
        <w:rPr>
          <w:rFonts w:eastAsia="黑体"/>
          <w:sz w:val="44"/>
          <w:szCs w:val="44"/>
        </w:rPr>
        <w:sectPr>
          <w:pgSz w:w="11906" w:h="16838"/>
          <w:pgMar w:top="1440" w:right="1800" w:bottom="1440" w:left="1800" w:header="851" w:footer="992" w:gutter="0"/>
          <w:cols w:space="425"/>
          <w:docGrid w:type="lines" w:linePitch="312"/>
        </w:sectPr>
      </w:pPr>
    </w:p>
    <w:p w:rsidR="002B664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3" w:name="_Toc22209"/>
      <w:bookmarkEnd w:id="72"/>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rsidR="002B664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spacing w:line="400" w:lineRule="exact"/>
      </w:pP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008D506F">
        <w:rPr>
          <w:rFonts w:ascii="宋体" w:hAnsi="宋体" w:hint="eastAsia"/>
          <w:szCs w:val="21"/>
          <w:u w:val="single"/>
        </w:rPr>
        <w:t>2026年</w:t>
      </w:r>
      <w:r w:rsidRPr="008D506F" w:rsidR="008D506F">
        <w:rPr>
          <w:rFonts w:ascii="宋体" w:hAnsi="宋体" w:hint="eastAsia"/>
          <w:szCs w:val="21"/>
          <w:u w:val="single"/>
        </w:rPr>
        <w:t>空中国王人影作业飞机</w:t>
      </w:r>
      <w:bookmarkStart w:id="74" w:name="_Hlk226534230_0"/>
      <w:r w:rsidR="0094126C">
        <w:rPr>
          <w:rFonts w:ascii="宋体" w:hAnsi="宋体" w:hint="eastAsia"/>
          <w:szCs w:val="21"/>
          <w:u w:val="single"/>
        </w:rPr>
        <w:t>通用</w:t>
      </w:r>
      <w:r w:rsidRPr="008D506F" w:rsidR="0094126C">
        <w:rPr>
          <w:rFonts w:ascii="宋体" w:hAnsi="宋体" w:hint="eastAsia"/>
          <w:szCs w:val="21"/>
          <w:u w:val="single"/>
        </w:rPr>
        <w:t>机载焰条</w:t>
      </w:r>
      <w:bookmarkEnd w:id="74"/>
      <w:r w:rsidR="008D506F">
        <w:rPr>
          <w:rFonts w:ascii="宋体" w:hAnsi="宋体" w:hint="eastAsia"/>
          <w:szCs w:val="21"/>
          <w:u w:val="single"/>
        </w:rPr>
        <w:t>采购</w:t>
      </w:r>
      <w:r>
        <w:rPr>
          <w:rFonts w:ascii="宋体" w:hAnsi="宋体"/>
          <w:szCs w:val="21"/>
          <w:u w:val="single"/>
        </w:rPr>
        <w:t xml:space="preserve"> </w:t>
      </w:r>
    </w:p>
    <w:p w:rsidR="002B664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pPr>
        <w:pStyle w:val="12"/>
        <w:spacing w:line="400" w:lineRule="exact"/>
      </w:pPr>
      <w:r>
        <w:rPr>
          <w:rFonts w:ascii="宋体" w:hAnsi="宋体" w:hint="eastAsia"/>
        </w:rPr>
        <w:t>（3）付款方式（按项目实际勾选填写）：</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 总金额的40.00%。</w:t>
      </w:r>
    </w:p>
    <w:p w:rsidR="00EC4761" w:rsidRPr="00EC4761" w:rsidP="00D64CBA">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r>
        <w:rPr>
          <w:rFonts w:hint="eastAsia"/>
        </w:rPr>
        <w:br w:type="page"/>
      </w:r>
    </w:p>
    <w:p w:rsidR="002B664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B664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5" w:name="_Toc27624"/>
      <w:r>
        <w:rPr>
          <w:rFonts w:ascii="黑体" w:hAnsi="黑体" w:hint="eastAsia"/>
          <w:b w:val="0"/>
          <w:bCs w:val="0"/>
          <w:sz w:val="28"/>
          <w:szCs w:val="28"/>
        </w:rPr>
        <w:t>第二节 政府采购合同通用条款</w:t>
      </w:r>
      <w:bookmarkEnd w:id="75"/>
    </w:p>
    <w:p w:rsidR="002B664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6"/>
      <w:r>
        <w:rPr>
          <w:rFonts w:ascii="宋体" w:hAnsi="宋体" w:hint="eastAsia"/>
          <w:szCs w:val="21"/>
        </w:rPr>
        <w:t>。</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7" w:name="_Toc20313"/>
    </w:p>
    <w:p w:rsidR="002B664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pPr>
            <w:r>
              <w:rPr>
                <w:rFonts w:ascii="宋体" w:hAnsi="宋体" w:hint="eastAsia"/>
                <w:szCs w:val="21"/>
              </w:rPr>
              <w:t>第5.4款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tc>
      </w:tr>
      <w:tr>
        <w:tblPrEx>
          <w:tblW w:w="8519" w:type="dxa"/>
          <w:tblInd w:w="108" w:type="dxa"/>
          <w:tblLayout w:type="fixed"/>
          <w:tblLook w:val="04A0"/>
        </w:tblPrEx>
        <w:trPr>
          <w:trHeight w:val="667"/>
        </w:trPr>
        <w:tc>
          <w:tcPr>
            <w:tcW w:w="1607" w:type="dxa"/>
            <w:vMerge/>
            <w:vAlign w:val="center"/>
          </w:tcPr>
          <w:p w:rsidR="002B664B">
            <w:pPr>
              <w:adjustRightInd w:val="0"/>
              <w:snapToGrid w:val="0"/>
              <w:jc w:val="center"/>
              <w:rPr>
                <w:rFonts w:ascii="宋体" w:hAnsi="宋体" w:hint="eastAsia"/>
                <w:szCs w:val="21"/>
              </w:rPr>
            </w:pP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tc>
      </w:tr>
      <w:tr>
        <w:tblPrEx>
          <w:tblW w:w="8519" w:type="dxa"/>
          <w:tblInd w:w="108" w:type="dxa"/>
          <w:tblLayout w:type="fixed"/>
          <w:tblLook w:val="04A0"/>
        </w:tblPrEx>
        <w:trPr>
          <w:trHeight w:val="772"/>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tc>
      </w:tr>
      <w:tr>
        <w:tblPrEx>
          <w:tblW w:w="8519" w:type="dxa"/>
          <w:tblInd w:w="108" w:type="dxa"/>
          <w:tblLayout w:type="fixed"/>
          <w:tblLook w:val="04A0"/>
        </w:tblPrEx>
        <w:trPr>
          <w:trHeight w:val="66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货物质量缺陷</w:t>
            </w:r>
          </w:p>
          <w:p w:rsidR="002B664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snapToGrid w:val="0"/>
              <w:jc w:val="center"/>
              <w:rPr>
                <w:rFonts w:ascii="宋体" w:hAnsi="宋体" w:cs="宋体" w:hint="eastAsia"/>
                <w:szCs w:val="21"/>
              </w:rPr>
            </w:pPr>
            <w:r>
              <w:rPr>
                <w:rFonts w:ascii="宋体" w:hAnsi="宋体" w:cs="宋体" w:hint="eastAsia"/>
                <w:szCs w:val="21"/>
              </w:rPr>
              <w:t>第二节</w:t>
            </w:r>
          </w:p>
          <w:p w:rsidR="002B664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pPr>
              <w:adjustRightInd w:val="0"/>
              <w:snapToGrid w:val="0"/>
              <w:jc w:val="left"/>
              <w:rPr>
                <w:rFonts w:ascii="宋体" w:hAnsi="宋体" w:hint="eastAsia"/>
                <w:szCs w:val="21"/>
              </w:rPr>
            </w:pPr>
          </w:p>
        </w:tc>
      </w:tr>
    </w:tbl>
    <w:p w:rsidR="002B664B"/>
    <w:p w:rsidR="002B664B">
      <w:pPr>
        <w:rPr>
          <w:b/>
          <w:bCs/>
          <w:sz w:val="44"/>
          <w:szCs w:val="44"/>
        </w:rPr>
      </w:pPr>
    </w:p>
    <w:p w:rsidR="002B664B"/>
    <w:p w:rsidR="00A77B3E"/>
    <w:p w:rsidR="002B664B">
      <w:pPr>
        <w:numPr>
          <w:ilvl w:val="0"/>
          <w:numId w:val="4"/>
        </w:numPr>
        <w:spacing w:line="360" w:lineRule="auto"/>
        <w:ind w:firstLine="3066" w:firstLineChars="1460"/>
        <w:jc w:val="left"/>
        <w:rPr>
          <w:b/>
          <w:bCs/>
          <w:szCs w:val="21"/>
        </w:rPr>
      </w:pPr>
      <w:bookmarkEnd w:id="71"/>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6D7F"/>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404"/>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664B"/>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6751"/>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B8D"/>
    <w:rsid w:val="00560F1E"/>
    <w:rsid w:val="005624FD"/>
    <w:rsid w:val="0056446E"/>
    <w:rsid w:val="0056479F"/>
    <w:rsid w:val="00564DD6"/>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3C45"/>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8DA"/>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D506F"/>
    <w:rsid w:val="008E0768"/>
    <w:rsid w:val="008E114C"/>
    <w:rsid w:val="008E268D"/>
    <w:rsid w:val="008E3798"/>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1111"/>
    <w:rsid w:val="0091255C"/>
    <w:rsid w:val="00912955"/>
    <w:rsid w:val="0091451C"/>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126C"/>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52A6"/>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27F66"/>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516E"/>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4CBA"/>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761"/>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