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2025年四川、重庆通量观测系统建设-高精度温室气体浓度观测系统</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ZQCD-25446</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重庆市气象信息与技术保障中心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2025年四川、重庆通量观测系统建设-高精度温室气体浓度观测系统</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ZQCD-25446</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合同签订后120天内交货，180天内完成安装调试并具备验收条件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重庆</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2025年12月03日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2025年12月14日 23:59:59</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2025年12月15日 14:30:00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刘亚明</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010-68400081</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重庆市气象信息与技术保障中心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黄兆富</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023-89116132</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重庆市渝北区新牌坊一路68号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重庆市气象信息与技术保障中心</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不允许（仅针对以下产品：高精度温室气体浓度观测系统不允许代理商响应）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无</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设有，核心产品为光谱吸收法大气二氧化碳/甲烷高精度分析仪</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工业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是（不接受 中小企业以联合体或合同分包方式参加）</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是，中标服务费：6.5万元。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898.400000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898.400000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针对高精度温室气体观测系统，每提供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 xml:space="preserve">二档：技术方案能按照招标文件的格式进行响应，技术响应比较浅显，缺乏针对性，投标产品综合技术性能满足采购文件要求。 </w:t>
              <w:cr/>
              <w:t xml:space="preserve">三档：技术方案基本能按照招标文件的要求进行响应，有一定针对性，基本满足采购文件的需求，投标产品综合技术性能满足且部分优于采购文件要求。  </w:t>
              <w:cr/>
              <w:t xml:space="preserve">四档：技术方案能按照招标文件的要求进行响应，详细具体，针对性强，与项目实际情况相契合，完全满足采购文件的需求，投标产品综合技术性能满足且总体上优于采购文件要求。 </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针对高精度温室气体观测系统设备，测试报告应涵盖气候环境、电磁环境测试、工作环境等内容，每包含一项得1分，最多得3分。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14:paraId="2D6AE571">
      <w:pPr>
        <w:adjustRightInd w:val="0"/>
        <w:snapToGrid w:val="0"/>
        <w:spacing w:line="360" w:lineRule="auto"/>
        <w:jc w:val="left"/>
        <w:rPr>
          <w:rFonts w:ascii="宋体" w:hAnsi="宋体" w:hint="eastAsia"/>
          <w:bCs/>
          <w:szCs w:val="21"/>
          <w:lang w:val="en-US" w:eastAsia="zh-CN"/>
        </w:rPr>
      </w:pPr>
      <w:bookmarkEnd w:id="54"/>
    </w:p>
    <w:p w14:paraId="2A6D3FF9">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14:paraId="4C2C4FE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一、项目概况及总体要求（详见采购需求-其他技术及商务需求）</w:t>
      </w:r>
    </w:p>
    <w:p w14:paraId="4C1394F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14:paraId="3D0152C5">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14:paraId="0BBA0297">
      <w:pPr>
        <w:spacing w:line="560" w:lineRule="exact"/>
        <w:jc w:val="center"/>
        <w:rPr>
          <w:rFonts w:ascii="仿宋" w:eastAsia="仿宋" w:hAnsi="仿宋" w:cs="仿宋"/>
          <w:b/>
          <w:bCs/>
          <w:sz w:val="28"/>
          <w:szCs w:val="20"/>
        </w:rPr>
      </w:pPr>
      <w:r>
        <w:rPr>
          <w:rFonts w:ascii="仿宋" w:eastAsia="仿宋" w:hAnsi="仿宋" w:cs="仿宋" w:hint="eastAsia"/>
          <w:b/>
          <w:bCs/>
          <w:sz w:val="28"/>
          <w:szCs w:val="20"/>
        </w:rPr>
        <w:t>光谱吸收法大气二氧化碳甲烷高精度浓度观测系统技术性能指标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1381"/>
        <w:gridCol w:w="455"/>
        <w:gridCol w:w="1212"/>
        <w:gridCol w:w="5436"/>
      </w:tblGrid>
      <w:tr w14:paraId="60670110">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14:paraId="2A258F4A">
            <w:pPr>
              <w:rPr>
                <w:rFonts w:ascii="仿宋" w:eastAsia="仿宋" w:hAnsi="仿宋" w:cs="仿宋"/>
                <w:b/>
                <w:bCs/>
              </w:rPr>
            </w:pPr>
            <w:r>
              <w:rPr>
                <w:rFonts w:ascii="仿宋" w:eastAsia="仿宋" w:hAnsi="仿宋" w:cs="仿宋" w:hint="eastAsia"/>
                <w:b/>
                <w:bCs/>
                <w:sz w:val="24"/>
              </w:rPr>
              <w:t>序号</w:t>
            </w:r>
          </w:p>
        </w:tc>
        <w:tc>
          <w:tcPr>
            <w:tcW w:w="1655" w:type="pct"/>
            <w:gridSpan w:val="3"/>
            <w:vAlign w:val="center"/>
          </w:tcPr>
          <w:p w14:paraId="31664B47">
            <w:pPr>
              <w:jc w:val="center"/>
              <w:rPr>
                <w:rFonts w:ascii="仿宋" w:eastAsia="仿宋" w:hAnsi="仿宋" w:cs="仿宋"/>
                <w:b/>
                <w:bCs/>
              </w:rPr>
            </w:pPr>
            <w:r>
              <w:rPr>
                <w:rFonts w:ascii="仿宋" w:eastAsia="仿宋" w:hAnsi="仿宋" w:cs="仿宋" w:hint="eastAsia"/>
                <w:b/>
                <w:bCs/>
                <w:sz w:val="24"/>
              </w:rPr>
              <w:t>名称</w:t>
            </w:r>
          </w:p>
        </w:tc>
        <w:tc>
          <w:tcPr>
            <w:tcW w:w="2951" w:type="pct"/>
            <w:vAlign w:val="center"/>
          </w:tcPr>
          <w:p w14:paraId="7D8F7B3E">
            <w:pPr>
              <w:jc w:val="center"/>
              <w:rPr>
                <w:rFonts w:ascii="仿宋" w:eastAsia="仿宋" w:hAnsi="仿宋" w:cs="仿宋"/>
                <w:b/>
                <w:bCs/>
              </w:rPr>
            </w:pPr>
            <w:r>
              <w:rPr>
                <w:rFonts w:ascii="仿宋" w:eastAsia="仿宋" w:hAnsi="仿宋" w:cs="仿宋" w:hint="eastAsia"/>
                <w:b/>
                <w:bCs/>
                <w:sz w:val="24"/>
              </w:rPr>
              <w:t>技术要求</w:t>
            </w:r>
          </w:p>
        </w:tc>
      </w:tr>
      <w:tr w14:paraId="2F02F1B3">
        <w:tblPrEx>
          <w:tblW w:w="5114" w:type="pct"/>
          <w:jc w:val="center"/>
          <w:tblLayout w:type="fixed"/>
          <w:tblCellMar>
            <w:top w:w="0" w:type="dxa"/>
            <w:left w:w="108" w:type="dxa"/>
            <w:bottom w:w="0" w:type="dxa"/>
            <w:right w:w="108" w:type="dxa"/>
          </w:tblCellMar>
        </w:tblPrEx>
        <w:trPr>
          <w:jc w:val="center"/>
        </w:trPr>
        <w:tc>
          <w:tcPr>
            <w:tcW w:w="393" w:type="pct"/>
            <w:vAlign w:val="center"/>
          </w:tcPr>
          <w:p w14:paraId="6EAA3535">
            <w:pPr>
              <w:numPr>
                <w:ilvl w:val="0"/>
                <w:numId w:val="3"/>
              </w:numPr>
              <w:ind w:left="0" w:firstLine="0"/>
              <w:rPr>
                <w:rFonts w:ascii="仿宋" w:eastAsia="仿宋" w:hAnsi="仿宋" w:cs="仿宋"/>
              </w:rPr>
            </w:pPr>
          </w:p>
        </w:tc>
        <w:tc>
          <w:tcPr>
            <w:tcW w:w="750" w:type="pct"/>
            <w:vMerge w:val="restart"/>
            <w:vAlign w:val="center"/>
          </w:tcPr>
          <w:p w14:paraId="1C0CCE09">
            <w:pPr>
              <w:widowControl/>
              <w:spacing w:line="560" w:lineRule="exact"/>
              <w:jc w:val="center"/>
              <w:rPr>
                <w:rFonts w:ascii="仿宋" w:eastAsia="仿宋" w:hAnsi="仿宋" w:cs="仿宋"/>
                <w:b/>
                <w:bCs/>
                <w:sz w:val="28"/>
                <w:szCs w:val="20"/>
              </w:rPr>
            </w:pPr>
            <w:r>
              <w:rPr>
                <w:rFonts w:ascii="仿宋" w:eastAsia="仿宋" w:hAnsi="仿宋" w:cs="仿宋" w:hint="eastAsia"/>
                <w:b/>
                <w:bCs/>
                <w:sz w:val="28"/>
                <w:szCs w:val="20"/>
                <w:lang w:bidi="ar"/>
              </w:rPr>
              <w:t>光谱吸收法大气二氧化碳甲烷高精度分析仪（光腔衰荡法）</w:t>
            </w:r>
          </w:p>
          <w:p w14:paraId="453F1665">
            <w:pPr>
              <w:rPr>
                <w:rFonts w:ascii="仿宋" w:eastAsia="仿宋" w:hAnsi="仿宋" w:cs="仿宋"/>
              </w:rPr>
            </w:pPr>
          </w:p>
        </w:tc>
        <w:tc>
          <w:tcPr>
            <w:tcW w:w="3856" w:type="pct"/>
            <w:gridSpan w:val="3"/>
            <w:vAlign w:val="center"/>
          </w:tcPr>
          <w:p w14:paraId="56271825">
            <w:pPr>
              <w:rPr>
                <w:rFonts w:ascii="仿宋" w:eastAsia="仿宋" w:hAnsi="仿宋" w:cs="仿宋"/>
              </w:rPr>
            </w:pPr>
            <w:r>
              <w:rPr>
                <w:rFonts w:ascii="仿宋" w:eastAsia="仿宋" w:hAnsi="仿宋" w:cs="仿宋" w:hint="eastAsia"/>
                <w:sz w:val="24"/>
              </w:rPr>
              <w:t>利用高、低浓度工作标气得出的线性矫正参数计算目标标气中CO</w:t>
            </w:r>
            <w:r>
              <w:rPr>
                <w:rFonts w:ascii="仿宋" w:eastAsia="仿宋" w:hAnsi="仿宋" w:cs="仿宋" w:hint="eastAsia"/>
                <w:sz w:val="24"/>
                <w:vertAlign w:val="subscript"/>
              </w:rPr>
              <w:t>2</w:t>
            </w:r>
            <w:r>
              <w:rPr>
                <w:rFonts w:ascii="仿宋" w:eastAsia="仿宋" w:hAnsi="仿宋" w:cs="仿宋" w:hint="eastAsia"/>
                <w:sz w:val="24"/>
              </w:rPr>
              <w:t>和CH</w:t>
            </w:r>
            <w:r>
              <w:rPr>
                <w:rFonts w:ascii="仿宋" w:eastAsia="仿宋" w:hAnsi="仿宋" w:cs="仿宋" w:hint="eastAsia"/>
                <w:sz w:val="24"/>
                <w:vertAlign w:val="subscript"/>
              </w:rPr>
              <w:t>4</w:t>
            </w:r>
            <w:r>
              <w:rPr>
                <w:rFonts w:ascii="仿宋" w:eastAsia="仿宋" w:hAnsi="仿宋" w:cs="仿宋" w:hint="eastAsia"/>
                <w:sz w:val="24"/>
              </w:rPr>
              <w:t>浓度校正值，校正值与标称值应满足CO</w:t>
            </w:r>
            <w:r>
              <w:rPr>
                <w:rFonts w:ascii="仿宋" w:eastAsia="仿宋" w:hAnsi="仿宋" w:cs="仿宋" w:hint="eastAsia"/>
                <w:sz w:val="24"/>
                <w:vertAlign w:val="subscript"/>
              </w:rPr>
              <w:t>2</w:t>
            </w:r>
            <w:r>
              <w:rPr>
                <w:rFonts w:ascii="仿宋" w:eastAsia="仿宋" w:hAnsi="仿宋" w:cs="仿宋" w:hint="eastAsia"/>
                <w:sz w:val="24"/>
              </w:rPr>
              <w:t>&lt; 0.1μmol/mol（ppm） ；CH</w:t>
            </w:r>
            <w:r>
              <w:rPr>
                <w:rFonts w:ascii="仿宋" w:eastAsia="仿宋" w:hAnsi="仿宋" w:cs="仿宋" w:hint="eastAsia"/>
                <w:sz w:val="24"/>
                <w:vertAlign w:val="subscript"/>
              </w:rPr>
              <w:t>4</w:t>
            </w:r>
            <w:r>
              <w:rPr>
                <w:rFonts w:ascii="仿宋" w:eastAsia="仿宋" w:hAnsi="仿宋" w:cs="仿宋" w:hint="eastAsia"/>
                <w:sz w:val="24"/>
              </w:rPr>
              <w:t>&lt; 2 nmol/mol（ppb） ；</w:t>
            </w:r>
          </w:p>
        </w:tc>
      </w:tr>
      <w:tr w14:paraId="2FB17BBF">
        <w:tblPrEx>
          <w:tblW w:w="5114" w:type="pct"/>
          <w:jc w:val="center"/>
          <w:tblLayout w:type="fixed"/>
          <w:tblCellMar>
            <w:top w:w="0" w:type="dxa"/>
            <w:left w:w="108" w:type="dxa"/>
            <w:bottom w:w="0" w:type="dxa"/>
            <w:right w:w="108" w:type="dxa"/>
          </w:tblCellMar>
        </w:tblPrEx>
        <w:trPr>
          <w:jc w:val="center"/>
        </w:trPr>
        <w:tc>
          <w:tcPr>
            <w:tcW w:w="393" w:type="pct"/>
            <w:vAlign w:val="center"/>
          </w:tcPr>
          <w:p w14:paraId="720F7A34">
            <w:pPr>
              <w:numPr>
                <w:ilvl w:val="0"/>
                <w:numId w:val="3"/>
              </w:numPr>
              <w:ind w:left="0" w:firstLine="0"/>
              <w:rPr>
                <w:rFonts w:ascii="仿宋" w:eastAsia="仿宋" w:hAnsi="仿宋" w:cs="仿宋"/>
              </w:rPr>
            </w:pPr>
          </w:p>
        </w:tc>
        <w:tc>
          <w:tcPr>
            <w:tcW w:w="750" w:type="pct"/>
            <w:vMerge/>
            <w:vAlign w:val="center"/>
          </w:tcPr>
          <w:p w14:paraId="676A7A39">
            <w:pPr>
              <w:rPr>
                <w:rFonts w:ascii="仿宋" w:eastAsia="仿宋" w:hAnsi="仿宋" w:cs="仿宋"/>
              </w:rPr>
            </w:pPr>
          </w:p>
        </w:tc>
        <w:tc>
          <w:tcPr>
            <w:tcW w:w="247" w:type="pct"/>
            <w:vAlign w:val="center"/>
          </w:tcPr>
          <w:p w14:paraId="150115B3">
            <w:pPr>
              <w:rPr>
                <w:rFonts w:ascii="仿宋" w:eastAsia="仿宋" w:hAnsi="仿宋" w:cs="仿宋"/>
              </w:rPr>
            </w:pPr>
            <w:r>
              <w:rPr>
                <w:rFonts w:ascii="仿宋" w:eastAsia="仿宋" w:hAnsi="仿宋" w:cs="仿宋" w:hint="eastAsia"/>
                <w:sz w:val="24"/>
              </w:rPr>
              <w:t>测量单元</w:t>
            </w:r>
          </w:p>
        </w:tc>
        <w:tc>
          <w:tcPr>
            <w:tcW w:w="657" w:type="pct"/>
            <w:vAlign w:val="center"/>
          </w:tcPr>
          <w:p w14:paraId="587F805F">
            <w:pPr>
              <w:rPr>
                <w:rFonts w:ascii="仿宋" w:eastAsia="仿宋" w:hAnsi="仿宋" w:cs="仿宋"/>
              </w:rPr>
            </w:pPr>
            <w:r>
              <w:rPr>
                <w:rFonts w:ascii="仿宋" w:eastAsia="仿宋" w:hAnsi="仿宋" w:cs="仿宋" w:hint="eastAsia"/>
                <w:sz w:val="24"/>
              </w:rPr>
              <w:t>分析主机</w:t>
            </w:r>
          </w:p>
        </w:tc>
        <w:tc>
          <w:tcPr>
            <w:tcW w:w="2951" w:type="pct"/>
            <w:vAlign w:val="center"/>
          </w:tcPr>
          <w:p w14:paraId="0034CFC0">
            <w:pPr>
              <w:rPr>
                <w:rFonts w:ascii="仿宋" w:eastAsia="仿宋" w:hAnsi="仿宋" w:cs="仿宋"/>
              </w:rPr>
            </w:pPr>
            <w:r>
              <w:rPr>
                <w:rFonts w:ascii="仿宋" w:eastAsia="仿宋" w:hAnsi="仿宋" w:cs="仿宋" w:hint="eastAsia"/>
                <w:sz w:val="24"/>
              </w:rPr>
              <w:t>（1）测量原理：光腔衰荡光谱法</w:t>
            </w:r>
          </w:p>
          <w:p w14:paraId="3C98E9AE">
            <w:pPr>
              <w:rPr>
                <w:rFonts w:ascii="仿宋" w:eastAsia="仿宋" w:hAnsi="仿宋" w:cs="仿宋"/>
                <w:highlight w:val="yellow"/>
              </w:rPr>
            </w:pPr>
            <w:r>
              <w:rPr>
                <w:rFonts w:ascii="仿宋" w:eastAsia="仿宋" w:hAnsi="仿宋" w:cs="仿宋" w:hint="eastAsia"/>
                <w:sz w:val="24"/>
              </w:rPr>
              <w:t>（2）</w:t>
            </w:r>
            <w:r>
              <w:rPr>
                <w:rFonts w:ascii="仿宋" w:eastAsia="仿宋" w:hAnsi="仿宋" w:cs="仿宋" w:hint="eastAsia"/>
                <w:sz w:val="24"/>
                <w:highlight w:val="yellow"/>
              </w:rPr>
              <w:t>#精度（标气条件下，计算5分钟均值的1倍标准差，24小时）</w:t>
            </w:r>
          </w:p>
          <w:p w14:paraId="4BA25CC9">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：≤0.025ppm</w:t>
            </w:r>
          </w:p>
          <w:p w14:paraId="1178A2E4">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：≤0.22ppb</w:t>
            </w:r>
          </w:p>
          <w:p w14:paraId="233B88FA">
            <w:pPr>
              <w:rPr>
                <w:rFonts w:ascii="仿宋" w:eastAsia="仿宋" w:hAnsi="仿宋" w:cs="仿宋"/>
              </w:rPr>
            </w:pPr>
            <w:r>
              <w:rPr>
                <w:rFonts w:ascii="仿宋" w:eastAsia="仿宋" w:hAnsi="仿宋" w:cs="仿宋" w:hint="eastAsia"/>
                <w:sz w:val="24"/>
              </w:rPr>
              <w:t>（3）</w:t>
            </w:r>
            <w:r>
              <w:rPr>
                <w:rFonts w:ascii="仿宋" w:eastAsia="仿宋" w:hAnsi="仿宋" w:cs="仿宋" w:hint="eastAsia"/>
                <w:sz w:val="24"/>
                <w:highlight w:val="yellow"/>
              </w:rPr>
              <w:t>#量程</w:t>
            </w:r>
          </w:p>
          <w:p w14:paraId="0F255CE9">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14:paraId="52444CEF">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14:paraId="26CEFE6A">
            <w:pPr>
              <w:rPr>
                <w:rFonts w:ascii="仿宋" w:eastAsia="仿宋" w:hAnsi="仿宋" w:cs="仿宋"/>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14:paraId="1EC4187D">
            <w:pPr>
              <w:rPr>
                <w:rFonts w:ascii="仿宋" w:eastAsia="仿宋" w:hAnsi="仿宋" w:cs="仿宋"/>
              </w:rPr>
            </w:pPr>
            <w:r>
              <w:rPr>
                <w:rFonts w:ascii="仿宋" w:eastAsia="仿宋" w:hAnsi="仿宋" w:cs="仿宋" w:hint="eastAsia"/>
                <w:sz w:val="24"/>
              </w:rPr>
              <w:t>非冷凝）</w:t>
            </w:r>
          </w:p>
          <w:p w14:paraId="4A0DB307">
            <w:pPr>
              <w:rPr>
                <w:rFonts w:ascii="仿宋" w:eastAsia="仿宋" w:hAnsi="仿宋" w:cs="仿宋"/>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14:paraId="7354B394">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 ppm</w:t>
            </w:r>
          </w:p>
          <w:p w14:paraId="51EA886E">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：≤1 ppb</w:t>
            </w:r>
          </w:p>
          <w:p w14:paraId="4BCC9627">
            <w:pPr>
              <w:rPr>
                <w:rFonts w:ascii="仿宋" w:eastAsia="仿宋" w:hAnsi="仿宋" w:cs="仿宋"/>
                <w:highlight w:val="yellow"/>
              </w:rPr>
            </w:pPr>
            <w:r>
              <w:rPr>
                <w:rFonts w:ascii="仿宋" w:eastAsia="仿宋" w:hAnsi="仿宋" w:cs="仿宋" w:hint="eastAsia"/>
                <w:sz w:val="24"/>
                <w:highlight w:val="yellow"/>
              </w:rPr>
              <w:t>（5）#线性</w:t>
            </w:r>
          </w:p>
          <w:p w14:paraId="2AA6F070">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：拟合优度：≥0.9999；拟合残差绝对值：≤0.1 ppm</w:t>
            </w:r>
          </w:p>
          <w:p w14:paraId="4D8EFB56">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：拟合优度：≥0.9999；拟合残差绝对值：≤1 ppb</w:t>
            </w:r>
          </w:p>
        </w:tc>
      </w:tr>
      <w:tr w14:paraId="7D469E8B">
        <w:tblPrEx>
          <w:tblW w:w="5114" w:type="pct"/>
          <w:jc w:val="center"/>
          <w:tblLayout w:type="fixed"/>
          <w:tblCellMar>
            <w:top w:w="0" w:type="dxa"/>
            <w:left w:w="108" w:type="dxa"/>
            <w:bottom w:w="0" w:type="dxa"/>
            <w:right w:w="108" w:type="dxa"/>
          </w:tblCellMar>
        </w:tblPrEx>
        <w:trPr>
          <w:jc w:val="center"/>
        </w:trPr>
        <w:tc>
          <w:tcPr>
            <w:tcW w:w="393" w:type="pct"/>
            <w:vAlign w:val="center"/>
          </w:tcPr>
          <w:p w14:paraId="14A8F667">
            <w:pPr>
              <w:numPr>
                <w:ilvl w:val="0"/>
                <w:numId w:val="3"/>
              </w:numPr>
              <w:ind w:left="0" w:firstLine="0"/>
              <w:rPr>
                <w:rFonts w:ascii="仿宋" w:eastAsia="仿宋" w:hAnsi="仿宋" w:cs="仿宋"/>
              </w:rPr>
            </w:pPr>
          </w:p>
        </w:tc>
        <w:tc>
          <w:tcPr>
            <w:tcW w:w="750" w:type="pct"/>
            <w:vMerge/>
            <w:vAlign w:val="center"/>
          </w:tcPr>
          <w:p w14:paraId="37599A2D">
            <w:pPr>
              <w:rPr>
                <w:rFonts w:ascii="仿宋" w:eastAsia="仿宋" w:hAnsi="仿宋" w:cs="仿宋"/>
              </w:rPr>
            </w:pPr>
          </w:p>
        </w:tc>
        <w:tc>
          <w:tcPr>
            <w:tcW w:w="247" w:type="pct"/>
            <w:vMerge w:val="restart"/>
            <w:vAlign w:val="center"/>
          </w:tcPr>
          <w:p w14:paraId="6376D548">
            <w:pPr>
              <w:rPr>
                <w:rFonts w:ascii="仿宋" w:eastAsia="仿宋" w:hAnsi="仿宋" w:cs="仿宋"/>
              </w:rPr>
            </w:pPr>
            <w:r>
              <w:rPr>
                <w:rFonts w:ascii="仿宋" w:eastAsia="仿宋" w:hAnsi="仿宋" w:cs="仿宋" w:hint="eastAsia"/>
                <w:sz w:val="24"/>
              </w:rPr>
              <w:t>样气采集单元</w:t>
            </w:r>
          </w:p>
        </w:tc>
        <w:tc>
          <w:tcPr>
            <w:tcW w:w="657" w:type="pct"/>
            <w:vAlign w:val="center"/>
          </w:tcPr>
          <w:p w14:paraId="5BB872A3">
            <w:pPr>
              <w:rPr>
                <w:rFonts w:ascii="仿宋" w:eastAsia="仿宋" w:hAnsi="仿宋" w:cs="仿宋"/>
              </w:rPr>
            </w:pPr>
            <w:r>
              <w:rPr>
                <w:rFonts w:ascii="仿宋" w:eastAsia="仿宋" w:hAnsi="仿宋" w:cs="仿宋" w:hint="eastAsia"/>
                <w:sz w:val="24"/>
              </w:rPr>
              <w:t>采样泵</w:t>
            </w:r>
          </w:p>
        </w:tc>
        <w:tc>
          <w:tcPr>
            <w:tcW w:w="2951" w:type="pct"/>
            <w:vAlign w:val="center"/>
          </w:tcPr>
          <w:p w14:paraId="43B7D491">
            <w:pPr>
              <w:rPr>
                <w:rFonts w:ascii="仿宋" w:eastAsia="仿宋" w:hAnsi="仿宋" w:cs="仿宋"/>
              </w:rPr>
            </w:pPr>
            <w:r>
              <w:rPr>
                <w:rFonts w:ascii="仿宋" w:eastAsia="仿宋" w:hAnsi="仿宋" w:cs="仿宋" w:hint="eastAsia"/>
                <w:sz w:val="24"/>
              </w:rPr>
              <w:t>采样泵规格：无油隔膜式气泵</w:t>
            </w:r>
          </w:p>
          <w:p w14:paraId="62755572">
            <w:pPr>
              <w:rPr>
                <w:rFonts w:ascii="仿宋" w:eastAsia="仿宋" w:hAnsi="仿宋" w:cs="仿宋"/>
              </w:rPr>
            </w:pPr>
            <w:r>
              <w:rPr>
                <w:rFonts w:ascii="仿宋" w:eastAsia="仿宋" w:hAnsi="仿宋" w:cs="仿宋" w:hint="eastAsia"/>
                <w:sz w:val="24"/>
              </w:rPr>
              <w:t>采样泵抽气/排气速度：＞10L/min</w:t>
            </w:r>
          </w:p>
          <w:p w14:paraId="09FC9B48">
            <w:pPr>
              <w:rPr>
                <w:rFonts w:ascii="仿宋" w:eastAsia="仿宋" w:hAnsi="仿宋" w:cs="仿宋"/>
              </w:rPr>
            </w:pPr>
            <w:r>
              <w:rPr>
                <w:rFonts w:ascii="仿宋" w:eastAsia="仿宋" w:hAnsi="仿宋" w:cs="仿宋" w:hint="eastAsia"/>
                <w:sz w:val="24"/>
              </w:rPr>
              <w:t>采样泵最大真空度：＞100mbar abs</w:t>
            </w:r>
          </w:p>
          <w:p w14:paraId="21777925">
            <w:pPr>
              <w:rPr>
                <w:rFonts w:ascii="仿宋" w:eastAsia="仿宋" w:hAnsi="仿宋" w:cs="仿宋"/>
              </w:rPr>
            </w:pPr>
            <w:r>
              <w:rPr>
                <w:rFonts w:ascii="仿宋" w:eastAsia="仿宋" w:hAnsi="仿宋" w:cs="仿宋" w:hint="eastAsia"/>
                <w:sz w:val="24"/>
              </w:rPr>
              <w:t>采样泵操作压力：6.0/87.0（bar rel./psig）</w:t>
            </w:r>
          </w:p>
        </w:tc>
      </w:tr>
      <w:tr w14:paraId="68D437D4">
        <w:tblPrEx>
          <w:tblW w:w="5114" w:type="pct"/>
          <w:jc w:val="center"/>
          <w:tblLayout w:type="fixed"/>
          <w:tblCellMar>
            <w:top w:w="0" w:type="dxa"/>
            <w:left w:w="108" w:type="dxa"/>
            <w:bottom w:w="0" w:type="dxa"/>
            <w:right w:w="108" w:type="dxa"/>
          </w:tblCellMar>
        </w:tblPrEx>
        <w:trPr>
          <w:jc w:val="center"/>
        </w:trPr>
        <w:tc>
          <w:tcPr>
            <w:tcW w:w="393" w:type="pct"/>
            <w:vAlign w:val="center"/>
          </w:tcPr>
          <w:p w14:paraId="12134E3A">
            <w:pPr>
              <w:numPr>
                <w:ilvl w:val="0"/>
                <w:numId w:val="3"/>
              </w:numPr>
              <w:ind w:left="0" w:firstLine="0"/>
              <w:rPr>
                <w:rFonts w:ascii="仿宋" w:eastAsia="仿宋" w:hAnsi="仿宋" w:cs="仿宋"/>
              </w:rPr>
            </w:pPr>
          </w:p>
        </w:tc>
        <w:tc>
          <w:tcPr>
            <w:tcW w:w="750" w:type="pct"/>
            <w:vMerge/>
            <w:vAlign w:val="center"/>
          </w:tcPr>
          <w:p w14:paraId="2EE656A9">
            <w:pPr>
              <w:rPr>
                <w:rFonts w:ascii="仿宋" w:eastAsia="仿宋" w:hAnsi="仿宋" w:cs="仿宋"/>
              </w:rPr>
            </w:pPr>
          </w:p>
        </w:tc>
        <w:tc>
          <w:tcPr>
            <w:tcW w:w="247" w:type="pct"/>
            <w:vMerge/>
            <w:vAlign w:val="center"/>
          </w:tcPr>
          <w:p w14:paraId="0561883F">
            <w:pPr>
              <w:rPr>
                <w:rFonts w:ascii="仿宋" w:eastAsia="仿宋" w:hAnsi="仿宋" w:cs="仿宋"/>
              </w:rPr>
            </w:pPr>
          </w:p>
        </w:tc>
        <w:tc>
          <w:tcPr>
            <w:tcW w:w="657" w:type="pct"/>
            <w:vAlign w:val="center"/>
          </w:tcPr>
          <w:p w14:paraId="65475D6D">
            <w:pPr>
              <w:rPr>
                <w:rFonts w:ascii="仿宋" w:eastAsia="仿宋" w:hAnsi="仿宋" w:cs="仿宋"/>
              </w:rPr>
            </w:pPr>
            <w:r>
              <w:rPr>
                <w:rFonts w:ascii="仿宋" w:eastAsia="仿宋" w:hAnsi="仿宋" w:cs="仿宋" w:hint="eastAsia"/>
                <w:sz w:val="24"/>
              </w:rPr>
              <w:t>采样管</w:t>
            </w:r>
          </w:p>
        </w:tc>
        <w:tc>
          <w:tcPr>
            <w:tcW w:w="2951" w:type="pct"/>
            <w:vAlign w:val="center"/>
          </w:tcPr>
          <w:p w14:paraId="1BDB0BB2">
            <w:pPr>
              <w:rPr>
                <w:rFonts w:ascii="仿宋" w:eastAsia="仿宋" w:hAnsi="仿宋" w:cs="仿宋"/>
              </w:rPr>
            </w:pPr>
            <w:r>
              <w:rPr>
                <w:rFonts w:ascii="仿宋" w:eastAsia="仿宋" w:hAnsi="仿宋" w:cs="仿宋" w:hint="eastAsia"/>
                <w:sz w:val="24"/>
                <w:highlight w:val="yellow"/>
              </w:rPr>
              <w:t>#具有耐老化、无污染、无碳渗透的黑胶铝管（外径≥10mm）</w:t>
            </w:r>
          </w:p>
        </w:tc>
      </w:tr>
      <w:tr w14:paraId="6131B24A">
        <w:tblPrEx>
          <w:tblW w:w="5114" w:type="pct"/>
          <w:jc w:val="center"/>
          <w:tblLayout w:type="fixed"/>
          <w:tblCellMar>
            <w:top w:w="0" w:type="dxa"/>
            <w:left w:w="108" w:type="dxa"/>
            <w:bottom w:w="0" w:type="dxa"/>
            <w:right w:w="108" w:type="dxa"/>
          </w:tblCellMar>
        </w:tblPrEx>
        <w:trPr>
          <w:jc w:val="center"/>
        </w:trPr>
        <w:tc>
          <w:tcPr>
            <w:tcW w:w="393" w:type="pct"/>
            <w:vAlign w:val="center"/>
          </w:tcPr>
          <w:p w14:paraId="5C30A74A">
            <w:pPr>
              <w:numPr>
                <w:ilvl w:val="0"/>
                <w:numId w:val="3"/>
              </w:numPr>
              <w:ind w:left="0" w:firstLine="0"/>
              <w:rPr>
                <w:rFonts w:ascii="仿宋" w:eastAsia="仿宋" w:hAnsi="仿宋" w:cs="仿宋"/>
              </w:rPr>
            </w:pPr>
          </w:p>
        </w:tc>
        <w:tc>
          <w:tcPr>
            <w:tcW w:w="750" w:type="pct"/>
            <w:vMerge/>
            <w:vAlign w:val="center"/>
          </w:tcPr>
          <w:p w14:paraId="3E241033">
            <w:pPr>
              <w:rPr>
                <w:rFonts w:ascii="仿宋" w:eastAsia="仿宋" w:hAnsi="仿宋" w:cs="仿宋"/>
              </w:rPr>
            </w:pPr>
          </w:p>
        </w:tc>
        <w:tc>
          <w:tcPr>
            <w:tcW w:w="247" w:type="pct"/>
            <w:vMerge/>
            <w:vAlign w:val="center"/>
          </w:tcPr>
          <w:p w14:paraId="45860C4B">
            <w:pPr>
              <w:rPr>
                <w:rFonts w:ascii="仿宋" w:eastAsia="仿宋" w:hAnsi="仿宋" w:cs="仿宋"/>
              </w:rPr>
            </w:pPr>
          </w:p>
        </w:tc>
        <w:tc>
          <w:tcPr>
            <w:tcW w:w="657" w:type="pct"/>
            <w:vAlign w:val="center"/>
          </w:tcPr>
          <w:p w14:paraId="1C89F6FB">
            <w:pPr>
              <w:rPr>
                <w:rFonts w:ascii="仿宋" w:eastAsia="仿宋" w:hAnsi="仿宋" w:cs="仿宋"/>
              </w:rPr>
            </w:pPr>
            <w:r>
              <w:rPr>
                <w:rFonts w:ascii="仿宋" w:eastAsia="仿宋" w:hAnsi="仿宋" w:cs="仿宋" w:hint="eastAsia"/>
                <w:sz w:val="24"/>
              </w:rPr>
              <w:t>采样口过滤器</w:t>
            </w:r>
          </w:p>
        </w:tc>
        <w:tc>
          <w:tcPr>
            <w:tcW w:w="2951" w:type="pct"/>
            <w:vAlign w:val="center"/>
          </w:tcPr>
          <w:p w14:paraId="568D76BD">
            <w:pPr>
              <w:rPr>
                <w:rFonts w:ascii="仿宋" w:eastAsia="仿宋" w:hAnsi="仿宋" w:cs="仿宋"/>
              </w:rPr>
            </w:pPr>
            <w:r>
              <w:rPr>
                <w:rFonts w:ascii="仿宋" w:eastAsia="仿宋" w:hAnsi="仿宋" w:cs="仿宋" w:hint="eastAsia"/>
                <w:sz w:val="24"/>
                <w:highlight w:val="yellow"/>
              </w:rPr>
              <w:t xml:space="preserve">#过滤粒径应≤7μm </w:t>
            </w:r>
          </w:p>
        </w:tc>
      </w:tr>
      <w:tr w14:paraId="2A17869D">
        <w:tblPrEx>
          <w:tblW w:w="5114" w:type="pct"/>
          <w:jc w:val="center"/>
          <w:tblLayout w:type="fixed"/>
          <w:tblCellMar>
            <w:top w:w="0" w:type="dxa"/>
            <w:left w:w="108" w:type="dxa"/>
            <w:bottom w:w="0" w:type="dxa"/>
            <w:right w:w="108" w:type="dxa"/>
          </w:tblCellMar>
        </w:tblPrEx>
        <w:trPr>
          <w:jc w:val="center"/>
        </w:trPr>
        <w:tc>
          <w:tcPr>
            <w:tcW w:w="393" w:type="pct"/>
            <w:vAlign w:val="center"/>
          </w:tcPr>
          <w:p w14:paraId="2D6AD0D9">
            <w:pPr>
              <w:numPr>
                <w:ilvl w:val="0"/>
                <w:numId w:val="3"/>
              </w:numPr>
              <w:ind w:left="0" w:firstLine="0"/>
              <w:rPr>
                <w:rFonts w:ascii="仿宋" w:eastAsia="仿宋" w:hAnsi="仿宋" w:cs="仿宋"/>
              </w:rPr>
            </w:pPr>
          </w:p>
        </w:tc>
        <w:tc>
          <w:tcPr>
            <w:tcW w:w="750" w:type="pct"/>
            <w:vMerge/>
            <w:vAlign w:val="center"/>
          </w:tcPr>
          <w:p w14:paraId="1817BE03">
            <w:pPr>
              <w:rPr>
                <w:rFonts w:ascii="仿宋" w:eastAsia="仿宋" w:hAnsi="仿宋" w:cs="仿宋"/>
              </w:rPr>
            </w:pPr>
          </w:p>
        </w:tc>
        <w:tc>
          <w:tcPr>
            <w:tcW w:w="247" w:type="pct"/>
            <w:vMerge/>
            <w:vAlign w:val="center"/>
          </w:tcPr>
          <w:p w14:paraId="30E63290">
            <w:pPr>
              <w:rPr>
                <w:rFonts w:ascii="仿宋" w:eastAsia="仿宋" w:hAnsi="仿宋" w:cs="仿宋"/>
              </w:rPr>
            </w:pPr>
          </w:p>
        </w:tc>
        <w:tc>
          <w:tcPr>
            <w:tcW w:w="657" w:type="pct"/>
            <w:vAlign w:val="center"/>
          </w:tcPr>
          <w:p w14:paraId="61BF376C">
            <w:pPr>
              <w:rPr>
                <w:rFonts w:ascii="仿宋" w:eastAsia="仿宋" w:hAnsi="仿宋" w:cs="仿宋"/>
              </w:rPr>
            </w:pPr>
            <w:r>
              <w:rPr>
                <w:rFonts w:ascii="仿宋" w:eastAsia="仿宋" w:hAnsi="仿宋" w:cs="仿宋" w:hint="eastAsia"/>
                <w:sz w:val="24"/>
              </w:rPr>
              <w:t>采样泵过滤器</w:t>
            </w:r>
          </w:p>
        </w:tc>
        <w:tc>
          <w:tcPr>
            <w:tcW w:w="2951" w:type="pct"/>
            <w:vAlign w:val="center"/>
          </w:tcPr>
          <w:p w14:paraId="33000402">
            <w:pPr>
              <w:rPr>
                <w:rFonts w:ascii="仿宋" w:eastAsia="仿宋" w:hAnsi="仿宋" w:cs="仿宋"/>
              </w:rPr>
            </w:pPr>
            <w:r>
              <w:rPr>
                <w:rFonts w:ascii="仿宋" w:eastAsia="仿宋" w:hAnsi="仿宋" w:cs="仿宋" w:hint="eastAsia"/>
                <w:sz w:val="24"/>
              </w:rPr>
              <w:t>7μm孔径烧结过滤器</w:t>
            </w:r>
          </w:p>
        </w:tc>
      </w:tr>
      <w:tr w14:paraId="6DFAD93C">
        <w:tblPrEx>
          <w:tblW w:w="5114" w:type="pct"/>
          <w:jc w:val="center"/>
          <w:tblLayout w:type="fixed"/>
          <w:tblCellMar>
            <w:top w:w="0" w:type="dxa"/>
            <w:left w:w="108" w:type="dxa"/>
            <w:bottom w:w="0" w:type="dxa"/>
            <w:right w:w="108" w:type="dxa"/>
          </w:tblCellMar>
        </w:tblPrEx>
        <w:trPr>
          <w:jc w:val="center"/>
        </w:trPr>
        <w:tc>
          <w:tcPr>
            <w:tcW w:w="393" w:type="pct"/>
            <w:vAlign w:val="center"/>
          </w:tcPr>
          <w:p w14:paraId="1E1386B9">
            <w:pPr>
              <w:numPr>
                <w:ilvl w:val="0"/>
                <w:numId w:val="3"/>
              </w:numPr>
              <w:ind w:left="0" w:firstLine="0"/>
              <w:rPr>
                <w:rFonts w:ascii="仿宋" w:eastAsia="仿宋" w:hAnsi="仿宋" w:cs="仿宋"/>
              </w:rPr>
            </w:pPr>
          </w:p>
        </w:tc>
        <w:tc>
          <w:tcPr>
            <w:tcW w:w="750" w:type="pct"/>
            <w:vMerge/>
            <w:vAlign w:val="center"/>
          </w:tcPr>
          <w:p w14:paraId="1246CFD6">
            <w:pPr>
              <w:rPr>
                <w:rFonts w:ascii="仿宋" w:eastAsia="仿宋" w:hAnsi="仿宋" w:cs="仿宋"/>
              </w:rPr>
            </w:pPr>
          </w:p>
        </w:tc>
        <w:tc>
          <w:tcPr>
            <w:tcW w:w="247" w:type="pct"/>
            <w:vMerge w:val="restart"/>
            <w:vAlign w:val="center"/>
          </w:tcPr>
          <w:p w14:paraId="2039E177">
            <w:pPr>
              <w:rPr>
                <w:rFonts w:ascii="仿宋" w:eastAsia="仿宋" w:hAnsi="仿宋" w:cs="仿宋"/>
              </w:rPr>
            </w:pPr>
            <w:r>
              <w:rPr>
                <w:rFonts w:ascii="仿宋" w:eastAsia="仿宋" w:hAnsi="仿宋" w:cs="仿宋" w:hint="eastAsia"/>
                <w:sz w:val="24"/>
              </w:rPr>
              <w:t>样气处理单元</w:t>
            </w:r>
          </w:p>
        </w:tc>
        <w:tc>
          <w:tcPr>
            <w:tcW w:w="3608" w:type="pct"/>
            <w:gridSpan w:val="2"/>
            <w:vAlign w:val="center"/>
          </w:tcPr>
          <w:p w14:paraId="435977EF">
            <w:pPr>
              <w:rPr>
                <w:rFonts w:ascii="仿宋" w:eastAsia="仿宋" w:hAnsi="仿宋" w:cs="仿宋"/>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14:paraId="61DF09AF">
            <w:pPr>
              <w:rPr>
                <w:rFonts w:ascii="仿宋" w:eastAsia="仿宋" w:hAnsi="仿宋" w:cs="仿宋"/>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14:paraId="6B65BAE2">
            <w:pPr>
              <w:rPr>
                <w:rFonts w:ascii="仿宋" w:eastAsia="仿宋" w:hAnsi="仿宋" w:cs="仿宋"/>
              </w:rPr>
            </w:pPr>
            <w:r>
              <w:rPr>
                <w:rFonts w:ascii="仿宋" w:eastAsia="仿宋" w:hAnsi="仿宋" w:cs="仿宋" w:hint="eastAsia"/>
                <w:sz w:val="24"/>
              </w:rPr>
              <w:t>除湿装置应具有工作状态、温度等信息输出功能。</w:t>
            </w:r>
          </w:p>
        </w:tc>
      </w:tr>
      <w:tr w14:paraId="6F89EEAC">
        <w:tblPrEx>
          <w:tblW w:w="5114" w:type="pct"/>
          <w:jc w:val="center"/>
          <w:tblLayout w:type="fixed"/>
          <w:tblCellMar>
            <w:top w:w="0" w:type="dxa"/>
            <w:left w:w="108" w:type="dxa"/>
            <w:bottom w:w="0" w:type="dxa"/>
            <w:right w:w="108" w:type="dxa"/>
          </w:tblCellMar>
        </w:tblPrEx>
        <w:trPr>
          <w:jc w:val="center"/>
        </w:trPr>
        <w:tc>
          <w:tcPr>
            <w:tcW w:w="393" w:type="pct"/>
            <w:vAlign w:val="center"/>
          </w:tcPr>
          <w:p w14:paraId="10A86286">
            <w:pPr>
              <w:numPr>
                <w:ilvl w:val="0"/>
                <w:numId w:val="3"/>
              </w:numPr>
              <w:ind w:left="0" w:firstLine="0"/>
              <w:rPr>
                <w:rFonts w:ascii="仿宋" w:eastAsia="仿宋" w:hAnsi="仿宋" w:cs="仿宋"/>
              </w:rPr>
            </w:pPr>
          </w:p>
        </w:tc>
        <w:tc>
          <w:tcPr>
            <w:tcW w:w="750" w:type="pct"/>
            <w:vMerge/>
            <w:vAlign w:val="center"/>
          </w:tcPr>
          <w:p w14:paraId="0E7356EB">
            <w:pPr>
              <w:rPr>
                <w:rFonts w:ascii="仿宋" w:eastAsia="仿宋" w:hAnsi="仿宋" w:cs="仿宋"/>
              </w:rPr>
            </w:pPr>
          </w:p>
        </w:tc>
        <w:tc>
          <w:tcPr>
            <w:tcW w:w="247" w:type="pct"/>
            <w:vMerge/>
            <w:vAlign w:val="center"/>
          </w:tcPr>
          <w:p w14:paraId="04E45062">
            <w:pPr>
              <w:rPr>
                <w:rFonts w:ascii="仿宋" w:eastAsia="仿宋" w:hAnsi="仿宋" w:cs="仿宋"/>
              </w:rPr>
            </w:pPr>
          </w:p>
        </w:tc>
        <w:tc>
          <w:tcPr>
            <w:tcW w:w="657" w:type="pct"/>
            <w:vAlign w:val="center"/>
          </w:tcPr>
          <w:p w14:paraId="07B4793D">
            <w:pPr>
              <w:rPr>
                <w:rFonts w:ascii="仿宋" w:eastAsia="仿宋" w:hAnsi="仿宋" w:cs="仿宋"/>
              </w:rPr>
            </w:pPr>
            <w:r>
              <w:rPr>
                <w:rFonts w:ascii="仿宋" w:eastAsia="仿宋" w:hAnsi="仿宋" w:cs="仿宋" w:hint="eastAsia"/>
                <w:sz w:val="24"/>
              </w:rPr>
              <w:t>气体冷却器</w:t>
            </w:r>
          </w:p>
        </w:tc>
        <w:tc>
          <w:tcPr>
            <w:tcW w:w="2951" w:type="pct"/>
            <w:vAlign w:val="center"/>
          </w:tcPr>
          <w:p w14:paraId="3BF3757B">
            <w:pPr>
              <w:rPr>
                <w:rFonts w:ascii="仿宋" w:eastAsia="仿宋" w:hAnsi="仿宋" w:cs="仿宋"/>
              </w:rPr>
            </w:pPr>
            <w:r>
              <w:rPr>
                <w:rFonts w:ascii="仿宋" w:eastAsia="仿宋" w:hAnsi="仿宋" w:cs="仿宋" w:hint="eastAsia"/>
                <w:sz w:val="24"/>
              </w:rPr>
              <w:t>双路进气除水，通过压缩机冷却控制系统将射流热交换管稳定在恒定的露点温度，蠕动泵将冷凝液排出。</w:t>
            </w:r>
          </w:p>
          <w:p w14:paraId="59A83CE1">
            <w:pPr>
              <w:rPr>
                <w:rFonts w:ascii="仿宋" w:eastAsia="仿宋" w:hAnsi="仿宋" w:cs="仿宋"/>
              </w:rPr>
            </w:pPr>
            <w:r>
              <w:rPr>
                <w:rFonts w:ascii="仿宋" w:eastAsia="仿宋" w:hAnsi="仿宋" w:cs="仿宋" w:hint="eastAsia"/>
                <w:sz w:val="24"/>
              </w:rPr>
              <w:t>除湿温度应控制在1℃～3℃范围。</w:t>
            </w:r>
          </w:p>
        </w:tc>
      </w:tr>
      <w:tr w14:paraId="50D65AD5">
        <w:tblPrEx>
          <w:tblW w:w="5114" w:type="pct"/>
          <w:jc w:val="center"/>
          <w:tblLayout w:type="fixed"/>
          <w:tblCellMar>
            <w:top w:w="0" w:type="dxa"/>
            <w:left w:w="108" w:type="dxa"/>
            <w:bottom w:w="0" w:type="dxa"/>
            <w:right w:w="108" w:type="dxa"/>
          </w:tblCellMar>
        </w:tblPrEx>
        <w:trPr>
          <w:jc w:val="center"/>
        </w:trPr>
        <w:tc>
          <w:tcPr>
            <w:tcW w:w="393" w:type="pct"/>
            <w:vAlign w:val="center"/>
          </w:tcPr>
          <w:p w14:paraId="360A4B8E">
            <w:pPr>
              <w:numPr>
                <w:ilvl w:val="0"/>
                <w:numId w:val="3"/>
              </w:numPr>
              <w:ind w:left="0" w:firstLine="0"/>
              <w:rPr>
                <w:rFonts w:ascii="仿宋" w:eastAsia="仿宋" w:hAnsi="仿宋" w:cs="仿宋"/>
              </w:rPr>
            </w:pPr>
          </w:p>
        </w:tc>
        <w:tc>
          <w:tcPr>
            <w:tcW w:w="750" w:type="pct"/>
            <w:vMerge/>
            <w:vAlign w:val="center"/>
          </w:tcPr>
          <w:p w14:paraId="6FA79E63">
            <w:pPr>
              <w:rPr>
                <w:rFonts w:ascii="仿宋" w:eastAsia="仿宋" w:hAnsi="仿宋" w:cs="仿宋"/>
              </w:rPr>
            </w:pPr>
          </w:p>
        </w:tc>
        <w:tc>
          <w:tcPr>
            <w:tcW w:w="247" w:type="pct"/>
            <w:vMerge/>
            <w:vAlign w:val="center"/>
          </w:tcPr>
          <w:p w14:paraId="60D26F1D">
            <w:pPr>
              <w:rPr>
                <w:rFonts w:ascii="仿宋" w:eastAsia="仿宋" w:hAnsi="仿宋" w:cs="仿宋"/>
              </w:rPr>
            </w:pPr>
          </w:p>
        </w:tc>
        <w:tc>
          <w:tcPr>
            <w:tcW w:w="657" w:type="pct"/>
            <w:vMerge w:val="restart"/>
            <w:vAlign w:val="center"/>
          </w:tcPr>
          <w:p w14:paraId="7574E164">
            <w:pPr>
              <w:rPr>
                <w:rFonts w:ascii="仿宋" w:eastAsia="仿宋" w:hAnsi="仿宋" w:cs="仿宋"/>
              </w:rPr>
            </w:pPr>
            <w:r>
              <w:rPr>
                <w:rFonts w:ascii="仿宋" w:eastAsia="仿宋" w:hAnsi="仿宋" w:cs="仿宋" w:hint="eastAsia"/>
                <w:sz w:val="24"/>
              </w:rPr>
              <w:t>渗透膜除水系统</w:t>
            </w:r>
          </w:p>
        </w:tc>
        <w:tc>
          <w:tcPr>
            <w:tcW w:w="2951" w:type="pct"/>
            <w:vMerge w:val="restart"/>
            <w:vAlign w:val="center"/>
          </w:tcPr>
          <w:p w14:paraId="58C2A044">
            <w:pPr>
              <w:rPr>
                <w:rFonts w:ascii="仿宋" w:eastAsia="仿宋" w:hAnsi="仿宋" w:cs="仿宋"/>
              </w:rPr>
            </w:pPr>
            <w:r>
              <w:rPr>
                <w:rFonts w:ascii="仿宋" w:eastAsia="仿宋" w:hAnsi="仿宋" w:cs="仿宋" w:hint="eastAsia"/>
                <w:sz w:val="24"/>
              </w:rPr>
              <w:t>采用气体干燥管进行除湿，气体干燥管选择性渗透膜应为Nafion聚合物材料，吹扫气体应为干燥的空气或其他气体。</w:t>
            </w:r>
          </w:p>
        </w:tc>
      </w:tr>
      <w:tr w14:paraId="77062EF8">
        <w:tblPrEx>
          <w:tblW w:w="5114" w:type="pct"/>
          <w:jc w:val="center"/>
          <w:tblLayout w:type="fixed"/>
          <w:tblCellMar>
            <w:top w:w="0" w:type="dxa"/>
            <w:left w:w="108" w:type="dxa"/>
            <w:bottom w:w="0" w:type="dxa"/>
            <w:right w:w="108" w:type="dxa"/>
          </w:tblCellMar>
        </w:tblPrEx>
        <w:trPr>
          <w:jc w:val="center"/>
        </w:trPr>
        <w:tc>
          <w:tcPr>
            <w:tcW w:w="393" w:type="pct"/>
            <w:vAlign w:val="center"/>
          </w:tcPr>
          <w:p w14:paraId="140DA176">
            <w:pPr>
              <w:numPr>
                <w:ilvl w:val="0"/>
                <w:numId w:val="3"/>
              </w:numPr>
              <w:ind w:left="0" w:firstLine="0"/>
              <w:rPr>
                <w:rFonts w:ascii="仿宋" w:eastAsia="仿宋" w:hAnsi="仿宋" w:cs="仿宋"/>
              </w:rPr>
            </w:pPr>
          </w:p>
        </w:tc>
        <w:tc>
          <w:tcPr>
            <w:tcW w:w="750" w:type="pct"/>
            <w:vMerge/>
            <w:vAlign w:val="center"/>
          </w:tcPr>
          <w:p w14:paraId="702D7624">
            <w:pPr>
              <w:rPr>
                <w:rFonts w:ascii="仿宋" w:eastAsia="仿宋" w:hAnsi="仿宋" w:cs="仿宋"/>
              </w:rPr>
            </w:pPr>
          </w:p>
        </w:tc>
        <w:tc>
          <w:tcPr>
            <w:tcW w:w="247" w:type="pct"/>
            <w:vMerge/>
            <w:vAlign w:val="center"/>
          </w:tcPr>
          <w:p w14:paraId="3E053E4D">
            <w:pPr>
              <w:rPr>
                <w:rFonts w:ascii="仿宋" w:eastAsia="仿宋" w:hAnsi="仿宋" w:cs="仿宋"/>
              </w:rPr>
            </w:pPr>
          </w:p>
        </w:tc>
        <w:tc>
          <w:tcPr>
            <w:tcW w:w="657" w:type="pct"/>
            <w:vMerge/>
            <w:vAlign w:val="center"/>
          </w:tcPr>
          <w:p w14:paraId="0E3F0DDD">
            <w:pPr>
              <w:rPr>
                <w:rFonts w:ascii="仿宋" w:eastAsia="仿宋" w:hAnsi="仿宋" w:cs="仿宋"/>
              </w:rPr>
            </w:pPr>
          </w:p>
        </w:tc>
        <w:tc>
          <w:tcPr>
            <w:tcW w:w="2951" w:type="pct"/>
            <w:vMerge/>
            <w:vAlign w:val="center"/>
          </w:tcPr>
          <w:p w14:paraId="0F11514A">
            <w:pPr>
              <w:rPr>
                <w:rFonts w:ascii="仿宋" w:eastAsia="仿宋" w:hAnsi="仿宋" w:cs="仿宋"/>
                <w:b/>
                <w:bCs/>
              </w:rPr>
            </w:pPr>
          </w:p>
        </w:tc>
      </w:tr>
      <w:tr w14:paraId="2145AA9C">
        <w:tblPrEx>
          <w:tblW w:w="5114" w:type="pct"/>
          <w:jc w:val="center"/>
          <w:tblLayout w:type="fixed"/>
          <w:tblCellMar>
            <w:top w:w="0" w:type="dxa"/>
            <w:left w:w="108" w:type="dxa"/>
            <w:bottom w:w="0" w:type="dxa"/>
            <w:right w:w="108" w:type="dxa"/>
          </w:tblCellMar>
        </w:tblPrEx>
        <w:trPr>
          <w:jc w:val="center"/>
        </w:trPr>
        <w:tc>
          <w:tcPr>
            <w:tcW w:w="393" w:type="pct"/>
            <w:vAlign w:val="center"/>
          </w:tcPr>
          <w:p w14:paraId="69C019AB">
            <w:pPr>
              <w:numPr>
                <w:ilvl w:val="0"/>
                <w:numId w:val="3"/>
              </w:numPr>
              <w:ind w:left="0" w:firstLine="0"/>
              <w:rPr>
                <w:rFonts w:ascii="仿宋" w:eastAsia="仿宋" w:hAnsi="仿宋" w:cs="仿宋"/>
              </w:rPr>
            </w:pPr>
          </w:p>
        </w:tc>
        <w:tc>
          <w:tcPr>
            <w:tcW w:w="750" w:type="pct"/>
            <w:vMerge/>
            <w:vAlign w:val="center"/>
          </w:tcPr>
          <w:p w14:paraId="5EAE189C">
            <w:pPr>
              <w:rPr>
                <w:rFonts w:ascii="仿宋" w:eastAsia="仿宋" w:hAnsi="仿宋" w:cs="仿宋"/>
              </w:rPr>
            </w:pPr>
          </w:p>
        </w:tc>
        <w:tc>
          <w:tcPr>
            <w:tcW w:w="247" w:type="pct"/>
            <w:vMerge/>
            <w:vAlign w:val="center"/>
          </w:tcPr>
          <w:p w14:paraId="1C7C19FC">
            <w:pPr>
              <w:rPr>
                <w:rFonts w:ascii="仿宋" w:eastAsia="仿宋" w:hAnsi="仿宋" w:cs="仿宋"/>
              </w:rPr>
            </w:pPr>
          </w:p>
        </w:tc>
        <w:tc>
          <w:tcPr>
            <w:tcW w:w="657" w:type="pct"/>
            <w:vMerge/>
            <w:vAlign w:val="center"/>
          </w:tcPr>
          <w:p w14:paraId="36920502">
            <w:pPr>
              <w:rPr>
                <w:rFonts w:ascii="仿宋" w:eastAsia="仿宋" w:hAnsi="仿宋" w:cs="仿宋"/>
              </w:rPr>
            </w:pPr>
          </w:p>
        </w:tc>
        <w:tc>
          <w:tcPr>
            <w:tcW w:w="2951" w:type="pct"/>
            <w:vMerge/>
            <w:vAlign w:val="center"/>
          </w:tcPr>
          <w:p w14:paraId="3FD0F810">
            <w:pPr>
              <w:rPr>
                <w:rFonts w:ascii="仿宋" w:eastAsia="仿宋" w:hAnsi="仿宋" w:cs="仿宋"/>
                <w:b/>
                <w:bCs/>
              </w:rPr>
            </w:pPr>
          </w:p>
        </w:tc>
      </w:tr>
      <w:tr w14:paraId="150B5AAC">
        <w:tblPrEx>
          <w:tblW w:w="5114" w:type="pct"/>
          <w:jc w:val="center"/>
          <w:tblLayout w:type="fixed"/>
          <w:tblCellMar>
            <w:top w:w="0" w:type="dxa"/>
            <w:left w:w="108" w:type="dxa"/>
            <w:bottom w:w="0" w:type="dxa"/>
            <w:right w:w="108" w:type="dxa"/>
          </w:tblCellMar>
        </w:tblPrEx>
        <w:trPr>
          <w:jc w:val="center"/>
        </w:trPr>
        <w:tc>
          <w:tcPr>
            <w:tcW w:w="393" w:type="pct"/>
            <w:vAlign w:val="center"/>
          </w:tcPr>
          <w:p w14:paraId="05B77D35">
            <w:pPr>
              <w:numPr>
                <w:ilvl w:val="0"/>
                <w:numId w:val="3"/>
              </w:numPr>
              <w:ind w:left="0" w:firstLine="0"/>
              <w:rPr>
                <w:rFonts w:ascii="仿宋" w:eastAsia="仿宋" w:hAnsi="仿宋" w:cs="仿宋"/>
              </w:rPr>
            </w:pPr>
          </w:p>
        </w:tc>
        <w:tc>
          <w:tcPr>
            <w:tcW w:w="750" w:type="pct"/>
            <w:vMerge/>
            <w:vAlign w:val="center"/>
          </w:tcPr>
          <w:p w14:paraId="4A6AC91D">
            <w:pPr>
              <w:rPr>
                <w:rFonts w:ascii="仿宋" w:eastAsia="仿宋" w:hAnsi="仿宋" w:cs="仿宋"/>
              </w:rPr>
            </w:pPr>
          </w:p>
        </w:tc>
        <w:tc>
          <w:tcPr>
            <w:tcW w:w="247" w:type="pct"/>
            <w:vMerge/>
            <w:vAlign w:val="center"/>
          </w:tcPr>
          <w:p w14:paraId="6161C0DD">
            <w:pPr>
              <w:rPr>
                <w:rFonts w:ascii="仿宋" w:eastAsia="仿宋" w:hAnsi="仿宋" w:cs="仿宋"/>
              </w:rPr>
            </w:pPr>
          </w:p>
        </w:tc>
        <w:tc>
          <w:tcPr>
            <w:tcW w:w="657" w:type="pct"/>
            <w:vAlign w:val="center"/>
          </w:tcPr>
          <w:p w14:paraId="072184E7">
            <w:pPr>
              <w:rPr>
                <w:rFonts w:ascii="仿宋" w:eastAsia="仿宋" w:hAnsi="仿宋" w:cs="仿宋"/>
              </w:rPr>
            </w:pPr>
            <w:r>
              <w:rPr>
                <w:rFonts w:ascii="仿宋" w:eastAsia="仿宋" w:hAnsi="仿宋" w:cs="仿宋" w:hint="eastAsia"/>
                <w:sz w:val="24"/>
              </w:rPr>
              <w:t>超低温冷阱</w:t>
            </w:r>
          </w:p>
        </w:tc>
        <w:tc>
          <w:tcPr>
            <w:tcW w:w="2951" w:type="pct"/>
            <w:vAlign w:val="center"/>
          </w:tcPr>
          <w:p w14:paraId="55D7EB04">
            <w:pPr>
              <w:rPr>
                <w:rFonts w:ascii="仿宋" w:eastAsia="仿宋" w:hAnsi="仿宋" w:cs="仿宋"/>
                <w:highlight w:val="yellow"/>
              </w:rPr>
            </w:pPr>
            <w:r>
              <w:rPr>
                <w:rFonts w:ascii="仿宋" w:eastAsia="仿宋" w:hAnsi="仿宋" w:cs="仿宋" w:hint="eastAsia"/>
                <w:sz w:val="24"/>
                <w:highlight w:val="yellow"/>
              </w:rPr>
              <w:t>#除湿温度应控制在-50℃～-75℃范围。</w:t>
            </w:r>
          </w:p>
        </w:tc>
      </w:tr>
      <w:tr w14:paraId="2324D740">
        <w:tblPrEx>
          <w:tblW w:w="5114" w:type="pct"/>
          <w:jc w:val="center"/>
          <w:tblLayout w:type="fixed"/>
          <w:tblCellMar>
            <w:top w:w="0" w:type="dxa"/>
            <w:left w:w="108" w:type="dxa"/>
            <w:bottom w:w="0" w:type="dxa"/>
            <w:right w:w="108" w:type="dxa"/>
          </w:tblCellMar>
        </w:tblPrEx>
        <w:trPr>
          <w:jc w:val="center"/>
        </w:trPr>
        <w:tc>
          <w:tcPr>
            <w:tcW w:w="393" w:type="pct"/>
            <w:vAlign w:val="center"/>
          </w:tcPr>
          <w:p w14:paraId="399AFE92">
            <w:pPr>
              <w:numPr>
                <w:ilvl w:val="0"/>
                <w:numId w:val="3"/>
              </w:numPr>
              <w:ind w:left="0" w:firstLine="0"/>
              <w:rPr>
                <w:rFonts w:ascii="仿宋" w:eastAsia="仿宋" w:hAnsi="仿宋" w:cs="仿宋"/>
              </w:rPr>
            </w:pPr>
          </w:p>
        </w:tc>
        <w:tc>
          <w:tcPr>
            <w:tcW w:w="750" w:type="pct"/>
            <w:vMerge/>
            <w:vAlign w:val="center"/>
          </w:tcPr>
          <w:p w14:paraId="2F0DAF63">
            <w:pPr>
              <w:rPr>
                <w:rFonts w:ascii="仿宋" w:eastAsia="仿宋" w:hAnsi="仿宋" w:cs="仿宋"/>
              </w:rPr>
            </w:pPr>
          </w:p>
        </w:tc>
        <w:tc>
          <w:tcPr>
            <w:tcW w:w="247" w:type="pct"/>
            <w:vMerge/>
            <w:vAlign w:val="center"/>
          </w:tcPr>
          <w:p w14:paraId="751C120C">
            <w:pPr>
              <w:rPr>
                <w:rFonts w:ascii="仿宋" w:eastAsia="仿宋" w:hAnsi="仿宋" w:cs="仿宋"/>
              </w:rPr>
            </w:pPr>
          </w:p>
        </w:tc>
        <w:tc>
          <w:tcPr>
            <w:tcW w:w="657" w:type="pct"/>
            <w:vAlign w:val="center"/>
          </w:tcPr>
          <w:p w14:paraId="321CDFCD">
            <w:pPr>
              <w:rPr>
                <w:rFonts w:ascii="仿宋" w:eastAsia="仿宋" w:hAnsi="仿宋" w:cs="仿宋"/>
              </w:rPr>
            </w:pPr>
            <w:r>
              <w:rPr>
                <w:rFonts w:ascii="仿宋" w:eastAsia="仿宋" w:hAnsi="仿宋" w:cs="仿宋" w:hint="eastAsia"/>
                <w:sz w:val="24"/>
              </w:rPr>
              <w:t>室内管路及接头</w:t>
            </w:r>
          </w:p>
        </w:tc>
        <w:tc>
          <w:tcPr>
            <w:tcW w:w="2951" w:type="pct"/>
            <w:vAlign w:val="center"/>
          </w:tcPr>
          <w:p w14:paraId="1917310E">
            <w:pPr>
              <w:rPr>
                <w:rFonts w:ascii="仿宋" w:eastAsia="仿宋" w:hAnsi="仿宋" w:cs="仿宋"/>
              </w:rPr>
            </w:pPr>
            <w:r>
              <w:rPr>
                <w:rFonts w:ascii="仿宋" w:eastAsia="仿宋" w:hAnsi="仿宋" w:cs="仿宋" w:hint="eastAsia"/>
                <w:sz w:val="24"/>
              </w:rPr>
              <w:t>进气管线为1/4in不锈钢管和铝塑管，标气管线为应使用316/316L无缝不锈钢管（外径≤1/8in）。</w:t>
            </w:r>
          </w:p>
        </w:tc>
      </w:tr>
      <w:tr w14:paraId="1B75B762">
        <w:tblPrEx>
          <w:tblW w:w="5114" w:type="pct"/>
          <w:jc w:val="center"/>
          <w:tblLayout w:type="fixed"/>
          <w:tblCellMar>
            <w:top w:w="0" w:type="dxa"/>
            <w:left w:w="108" w:type="dxa"/>
            <w:bottom w:w="0" w:type="dxa"/>
            <w:right w:w="108" w:type="dxa"/>
          </w:tblCellMar>
        </w:tblPrEx>
        <w:trPr>
          <w:jc w:val="center"/>
        </w:trPr>
        <w:tc>
          <w:tcPr>
            <w:tcW w:w="393" w:type="pct"/>
            <w:vAlign w:val="center"/>
          </w:tcPr>
          <w:p w14:paraId="34792E5B">
            <w:pPr>
              <w:numPr>
                <w:ilvl w:val="0"/>
                <w:numId w:val="3"/>
              </w:numPr>
              <w:ind w:left="0" w:firstLine="0"/>
              <w:rPr>
                <w:rFonts w:ascii="仿宋" w:eastAsia="仿宋" w:hAnsi="仿宋" w:cs="仿宋"/>
              </w:rPr>
            </w:pPr>
          </w:p>
        </w:tc>
        <w:tc>
          <w:tcPr>
            <w:tcW w:w="750" w:type="pct"/>
            <w:vMerge/>
            <w:vAlign w:val="center"/>
          </w:tcPr>
          <w:p w14:paraId="40778915">
            <w:pPr>
              <w:rPr>
                <w:rFonts w:ascii="仿宋" w:eastAsia="仿宋" w:hAnsi="仿宋" w:cs="仿宋"/>
              </w:rPr>
            </w:pPr>
          </w:p>
        </w:tc>
        <w:tc>
          <w:tcPr>
            <w:tcW w:w="247" w:type="pct"/>
            <w:vAlign w:val="center"/>
          </w:tcPr>
          <w:p w14:paraId="6B9A3F95">
            <w:pPr>
              <w:rPr>
                <w:rFonts w:ascii="仿宋" w:eastAsia="仿宋" w:hAnsi="仿宋" w:cs="仿宋"/>
              </w:rPr>
            </w:pPr>
            <w:r>
              <w:rPr>
                <w:rFonts w:ascii="仿宋" w:eastAsia="仿宋" w:hAnsi="仿宋" w:cs="仿宋" w:hint="eastAsia"/>
                <w:sz w:val="24"/>
              </w:rPr>
              <w:t>样气选择单元</w:t>
            </w:r>
          </w:p>
        </w:tc>
        <w:tc>
          <w:tcPr>
            <w:tcW w:w="657" w:type="pct"/>
            <w:vAlign w:val="center"/>
          </w:tcPr>
          <w:p w14:paraId="194B8234">
            <w:pPr>
              <w:rPr>
                <w:rFonts w:ascii="仿宋" w:eastAsia="仿宋" w:hAnsi="仿宋" w:cs="仿宋"/>
              </w:rPr>
            </w:pPr>
            <w:r>
              <w:rPr>
                <w:rFonts w:ascii="仿宋" w:eastAsia="仿宋" w:hAnsi="仿宋" w:cs="仿宋" w:hint="eastAsia"/>
                <w:sz w:val="24"/>
              </w:rPr>
              <w:t>进样阀箱</w:t>
            </w:r>
          </w:p>
        </w:tc>
        <w:tc>
          <w:tcPr>
            <w:tcW w:w="2951" w:type="pct"/>
            <w:vAlign w:val="center"/>
          </w:tcPr>
          <w:p w14:paraId="220CB56F">
            <w:pPr>
              <w:rPr>
                <w:rFonts w:ascii="仿宋" w:eastAsia="仿宋" w:hAnsi="仿宋" w:cs="仿宋"/>
              </w:rPr>
            </w:pPr>
            <w:r>
              <w:rPr>
                <w:rFonts w:ascii="仿宋" w:eastAsia="仿宋" w:hAnsi="仿宋" w:cs="仿宋" w:hint="eastAsia"/>
                <w:sz w:val="24"/>
              </w:rPr>
              <w:t>包括质量流量控制器、样气选择模块（可选用电磁阀或多口阀等）。</w:t>
            </w:r>
          </w:p>
          <w:p w14:paraId="4C3888D3">
            <w:pPr>
              <w:rPr>
                <w:rFonts w:ascii="仿宋" w:eastAsia="仿宋" w:hAnsi="仿宋" w:cs="仿宋"/>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14:paraId="2D819778">
        <w:tblPrEx>
          <w:tblW w:w="5114" w:type="pct"/>
          <w:jc w:val="center"/>
          <w:tblLayout w:type="fixed"/>
          <w:tblCellMar>
            <w:top w:w="0" w:type="dxa"/>
            <w:left w:w="108" w:type="dxa"/>
            <w:bottom w:w="0" w:type="dxa"/>
            <w:right w:w="108" w:type="dxa"/>
          </w:tblCellMar>
        </w:tblPrEx>
        <w:trPr>
          <w:jc w:val="center"/>
        </w:trPr>
        <w:tc>
          <w:tcPr>
            <w:tcW w:w="393" w:type="pct"/>
            <w:vAlign w:val="center"/>
          </w:tcPr>
          <w:p w14:paraId="2B9FA787">
            <w:pPr>
              <w:numPr>
                <w:ilvl w:val="0"/>
                <w:numId w:val="3"/>
              </w:numPr>
              <w:ind w:left="0" w:firstLine="0"/>
              <w:rPr>
                <w:rFonts w:ascii="仿宋" w:eastAsia="仿宋" w:hAnsi="仿宋" w:cs="仿宋"/>
              </w:rPr>
            </w:pPr>
          </w:p>
        </w:tc>
        <w:tc>
          <w:tcPr>
            <w:tcW w:w="750" w:type="pct"/>
            <w:vMerge/>
            <w:vAlign w:val="center"/>
          </w:tcPr>
          <w:p w14:paraId="22AE509A">
            <w:pPr>
              <w:rPr>
                <w:rFonts w:ascii="仿宋" w:eastAsia="仿宋" w:hAnsi="仿宋" w:cs="仿宋"/>
              </w:rPr>
            </w:pPr>
          </w:p>
        </w:tc>
        <w:tc>
          <w:tcPr>
            <w:tcW w:w="247" w:type="pct"/>
            <w:vMerge w:val="restart"/>
            <w:vAlign w:val="center"/>
          </w:tcPr>
          <w:p w14:paraId="2B80E3A3">
            <w:pPr>
              <w:rPr>
                <w:rFonts w:ascii="仿宋" w:eastAsia="仿宋" w:hAnsi="仿宋" w:cs="仿宋"/>
              </w:rPr>
            </w:pPr>
            <w:r>
              <w:rPr>
                <w:rFonts w:ascii="仿宋" w:eastAsia="仿宋" w:hAnsi="仿宋" w:cs="仿宋" w:hint="eastAsia"/>
                <w:sz w:val="24"/>
              </w:rPr>
              <w:t>标气单元</w:t>
            </w:r>
          </w:p>
          <w:p w14:paraId="1DA821BF">
            <w:pPr>
              <w:jc w:val="center"/>
              <w:rPr>
                <w:rFonts w:ascii="仿宋" w:eastAsia="仿宋" w:hAnsi="仿宋" w:cs="仿宋"/>
              </w:rPr>
            </w:pPr>
          </w:p>
        </w:tc>
        <w:tc>
          <w:tcPr>
            <w:tcW w:w="657" w:type="pct"/>
            <w:vAlign w:val="center"/>
          </w:tcPr>
          <w:p w14:paraId="4E17243C">
            <w:pPr>
              <w:rPr>
                <w:rFonts w:ascii="仿宋" w:eastAsia="仿宋" w:hAnsi="仿宋" w:cs="仿宋"/>
              </w:rPr>
            </w:pPr>
            <w:r>
              <w:rPr>
                <w:rFonts w:ascii="仿宋" w:eastAsia="仿宋" w:hAnsi="仿宋" w:cs="仿宋" w:hint="eastAsia"/>
                <w:sz w:val="24"/>
              </w:rPr>
              <w:t>气瓶</w:t>
            </w:r>
          </w:p>
        </w:tc>
        <w:tc>
          <w:tcPr>
            <w:tcW w:w="2951" w:type="pct"/>
            <w:vAlign w:val="center"/>
          </w:tcPr>
          <w:p w14:paraId="17DE5BA8">
            <w:pPr>
              <w:rPr>
                <w:rFonts w:ascii="仿宋" w:eastAsia="仿宋" w:hAnsi="仿宋" w:cs="仿宋"/>
              </w:rPr>
            </w:pPr>
            <w:r>
              <w:rPr>
                <w:rFonts w:ascii="仿宋" w:eastAsia="仿宋" w:hAnsi="仿宋" w:cs="仿宋" w:hint="eastAsia"/>
                <w:sz w:val="24"/>
              </w:rPr>
              <w:t>内抛光专用铝合金气瓶，最高耐压不低于3500psi。</w:t>
            </w:r>
          </w:p>
        </w:tc>
      </w:tr>
      <w:tr w14:paraId="3E672FF4">
        <w:tblPrEx>
          <w:tblW w:w="5114" w:type="pct"/>
          <w:jc w:val="center"/>
          <w:tblLayout w:type="fixed"/>
          <w:tblCellMar>
            <w:top w:w="0" w:type="dxa"/>
            <w:left w:w="108" w:type="dxa"/>
            <w:bottom w:w="0" w:type="dxa"/>
            <w:right w:w="108" w:type="dxa"/>
          </w:tblCellMar>
        </w:tblPrEx>
        <w:trPr>
          <w:jc w:val="center"/>
        </w:trPr>
        <w:tc>
          <w:tcPr>
            <w:tcW w:w="393" w:type="pct"/>
            <w:vAlign w:val="center"/>
          </w:tcPr>
          <w:p w14:paraId="1E8B3B37">
            <w:pPr>
              <w:numPr>
                <w:ilvl w:val="0"/>
                <w:numId w:val="3"/>
              </w:numPr>
              <w:ind w:left="0" w:firstLine="0"/>
              <w:rPr>
                <w:rFonts w:ascii="仿宋" w:eastAsia="仿宋" w:hAnsi="仿宋" w:cs="仿宋"/>
              </w:rPr>
            </w:pPr>
          </w:p>
        </w:tc>
        <w:tc>
          <w:tcPr>
            <w:tcW w:w="750" w:type="pct"/>
            <w:vMerge/>
            <w:vAlign w:val="center"/>
          </w:tcPr>
          <w:p w14:paraId="3EB9C9F0">
            <w:pPr>
              <w:rPr>
                <w:rFonts w:ascii="仿宋" w:eastAsia="仿宋" w:hAnsi="仿宋" w:cs="仿宋"/>
              </w:rPr>
            </w:pPr>
          </w:p>
        </w:tc>
        <w:tc>
          <w:tcPr>
            <w:tcW w:w="247" w:type="pct"/>
            <w:vMerge/>
            <w:vAlign w:val="center"/>
          </w:tcPr>
          <w:p w14:paraId="721A8B60">
            <w:pPr>
              <w:rPr>
                <w:rFonts w:ascii="仿宋" w:eastAsia="仿宋" w:hAnsi="仿宋" w:cs="仿宋"/>
              </w:rPr>
            </w:pPr>
          </w:p>
        </w:tc>
        <w:tc>
          <w:tcPr>
            <w:tcW w:w="657" w:type="pct"/>
            <w:vAlign w:val="center"/>
          </w:tcPr>
          <w:p w14:paraId="4DD57E95">
            <w:pPr>
              <w:rPr>
                <w:rFonts w:ascii="仿宋" w:eastAsia="仿宋" w:hAnsi="仿宋" w:cs="仿宋"/>
              </w:rPr>
            </w:pPr>
            <w:r>
              <w:rPr>
                <w:rFonts w:ascii="仿宋" w:eastAsia="仿宋" w:hAnsi="仿宋" w:cs="仿宋" w:hint="eastAsia"/>
                <w:sz w:val="24"/>
              </w:rPr>
              <w:t>高精度减压阀</w:t>
            </w:r>
          </w:p>
        </w:tc>
        <w:tc>
          <w:tcPr>
            <w:tcW w:w="2951" w:type="pct"/>
            <w:vAlign w:val="center"/>
          </w:tcPr>
          <w:p w14:paraId="784984C5">
            <w:pPr>
              <w:rPr>
                <w:rFonts w:ascii="仿宋" w:eastAsia="仿宋" w:hAnsi="仿宋" w:cs="仿宋"/>
              </w:rPr>
            </w:pPr>
            <w:r>
              <w:rPr>
                <w:rFonts w:ascii="仿宋" w:eastAsia="仿宋" w:hAnsi="仿宋" w:cs="仿宋" w:hint="eastAsia"/>
                <w:sz w:val="24"/>
              </w:rPr>
              <w:t>不锈钢或黄铜镀镍层材质，不锈钢横膈膜；输入压力范围：0～3000psi，输出压力范围：0～100psi。</w:t>
            </w:r>
          </w:p>
        </w:tc>
      </w:tr>
      <w:tr w14:paraId="1849777F">
        <w:tblPrEx>
          <w:tblW w:w="5114" w:type="pct"/>
          <w:jc w:val="center"/>
          <w:tblLayout w:type="fixed"/>
          <w:tblCellMar>
            <w:top w:w="0" w:type="dxa"/>
            <w:left w:w="108" w:type="dxa"/>
            <w:bottom w:w="0" w:type="dxa"/>
            <w:right w:w="108" w:type="dxa"/>
          </w:tblCellMar>
        </w:tblPrEx>
        <w:trPr>
          <w:jc w:val="center"/>
        </w:trPr>
        <w:tc>
          <w:tcPr>
            <w:tcW w:w="393" w:type="pct"/>
            <w:vAlign w:val="center"/>
          </w:tcPr>
          <w:p w14:paraId="4BC4D6BF">
            <w:pPr>
              <w:numPr>
                <w:ilvl w:val="0"/>
                <w:numId w:val="3"/>
              </w:numPr>
              <w:ind w:left="0" w:firstLine="0"/>
              <w:rPr>
                <w:rFonts w:ascii="仿宋" w:eastAsia="仿宋" w:hAnsi="仿宋" w:cs="仿宋"/>
              </w:rPr>
            </w:pPr>
          </w:p>
        </w:tc>
        <w:tc>
          <w:tcPr>
            <w:tcW w:w="750" w:type="pct"/>
            <w:vMerge/>
            <w:vAlign w:val="center"/>
          </w:tcPr>
          <w:p w14:paraId="4CF44276">
            <w:pPr>
              <w:rPr>
                <w:rFonts w:ascii="仿宋" w:eastAsia="仿宋" w:hAnsi="仿宋" w:cs="仿宋"/>
              </w:rPr>
            </w:pPr>
          </w:p>
        </w:tc>
        <w:tc>
          <w:tcPr>
            <w:tcW w:w="247" w:type="pct"/>
            <w:vMerge/>
            <w:vAlign w:val="center"/>
          </w:tcPr>
          <w:p w14:paraId="046CDF25">
            <w:pPr>
              <w:rPr>
                <w:rFonts w:ascii="仿宋" w:eastAsia="仿宋" w:hAnsi="仿宋" w:cs="仿宋"/>
              </w:rPr>
            </w:pPr>
          </w:p>
        </w:tc>
        <w:tc>
          <w:tcPr>
            <w:tcW w:w="657" w:type="pct"/>
            <w:vAlign w:val="center"/>
          </w:tcPr>
          <w:p w14:paraId="1DC2292E">
            <w:pPr>
              <w:rPr>
                <w:rFonts w:ascii="仿宋" w:eastAsia="仿宋" w:hAnsi="仿宋" w:cs="仿宋"/>
              </w:rPr>
            </w:pPr>
            <w:r>
              <w:rPr>
                <w:rFonts w:ascii="仿宋" w:eastAsia="仿宋" w:hAnsi="仿宋" w:cs="仿宋" w:hint="eastAsia"/>
                <w:sz w:val="24"/>
              </w:rPr>
              <w:t>混合标气（不含瓶）</w:t>
            </w:r>
          </w:p>
        </w:tc>
        <w:tc>
          <w:tcPr>
            <w:tcW w:w="2951" w:type="pct"/>
            <w:vAlign w:val="center"/>
          </w:tcPr>
          <w:p w14:paraId="5BB6A47A">
            <w:pPr>
              <w:rPr>
                <w:rFonts w:ascii="仿宋" w:eastAsia="仿宋" w:hAnsi="仿宋" w:cs="仿宋"/>
                <w:highlight w:val="yellow"/>
              </w:rPr>
            </w:pPr>
            <w:r>
              <w:rPr>
                <w:rFonts w:ascii="仿宋" w:eastAsia="仿宋" w:hAnsi="仿宋" w:cs="仿宋" w:hint="eastAsia"/>
                <w:sz w:val="24"/>
                <w:highlight w:val="yellow"/>
              </w:rPr>
              <w:t>#应溯源至气象部门最高计量标准，并经过国家气象计量站审核认证。</w:t>
            </w:r>
          </w:p>
          <w:p w14:paraId="7EB230C0">
            <w:pPr>
              <w:rPr>
                <w:rFonts w:ascii="仿宋" w:eastAsia="仿宋" w:hAnsi="仿宋" w:cs="仿宋"/>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等浓度变化范围。标气水气含量≤5ppm。</w:t>
            </w:r>
          </w:p>
          <w:p w14:paraId="01733376">
            <w:pPr>
              <w:rPr>
                <w:rFonts w:ascii="仿宋" w:eastAsia="仿宋" w:hAnsi="仿宋" w:cs="仿宋"/>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14:paraId="4342BE50">
        <w:tblPrEx>
          <w:tblW w:w="5114" w:type="pct"/>
          <w:jc w:val="center"/>
          <w:tblLayout w:type="fixed"/>
          <w:tblCellMar>
            <w:top w:w="0" w:type="dxa"/>
            <w:left w:w="108" w:type="dxa"/>
            <w:bottom w:w="0" w:type="dxa"/>
            <w:right w:w="108" w:type="dxa"/>
          </w:tblCellMar>
        </w:tblPrEx>
        <w:trPr>
          <w:jc w:val="center"/>
        </w:trPr>
        <w:tc>
          <w:tcPr>
            <w:tcW w:w="393" w:type="pct"/>
            <w:vAlign w:val="center"/>
          </w:tcPr>
          <w:p w14:paraId="4E23C91D">
            <w:pPr>
              <w:numPr>
                <w:ilvl w:val="0"/>
                <w:numId w:val="3"/>
              </w:numPr>
              <w:ind w:left="0" w:firstLine="0"/>
              <w:rPr>
                <w:rFonts w:ascii="仿宋" w:eastAsia="仿宋" w:hAnsi="仿宋" w:cs="仿宋"/>
              </w:rPr>
            </w:pPr>
          </w:p>
        </w:tc>
        <w:tc>
          <w:tcPr>
            <w:tcW w:w="750" w:type="pct"/>
            <w:vMerge/>
            <w:vAlign w:val="center"/>
          </w:tcPr>
          <w:p w14:paraId="45DF6251">
            <w:pPr>
              <w:rPr>
                <w:rFonts w:ascii="仿宋" w:eastAsia="仿宋" w:hAnsi="仿宋" w:cs="仿宋"/>
              </w:rPr>
            </w:pPr>
          </w:p>
        </w:tc>
        <w:tc>
          <w:tcPr>
            <w:tcW w:w="247" w:type="pct"/>
            <w:vMerge/>
            <w:vAlign w:val="center"/>
          </w:tcPr>
          <w:p w14:paraId="5D528B6D">
            <w:pPr>
              <w:rPr>
                <w:rFonts w:ascii="仿宋" w:eastAsia="仿宋" w:hAnsi="仿宋" w:cs="仿宋"/>
              </w:rPr>
            </w:pPr>
          </w:p>
        </w:tc>
        <w:tc>
          <w:tcPr>
            <w:tcW w:w="657" w:type="pct"/>
            <w:vAlign w:val="center"/>
          </w:tcPr>
          <w:p w14:paraId="2BB153D6">
            <w:pPr>
              <w:rPr>
                <w:rFonts w:ascii="仿宋" w:eastAsia="仿宋" w:hAnsi="仿宋" w:cs="仿宋"/>
              </w:rPr>
            </w:pPr>
            <w:r>
              <w:rPr>
                <w:rFonts w:ascii="仿宋" w:eastAsia="仿宋" w:hAnsi="仿宋" w:cs="仿宋" w:hint="eastAsia"/>
                <w:sz w:val="24"/>
              </w:rPr>
              <w:t>气瓶架</w:t>
            </w:r>
          </w:p>
        </w:tc>
        <w:tc>
          <w:tcPr>
            <w:tcW w:w="2951" w:type="pct"/>
            <w:vAlign w:val="center"/>
          </w:tcPr>
          <w:p w14:paraId="1E8D2622">
            <w:pPr>
              <w:rPr>
                <w:rFonts w:ascii="仿宋" w:eastAsia="仿宋" w:hAnsi="仿宋" w:cs="仿宋"/>
              </w:rPr>
            </w:pPr>
            <w:r>
              <w:rPr>
                <w:rFonts w:ascii="仿宋" w:eastAsia="仿宋" w:hAnsi="仿宋" w:cs="仿宋" w:hint="eastAsia"/>
                <w:sz w:val="24"/>
              </w:rPr>
              <w:t>（三瓶横置）宽深高100×40×120cm。</w:t>
            </w:r>
          </w:p>
        </w:tc>
      </w:tr>
      <w:tr w14:paraId="60C3244A">
        <w:tblPrEx>
          <w:tblW w:w="5114" w:type="pct"/>
          <w:jc w:val="center"/>
          <w:tblLayout w:type="fixed"/>
          <w:tblCellMar>
            <w:top w:w="0" w:type="dxa"/>
            <w:left w:w="108" w:type="dxa"/>
            <w:bottom w:w="0" w:type="dxa"/>
            <w:right w:w="108" w:type="dxa"/>
          </w:tblCellMar>
        </w:tblPrEx>
        <w:trPr>
          <w:jc w:val="center"/>
        </w:trPr>
        <w:tc>
          <w:tcPr>
            <w:tcW w:w="393" w:type="pct"/>
            <w:vAlign w:val="center"/>
          </w:tcPr>
          <w:p w14:paraId="710AEC7E">
            <w:pPr>
              <w:numPr>
                <w:ilvl w:val="0"/>
                <w:numId w:val="3"/>
              </w:numPr>
              <w:ind w:left="0" w:firstLine="0"/>
              <w:rPr>
                <w:rFonts w:ascii="仿宋" w:eastAsia="仿宋" w:hAnsi="仿宋" w:cs="仿宋"/>
              </w:rPr>
            </w:pPr>
          </w:p>
        </w:tc>
        <w:tc>
          <w:tcPr>
            <w:tcW w:w="750" w:type="pct"/>
            <w:vMerge/>
            <w:vAlign w:val="center"/>
          </w:tcPr>
          <w:p w14:paraId="35592053">
            <w:pPr>
              <w:rPr>
                <w:rFonts w:ascii="仿宋" w:eastAsia="仿宋" w:hAnsi="仿宋" w:cs="仿宋"/>
              </w:rPr>
            </w:pPr>
          </w:p>
        </w:tc>
        <w:tc>
          <w:tcPr>
            <w:tcW w:w="247" w:type="pct"/>
            <w:vMerge w:val="restart"/>
            <w:vAlign w:val="center"/>
          </w:tcPr>
          <w:p w14:paraId="5F076228">
            <w:pPr>
              <w:rPr>
                <w:rFonts w:ascii="仿宋" w:eastAsia="仿宋" w:hAnsi="仿宋" w:cs="仿宋"/>
              </w:rPr>
            </w:pPr>
            <w:r>
              <w:rPr>
                <w:rFonts w:ascii="仿宋" w:eastAsia="仿宋" w:hAnsi="仿宋" w:cs="仿宋" w:hint="eastAsia"/>
                <w:sz w:val="24"/>
              </w:rPr>
              <w:t>数据采集与处理单元</w:t>
            </w:r>
          </w:p>
        </w:tc>
        <w:tc>
          <w:tcPr>
            <w:tcW w:w="3608" w:type="pct"/>
            <w:gridSpan w:val="2"/>
            <w:vAlign w:val="center"/>
          </w:tcPr>
          <w:p w14:paraId="35B599A7">
            <w:pPr>
              <w:rPr>
                <w:rFonts w:ascii="仿宋" w:eastAsia="仿宋" w:hAnsi="仿宋" w:cs="仿宋"/>
              </w:rPr>
            </w:pPr>
            <w:r>
              <w:rPr>
                <w:rFonts w:ascii="仿宋" w:eastAsia="仿宋" w:hAnsi="仿宋" w:cs="仿宋" w:hint="eastAsia"/>
                <w:sz w:val="24"/>
              </w:rPr>
              <w:t>具备自动控制样气选择单元，并可设定样气种类、进气顺序和时长等，实现阀位的自动切换。</w:t>
            </w:r>
          </w:p>
          <w:p w14:paraId="5255543E">
            <w:pPr>
              <w:rPr>
                <w:rFonts w:ascii="仿宋" w:eastAsia="仿宋" w:hAnsi="仿宋" w:cs="仿宋"/>
              </w:rPr>
            </w:pPr>
            <w:r>
              <w:rPr>
                <w:rFonts w:ascii="仿宋" w:eastAsia="仿宋" w:hAnsi="仿宋" w:cs="仿宋" w:hint="eastAsia"/>
                <w:sz w:val="24"/>
              </w:rPr>
              <w:t>具有小时数据存贮、打包、上传及实时显示等功能。</w:t>
            </w:r>
          </w:p>
        </w:tc>
      </w:tr>
      <w:tr w14:paraId="141A9F3F">
        <w:tblPrEx>
          <w:tblW w:w="5114" w:type="pct"/>
          <w:jc w:val="center"/>
          <w:tblLayout w:type="fixed"/>
          <w:tblCellMar>
            <w:top w:w="0" w:type="dxa"/>
            <w:left w:w="108" w:type="dxa"/>
            <w:bottom w:w="0" w:type="dxa"/>
            <w:right w:w="108" w:type="dxa"/>
          </w:tblCellMar>
        </w:tblPrEx>
        <w:trPr>
          <w:jc w:val="center"/>
        </w:trPr>
        <w:tc>
          <w:tcPr>
            <w:tcW w:w="393" w:type="pct"/>
            <w:vAlign w:val="center"/>
          </w:tcPr>
          <w:p w14:paraId="5FC6B49A">
            <w:pPr>
              <w:numPr>
                <w:ilvl w:val="0"/>
                <w:numId w:val="3"/>
              </w:numPr>
              <w:ind w:left="0" w:firstLine="0"/>
              <w:rPr>
                <w:rFonts w:ascii="仿宋" w:eastAsia="仿宋" w:hAnsi="仿宋" w:cs="仿宋"/>
              </w:rPr>
            </w:pPr>
          </w:p>
        </w:tc>
        <w:tc>
          <w:tcPr>
            <w:tcW w:w="750" w:type="pct"/>
            <w:vMerge/>
            <w:vAlign w:val="center"/>
          </w:tcPr>
          <w:p w14:paraId="17A344E0">
            <w:pPr>
              <w:rPr>
                <w:rFonts w:ascii="仿宋" w:eastAsia="仿宋" w:hAnsi="仿宋" w:cs="仿宋"/>
              </w:rPr>
            </w:pPr>
          </w:p>
        </w:tc>
        <w:tc>
          <w:tcPr>
            <w:tcW w:w="247" w:type="pct"/>
            <w:vMerge/>
            <w:vAlign w:val="center"/>
          </w:tcPr>
          <w:p w14:paraId="073F611B">
            <w:pPr>
              <w:rPr>
                <w:rFonts w:ascii="仿宋" w:eastAsia="仿宋" w:hAnsi="仿宋" w:cs="仿宋"/>
              </w:rPr>
            </w:pPr>
          </w:p>
        </w:tc>
        <w:tc>
          <w:tcPr>
            <w:tcW w:w="657" w:type="pct"/>
            <w:vAlign w:val="center"/>
          </w:tcPr>
          <w:p w14:paraId="55E77F37">
            <w:pPr>
              <w:rPr>
                <w:rFonts w:ascii="仿宋" w:eastAsia="仿宋" w:hAnsi="仿宋" w:cs="仿宋"/>
              </w:rPr>
            </w:pPr>
            <w:r>
              <w:rPr>
                <w:rFonts w:ascii="仿宋" w:eastAsia="仿宋" w:hAnsi="仿宋" w:cs="仿宋" w:hint="eastAsia"/>
                <w:sz w:val="24"/>
              </w:rPr>
              <w:t>工控机</w:t>
            </w:r>
          </w:p>
        </w:tc>
        <w:tc>
          <w:tcPr>
            <w:tcW w:w="2951" w:type="pct"/>
            <w:vAlign w:val="center"/>
          </w:tcPr>
          <w:p w14:paraId="2E3D9ECF">
            <w:pPr>
              <w:rPr>
                <w:rFonts w:ascii="仿宋" w:eastAsia="仿宋" w:hAnsi="仿宋" w:cs="仿宋"/>
              </w:rPr>
            </w:pPr>
            <w:r>
              <w:rPr>
                <w:rFonts w:ascii="仿宋" w:eastAsia="仿宋" w:hAnsi="仿宋" w:cs="仿宋" w:hint="eastAsia"/>
                <w:sz w:val="24"/>
              </w:rPr>
              <w:t>CPU主频：3GHz或更高。</w:t>
            </w:r>
          </w:p>
          <w:p w14:paraId="76E7BC1A">
            <w:pPr>
              <w:rPr>
                <w:rFonts w:ascii="仿宋" w:eastAsia="仿宋" w:hAnsi="仿宋" w:cs="仿宋"/>
              </w:rPr>
            </w:pPr>
            <w:r>
              <w:rPr>
                <w:rFonts w:ascii="仿宋" w:eastAsia="仿宋" w:hAnsi="仿宋" w:cs="仿宋" w:hint="eastAsia"/>
                <w:sz w:val="24"/>
              </w:rPr>
              <w:t>内存容量：4G或更高。</w:t>
            </w:r>
          </w:p>
          <w:p w14:paraId="14A045E9">
            <w:pPr>
              <w:rPr>
                <w:rFonts w:ascii="仿宋" w:eastAsia="仿宋" w:hAnsi="仿宋" w:cs="仿宋"/>
              </w:rPr>
            </w:pPr>
            <w:r>
              <w:rPr>
                <w:rFonts w:ascii="仿宋" w:eastAsia="仿宋" w:hAnsi="仿宋" w:cs="仿宋" w:hint="eastAsia"/>
                <w:sz w:val="24"/>
              </w:rPr>
              <w:t>硬盘容量：机械500G或更高。</w:t>
            </w:r>
          </w:p>
        </w:tc>
      </w:tr>
      <w:tr w14:paraId="07B446A2">
        <w:tblPrEx>
          <w:tblW w:w="5114" w:type="pct"/>
          <w:jc w:val="center"/>
          <w:tblLayout w:type="fixed"/>
          <w:tblCellMar>
            <w:top w:w="0" w:type="dxa"/>
            <w:left w:w="108" w:type="dxa"/>
            <w:bottom w:w="0" w:type="dxa"/>
            <w:right w:w="108" w:type="dxa"/>
          </w:tblCellMar>
        </w:tblPrEx>
        <w:trPr>
          <w:jc w:val="center"/>
        </w:trPr>
        <w:tc>
          <w:tcPr>
            <w:tcW w:w="393" w:type="pct"/>
            <w:vAlign w:val="center"/>
          </w:tcPr>
          <w:p w14:paraId="35D00ECC">
            <w:pPr>
              <w:numPr>
                <w:ilvl w:val="0"/>
                <w:numId w:val="3"/>
              </w:numPr>
              <w:ind w:left="0" w:firstLine="0"/>
              <w:rPr>
                <w:rFonts w:ascii="仿宋" w:eastAsia="仿宋" w:hAnsi="仿宋" w:cs="仿宋"/>
              </w:rPr>
            </w:pPr>
          </w:p>
        </w:tc>
        <w:tc>
          <w:tcPr>
            <w:tcW w:w="750" w:type="pct"/>
            <w:vMerge/>
            <w:vAlign w:val="center"/>
          </w:tcPr>
          <w:p w14:paraId="309E7ADB">
            <w:pPr>
              <w:rPr>
                <w:rFonts w:ascii="仿宋" w:eastAsia="仿宋" w:hAnsi="仿宋" w:cs="仿宋"/>
              </w:rPr>
            </w:pPr>
          </w:p>
        </w:tc>
        <w:tc>
          <w:tcPr>
            <w:tcW w:w="247" w:type="pct"/>
            <w:vMerge/>
            <w:vAlign w:val="center"/>
          </w:tcPr>
          <w:p w14:paraId="25B3C56D">
            <w:pPr>
              <w:rPr>
                <w:rFonts w:ascii="仿宋" w:eastAsia="仿宋" w:hAnsi="仿宋" w:cs="仿宋"/>
              </w:rPr>
            </w:pPr>
          </w:p>
        </w:tc>
        <w:tc>
          <w:tcPr>
            <w:tcW w:w="657" w:type="pct"/>
            <w:vAlign w:val="center"/>
          </w:tcPr>
          <w:p w14:paraId="26425EF0">
            <w:pPr>
              <w:rPr>
                <w:rFonts w:ascii="仿宋" w:eastAsia="仿宋" w:hAnsi="仿宋" w:cs="仿宋"/>
              </w:rPr>
            </w:pPr>
            <w:r>
              <w:rPr>
                <w:rFonts w:ascii="仿宋" w:eastAsia="仿宋" w:hAnsi="仿宋" w:cs="仿宋" w:hint="eastAsia"/>
                <w:sz w:val="24"/>
              </w:rPr>
              <w:t>监测报警系统</w:t>
            </w:r>
          </w:p>
        </w:tc>
        <w:tc>
          <w:tcPr>
            <w:tcW w:w="2951" w:type="pct"/>
            <w:vAlign w:val="center"/>
          </w:tcPr>
          <w:p w14:paraId="08300E06">
            <w:pPr>
              <w:rPr>
                <w:rFonts w:ascii="仿宋" w:eastAsia="仿宋" w:hAnsi="仿宋" w:cs="仿宋"/>
              </w:rPr>
            </w:pPr>
            <w:r>
              <w:rPr>
                <w:rFonts w:ascii="仿宋" w:eastAsia="仿宋" w:hAnsi="仿宋" w:cs="仿宋" w:hint="eastAsia"/>
                <w:sz w:val="24"/>
              </w:rPr>
              <w:t>具有气瓶压力、样气流量、阀位信息、除湿装置运行信息等采集、存贮及异常报警功能。</w:t>
            </w:r>
          </w:p>
          <w:p w14:paraId="3C37EE14">
            <w:pPr>
              <w:rPr>
                <w:rFonts w:ascii="仿宋" w:eastAsia="仿宋" w:hAnsi="仿宋" w:cs="仿宋"/>
              </w:rPr>
            </w:pPr>
            <w:r>
              <w:rPr>
                <w:rFonts w:ascii="仿宋" w:eastAsia="仿宋" w:hAnsi="仿宋" w:cs="仿宋" w:hint="eastAsia"/>
                <w:sz w:val="24"/>
              </w:rPr>
              <w:t>具有观测系统运行监控与报警功能。</w:t>
            </w:r>
          </w:p>
        </w:tc>
      </w:tr>
      <w:tr w14:paraId="6626DBDE">
        <w:tblPrEx>
          <w:tblW w:w="5114" w:type="pct"/>
          <w:jc w:val="center"/>
          <w:tblLayout w:type="fixed"/>
          <w:tblCellMar>
            <w:top w:w="0" w:type="dxa"/>
            <w:left w:w="108" w:type="dxa"/>
            <w:bottom w:w="0" w:type="dxa"/>
            <w:right w:w="108" w:type="dxa"/>
          </w:tblCellMar>
        </w:tblPrEx>
        <w:trPr>
          <w:jc w:val="center"/>
        </w:trPr>
        <w:tc>
          <w:tcPr>
            <w:tcW w:w="393" w:type="pct"/>
            <w:vAlign w:val="center"/>
          </w:tcPr>
          <w:p w14:paraId="5A047F85">
            <w:pPr>
              <w:numPr>
                <w:ilvl w:val="0"/>
                <w:numId w:val="3"/>
              </w:numPr>
              <w:ind w:left="0" w:firstLine="0"/>
              <w:rPr>
                <w:rFonts w:ascii="仿宋" w:eastAsia="仿宋" w:hAnsi="仿宋" w:cs="仿宋"/>
              </w:rPr>
            </w:pPr>
          </w:p>
        </w:tc>
        <w:tc>
          <w:tcPr>
            <w:tcW w:w="750" w:type="pct"/>
            <w:vMerge/>
            <w:vAlign w:val="center"/>
          </w:tcPr>
          <w:p w14:paraId="20BB0406">
            <w:pPr>
              <w:rPr>
                <w:rFonts w:ascii="仿宋" w:eastAsia="仿宋" w:hAnsi="仿宋" w:cs="仿宋"/>
              </w:rPr>
            </w:pPr>
          </w:p>
        </w:tc>
        <w:tc>
          <w:tcPr>
            <w:tcW w:w="247" w:type="pct"/>
            <w:vMerge/>
            <w:vAlign w:val="center"/>
          </w:tcPr>
          <w:p w14:paraId="2B797CB2">
            <w:pPr>
              <w:rPr>
                <w:rFonts w:ascii="仿宋" w:eastAsia="仿宋" w:hAnsi="仿宋" w:cs="仿宋"/>
              </w:rPr>
            </w:pPr>
          </w:p>
        </w:tc>
        <w:tc>
          <w:tcPr>
            <w:tcW w:w="657" w:type="pct"/>
            <w:vAlign w:val="center"/>
          </w:tcPr>
          <w:p w14:paraId="3B02DAF6">
            <w:pPr>
              <w:rPr>
                <w:rFonts w:ascii="仿宋" w:eastAsia="仿宋" w:hAnsi="仿宋" w:cs="仿宋"/>
              </w:rPr>
            </w:pPr>
            <w:r>
              <w:rPr>
                <w:rFonts w:ascii="仿宋" w:eastAsia="仿宋" w:hAnsi="仿宋" w:cs="仿宋" w:hint="eastAsia"/>
                <w:sz w:val="24"/>
              </w:rPr>
              <w:t>机柜</w:t>
            </w:r>
          </w:p>
        </w:tc>
        <w:tc>
          <w:tcPr>
            <w:tcW w:w="2951" w:type="pct"/>
            <w:vAlign w:val="center"/>
          </w:tcPr>
          <w:p w14:paraId="0DE30351">
            <w:pPr>
              <w:rPr>
                <w:rFonts w:ascii="仿宋" w:eastAsia="仿宋" w:hAnsi="仿宋" w:cs="仿宋"/>
              </w:rPr>
            </w:pPr>
            <w:r>
              <w:rPr>
                <w:rFonts w:ascii="仿宋" w:eastAsia="仿宋" w:hAnsi="仿宋" w:cs="仿宋" w:hint="eastAsia"/>
                <w:sz w:val="24"/>
              </w:rPr>
              <w:t>≥宽600×深1000×高2000mm</w:t>
            </w:r>
          </w:p>
        </w:tc>
      </w:tr>
      <w:tr w14:paraId="1BCDAC65">
        <w:tblPrEx>
          <w:tblW w:w="5114" w:type="pct"/>
          <w:jc w:val="center"/>
          <w:tblLayout w:type="fixed"/>
          <w:tblCellMar>
            <w:top w:w="0" w:type="dxa"/>
            <w:left w:w="108" w:type="dxa"/>
            <w:bottom w:w="0" w:type="dxa"/>
            <w:right w:w="108" w:type="dxa"/>
          </w:tblCellMar>
        </w:tblPrEx>
        <w:trPr>
          <w:jc w:val="center"/>
        </w:trPr>
        <w:tc>
          <w:tcPr>
            <w:tcW w:w="393" w:type="pct"/>
            <w:vAlign w:val="center"/>
          </w:tcPr>
          <w:p w14:paraId="18CFDADF">
            <w:pPr>
              <w:numPr>
                <w:ilvl w:val="0"/>
                <w:numId w:val="3"/>
              </w:numPr>
              <w:ind w:left="0" w:firstLine="0"/>
              <w:rPr>
                <w:rFonts w:ascii="仿宋" w:eastAsia="仿宋" w:hAnsi="仿宋" w:cs="仿宋"/>
              </w:rPr>
            </w:pPr>
          </w:p>
        </w:tc>
        <w:tc>
          <w:tcPr>
            <w:tcW w:w="750" w:type="pct"/>
            <w:vMerge/>
            <w:vAlign w:val="center"/>
          </w:tcPr>
          <w:p w14:paraId="177A2F0C">
            <w:pPr>
              <w:rPr>
                <w:rFonts w:ascii="仿宋" w:eastAsia="仿宋" w:hAnsi="仿宋" w:cs="仿宋"/>
              </w:rPr>
            </w:pPr>
          </w:p>
        </w:tc>
        <w:tc>
          <w:tcPr>
            <w:tcW w:w="247" w:type="pct"/>
            <w:vMerge w:val="restart"/>
            <w:vAlign w:val="center"/>
          </w:tcPr>
          <w:p w14:paraId="0F01EAA8">
            <w:pPr>
              <w:rPr>
                <w:rFonts w:ascii="仿宋" w:eastAsia="仿宋" w:hAnsi="仿宋" w:cs="仿宋"/>
              </w:rPr>
            </w:pPr>
            <w:r>
              <w:rPr>
                <w:rFonts w:ascii="仿宋" w:eastAsia="仿宋" w:hAnsi="仿宋" w:cs="仿宋" w:hint="eastAsia"/>
                <w:sz w:val="24"/>
              </w:rPr>
              <w:t>三维超声风速观测系统</w:t>
            </w:r>
          </w:p>
          <w:p w14:paraId="00000E3F">
            <w:pPr>
              <w:rPr>
                <w:rFonts w:ascii="仿宋" w:eastAsia="仿宋" w:hAnsi="仿宋" w:cs="仿宋"/>
              </w:rPr>
            </w:pPr>
          </w:p>
        </w:tc>
        <w:tc>
          <w:tcPr>
            <w:tcW w:w="657" w:type="pct"/>
            <w:vAlign w:val="center"/>
          </w:tcPr>
          <w:p w14:paraId="11BD193A">
            <w:pPr>
              <w:rPr>
                <w:rFonts w:ascii="仿宋" w:eastAsia="仿宋" w:hAnsi="仿宋" w:cs="仿宋"/>
              </w:rPr>
            </w:pPr>
            <w:r>
              <w:rPr>
                <w:rFonts w:ascii="仿宋" w:eastAsia="仿宋" w:hAnsi="仿宋" w:cs="仿宋" w:hint="eastAsia"/>
                <w:sz w:val="24"/>
              </w:rPr>
              <w:t>三维超声传感器</w:t>
            </w:r>
          </w:p>
        </w:tc>
        <w:tc>
          <w:tcPr>
            <w:tcW w:w="2951" w:type="pct"/>
            <w:vAlign w:val="center"/>
          </w:tcPr>
          <w:p w14:paraId="5A85C06B">
            <w:pPr>
              <w:rPr>
                <w:rFonts w:ascii="仿宋" w:eastAsia="仿宋" w:hAnsi="仿宋" w:cs="仿宋"/>
              </w:rPr>
            </w:pPr>
            <w:r>
              <w:rPr>
                <w:rFonts w:ascii="仿宋" w:eastAsia="仿宋" w:hAnsi="仿宋" w:cs="仿宋" w:hint="eastAsia"/>
                <w:sz w:val="24"/>
              </w:rPr>
              <w:t>水平风速：范围0～40.0m/s；分辨力0.01m/s；最大允许误差±2%。</w:t>
            </w:r>
          </w:p>
          <w:p w14:paraId="30CF0190">
            <w:pPr>
              <w:rPr>
                <w:rFonts w:ascii="仿宋" w:eastAsia="仿宋" w:hAnsi="仿宋" w:cs="仿宋"/>
              </w:rPr>
            </w:pPr>
            <w:r>
              <w:rPr>
                <w:rFonts w:ascii="仿宋" w:eastAsia="仿宋" w:hAnsi="仿宋" w:cs="仿宋" w:hint="eastAsia"/>
                <w:sz w:val="24"/>
              </w:rPr>
              <w:t>垂直风速：范围0～8.0m/s；分辨力0.01m/s；最大允许误差±2%。</w:t>
            </w:r>
          </w:p>
          <w:p w14:paraId="66571559">
            <w:pPr>
              <w:rPr>
                <w:rFonts w:ascii="仿宋" w:eastAsia="仿宋" w:hAnsi="仿宋" w:cs="仿宋"/>
              </w:rPr>
            </w:pPr>
            <w:r>
              <w:rPr>
                <w:rFonts w:ascii="仿宋" w:eastAsia="仿宋" w:hAnsi="仿宋" w:cs="仿宋" w:hint="eastAsia"/>
                <w:sz w:val="24"/>
              </w:rPr>
              <w:t>超声虚温；范围0～50℃；分辨力0.01℃，最大允许误差±0.15℃。</w:t>
            </w:r>
          </w:p>
          <w:p w14:paraId="4255583C">
            <w:pPr>
              <w:rPr>
                <w:rFonts w:ascii="仿宋" w:eastAsia="仿宋" w:hAnsi="仿宋" w:cs="仿宋"/>
              </w:rPr>
            </w:pPr>
            <w:r>
              <w:rPr>
                <w:rFonts w:ascii="仿宋" w:eastAsia="仿宋" w:hAnsi="仿宋" w:cs="仿宋" w:hint="eastAsia"/>
                <w:sz w:val="24"/>
              </w:rPr>
              <w:t>测量速率：1Hz～60Hz（可选）。</w:t>
            </w:r>
          </w:p>
        </w:tc>
      </w:tr>
      <w:tr w14:paraId="266F121D">
        <w:tblPrEx>
          <w:tblW w:w="5114" w:type="pct"/>
          <w:jc w:val="center"/>
          <w:tblLayout w:type="fixed"/>
          <w:tblCellMar>
            <w:top w:w="0" w:type="dxa"/>
            <w:left w:w="108" w:type="dxa"/>
            <w:bottom w:w="0" w:type="dxa"/>
            <w:right w:w="108" w:type="dxa"/>
          </w:tblCellMar>
        </w:tblPrEx>
        <w:trPr>
          <w:jc w:val="center"/>
        </w:trPr>
        <w:tc>
          <w:tcPr>
            <w:tcW w:w="393" w:type="pct"/>
            <w:vAlign w:val="center"/>
          </w:tcPr>
          <w:p w14:paraId="695FDD2B">
            <w:pPr>
              <w:numPr>
                <w:ilvl w:val="0"/>
                <w:numId w:val="3"/>
              </w:numPr>
              <w:ind w:left="0" w:firstLine="0"/>
              <w:rPr>
                <w:rFonts w:ascii="仿宋" w:eastAsia="仿宋" w:hAnsi="仿宋" w:cs="仿宋"/>
              </w:rPr>
            </w:pPr>
          </w:p>
        </w:tc>
        <w:tc>
          <w:tcPr>
            <w:tcW w:w="750" w:type="pct"/>
            <w:vMerge/>
            <w:vAlign w:val="center"/>
          </w:tcPr>
          <w:p w14:paraId="56F83156">
            <w:pPr>
              <w:rPr>
                <w:rFonts w:ascii="仿宋" w:eastAsia="仿宋" w:hAnsi="仿宋" w:cs="仿宋"/>
              </w:rPr>
            </w:pPr>
          </w:p>
        </w:tc>
        <w:tc>
          <w:tcPr>
            <w:tcW w:w="247" w:type="pct"/>
            <w:vMerge/>
            <w:vAlign w:val="center"/>
          </w:tcPr>
          <w:p w14:paraId="0455FE57">
            <w:pPr>
              <w:rPr>
                <w:rFonts w:ascii="仿宋" w:eastAsia="仿宋" w:hAnsi="仿宋" w:cs="仿宋"/>
              </w:rPr>
            </w:pPr>
          </w:p>
        </w:tc>
        <w:tc>
          <w:tcPr>
            <w:tcW w:w="657" w:type="pct"/>
            <w:vAlign w:val="center"/>
          </w:tcPr>
          <w:p w14:paraId="472D29B1">
            <w:pPr>
              <w:rPr>
                <w:rFonts w:ascii="仿宋" w:eastAsia="仿宋" w:hAnsi="仿宋" w:cs="仿宋"/>
              </w:rPr>
            </w:pPr>
            <w:r>
              <w:rPr>
                <w:rFonts w:ascii="仿宋" w:eastAsia="仿宋" w:hAnsi="仿宋" w:cs="仿宋" w:hint="eastAsia"/>
                <w:sz w:val="24"/>
              </w:rPr>
              <w:t>供电单元</w:t>
            </w:r>
          </w:p>
        </w:tc>
        <w:tc>
          <w:tcPr>
            <w:tcW w:w="2951" w:type="pct"/>
            <w:vAlign w:val="center"/>
          </w:tcPr>
          <w:p w14:paraId="5F31416E">
            <w:pPr>
              <w:rPr>
                <w:rFonts w:ascii="仿宋" w:eastAsia="仿宋" w:hAnsi="仿宋" w:cs="仿宋"/>
              </w:rPr>
            </w:pPr>
            <w:r>
              <w:rPr>
                <w:rFonts w:ascii="仿宋" w:eastAsia="仿宋" w:hAnsi="仿宋" w:cs="仿宋" w:hint="eastAsia"/>
                <w:sz w:val="24"/>
              </w:rPr>
              <w:t>配置电源过压、过载和漏电保护装置，并有良好的接地线路。</w:t>
            </w:r>
          </w:p>
        </w:tc>
      </w:tr>
      <w:tr w14:paraId="70D90BEB">
        <w:tblPrEx>
          <w:tblW w:w="5114" w:type="pct"/>
          <w:jc w:val="center"/>
          <w:tblLayout w:type="fixed"/>
          <w:tblCellMar>
            <w:top w:w="0" w:type="dxa"/>
            <w:left w:w="108" w:type="dxa"/>
            <w:bottom w:w="0" w:type="dxa"/>
            <w:right w:w="108" w:type="dxa"/>
          </w:tblCellMar>
        </w:tblPrEx>
        <w:trPr>
          <w:jc w:val="center"/>
        </w:trPr>
        <w:tc>
          <w:tcPr>
            <w:tcW w:w="393" w:type="pct"/>
            <w:vAlign w:val="center"/>
          </w:tcPr>
          <w:p w14:paraId="19AFF50E">
            <w:pPr>
              <w:numPr>
                <w:ilvl w:val="0"/>
                <w:numId w:val="3"/>
              </w:numPr>
              <w:ind w:left="0" w:firstLine="0"/>
              <w:rPr>
                <w:rFonts w:ascii="仿宋" w:eastAsia="仿宋" w:hAnsi="仿宋" w:cs="仿宋"/>
              </w:rPr>
            </w:pPr>
          </w:p>
        </w:tc>
        <w:tc>
          <w:tcPr>
            <w:tcW w:w="750" w:type="pct"/>
            <w:vMerge/>
            <w:vAlign w:val="center"/>
          </w:tcPr>
          <w:p w14:paraId="7088857A">
            <w:pPr>
              <w:rPr>
                <w:rFonts w:ascii="仿宋" w:eastAsia="仿宋" w:hAnsi="仿宋" w:cs="仿宋"/>
              </w:rPr>
            </w:pPr>
          </w:p>
        </w:tc>
        <w:tc>
          <w:tcPr>
            <w:tcW w:w="247" w:type="pct"/>
            <w:vMerge w:val="restart"/>
            <w:vAlign w:val="center"/>
          </w:tcPr>
          <w:p w14:paraId="78D1E761">
            <w:pPr>
              <w:rPr>
                <w:rFonts w:ascii="仿宋" w:eastAsia="仿宋" w:hAnsi="仿宋" w:cs="仿宋"/>
              </w:rPr>
            </w:pPr>
            <w:r>
              <w:rPr>
                <w:rFonts w:ascii="仿宋" w:eastAsia="仿宋" w:hAnsi="仿宋" w:cs="仿宋" w:hint="eastAsia"/>
                <w:sz w:val="24"/>
              </w:rPr>
              <w:t>配套设施</w:t>
            </w:r>
          </w:p>
        </w:tc>
        <w:tc>
          <w:tcPr>
            <w:tcW w:w="657" w:type="pct"/>
            <w:vAlign w:val="center"/>
          </w:tcPr>
          <w:p w14:paraId="5A695C16">
            <w:pPr>
              <w:rPr>
                <w:rFonts w:ascii="仿宋" w:eastAsia="仿宋" w:hAnsi="仿宋" w:cs="仿宋"/>
              </w:rPr>
            </w:pPr>
            <w:r>
              <w:rPr>
                <w:rFonts w:ascii="仿宋" w:eastAsia="仿宋" w:hAnsi="仿宋" w:cs="仿宋" w:hint="eastAsia"/>
                <w:sz w:val="24"/>
              </w:rPr>
              <w:t>采样塔</w:t>
            </w:r>
          </w:p>
        </w:tc>
        <w:tc>
          <w:tcPr>
            <w:tcW w:w="2951" w:type="pct"/>
            <w:vAlign w:val="center"/>
          </w:tcPr>
          <w:p w14:paraId="11A8FB6F">
            <w:pPr>
              <w:rPr>
                <w:rFonts w:ascii="仿宋" w:eastAsia="仿宋" w:hAnsi="仿宋" w:cs="仿宋"/>
              </w:rPr>
            </w:pPr>
            <w:r>
              <w:rPr>
                <w:rFonts w:ascii="仿宋" w:eastAsia="仿宋" w:hAnsi="仿宋" w:cs="仿宋" w:hint="eastAsia"/>
                <w:sz w:val="24"/>
              </w:rPr>
              <w:t>（1）大气采样塔主要用于安装温室气体观测系统的采样管、常规气象要素和三维超声风速仪等观测设备或设施。</w:t>
            </w:r>
          </w:p>
          <w:p w14:paraId="66C9AC1D">
            <w:pPr>
              <w:rPr>
                <w:rFonts w:ascii="仿宋" w:eastAsia="仿宋" w:hAnsi="仿宋" w:cs="仿宋"/>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14:paraId="28DACFA7">
            <w:pPr>
              <w:rPr>
                <w:rFonts w:ascii="仿宋" w:eastAsia="仿宋" w:hAnsi="仿宋" w:cs="仿宋"/>
              </w:rPr>
            </w:pPr>
            <w:r>
              <w:rPr>
                <w:rFonts w:ascii="仿宋" w:eastAsia="仿宋" w:hAnsi="仿宋" w:cs="仿宋" w:hint="eastAsia"/>
                <w:sz w:val="24"/>
              </w:rPr>
              <w:t>（3）具有较强的抗震能力，抗震烈度不低于8度，塔体不产生永久形变，设计使用寿命不小于20年。</w:t>
            </w:r>
          </w:p>
          <w:p w14:paraId="73B81BB4">
            <w:pPr>
              <w:rPr>
                <w:rFonts w:ascii="仿宋" w:eastAsia="仿宋" w:hAnsi="仿宋" w:cs="仿宋"/>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14:paraId="164A9E9D">
            <w:pPr>
              <w:rPr>
                <w:rFonts w:ascii="仿宋" w:eastAsia="仿宋" w:hAnsi="仿宋" w:cs="仿宋"/>
              </w:rPr>
            </w:pPr>
            <w:r>
              <w:rPr>
                <w:rFonts w:ascii="仿宋" w:eastAsia="仿宋" w:hAnsi="仿宋" w:cs="仿宋" w:hint="eastAsia"/>
                <w:sz w:val="24"/>
              </w:rPr>
              <w:t>（5）观测塔各构件间的连接坚固，防腐工艺采用热镀锌处理，并具较强的抗腐蚀、抗锈蚀和抗风能力。</w:t>
            </w:r>
          </w:p>
          <w:p w14:paraId="15987F08">
            <w:pPr>
              <w:rPr>
                <w:rFonts w:ascii="仿宋" w:eastAsia="仿宋" w:hAnsi="仿宋" w:cs="仿宋"/>
              </w:rPr>
            </w:pPr>
            <w:r>
              <w:rPr>
                <w:rFonts w:ascii="仿宋" w:eastAsia="仿宋" w:hAnsi="仿宋" w:cs="仿宋" w:hint="eastAsia"/>
                <w:sz w:val="24"/>
              </w:rPr>
              <w:t>（6）观测塔结构尽可能减小塔体对气流的阻挡，建议采用通风性能良好的格构式结构。</w:t>
            </w:r>
          </w:p>
          <w:p w14:paraId="101051F1">
            <w:pPr>
              <w:rPr>
                <w:rFonts w:ascii="仿宋" w:eastAsia="仿宋" w:hAnsi="仿宋" w:cs="仿宋"/>
              </w:rPr>
            </w:pPr>
            <w:r>
              <w:rPr>
                <w:rFonts w:ascii="仿宋" w:eastAsia="仿宋" w:hAnsi="仿宋" w:cs="仿宋" w:hint="eastAsia"/>
                <w:sz w:val="24"/>
              </w:rPr>
              <w:t>（7）观测塔的安装符合防雷电及接地装置的相关标准要求，接地电阻小于4Ω。</w:t>
            </w:r>
          </w:p>
          <w:p w14:paraId="1C891151">
            <w:pPr>
              <w:rPr>
                <w:rFonts w:ascii="仿宋" w:eastAsia="仿宋" w:hAnsi="仿宋" w:cs="仿宋"/>
              </w:rPr>
            </w:pPr>
            <w:r>
              <w:rPr>
                <w:rFonts w:ascii="仿宋" w:eastAsia="仿宋" w:hAnsi="仿宋" w:cs="仿宋" w:hint="eastAsia"/>
                <w:sz w:val="24"/>
              </w:rPr>
              <w:t>（8）观测塔爬梯有安全防护措施，配有上塔安全防护装备，并应设有醒目、安全、合理的警示牌。</w:t>
            </w:r>
          </w:p>
        </w:tc>
      </w:tr>
      <w:tr w14:paraId="0DF45D5B">
        <w:tblPrEx>
          <w:tblW w:w="5114" w:type="pct"/>
          <w:jc w:val="center"/>
          <w:tblLayout w:type="fixed"/>
          <w:tblCellMar>
            <w:top w:w="0" w:type="dxa"/>
            <w:left w:w="108" w:type="dxa"/>
            <w:bottom w:w="0" w:type="dxa"/>
            <w:right w:w="108" w:type="dxa"/>
          </w:tblCellMar>
        </w:tblPrEx>
        <w:trPr>
          <w:jc w:val="center"/>
        </w:trPr>
        <w:tc>
          <w:tcPr>
            <w:tcW w:w="393" w:type="pct"/>
            <w:vAlign w:val="center"/>
          </w:tcPr>
          <w:p w14:paraId="16D21F53">
            <w:pPr>
              <w:numPr>
                <w:ilvl w:val="0"/>
                <w:numId w:val="3"/>
              </w:numPr>
              <w:ind w:left="0" w:firstLine="0"/>
              <w:rPr>
                <w:rFonts w:ascii="仿宋" w:eastAsia="仿宋" w:hAnsi="仿宋" w:cs="仿宋"/>
              </w:rPr>
            </w:pPr>
          </w:p>
        </w:tc>
        <w:tc>
          <w:tcPr>
            <w:tcW w:w="750" w:type="pct"/>
            <w:vMerge/>
            <w:vAlign w:val="center"/>
          </w:tcPr>
          <w:p w14:paraId="04B10C36">
            <w:pPr>
              <w:rPr>
                <w:rFonts w:ascii="仿宋" w:eastAsia="仿宋" w:hAnsi="仿宋" w:cs="仿宋"/>
              </w:rPr>
            </w:pPr>
          </w:p>
        </w:tc>
        <w:tc>
          <w:tcPr>
            <w:tcW w:w="247" w:type="pct"/>
            <w:vMerge/>
            <w:vAlign w:val="center"/>
          </w:tcPr>
          <w:p w14:paraId="5258B011">
            <w:pPr>
              <w:rPr>
                <w:rFonts w:ascii="仿宋" w:eastAsia="仿宋" w:hAnsi="仿宋" w:cs="仿宋"/>
              </w:rPr>
            </w:pPr>
          </w:p>
        </w:tc>
        <w:tc>
          <w:tcPr>
            <w:tcW w:w="657" w:type="pct"/>
            <w:vAlign w:val="center"/>
          </w:tcPr>
          <w:p w14:paraId="5F33781F">
            <w:pPr>
              <w:rPr>
                <w:rFonts w:ascii="仿宋" w:eastAsia="仿宋" w:hAnsi="仿宋" w:cs="仿宋"/>
              </w:rPr>
            </w:pPr>
            <w:r>
              <w:rPr>
                <w:rFonts w:ascii="仿宋" w:eastAsia="仿宋" w:hAnsi="仿宋" w:cs="仿宋" w:hint="eastAsia"/>
                <w:sz w:val="24"/>
              </w:rPr>
              <w:t>方舱</w:t>
            </w:r>
          </w:p>
        </w:tc>
        <w:tc>
          <w:tcPr>
            <w:tcW w:w="2951" w:type="pct"/>
            <w:vAlign w:val="center"/>
          </w:tcPr>
          <w:p w14:paraId="76DAA86F">
            <w:pPr>
              <w:rPr>
                <w:rFonts w:ascii="仿宋" w:eastAsia="仿宋" w:hAnsi="仿宋" w:cs="仿宋"/>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14:paraId="72B7A34F">
            <w:pPr>
              <w:rPr>
                <w:rFonts w:ascii="仿宋" w:eastAsia="仿宋" w:hAnsi="仿宋" w:cs="仿宋"/>
              </w:rPr>
            </w:pPr>
            <w:r>
              <w:rPr>
                <w:rFonts w:ascii="仿宋" w:eastAsia="仿宋" w:hAnsi="仿宋" w:cs="仿宋" w:hint="eastAsia"/>
                <w:sz w:val="24"/>
              </w:rPr>
              <w:t>（2）观测室入口处宜设有缓冲区域或空间，以保持温度和湿度的稳定，防止灰尘和泥土直接带入观测室。</w:t>
            </w:r>
          </w:p>
          <w:p w14:paraId="4579FEAC">
            <w:pPr>
              <w:rPr>
                <w:rFonts w:ascii="仿宋" w:eastAsia="仿宋" w:hAnsi="仿宋" w:cs="仿宋"/>
              </w:rPr>
            </w:pPr>
            <w:r>
              <w:rPr>
                <w:rFonts w:ascii="仿宋" w:eastAsia="仿宋" w:hAnsi="仿宋" w:cs="仿宋" w:hint="eastAsia"/>
                <w:sz w:val="24"/>
              </w:rPr>
              <w:t>（3）观测室内地面、墙壁、顶棚应采用不易起尘的环保材料。观测室应不受强震动、强电磁辐射的干扰。</w:t>
            </w:r>
          </w:p>
          <w:p w14:paraId="2044CB41">
            <w:pPr>
              <w:rPr>
                <w:rFonts w:ascii="仿宋" w:eastAsia="仿宋" w:hAnsi="仿宋" w:cs="仿宋"/>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14:paraId="0C79A585">
            <w:pPr>
              <w:rPr>
                <w:rFonts w:ascii="仿宋" w:eastAsia="仿宋" w:hAnsi="仿宋" w:cs="仿宋"/>
              </w:rPr>
            </w:pPr>
            <w:r>
              <w:rPr>
                <w:rFonts w:ascii="仿宋" w:eastAsia="仿宋" w:hAnsi="仿宋" w:cs="仿宋" w:hint="eastAsia"/>
                <w:sz w:val="24"/>
              </w:rPr>
              <w:t>（5）观测室内安装温湿度控制设备，使室内温度能控制在25℃±5℃。</w:t>
            </w:r>
          </w:p>
          <w:p w14:paraId="7463F261">
            <w:pPr>
              <w:rPr>
                <w:rFonts w:ascii="仿宋" w:eastAsia="仿宋" w:hAnsi="仿宋" w:cs="仿宋"/>
              </w:rPr>
            </w:pPr>
            <w:r>
              <w:rPr>
                <w:rFonts w:ascii="仿宋" w:eastAsia="仿宋" w:hAnsi="仿宋" w:cs="仿宋" w:hint="eastAsia"/>
                <w:sz w:val="24"/>
              </w:rPr>
              <w:t>（6）观测室具有良好的通风条件和排风设施，以保持室内空气清洁。</w:t>
            </w:r>
          </w:p>
          <w:p w14:paraId="35759D43">
            <w:pPr>
              <w:rPr>
                <w:rFonts w:ascii="仿宋" w:eastAsia="仿宋" w:hAnsi="仿宋" w:cs="仿宋"/>
              </w:rPr>
            </w:pPr>
            <w:r>
              <w:rPr>
                <w:rFonts w:ascii="仿宋" w:eastAsia="仿宋" w:hAnsi="仿宋" w:cs="仿宋" w:hint="eastAsia"/>
                <w:sz w:val="24"/>
              </w:rPr>
              <w:t>（7）根据观测项目的技术要求，可预先在观测室顶部及侧壁的适当位置预留管线孔洞。</w:t>
            </w:r>
          </w:p>
          <w:p w14:paraId="10AC798E">
            <w:pPr>
              <w:rPr>
                <w:rFonts w:ascii="仿宋" w:eastAsia="仿宋" w:hAnsi="仿宋" w:cs="仿宋"/>
              </w:rPr>
            </w:pPr>
            <w:r>
              <w:rPr>
                <w:rFonts w:ascii="仿宋" w:eastAsia="仿宋" w:hAnsi="仿宋" w:cs="仿宋" w:hint="eastAsia"/>
                <w:sz w:val="24"/>
              </w:rPr>
              <w:t>（8）观测室内设有可靠的网络、通讯线路等。</w:t>
            </w:r>
          </w:p>
          <w:p w14:paraId="445893BD">
            <w:pPr>
              <w:rPr>
                <w:rFonts w:ascii="仿宋" w:eastAsia="仿宋" w:hAnsi="仿宋" w:cs="仿宋"/>
              </w:rPr>
            </w:pPr>
            <w:r>
              <w:rPr>
                <w:rFonts w:ascii="仿宋" w:eastAsia="仿宋" w:hAnsi="仿宋" w:cs="仿宋" w:hint="eastAsia"/>
                <w:sz w:val="24"/>
              </w:rPr>
              <w:t>（9）观测室配备专门的消防设施和器材，对危险物品还应配备监控装置和设施。</w:t>
            </w:r>
          </w:p>
        </w:tc>
      </w:tr>
      <w:tr w14:paraId="191DC6EF">
        <w:tblPrEx>
          <w:tblW w:w="5114" w:type="pct"/>
          <w:jc w:val="center"/>
          <w:tblLayout w:type="fixed"/>
          <w:tblCellMar>
            <w:top w:w="0" w:type="dxa"/>
            <w:left w:w="108" w:type="dxa"/>
            <w:bottom w:w="0" w:type="dxa"/>
            <w:right w:w="108" w:type="dxa"/>
          </w:tblCellMar>
        </w:tblPrEx>
        <w:trPr>
          <w:jc w:val="center"/>
        </w:trPr>
        <w:tc>
          <w:tcPr>
            <w:tcW w:w="393" w:type="pct"/>
            <w:vAlign w:val="center"/>
          </w:tcPr>
          <w:p w14:paraId="795FACA3">
            <w:pPr>
              <w:numPr>
                <w:ilvl w:val="0"/>
                <w:numId w:val="3"/>
              </w:numPr>
              <w:ind w:left="0" w:firstLine="0"/>
              <w:rPr>
                <w:rFonts w:ascii="仿宋" w:eastAsia="仿宋" w:hAnsi="仿宋" w:cs="仿宋"/>
              </w:rPr>
            </w:pPr>
          </w:p>
        </w:tc>
        <w:tc>
          <w:tcPr>
            <w:tcW w:w="750" w:type="pct"/>
            <w:vMerge/>
            <w:vAlign w:val="center"/>
          </w:tcPr>
          <w:p w14:paraId="76531F58">
            <w:pPr>
              <w:rPr>
                <w:rFonts w:ascii="仿宋" w:eastAsia="仿宋" w:hAnsi="仿宋" w:cs="仿宋"/>
              </w:rPr>
            </w:pPr>
          </w:p>
        </w:tc>
        <w:tc>
          <w:tcPr>
            <w:tcW w:w="247" w:type="pct"/>
            <w:vMerge/>
            <w:vAlign w:val="center"/>
          </w:tcPr>
          <w:p w14:paraId="21C1CDF5">
            <w:pPr>
              <w:rPr>
                <w:rFonts w:ascii="仿宋" w:eastAsia="仿宋" w:hAnsi="仿宋" w:cs="仿宋"/>
              </w:rPr>
            </w:pPr>
          </w:p>
        </w:tc>
        <w:tc>
          <w:tcPr>
            <w:tcW w:w="657" w:type="pct"/>
            <w:vAlign w:val="center"/>
          </w:tcPr>
          <w:p w14:paraId="1EE824FF">
            <w:pPr>
              <w:rPr>
                <w:rFonts w:ascii="仿宋" w:eastAsia="仿宋" w:hAnsi="仿宋" w:cs="仿宋"/>
              </w:rPr>
            </w:pPr>
            <w:r>
              <w:rPr>
                <w:rFonts w:ascii="仿宋" w:eastAsia="仿宋" w:hAnsi="仿宋" w:cs="仿宋" w:hint="eastAsia"/>
                <w:sz w:val="24"/>
              </w:rPr>
              <w:t>UPS</w:t>
            </w:r>
          </w:p>
        </w:tc>
        <w:tc>
          <w:tcPr>
            <w:tcW w:w="2951" w:type="pct"/>
            <w:vAlign w:val="center"/>
          </w:tcPr>
          <w:p w14:paraId="6F2E8448">
            <w:pPr>
              <w:rPr>
                <w:rFonts w:ascii="仿宋" w:eastAsia="仿宋" w:hAnsi="仿宋" w:cs="仿宋"/>
              </w:rPr>
            </w:pPr>
            <w:r>
              <w:rPr>
                <w:rFonts w:ascii="仿宋" w:eastAsia="仿宋" w:hAnsi="仿宋" w:cs="仿宋" w:hint="eastAsia"/>
                <w:sz w:val="24"/>
              </w:rPr>
              <w:t>UPS不间断电源应能在市电中断后继续供电，保证测量单元和数据采集与处理单元稳定运行2小时以上。</w:t>
            </w:r>
          </w:p>
        </w:tc>
      </w:tr>
    </w:tbl>
    <w:p w14:paraId="7DD0E54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14:paraId="531AE818">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14:paraId="71841C99">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14:paraId="6CA85DA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14:paraId="7B3ACDF4">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（2）每年需进行1次现场巡检，同时需提供必要的软件升级服务。</w:t>
      </w:r>
    </w:p>
    <w:p w14:paraId="67DB55DE">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14:paraId="24EF4D7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14:paraId="023FE5D0">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14:paraId="2CEB80A5">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14:paraId="695F1B9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14:paraId="49F1577A">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14:paraId="71A36162">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14:paraId="26AC4814">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14:paraId="312903DB">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14:paraId="459B982D">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14:paraId="77D6FE8F">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14:paraId="7599008F">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14:paraId="2EE2DD43">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14:paraId="7E18098F">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14:paraId="655F21B8">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14:paraId="1117948E">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14:paraId="63D85E24">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14:paraId="4D4ED29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14:paraId="554F3A84">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14:paraId="24B347F2">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14:paraId="7042595A">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14:paraId="5907DA64">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14:paraId="3074A556">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14:paraId="08EA22D2">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（1）保修期内因设备设计、质量出现问题，均由设备供应商即时无偿解决（包括更换器件）；设备安装后的试运行期间（</w:t>
      </w:r>
      <w:r>
        <w:rPr>
          <w:rFonts w:ascii="仿宋" w:eastAsia="仿宋" w:hAnsi="仿宋" w:cs="仿宋" w:hint="eastAsia"/>
          <w:sz w:val="28"/>
          <w:szCs w:val="20"/>
          <w:lang w:val="en-US" w:eastAsia="zh-CN"/>
        </w:rPr>
        <w:t>6</w:t>
      </w:r>
      <w:r>
        <w:rPr>
          <w:rFonts w:ascii="仿宋" w:eastAsia="仿宋" w:hAnsi="仿宋" w:cs="仿宋" w:hint="eastAsia"/>
          <w:sz w:val="28"/>
          <w:szCs w:val="20"/>
        </w:rPr>
        <w:t>个月）内，遇设备故障或数据明显异常、性能不达标等，中标人负责</w:t>
      </w:r>
      <w:r>
        <w:rPr>
          <w:rFonts w:ascii="仿宋" w:eastAsia="仿宋" w:hAnsi="仿宋" w:cs="仿宋" w:hint="eastAsia"/>
          <w:sz w:val="28"/>
          <w:szCs w:val="20"/>
          <w:lang w:val="en-US" w:eastAsia="zh-CN"/>
        </w:rPr>
        <w:t>72</w:t>
      </w:r>
      <w:r>
        <w:rPr>
          <w:rFonts w:ascii="仿宋" w:eastAsia="仿宋" w:hAnsi="仿宋" w:cs="仿宋" w:hint="eastAsia"/>
          <w:sz w:val="28"/>
          <w:szCs w:val="20"/>
        </w:rPr>
        <w:t xml:space="preserve">小时内到站对故障设备进行测试和更换，确保设备正常投入业务运行。 </w:t>
      </w:r>
    </w:p>
    <w:p w14:paraId="626AD2C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14:paraId="1CAC95B7">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14:paraId="6AF00E57">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14:paraId="6EE6BC9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14:paraId="3D9F324F">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14:paraId="0E683690">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14:paraId="2E0DA376">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14:paraId="028FAED6">
      <w:pPr>
        <w:spacing w:line="560" w:lineRule="exact"/>
        <w:ind w:firstLine="560" w:firstLineChars="200"/>
        <w:rPr>
          <w:rFonts w:ascii="仿宋" w:eastAsia="仿宋" w:hAnsi="仿宋" w:cs="仿宋"/>
          <w:sz w:val="28"/>
          <w:szCs w:val="20"/>
        </w:rPr>
      </w:pPr>
    </w:p>
    <w:p w14:paraId="4D85DA54">
      <w:pPr>
        <w:spacing w:line="240" w:lineRule="auto"/>
        <w:ind w:firstLine="0" w:firstLineChars="0"/>
        <w:jc w:val="left"/>
        <w:outlineLvl w:val="9"/>
        <w:rPr>
          <w:rFonts w:ascii="黑体" w:eastAsia="黑体" w:hAnsi="黑体" w:hint="eastAsia"/>
          <w:bCs/>
          <w:snapToGrid w:val="0"/>
          <w:kern w:val="0"/>
          <w:sz w:val="44"/>
          <w:szCs w:val="44"/>
        </w:rPr>
      </w:pPr>
      <w:r>
        <w:rPr>
          <w:rFonts w:ascii="Times New Roman" w:hAnsi="Times New Roman" w:cs="Times New Roman"/>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8,984,000.00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8,984,000.00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7"/>
        <w:gridCol w:w="1419"/>
        <w:gridCol w:w="2955"/>
        <w:gridCol w:w="417"/>
        <w:gridCol w:w="951"/>
        <w:gridCol w:w="793"/>
        <w:gridCol w:w="684"/>
        <w:gridCol w:w="88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信息中心(001051012)</w:t>
            </w:r>
          </w:p>
        </w:tc>
        <w:tc>
          <w:tcPr/>
          <w:p>
            <w:r>
              <w:t>通量观测系统（高精度温室气体浓度观测系统）</w:t>
            </w:r>
          </w:p>
        </w:tc>
        <w:tc>
          <w:tcPr/>
          <w:p>
            <w:r>
              <w:t>4</w:t>
            </w:r>
          </w:p>
        </w:tc>
        <w:tc>
          <w:tcPr/>
          <w:p>
            <w:r>
              <w:t>8984000.00</w:t>
            </w:r>
          </w:p>
        </w:tc>
        <w:tc>
          <w:tcPr/>
          <w:p>
            <w:r>
              <w:t xml:space="preserve">8984000.00  </w:t>
            </w:r>
          </w:p>
        </w:tc>
        <w:tc>
          <w:tcPr/>
          <w:p>
            <w:r>
              <w:t>重庆市</w:t>
            </w:r>
          </w:p>
        </w:tc>
        <w:tc>
          <w:tcPr/>
          <w:p>
            <w:r>
              <w:t>黄兆富 17783199962</w:t>
            </w: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418AFB45">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7F6DB9E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019E997D">
      <w:pPr>
        <w:ind w:firstLine="560" w:firstLineChars="200"/>
        <w:rPr>
          <w:rFonts w:ascii="仿宋" w:eastAsia="仿宋" w:hAnsi="仿宋" w:cs="仿宋"/>
          <w:sz w:val="28"/>
          <w:szCs w:val="20"/>
        </w:rPr>
      </w:pPr>
      <w:r>
        <w:rPr>
          <w:rFonts w:ascii="仿宋_GB2312" w:eastAsia="仿宋_GB2312" w:hAnsi="仿宋_GB2312" w:cs="仿宋_GB2312" w:hint="eastAsia"/>
          <w:sz w:val="28"/>
        </w:rPr>
        <w:t>根据中国气象局2025站网和雷达工程项目安排，本建设项目拟在</w:t>
      </w:r>
      <w:r>
        <w:rPr>
          <w:rFonts w:ascii="仿宋_GB2312" w:eastAsia="仿宋_GB2312" w:hAnsi="仿宋_GB2312" w:cs="仿宋_GB2312" w:hint="eastAsia"/>
          <w:sz w:val="28"/>
          <w:lang w:val="en-US" w:eastAsia="zh-CN"/>
        </w:rPr>
        <w:t>重庆</w:t>
      </w:r>
      <w:r>
        <w:rPr>
          <w:rFonts w:ascii="仿宋_GB2312" w:eastAsia="仿宋_GB2312" w:hAnsi="仿宋_GB2312" w:cs="仿宋_GB2312" w:hint="eastAsia"/>
          <w:sz w:val="28"/>
        </w:rPr>
        <w:t>建设</w:t>
      </w:r>
      <w:r>
        <w:rPr>
          <w:rFonts w:ascii="仿宋_GB2312" w:eastAsia="仿宋_GB2312" w:hAnsi="仿宋_GB2312" w:cs="仿宋_GB2312" w:hint="eastAsia"/>
          <w:sz w:val="28"/>
          <w:lang w:val="en-US" w:eastAsia="zh-CN"/>
        </w:rPr>
        <w:t>4</w:t>
      </w:r>
      <w:r>
        <w:rPr>
          <w:rFonts w:ascii="仿宋_GB2312" w:eastAsia="仿宋_GB2312" w:hAnsi="仿宋_GB2312" w:cs="仿宋_GB2312" w:hint="eastAsia"/>
          <w:sz w:val="28"/>
        </w:rPr>
        <w:t>套高精度温室气体浓度观测系统，以温室气体高精度观测能力、生态文明建设和应对气候变化需求布局需求为牵引，不断提升气候变化监测能力，充分利用和发挥气象部门现有观测站网与资源优势，加强沟通与协调，多元投入，快速构建覆盖我国主要城市和区域的温室气体浓度高精度观测网，对大气湍流结构等反映大气边界层湍流过程的湍流参数及其三维方向上的变化速率进行温室气体的源区排放动态监测。</w:t>
      </w:r>
    </w:p>
    <w:p w14:paraId="40B7F1C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10637631">
      <w:pPr>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1、设备供应商需提供详细售后服务方案，包括设备售后服务组织机构、人员组成、技术支持文档等。其中，售后服务组织机构设置合理，人员技术能力强，技术文档内容全面。</w:t>
      </w:r>
    </w:p>
    <w:p w14:paraId="5FB2EF7E">
      <w:pPr>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2、设备供应商对所有设备提供自验收合格后6年的</w:t>
      </w:r>
      <w:r>
        <w:rPr>
          <w:rFonts w:ascii="仿宋_GB2312" w:eastAsia="仿宋_GB2312" w:hAnsi="仿宋_GB2312" w:cs="仿宋_GB2312" w:hint="eastAsia"/>
          <w:sz w:val="28"/>
          <w:lang w:val="en-US" w:eastAsia="zh-CN"/>
        </w:rPr>
        <w:t>质保和运维</w:t>
      </w:r>
      <w:r>
        <w:rPr>
          <w:rFonts w:ascii="仿宋_GB2312" w:eastAsia="仿宋_GB2312" w:hAnsi="仿宋_GB2312" w:cs="仿宋_GB2312" w:hint="eastAsia"/>
          <w:sz w:val="28"/>
        </w:rPr>
        <w:t>服务，需提供设备维保承诺函原件（格式自拟）。保修期内因设备设计、质量出现问题，均由设备供应商即时无偿解决（包括更换器件）；设备安装后的试运行期间（</w:t>
      </w:r>
      <w:r>
        <w:rPr>
          <w:rFonts w:ascii="仿宋_GB2312" w:eastAsia="仿宋_GB2312" w:hAnsi="仿宋_GB2312" w:cs="仿宋_GB2312" w:hint="eastAsia"/>
          <w:sz w:val="28"/>
          <w:lang w:val="en-US" w:eastAsia="zh-CN"/>
        </w:rPr>
        <w:t>6</w:t>
      </w:r>
      <w:r>
        <w:rPr>
          <w:rFonts w:ascii="仿宋_GB2312" w:eastAsia="仿宋_GB2312" w:hAnsi="仿宋_GB2312" w:cs="仿宋_GB2312" w:hint="eastAsia"/>
          <w:sz w:val="28"/>
        </w:rPr>
        <w:t>个月）内，遇设备故障或数据明显异常、性能不达标等，中标人负责72小时内到站对故障设备进行测试和更换，确保设备正常投入业务运行。维保期过后，设备供应商仍有义务提供远程技术服务（包括提供设备维护、备件等）。</w:t>
      </w:r>
    </w:p>
    <w:p w14:paraId="7F33976C">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3、质保期服务内容要求：</w:t>
      </w:r>
    </w:p>
    <w:p w14:paraId="515520B9">
      <w:pPr>
        <w:pStyle w:val="z"/>
        <w:spacing w:before="120"/>
        <w:ind w:firstLine="480"/>
        <w:rPr>
          <w:rFonts w:ascii="仿宋_GB2312" w:eastAsia="仿宋_GB2312" w:hAnsi="仿宋_GB2312" w:cs="仿宋_GB2312" w:hint="eastAsia"/>
          <w:sz w:val="28"/>
          <w:lang w:val="zh-CN"/>
        </w:rPr>
      </w:pPr>
      <w:r>
        <w:rPr>
          <w:rFonts w:ascii="仿宋_GB2312" w:eastAsia="仿宋_GB2312" w:hAnsi="仿宋_GB2312" w:cs="仿宋_GB2312" w:hint="eastAsia"/>
          <w:kern w:val="2"/>
          <w:sz w:val="28"/>
          <w:szCs w:val="24"/>
          <w:lang w:val="zh-CN" w:eastAsia="zh-CN" w:bidi="ar-SA"/>
        </w:rPr>
        <w:t>满足国家标准、WMO等关于温室气体业务运行系统的运行要求，最终获取高质量的观测数据，保证数据与WMO/GAW同行可比，具有较高可信度。保证系统观测数据准确性、代表性；提升人为操作便利性，做到无人值守，提升台站人员科技能力水平。</w:t>
      </w:r>
    </w:p>
    <w:p w14:paraId="4F0B4D66">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kern w:val="2"/>
          <w:sz w:val="28"/>
          <w:szCs w:val="24"/>
          <w:lang w:val="en-US" w:eastAsia="zh-CN" w:bidi="ar-SA"/>
        </w:rPr>
        <w:t>（1）质保期内，因</w:t>
      </w:r>
      <w:r>
        <w:rPr>
          <w:rFonts w:ascii="仿宋_GB2312" w:eastAsia="仿宋_GB2312" w:hAnsi="仿宋_GB2312" w:cs="仿宋_GB2312" w:hint="eastAsia"/>
          <w:kern w:val="2"/>
          <w:sz w:val="28"/>
          <w:szCs w:val="24"/>
          <w:lang w:val="zh-CN" w:eastAsia="zh-CN" w:bidi="ar-SA"/>
        </w:rPr>
        <w:t>设备</w:t>
      </w:r>
      <w:r>
        <w:rPr>
          <w:rFonts w:ascii="仿宋_GB2312" w:eastAsia="仿宋_GB2312" w:hAnsi="仿宋_GB2312" w:cs="仿宋_GB2312" w:hint="eastAsia"/>
          <w:kern w:val="2"/>
          <w:sz w:val="28"/>
          <w:szCs w:val="24"/>
          <w:lang w:val="en-US" w:eastAsia="zh-CN" w:bidi="ar-SA"/>
        </w:rPr>
        <w:t>故障，投标人进行设备维修保障或更换时，需自备维修保障耗材和更换配件。</w:t>
      </w:r>
    </w:p>
    <w:p w14:paraId="5E0A086E">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（2）每年需至少开展1次</w:t>
      </w:r>
      <w:r>
        <w:rPr>
          <w:rFonts w:ascii="仿宋_GB2312" w:eastAsia="仿宋_GB2312" w:hAnsi="仿宋_GB2312" w:cs="仿宋_GB2312" w:hint="eastAsia"/>
          <w:sz w:val="28"/>
          <w:lang w:val="en-US" w:eastAsia="zh-CN"/>
        </w:rPr>
        <w:t>年</w:t>
      </w:r>
      <w:r>
        <w:rPr>
          <w:rFonts w:ascii="仿宋_GB2312" w:eastAsia="仿宋_GB2312" w:hAnsi="仿宋_GB2312" w:cs="仿宋_GB2312" w:hint="eastAsia"/>
          <w:sz w:val="28"/>
        </w:rPr>
        <w:t>巡检，同时需提供必要的软件升级服务。</w:t>
      </w:r>
    </w:p>
    <w:p w14:paraId="153A77B8">
      <w:pPr>
        <w:pStyle w:val="z"/>
        <w:spacing w:before="120"/>
        <w:ind w:firstLine="480"/>
        <w:rPr>
          <w:rFonts w:ascii="仿宋_GB2312" w:eastAsia="仿宋_GB2312" w:hAnsi="仿宋_GB2312" w:cs="仿宋_GB2312" w:hint="eastAsia"/>
          <w:sz w:val="28"/>
        </w:rPr>
      </w:pPr>
      <w:r>
        <w:rPr>
          <w:rFonts w:ascii="仿宋_GB2312" w:eastAsia="仿宋_GB2312" w:hAnsi="仿宋_GB2312" w:cs="仿宋_GB2312" w:hint="eastAsia"/>
          <w:sz w:val="28"/>
        </w:rPr>
        <w:t>（3）</w:t>
      </w:r>
      <w:r>
        <w:rPr>
          <w:rFonts w:ascii="仿宋_GB2312" w:eastAsia="仿宋_GB2312" w:hAnsi="仿宋_GB2312" w:cs="仿宋_GB2312" w:hint="eastAsia"/>
          <w:sz w:val="28"/>
          <w:lang w:val="en-US" w:eastAsia="zh-CN"/>
        </w:rPr>
        <w:t>按照中国气象局有关温室气体的技术要求，进行</w:t>
      </w:r>
      <w:r>
        <w:rPr>
          <w:rFonts w:ascii="仿宋_GB2312" w:eastAsia="仿宋_GB2312" w:hAnsi="仿宋_GB2312" w:cs="仿宋_GB2312" w:hint="eastAsia"/>
          <w:kern w:val="2"/>
          <w:sz w:val="28"/>
          <w:szCs w:val="24"/>
          <w:lang w:val="zh-CN" w:eastAsia="zh-CN" w:bidi="ar-SA"/>
        </w:rPr>
        <w:t>日、</w:t>
      </w:r>
      <w:r>
        <w:rPr>
          <w:rFonts w:ascii="仿宋_GB2312" w:eastAsia="仿宋_GB2312" w:hAnsi="仿宋_GB2312" w:cs="仿宋_GB2312" w:hint="eastAsia"/>
          <w:sz w:val="28"/>
          <w:lang w:val="en-US" w:eastAsia="zh-CN"/>
        </w:rPr>
        <w:t>周、</w:t>
      </w:r>
      <w:r>
        <w:rPr>
          <w:rFonts w:ascii="仿宋_GB2312" w:eastAsia="仿宋_GB2312" w:hAnsi="仿宋_GB2312" w:cs="仿宋_GB2312" w:hint="eastAsia"/>
          <w:kern w:val="2"/>
          <w:sz w:val="28"/>
          <w:szCs w:val="24"/>
          <w:lang w:val="zh-CN" w:eastAsia="zh-CN" w:bidi="ar-SA"/>
        </w:rPr>
        <w:t>月、年度</w:t>
      </w:r>
      <w:r>
        <w:rPr>
          <w:rFonts w:ascii="仿宋_GB2312" w:eastAsia="仿宋_GB2312" w:hAnsi="仿宋_GB2312" w:cs="仿宋_GB2312" w:hint="eastAsia"/>
          <w:kern w:val="2"/>
          <w:sz w:val="28"/>
          <w:szCs w:val="24"/>
          <w:lang w:val="en-US" w:eastAsia="zh-CN" w:bidi="ar-SA"/>
        </w:rPr>
        <w:t>巡查、</w:t>
      </w:r>
      <w:r>
        <w:rPr>
          <w:rFonts w:ascii="仿宋_GB2312" w:eastAsia="仿宋_GB2312" w:hAnsi="仿宋_GB2312" w:cs="仿宋_GB2312" w:hint="eastAsia"/>
          <w:kern w:val="2"/>
          <w:sz w:val="28"/>
          <w:szCs w:val="24"/>
          <w:lang w:val="zh-CN" w:eastAsia="zh-CN" w:bidi="ar-SA"/>
        </w:rPr>
        <w:t>巡检、维护（</w:t>
      </w:r>
      <w:r>
        <w:rPr>
          <w:rFonts w:ascii="仿宋_GB2312" w:eastAsia="仿宋_GB2312" w:hAnsi="仿宋_GB2312" w:cs="仿宋_GB2312" w:hint="eastAsia"/>
          <w:kern w:val="2"/>
          <w:sz w:val="28"/>
          <w:szCs w:val="24"/>
          <w:lang w:val="en-US" w:eastAsia="zh-CN" w:bidi="ar-SA"/>
        </w:rPr>
        <w:t>巡检和维护配件需乙方提供</w:t>
      </w:r>
      <w:r>
        <w:rPr>
          <w:rFonts w:ascii="仿宋_GB2312" w:eastAsia="仿宋_GB2312" w:hAnsi="仿宋_GB2312" w:cs="仿宋_GB2312" w:hint="eastAsia"/>
          <w:kern w:val="2"/>
          <w:sz w:val="28"/>
          <w:szCs w:val="24"/>
          <w:lang w:val="zh-CN" w:eastAsia="zh-CN" w:bidi="ar-SA"/>
        </w:rPr>
        <w:t>）、观测质量评估、软件平台的升级维护、观测系统相关的其他维持和服务。</w:t>
      </w:r>
    </w:p>
    <w:p w14:paraId="49F91F5C">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w:t>
      </w:r>
      <w:r>
        <w:rPr>
          <w:rFonts w:ascii="仿宋_GB2312" w:eastAsia="仿宋_GB2312" w:hAnsi="仿宋_GB2312" w:cs="仿宋_GB2312" w:hint="eastAsia"/>
          <w:sz w:val="28"/>
          <w:lang w:val="en-US" w:eastAsia="zh-CN"/>
        </w:rPr>
        <w:t>4</w:t>
      </w:r>
      <w:r>
        <w:rPr>
          <w:rFonts w:ascii="仿宋_GB2312" w:eastAsia="仿宋_GB2312" w:hAnsi="仿宋_GB2312" w:cs="仿宋_GB2312" w:hint="eastAsia"/>
          <w:sz w:val="28"/>
        </w:rPr>
        <w:t>）质保期满后，仍有义务提供远程技术服务等支持。</w:t>
      </w:r>
    </w:p>
    <w:p w14:paraId="1583050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46965103">
      <w:pPr>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1F8E3979">
      <w:pPr>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中标人应向用户提供至少2次培训，培训课时不少于8个课时，包含现场安装培训和集中授课培训，其中集中授课培训人数要求每套设备至少2人，并邀请项目建设单位参与。培训内容包括设备安装、使用、日常维护、观测原理及产品应用，培训时间及地点双方协商确定。</w:t>
      </w:r>
    </w:p>
    <w:p w14:paraId="2522284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68CB9639">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重庆市相关区县</w:t>
      </w:r>
      <w:r>
        <w:rPr>
          <w:rFonts w:ascii="仿宋" w:eastAsia="仿宋" w:hAnsi="仿宋" w:cs="仿宋" w:hint="eastAsia"/>
          <w:sz w:val="28"/>
          <w:szCs w:val="20"/>
        </w:rPr>
        <w:t>（运输相关费用</w:t>
      </w:r>
      <w:r>
        <w:rPr>
          <w:rFonts w:ascii="仿宋" w:eastAsia="仿宋" w:hAnsi="仿宋" w:cs="仿宋" w:hint="eastAsia"/>
          <w:sz w:val="28"/>
          <w:szCs w:val="20"/>
          <w:lang w:val="en-US" w:eastAsia="zh-CN"/>
        </w:rPr>
        <w:t>及二次转运费</w:t>
      </w:r>
      <w:r>
        <w:rPr>
          <w:rFonts w:ascii="仿宋" w:eastAsia="仿宋" w:hAnsi="仿宋" w:cs="仿宋" w:hint="eastAsia"/>
          <w:sz w:val="28"/>
          <w:szCs w:val="20"/>
        </w:rPr>
        <w:t>由供应商负责），并负责安装调试。</w:t>
      </w:r>
    </w:p>
    <w:p w14:paraId="16B53586">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20</w:t>
      </w:r>
      <w:r>
        <w:rPr>
          <w:rFonts w:ascii="仿宋" w:eastAsia="仿宋" w:hAnsi="仿宋" w:cs="仿宋" w:hint="eastAsia"/>
          <w:sz w:val="28"/>
          <w:szCs w:val="20"/>
        </w:rPr>
        <w:t>天内完成供货、</w:t>
      </w:r>
      <w:r>
        <w:rPr>
          <w:rFonts w:ascii="仿宋" w:eastAsia="仿宋" w:hAnsi="仿宋" w:cs="仿宋" w:hint="eastAsia"/>
          <w:sz w:val="28"/>
          <w:szCs w:val="20"/>
          <w:lang w:val="en-US" w:eastAsia="zh-CN"/>
        </w:rPr>
        <w:t>180天内</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4565892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CEB687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3F48FC54">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设备软件兼容性强，设备数据传输模式、数据格式、数据通讯协议满足国家局下发的高精度温室气体主要性能指标要求，设备观测数据可以接入省内相关业务平台，观测数据完全符合甲方相关要求和规范，保证其系统的兼容性和功能的完整性。</w:t>
      </w:r>
    </w:p>
    <w:p w14:paraId="3AB8C203">
      <w:pPr>
        <w:spacing w:line="560" w:lineRule="exact"/>
        <w:ind w:firstLine="560" w:firstLineChars="200"/>
        <w:rPr>
          <w:rFonts w:ascii="仿宋_GB2312" w:eastAsia="仿宋_GB2312" w:hAnsi="仿宋_GB2312" w:cs="仿宋_GB2312" w:hint="eastAsia"/>
          <w:b/>
          <w:bCs/>
          <w:sz w:val="28"/>
        </w:rPr>
      </w:pPr>
      <w:r>
        <w:rPr>
          <w:rFonts w:ascii="仿宋_GB2312" w:eastAsia="仿宋_GB2312" w:hAnsi="仿宋_GB2312" w:cs="仿宋_GB2312" w:hint="eastAsia"/>
          <w:b/>
          <w:bCs/>
          <w:sz w:val="28"/>
        </w:rPr>
        <w:t>七、付款方式</w:t>
      </w:r>
    </w:p>
    <w:p w14:paraId="687009A1">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分期付款</w:t>
      </w:r>
      <w:r>
        <w:rPr>
          <w:rFonts w:ascii="仿宋_GB2312" w:eastAsia="仿宋_GB2312" w:hAnsi="仿宋_GB2312" w:cs="仿宋_GB2312" w:hint="eastAsia"/>
          <w:sz w:val="28"/>
          <w:lang w:eastAsia="zh-CN"/>
        </w:rPr>
        <w:t>：</w:t>
      </w:r>
    </w:p>
    <w:p w14:paraId="719E9DD7">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（1）合同生效后付款：双方签署合同后20个工作日内，乙方向甲方开具合同总金额的</w:t>
      </w:r>
      <w:r>
        <w:rPr>
          <w:rFonts w:ascii="仿宋_GB2312" w:eastAsia="仿宋_GB2312" w:hAnsi="仿宋_GB2312" w:cs="仿宋_GB2312" w:hint="eastAsia"/>
          <w:sz w:val="28"/>
          <w:lang w:val="en-US" w:eastAsia="zh-CN"/>
        </w:rPr>
        <w:t>90</w:t>
      </w:r>
      <w:r>
        <w:rPr>
          <w:rFonts w:ascii="仿宋_GB2312" w:eastAsia="仿宋_GB2312" w:hAnsi="仿宋_GB2312" w:cs="仿宋_GB2312" w:hint="eastAsia"/>
          <w:sz w:val="28"/>
        </w:rPr>
        <w:t>% 即人民币</w:t>
      </w:r>
      <w:r>
        <w:rPr>
          <w:rFonts w:ascii="仿宋_GB2312" w:eastAsia="仿宋_GB2312" w:hAnsi="仿宋_GB2312" w:cs="仿宋_GB2312" w:hint="eastAsia"/>
          <w:sz w:val="28"/>
          <w:u w:val="single"/>
        </w:rPr>
        <w:t xml:space="preserve">    </w:t>
      </w:r>
      <w:r>
        <w:rPr>
          <w:rFonts w:ascii="仿宋_GB2312" w:eastAsia="仿宋_GB2312" w:hAnsi="仿宋_GB2312" w:cs="仿宋_GB2312" w:hint="eastAsia"/>
          <w:sz w:val="28"/>
        </w:rPr>
        <w:t>元（大写）</w:t>
      </w:r>
      <w:r>
        <w:rPr>
          <w:rFonts w:ascii="仿宋_GB2312" w:eastAsia="仿宋_GB2312" w:hAnsi="仿宋_GB2312" w:cs="仿宋_GB2312" w:hint="eastAsia"/>
          <w:sz w:val="28"/>
          <w:u w:val="single"/>
        </w:rPr>
        <w:t xml:space="preserve">    </w:t>
      </w:r>
      <w:r>
        <w:rPr>
          <w:rFonts w:ascii="仿宋_GB2312" w:eastAsia="仿宋_GB2312" w:hAnsi="仿宋_GB2312" w:cs="仿宋_GB2312" w:hint="eastAsia"/>
          <w:sz w:val="28"/>
        </w:rPr>
        <w:t>（小写） 的增值税普通发票，同时甲方向乙方支付相应金额款项。</w:t>
      </w:r>
    </w:p>
    <w:p w14:paraId="0D95715B">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 xml:space="preserve">（2）到货后付款：设备到货、签收后 20个工作日内，乙方向甲方开具合同总金额的 </w:t>
      </w:r>
      <w:r>
        <w:rPr>
          <w:rFonts w:ascii="仿宋_GB2312" w:eastAsia="仿宋_GB2312" w:hAnsi="仿宋_GB2312" w:cs="仿宋_GB2312" w:hint="eastAsia"/>
          <w:sz w:val="28"/>
          <w:lang w:val="en-US" w:eastAsia="zh-CN"/>
        </w:rPr>
        <w:t>1</w:t>
      </w:r>
      <w:r>
        <w:rPr>
          <w:rFonts w:ascii="仿宋_GB2312" w:eastAsia="仿宋_GB2312" w:hAnsi="仿宋_GB2312" w:cs="仿宋_GB2312" w:hint="eastAsia"/>
          <w:sz w:val="28"/>
        </w:rPr>
        <w:t>0% 即人民币</w:t>
      </w:r>
      <w:r>
        <w:rPr>
          <w:rFonts w:ascii="仿宋_GB2312" w:eastAsia="仿宋_GB2312" w:hAnsi="仿宋_GB2312" w:cs="仿宋_GB2312" w:hint="eastAsia"/>
          <w:sz w:val="28"/>
          <w:u w:val="single"/>
        </w:rPr>
        <w:t xml:space="preserve">    </w:t>
      </w:r>
      <w:r>
        <w:rPr>
          <w:rFonts w:ascii="仿宋_GB2312" w:eastAsia="仿宋_GB2312" w:hAnsi="仿宋_GB2312" w:cs="仿宋_GB2312" w:hint="eastAsia"/>
          <w:sz w:val="28"/>
        </w:rPr>
        <w:t>元（大写）</w:t>
      </w:r>
      <w:r>
        <w:rPr>
          <w:rFonts w:ascii="仿宋_GB2312" w:eastAsia="仿宋_GB2312" w:hAnsi="仿宋_GB2312" w:cs="仿宋_GB2312" w:hint="eastAsia"/>
          <w:sz w:val="28"/>
          <w:u w:val="single"/>
        </w:rPr>
        <w:t xml:space="preserve">    </w:t>
      </w:r>
      <w:r>
        <w:rPr>
          <w:rFonts w:ascii="仿宋_GB2312" w:eastAsia="仿宋_GB2312" w:hAnsi="仿宋_GB2312" w:cs="仿宋_GB2312" w:hint="eastAsia"/>
          <w:sz w:val="28"/>
        </w:rPr>
        <w:t>元（小写） 的增值税普通发票，同时甲方向乙方支付相应金额款项。</w:t>
      </w:r>
    </w:p>
    <w:p w14:paraId="1155129D">
      <w:pPr>
        <w:ind w:firstLine="560" w:firstLineChars="200"/>
        <w:rPr>
          <w:rFonts w:ascii="仿宋" w:eastAsia="仿宋" w:hAnsi="仿宋" w:cs="仿宋"/>
          <w:sz w:val="28"/>
          <w:szCs w:val="20"/>
        </w:rPr>
      </w:pPr>
      <w:r>
        <w:rPr>
          <w:rFonts w:ascii="仿宋" w:eastAsia="仿宋" w:hAnsi="仿宋" w:cs="仿宋" w:hint="eastAsia"/>
          <w:sz w:val="28"/>
          <w:szCs w:val="20"/>
        </w:rPr>
        <w:t xml:space="preserve">（3）乙方在合同签订后20个工作日内，向甲方提供合同总金额 </w:t>
      </w:r>
      <w:r>
        <w:rPr>
          <w:rFonts w:ascii="仿宋" w:eastAsia="仿宋" w:hAnsi="仿宋" w:cs="仿宋" w:hint="eastAsia"/>
          <w:sz w:val="28"/>
          <w:szCs w:val="20"/>
          <w:lang w:val="en-US" w:eastAsia="zh-CN"/>
        </w:rPr>
        <w:t>10</w:t>
      </w:r>
      <w:r>
        <w:rPr>
          <w:rFonts w:ascii="仿宋" w:eastAsia="仿宋" w:hAnsi="仿宋" w:cs="仿宋" w:hint="eastAsia"/>
          <w:sz w:val="28"/>
          <w:szCs w:val="20"/>
        </w:rPr>
        <w:t>%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u w:val="single"/>
          <w:lang w:val="en-US" w:eastAsia="zh-CN"/>
        </w:rPr>
        <w:t xml:space="preserve">  </w:t>
      </w:r>
      <w:r>
        <w:rPr>
          <w:rFonts w:ascii="仿宋" w:eastAsia="仿宋" w:hAnsi="仿宋" w:cs="仿宋" w:hint="eastAsia"/>
          <w:sz w:val="28"/>
          <w:szCs w:val="20"/>
          <w:lang w:val="en-US" w:eastAsia="zh-CN"/>
        </w:rPr>
        <w:t>元</w:t>
      </w:r>
      <w:r>
        <w:rPr>
          <w:rFonts w:ascii="仿宋" w:eastAsia="仿宋" w:hAnsi="仿宋" w:cs="仿宋" w:hint="eastAsia"/>
          <w:sz w:val="28"/>
          <w:szCs w:val="20"/>
        </w:rPr>
        <w:t>（小写） 的银行履约保函。验收合格一年后，甲方将银行履约保函退还乙方。</w:t>
      </w:r>
    </w:p>
    <w:p w14:paraId="71C58AFD">
      <w:pPr>
        <w:spacing w:line="560" w:lineRule="exact"/>
        <w:ind w:firstLine="560" w:firstLineChars="200"/>
        <w:rPr>
          <w:rFonts w:ascii="仿宋_GB2312" w:eastAsia="仿宋_GB2312" w:hAnsi="仿宋_GB2312" w:cs="仿宋_GB2312" w:hint="eastAsia"/>
          <w:b/>
          <w:bCs/>
          <w:sz w:val="28"/>
        </w:rPr>
      </w:pPr>
      <w:r>
        <w:rPr>
          <w:rFonts w:ascii="仿宋_GB2312" w:eastAsia="仿宋_GB2312" w:hAnsi="仿宋_GB2312" w:cs="仿宋_GB2312" w:hint="eastAsia"/>
          <w:b/>
          <w:bCs/>
          <w:sz w:val="28"/>
        </w:rPr>
        <w:t>八、检验考核要求</w:t>
      </w:r>
    </w:p>
    <w:p w14:paraId="2304CF4C">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采购人应对合同设备在考核中应达到的技术性能考核指标进行规定，并可根据合同设备的实际情况，规定可以接受的合同设备的最低技术性能考核指标。</w:t>
      </w:r>
    </w:p>
    <w:p w14:paraId="39545783">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1）测试期间中标方必须在招标方代表参加的情况下，在工厂环境里验证相关的硬件和软件能够完全正确运行和满足验收方案要求和技术指标，并形成出厂测试报告。如果未能通过出厂验收测试，验收将延期重新进行，由此增加的一切费用由中标方承担。出厂测试验收时，中标方应提供配套软件详细的技术文档，包括但是不限于检测报告、电路图、技术说明书和使用说明书等各1份。</w:t>
      </w:r>
    </w:p>
    <w:p w14:paraId="1DDA56CF">
      <w:pPr>
        <w:spacing w:line="560" w:lineRule="exact"/>
        <w:ind w:firstLine="560" w:firstLineChars="200"/>
        <w:rPr>
          <w:rFonts w:ascii="仿宋_GB2312" w:eastAsia="仿宋_GB2312" w:hAnsi="仿宋_GB2312" w:cs="仿宋_GB2312" w:hint="eastAsia"/>
          <w:sz w:val="28"/>
        </w:rPr>
      </w:pPr>
      <w:r>
        <w:rPr>
          <w:rFonts w:ascii="仿宋_GB2312" w:eastAsia="仿宋_GB2312" w:hAnsi="仿宋_GB2312" w:cs="仿宋_GB2312" w:hint="eastAsia"/>
          <w:sz w:val="28"/>
        </w:rPr>
        <w:t>（2）现场测试验收应在中标方指定的建设场地对设备和软件进行调试后，经过</w:t>
      </w:r>
      <w:r>
        <w:rPr>
          <w:rFonts w:ascii="仿宋_GB2312" w:eastAsia="仿宋_GB2312" w:hAnsi="仿宋_GB2312" w:cs="仿宋_GB2312" w:hint="eastAsia"/>
          <w:sz w:val="28"/>
          <w:lang w:val="en-US" w:eastAsia="zh-CN"/>
        </w:rPr>
        <w:t>3</w:t>
      </w:r>
      <w:r>
        <w:rPr>
          <w:rFonts w:ascii="仿宋_GB2312" w:eastAsia="仿宋_GB2312" w:hAnsi="仿宋_GB2312" w:cs="仿宋_GB2312" w:hint="eastAsia"/>
          <w:sz w:val="28"/>
        </w:rPr>
        <w:t>个月的试运行，在招标方代表参加的情况下，依据验收方案中相关要求和技术指标对配套软件分别进行现场验收测试并形成现场测试报告。如果未能通过现场验收测试，验收将延期重新进行，由此增加的一切费用由中标方承担。</w:t>
      </w:r>
    </w:p>
    <w:p w14:paraId="2007FE3C">
      <w:pPr>
        <w:ind w:firstLine="560" w:firstLineChars="200"/>
        <w:rPr>
          <w:rFonts w:ascii="仿宋" w:eastAsia="仿宋" w:hAnsi="仿宋" w:cs="仿宋"/>
          <w:b/>
          <w:bCs/>
          <w:sz w:val="28"/>
          <w:szCs w:val="20"/>
        </w:rPr>
      </w:pPr>
      <w:r>
        <w:rPr>
          <w:rFonts w:ascii="仿宋" w:eastAsia="仿宋" w:hAnsi="仿宋" w:cs="仿宋" w:hint="eastAsia"/>
          <w:b/>
          <w:bCs/>
          <w:sz w:val="28"/>
          <w:szCs w:val="20"/>
        </w:rPr>
        <w:t>九、</w:t>
      </w:r>
      <w:r>
        <w:rPr>
          <w:rFonts w:ascii="仿宋" w:eastAsia="仿宋" w:hAnsi="仿宋" w:cs="仿宋" w:hint="eastAsia"/>
          <w:b/>
          <w:bCs/>
          <w:sz w:val="28"/>
          <w:szCs w:val="20"/>
          <w:lang w:val="en-US" w:eastAsia="zh-CN"/>
        </w:rPr>
        <w:t>其他</w:t>
      </w:r>
      <w:r>
        <w:rPr>
          <w:rFonts w:ascii="仿宋" w:eastAsia="仿宋" w:hAnsi="仿宋" w:cs="仿宋" w:hint="eastAsia"/>
          <w:b/>
          <w:bCs/>
          <w:sz w:val="28"/>
          <w:szCs w:val="20"/>
        </w:rPr>
        <w:t>要求</w:t>
      </w:r>
    </w:p>
    <w:p w14:paraId="0F1618B9">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1</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中标方需在重庆市温室气体站点新建气象网络和市电设备，并接入到方舱。方舱内配备工业除湿机。</w:t>
      </w:r>
    </w:p>
    <w:p w14:paraId="5CF75A81">
      <w:pPr>
        <w:keepNext w:val="0"/>
        <w:keepLines w:val="0"/>
        <w:widowControl/>
        <w:suppressLineNumbers w:val="0"/>
        <w:jc w:val="left"/>
        <w:rPr>
          <w:rFonts w:ascii="仿宋" w:eastAsia="仿宋" w:hAnsi="仿宋" w:cs="仿宋" w:hint="default"/>
          <w:sz w:val="28"/>
          <w:szCs w:val="20"/>
        </w:rPr>
      </w:pPr>
      <w:r>
        <w:rPr>
          <w:rFonts w:ascii="仿宋" w:eastAsia="仿宋" w:hAnsi="仿宋" w:cs="仿宋" w:hint="eastAsia"/>
          <w:sz w:val="28"/>
          <w:szCs w:val="20"/>
          <w:lang w:val="en-US" w:eastAsia="zh-CN"/>
        </w:rPr>
        <w:t>（2）温室气体观测站点防雷要满足《国家大气本底站防雷技术要求（试行）》（气测函〔</w:t>
      </w:r>
      <w:r>
        <w:rPr>
          <w:rFonts w:ascii="仿宋" w:eastAsia="仿宋" w:hAnsi="仿宋" w:cs="仿宋" w:hint="default"/>
          <w:sz w:val="28"/>
          <w:szCs w:val="20"/>
          <w:lang w:val="en-US" w:eastAsia="zh-CN"/>
        </w:rPr>
        <w:t>2025</w:t>
      </w:r>
      <w:r>
        <w:rPr>
          <w:rFonts w:ascii="仿宋" w:eastAsia="仿宋" w:hAnsi="仿宋" w:cs="仿宋" w:hint="eastAsia"/>
          <w:sz w:val="28"/>
          <w:szCs w:val="20"/>
          <w:lang w:val="en-US" w:eastAsia="zh-CN"/>
        </w:rPr>
        <w:t>〕</w:t>
      </w:r>
      <w:r>
        <w:rPr>
          <w:rFonts w:ascii="仿宋" w:eastAsia="仿宋" w:hAnsi="仿宋" w:cs="仿宋" w:hint="default"/>
          <w:sz w:val="28"/>
          <w:szCs w:val="20"/>
          <w:lang w:val="en-US" w:eastAsia="zh-CN"/>
        </w:rPr>
        <w:t xml:space="preserve">47 </w:t>
      </w:r>
      <w:r>
        <w:rPr>
          <w:rFonts w:ascii="仿宋" w:eastAsia="仿宋" w:hAnsi="仿宋" w:cs="仿宋" w:hint="eastAsia"/>
          <w:sz w:val="28"/>
          <w:szCs w:val="20"/>
          <w:lang w:val="en-US" w:eastAsia="zh-CN"/>
        </w:rPr>
        <w:t>号）要求，需提供防雷检测报告（质保期内需每年提供），如不满足及时整改。</w:t>
      </w:r>
    </w:p>
    <w:p w14:paraId="5CC72AC6">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（3）数据处理：</w:t>
      </w:r>
    </w:p>
    <w:p w14:paraId="0E0232D9">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 xml:space="preserve"> 数据生成：中标方需按照中国气象局温室气体相关数据要求，生成标准格式数据；</w:t>
      </w:r>
    </w:p>
    <w:p w14:paraId="52C6FBB6">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数据上传：中标方需满足FTP、消息的传输方式将数据上传至气象通信传输系统；</w:t>
      </w:r>
    </w:p>
    <w:p w14:paraId="0779D090">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数据解码：中标方需遵循重庆气象+大数据云平台技术要求，提供数据解码及加工处理程序，依托重庆气象+大数据云平台的加工流水线（DPL）部署运行，并向监控运维系统报送监控信息；</w:t>
      </w:r>
    </w:p>
    <w:p w14:paraId="744B73C0">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数据入库：中标方需遵循重庆气象+大数据云平台存储规范，将处理后的数据存储在重庆气象+大数据云平台的数据环境中；</w:t>
      </w:r>
    </w:p>
    <w:p w14:paraId="238ED0BD">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数据服务：中标方需遵循重庆气象+大数据云平台服务接口规范，对入库的数据提供标准服务接口，并通过重庆气象+大数据云平台的MUSIC接口网关发布。</w:t>
      </w:r>
    </w:p>
    <w:p w14:paraId="3A464AAD">
      <w:pPr>
        <w:spacing w:line="560" w:lineRule="exact"/>
        <w:ind w:firstLine="560" w:firstLineChars="200"/>
        <w:rPr>
          <w:rFonts w:ascii="仿宋_GB2312" w:eastAsia="仿宋_GB2312" w:hAnsi="仿宋_GB2312" w:cs="仿宋_GB2312" w:hint="eastAsia"/>
          <w:sz w:val="28"/>
        </w:rPr>
      </w:pPr>
    </w:p>
    <w:p w14:paraId="5DCA0CB2">
      <w:pPr>
        <w:ind w:firstLine="560" w:firstLineChars="200"/>
        <w:rPr>
          <w:rFonts w:ascii="仿宋" w:eastAsia="仿宋" w:hAnsi="仿宋" w:cs="仿宋"/>
          <w:sz w:val="28"/>
          <w:szCs w:val="20"/>
        </w:rPr>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5"/>
    </w:p>
    <w:p w:rsidR="00512026" w14:paraId="3E3CE489"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512026" w14:paraId="569D399F"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5C1D386C" w14:textId="7777777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12026" w14:paraId="4752E7E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512026" w14:paraId="0E35CC2B"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512026" w14:paraId="7ED86C4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512026" w14:paraId="036E5E3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32291AC8" w14:textId="77777777">
        <w:tblPrEx>
          <w:tblW w:w="8789" w:type="dxa"/>
          <w:tblLayout w:type="fixed"/>
          <w:tblLook w:val="04A0"/>
        </w:tblPrEx>
        <w:trPr>
          <w:cantSplit/>
        </w:trPr>
        <w:tc>
          <w:tcPr>
            <w:tcW w:w="8789" w:type="dxa"/>
            <w:gridSpan w:val="3"/>
            <w:vAlign w:val="center"/>
          </w:tcPr>
          <w:p w:rsidR="00512026" w14:paraId="7DFD54D9"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240DB3F0" w14:textId="77777777">
        <w:tblPrEx>
          <w:tblW w:w="8789" w:type="dxa"/>
          <w:tblLayout w:type="fixed"/>
          <w:tblLook w:val="04A0"/>
        </w:tblPrEx>
        <w:trPr>
          <w:cantSplit/>
        </w:trPr>
        <w:tc>
          <w:tcPr>
            <w:tcW w:w="544" w:type="dxa"/>
            <w:vAlign w:val="center"/>
          </w:tcPr>
          <w:p w:rsidR="00512026" w14:paraId="5544A1B8" w14:textId="77777777">
            <w:pPr>
              <w:numPr>
                <w:ilvl w:val="0"/>
                <w:numId w:val="13"/>
              </w:numPr>
              <w:rPr>
                <w:rFonts w:ascii="宋体" w:eastAsia="宋体" w:hAnsi="宋体" w:cs="Times New Roman"/>
                <w:sz w:val="18"/>
                <w:szCs w:val="18"/>
              </w:rPr>
            </w:pPr>
          </w:p>
        </w:tc>
        <w:tc>
          <w:tcPr>
            <w:tcW w:w="898" w:type="dxa"/>
            <w:vAlign w:val="center"/>
          </w:tcPr>
          <w:p w:rsidR="00512026" w:rsidP="000074F8" w14:paraId="2D5AB5C4" w14:textId="05627ED6">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.7</w:t>
            </w:r>
          </w:p>
        </w:tc>
        <w:tc>
          <w:tcPr>
            <w:tcW w:w="7347" w:type="dxa"/>
          </w:tcPr>
          <w:p w:rsidR="00512026" w14:paraId="347A845F" w14:textId="77777777">
            <w:pPr>
              <w:tabs>
                <w:tab w:val="left" w:pos="709"/>
              </w:tabs>
              <w:spacing w:line="360" w:lineRule="auto"/>
              <w:jc w:val="left"/>
              <w:rPr>
                <w:rFonts w:ascii="宋体" w:eastAsia="宋体" w:hAnsi="宋体" w:cs="微软雅黑"/>
                <w:b/>
                <w:color w:val="0000FF"/>
                <w:kern w:val="0"/>
                <w:sz w:val="18"/>
                <w:szCs w:val="18"/>
              </w:rPr>
            </w:pPr>
            <w:r>
              <w:rPr>
                <w:rFonts w:asciiTheme="minorEastAsia" w:hAnsiTheme="minorEastAsia" w:cstheme="minorEastAsia" w:hint="eastAsia"/>
                <w:kern w:val="0"/>
                <w:szCs w:val="21"/>
              </w:rPr>
              <w:t>高</w:t>
            </w:r>
            <w:r>
              <w:rPr>
                <w:rFonts w:asciiTheme="minorEastAsia" w:hAnsiTheme="minorEastAsia" w:cstheme="minorEastAsia" w:hint="eastAsia"/>
                <w:kern w:val="0"/>
                <w:szCs w:val="21"/>
              </w:rPr>
              <w:t>精度温室气体浓度观测系统需要提供至投标截止日仍有效的《气象专用技术装备使用许可证》。</w:t>
            </w:r>
          </w:p>
        </w:tc>
      </w:tr>
      <w:tr w14:paraId="2987CFC5" w14:textId="77777777">
        <w:tblPrEx>
          <w:tblW w:w="8789" w:type="dxa"/>
          <w:tblLayout w:type="fixed"/>
          <w:tblLook w:val="04A0"/>
        </w:tblPrEx>
        <w:trPr>
          <w:cantSplit/>
        </w:trPr>
        <w:tc>
          <w:tcPr>
            <w:tcW w:w="8789" w:type="dxa"/>
            <w:gridSpan w:val="3"/>
            <w:vAlign w:val="center"/>
          </w:tcPr>
          <w:p w:rsidR="00512026" w14:paraId="45D1C5FB"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1319FFD" w14:textId="77777777">
        <w:tblPrEx>
          <w:tblW w:w="8789" w:type="dxa"/>
          <w:tblLayout w:type="fixed"/>
          <w:tblLook w:val="04A0"/>
        </w:tblPrEx>
        <w:trPr>
          <w:cantSplit/>
        </w:trPr>
        <w:tc>
          <w:tcPr>
            <w:tcW w:w="544" w:type="dxa"/>
            <w:vAlign w:val="center"/>
          </w:tcPr>
          <w:p w:rsidR="00512026" w14:paraId="34F1AD69" w14:textId="77777777">
            <w:pPr>
              <w:numPr>
                <w:ilvl w:val="0"/>
                <w:numId w:val="13"/>
              </w:numPr>
              <w:rPr>
                <w:rFonts w:ascii="宋体" w:eastAsia="宋体" w:hAnsi="宋体" w:cs="Times New Roman"/>
                <w:sz w:val="18"/>
                <w:szCs w:val="18"/>
              </w:rPr>
            </w:pPr>
          </w:p>
        </w:tc>
        <w:tc>
          <w:tcPr>
            <w:tcW w:w="898" w:type="dxa"/>
            <w:vAlign w:val="center"/>
          </w:tcPr>
          <w:p w:rsidR="00512026" w14:paraId="3CAE53D5" w14:textId="77777777">
            <w:pPr>
              <w:jc w:val="center"/>
              <w:rPr>
                <w:rFonts w:ascii="宋体" w:eastAsia="宋体" w:hAnsi="宋体" w:cs="Times New Roman"/>
                <w:sz w:val="18"/>
                <w:szCs w:val="18"/>
              </w:rPr>
            </w:pPr>
            <w:r>
              <w:rPr>
                <w:rFonts w:ascii="宋体" w:eastAsia="宋体" w:hAnsi="宋体" w:cs="Times New Roman" w:hint="eastAsia"/>
                <w:sz w:val="18"/>
                <w:szCs w:val="18"/>
              </w:rPr>
              <w:t>4</w:t>
            </w:r>
          </w:p>
        </w:tc>
        <w:tc>
          <w:tcPr>
            <w:tcW w:w="7347" w:type="dxa"/>
            <w:vAlign w:val="center"/>
          </w:tcPr>
          <w:p w:rsidR="00512026" w14:paraId="40334A78" w14:textId="77777777">
            <w:pPr>
              <w:tabs>
                <w:tab w:val="left" w:pos="709"/>
              </w:tabs>
              <w:spacing w:line="360" w:lineRule="auto"/>
              <w:jc w:val="left"/>
              <w:rPr>
                <w:rFonts w:ascii="宋体" w:eastAsia="宋体" w:hAnsi="宋体" w:cs="Times New Roman"/>
                <w:sz w:val="18"/>
                <w:szCs w:val="18"/>
              </w:rPr>
            </w:pPr>
            <w:r>
              <w:rPr>
                <w:rFonts w:asciiTheme="minorEastAsia" w:hAnsiTheme="minorEastAsia" w:cs="仿宋" w:hint="eastAsia"/>
                <w:highlight w:val="yellow"/>
              </w:rPr>
              <w:t>高精度温室气体浓度观测系统</w:t>
            </w:r>
            <w:r>
              <w:rPr>
                <w:rFonts w:asciiTheme="minorEastAsia" w:hAnsiTheme="minorEastAsia" w:cs="仿宋" w:hint="eastAsia"/>
                <w:highlight w:val="yellow"/>
              </w:rPr>
              <w:t>6</w:t>
            </w:r>
            <w:r>
              <w:rPr>
                <w:rFonts w:asciiTheme="minorEastAsia" w:hAnsiTheme="minorEastAsia" w:cs="仿宋" w:hint="eastAsia"/>
                <w:highlight w:val="yellow"/>
              </w:rPr>
              <w:t>年</w:t>
            </w:r>
            <w:r>
              <w:rPr>
                <w:rFonts w:asciiTheme="minorEastAsia" w:hAnsiTheme="minorEastAsia" w:cs="仿宋" w:hint="eastAsia"/>
                <w:highlight w:val="yellow"/>
              </w:rPr>
              <w:t>*</w:t>
            </w:r>
          </w:p>
        </w:tc>
      </w:tr>
    </w:tbl>
    <w:p w:rsidR="00512026" w14:paraId="27E61A70"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512026" w14:paraId="416A59B3" w14:textId="77777777"/>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14:paraId="24FB625D">
      <w:p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第九章  采购合同</w:t>
      </w:r>
    </w:p>
    <w:p w14:paraId="09AF25A4">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14:paraId="3D63D76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5B413C7B">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170C9C91">
      <w:pPr>
        <w:rPr>
          <w:rFonts w:ascii="宋体" w:eastAsia="宋体" w:hAnsi="宋体" w:cs="宋体"/>
          <w:b/>
          <w:bCs/>
          <w:spacing w:val="-20"/>
          <w:kern w:val="44"/>
          <w:sz w:val="40"/>
          <w:szCs w:val="40"/>
        </w:rPr>
      </w:pPr>
    </w:p>
    <w:p w14:paraId="591140D1">
      <w:pPr>
        <w:rPr>
          <w:rFonts w:ascii="宋体" w:eastAsia="宋体" w:hAnsi="宋体" w:cs="宋体"/>
          <w:b/>
          <w:bCs/>
          <w:spacing w:val="-20"/>
          <w:kern w:val="44"/>
          <w:sz w:val="40"/>
          <w:szCs w:val="40"/>
        </w:rPr>
      </w:pPr>
    </w:p>
    <w:p w14:paraId="39FEE9DF">
      <w:pPr>
        <w:rPr>
          <w:rFonts w:ascii="宋体" w:eastAsia="宋体" w:hAnsi="宋体" w:cs="宋体"/>
          <w:b/>
          <w:bCs/>
          <w:spacing w:val="-20"/>
          <w:kern w:val="44"/>
          <w:sz w:val="40"/>
          <w:szCs w:val="40"/>
        </w:rPr>
      </w:pPr>
    </w:p>
    <w:p w14:paraId="0450AC74">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0C70008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57C0402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4F11FFE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055F8FA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2EF72878">
      <w:pPr>
        <w:rPr>
          <w:rFonts w:ascii="Times New Roman" w:eastAsia="宋体" w:hAnsi="Times New Roman" w:cs="Times New Roman"/>
          <w:szCs w:val="20"/>
        </w:rPr>
      </w:pPr>
    </w:p>
    <w:p w14:paraId="051989C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24B5800A">
      <w:pPr>
        <w:rPr>
          <w:rFonts w:ascii="Times New Roman" w:eastAsia="黑体" w:hAnsi="Times New Roman" w:cs="Times New Roman"/>
          <w:sz w:val="44"/>
          <w:szCs w:val="44"/>
        </w:rPr>
      </w:pPr>
    </w:p>
    <w:p w14:paraId="7007D182">
      <w:pPr>
        <w:rPr>
          <w:rFonts w:ascii="Times New Roman" w:eastAsia="黑体" w:hAnsi="Times New Roman" w:cs="Times New Roman"/>
          <w:sz w:val="44"/>
          <w:szCs w:val="44"/>
        </w:rPr>
      </w:pPr>
    </w:p>
    <w:p w14:paraId="71E749BB">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BD881CB">
      <w:pPr>
        <w:ind w:firstLine="640" w:firstLineChars="200"/>
        <w:rPr>
          <w:rFonts w:ascii="仿宋_GB2312" w:eastAsia="仿宋_GB2312" w:hAnsi="仿宋_GB2312" w:cs="仿宋_GB2312"/>
          <w:sz w:val="32"/>
          <w:szCs w:val="32"/>
        </w:rPr>
      </w:pPr>
    </w:p>
    <w:p w14:paraId="534A196A">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FBC0EFD">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64AE72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6662BBB">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0C040E25">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7"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7"/>
    </w:p>
    <w:p w14:paraId="417A91F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746DE82A">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0FE9469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4E652D6">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F887C80">
      <w:pPr>
        <w:spacing w:line="400" w:lineRule="exact"/>
        <w:rPr>
          <w:rFonts w:ascii="Times New Roman" w:eastAsia="宋体" w:hAnsi="Times New Roman" w:cs="Times New Roman"/>
          <w:szCs w:val="20"/>
        </w:rPr>
      </w:pPr>
    </w:p>
    <w:p w14:paraId="50CAF94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F8F1460">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526764">
      <w:pPr>
        <w:numPr>
          <w:ilvl w:val="0"/>
          <w:numId w:val="6"/>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787E2D3F">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0479C2C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105A9F6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6B19327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6F1157D2">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7ED057A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2BCC299D">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3D01AD7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70814191">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7600036C">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41C729E5">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35B1096A">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3E655B1E">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15EB577C">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1819D8BF">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57646F5">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397683AA">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3383995F">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760C910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4EC0884F">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CA36313">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D1E40AC">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36E4180">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90B4CDF">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B1D9CB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1E65E4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3D9FAD0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4EBFCC5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063DA57C">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54E322D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695087D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1712708">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31170E6E">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409B37BE">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22758BBC">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27230D55">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76D4E4A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47C92AB">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2346651">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6805CE0">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5836C7B3">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D98BC1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2725D5E6">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077DEE6">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AEBD435">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2915AF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057A5078">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22ACCE6A">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9C8B73C">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9A09DD4">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304A73A">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3D5E276C">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4D7CA1B">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D91473B">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2F364D65">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1E214BF0">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11EDD5C9">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3F778DD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15D75EF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1262640C">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545752EA">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7A79C25A">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pPr>
        <w:tabs>
          <w:tab w:val="left" w:pos="1573"/>
        </w:tabs>
        <w:adjustRightInd w:val="0"/>
        <w:snapToGrid w:val="0"/>
        <w:spacing w:line="400" w:lineRule="exact"/>
        <w:ind w:firstLine="412" w:firstLineChars="196"/>
        <w:jc w:val="left"/>
        <w:rPr>
          <w:rFonts w:ascii="宋体" w:hAnsi="宋体" w:hint="eastAsia"/>
          <w:szCs w:val="21"/>
          <w:highlight w:val="yellow"/>
        </w:rPr>
      </w:pPr>
      <w:r>
        <w:rPr>
          <w:rFonts w:ascii="宋体" w:hAnsi="宋体" w:hint="eastAsia"/>
          <w:szCs w:val="21"/>
          <w:highlight w:val="yellow"/>
        </w:rPr>
        <w:t>（1）合同生效后付款：双方签署合同后20个工作日内，乙方向甲方开具合同总金额的</w:t>
      </w:r>
      <w:r>
        <w:rPr>
          <w:rFonts w:ascii="宋体" w:hAnsi="宋体" w:hint="eastAsia"/>
          <w:szCs w:val="21"/>
          <w:highlight w:val="yellow"/>
          <w:lang w:val="en-US" w:eastAsia="zh-CN"/>
        </w:rPr>
        <w:t>90</w:t>
      </w:r>
      <w:r>
        <w:rPr>
          <w:rFonts w:ascii="宋体" w:hAnsi="宋体" w:hint="eastAsia"/>
          <w:szCs w:val="21"/>
          <w:highlight w:val="yellow"/>
        </w:rPr>
        <w:t>% 即人民币    元（大写）    （小写） 的增值税普通发票，同时甲方向乙方支付相应金额款项。</w:t>
      </w:r>
    </w:p>
    <w:p>
      <w:pPr>
        <w:tabs>
          <w:tab w:val="left" w:pos="1573"/>
        </w:tabs>
        <w:adjustRightInd w:val="0"/>
        <w:snapToGrid w:val="0"/>
        <w:spacing w:line="400" w:lineRule="exact"/>
        <w:ind w:firstLine="412" w:firstLineChars="196"/>
        <w:jc w:val="left"/>
        <w:rPr>
          <w:rFonts w:ascii="宋体" w:hAnsi="宋体" w:hint="eastAsia"/>
          <w:szCs w:val="21"/>
          <w:highlight w:val="yellow"/>
        </w:rPr>
      </w:pPr>
      <w:r>
        <w:rPr>
          <w:rFonts w:ascii="宋体" w:hAnsi="宋体" w:hint="eastAsia"/>
          <w:szCs w:val="21"/>
          <w:highlight w:val="yellow"/>
        </w:rPr>
        <w:t xml:space="preserve">（2）到货后付款：设备到货、签收后 20个工作日内，乙方向甲方开具合同总金额的 </w:t>
      </w:r>
      <w:r>
        <w:rPr>
          <w:rFonts w:ascii="宋体" w:hAnsi="宋体" w:hint="eastAsia"/>
          <w:szCs w:val="21"/>
          <w:highlight w:val="yellow"/>
          <w:lang w:val="en-US" w:eastAsia="zh-CN"/>
        </w:rPr>
        <w:t>1</w:t>
      </w:r>
      <w:r>
        <w:rPr>
          <w:rFonts w:ascii="宋体" w:hAnsi="宋体" w:hint="eastAsia"/>
          <w:szCs w:val="21"/>
          <w:highlight w:val="yellow"/>
        </w:rPr>
        <w:t>0% 即人民币    元（大写）    元（小写） 的增值税普通发票，同时甲方向乙方支付相应金额款项。</w:t>
      </w:r>
    </w:p>
    <w:p w14:paraId="121AC4F0">
      <w:pPr>
        <w:tabs>
          <w:tab w:val="left" w:pos="1573"/>
        </w:tabs>
        <w:adjustRightInd w:val="0"/>
        <w:snapToGrid w:val="0"/>
        <w:spacing w:line="400" w:lineRule="exact"/>
        <w:ind w:firstLine="412" w:firstLineChars="196"/>
        <w:jc w:val="left"/>
        <w:rPr>
          <w:rFonts w:ascii="宋体" w:hAnsi="宋体" w:hint="eastAsia"/>
          <w:szCs w:val="21"/>
          <w:highlight w:val="yellow"/>
        </w:rPr>
      </w:pPr>
      <w:r>
        <w:rPr>
          <w:rFonts w:ascii="宋体" w:hAnsi="宋体" w:hint="eastAsia"/>
          <w:szCs w:val="21"/>
          <w:highlight w:val="yellow"/>
        </w:rPr>
        <w:t>（3）乙方在合同签订后20个工作日内，向甲方提供合同总金额</w:t>
      </w:r>
      <w:r>
        <w:rPr>
          <w:rFonts w:ascii="宋体" w:hAnsi="宋体" w:hint="eastAsia"/>
          <w:szCs w:val="21"/>
          <w:highlight w:val="yellow"/>
          <w:lang w:val="en-US" w:eastAsia="zh-CN"/>
        </w:rPr>
        <w:t>10</w:t>
      </w:r>
      <w:r>
        <w:rPr>
          <w:rFonts w:ascii="宋体" w:hAnsi="宋体" w:hint="eastAsia"/>
          <w:szCs w:val="21"/>
          <w:highlight w:val="yellow"/>
        </w:rPr>
        <w:t xml:space="preserve">% 即人民币    元（大写）    </w:t>
      </w:r>
      <w:r>
        <w:rPr>
          <w:rFonts w:ascii="宋体" w:hAnsi="宋体" w:hint="eastAsia"/>
          <w:szCs w:val="21"/>
          <w:highlight w:val="yellow"/>
          <w:lang w:val="en-US" w:eastAsia="zh-CN"/>
        </w:rPr>
        <w:t>元</w:t>
      </w:r>
      <w:r>
        <w:rPr>
          <w:rFonts w:ascii="宋体" w:hAnsi="宋体" w:hint="eastAsia"/>
          <w:szCs w:val="21"/>
          <w:highlight w:val="yellow"/>
        </w:rPr>
        <w:t>（小写） 的银行履约保函。验收合格一年后，甲方将银行履约保函退还乙方。</w:t>
      </w:r>
    </w:p>
    <w:p w14:paraId="2BAE439C">
      <w:pPr>
        <w:numPr>
          <w:ilvl w:val="0"/>
          <w:numId w:val="5"/>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0960B58E">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0383242">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F8DF5C0">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2BBD59E4">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3F34B3AD">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28B5F8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2B770949">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0A4C2D58">
      <w:pPr>
        <w:adjustRightInd w:val="0"/>
        <w:snapToGrid w:val="0"/>
        <w:spacing w:line="400" w:lineRule="exact"/>
        <w:ind w:firstLine="420" w:firstLineChars="200"/>
        <w:rPr>
          <w:rFonts w:ascii="宋体" w:eastAsia="宋体" w:hAnsi="宋体" w:cs="宋体" w:hint="eastAsia"/>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6BE71279">
      <w:pPr>
        <w:tabs>
          <w:tab w:val="left" w:pos="1573"/>
        </w:tabs>
        <w:adjustRightInd w:val="0"/>
        <w:snapToGrid w:val="0"/>
        <w:spacing w:line="400" w:lineRule="exact"/>
        <w:ind w:firstLine="412" w:firstLineChars="196"/>
        <w:jc w:val="left"/>
        <w:rPr>
          <w:rFonts w:ascii="宋体" w:hAnsi="宋体" w:hint="eastAsia"/>
          <w:szCs w:val="21"/>
          <w:highlight w:val="yellow"/>
        </w:rPr>
      </w:pPr>
      <w:r>
        <w:rPr>
          <w:rFonts w:ascii="宋体" w:hAnsi="宋体" w:cs="宋体" w:hint="eastAsia"/>
          <w:bCs/>
          <w:szCs w:val="21"/>
          <w:highlight w:val="yellow"/>
        </w:rPr>
        <w:t>（6）</w:t>
      </w:r>
      <w:r>
        <w:rPr>
          <w:rFonts w:ascii="宋体" w:hAnsi="宋体" w:hint="eastAsia"/>
          <w:szCs w:val="21"/>
          <w:highlight w:val="yellow"/>
        </w:rPr>
        <w:t>延期交货或延期付款的违约责任：如乙方延期交货或甲方延期付款，每逾期一天，违约方应按延期交货所折合的金额或延期付款金额每天</w:t>
      </w:r>
      <w:r>
        <w:rPr>
          <w:rFonts w:ascii="宋体" w:hAnsi="宋体" w:hint="eastAsia"/>
          <w:szCs w:val="21"/>
          <w:highlight w:val="yellow"/>
          <w:u w:val="single"/>
        </w:rPr>
        <w:t xml:space="preserve">   1   </w:t>
      </w:r>
      <w:r>
        <w:rPr>
          <w:rFonts w:ascii="宋体" w:hAnsi="宋体" w:hint="eastAsia"/>
          <w:szCs w:val="21"/>
          <w:highlight w:val="yellow"/>
        </w:rPr>
        <w:t>‰ 的比例向对方支付违约金，但该违约金累计不超过合同总金额的</w:t>
      </w:r>
      <w:r>
        <w:rPr>
          <w:rFonts w:ascii="宋体" w:hAnsi="宋体" w:hint="eastAsia"/>
          <w:szCs w:val="21"/>
          <w:highlight w:val="yellow"/>
          <w:u w:val="single"/>
        </w:rPr>
        <w:t xml:space="preserve">   5   </w:t>
      </w:r>
      <w:r>
        <w:rPr>
          <w:rFonts w:ascii="宋体" w:hAnsi="宋体" w:hint="eastAsia"/>
          <w:szCs w:val="21"/>
          <w:highlight w:val="yellow"/>
        </w:rPr>
        <w:t>%；上述逾期超过</w:t>
      </w:r>
      <w:r>
        <w:rPr>
          <w:rFonts w:ascii="宋体" w:hAnsi="宋体" w:hint="eastAsia"/>
          <w:szCs w:val="21"/>
          <w:highlight w:val="yellow"/>
          <w:u w:val="single"/>
        </w:rPr>
        <w:t xml:space="preserve">  60  </w:t>
      </w:r>
      <w:r>
        <w:rPr>
          <w:rFonts w:ascii="宋体" w:hAnsi="宋体" w:hint="eastAsia"/>
          <w:szCs w:val="21"/>
          <w:highlight w:val="yellow"/>
        </w:rPr>
        <w:t>天且成套集成的货物已交货套数未达合同约定套数90%的以及单套货物未能全部交足的，守约方有权解除合同，并要求违约方赔偿由此造成的损失。</w:t>
      </w:r>
    </w:p>
    <w:p w14:paraId="62C3FD56">
      <w:pPr>
        <w:adjustRightInd w:val="0"/>
        <w:snapToGrid w:val="0"/>
        <w:spacing w:line="400" w:lineRule="exact"/>
        <w:ind w:firstLine="420" w:firstLineChars="200"/>
        <w:rPr>
          <w:rFonts w:ascii="宋体" w:eastAsia="宋体" w:hAnsi="宋体" w:cs="宋体"/>
          <w:szCs w:val="21"/>
          <w:u w:val="single"/>
        </w:rPr>
      </w:pPr>
      <w:r>
        <w:rPr>
          <w:rFonts w:ascii="宋体" w:hAnsi="宋体" w:cs="宋体" w:hint="eastAsia"/>
          <w:bCs/>
          <w:szCs w:val="21"/>
          <w:highlight w:val="yellow"/>
        </w:rPr>
        <w:t>（7）</w:t>
      </w:r>
      <w:r>
        <w:rPr>
          <w:rFonts w:ascii="宋体" w:hAnsi="宋体" w:hint="eastAsia"/>
          <w:szCs w:val="21"/>
          <w:highlight w:val="yellow"/>
        </w:rPr>
        <w:t>其它违约责任：违约方应就每一单项违约向对方支付合同总金额</w:t>
      </w:r>
      <w:r>
        <w:rPr>
          <w:rFonts w:ascii="宋体" w:hAnsi="宋体" w:hint="eastAsia"/>
          <w:szCs w:val="21"/>
          <w:highlight w:val="yellow"/>
          <w:u w:val="single"/>
        </w:rPr>
        <w:t xml:space="preserve">  3  </w:t>
      </w:r>
      <w:r>
        <w:rPr>
          <w:rFonts w:ascii="宋体" w:hAnsi="宋体" w:hint="eastAsia"/>
          <w:szCs w:val="21"/>
          <w:highlight w:val="yellow"/>
        </w:rPr>
        <w:t>‰的违约金</w:t>
      </w:r>
      <w:r>
        <w:rPr>
          <w:rFonts w:ascii="宋体" w:eastAsia="宋体" w:hAnsi="宋体" w:cs="宋体" w:hint="eastAsia"/>
          <w:szCs w:val="21"/>
          <w:u w:val="single"/>
        </w:rPr>
        <w:t xml:space="preserve">                </w:t>
      </w:r>
    </w:p>
    <w:p w14:paraId="58401FF5">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3F8CF472">
      <w:pPr>
        <w:numPr>
          <w:ilvl w:val="0"/>
          <w:numId w:val="7"/>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5218370D">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77F19D5B">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8E60AA5">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DA73510">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4CF642C6">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3AD39892">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0F74C33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07DD23B3">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1FD784E">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329CFEF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09149D2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49CD1A4">
      <w:pPr>
        <w:adjustRightInd w:val="0"/>
        <w:snapToGrid w:val="0"/>
        <w:spacing w:line="400" w:lineRule="exact"/>
        <w:rPr>
          <w:rFonts w:ascii="宋体" w:eastAsia="宋体" w:hAnsi="宋体" w:cs="Times New Roman" w:hint="eastAsia"/>
          <w:bCs/>
          <w:szCs w:val="21"/>
          <w:u w:val="single"/>
        </w:rPr>
      </w:pPr>
      <w:r>
        <w:rPr>
          <w:rFonts w:ascii="宋体" w:eastAsia="宋体" w:hAnsi="宋体" w:cs="Times New Roman" w:hint="eastAsia"/>
          <w:bCs/>
          <w:szCs w:val="21"/>
        </w:rPr>
        <w:t xml:space="preserve">                       </w:t>
      </w:r>
      <w:r>
        <w:rPr>
          <w:rFonts w:ascii="Wingdings" w:eastAsia="宋体" w:hAnsi="Wingdings" w:cs="宋体"/>
          <w:szCs w:val="21"/>
        </w:rPr>
        <w:sym w:font="Wingdings" w:char="F0FE"/>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46F8AA56">
      <w:pPr>
        <w:pStyle w:val="12"/>
        <w:spacing w:line="400" w:lineRule="exact"/>
        <w:rPr>
          <w:rFonts w:ascii="宋体" w:hAnsi="宋体" w:hint="eastAsia"/>
          <w:highlight w:val="yellow"/>
        </w:rPr>
      </w:pPr>
      <w:r>
        <w:rPr>
          <w:rFonts w:ascii="Calibri" w:hAnsi="Calibri" w:cs="Calibri"/>
          <w:highlight w:val="yellow"/>
        </w:rPr>
        <w:t>①</w:t>
      </w:r>
      <w:r>
        <w:rPr>
          <w:rFonts w:ascii="宋体" w:hAnsi="宋体" w:hint="eastAsia"/>
          <w:highlight w:val="yellow"/>
        </w:rPr>
        <w:t>出厂测试验收：由乙方提出申请验收时间和验收方式，甲方同意后安排用户代表参与测试验收或委托第三方机构进行检测验收。</w:t>
      </w:r>
    </w:p>
    <w:p w14:paraId="6AB8B621">
      <w:pPr>
        <w:adjustRightInd w:val="0"/>
        <w:snapToGrid w:val="0"/>
        <w:spacing w:line="400" w:lineRule="exact"/>
        <w:ind w:firstLine="420" w:firstLineChars="200"/>
        <w:rPr>
          <w:rFonts w:ascii="宋体" w:hAnsi="宋体" w:hint="eastAsia"/>
          <w:bCs/>
          <w:szCs w:val="21"/>
          <w:u w:val="single"/>
        </w:rPr>
      </w:pPr>
      <w:r>
        <w:rPr>
          <w:rFonts w:ascii="Calibri" w:hAnsi="Calibri" w:cs="Calibri"/>
          <w:highlight w:val="yellow"/>
        </w:rPr>
        <w:t>②</w:t>
      </w:r>
      <w:r>
        <w:rPr>
          <w:rFonts w:ascii="Calibri" w:hAnsi="Calibri" w:cs="Calibri" w:hint="eastAsia"/>
          <w:highlight w:val="yellow"/>
        </w:rPr>
        <w:t>现场测试验收：乙方完成设备安装调试后，向甲方提出现场测试验收申请，甲方同意后安排现场测试和专家评审验收。</w:t>
      </w:r>
    </w:p>
    <w:p w14:paraId="5471659D">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45857A23">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41E440D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323C8C9A">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0417FD8B">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0D2D3B">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11EF9F5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0BA92F5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AF4DAB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16D4389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470B3FB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47C77B9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B44082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6FB80FC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62FC54BA">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1843109">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2943422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02AA8B5E">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113AEFB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5B7D9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5957BC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4B575FD0">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4104A6FB">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1FE53021">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05D84F3F">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0E9D8B56">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11E701F4">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3B6AFED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4A1C59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DAF2E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17E71A6D">
            <w:pPr>
              <w:adjustRightInd w:val="0"/>
              <w:snapToGrid w:val="0"/>
              <w:spacing w:line="300" w:lineRule="exact"/>
              <w:jc w:val="center"/>
              <w:rPr>
                <w:rFonts w:ascii="Times New Roman" w:eastAsia="宋体" w:hAnsi="Times New Roman" w:cs="Times New Roman"/>
                <w:spacing w:val="20"/>
                <w:szCs w:val="21"/>
              </w:rPr>
            </w:pPr>
          </w:p>
        </w:tc>
      </w:tr>
      <w:tr w14:paraId="6991130C">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66ED59A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5C73412">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40A637B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2916D48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E875CE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0EFFD392">
            <w:pPr>
              <w:adjustRightInd w:val="0"/>
              <w:snapToGrid w:val="0"/>
              <w:spacing w:line="300" w:lineRule="exact"/>
              <w:jc w:val="center"/>
              <w:rPr>
                <w:rFonts w:ascii="Times New Roman" w:eastAsia="宋体" w:hAnsi="Times New Roman" w:cs="Times New Roman"/>
                <w:szCs w:val="21"/>
              </w:rPr>
            </w:pPr>
          </w:p>
        </w:tc>
      </w:tr>
      <w:tr w14:paraId="030C6427">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79BC5E9">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74A6232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5A7411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369D6D49">
            <w:pPr>
              <w:adjustRightInd w:val="0"/>
              <w:snapToGrid w:val="0"/>
              <w:spacing w:line="300" w:lineRule="exact"/>
              <w:jc w:val="center"/>
              <w:rPr>
                <w:rFonts w:ascii="Times New Roman" w:eastAsia="宋体" w:hAnsi="Times New Roman" w:cs="Times New Roman"/>
                <w:spacing w:val="20"/>
                <w:szCs w:val="21"/>
              </w:rPr>
            </w:pPr>
          </w:p>
        </w:tc>
      </w:tr>
      <w:tr w14:paraId="1CE4D6C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4ACD2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00DC967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A6D5B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740A2925">
            <w:pPr>
              <w:adjustRightInd w:val="0"/>
              <w:snapToGrid w:val="0"/>
              <w:spacing w:line="300" w:lineRule="exact"/>
              <w:jc w:val="center"/>
              <w:rPr>
                <w:rFonts w:ascii="Times New Roman" w:eastAsia="宋体" w:hAnsi="Times New Roman" w:cs="Times New Roman"/>
                <w:spacing w:val="20"/>
                <w:szCs w:val="21"/>
              </w:rPr>
            </w:pPr>
          </w:p>
        </w:tc>
      </w:tr>
      <w:tr w14:paraId="73A75C0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A618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5DE4155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56C8C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1BA1A2D7">
            <w:pPr>
              <w:adjustRightInd w:val="0"/>
              <w:snapToGrid w:val="0"/>
              <w:spacing w:line="300" w:lineRule="exact"/>
              <w:jc w:val="center"/>
              <w:rPr>
                <w:rFonts w:ascii="Times New Roman" w:eastAsia="宋体" w:hAnsi="Times New Roman" w:cs="Times New Roman"/>
                <w:spacing w:val="20"/>
                <w:szCs w:val="21"/>
              </w:rPr>
            </w:pPr>
          </w:p>
        </w:tc>
      </w:tr>
      <w:tr w14:paraId="464AC7D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74E7A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22CA9A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7061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56A7BDA8">
            <w:pPr>
              <w:adjustRightInd w:val="0"/>
              <w:snapToGrid w:val="0"/>
              <w:spacing w:line="300" w:lineRule="exact"/>
              <w:jc w:val="center"/>
              <w:rPr>
                <w:rFonts w:ascii="Times New Roman" w:eastAsia="宋体" w:hAnsi="Times New Roman" w:cs="Times New Roman"/>
                <w:spacing w:val="20"/>
                <w:szCs w:val="21"/>
              </w:rPr>
            </w:pPr>
          </w:p>
        </w:tc>
      </w:tr>
      <w:tr w14:paraId="2708AD1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908E5D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4941CD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51460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3C9ABC5D">
            <w:pPr>
              <w:adjustRightInd w:val="0"/>
              <w:snapToGrid w:val="0"/>
              <w:spacing w:line="300" w:lineRule="exact"/>
              <w:jc w:val="center"/>
              <w:rPr>
                <w:rFonts w:ascii="Times New Roman" w:eastAsia="宋体" w:hAnsi="Times New Roman" w:cs="Times New Roman"/>
                <w:spacing w:val="20"/>
                <w:szCs w:val="21"/>
              </w:rPr>
            </w:pPr>
          </w:p>
        </w:tc>
      </w:tr>
      <w:tr w14:paraId="6CA1D1D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B6CCB4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887859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2059E3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70DE8FD7">
            <w:pPr>
              <w:adjustRightInd w:val="0"/>
              <w:snapToGrid w:val="0"/>
              <w:spacing w:line="300" w:lineRule="exact"/>
              <w:jc w:val="center"/>
              <w:rPr>
                <w:rFonts w:ascii="Times New Roman" w:eastAsia="宋体" w:hAnsi="Times New Roman" w:cs="Times New Roman"/>
                <w:spacing w:val="20"/>
                <w:szCs w:val="21"/>
              </w:rPr>
            </w:pPr>
          </w:p>
        </w:tc>
      </w:tr>
      <w:tr w14:paraId="3A114EC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FC50B1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3B444B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F39B5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7C907E62">
            <w:pPr>
              <w:adjustRightInd w:val="0"/>
              <w:snapToGrid w:val="0"/>
              <w:spacing w:line="300" w:lineRule="exact"/>
              <w:jc w:val="center"/>
              <w:rPr>
                <w:rFonts w:ascii="Times New Roman" w:eastAsia="宋体" w:hAnsi="Times New Roman" w:cs="Times New Roman"/>
                <w:spacing w:val="20"/>
                <w:szCs w:val="21"/>
              </w:rPr>
            </w:pPr>
          </w:p>
        </w:tc>
      </w:tr>
      <w:tr w14:paraId="193F294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036B3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21615A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EE67D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33459B8C">
            <w:pPr>
              <w:adjustRightInd w:val="0"/>
              <w:snapToGrid w:val="0"/>
              <w:spacing w:line="300" w:lineRule="exact"/>
              <w:jc w:val="center"/>
              <w:rPr>
                <w:rFonts w:ascii="Times New Roman" w:eastAsia="宋体" w:hAnsi="Times New Roman" w:cs="Times New Roman"/>
                <w:spacing w:val="20"/>
                <w:szCs w:val="21"/>
              </w:rPr>
            </w:pPr>
          </w:p>
        </w:tc>
      </w:tr>
      <w:tr w14:paraId="3D41FFE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31BE2FD">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0E71045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C97783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5B9BE975">
            <w:pPr>
              <w:adjustRightInd w:val="0"/>
              <w:snapToGrid w:val="0"/>
              <w:spacing w:line="300" w:lineRule="exact"/>
              <w:jc w:val="center"/>
              <w:rPr>
                <w:rFonts w:ascii="Times New Roman" w:eastAsia="宋体" w:hAnsi="Times New Roman" w:cs="Times New Roman"/>
                <w:spacing w:val="20"/>
                <w:szCs w:val="21"/>
              </w:rPr>
            </w:pPr>
          </w:p>
        </w:tc>
      </w:tr>
      <w:tr w14:paraId="5F45335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0AA166C">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73177E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5751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369627EF">
            <w:pPr>
              <w:adjustRightInd w:val="0"/>
              <w:snapToGrid w:val="0"/>
              <w:spacing w:line="300" w:lineRule="exact"/>
              <w:jc w:val="center"/>
              <w:rPr>
                <w:rFonts w:ascii="Times New Roman" w:eastAsia="宋体" w:hAnsi="Times New Roman" w:cs="Times New Roman"/>
                <w:spacing w:val="20"/>
                <w:szCs w:val="21"/>
              </w:rPr>
            </w:pPr>
          </w:p>
        </w:tc>
      </w:tr>
      <w:tr w14:paraId="1C540CC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0032553">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F519F9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8F7940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0B5FED49">
            <w:pPr>
              <w:adjustRightInd w:val="0"/>
              <w:snapToGrid w:val="0"/>
              <w:spacing w:line="300" w:lineRule="exact"/>
              <w:jc w:val="center"/>
              <w:rPr>
                <w:rFonts w:ascii="Times New Roman" w:eastAsia="宋体" w:hAnsi="Times New Roman" w:cs="Times New Roman"/>
                <w:spacing w:val="20"/>
                <w:szCs w:val="21"/>
              </w:rPr>
            </w:pPr>
          </w:p>
        </w:tc>
      </w:tr>
      <w:tr w14:paraId="146AE21A">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49728806">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0828000B">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8" w:name="_Toc27624"/>
      <w:r>
        <w:rPr>
          <w:rFonts w:ascii="黑体" w:eastAsia="黑体" w:hAnsi="黑体" w:cs="Times New Roman" w:hint="eastAsia"/>
          <w:sz w:val="28"/>
          <w:szCs w:val="28"/>
        </w:rPr>
        <w:t>第二节 政府采购合同通用条款</w:t>
      </w:r>
      <w:bookmarkEnd w:id="68"/>
    </w:p>
    <w:p w14:paraId="64484A4C">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7AC5E5A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76744B6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76DB36D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3E901E1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37F0B5F">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1FB197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020A83B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5D8EAF9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78B4B06C">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454608A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364325C">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3590F5A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5D565AEF">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03529CDA">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555B64EB">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CD91A9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198062B5">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640151F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21ECD966">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237D559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6AB0670F">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4378A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67E3926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3835C0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52A8C7E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7C0D21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B0A0DEA">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756EB2D3">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55EA2072">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3BD0CC4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67DE3306">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2023BAA">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3AB5932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768EBDA4">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5152AA59">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5D542C1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4342C4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DEBA4F">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7624489B">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7D2DBA4B">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2606FB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A9929F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5E3CAE9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20CFC2C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2C4A0BF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15C8FE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5DABDA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6C856CB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5E5AEAE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EE2E80B">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5B12FFAF">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65D48C5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2AD63B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610804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54C696BF">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4E8B4CE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9"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9"/>
      <w:r>
        <w:rPr>
          <w:rFonts w:ascii="宋体" w:eastAsia="宋体" w:hAnsi="宋体" w:cs="Times New Roman" w:hint="eastAsia"/>
          <w:szCs w:val="21"/>
        </w:rPr>
        <w:t>。</w:t>
      </w:r>
    </w:p>
    <w:p w14:paraId="4F56C2EE">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2849275E">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4429FE72">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008CF0E">
      <w:pPr>
        <w:numPr>
          <w:ilvl w:val="1"/>
          <w:numId w:val="10"/>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5370B888">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3EF46E1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6AC9302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18A14C4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856C3B9">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7A8060D6">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66B9AFC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7F0ACFE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3A85B2D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F6FA4B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2F1A309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227297EE">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3524EE6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4FDDDA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ED597AE">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0872214">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4E78AF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56B1C75B">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39DB706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E76074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49FA57F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07C78CB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198FAD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4DC852BC">
      <w:pPr>
        <w:numPr>
          <w:ilvl w:val="0"/>
          <w:numId w:val="11"/>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5BB6061">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216AFD5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A9A6F5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3878D81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73ADD4A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9DF733F">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28E9FC05">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29C838DE">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338C5EF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2A4F7352">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67A92112">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4E1BD64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457564D8">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5DEBBC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34A9547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67A0A6B">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1B5E6A7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ADC616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2A6DDD0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40BA3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4FBF82D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ABBBB85">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1BA831BD">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23049836">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1C3DBDF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B8E504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18473E25">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E29B5A2">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135DF4C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59B3BD2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47D7A6B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08AC9A38">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25AE9DE0">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1C2B52F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7FA373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58D87C5E">
      <w:pPr>
        <w:numPr>
          <w:ilvl w:val="0"/>
          <w:numId w:val="12"/>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123CE385">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0324E6F9">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0" w:name="_Toc20313"/>
    </w:p>
    <w:p w14:paraId="4C1B23F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69B9D2A8">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4447C2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34E9409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E3D91CF">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70B1C83D">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458CB4A6">
            <w:pPr>
              <w:adjustRightInd w:val="0"/>
              <w:snapToGrid w:val="0"/>
              <w:jc w:val="left"/>
              <w:rPr>
                <w:rFonts w:ascii="宋体" w:eastAsia="宋体" w:hAnsi="宋体" w:cs="Times New Roman"/>
                <w:szCs w:val="21"/>
              </w:rPr>
            </w:pPr>
          </w:p>
        </w:tc>
      </w:tr>
      <w:tr w14:paraId="18CCF22B">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2FF2E82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ADCCFD0">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1722E216">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EB501A9">
            <w:pPr>
              <w:adjustRightInd w:val="0"/>
              <w:snapToGrid w:val="0"/>
              <w:jc w:val="left"/>
              <w:rPr>
                <w:rFonts w:ascii="宋体" w:eastAsia="宋体" w:hAnsi="宋体" w:cs="Times New Roman"/>
                <w:szCs w:val="21"/>
              </w:rPr>
            </w:pPr>
          </w:p>
        </w:tc>
      </w:tr>
      <w:tr w14:paraId="5769A03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CA26FF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666F05A">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3CE41EF3">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1F2F954E">
            <w:pPr>
              <w:adjustRightInd w:val="0"/>
              <w:snapToGrid w:val="0"/>
              <w:jc w:val="left"/>
              <w:rPr>
                <w:rFonts w:ascii="宋体" w:eastAsia="宋体" w:hAnsi="宋体" w:cs="Times New Roman"/>
                <w:szCs w:val="21"/>
              </w:rPr>
            </w:pPr>
          </w:p>
        </w:tc>
      </w:tr>
      <w:tr w14:paraId="2BDDE4A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9E581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720CB6">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1637121A">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067C4221">
            <w:pPr>
              <w:adjustRightInd w:val="0"/>
              <w:snapToGrid w:val="0"/>
              <w:jc w:val="left"/>
              <w:rPr>
                <w:rFonts w:ascii="宋体" w:eastAsia="宋体" w:hAnsi="宋体" w:cs="Times New Roman"/>
                <w:szCs w:val="21"/>
              </w:rPr>
            </w:pPr>
          </w:p>
        </w:tc>
      </w:tr>
      <w:tr w14:paraId="2D699A1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11D52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E54465">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772A189D">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78772B6B">
            <w:pPr>
              <w:adjustRightInd w:val="0"/>
              <w:snapToGrid w:val="0"/>
              <w:jc w:val="left"/>
              <w:rPr>
                <w:rFonts w:ascii="宋体" w:eastAsia="宋体" w:hAnsi="宋体" w:cs="Times New Roman"/>
                <w:szCs w:val="21"/>
              </w:rPr>
            </w:pPr>
          </w:p>
        </w:tc>
      </w:tr>
      <w:tr w14:paraId="1D03865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1BA8C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6FAF4C">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06C2C810">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112EBB7B">
            <w:pPr>
              <w:adjustRightInd w:val="0"/>
              <w:snapToGrid w:val="0"/>
              <w:jc w:val="left"/>
              <w:rPr>
                <w:rFonts w:ascii="宋体" w:eastAsia="宋体" w:hAnsi="宋体" w:cs="Times New Roman"/>
                <w:szCs w:val="21"/>
              </w:rPr>
            </w:pPr>
          </w:p>
        </w:tc>
      </w:tr>
      <w:tr w14:paraId="039681D1">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76C2196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939F30">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0D62DF9D">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1CB72B4">
            <w:pPr>
              <w:rPr>
                <w:rFonts w:ascii="Times New Roman" w:eastAsia="宋体" w:hAnsi="Times New Roman" w:cs="Times New Roman"/>
                <w:szCs w:val="20"/>
              </w:rPr>
            </w:pPr>
          </w:p>
        </w:tc>
      </w:tr>
      <w:tr w14:paraId="64670398">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2EE37795">
            <w:pPr>
              <w:adjustRightInd w:val="0"/>
              <w:snapToGrid w:val="0"/>
              <w:jc w:val="center"/>
              <w:rPr>
                <w:rFonts w:ascii="宋体" w:eastAsia="宋体" w:hAnsi="宋体" w:cs="Times New Roman"/>
                <w:szCs w:val="21"/>
              </w:rPr>
            </w:pPr>
          </w:p>
        </w:tc>
        <w:tc>
          <w:tcPr>
            <w:tcW w:w="1742" w:type="dxa"/>
            <w:vAlign w:val="center"/>
          </w:tcPr>
          <w:p w14:paraId="1447DCA5">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087FA641">
            <w:pPr>
              <w:rPr>
                <w:rFonts w:ascii="Times New Roman" w:eastAsia="宋体" w:hAnsi="Times New Roman" w:cs="Times New Roman"/>
                <w:szCs w:val="20"/>
              </w:rPr>
            </w:pPr>
          </w:p>
        </w:tc>
      </w:tr>
      <w:tr w14:paraId="6183A9E5">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28D1DB3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B5AC25">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77188265">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6F301F2E">
            <w:pPr>
              <w:rPr>
                <w:rFonts w:ascii="Times New Roman" w:eastAsia="宋体" w:hAnsi="Times New Roman" w:cs="Times New Roman"/>
                <w:szCs w:val="20"/>
              </w:rPr>
            </w:pPr>
          </w:p>
        </w:tc>
      </w:tr>
      <w:tr w14:paraId="0DE01988">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03C2BAE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FDD653">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421BE0C9">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6AF2F042">
            <w:pPr>
              <w:rPr>
                <w:rFonts w:ascii="Times New Roman" w:eastAsia="宋体" w:hAnsi="Times New Roman" w:cs="Times New Roman"/>
                <w:szCs w:val="20"/>
              </w:rPr>
            </w:pPr>
          </w:p>
        </w:tc>
      </w:tr>
      <w:tr w14:paraId="16D72F7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105A84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505A17">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2C8F6B20">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013D696A">
            <w:pPr>
              <w:autoSpaceDE w:val="0"/>
              <w:autoSpaceDN w:val="0"/>
              <w:adjustRightInd w:val="0"/>
              <w:snapToGrid w:val="0"/>
              <w:ind w:firstLine="420" w:firstLineChars="200"/>
              <w:jc w:val="left"/>
              <w:rPr>
                <w:rFonts w:ascii="宋体" w:eastAsia="宋体" w:hAnsi="宋体" w:cs="Times New Roman"/>
                <w:szCs w:val="21"/>
              </w:rPr>
            </w:pPr>
          </w:p>
        </w:tc>
      </w:tr>
      <w:tr w14:paraId="6B5A86E5">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1B146F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9AF1F84">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5DA65CBA">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0869D82">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34496397">
            <w:pPr>
              <w:adjustRightInd w:val="0"/>
              <w:snapToGrid w:val="0"/>
              <w:jc w:val="left"/>
              <w:rPr>
                <w:rFonts w:ascii="宋体" w:eastAsia="宋体" w:hAnsi="宋体" w:cs="Times New Roman"/>
                <w:szCs w:val="21"/>
              </w:rPr>
            </w:pPr>
          </w:p>
        </w:tc>
      </w:tr>
      <w:tr w14:paraId="487FC3D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6CF5D3C">
            <w:pPr>
              <w:snapToGrid w:val="0"/>
              <w:jc w:val="center"/>
              <w:rPr>
                <w:rFonts w:ascii="宋体" w:eastAsia="宋体" w:hAnsi="宋体" w:cs="宋体"/>
                <w:szCs w:val="21"/>
              </w:rPr>
            </w:pPr>
            <w:r>
              <w:rPr>
                <w:rFonts w:ascii="宋体" w:eastAsia="宋体" w:hAnsi="宋体" w:cs="宋体" w:hint="eastAsia"/>
                <w:szCs w:val="21"/>
              </w:rPr>
              <w:t>第二节</w:t>
            </w:r>
          </w:p>
          <w:p w14:paraId="30632B7C">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7D683DD">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049D5CE3">
            <w:pPr>
              <w:adjustRightInd w:val="0"/>
              <w:snapToGrid w:val="0"/>
              <w:jc w:val="left"/>
              <w:rPr>
                <w:rFonts w:ascii="宋体" w:eastAsia="宋体" w:hAnsi="宋体" w:cs="Times New Roman"/>
                <w:szCs w:val="21"/>
              </w:rPr>
            </w:pPr>
          </w:p>
        </w:tc>
      </w:tr>
      <w:tr w14:paraId="2F9E94D6">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6DD67F5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ED557F2">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4893FB29">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7E94CDB9">
            <w:pPr>
              <w:adjustRightInd w:val="0"/>
              <w:snapToGrid w:val="0"/>
              <w:jc w:val="left"/>
              <w:rPr>
                <w:rFonts w:ascii="宋体" w:eastAsia="宋体" w:hAnsi="宋体" w:cs="Times New Roman"/>
                <w:szCs w:val="21"/>
              </w:rPr>
            </w:pPr>
          </w:p>
        </w:tc>
      </w:tr>
      <w:tr w14:paraId="6368F81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C1965D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F8639FD">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4C2D6974">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55903186">
            <w:pPr>
              <w:adjustRightInd w:val="0"/>
              <w:snapToGrid w:val="0"/>
              <w:jc w:val="left"/>
              <w:rPr>
                <w:rFonts w:ascii="宋体" w:eastAsia="宋体" w:hAnsi="宋体" w:cs="Times New Roman"/>
                <w:szCs w:val="21"/>
              </w:rPr>
            </w:pPr>
          </w:p>
        </w:tc>
      </w:tr>
      <w:tr w14:paraId="4E389D0A">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92A512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846465">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620DD4D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3993A221">
            <w:pPr>
              <w:adjustRightInd w:val="0"/>
              <w:snapToGrid w:val="0"/>
              <w:jc w:val="left"/>
              <w:rPr>
                <w:rFonts w:ascii="宋体" w:eastAsia="宋体" w:hAnsi="宋体" w:cs="Times New Roman"/>
                <w:szCs w:val="21"/>
              </w:rPr>
            </w:pPr>
          </w:p>
        </w:tc>
      </w:tr>
      <w:tr w14:paraId="41904FC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E79C81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388A29">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0D7BE8E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20105C3C">
            <w:pPr>
              <w:adjustRightInd w:val="0"/>
              <w:snapToGrid w:val="0"/>
              <w:jc w:val="left"/>
              <w:rPr>
                <w:rFonts w:ascii="宋体" w:eastAsia="宋体" w:hAnsi="宋体" w:cs="Times New Roman"/>
                <w:szCs w:val="21"/>
              </w:rPr>
            </w:pPr>
          </w:p>
        </w:tc>
      </w:tr>
      <w:tr w14:paraId="59A608B6">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2595CFB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086080E">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0DD756F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257104C6">
            <w:pPr>
              <w:adjustRightInd w:val="0"/>
              <w:snapToGrid w:val="0"/>
              <w:jc w:val="left"/>
              <w:rPr>
                <w:rFonts w:ascii="宋体" w:eastAsia="宋体" w:hAnsi="宋体" w:cs="Times New Roman"/>
                <w:szCs w:val="21"/>
              </w:rPr>
            </w:pPr>
          </w:p>
        </w:tc>
      </w:tr>
      <w:tr w14:paraId="53A1BF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78EA1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5EF418A">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50890026">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1D385F6">
            <w:pPr>
              <w:adjustRightInd w:val="0"/>
              <w:snapToGrid w:val="0"/>
              <w:jc w:val="left"/>
              <w:rPr>
                <w:rFonts w:ascii="宋体" w:eastAsia="宋体" w:hAnsi="宋体" w:cs="Times New Roman"/>
                <w:szCs w:val="21"/>
              </w:rPr>
            </w:pPr>
          </w:p>
        </w:tc>
      </w:tr>
      <w:tr w14:paraId="28A22E1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77A88A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C1F5B8">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05A51F83">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78FEED0B">
            <w:pPr>
              <w:adjustRightInd w:val="0"/>
              <w:snapToGrid w:val="0"/>
              <w:jc w:val="left"/>
              <w:rPr>
                <w:rFonts w:ascii="宋体" w:eastAsia="宋体" w:hAnsi="宋体" w:cs="Times New Roman"/>
                <w:szCs w:val="21"/>
              </w:rPr>
            </w:pPr>
          </w:p>
        </w:tc>
      </w:tr>
      <w:tr w14:paraId="1C4DE99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23FCC68">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82DD9BF">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324CEBED">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5AAE651A">
            <w:pPr>
              <w:adjustRightInd w:val="0"/>
              <w:snapToGrid w:val="0"/>
              <w:jc w:val="left"/>
              <w:rPr>
                <w:rFonts w:ascii="宋体" w:eastAsia="宋体" w:hAnsi="宋体" w:cs="Times New Roman"/>
                <w:szCs w:val="21"/>
                <w:u w:val="single"/>
              </w:rPr>
            </w:pPr>
          </w:p>
        </w:tc>
      </w:tr>
      <w:tr w14:paraId="4D33240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A8E38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3906213">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49D3035">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2F9E268F">
            <w:pPr>
              <w:adjustRightInd w:val="0"/>
              <w:snapToGrid w:val="0"/>
              <w:jc w:val="left"/>
              <w:rPr>
                <w:rFonts w:ascii="宋体" w:eastAsia="宋体" w:hAnsi="宋体" w:cs="Times New Roman"/>
                <w:szCs w:val="21"/>
                <w:u w:val="single"/>
              </w:rPr>
            </w:pPr>
          </w:p>
        </w:tc>
      </w:tr>
      <w:tr w14:paraId="1E6A4B7D">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460D4B4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9555908">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AE258A3">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715F0DAD">
            <w:pPr>
              <w:adjustRightInd w:val="0"/>
              <w:snapToGrid w:val="0"/>
              <w:jc w:val="left"/>
              <w:rPr>
                <w:rFonts w:ascii="宋体" w:eastAsia="宋体" w:hAnsi="宋体" w:cs="Times New Roman"/>
                <w:szCs w:val="21"/>
                <w:u w:val="single"/>
              </w:rPr>
            </w:pPr>
          </w:p>
        </w:tc>
      </w:tr>
      <w:tr w14:paraId="363ABE58">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0D7A0A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BF33FF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16A66842">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13AC27E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3E7E24A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3ED4B27D">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4554B68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3D5C17">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B07F94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5AD19688">
            <w:pPr>
              <w:adjustRightInd w:val="0"/>
              <w:snapToGrid w:val="0"/>
              <w:jc w:val="left"/>
              <w:rPr>
                <w:rFonts w:ascii="宋体" w:eastAsia="宋体" w:hAnsi="宋体" w:cs="Times New Roman"/>
                <w:szCs w:val="21"/>
              </w:rPr>
            </w:pPr>
          </w:p>
        </w:tc>
      </w:tr>
    </w:tbl>
    <w:p w14:paraId="6812FB47">
      <w:pPr>
        <w:rPr>
          <w:rFonts w:ascii="Times New Roman" w:eastAsia="宋体" w:hAnsi="Times New Roman" w:cs="Times New Roman"/>
          <w:szCs w:val="20"/>
        </w:rPr>
      </w:pPr>
    </w:p>
    <w:p w14:paraId="41317DC8">
      <w:pPr>
        <w:rPr>
          <w:rFonts w:ascii="Times New Roman" w:eastAsia="宋体" w:hAnsi="Times New Roman" w:cs="Times New Roman"/>
          <w:b/>
          <w:bCs/>
          <w:sz w:val="44"/>
          <w:szCs w:val="44"/>
        </w:rPr>
      </w:pPr>
    </w:p>
    <w:p w14:paraId="480713D1">
      <w:pPr>
        <w:spacing w:before="156" w:beforeLines="50" w:line="360" w:lineRule="auto"/>
        <w:ind w:firstLine="420"/>
        <w:rPr>
          <w:rFonts w:ascii="宋体" w:eastAsia="宋体" w:hAnsi="宋体" w:cs="Times New Roman"/>
          <w:szCs w:val="21"/>
        </w:rPr>
      </w:pPr>
    </w:p>
    <w:p w14:paraId="5AB06020">
      <w:pPr>
        <w:spacing w:line="360" w:lineRule="auto"/>
        <w:jc w:val="left"/>
        <w:rPr>
          <w:rFonts w:ascii="Times New Roman" w:eastAsia="宋体" w:hAnsi="Times New Roman" w:cs="Times New Roman"/>
          <w:b/>
          <w:bCs/>
          <w:sz w:val="44"/>
          <w:szCs w:val="44"/>
        </w:rPr>
      </w:pPr>
    </w:p>
    <w:p w14:paraId="4B562A86"/>
    <w:p w:rsidR="00A77B3E"/>
    <w:p w14:paraId="0D9A9C79">
      <w:pPr>
        <w:spacing w:line="360" w:lineRule="auto"/>
        <w:ind w:firstLine="3066" w:firstLineChars="1460"/>
        <w:jc w:val="left"/>
        <w:rPr>
          <w:rFonts w:ascii="Times New Roman" w:eastAsia="宋体" w:hAnsi="Times New Roman" w:cs="Times New Roman"/>
          <w:b/>
          <w:bCs/>
          <w:szCs w:val="21"/>
        </w:rPr>
      </w:pPr>
      <w:bookmarkEnd w:id="66"/>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287" w:usb1="080F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DA6F31">
    <w:pPr>
      <w:pStyle w:val="Footer"/>
      <w:jc w:val="center"/>
    </w:pPr>
    <w:r>
      <w:fldChar w:fldCharType="begin"/>
    </w:r>
    <w:r>
      <w:instrText xml:space="preserve"> PAGE   \* MERGEFORMAT </w:instrText>
    </w:r>
    <w:r>
      <w:fldChar w:fldCharType="separate"/>
    </w:r>
    <w:r>
      <w:rPr>
        <w:lang w:val="zh-CN"/>
      </w:rPr>
      <w:t>75</w:t>
    </w:r>
    <w:r>
      <w:fldChar w:fldCharType="end"/>
    </w:r>
  </w:p>
  <w:p w14:paraId="1F0EB8B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E1744A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B8C7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BC4CA2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074F8"/>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2026"/>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z">
    <w:name w:val="z正文"/>
    <w:qFormat/>
    <w:pPr>
      <w:spacing w:line="360" w:lineRule="auto"/>
      <w:ind w:firstLine="200" w:firstLineChars="200"/>
      <w:jc w:val="both"/>
    </w:pPr>
    <w:rPr>
      <w:rFonts w:ascii="Times New Roman" w:eastAsia="宋体"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