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青海省人工影响天气水资源保障工程—高炮作业点安防配套标识和火箭流动作业点视频通讯</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ZQCD-26067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2026年05月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青海省气象灾害防御技术中心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青海省人工影响天气水资源保障工程—高炮作业点安防配套标识和火箭流动作业点视频通讯</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ZQCD-26067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交货期见第七章采购需求《设备需求总表》，合同签订后150天内完成安装调试并具备验收条件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青海省境内用户指定地点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2026年05月13日 00:00:00</w:t>
      </w:r>
      <w:bookmarkEnd w:id="26"/>
      <w:r>
        <w:rPr>
          <w:rFonts w:ascii="宋体" w:hint="eastAsia"/>
          <w:szCs w:val="21"/>
          <w:highlight w:val="none"/>
        </w:rPr>
        <w:t>至</w:t>
      </w:r>
      <w:bookmarkStart w:id="27" w:name="项目公告_signUpLastTime"/>
      <w:r>
        <w:rPr>
          <w:rFonts w:ascii="宋体" w:hint="eastAsia"/>
          <w:szCs w:val="21"/>
          <w:highlight w:val="none"/>
        </w:rPr>
        <w:t>2026年05月27日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2026年06月11日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青海省气象灾害防御技术中心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山成焘 侯永慧</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0971-6135315 0971-6135398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青海省西宁市城西区五四大街19号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青海省气象灾害防御技术中心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spacing w:beforeLines="0" w:afterLines="0"/>
              <w:jc w:val="left"/>
              <w:rPr>
                <w:rFonts w:asciiTheme="minorEastAsia" w:hAnsiTheme="minorEastAsia" w:cstheme="minorEastAsia" w:hint="eastAsia"/>
                <w:kern w:val="0"/>
                <w:szCs w:val="21"/>
                <w:highlight w:val="none"/>
              </w:rPr>
            </w:pPr>
            <w:r>
              <w:rPr>
                <w:rFonts w:asciiTheme="minorEastAsia" w:eastAsiaTheme="minorEastAsia" w:hAnsiTheme="minorEastAsia" w:cstheme="minorEastAsia" w:hint="eastAsia"/>
                <w:kern w:val="0"/>
                <w:szCs w:val="21"/>
                <w:highlight w:val="none"/>
              </w:rPr>
              <w:t>允许代理商投标</w:t>
            </w:r>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0" w:name="进口产品_agentMaterials"/>
            <w:r>
              <w:rPr>
                <w:rFonts w:ascii="宋体" w:hAnsi="宋体" w:cs="微软雅黑" w:hint="eastAsia"/>
                <w:kern w:val="0"/>
                <w:szCs w:val="21"/>
                <w:highlight w:val="none"/>
              </w:rPr>
              <w:t>不允许</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1" w:name="是否设有核心产品_coreFlagText"/>
            <w:r>
              <w:rPr>
                <w:rFonts w:asciiTheme="minorEastAsia" w:eastAsiaTheme="minorEastAsia" w:hAnsiTheme="minorEastAsia" w:cstheme="minorEastAsia" w:hint="eastAsia"/>
                <w:kern w:val="0"/>
                <w:szCs w:val="21"/>
                <w:highlight w:val="none"/>
              </w:rPr>
              <w:t>设有，核心产品为移动布控球</w:t>
            </w:r>
            <w:bookmarkEnd w:id="41"/>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2" w:name="联合体投标_jointFlagText"/>
            <w:r>
              <w:rPr>
                <w:rFonts w:ascii="宋体" w:hAnsi="宋体" w:cs="微软雅黑" w:hint="eastAsia"/>
                <w:kern w:val="0"/>
                <w:szCs w:val="21"/>
                <w:highlight w:val="none"/>
              </w:rPr>
              <w:t>不允许</w:t>
            </w:r>
            <w:bookmarkEnd w:id="42"/>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3" w:name="许可证_exclusiveLicenseFlagText"/>
            <w:r>
              <w:rPr>
                <w:rFonts w:asciiTheme="minorEastAsia" w:eastAsiaTheme="minorEastAsia" w:hAnsiTheme="minorEastAsia" w:cstheme="minorEastAsia" w:hint="eastAsia"/>
                <w:kern w:val="0"/>
                <w:szCs w:val="21"/>
                <w:highlight w:val="none"/>
              </w:rPr>
              <w:t>不必须</w:t>
            </w:r>
            <w:bookmarkEnd w:id="43"/>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4" w:name="进口产品投标_entranceFlagText"/>
            <w:r>
              <w:rPr>
                <w:rFonts w:asciiTheme="minorEastAsia" w:eastAsiaTheme="minorEastAsia" w:hAnsiTheme="minorEastAsia" w:cstheme="minorEastAsia" w:hint="eastAsia"/>
                <w:kern w:val="0"/>
                <w:szCs w:val="21"/>
                <w:highlight w:val="none"/>
              </w:rPr>
              <w:t>不允许</w:t>
            </w:r>
            <w:bookmarkEnd w:id="44"/>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（1）标的：青海省人工影响天气水资源保障工程—高炮作业点安防配套标识和火箭流动作业点视频通讯，属于工业行业；</w:t>
            </w:r>
            <w:bookmarkEnd w:id="45"/>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kern w:val="0"/>
                <w:szCs w:val="21"/>
                <w:highlight w:val="none"/>
              </w:rPr>
            </w:pPr>
            <w:r>
              <w:rPr>
                <w:rFonts w:hint="eastAsia"/>
                <w:kern w:val="0"/>
                <w:szCs w:val="21"/>
                <w:highlight w:val="none"/>
                <w:lang w:val="en-US" w:eastAsia="zh-CN"/>
              </w:rPr>
              <w:t>否</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7" w:name="答疑会_answeringQuestionFlagText"/>
            <w:r>
              <w:rPr>
                <w:rFonts w:ascii="宋体" w:hAnsi="宋体" w:cs="微软雅黑" w:hint="eastAsia"/>
                <w:kern w:val="0"/>
                <w:szCs w:val="21"/>
                <w:highlight w:val="none"/>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8" w:name="标保证金_bailFlagText"/>
            <w:r>
              <w:rPr>
                <w:rFonts w:asciiTheme="minorEastAsia" w:eastAsiaTheme="minorEastAsia" w:hAnsiTheme="minorEastAsia" w:cstheme="minorEastAsia" w:hint="eastAsia"/>
                <w:kern w:val="0"/>
                <w:szCs w:val="21"/>
                <w:highlight w:val="none"/>
              </w:rPr>
              <w:t>否</w:t>
            </w:r>
            <w:bookmarkEnd w:id="48"/>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49" w:name="预算金额_budgetAmount"/>
            <w:r>
              <w:rPr>
                <w:rFonts w:ascii="宋体" w:hAnsi="宋体" w:cs="微软雅黑" w:hint="eastAsia"/>
                <w:kern w:val="0"/>
                <w:szCs w:val="21"/>
                <w:highlight w:val="none"/>
              </w:rPr>
              <w:t>334.000000</w:t>
            </w:r>
            <w:bookmarkEnd w:id="49"/>
            <w:r>
              <w:rPr>
                <w:rFonts w:ascii="宋体" w:hAnsi="宋体" w:cs="微软雅黑" w:hint="eastAsia"/>
                <w:kern w:val="0"/>
                <w:szCs w:val="21"/>
                <w:highlight w:val="none"/>
              </w:rPr>
              <w:t>万元</w:t>
            </w:r>
            <w:bookmarkStart w:id="50" w:name="预算明细_packMoneyDetail"/>
            <w:r>
              <w:rPr>
                <w:rFonts w:hint="eastAsia"/>
                <w:szCs w:val="21"/>
                <w:highlight w:val="none"/>
              </w:rPr>
              <w:t>,包 1 采购预算(或最高限价)为人民币 334.000000 万元</w:t>
            </w:r>
            <w:bookmarkEnd w:id="50"/>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1" w:name="关键性工作_entrustingOthersFlagText"/>
            <w:r>
              <w:rPr>
                <w:rFonts w:ascii="Wingdings 2" w:hAnsi="Wingdings 2" w:cs="微软雅黑"/>
                <w:kern w:val="0"/>
                <w:szCs w:val="21"/>
                <w:highlight w:val="none"/>
              </w:rPr>
              <w:t>不允许</w:t>
            </w:r>
            <w:bookmarkEnd w:id="51"/>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2" w:name="投标有效期_bidExpirationDate"/>
            <w:r>
              <w:rPr>
                <w:rFonts w:ascii="宋体" w:hAnsi="宋体" w:cs="微软雅黑" w:hint="eastAsia"/>
                <w:kern w:val="0"/>
                <w:szCs w:val="21"/>
                <w:highlight w:val="none"/>
              </w:rPr>
              <w:t>120日历天</w:t>
            </w:r>
            <w:bookmarkEnd w:id="52"/>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3" w:name="进行述标_describeStandardFlagText"/>
            <w:r>
              <w:rPr>
                <w:rFonts w:ascii="宋体" w:hAnsi="宋体" w:cs="微软雅黑" w:hint="eastAsia"/>
                <w:kern w:val="0"/>
                <w:szCs w:val="21"/>
                <w:highlight w:val="none"/>
              </w:rPr>
              <w:t>否</w:t>
            </w:r>
            <w:bookmarkEnd w:id="53"/>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4" w:name="其他事项_ottherReemarks"/>
            <w:r>
              <w:rPr>
                <w:rFonts w:ascii="宋体" w:hAnsi="宋体" w:hint="eastAsia"/>
                <w:szCs w:val="21"/>
                <w:highlight w:val="none"/>
              </w:rPr>
              <w:t>根据本项目实际情况，招标文件1.27.3第1项至第3项启动异常低价投标审查的数值标准为65%。</w:t>
            </w:r>
            <w:bookmarkEnd w:id="54"/>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5"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48"/>
        <w:gridCol w:w="242"/>
        <w:gridCol w:w="1236"/>
        <w:gridCol w:w="242"/>
        <w:gridCol w:w="713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(3)</w:t>
            </w:r>
          </w:p>
        </w:tc>
        <w:tc>
          <w:tcPr/>
          <w:p>
            <w:r>
              <w:t>评审标准：</w:t>
            </w:r>
          </w:p>
          <w:p>
            <w:r>
              <w:t>为保障项目履约能力及售后服务质量，投标人须满足以下资质要求：</w:t>
              <w:cr/>
              <w:t>1.投标人具有五星级GB/T 27922-2011《商品售后服务评价体系》认证证书得 1.5 分；</w:t>
              <w:cr/>
              <w:t>2.具有ISO9000系列或GJB9001B质量管理体系认证证书得1.5分；</w:t>
              <w:cr/>
              <w:t>其他不得分。</w:t>
            </w:r>
          </w:p>
          <w:p>
            <w:r>
              <w:t>评审标准说明：</w:t>
            </w:r>
          </w:p>
          <w:p>
            <w:r>
              <w:t>以上需提供相关证书复印件并加盖投标人公章。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 （客观分）</w:t>
            </w:r>
          </w:p>
        </w:tc>
        <w:tc>
          <w:tcPr/>
          <w:p>
            <w:r>
              <w:t>勾选打分</w:t>
            </w:r>
            <w:r>
              <w:t>(5)</w:t>
            </w:r>
          </w:p>
        </w:tc>
        <w:tc>
          <w:tcPr/>
          <w:p>
            <w:r>
              <w:t>评审标准：</w:t>
            </w:r>
          </w:p>
          <w:p>
            <w:r>
              <w:t>每提供1份与本项目类似的销售合同得1分，最多得5分。否则不得分。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质保服务方案</w:t>
            </w:r>
          </w:p>
        </w:tc>
        <w:tc>
          <w:tcPr/>
          <w:p>
            <w:r>
              <w:t>勾选打分</w:t>
            </w:r>
            <w:r>
              <w:t>(4)</w:t>
            </w:r>
          </w:p>
        </w:tc>
        <w:tc>
          <w:tcPr/>
          <w:p>
            <w:r>
              <w:t>评审标准：</w:t>
            </w:r>
          </w:p>
          <w:p>
            <w:r>
              <w:t>一档0分</w:t>
              <w:cr/>
              <w:t>二档1分</w:t>
              <w:cr/>
              <w:t>三档2分</w:t>
              <w:cr/>
              <w:t>四档4分</w:t>
            </w:r>
          </w:p>
          <w:p>
            <w:r>
              <w:t>评审标准说明：</w:t>
            </w:r>
          </w:p>
          <w:p>
            <w:r>
              <w:t>评审标准说明：</w:t>
              <w:c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5</w:t>
            </w:r>
          </w:p>
        </w:tc>
        <w:tc>
          <w:tcPr>
            <w:vMerge w:val="restart"/>
          </w:tcPr>
          <w:p>
            <w:r>
              <w:t>服务部分</w:t>
            </w:r>
          </w:p>
        </w:tc>
        <w:tc>
          <w:tcPr/>
          <w:p>
            <w:r>
              <w:t>培训承诺及方案（主观分）</w:t>
            </w:r>
          </w:p>
        </w:tc>
        <w:tc>
          <w:tcPr/>
          <w:p>
            <w:r>
              <w:t>勾选打分</w:t>
            </w:r>
            <w:r>
              <w:t>(4)</w:t>
            </w:r>
          </w:p>
        </w:tc>
        <w:tc>
          <w:tcPr/>
          <w:p>
            <w:r>
              <w:t>评审标准：</w:t>
            </w:r>
          </w:p>
          <w:p>
            <w:r>
              <w:t>一档0分</w:t>
              <w:cr/>
              <w:t>二档1分</w:t>
              <w:cr/>
              <w:t>三档2分</w:t>
              <w:cr/>
              <w:t>四档4分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6</w:t>
            </w:r>
          </w:p>
        </w:tc>
        <w:tc>
          <w:tcPr>
            <w:vMerge/>
          </w:tcPr>
          <w:p>
            <w:r>
              <w:t>服务部分</w:t>
            </w:r>
          </w:p>
        </w:tc>
        <w:tc>
          <w:tcPr/>
          <w:p>
            <w:r>
              <w:t>售后服务（主观分）</w:t>
            </w:r>
          </w:p>
        </w:tc>
        <w:tc>
          <w:tcPr/>
          <w:p>
            <w:r>
              <w:t>勾选打分</w:t>
            </w:r>
            <w:r>
              <w:t>(4)</w:t>
            </w:r>
          </w:p>
        </w:tc>
        <w:tc>
          <w:tcPr/>
          <w:p>
            <w:r>
              <w:t>评审标准：</w:t>
            </w:r>
          </w:p>
          <w:p>
            <w:r>
              <w:t>一档0分</w:t>
              <w:cr/>
              <w:t>二档1分</w:t>
              <w:cr/>
              <w:t>三档2分</w:t>
              <w:cr/>
              <w:t>四档4分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 失售后服务响应速度、售后服务承诺、技术支持服务、售后质保期和维护期承诺、售后人员配置中任一项内容）；</w:t>
              <w:cr/>
              <w:t>三档：售后服务方案较完整（指售后服务响应速度、售后服务承诺、技术支持服务、售后质保期和维护期承诺、售后人员配置中任一项内容），但针对性一般，没有建立合理的技术支持机构或技术支持小组，技术支持内容不明确；或者未提供质保期内 的7×24小时电话技术支持和保修及其他承诺；</w:t>
              <w:cr/>
              <w:t>四档：售后服务方案完整（指售后服务响应速度、售后服务承诺、技术支持服务、售后质保期和维护期承诺、售后人员配置中任一项内容），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(2)</w:t>
            </w:r>
          </w:p>
        </w:tc>
        <w:tc>
          <w:tcPr/>
          <w:p>
            <w:r>
              <w:t>评审标准：</w:t>
            </w:r>
          </w:p>
          <w:p>
            <w:r>
              <w:t>投标人提供完全满足招标文件工期及交付节点要求的项目供货及实施进度计划承诺函得2分，否则不得分。</w:t>
            </w:r>
          </w:p>
          <w:p>
            <w:r>
              <w:t>评审标准说明：</w:t>
            </w:r>
          </w:p>
          <w:p>
            <w:r>
              <w:t>投标人应提供交货时间承诺函及具体实施进度计划并加盖投标人公章。</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(4)</w:t>
            </w:r>
          </w:p>
        </w:tc>
        <w:tc>
          <w:tcPr/>
          <w:p>
            <w:r>
              <w:t>评审标准：</w:t>
            </w:r>
          </w:p>
          <w:p>
            <w:r>
              <w:t>针对本项目类似产品，每提供1份用户满意证明材料得1分，最多得4分。否则不得分。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val="restart"/>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10</w:t>
            </w:r>
          </w:p>
        </w:tc>
        <w:tc>
          <w:tcPr>
            <w:vMerge/>
          </w:tcPr>
          <w:p>
            <w:r>
              <w:t>技术部分</w:t>
            </w:r>
          </w:p>
        </w:tc>
        <w:tc>
          <w:tcPr/>
          <w:p>
            <w:r>
              <w:t>投标产品技术性能（客观分）</w:t>
            </w:r>
          </w:p>
        </w:tc>
        <w:tc>
          <w:tcPr/>
          <w:p>
            <w:r>
              <w:t>区间打分</w:t>
            </w:r>
            <w:r>
              <w:t>(33)</w:t>
            </w:r>
          </w:p>
        </w:tc>
        <w:tc>
          <w:tcPr/>
          <w:p>
            <w:r>
              <w:t>评审标准：</w:t>
            </w:r>
          </w:p>
          <w:p>
            <w:r>
              <w:t>招标文件第七章技术性能指标中，标注▲的重要指标共11项，每满足1项得3分，共33分。</w:t>
            </w:r>
          </w:p>
          <w:p>
            <w:r>
              <w:t>评审标准说明：</w:t>
            </w:r>
          </w:p>
          <w:p>
            <w:r>
              <w:t>响应且满足招标文件第七章详细技术指标要求。标注▲的重要指标需提供能证明其满足相关技术指标要求的证明材料（证明材料具体要求见第七章该指标说明）。</w:t>
            </w:r>
          </w:p>
          <w:p/>
        </w:tc>
      </w:tr>
      <w:tr>
        <w:tblPrEx>
          <w:tblW w:w="5000" w:type="pct"/>
          <w:tblCellMar>
            <w:left w:w="108" w:type="dxa"/>
            <w:right w:w="108" w:type="dxa"/>
          </w:tblCellMar>
        </w:tblPrEx>
        <w:tc>
          <w:tcPr/>
          <w:p>
            <w:r>
              <w:t>11</w:t>
            </w:r>
          </w:p>
        </w:tc>
        <w:tc>
          <w:tcPr>
            <w:vMerge/>
          </w:tcPr>
          <w:p>
            <w:r>
              <w:t>技术部分</w:t>
            </w:r>
          </w:p>
        </w:tc>
        <w:tc>
          <w:tcPr/>
          <w:p>
            <w:r>
              <w:t>数据接入方案（客观分）</w:t>
            </w:r>
          </w:p>
        </w:tc>
        <w:tc>
          <w:tcPr/>
          <w:p>
            <w:r>
              <w:t>勾选打分</w:t>
            </w:r>
            <w:r>
              <w:t>(3)</w:t>
            </w:r>
          </w:p>
        </w:tc>
        <w:tc>
          <w:tcPr/>
          <w:p>
            <w:r>
              <w:t>评审标准：</w:t>
            </w:r>
          </w:p>
          <w:p>
            <w:r>
              <w:t>针对移动布控球数据接入天工平台，提供用户接入证明或详细可行的接入方案得3分，否则不得分。</w:t>
            </w:r>
          </w:p>
          <w:p>
            <w:r>
              <w:t>评审标准说明：</w:t>
            </w:r>
          </w:p>
          <w:p>
            <w:r>
              <w:t>投标人提供用户出具的接入证明或接入方案，并加盖投标人公章。</w:t>
            </w:r>
          </w:p>
          <w:p/>
        </w:tc>
      </w:tr>
      <w:tr>
        <w:tblPrEx>
          <w:tblW w:w="5000" w:type="pct"/>
          <w:tblCellMar>
            <w:left w:w="108" w:type="dxa"/>
            <w:right w:w="108" w:type="dxa"/>
          </w:tblCellMar>
        </w:tblPrEx>
        <w:tc>
          <w:tcPr/>
          <w:p>
            <w:r>
              <w:t>12</w:t>
            </w:r>
          </w:p>
        </w:tc>
        <w:tc>
          <w:tcPr>
            <w:vMerge/>
          </w:tcPr>
          <w:p>
            <w:r>
              <w:t>技术部分</w:t>
            </w:r>
          </w:p>
        </w:tc>
        <w:tc>
          <w:tcPr/>
          <w:p>
            <w:r>
              <w:t>应急保障措施（主观分）</w:t>
            </w:r>
          </w:p>
        </w:tc>
        <w:tc>
          <w:tcPr/>
          <w:p>
            <w:r>
              <w:t>勾选打分</w:t>
            </w:r>
            <w:r>
              <w:t>(4)</w:t>
            </w:r>
          </w:p>
        </w:tc>
        <w:tc>
          <w:tcPr/>
          <w:p>
            <w:r>
              <w:t>评审标准：</w:t>
            </w:r>
          </w:p>
          <w:p>
            <w:r>
              <w:t>一档0分</w:t>
              <w:cr/>
              <w:t>二档1分</w:t>
              <w:cr/>
              <w:t>三档2分</w:t>
              <w:cr/>
              <w:t>四档4分</w:t>
            </w:r>
          </w:p>
          <w:p>
            <w:r>
              <w:t>评审标准说明：</w:t>
            </w:r>
          </w:p>
          <w:p>
            <w:r>
              <w:t>根据投标人提供的应急保障措施(包括1对于本项目可能存在的应急情况预判；2应急情况的预处理措施；3避免应急情况发生的前置保障措施)进行综合评审：</w:t>
              <w:cr/>
              <w:t>一档：未提供应急保障措施或者应急保障措施不完整（指缺失3项中的任意一项）；</w:t>
              <w:cr/>
              <w:t>二档：应急保障措施完整，但合理性、可行性差，无针对性；</w:t>
              <w:cr/>
              <w:t>三档：应急保障措施完整，有一定合理性、可行性、针对性，基本满足项目采购需求；</w:t>
              <w:cr/>
              <w:t>四档：应急保障措施完整，合理性、可行性强，与本项目契合度高，完全满足项目采购需求。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5"/>
    </w:p>
    <w:p>
      <w:pPr>
        <w:adjustRightInd/>
        <w:snapToGrid/>
        <w:spacing w:before="156" w:beforeLines="50" w:line="360" w:lineRule="auto"/>
        <w:ind w:firstLine="210" w:firstLineChars="100"/>
        <w:jc w:val="center"/>
        <w:outlineLvl w:val="1"/>
        <w:rPr>
          <w:rFonts w:ascii="宋体" w:hAnsi="宋体" w:hint="eastAsia"/>
          <w:b/>
          <w:sz w:val="30"/>
          <w:szCs w:val="30"/>
          <w:highlight w:val="none"/>
        </w:rPr>
      </w:pPr>
      <w:r>
        <w:rPr>
          <w:bCs/>
          <w:szCs w:val="21"/>
          <w:highlight w:val="none"/>
        </w:rPr>
        <w:br w:type="page"/>
      </w:r>
      <w:bookmarkStart w:id="56" w:name="插入_采购需求书"/>
      <w:r>
        <w:rPr>
          <w:rFonts w:ascii="宋体" w:eastAsia="宋体" w:hAnsi="宋体" w:cs="Times New Roman" w:hint="eastAsia"/>
          <w:b/>
          <w:sz w:val="30"/>
          <w:szCs w:val="30"/>
          <w:highlight w:val="none"/>
        </w:rPr>
        <w:t>第七章  采购需求</w:t>
      </w:r>
    </w:p>
    <w:p>
      <w:pPr>
        <w:keepNext w:val="0"/>
        <w:keepLines w:val="0"/>
        <w:pageBreakBefore w:val="0"/>
        <w:widowControl w:val="0"/>
        <w:kinsoku/>
        <w:wordWrap/>
        <w:overflowPunct/>
        <w:topLinePunct w:val="0"/>
        <w:autoSpaceDE/>
        <w:autoSpaceDN/>
        <w:bidi w:val="0"/>
        <w:snapToGrid w:val="0"/>
        <w:spacing w:line="360" w:lineRule="auto"/>
        <w:ind w:firstLine="420" w:firstLineChars="200"/>
        <w:jc w:val="left"/>
        <w:textAlignment w:val="auto"/>
        <w:rPr>
          <w:rFonts w:ascii="宋体" w:eastAsia="宋体" w:hAnsi="宋体" w:cs="Times New Roman"/>
          <w:b w:val="0"/>
          <w:bCs/>
          <w:szCs w:val="21"/>
        </w:rPr>
      </w:pPr>
      <w:r>
        <w:rPr>
          <w:rFonts w:ascii="宋体" w:eastAsia="宋体" w:hAnsi="宋体" w:cs="Times New Roman" w:hint="eastAsia"/>
          <w:b w:val="0"/>
          <w:bCs/>
          <w:szCs w:val="21"/>
        </w:rPr>
        <w:t>一、项目概况及总体要求</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eastAsia="宋体" w:hAnsi="宋体" w:cs="Times New Roman" w:hint="eastAsia"/>
          <w:b w:val="0"/>
          <w:bCs/>
          <w:szCs w:val="21"/>
        </w:rPr>
      </w:pPr>
      <w:r>
        <w:rPr>
          <w:rFonts w:ascii="宋体" w:eastAsia="宋体" w:hAnsi="宋体" w:cs="Times New Roman" w:hint="eastAsia"/>
          <w:b w:val="0"/>
          <w:bCs/>
          <w:szCs w:val="21"/>
        </w:rPr>
        <w:t>本次招标内容为</w:t>
      </w:r>
      <w:r>
        <w:rPr>
          <w:rFonts w:ascii="宋体" w:eastAsia="宋体" w:hAnsi="宋体" w:cs="Times New Roman" w:hint="eastAsia"/>
          <w:b w:val="0"/>
          <w:bCs/>
          <w:szCs w:val="21"/>
          <w:lang w:val="en-US" w:eastAsia="zh-CN"/>
        </w:rPr>
        <w:t>青海省</w:t>
      </w:r>
      <w:r>
        <w:rPr>
          <w:rFonts w:ascii="宋体" w:eastAsia="宋体" w:hAnsi="宋体" w:cs="Times New Roman" w:hint="eastAsia"/>
          <w:b w:val="0"/>
          <w:bCs/>
          <w:szCs w:val="21"/>
        </w:rPr>
        <w:t>人工影响天气水资源保障工程</w:t>
      </w:r>
      <w:r>
        <w:rPr>
          <w:rFonts w:ascii="宋体" w:eastAsia="宋体" w:hAnsi="宋体" w:cs="Times New Roman" w:hint="eastAsia"/>
          <w:b w:val="0"/>
          <w:bCs/>
          <w:szCs w:val="21"/>
          <w:lang w:val="en-US" w:eastAsia="zh-CN"/>
        </w:rPr>
        <w:t>-高炮作业点安防配套标识</w:t>
      </w:r>
      <w:r>
        <w:rPr>
          <w:rFonts w:ascii="宋体" w:hAnsi="宋体" w:cs="Times New Roman" w:hint="eastAsia"/>
          <w:b w:val="0"/>
          <w:bCs/>
          <w:szCs w:val="21"/>
          <w:lang w:val="en-US" w:eastAsia="zh-CN"/>
        </w:rPr>
        <w:t>和</w:t>
      </w:r>
      <w:r>
        <w:rPr>
          <w:rFonts w:ascii="宋体" w:eastAsia="宋体" w:hAnsi="宋体" w:cs="Times New Roman" w:hint="eastAsia"/>
          <w:bCs/>
          <w:szCs w:val="21"/>
        </w:rPr>
        <w:t>火箭流动作业点视频通讯项目</w:t>
      </w:r>
      <w:r>
        <w:rPr>
          <w:rFonts w:ascii="宋体" w:eastAsia="宋体" w:hAnsi="宋体" w:cs="Times New Roman" w:hint="eastAsia"/>
          <w:b w:val="0"/>
          <w:bCs/>
          <w:szCs w:val="21"/>
        </w:rPr>
        <w:t>，为提升青海省人工影响天气</w:t>
      </w:r>
      <w:r>
        <w:rPr>
          <w:rFonts w:ascii="宋体" w:eastAsia="宋体" w:hAnsi="宋体" w:cs="Times New Roman" w:hint="eastAsia"/>
          <w:b w:val="0"/>
          <w:bCs/>
          <w:szCs w:val="21"/>
          <w:lang w:val="en-US" w:eastAsia="zh-CN"/>
        </w:rPr>
        <w:t>安全</w:t>
      </w:r>
      <w:r>
        <w:rPr>
          <w:rFonts w:ascii="宋体" w:eastAsia="宋体" w:hAnsi="宋体" w:cs="Times New Roman" w:hint="eastAsia"/>
          <w:b w:val="0"/>
          <w:bCs/>
          <w:szCs w:val="21"/>
        </w:rPr>
        <w:t>作业能力，采购高炮作业点安防配套标识15</w:t>
      </w:r>
      <w:r>
        <w:rPr>
          <w:rFonts w:ascii="宋体" w:hAnsi="宋体" w:cs="Times New Roman" w:hint="eastAsia"/>
          <w:b w:val="0"/>
          <w:bCs/>
          <w:szCs w:val="21"/>
          <w:lang w:val="en-US" w:eastAsia="zh-CN"/>
        </w:rPr>
        <w:t>4</w:t>
      </w:r>
      <w:r>
        <w:rPr>
          <w:rFonts w:ascii="宋体" w:eastAsia="宋体" w:hAnsi="宋体" w:cs="Times New Roman" w:hint="eastAsia"/>
          <w:b w:val="0"/>
          <w:bCs/>
          <w:szCs w:val="21"/>
        </w:rPr>
        <w:t>套，其中高炮安全射界图更新15</w:t>
      </w:r>
      <w:r>
        <w:rPr>
          <w:rFonts w:ascii="宋体" w:hAnsi="宋体" w:cs="Times New Roman" w:hint="eastAsia"/>
          <w:b w:val="0"/>
          <w:bCs/>
          <w:szCs w:val="21"/>
          <w:lang w:val="en-US" w:eastAsia="zh-CN"/>
        </w:rPr>
        <w:t>4</w:t>
      </w:r>
      <w:r>
        <w:rPr>
          <w:rFonts w:ascii="宋体" w:eastAsia="宋体" w:hAnsi="宋体" w:cs="Times New Roman" w:hint="eastAsia"/>
          <w:b w:val="0"/>
          <w:bCs/>
          <w:szCs w:val="21"/>
        </w:rPr>
        <w:t>份，高炮安全射界图地面喷绘15</w:t>
      </w:r>
      <w:r>
        <w:rPr>
          <w:rFonts w:ascii="宋体" w:hAnsi="宋体" w:cs="Times New Roman" w:hint="eastAsia"/>
          <w:b w:val="0"/>
          <w:bCs/>
          <w:szCs w:val="21"/>
          <w:lang w:val="en-US" w:eastAsia="zh-CN"/>
        </w:rPr>
        <w:t>4</w:t>
      </w:r>
      <w:r>
        <w:rPr>
          <w:rFonts w:ascii="宋体" w:eastAsia="宋体" w:hAnsi="宋体" w:cs="Times New Roman" w:hint="eastAsia"/>
          <w:b w:val="0"/>
          <w:bCs/>
          <w:szCs w:val="21"/>
        </w:rPr>
        <w:t>份（对于部分作业点高炮作业平台有损坏无法进行正常喷绘的，需要先进行修缮），公告牌15</w:t>
      </w:r>
      <w:r>
        <w:rPr>
          <w:rFonts w:ascii="宋体" w:hAnsi="宋体" w:cs="Times New Roman" w:hint="eastAsia"/>
          <w:b w:val="0"/>
          <w:bCs/>
          <w:szCs w:val="21"/>
          <w:lang w:val="en-US" w:eastAsia="zh-CN"/>
        </w:rPr>
        <w:t>4</w:t>
      </w:r>
      <w:r>
        <w:rPr>
          <w:rFonts w:ascii="宋体" w:eastAsia="宋体" w:hAnsi="宋体" w:cs="Times New Roman" w:hint="eastAsia"/>
          <w:b w:val="0"/>
          <w:bCs/>
          <w:szCs w:val="21"/>
        </w:rPr>
        <w:t>部，高炮作业点15</w:t>
      </w:r>
      <w:r>
        <w:rPr>
          <w:rFonts w:ascii="宋体" w:hAnsi="宋体" w:cs="Times New Roman" w:hint="eastAsia"/>
          <w:b w:val="0"/>
          <w:bCs/>
          <w:szCs w:val="21"/>
          <w:lang w:val="en-US" w:eastAsia="zh-CN"/>
        </w:rPr>
        <w:t>4</w:t>
      </w:r>
      <w:r>
        <w:rPr>
          <w:rFonts w:ascii="宋体" w:eastAsia="宋体" w:hAnsi="宋体" w:cs="Times New Roman" w:hint="eastAsia"/>
          <w:b w:val="0"/>
          <w:bCs/>
          <w:szCs w:val="21"/>
        </w:rPr>
        <w:t>个铭牌、6</w:t>
      </w:r>
      <w:r>
        <w:rPr>
          <w:rFonts w:ascii="宋体" w:hAnsi="宋体" w:cs="Times New Roman" w:hint="eastAsia"/>
          <w:b w:val="0"/>
          <w:bCs/>
          <w:szCs w:val="21"/>
          <w:lang w:val="en-US" w:eastAsia="zh-CN"/>
        </w:rPr>
        <w:t>16</w:t>
      </w:r>
      <w:r>
        <w:rPr>
          <w:rFonts w:ascii="宋体" w:eastAsia="宋体" w:hAnsi="宋体" w:cs="Times New Roman" w:hint="eastAsia"/>
          <w:b w:val="0"/>
          <w:bCs/>
          <w:szCs w:val="21"/>
        </w:rPr>
        <w:t>个警示标识、15</w:t>
      </w:r>
      <w:r>
        <w:rPr>
          <w:rFonts w:ascii="宋体" w:hAnsi="宋体" w:cs="Times New Roman" w:hint="eastAsia"/>
          <w:b w:val="0"/>
          <w:bCs/>
          <w:szCs w:val="21"/>
          <w:lang w:val="en-US" w:eastAsia="zh-CN"/>
        </w:rPr>
        <w:t>4</w:t>
      </w:r>
      <w:r>
        <w:rPr>
          <w:rFonts w:ascii="宋体" w:eastAsia="宋体" w:hAnsi="宋体" w:cs="Times New Roman" w:hint="eastAsia"/>
          <w:b w:val="0"/>
          <w:bCs/>
          <w:szCs w:val="21"/>
        </w:rPr>
        <w:t>个十不准制度牌</w:t>
      </w:r>
      <w:r>
        <w:rPr>
          <w:rFonts w:ascii="宋体" w:eastAsia="宋体" w:hAnsi="宋体" w:cs="Times New Roman" w:hint="eastAsia"/>
          <w:b w:val="0"/>
          <w:bCs/>
          <w:szCs w:val="21"/>
          <w:lang w:eastAsia="zh-CN"/>
        </w:rPr>
        <w:t>；</w:t>
      </w:r>
      <w:r>
        <w:rPr>
          <w:rFonts w:ascii="宋体" w:eastAsia="宋体" w:hAnsi="宋体" w:cs="Times New Roman" w:hint="eastAsia"/>
          <w:b w:val="0"/>
          <w:bCs/>
          <w:szCs w:val="21"/>
          <w:lang w:val="en-US" w:eastAsia="zh-CN"/>
        </w:rPr>
        <w:t>配备120套作业监控设施（移动布控球）、120套对讲机</w:t>
      </w:r>
      <w:r>
        <w:rPr>
          <w:rFonts w:ascii="宋体" w:hAnsi="宋体" w:cs="Times New Roman" w:hint="eastAsia"/>
          <w:b w:val="0"/>
          <w:bCs/>
          <w:szCs w:val="21"/>
          <w:lang w:val="en-US" w:eastAsia="zh-CN"/>
        </w:rPr>
        <w:t>（每套含两个独立对讲机）</w:t>
      </w:r>
      <w:r>
        <w:rPr>
          <w:rFonts w:ascii="宋体" w:eastAsia="宋体" w:hAnsi="宋体" w:cs="Times New Roman" w:hint="eastAsia"/>
          <w:b w:val="0"/>
          <w:bCs/>
          <w:szCs w:val="21"/>
        </w:rPr>
        <w:t>。旨在全面提升人影</w:t>
      </w:r>
      <w:r>
        <w:rPr>
          <w:rFonts w:ascii="宋体" w:hAnsi="宋体" w:cs="Times New Roman" w:hint="eastAsia"/>
          <w:b w:val="0"/>
          <w:bCs/>
          <w:szCs w:val="21"/>
          <w:lang w:val="en-US" w:eastAsia="zh-CN"/>
        </w:rPr>
        <w:t>高炮及</w:t>
      </w:r>
      <w:r>
        <w:rPr>
          <w:rFonts w:ascii="宋体" w:eastAsia="宋体" w:hAnsi="宋体" w:cs="Times New Roman" w:hint="eastAsia"/>
          <w:b w:val="0"/>
          <w:bCs/>
          <w:szCs w:val="21"/>
          <w:lang w:val="en-US" w:eastAsia="zh-CN"/>
        </w:rPr>
        <w:t>火箭</w:t>
      </w:r>
      <w:r>
        <w:rPr>
          <w:rFonts w:ascii="宋体" w:eastAsia="宋体" w:hAnsi="宋体" w:cs="Times New Roman" w:hint="eastAsia"/>
          <w:b w:val="0"/>
          <w:bCs/>
          <w:szCs w:val="21"/>
        </w:rPr>
        <w:t>作业的安全性，支撑防灾减灾、生态保护及重大活动保障能力。依据国标GBT 39782—2021并结合本地实际，完成154个作业点安全射界图的精准绘制、审核，以及地面标绘和禁射标识设置，确保射界范围清晰、数据准确；规范设置作业点铭牌、安全警示标志、十不准制度牌及公告牌，达到标准统一、清晰醒目、耐用规范的要求。通过</w:t>
      </w:r>
      <w:r>
        <w:rPr>
          <w:rFonts w:ascii="宋体" w:eastAsia="宋体" w:hAnsi="宋体" w:cs="Times New Roman" w:hint="eastAsia"/>
          <w:b w:val="0"/>
          <w:bCs/>
          <w:szCs w:val="21"/>
          <w:lang w:val="en-US" w:eastAsia="zh-CN"/>
        </w:rPr>
        <w:t>配备移动布控球和对讲机，</w:t>
      </w:r>
      <w:r>
        <w:rPr>
          <w:rFonts w:ascii="宋体" w:eastAsia="宋体" w:hAnsi="宋体" w:cs="Times New Roman" w:hint="eastAsia"/>
          <w:b w:val="0"/>
          <w:bCs/>
          <w:szCs w:val="21"/>
        </w:rPr>
        <w:t>实现对</w:t>
      </w:r>
      <w:r>
        <w:rPr>
          <w:rFonts w:ascii="宋体" w:eastAsia="宋体" w:hAnsi="宋体" w:cs="Times New Roman" w:hint="eastAsia"/>
          <w:b w:val="0"/>
          <w:bCs/>
          <w:szCs w:val="21"/>
          <w:lang w:val="en-US" w:eastAsia="zh-CN"/>
        </w:rPr>
        <w:t>各移动火箭作业点作业设备和作业状况的实时监管</w:t>
      </w:r>
      <w:r>
        <w:rPr>
          <w:rFonts w:ascii="宋体" w:eastAsia="宋体" w:hAnsi="宋体" w:cs="Times New Roman" w:hint="eastAsia"/>
          <w:b w:val="0"/>
          <w:bCs/>
          <w:szCs w:val="21"/>
          <w:lang w:eastAsia="zh-CN"/>
        </w:rPr>
        <w:t>、</w:t>
      </w:r>
      <w:r>
        <w:rPr>
          <w:rFonts w:ascii="宋体" w:eastAsia="宋体" w:hAnsi="宋体" w:cs="Times New Roman" w:hint="eastAsia"/>
          <w:b w:val="0"/>
          <w:bCs/>
          <w:szCs w:val="21"/>
          <w:lang w:val="en-US" w:eastAsia="zh-CN"/>
        </w:rPr>
        <w:t>作业现场和指挥中心的即时沟通，</w:t>
      </w:r>
      <w:r>
        <w:rPr>
          <w:rFonts w:ascii="宋体" w:eastAsia="宋体" w:hAnsi="宋体" w:cs="Times New Roman" w:hint="eastAsia"/>
          <w:b w:val="0"/>
          <w:bCs/>
          <w:szCs w:val="21"/>
        </w:rPr>
        <w:t>提高</w:t>
      </w:r>
      <w:r>
        <w:rPr>
          <w:rFonts w:ascii="宋体" w:eastAsia="宋体" w:hAnsi="宋体" w:cs="Times New Roman" w:hint="eastAsia"/>
          <w:b w:val="0"/>
          <w:bCs/>
          <w:szCs w:val="21"/>
          <w:lang w:val="en-US" w:eastAsia="zh-CN"/>
        </w:rPr>
        <w:t>火箭</w:t>
      </w:r>
      <w:r>
        <w:rPr>
          <w:rFonts w:ascii="宋体" w:eastAsia="宋体" w:hAnsi="宋体" w:cs="Times New Roman" w:hint="eastAsia"/>
          <w:b w:val="0"/>
          <w:bCs/>
          <w:szCs w:val="21"/>
        </w:rPr>
        <w:t>作业的</w:t>
      </w:r>
      <w:r>
        <w:rPr>
          <w:rFonts w:ascii="宋体" w:eastAsia="宋体" w:hAnsi="宋体" w:cs="Times New Roman" w:hint="eastAsia"/>
          <w:b w:val="0"/>
          <w:bCs/>
          <w:szCs w:val="21"/>
          <w:lang w:val="en-US" w:eastAsia="zh-CN"/>
        </w:rPr>
        <w:t>安全性</w:t>
      </w:r>
      <w:r>
        <w:rPr>
          <w:rFonts w:ascii="宋体" w:eastAsia="宋体" w:hAnsi="宋体" w:cs="Times New Roman" w:hint="eastAsia"/>
          <w:b w:val="0"/>
          <w:bCs/>
          <w:szCs w:val="21"/>
        </w:rPr>
        <w:t>。</w:t>
      </w:r>
      <w:r>
        <w:rPr>
          <w:rFonts w:ascii="宋体" w:eastAsia="宋体" w:hAnsi="宋体" w:cs="Times New Roman" w:hint="eastAsia"/>
          <w:b w:val="0"/>
          <w:bCs/>
          <w:szCs w:val="21"/>
          <w:lang w:val="en-US" w:eastAsia="zh-CN"/>
        </w:rPr>
        <w:t>可将</w:t>
      </w:r>
      <w:r>
        <w:rPr>
          <w:rFonts w:ascii="宋体" w:eastAsia="宋体" w:hAnsi="宋体" w:cs="Times New Roman" w:hint="eastAsia"/>
          <w:bCs/>
          <w:szCs w:val="21"/>
        </w:rPr>
        <w:t>全部作业实时监控资源接入国省一体化人影综合业务平台（以下简称“天工平台”）</w:t>
      </w:r>
      <w:r>
        <w:rPr>
          <w:rFonts w:ascii="宋体" w:eastAsia="宋体" w:hAnsi="宋体" w:cs="Times New Roman" w:hint="eastAsia"/>
          <w:b w:val="0"/>
          <w:bCs/>
          <w:szCs w:val="21"/>
          <w:lang w:eastAsia="zh-CN"/>
        </w:rPr>
        <w:t>，</w:t>
      </w:r>
      <w:r>
        <w:rPr>
          <w:rFonts w:ascii="宋体" w:eastAsia="宋体" w:hAnsi="宋体" w:cs="Times New Roman" w:hint="eastAsia"/>
          <w:bCs/>
          <w:szCs w:val="21"/>
        </w:rPr>
        <w:t>并实现虚拟电子围栏、语音预警、指挥中心与作业点双向通话等功能</w:t>
      </w:r>
      <w:r>
        <w:rPr>
          <w:rFonts w:ascii="宋体" w:eastAsia="宋体" w:hAnsi="宋体" w:cs="Times New Roman" w:hint="eastAsia"/>
          <w:b w:val="0"/>
          <w:bCs/>
          <w:szCs w:val="21"/>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eastAsia="宋体" w:hAnsi="宋体" w:cs="Times New Roman" w:hint="eastAsia"/>
          <w:b w:val="0"/>
          <w:bCs/>
          <w:szCs w:val="21"/>
        </w:rPr>
      </w:pPr>
      <w:r>
        <w:rPr>
          <w:rFonts w:ascii="宋体" w:eastAsia="宋体" w:hAnsi="宋体" w:cs="Times New Roman" w:hint="eastAsia"/>
          <w:b w:val="0"/>
          <w:bCs/>
          <w:szCs w:val="21"/>
        </w:rPr>
        <w:t>招标内容所涵盖的系统、组件、设备、零部件等均要求质保不低于8年</w:t>
      </w:r>
      <w:r>
        <w:rPr>
          <w:rFonts w:ascii="宋体" w:hAnsi="宋体" w:cs="Times New Roman" w:hint="eastAsia"/>
          <w:b w:val="0"/>
          <w:bCs/>
          <w:szCs w:val="21"/>
          <w:lang w:eastAsia="zh-CN"/>
        </w:rPr>
        <w:t>（</w:t>
      </w:r>
      <w:r>
        <w:rPr>
          <w:rFonts w:ascii="宋体" w:hAnsi="宋体" w:cs="Times New Roman" w:hint="eastAsia"/>
          <w:b w:val="0"/>
          <w:bCs/>
          <w:szCs w:val="21"/>
          <w:lang w:val="en-US" w:eastAsia="zh-CN"/>
        </w:rPr>
        <w:t>3年质保和5年维保</w:t>
      </w:r>
      <w:r>
        <w:rPr>
          <w:rFonts w:ascii="宋体" w:hAnsi="宋体" w:cs="Times New Roman" w:hint="eastAsia"/>
          <w:b w:val="0"/>
          <w:bCs/>
          <w:szCs w:val="21"/>
          <w:lang w:eastAsia="zh-CN"/>
        </w:rPr>
        <w:t>）</w:t>
      </w:r>
      <w:r>
        <w:rPr>
          <w:rFonts w:ascii="宋体" w:eastAsia="宋体" w:hAnsi="宋体" w:cs="Times New Roman" w:hint="eastAsia"/>
          <w:b w:val="0"/>
          <w:bCs/>
          <w:szCs w:val="21"/>
        </w:rPr>
        <w:t>，质保期间厂家免费提供系统、组件升级维护、设备维护维修、零部件更换</w:t>
      </w:r>
      <w:r>
        <w:rPr>
          <w:rFonts w:ascii="宋体" w:hAnsi="宋体" w:cs="Times New Roman" w:hint="eastAsia"/>
          <w:b w:val="0"/>
          <w:bCs/>
          <w:szCs w:val="21"/>
          <w:lang w:eastAsia="zh-CN"/>
        </w:rPr>
        <w:t>，以及</w:t>
      </w:r>
      <w:r>
        <w:rPr>
          <w:rFonts w:ascii="宋体" w:eastAsia="宋体" w:hAnsi="宋体" w:cs="Times New Roman" w:hint="eastAsia"/>
          <w:b w:val="0"/>
          <w:bCs/>
          <w:szCs w:val="21"/>
        </w:rPr>
        <w:t>项目运行所需的数据流量等服务。</w:t>
      </w:r>
      <w:r>
        <w:rPr>
          <w:rFonts w:ascii="宋体" w:hAnsi="宋体" w:cs="Times New Roman" w:hint="eastAsia"/>
          <w:b w:val="0"/>
          <w:bCs/>
          <w:color w:val="000000" w:themeColor="text1"/>
          <w:szCs w:val="21"/>
          <w:lang w:val="en-US" w:eastAsia="zh-CN"/>
        </w:rPr>
        <w:t>维保期间服务内容：（a）提供技术咨询与操作指导；（b）协助诊断产品运行中出现的问题；（c）提供维修服务（超出质量保证期的维修服务，采购方需承担合理的材料费、人工费及差旅费）；（d）提供必要的备品备件供应（采购方需按供应时有效的价格支付费用，质量保证期内因质量问题更换的备件除外）。</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二、设备需求一览表（见第七章 采购需求 附表）</w:t>
      </w:r>
    </w:p>
    <w:p>
      <w:pPr>
        <w:keepNext w:val="0"/>
        <w:keepLines w:val="0"/>
        <w:pageBreakBefore w:val="0"/>
        <w:widowControl w:val="0"/>
        <w:tabs>
          <w:tab w:val="left" w:pos="540"/>
        </w:tabs>
        <w:kinsoku/>
        <w:wordWrap/>
        <w:overflowPunct/>
        <w:topLinePunct w:val="0"/>
        <w:bidi w:val="0"/>
        <w:adjustRightInd w:val="0"/>
        <w:snapToGrid w:val="0"/>
        <w:spacing w:line="360" w:lineRule="auto"/>
        <w:ind w:firstLine="420" w:firstLineChars="200"/>
        <w:outlineLvl w:val="9"/>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三</w:t>
      </w:r>
      <w:r>
        <w:rPr>
          <w:rFonts w:ascii="宋体" w:eastAsia="宋体" w:hAnsi="宋体" w:cs="Times New Roman" w:hint="eastAsia"/>
          <w:b w:val="0"/>
          <w:bCs/>
          <w:szCs w:val="21"/>
        </w:rPr>
        <w:t>、</w:t>
      </w:r>
      <w:r>
        <w:rPr>
          <w:rFonts w:ascii="宋体" w:eastAsia="宋体" w:hAnsi="宋体" w:cs="Times New Roman" w:hint="eastAsia"/>
          <w:b w:val="0"/>
          <w:bCs/>
          <w:szCs w:val="21"/>
          <w:lang w:val="en-US" w:eastAsia="zh-CN"/>
        </w:rPr>
        <w:t>技术</w:t>
      </w:r>
      <w:r>
        <w:rPr>
          <w:rFonts w:ascii="宋体" w:eastAsia="宋体" w:hAnsi="宋体" w:cs="Times New Roman" w:hint="eastAsia"/>
          <w:b w:val="0"/>
          <w:bCs/>
          <w:szCs w:val="21"/>
        </w:rPr>
        <w:t>性能</w:t>
      </w:r>
      <w:r>
        <w:rPr>
          <w:rFonts w:ascii="宋体" w:eastAsia="宋体" w:hAnsi="宋体" w:cs="Times New Roman" w:hint="eastAsia"/>
          <w:b w:val="0"/>
          <w:bCs/>
          <w:szCs w:val="21"/>
          <w:lang w:val="en-US" w:eastAsia="zh-CN"/>
        </w:rPr>
        <w:t>指标</w:t>
      </w:r>
    </w:p>
    <w:p>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20" w:firstLineChars="200"/>
        <w:textAlignment w:val="auto"/>
        <w:outlineLvl w:val="9"/>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（一）基本要求</w:t>
      </w:r>
    </w:p>
    <w:p>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20" w:firstLineChars="200"/>
        <w:textAlignment w:val="auto"/>
        <w:outlineLvl w:val="9"/>
        <w:rPr>
          <w:rFonts w:ascii="宋体" w:eastAsia="宋体" w:hAnsi="宋体" w:cs="Times New Roman" w:hint="eastAsia"/>
          <w:bCs/>
          <w:szCs w:val="21"/>
        </w:rPr>
      </w:pPr>
      <w:r>
        <w:rPr>
          <w:rFonts w:ascii="宋体" w:eastAsia="宋体" w:hAnsi="宋体" w:cs="Times New Roman" w:hint="eastAsia"/>
          <w:bCs/>
          <w:szCs w:val="21"/>
        </w:rPr>
        <w:t>1.投标人提供的各类设备与软件必须满足标书提出的功能和规格描述。</w:t>
      </w:r>
    </w:p>
    <w:p>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20" w:firstLineChars="200"/>
        <w:textAlignment w:val="auto"/>
        <w:outlineLvl w:val="9"/>
        <w:rPr>
          <w:rFonts w:ascii="宋体" w:eastAsia="宋体" w:hAnsi="宋体" w:cs="Times New Roman" w:hint="eastAsia"/>
          <w:bCs/>
          <w:szCs w:val="21"/>
        </w:rPr>
      </w:pPr>
      <w:r>
        <w:rPr>
          <w:rFonts w:ascii="宋体" w:eastAsia="宋体" w:hAnsi="宋体" w:cs="Times New Roman" w:hint="eastAsia"/>
          <w:bCs/>
          <w:szCs w:val="21"/>
        </w:rPr>
        <w:t>2.投标人提供的系统软、硬件的性能应达到或超过招标书所列技术指标。投标人在响应建议中必须就有关技术指标列出具体数值，否则将视为不符合技术性能需求。</w:t>
      </w:r>
    </w:p>
    <w:p>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20" w:firstLineChars="200"/>
        <w:textAlignment w:val="auto"/>
        <w:outlineLvl w:val="9"/>
        <w:rPr>
          <w:rFonts w:ascii="宋体" w:eastAsia="宋体" w:hAnsi="宋体" w:cs="Times New Roman" w:hint="eastAsia"/>
          <w:bCs/>
          <w:szCs w:val="21"/>
        </w:rPr>
      </w:pPr>
      <w:r>
        <w:rPr>
          <w:rFonts w:ascii="宋体" w:eastAsia="宋体" w:hAnsi="宋体" w:cs="Times New Roman" w:hint="eastAsia"/>
          <w:bCs/>
          <w:szCs w:val="21"/>
        </w:rPr>
        <w:t>3.投标人的设备报价表应尽量具体详细，报价表中要明确设备厂家、型号和价格等。</w:t>
      </w:r>
    </w:p>
    <w:p>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20" w:firstLineChars="200"/>
        <w:textAlignment w:val="auto"/>
        <w:outlineLvl w:val="9"/>
        <w:rPr>
          <w:rFonts w:ascii="宋体" w:eastAsia="宋体" w:hAnsi="宋体" w:cs="Times New Roman" w:hint="eastAsia"/>
          <w:bCs/>
          <w:szCs w:val="21"/>
        </w:rPr>
      </w:pPr>
      <w:r>
        <w:rPr>
          <w:rFonts w:ascii="宋体" w:eastAsia="宋体" w:hAnsi="宋体" w:cs="Times New Roman" w:hint="eastAsia"/>
          <w:bCs/>
          <w:szCs w:val="21"/>
        </w:rPr>
        <w:t>4.所列性能指标要求只是最低标准，还需要考察性能高低和方案（包括技术和售后服务）优劣以及设备价格，选择性价比最优者选用。</w:t>
      </w:r>
    </w:p>
    <w:p>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20" w:firstLineChars="200"/>
        <w:textAlignment w:val="auto"/>
        <w:outlineLvl w:val="9"/>
        <w:rPr>
          <w:rFonts w:ascii="宋体" w:eastAsia="宋体" w:hAnsi="宋体" w:cs="Times New Roman" w:hint="eastAsia"/>
          <w:bCs/>
          <w:szCs w:val="21"/>
        </w:rPr>
      </w:pPr>
      <w:r>
        <w:rPr>
          <w:rFonts w:ascii="宋体" w:eastAsia="宋体" w:hAnsi="宋体" w:cs="Times New Roman" w:hint="eastAsia"/>
          <w:bCs/>
          <w:szCs w:val="21"/>
        </w:rPr>
        <w:t>5.投标人提供的设备的性能指标，按照投标时厂家公开公布的实际性能指标参数如实填写，填写“将来支持或未来支持等不确切的性能指标参数”，即为不支持；若发现弄虚作假，即废标，并追究投标人和生产厂家递交虚假资料的法律责任。</w:t>
      </w:r>
    </w:p>
    <w:p>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20" w:firstLineChars="200"/>
        <w:textAlignment w:val="auto"/>
        <w:outlineLvl w:val="9"/>
        <w:rPr>
          <w:rFonts w:ascii="宋体" w:eastAsia="宋体" w:hAnsi="宋体" w:cs="Times New Roman" w:hint="eastAsia"/>
          <w:bCs/>
          <w:szCs w:val="21"/>
        </w:rPr>
      </w:pPr>
      <w:r>
        <w:rPr>
          <w:rFonts w:ascii="宋体" w:eastAsia="宋体" w:hAnsi="宋体" w:cs="Times New Roman" w:hint="eastAsia"/>
          <w:bCs/>
          <w:szCs w:val="21"/>
        </w:rPr>
        <w:t xml:space="preserve">6.设备及相应的配套设施，应具有良好的防潮、防锈和防腐蚀能力，适应强降水工作环境。 </w:t>
      </w:r>
    </w:p>
    <w:p>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20" w:firstLineChars="200"/>
        <w:textAlignment w:val="auto"/>
        <w:outlineLvl w:val="9"/>
        <w:rPr>
          <w:rFonts w:ascii="宋体" w:eastAsia="宋体" w:hAnsi="宋体" w:cs="Times New Roman" w:hint="eastAsia"/>
          <w:bCs/>
          <w:szCs w:val="21"/>
        </w:rPr>
      </w:pPr>
      <w:r>
        <w:rPr>
          <w:rFonts w:ascii="宋体" w:eastAsia="宋体" w:hAnsi="宋体" w:cs="Times New Roman" w:hint="eastAsia"/>
          <w:bCs/>
          <w:szCs w:val="21"/>
        </w:rPr>
        <w:t>7.投标产品为国产设备。</w:t>
      </w:r>
    </w:p>
    <w:p>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20" w:firstLineChars="200"/>
        <w:textAlignment w:val="auto"/>
        <w:outlineLvl w:val="0"/>
        <w:rPr>
          <w:rFonts w:ascii="宋体" w:eastAsia="宋体" w:hAnsi="宋体" w:cs="Times New Roman" w:hint="default"/>
          <w:b w:val="0"/>
          <w:bCs/>
          <w:szCs w:val="21"/>
        </w:rPr>
      </w:pPr>
      <w:r>
        <w:rPr>
          <w:rFonts w:ascii="宋体" w:eastAsia="宋体" w:hAnsi="宋体" w:cs="Times New Roman" w:hint="eastAsia"/>
          <w:b w:val="0"/>
          <w:bCs/>
          <w:szCs w:val="21"/>
          <w:lang w:val="en-US" w:eastAsia="zh-CN"/>
        </w:rPr>
        <w:t>（二）技术指标要求</w:t>
      </w:r>
    </w:p>
    <w:p>
      <w:pPr>
        <w:keepNext w:val="0"/>
        <w:keepLines w:val="0"/>
        <w:pageBreakBefore w:val="0"/>
        <w:widowControl w:val="0"/>
        <w:kinsoku/>
        <w:wordWrap/>
        <w:overflowPunct/>
        <w:topLinePunct w:val="0"/>
        <w:autoSpaceDE w:val="0"/>
        <w:autoSpaceDN w:val="0"/>
        <w:bidi w:val="0"/>
        <w:adjustRightInd w:val="0"/>
        <w:snapToGrid w:val="0"/>
        <w:spacing w:before="0" w:line="360" w:lineRule="auto"/>
        <w:ind w:firstLine="420" w:firstLineChars="200"/>
        <w:jc w:val="left"/>
        <w:textAlignment w:val="baseline"/>
        <w:outlineLvl w:val="9"/>
        <w:rPr>
          <w:rFonts w:ascii="宋体" w:eastAsia="宋体" w:hAnsi="宋体" w:cs="宋体" w:hint="eastAsia"/>
          <w:snapToGrid w:val="0"/>
          <w:color w:val="000000"/>
          <w:spacing w:val="-1"/>
          <w:kern w:val="0"/>
          <w:szCs w:val="21"/>
        </w:rPr>
      </w:pPr>
      <w:r>
        <w:rPr>
          <w:rFonts w:ascii="宋体" w:eastAsia="宋体" w:hAnsi="宋体" w:cs="宋体" w:hint="eastAsia"/>
          <w:snapToGrid w:val="0"/>
          <w:color w:val="000000"/>
          <w:spacing w:val="-1"/>
          <w:kern w:val="0"/>
          <w:sz w:val="21"/>
          <w:szCs w:val="21"/>
          <w:lang w:val="en-US" w:eastAsia="zh-CN" w:bidi="ar-SA"/>
        </w:rPr>
        <w:t>设备技术性能具体要求如下：</w:t>
      </w:r>
    </w:p>
    <w:p>
      <w:pPr>
        <w:keepNext w:val="0"/>
        <w:keepLines w:val="0"/>
        <w:pageBreakBefore w:val="0"/>
        <w:widowControl w:val="0"/>
        <w:kinsoku/>
        <w:wordWrap/>
        <w:overflowPunct/>
        <w:topLinePunct w:val="0"/>
        <w:autoSpaceDE w:val="0"/>
        <w:autoSpaceDN w:val="0"/>
        <w:bidi w:val="0"/>
        <w:adjustRightInd w:val="0"/>
        <w:snapToGrid w:val="0"/>
        <w:spacing w:before="0" w:line="560" w:lineRule="exact"/>
        <w:ind w:firstLine="420" w:firstLineChars="200"/>
        <w:jc w:val="center"/>
        <w:textAlignment w:val="baseline"/>
        <w:outlineLvl w:val="9"/>
        <w:rPr>
          <w:rFonts w:ascii="宋体" w:eastAsia="宋体" w:hAnsi="宋体" w:cs="宋体" w:hint="eastAsia"/>
          <w:snapToGrid w:val="0"/>
          <w:color w:val="000000"/>
          <w:spacing w:val="-1"/>
          <w:kern w:val="0"/>
          <w:szCs w:val="21"/>
        </w:rPr>
      </w:pPr>
      <w:r>
        <w:rPr>
          <w:rFonts w:ascii="宋体" w:eastAsia="宋体" w:hAnsi="宋体" w:cs="宋体" w:hint="eastAsia"/>
          <w:snapToGrid w:val="0"/>
          <w:color w:val="000000"/>
          <w:spacing w:val="-1"/>
          <w:kern w:val="0"/>
          <w:sz w:val="21"/>
          <w:szCs w:val="21"/>
          <w:lang w:val="en-US" w:eastAsia="zh-CN" w:bidi="ar-SA"/>
        </w:rPr>
        <w:t>表1 移动布控球技术性能要求</w:t>
      </w:r>
    </w:p>
    <w:tbl>
      <w:tblPr>
        <w:tblStyle w:val="TableNormal"/>
        <w:tblW w:w="50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37"/>
        <w:gridCol w:w="1100"/>
        <w:gridCol w:w="4991"/>
        <w:gridCol w:w="655"/>
        <w:gridCol w:w="718"/>
        <w:gridCol w:w="913"/>
      </w:tblGrid>
      <w:tr>
        <w:tblPrEx>
          <w:tblW w:w="50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733"/>
          <w:jc w:val="center"/>
        </w:trPr>
        <w:tc>
          <w:tcPr>
            <w:tcW w:w="354" w:type="pct"/>
            <w:noWrap w:val="0"/>
            <w:vAlign w:val="center"/>
          </w:tcPr>
          <w:p>
            <w:pPr>
              <w:widowControl w:val="0"/>
              <w:jc w:val="center"/>
              <w:rPr>
                <w:rFonts w:ascii="宋体" w:eastAsia="宋体" w:hAnsi="宋体" w:cs="宋体" w:hint="eastAsia"/>
                <w:color w:val="000000" w:themeColor="text1"/>
                <w:szCs w:val="21"/>
              </w:rPr>
            </w:pPr>
            <w:r>
              <w:rPr>
                <w:rFonts w:ascii="宋体" w:eastAsia="宋体" w:hAnsi="宋体" w:cs="宋体" w:hint="eastAsia"/>
                <w:color w:val="000000" w:themeColor="text1"/>
                <w:kern w:val="2"/>
                <w:sz w:val="21"/>
                <w:szCs w:val="21"/>
                <w:lang w:val="en-US" w:eastAsia="zh-CN" w:bidi="ar-SA"/>
              </w:rPr>
              <w:t>序号</w:t>
            </w:r>
          </w:p>
        </w:tc>
        <w:tc>
          <w:tcPr>
            <w:tcW w:w="610" w:type="pct"/>
            <w:noWrap w:val="0"/>
            <w:vAlign w:val="center"/>
          </w:tcPr>
          <w:p>
            <w:pPr>
              <w:widowControl w:val="0"/>
              <w:jc w:val="center"/>
              <w:rPr>
                <w:rFonts w:ascii="宋体" w:eastAsia="宋体" w:hAnsi="宋体" w:cs="宋体" w:hint="eastAsia"/>
                <w:color w:val="000000" w:themeColor="text1"/>
                <w:szCs w:val="21"/>
              </w:rPr>
            </w:pPr>
            <w:r>
              <w:rPr>
                <w:rFonts w:ascii="宋体" w:eastAsia="宋体" w:hAnsi="宋体" w:cs="宋体" w:hint="eastAsia"/>
                <w:color w:val="000000" w:themeColor="text1"/>
                <w:kern w:val="2"/>
                <w:sz w:val="21"/>
                <w:szCs w:val="21"/>
                <w:lang w:val="en-US" w:eastAsia="zh-CN" w:bidi="ar-SA"/>
              </w:rPr>
              <w:t>名称</w:t>
            </w:r>
          </w:p>
        </w:tc>
        <w:tc>
          <w:tcPr>
            <w:tcW w:w="2767" w:type="pct"/>
            <w:noWrap w:val="0"/>
            <w:vAlign w:val="center"/>
          </w:tcPr>
          <w:p>
            <w:pPr>
              <w:widowControl w:val="0"/>
              <w:jc w:val="center"/>
              <w:rPr>
                <w:rFonts w:ascii="宋体" w:eastAsia="宋体" w:hAnsi="宋体" w:cs="宋体" w:hint="eastAsia"/>
                <w:color w:val="000000" w:themeColor="text1"/>
                <w:szCs w:val="21"/>
              </w:rPr>
            </w:pPr>
            <w:r>
              <w:rPr>
                <w:rFonts w:ascii="宋体" w:eastAsia="宋体" w:hAnsi="宋体" w:cs="宋体" w:hint="eastAsia"/>
                <w:color w:val="000000" w:themeColor="text1"/>
                <w:kern w:val="2"/>
                <w:sz w:val="21"/>
                <w:szCs w:val="21"/>
                <w:lang w:val="en-US" w:eastAsia="zh-CN" w:bidi="ar-SA"/>
              </w:rPr>
              <w:t>主要技术性能要求</w:t>
            </w:r>
          </w:p>
        </w:tc>
        <w:tc>
          <w:tcPr>
            <w:tcW w:w="363" w:type="pct"/>
            <w:noWrap w:val="0"/>
            <w:vAlign w:val="center"/>
          </w:tcPr>
          <w:p>
            <w:pPr>
              <w:widowControl w:val="0"/>
              <w:jc w:val="center"/>
              <w:rPr>
                <w:rFonts w:ascii="宋体" w:eastAsia="宋体" w:hAnsi="宋体" w:cs="宋体" w:hint="eastAsia"/>
                <w:color w:val="000000" w:themeColor="text1"/>
                <w:szCs w:val="21"/>
              </w:rPr>
            </w:pPr>
            <w:r>
              <w:rPr>
                <w:rFonts w:ascii="宋体" w:eastAsia="宋体" w:hAnsi="宋体" w:cs="宋体" w:hint="eastAsia"/>
                <w:color w:val="000000" w:themeColor="text1"/>
                <w:kern w:val="2"/>
                <w:sz w:val="21"/>
                <w:szCs w:val="21"/>
                <w:lang w:val="en-US" w:eastAsia="zh-CN" w:bidi="ar-SA"/>
              </w:rPr>
              <w:t>数量</w:t>
            </w:r>
          </w:p>
        </w:tc>
        <w:tc>
          <w:tcPr>
            <w:tcW w:w="398" w:type="pct"/>
            <w:noWrap w:val="0"/>
            <w:vAlign w:val="center"/>
          </w:tcPr>
          <w:p>
            <w:pPr>
              <w:widowControl w:val="0"/>
              <w:jc w:val="center"/>
              <w:rPr>
                <w:rFonts w:ascii="宋体" w:eastAsia="宋体" w:hAnsi="宋体" w:cs="宋体" w:hint="eastAsia"/>
                <w:color w:val="000000" w:themeColor="text1"/>
                <w:szCs w:val="21"/>
              </w:rPr>
            </w:pPr>
            <w:r>
              <w:rPr>
                <w:rFonts w:ascii="宋体" w:eastAsia="宋体" w:hAnsi="宋体" w:cs="宋体" w:hint="eastAsia"/>
                <w:color w:val="000000" w:themeColor="text1"/>
                <w:kern w:val="2"/>
                <w:sz w:val="21"/>
                <w:szCs w:val="21"/>
                <w:lang w:val="en-US" w:eastAsia="zh-CN" w:bidi="ar-SA"/>
              </w:rPr>
              <w:t>单位</w:t>
            </w:r>
          </w:p>
        </w:tc>
        <w:tc>
          <w:tcPr>
            <w:tcW w:w="506" w:type="pct"/>
            <w:noWrap w:val="0"/>
            <w:vAlign w:val="center"/>
          </w:tcPr>
          <w:p>
            <w:pPr>
              <w:widowControl w:val="0"/>
              <w:jc w:val="center"/>
              <w:rPr>
                <w:rFonts w:ascii="宋体" w:eastAsia="宋体" w:hAnsi="宋体" w:cs="宋体" w:hint="eastAsia"/>
                <w:color w:val="000000" w:themeColor="text1"/>
                <w:szCs w:val="21"/>
              </w:rPr>
            </w:pPr>
            <w:r>
              <w:rPr>
                <w:rFonts w:ascii="宋体" w:eastAsia="宋体" w:hAnsi="宋体" w:cs="宋体" w:hint="eastAsia"/>
                <w:color w:val="000000" w:themeColor="text1"/>
                <w:kern w:val="2"/>
                <w:sz w:val="21"/>
                <w:szCs w:val="21"/>
                <w:lang w:val="en-US" w:eastAsia="zh-CN" w:bidi="ar-SA"/>
              </w:rPr>
              <w:t>备注</w:t>
            </w:r>
          </w:p>
        </w:tc>
      </w:tr>
      <w:tr>
        <w:tblPrEx>
          <w:tblW w:w="5006" w:type="pct"/>
          <w:jc w:val="center"/>
          <w:tblCellMar>
            <w:top w:w="0" w:type="dxa"/>
            <w:left w:w="108" w:type="dxa"/>
            <w:bottom w:w="0" w:type="dxa"/>
            <w:right w:w="108" w:type="dxa"/>
          </w:tblCellMar>
        </w:tblPrEx>
        <w:trPr>
          <w:trHeight w:val="401"/>
          <w:jc w:val="center"/>
        </w:trPr>
        <w:tc>
          <w:tcPr>
            <w:tcW w:w="354" w:type="pct"/>
            <w:noWrap w:val="0"/>
            <w:vAlign w:val="center"/>
          </w:tcPr>
          <w:p>
            <w:pPr>
              <w:widowControl w:val="0"/>
              <w:jc w:val="center"/>
              <w:rPr>
                <w:rFonts w:ascii="宋体" w:eastAsia="宋体" w:hAnsi="宋体" w:cs="宋体" w:hint="eastAsia"/>
                <w:color w:val="000000" w:themeColor="text1"/>
                <w:szCs w:val="21"/>
                <w:highlight w:val="none"/>
              </w:rPr>
            </w:pPr>
            <w:r>
              <w:rPr>
                <w:rFonts w:ascii="宋体" w:eastAsia="宋体" w:hAnsi="宋体" w:cs="宋体" w:hint="eastAsia"/>
                <w:color w:val="000000" w:themeColor="text1"/>
                <w:kern w:val="2"/>
                <w:sz w:val="21"/>
                <w:szCs w:val="21"/>
                <w:highlight w:val="none"/>
                <w:lang w:val="en-US" w:eastAsia="zh-CN" w:bidi="ar-SA"/>
              </w:rPr>
              <w:t>1</w:t>
            </w:r>
          </w:p>
        </w:tc>
        <w:tc>
          <w:tcPr>
            <w:tcW w:w="610" w:type="pct"/>
            <w:noWrap w:val="0"/>
            <w:vAlign w:val="center"/>
          </w:tcPr>
          <w:p>
            <w:pPr>
              <w:widowControl w:val="0"/>
              <w:jc w:val="center"/>
              <w:rPr>
                <w:rFonts w:ascii="宋体" w:eastAsia="宋体" w:hAnsi="宋体" w:cs="宋体" w:hint="default"/>
                <w:color w:val="000000" w:themeColor="text1"/>
                <w:szCs w:val="21"/>
                <w:highlight w:val="none"/>
              </w:rPr>
            </w:pPr>
            <w:r>
              <w:rPr>
                <w:rFonts w:ascii="宋体" w:eastAsia="宋体" w:hAnsi="宋体" w:cs="宋体" w:hint="eastAsia"/>
                <w:color w:val="000000" w:themeColor="text1"/>
                <w:kern w:val="2"/>
                <w:sz w:val="21"/>
                <w:szCs w:val="21"/>
                <w:highlight w:val="none"/>
                <w:lang w:val="en-US" w:eastAsia="zh-CN" w:bidi="ar-SA"/>
              </w:rPr>
              <w:t>移动布控球</w:t>
            </w:r>
          </w:p>
        </w:tc>
        <w:tc>
          <w:tcPr>
            <w:tcW w:w="2767" w:type="pct"/>
            <w:noWrap w:val="0"/>
            <w:vAlign w:val="center"/>
          </w:tcPr>
          <w:p>
            <w:pPr>
              <w:pStyle w:val="BodyTextFirstIndent2"/>
              <w:ind w:firstLine="0" w:firstLineChars="0"/>
              <w:rPr>
                <w:rFonts w:eastAsia="宋体" w:cs="宋体" w:hint="eastAsia"/>
                <w:color w:themeColor="text1"/>
                <w:sz w:val="21"/>
                <w:szCs w:val="21"/>
              </w:rPr>
            </w:pPr>
            <w:r>
              <w:rPr>
                <w:rFonts w:ascii="宋体" w:eastAsia="宋体" w:hAnsi="宋体" w:cs="宋体" w:hint="eastAsia"/>
                <w:color w:val="000000" w:themeColor="text1"/>
                <w:sz w:val="21"/>
                <w:szCs w:val="21"/>
                <w:lang w:val="en-US" w:eastAsia="zh-CN"/>
              </w:rPr>
              <w:t>▲</w:t>
            </w:r>
            <w:r>
              <w:rPr>
                <w:rFonts w:ascii="宋体" w:eastAsia="宋体" w:hAnsi="宋体" w:cs="宋体" w:hint="eastAsia"/>
                <w:color w:val="000000" w:themeColor="text1"/>
                <w:sz w:val="21"/>
                <w:szCs w:val="21"/>
              </w:rPr>
              <w:t>1、具有1个全景摄像头和1个特写摄像头，支持两个摄像头同时预览。分辨率：特写≥</w:t>
            </w:r>
            <w:r>
              <w:rPr>
                <w:rFonts w:ascii="宋体" w:eastAsia="宋体" w:hAnsi="宋体" w:cs="宋体" w:hint="eastAsia"/>
                <w:color w:val="000000" w:themeColor="text1"/>
                <w:sz w:val="21"/>
                <w:szCs w:val="21"/>
                <w:lang w:val="en-US" w:eastAsia="zh-CN"/>
              </w:rPr>
              <w:t>2560*1440</w:t>
            </w:r>
            <w:r>
              <w:rPr>
                <w:rFonts w:ascii="宋体" w:hAnsi="宋体" w:cs="宋体" w:hint="eastAsia"/>
                <w:color w:val="000000" w:themeColor="text1"/>
                <w:sz w:val="21"/>
                <w:szCs w:val="21"/>
                <w:lang w:val="en-US" w:eastAsia="zh-CN"/>
              </w:rPr>
              <w:t>，</w:t>
            </w:r>
            <w:r>
              <w:rPr>
                <w:rFonts w:ascii="宋体" w:eastAsia="宋体" w:hAnsi="宋体" w:cs="宋体" w:hint="eastAsia"/>
                <w:color w:val="000000" w:themeColor="text1"/>
                <w:sz w:val="21"/>
                <w:szCs w:val="21"/>
                <w:lang w:val="en-US" w:eastAsia="zh-CN"/>
              </w:rPr>
              <w:t>全景</w:t>
            </w:r>
            <w:r>
              <w:rPr>
                <w:rFonts w:ascii="宋体" w:eastAsia="宋体" w:hAnsi="宋体" w:cs="宋体" w:hint="eastAsia"/>
                <w:color w:val="000000" w:themeColor="text1"/>
                <w:sz w:val="21"/>
                <w:szCs w:val="21"/>
              </w:rPr>
              <w:t>≥2160×3840</w:t>
            </w:r>
            <w:r>
              <w:rPr>
                <w:rFonts w:ascii="宋体" w:hAnsi="宋体" w:cs="宋体" w:hint="eastAsia"/>
                <w:color w:val="000000" w:themeColor="text1"/>
                <w:sz w:val="21"/>
                <w:szCs w:val="21"/>
                <w:lang w:eastAsia="zh-CN"/>
              </w:rPr>
              <w:t>；需提供由第三方专业机构出具的检测报告（扫描件或复印件），并加盖厂家公章；</w:t>
            </w:r>
          </w:p>
          <w:p>
            <w:pPr>
              <w:pStyle w:val="BodyTextFirstIndent2"/>
              <w:ind w:firstLine="0" w:firstLineChars="0"/>
              <w:rPr>
                <w:rFonts w:eastAsia="宋体" w:cs="宋体" w:hint="eastAsia"/>
                <w:color w:themeColor="text1"/>
                <w:sz w:val="21"/>
                <w:szCs w:val="21"/>
                <w:lang w:val="en-US"/>
              </w:rPr>
            </w:pPr>
            <w:r>
              <w:rPr>
                <w:rFonts w:ascii="宋体" w:eastAsia="宋体" w:hAnsi="宋体" w:cs="宋体" w:hint="eastAsia"/>
                <w:color w:val="000000" w:themeColor="text1"/>
                <w:sz w:val="21"/>
                <w:szCs w:val="21"/>
              </w:rPr>
              <w:t>2、夜视能力：彩色模式最低照度≤0.0001Lux ，黑白模式最低照度≤0.00005Lux</w:t>
            </w:r>
            <w:r>
              <w:rPr>
                <w:rFonts w:ascii="宋体" w:eastAsia="宋体" w:hAnsi="宋体" w:cs="宋体" w:hint="eastAsia"/>
                <w:color w:val="000000" w:themeColor="text1"/>
                <w:sz w:val="21"/>
                <w:szCs w:val="21"/>
                <w:lang w:eastAsia="zh-CN"/>
              </w:rPr>
              <w:t>，</w:t>
            </w:r>
            <w:r>
              <w:rPr>
                <w:rFonts w:ascii="宋体" w:eastAsia="宋体" w:hAnsi="宋体" w:cs="宋体" w:hint="eastAsia"/>
                <w:color w:val="000000" w:themeColor="text1"/>
                <w:sz w:val="21"/>
                <w:szCs w:val="21"/>
                <w:lang w:val="en-US" w:eastAsia="zh-CN"/>
              </w:rPr>
              <w:t>能基本分辨被摄目标的轮廓特征</w:t>
            </w:r>
            <w:r>
              <w:rPr>
                <w:rFonts w:ascii="宋体" w:hAnsi="宋体" w:cs="宋体" w:hint="eastAsia"/>
                <w:color w:val="000000" w:themeColor="text1"/>
                <w:sz w:val="21"/>
                <w:szCs w:val="21"/>
                <w:lang w:val="en-US" w:eastAsia="zh-CN"/>
              </w:rPr>
              <w:t>；</w:t>
            </w:r>
          </w:p>
          <w:p>
            <w:pPr>
              <w:pStyle w:val="BodyTextFirstIndent2"/>
              <w:ind w:firstLine="0" w:firstLineChars="0"/>
              <w:rPr>
                <w:rFonts w:cs="宋体" w:hint="eastAsia"/>
                <w:color w:themeColor="text1"/>
                <w:sz w:val="21"/>
                <w:szCs w:val="21"/>
              </w:rPr>
            </w:pPr>
            <w:r>
              <w:rPr>
                <w:rFonts w:cs="宋体" w:hint="eastAsia"/>
                <w:color w:val="000000" w:themeColor="text1"/>
                <w:sz w:val="21"/>
                <w:szCs w:val="21"/>
                <w:lang w:val="en-US" w:eastAsia="zh-CN"/>
              </w:rPr>
              <w:t>3、</w:t>
            </w:r>
            <w:r>
              <w:rPr>
                <w:rFonts w:ascii="宋体" w:eastAsia="宋体" w:hAnsi="宋体" w:cs="宋体" w:hint="eastAsia"/>
                <w:color w:val="000000" w:themeColor="text1"/>
                <w:sz w:val="21"/>
                <w:szCs w:val="21"/>
              </w:rPr>
              <w:t>机身自带</w:t>
            </w:r>
            <w:r>
              <w:rPr>
                <w:rFonts w:cs="宋体" w:hint="eastAsia"/>
                <w:color w:val="000000" w:themeColor="text1"/>
                <w:sz w:val="21"/>
                <w:szCs w:val="21"/>
                <w:lang w:val="en-US" w:eastAsia="zh-CN"/>
              </w:rPr>
              <w:t>显示屏，支持</w:t>
            </w:r>
            <w:r>
              <w:rPr>
                <w:rFonts w:ascii="宋体" w:eastAsia="宋体" w:hAnsi="宋体" w:cs="宋体" w:hint="eastAsia"/>
                <w:color w:val="000000" w:themeColor="text1"/>
                <w:sz w:val="21"/>
                <w:szCs w:val="21"/>
              </w:rPr>
              <w:t>触摸，支持视频预览、功能设置、系统参数设置，支持控制云台进行转动、变焦命令，支持智能功能选择；可显示当前电池电量、</w:t>
            </w:r>
            <w:r>
              <w:rPr>
                <w:rFonts w:cs="宋体" w:hint="eastAsia"/>
                <w:color w:val="000000" w:themeColor="text1"/>
                <w:sz w:val="21"/>
                <w:szCs w:val="21"/>
              </w:rPr>
              <w:t>定位状态</w:t>
            </w:r>
            <w:r>
              <w:rPr>
                <w:rFonts w:ascii="宋体" w:eastAsia="宋体" w:hAnsi="宋体" w:cs="宋体" w:hint="eastAsia"/>
                <w:color w:val="000000" w:themeColor="text1"/>
                <w:sz w:val="21"/>
                <w:szCs w:val="21"/>
              </w:rPr>
              <w:t>、3G/4G/5G状态、录像状态、存储</w:t>
            </w:r>
            <w:r>
              <w:rPr>
                <w:rFonts w:ascii="宋体" w:hAnsi="宋体" w:cs="宋体" w:hint="eastAsia"/>
                <w:color w:val="000000" w:themeColor="text1"/>
                <w:sz w:val="21"/>
                <w:szCs w:val="21"/>
                <w:lang w:val="en-US" w:eastAsia="zh-CN"/>
              </w:rPr>
              <w:t>时间</w:t>
            </w:r>
            <w:r>
              <w:rPr>
                <w:rFonts w:ascii="宋体" w:eastAsia="宋体" w:hAnsi="宋体" w:cs="宋体" w:hint="eastAsia"/>
                <w:color w:val="000000" w:themeColor="text1"/>
                <w:sz w:val="21"/>
                <w:szCs w:val="21"/>
              </w:rPr>
              <w:t>、蓝牙状态、平台连接状态、Wi-Fi状态等</w:t>
            </w:r>
            <w:r>
              <w:rPr>
                <w:rFonts w:ascii="宋体" w:hAnsi="宋体" w:cs="宋体" w:hint="eastAsia"/>
                <w:color w:val="000000" w:themeColor="text1"/>
                <w:sz w:val="21"/>
                <w:szCs w:val="21"/>
                <w:lang w:eastAsia="zh-CN"/>
              </w:rPr>
              <w:t>；</w:t>
            </w:r>
          </w:p>
          <w:p>
            <w:pPr>
              <w:pStyle w:val="BodyTextFirstIndent2"/>
              <w:ind w:firstLine="0" w:firstLineChars="0"/>
              <w:rPr>
                <w:rFonts w:eastAsia="宋体" w:cs="宋体" w:hint="eastAsia"/>
                <w:color w:themeColor="text1"/>
                <w:sz w:val="21"/>
                <w:szCs w:val="21"/>
                <w:lang w:val="en-US"/>
              </w:rPr>
            </w:pPr>
            <w:r>
              <w:rPr>
                <w:rFonts w:ascii="宋体" w:eastAsia="宋体" w:hAnsi="宋体" w:cs="宋体" w:hint="eastAsia"/>
                <w:color w:val="000000" w:themeColor="text1"/>
                <w:sz w:val="21"/>
                <w:szCs w:val="21"/>
                <w:lang w:val="en-US" w:eastAsia="zh-CN"/>
              </w:rPr>
              <w:t>4、支持红外补光，补光距离</w:t>
            </w:r>
            <w:r>
              <w:rPr>
                <w:rFonts w:ascii="宋体" w:eastAsia="宋体" w:hAnsi="宋体" w:cs="宋体" w:hint="eastAsia"/>
                <w:color w:val="000000" w:themeColor="text1"/>
                <w:sz w:val="21"/>
                <w:szCs w:val="21"/>
              </w:rPr>
              <w:t>≥</w:t>
            </w:r>
            <w:r>
              <w:rPr>
                <w:rFonts w:ascii="宋体" w:eastAsia="宋体" w:hAnsi="宋体" w:cs="宋体" w:hint="eastAsia"/>
                <w:color w:val="000000" w:themeColor="text1"/>
                <w:sz w:val="21"/>
                <w:szCs w:val="21"/>
                <w:lang w:val="en-US" w:eastAsia="zh-CN"/>
              </w:rPr>
              <w:t>100米</w:t>
            </w:r>
            <w:r>
              <w:rPr>
                <w:rFonts w:ascii="宋体" w:hAnsi="宋体" w:cs="宋体" w:hint="eastAsia"/>
                <w:color w:val="000000" w:themeColor="text1"/>
                <w:sz w:val="21"/>
                <w:szCs w:val="21"/>
                <w:lang w:val="en-US" w:eastAsia="zh-CN"/>
              </w:rPr>
              <w:t>；</w:t>
            </w:r>
          </w:p>
          <w:p>
            <w:pPr>
              <w:pStyle w:val="BodyTextFirstIndent2"/>
              <w:ind w:firstLine="0" w:firstLineChars="0"/>
              <w:rPr>
                <w:rFonts w:eastAsia="宋体" w:cs="宋体" w:hint="eastAsia"/>
                <w:color w:themeColor="text1"/>
                <w:sz w:val="21"/>
                <w:szCs w:val="21"/>
              </w:rPr>
            </w:pPr>
            <w:r>
              <w:rPr>
                <w:rFonts w:hint="eastAsia"/>
                <w:color w:val="000000" w:themeColor="text1"/>
              </w:rPr>
              <w:t>▲</w:t>
            </w:r>
            <w:r>
              <w:rPr>
                <w:rFonts w:ascii="宋体" w:eastAsia="宋体" w:hAnsi="宋体" w:cs="宋体" w:hint="eastAsia"/>
                <w:color w:val="000000" w:themeColor="text1"/>
                <w:sz w:val="21"/>
                <w:szCs w:val="21"/>
              </w:rPr>
              <w:t>5、</w:t>
            </w:r>
            <w:r>
              <w:rPr>
                <w:rFonts w:ascii="宋体" w:eastAsia="宋体" w:hAnsi="宋体" w:cs="宋体" w:hint="eastAsia"/>
                <w:color w:val="000000" w:themeColor="text1"/>
                <w:sz w:val="21"/>
                <w:szCs w:val="21"/>
                <w:lang w:val="en-US" w:eastAsia="zh-CN"/>
              </w:rPr>
              <w:t>设备</w:t>
            </w:r>
            <w:r>
              <w:rPr>
                <w:rFonts w:ascii="宋体" w:eastAsia="宋体" w:hAnsi="宋体" w:cs="宋体" w:hint="eastAsia"/>
                <w:color w:val="000000" w:themeColor="text1"/>
                <w:sz w:val="21"/>
                <w:szCs w:val="21"/>
              </w:rPr>
              <w:t>具有≥</w:t>
            </w:r>
            <w:r>
              <w:rPr>
                <w:rFonts w:ascii="宋体" w:eastAsia="宋体" w:hAnsi="宋体" w:cs="宋体" w:hint="eastAsia"/>
                <w:color w:val="000000" w:themeColor="text1"/>
                <w:sz w:val="21"/>
                <w:szCs w:val="21"/>
                <w:lang w:val="en-US" w:eastAsia="zh-CN"/>
              </w:rPr>
              <w:t>3</w:t>
            </w:r>
            <w:r>
              <w:rPr>
                <w:rFonts w:ascii="宋体" w:eastAsia="宋体" w:hAnsi="宋体" w:cs="宋体" w:hint="eastAsia"/>
                <w:color w:val="000000" w:themeColor="text1"/>
                <w:sz w:val="21"/>
                <w:szCs w:val="21"/>
              </w:rPr>
              <w:t>个SIM卡卡槽，支持移动、联通、电信5G</w:t>
            </w:r>
            <w:r>
              <w:rPr>
                <w:rFonts w:ascii="宋体" w:hAnsi="宋体" w:cs="宋体" w:hint="eastAsia"/>
                <w:color w:val="000000" w:themeColor="text1"/>
                <w:sz w:val="21"/>
                <w:szCs w:val="21"/>
                <w:lang w:val="en-US" w:eastAsia="zh-CN"/>
              </w:rPr>
              <w:t>/4G</w:t>
            </w:r>
            <w:r>
              <w:rPr>
                <w:rFonts w:ascii="宋体" w:eastAsia="宋体" w:hAnsi="宋体" w:cs="宋体" w:hint="eastAsia"/>
                <w:color w:val="000000" w:themeColor="text1"/>
                <w:sz w:val="21"/>
                <w:szCs w:val="21"/>
              </w:rPr>
              <w:t>SIM卡</w:t>
            </w:r>
            <w:r>
              <w:rPr>
                <w:rFonts w:ascii="宋体" w:hAnsi="宋体" w:cs="宋体" w:hint="eastAsia"/>
                <w:color w:val="000000" w:themeColor="text1"/>
                <w:sz w:val="21"/>
                <w:szCs w:val="21"/>
                <w:lang w:eastAsia="zh-CN"/>
              </w:rPr>
              <w:t>；</w:t>
            </w:r>
            <w:r>
              <w:rPr>
                <w:rFonts w:ascii="宋体" w:hAnsi="宋体" w:cs="宋体" w:hint="eastAsia"/>
                <w:color w:val="000000" w:themeColor="text1"/>
                <w:sz w:val="21"/>
                <w:szCs w:val="21"/>
                <w:lang w:val="en-US" w:eastAsia="zh-CN"/>
              </w:rPr>
              <w:t>可通过SIM卡连接到电信、移动、联通的4G/5G网络；</w:t>
            </w:r>
            <w:r>
              <w:rPr>
                <w:rFonts w:ascii="宋体" w:eastAsia="宋体" w:hAnsi="宋体" w:cs="宋体" w:hint="eastAsia"/>
                <w:color w:val="000000" w:themeColor="text1"/>
                <w:sz w:val="21"/>
                <w:szCs w:val="21"/>
              </w:rPr>
              <w:t>支持蓝牙4.0及以上</w:t>
            </w:r>
            <w:r>
              <w:rPr>
                <w:rFonts w:ascii="宋体" w:hAnsi="宋体" w:cs="宋体" w:hint="eastAsia"/>
                <w:color w:val="000000" w:themeColor="text1"/>
                <w:sz w:val="21"/>
                <w:szCs w:val="21"/>
                <w:lang w:eastAsia="zh-CN"/>
              </w:rPr>
              <w:t>；</w:t>
            </w:r>
            <w:r>
              <w:rPr>
                <w:rFonts w:ascii="宋体" w:eastAsia="宋体" w:hAnsi="宋体" w:cs="宋体" w:hint="eastAsia"/>
                <w:color w:val="000000" w:themeColor="text1"/>
                <w:sz w:val="21"/>
                <w:szCs w:val="21"/>
                <w:lang w:eastAsia="zh-CN"/>
              </w:rPr>
              <w:t>需提供由第三方专业机构出具的检测报告（扫描件或复印件），并加盖厂家公章。</w:t>
            </w:r>
          </w:p>
          <w:p>
            <w:pPr>
              <w:pStyle w:val="BodyTextFirstIndent2"/>
              <w:ind w:firstLine="0" w:firstLineChars="0"/>
              <w:rPr>
                <w:rFonts w:eastAsia="宋体" w:cs="宋体" w:hint="eastAsia"/>
                <w:color w:themeColor="text1"/>
                <w:sz w:val="21"/>
                <w:szCs w:val="21"/>
              </w:rPr>
            </w:pPr>
            <w:r>
              <w:rPr>
                <w:rFonts w:ascii="宋体" w:eastAsia="宋体" w:hAnsi="宋体" w:cs="宋体" w:hint="eastAsia"/>
                <w:color w:val="000000" w:themeColor="text1"/>
                <w:sz w:val="21"/>
                <w:szCs w:val="21"/>
              </w:rPr>
              <w:t>6、AI智能算法：内置算力芯片，支持人脸识别、吸烟、区域入侵、安全帽识别、反光衣识别、侧方位装弹、警戒区内是否遗留弹药箱等功能，将作业现场的图像视频数据和识别获取的违规行为图片</w:t>
            </w:r>
            <w:r>
              <w:rPr>
                <w:rFonts w:ascii="宋体" w:hAnsi="宋体" w:cs="宋体" w:hint="eastAsia"/>
                <w:color w:val="000000" w:themeColor="text1"/>
                <w:sz w:val="21"/>
                <w:szCs w:val="21"/>
                <w:lang w:val="en-US" w:eastAsia="zh-CN"/>
              </w:rPr>
              <w:t>本地存储同时</w:t>
            </w:r>
            <w:r>
              <w:rPr>
                <w:rFonts w:ascii="宋体" w:eastAsia="宋体" w:hAnsi="宋体" w:cs="宋体" w:hint="eastAsia"/>
                <w:color w:val="000000" w:themeColor="text1"/>
                <w:sz w:val="21"/>
                <w:szCs w:val="21"/>
              </w:rPr>
              <w:t>传输</w:t>
            </w:r>
            <w:r>
              <w:rPr>
                <w:rFonts w:ascii="宋体" w:hAnsi="宋体" w:cs="宋体" w:hint="eastAsia"/>
                <w:color w:val="000000" w:themeColor="text1"/>
                <w:sz w:val="21"/>
                <w:szCs w:val="21"/>
                <w:lang w:val="en-US" w:eastAsia="zh-CN"/>
              </w:rPr>
              <w:t>至</w:t>
            </w:r>
            <w:r>
              <w:rPr>
                <w:rFonts w:ascii="宋体" w:eastAsia="宋体" w:hAnsi="宋体" w:cs="宋体" w:hint="eastAsia"/>
                <w:color w:val="000000" w:themeColor="text1"/>
                <w:sz w:val="21"/>
                <w:szCs w:val="21"/>
              </w:rPr>
              <w:t>天工平台；</w:t>
            </w:r>
          </w:p>
          <w:p>
            <w:pPr>
              <w:pStyle w:val="BodyTextFirstIndent2"/>
              <w:ind w:firstLine="0" w:firstLineChars="0"/>
              <w:rPr>
                <w:rFonts w:eastAsia="宋体" w:cs="宋体" w:hint="eastAsia"/>
                <w:color w:themeColor="text1"/>
                <w:sz w:val="21"/>
                <w:szCs w:val="21"/>
              </w:rPr>
            </w:pPr>
            <w:r>
              <w:rPr>
                <w:rFonts w:hint="eastAsia"/>
                <w:color w:val="000000" w:themeColor="text1"/>
              </w:rPr>
              <w:t>▲</w:t>
            </w:r>
            <w:r>
              <w:rPr>
                <w:rFonts w:ascii="宋体" w:eastAsia="宋体" w:hAnsi="宋体" w:cs="宋体" w:hint="eastAsia"/>
                <w:color w:val="000000" w:themeColor="text1"/>
                <w:sz w:val="21"/>
                <w:szCs w:val="21"/>
                <w:lang w:val="en-US" w:eastAsia="zh-CN"/>
              </w:rPr>
              <w:t>7</w:t>
            </w:r>
            <w:r>
              <w:rPr>
                <w:rFonts w:ascii="宋体" w:eastAsia="宋体" w:hAnsi="宋体" w:cs="宋体" w:hint="eastAsia"/>
                <w:color w:val="000000" w:themeColor="text1"/>
                <w:sz w:val="21"/>
                <w:szCs w:val="21"/>
              </w:rPr>
              <w:t>、定位</w:t>
            </w:r>
            <w:r>
              <w:rPr>
                <w:rFonts w:ascii="宋体" w:hAnsi="宋体" w:cs="宋体" w:hint="eastAsia"/>
                <w:color w:val="000000" w:themeColor="text1"/>
                <w:sz w:val="21"/>
                <w:szCs w:val="21"/>
                <w:lang w:val="en-US" w:eastAsia="zh-CN"/>
              </w:rPr>
              <w:t>功能</w:t>
            </w:r>
            <w:r>
              <w:rPr>
                <w:rFonts w:ascii="宋体" w:eastAsia="宋体" w:hAnsi="宋体" w:cs="宋体" w:hint="eastAsia"/>
                <w:color w:val="000000" w:themeColor="text1"/>
                <w:sz w:val="21"/>
                <w:szCs w:val="21"/>
              </w:rPr>
              <w:t>：支持内置北斗定位模块</w:t>
            </w:r>
            <w:r>
              <w:rPr>
                <w:rFonts w:ascii="宋体" w:eastAsia="宋体" w:hAnsi="宋体" w:cs="宋体" w:hint="eastAsia"/>
                <w:color w:val="000000" w:themeColor="text1"/>
                <w:sz w:val="21"/>
                <w:szCs w:val="21"/>
                <w:lang w:eastAsia="zh-CN"/>
              </w:rPr>
              <w:t>，</w:t>
            </w:r>
            <w:r>
              <w:rPr>
                <w:rFonts w:ascii="宋体" w:eastAsia="宋体" w:hAnsi="宋体" w:cs="宋体" w:hint="eastAsia"/>
                <w:color w:val="000000" w:themeColor="text1"/>
                <w:sz w:val="21"/>
                <w:szCs w:val="21"/>
              </w:rPr>
              <w:t>需提供由第三方专业机构出具的检测报告（扫描件或复印件），并加盖厂家公章。</w:t>
            </w:r>
          </w:p>
          <w:p>
            <w:pPr>
              <w:pStyle w:val="BodyTextFirstIndent2"/>
              <w:ind w:firstLine="0" w:firstLineChars="0"/>
              <w:rPr>
                <w:rFonts w:eastAsia="宋体" w:cs="宋体" w:hint="eastAsia"/>
                <w:color w:themeColor="text1"/>
                <w:sz w:val="21"/>
                <w:szCs w:val="21"/>
              </w:rPr>
            </w:pPr>
            <w:r>
              <w:rPr>
                <w:rFonts w:ascii="宋体" w:eastAsia="宋体" w:hAnsi="宋体" w:cs="宋体" w:hint="eastAsia"/>
                <w:color w:val="000000" w:themeColor="text1"/>
                <w:sz w:val="21"/>
                <w:szCs w:val="21"/>
                <w:lang w:val="en-US" w:eastAsia="zh-CN"/>
              </w:rPr>
              <w:t>8</w:t>
            </w:r>
            <w:r>
              <w:rPr>
                <w:rFonts w:ascii="宋体" w:eastAsia="宋体" w:hAnsi="宋体" w:cs="宋体" w:hint="eastAsia"/>
                <w:color w:val="000000" w:themeColor="text1"/>
                <w:sz w:val="21"/>
                <w:szCs w:val="21"/>
              </w:rPr>
              <w:t>、</w:t>
            </w:r>
            <w:r>
              <w:rPr>
                <w:rFonts w:ascii="宋体" w:eastAsia="宋体" w:hAnsi="宋体" w:cs="宋体" w:hint="eastAsia"/>
                <w:color w:val="000000" w:themeColor="text1"/>
                <w:sz w:val="21"/>
                <w:szCs w:val="21"/>
                <w:lang w:val="en-US" w:eastAsia="zh-CN"/>
              </w:rPr>
              <w:t>电池：</w:t>
            </w:r>
            <w:r>
              <w:rPr>
                <w:rFonts w:ascii="宋体" w:eastAsia="宋体" w:hAnsi="宋体" w:cs="宋体" w:hint="eastAsia"/>
                <w:color w:val="000000" w:themeColor="text1"/>
                <w:sz w:val="21"/>
                <w:szCs w:val="21"/>
              </w:rPr>
              <w:t>配置可拆卸电池，常温光照良好条件下，支持连续工作≥8小时，多配电池1个；</w:t>
            </w:r>
          </w:p>
          <w:p>
            <w:pPr>
              <w:pStyle w:val="BodyTextFirstIndent2"/>
              <w:ind w:firstLine="0" w:firstLineChars="0"/>
              <w:rPr>
                <w:rFonts w:eastAsia="宋体" w:cs="宋体" w:hint="eastAsia"/>
                <w:color w:themeColor="text1"/>
                <w:sz w:val="21"/>
                <w:szCs w:val="21"/>
              </w:rPr>
            </w:pPr>
            <w:r>
              <w:rPr>
                <w:rFonts w:ascii="宋体" w:eastAsia="宋体" w:hAnsi="宋体" w:cs="宋体" w:hint="eastAsia"/>
                <w:color w:val="000000" w:themeColor="text1"/>
                <w:sz w:val="21"/>
                <w:szCs w:val="21"/>
                <w:lang w:val="en-US" w:eastAsia="zh-CN"/>
              </w:rPr>
              <w:t>9</w:t>
            </w:r>
            <w:r>
              <w:rPr>
                <w:rFonts w:ascii="宋体" w:eastAsia="宋体" w:hAnsi="宋体" w:cs="宋体" w:hint="eastAsia"/>
                <w:color w:val="000000" w:themeColor="text1"/>
                <w:sz w:val="21"/>
                <w:szCs w:val="21"/>
              </w:rPr>
              <w:t>、防护等级：≥IP6</w:t>
            </w:r>
            <w:r>
              <w:rPr>
                <w:rFonts w:cs="宋体" w:hint="eastAsia"/>
                <w:color w:val="000000" w:themeColor="text1"/>
                <w:sz w:val="21"/>
                <w:szCs w:val="21"/>
                <w:lang w:val="en-US" w:eastAsia="zh-CN"/>
              </w:rPr>
              <w:t>6</w:t>
            </w:r>
            <w:r>
              <w:rPr>
                <w:rFonts w:ascii="宋体" w:eastAsia="宋体" w:hAnsi="宋体" w:cs="宋体" w:hint="eastAsia"/>
                <w:color w:val="000000" w:themeColor="text1"/>
                <w:sz w:val="21"/>
                <w:szCs w:val="21"/>
              </w:rPr>
              <w:t>；</w:t>
            </w:r>
          </w:p>
          <w:p>
            <w:pPr>
              <w:pStyle w:val="BodyTextFirstIndent2"/>
              <w:ind w:firstLine="0" w:firstLineChars="0"/>
              <w:rPr>
                <w:color w:themeColor="text1"/>
              </w:rPr>
            </w:pPr>
            <w:r>
              <w:rPr>
                <w:rFonts w:hint="eastAsia"/>
                <w:color w:val="000000" w:themeColor="text1"/>
              </w:rPr>
              <w:t>▲</w:t>
            </w:r>
            <w:r>
              <w:rPr>
                <w:rFonts w:cs="宋体" w:hint="eastAsia"/>
                <w:color w:val="000000" w:themeColor="text1"/>
                <w:sz w:val="21"/>
                <w:szCs w:val="21"/>
              </w:rPr>
              <w:t>10、内置双拾音器，在目标声源平均声级（距声源1m处）为65dB(A)、背景噪声不大于40dB(A)的环境中，拾音器距声源</w:t>
            </w:r>
            <w:r>
              <w:rPr>
                <w:rFonts w:ascii="宋体" w:eastAsia="宋体" w:hAnsi="宋体" w:cs="宋体" w:hint="eastAsia"/>
                <w:color w:val="000000" w:themeColor="text1"/>
                <w:sz w:val="21"/>
                <w:szCs w:val="21"/>
              </w:rPr>
              <w:t>≥</w:t>
            </w:r>
            <w:r>
              <w:rPr>
                <w:rFonts w:cs="宋体" w:hint="eastAsia"/>
                <w:color w:val="000000" w:themeColor="text1"/>
                <w:sz w:val="21"/>
                <w:szCs w:val="21"/>
              </w:rPr>
              <w:t>10米处监听到的声音应清晰。</w:t>
            </w:r>
            <w:r>
              <w:rPr>
                <w:rFonts w:ascii="宋体" w:eastAsia="宋体" w:hAnsi="宋体" w:cs="宋体" w:hint="eastAsia"/>
                <w:color w:val="000000" w:themeColor="text1"/>
                <w:sz w:val="21"/>
                <w:szCs w:val="21"/>
              </w:rPr>
              <w:t>需提供由第三方专业机构出具的检测报告（扫描件或复印件），并加盖厂家公章。</w:t>
            </w:r>
          </w:p>
          <w:p>
            <w:pPr>
              <w:pStyle w:val="BodyTextFirstIndent2"/>
              <w:ind w:firstLine="0" w:firstLineChars="0"/>
              <w:rPr>
                <w:rFonts w:eastAsia="宋体" w:cs="宋体" w:hint="eastAsia"/>
                <w:color w:themeColor="text1"/>
                <w:szCs w:val="21"/>
                <w:lang w:val="en-US"/>
              </w:rPr>
            </w:pPr>
            <w:r>
              <w:rPr>
                <w:rFonts w:ascii="宋体" w:eastAsia="宋体" w:hAnsi="宋体" w:cs="宋体" w:hint="eastAsia"/>
                <w:color w:val="000000" w:themeColor="text1"/>
                <w:sz w:val="21"/>
                <w:szCs w:val="21"/>
                <w:lang w:val="en-US" w:eastAsia="zh-CN"/>
              </w:rPr>
              <w:t>11、</w:t>
            </w:r>
            <w:r>
              <w:rPr>
                <w:rFonts w:ascii="宋体" w:eastAsia="宋体" w:hAnsi="宋体" w:cs="宋体" w:hint="eastAsia"/>
                <w:color w:val="000000" w:themeColor="text1"/>
                <w:sz w:val="21"/>
                <w:szCs w:val="21"/>
              </w:rPr>
              <w:t>内置双喇叭，在喇叭平均声级（距喇叭1m处）为60dB(A)、背景噪声≤35dB(A)的环境中，距喇叭≥30米处应能清晰听到喇叭播放的语音</w:t>
            </w:r>
            <w:r>
              <w:rPr>
                <w:rFonts w:ascii="宋体" w:hAnsi="宋体" w:cs="宋体" w:hint="eastAsia"/>
                <w:color w:val="000000" w:themeColor="text1"/>
                <w:sz w:val="21"/>
                <w:szCs w:val="21"/>
                <w:lang w:eastAsia="zh-CN"/>
              </w:rPr>
              <w:t>；</w:t>
            </w:r>
          </w:p>
          <w:p>
            <w:pPr>
              <w:pStyle w:val="BodyTextFirstIndent2"/>
              <w:ind w:firstLine="0" w:firstLineChars="0"/>
              <w:rPr>
                <w:rFonts w:eastAsia="宋体" w:cs="宋体" w:hint="eastAsia"/>
                <w:color w:themeColor="text1"/>
                <w:sz w:val="21"/>
                <w:szCs w:val="21"/>
              </w:rPr>
            </w:pPr>
            <w:r>
              <w:rPr>
                <w:rFonts w:ascii="宋体" w:eastAsia="宋体" w:hAnsi="宋体" w:cs="宋体" w:hint="eastAsia"/>
                <w:color w:val="000000" w:themeColor="text1"/>
                <w:sz w:val="21"/>
                <w:szCs w:val="21"/>
                <w:lang w:val="en-US" w:eastAsia="zh-CN"/>
              </w:rPr>
              <w:t>12</w:t>
            </w:r>
            <w:r>
              <w:rPr>
                <w:rFonts w:ascii="宋体" w:eastAsia="宋体" w:hAnsi="宋体" w:cs="宋体" w:hint="eastAsia"/>
                <w:color w:val="000000" w:themeColor="text1"/>
                <w:sz w:val="21"/>
                <w:szCs w:val="21"/>
              </w:rPr>
              <w:t>、语音交互：移动布控球内置高分贝喇叭，支持双向对讲，语音喊话和语音通知等功能；</w:t>
            </w:r>
          </w:p>
          <w:p>
            <w:pPr>
              <w:pStyle w:val="BodyTextFirstIndent2"/>
              <w:ind w:firstLine="0" w:firstLineChars="0"/>
              <w:rPr>
                <w:rFonts w:eastAsia="宋体" w:cs="宋体" w:hint="eastAsia"/>
                <w:color w:themeColor="text1"/>
                <w:sz w:val="21"/>
                <w:szCs w:val="21"/>
                <w:lang w:val="en-US"/>
              </w:rPr>
            </w:pPr>
            <w:r>
              <w:rPr>
                <w:rFonts w:ascii="宋体" w:eastAsia="宋体" w:hAnsi="宋体" w:cs="宋体" w:hint="eastAsia"/>
                <w:color w:val="000000" w:themeColor="text1"/>
                <w:sz w:val="21"/>
                <w:szCs w:val="21"/>
                <w:lang w:val="en-US" w:eastAsia="zh-CN"/>
              </w:rPr>
              <w:t>13、</w:t>
            </w:r>
            <w:r>
              <w:rPr>
                <w:rFonts w:ascii="宋体" w:eastAsia="宋体" w:hAnsi="宋体" w:cs="宋体" w:hint="eastAsia"/>
                <w:color w:val="000000" w:themeColor="text1"/>
                <w:sz w:val="21"/>
                <w:szCs w:val="21"/>
              </w:rPr>
              <w:t>支持安全帽检测，最大同时检测30个安全帽。支持4种颜色，红色、白色、蓝色、黄色安全帽颜色检测；</w:t>
            </w:r>
          </w:p>
          <w:p>
            <w:pPr>
              <w:pStyle w:val="BodyTextFirstIndent2"/>
              <w:ind w:firstLine="0" w:firstLineChars="0"/>
              <w:rPr>
                <w:rFonts w:eastAsia="宋体" w:cs="宋体" w:hint="eastAsia"/>
                <w:color w:themeColor="text1"/>
                <w:sz w:val="21"/>
                <w:szCs w:val="21"/>
              </w:rPr>
            </w:pPr>
            <w:r>
              <w:rPr>
                <w:rFonts w:ascii="宋体" w:eastAsia="宋体" w:hAnsi="宋体" w:cs="宋体" w:hint="eastAsia"/>
                <w:color w:val="000000" w:themeColor="text1"/>
                <w:sz w:val="21"/>
                <w:szCs w:val="21"/>
                <w:lang w:val="en-US" w:eastAsia="zh-CN"/>
              </w:rPr>
              <w:t>14</w:t>
            </w:r>
            <w:r>
              <w:rPr>
                <w:rFonts w:ascii="宋体" w:eastAsia="宋体" w:hAnsi="宋体" w:cs="宋体" w:hint="eastAsia"/>
                <w:color w:val="000000" w:themeColor="text1"/>
                <w:sz w:val="21"/>
                <w:szCs w:val="21"/>
              </w:rPr>
              <w:t>、支持≥</w:t>
            </w:r>
            <w:r>
              <w:rPr>
                <w:rFonts w:ascii="宋体" w:hAnsi="宋体" w:cs="宋体" w:hint="eastAsia"/>
                <w:color w:val="000000" w:themeColor="text1"/>
                <w:sz w:val="21"/>
                <w:szCs w:val="21"/>
                <w:lang w:val="en-US" w:eastAsia="zh-CN"/>
              </w:rPr>
              <w:t>5</w:t>
            </w:r>
            <w:r>
              <w:rPr>
                <w:rFonts w:ascii="宋体" w:eastAsia="宋体" w:hAnsi="宋体" w:cs="宋体" w:hint="eastAsia"/>
                <w:color w:val="000000" w:themeColor="text1"/>
                <w:sz w:val="21"/>
                <w:szCs w:val="21"/>
              </w:rPr>
              <w:t>个循环播报文件导入，支持≥</w:t>
            </w:r>
            <w:r>
              <w:rPr>
                <w:rFonts w:ascii="宋体" w:hAnsi="宋体" w:cs="宋体" w:hint="eastAsia"/>
                <w:color w:val="000000" w:themeColor="text1"/>
                <w:sz w:val="21"/>
                <w:szCs w:val="21"/>
                <w:lang w:val="en-US" w:eastAsia="zh-CN"/>
              </w:rPr>
              <w:t>5</w:t>
            </w:r>
            <w:r>
              <w:rPr>
                <w:rFonts w:ascii="宋体" w:eastAsia="宋体" w:hAnsi="宋体" w:cs="宋体" w:hint="eastAsia"/>
                <w:color w:val="000000" w:themeColor="text1"/>
                <w:sz w:val="21"/>
                <w:szCs w:val="21"/>
              </w:rPr>
              <w:t>个语音报警文件导入，支持自定义语音播报；</w:t>
            </w:r>
          </w:p>
          <w:p>
            <w:pPr>
              <w:pStyle w:val="BodyTextFirstIndent2"/>
              <w:ind w:firstLine="0" w:firstLineChars="0"/>
              <w:rPr>
                <w:rFonts w:eastAsia="宋体" w:cs="宋体" w:hint="eastAsia"/>
                <w:color w:themeColor="text1"/>
                <w:sz w:val="21"/>
                <w:szCs w:val="21"/>
              </w:rPr>
            </w:pPr>
            <w:r>
              <w:rPr>
                <w:rFonts w:ascii="宋体" w:eastAsia="宋体" w:hAnsi="宋体" w:cs="宋体" w:hint="eastAsia"/>
                <w:color w:val="000000" w:themeColor="text1"/>
                <w:sz w:val="21"/>
                <w:szCs w:val="21"/>
                <w:lang w:val="en-US" w:eastAsia="zh-CN"/>
              </w:rPr>
              <w:t>15、</w:t>
            </w:r>
            <w:r>
              <w:rPr>
                <w:rFonts w:ascii="宋体" w:eastAsia="宋体" w:hAnsi="宋体" w:cs="宋体" w:hint="eastAsia"/>
                <w:color w:val="000000" w:themeColor="text1"/>
                <w:sz w:val="21"/>
                <w:szCs w:val="21"/>
              </w:rPr>
              <w:t xml:space="preserve">支持接入2.4G/5G </w:t>
            </w:r>
            <w:r>
              <w:rPr>
                <w:rFonts w:cs="宋体" w:hint="eastAsia"/>
                <w:color w:val="000000" w:themeColor="text1"/>
                <w:sz w:val="21"/>
                <w:szCs w:val="21"/>
                <w:lang w:eastAsia="zh-CN"/>
              </w:rPr>
              <w:t>Wi-Fi</w:t>
            </w:r>
            <w:r>
              <w:rPr>
                <w:rFonts w:ascii="宋体" w:eastAsia="宋体" w:hAnsi="宋体" w:cs="宋体" w:hint="eastAsia"/>
                <w:color w:val="000000" w:themeColor="text1"/>
                <w:sz w:val="21"/>
                <w:szCs w:val="21"/>
              </w:rPr>
              <w:t>网络，支持设置802.11a/b/g/n/ac协议；支持将自身设置为</w:t>
            </w:r>
            <w:r>
              <w:rPr>
                <w:rFonts w:cs="宋体" w:hint="eastAsia"/>
                <w:color w:val="000000" w:themeColor="text1"/>
                <w:sz w:val="21"/>
                <w:szCs w:val="21"/>
                <w:lang w:eastAsia="zh-CN"/>
              </w:rPr>
              <w:t>Wi-Fi</w:t>
            </w:r>
            <w:r>
              <w:rPr>
                <w:rFonts w:ascii="宋体" w:eastAsia="宋体" w:hAnsi="宋体" w:cs="宋体" w:hint="eastAsia"/>
                <w:color w:val="000000" w:themeColor="text1"/>
                <w:sz w:val="21"/>
                <w:szCs w:val="21"/>
              </w:rPr>
              <w:t>热点，支持通过手机或PAD直连访问操作</w:t>
            </w:r>
            <w:r>
              <w:rPr>
                <w:rFonts w:ascii="宋体" w:hAnsi="宋体" w:cs="宋体" w:hint="eastAsia"/>
                <w:color w:val="000000" w:themeColor="text1"/>
                <w:sz w:val="21"/>
                <w:szCs w:val="21"/>
                <w:lang w:eastAsia="zh-CN"/>
              </w:rPr>
              <w:t>；</w:t>
            </w:r>
          </w:p>
          <w:p>
            <w:pPr>
              <w:pStyle w:val="BodyTextFirstIndent2"/>
              <w:ind w:firstLine="0" w:firstLineChars="0"/>
              <w:rPr>
                <w:rFonts w:eastAsia="宋体" w:cs="宋体" w:hint="eastAsia"/>
                <w:color w:themeColor="text1"/>
                <w:sz w:val="21"/>
                <w:szCs w:val="21"/>
                <w:lang w:val="en-US"/>
              </w:rPr>
            </w:pPr>
            <w:r>
              <w:rPr>
                <w:rFonts w:ascii="宋体" w:eastAsia="宋体" w:hAnsi="宋体" w:cs="宋体" w:hint="eastAsia"/>
                <w:color w:val="000000" w:themeColor="text1"/>
                <w:sz w:val="21"/>
                <w:szCs w:val="21"/>
                <w:lang w:val="en-US" w:eastAsia="zh-CN"/>
              </w:rPr>
              <w:t>16、</w:t>
            </w:r>
            <w:r>
              <w:rPr>
                <w:rFonts w:ascii="宋体" w:eastAsia="宋体" w:hAnsi="宋体" w:cs="宋体" w:hint="eastAsia"/>
                <w:color w:val="000000" w:themeColor="text1"/>
                <w:sz w:val="21"/>
                <w:szCs w:val="21"/>
              </w:rPr>
              <w:t>支持人脸抓拍功能，可对经过设定区域的行人进行人脸检测和人脸跟踪，当检测到人脸后，可抓拍人脸图片，抓拍图片数量可设</w:t>
            </w:r>
            <w:r>
              <w:rPr>
                <w:rFonts w:ascii="宋体" w:eastAsia="宋体" w:hAnsi="宋体" w:cs="宋体" w:hint="eastAsia"/>
                <w:color w:val="000000" w:themeColor="text1"/>
                <w:sz w:val="21"/>
                <w:szCs w:val="21"/>
                <w:lang w:eastAsia="zh-CN"/>
              </w:rPr>
              <w:t>。</w:t>
            </w:r>
            <w:r>
              <w:rPr>
                <w:rFonts w:ascii="宋体" w:eastAsia="宋体" w:hAnsi="宋体" w:cs="宋体" w:hint="eastAsia"/>
                <w:color w:val="000000" w:themeColor="text1"/>
                <w:sz w:val="21"/>
                <w:szCs w:val="21"/>
              </w:rPr>
              <w:t>支持检出两眼瞳距≥20像素点的人脸图片；支持单场景同时检出≥30张人脸照片，并支持面部跟踪</w:t>
            </w:r>
            <w:r>
              <w:rPr>
                <w:rFonts w:ascii="宋体" w:hAnsi="宋体" w:cs="宋体" w:hint="eastAsia"/>
                <w:color w:val="000000" w:themeColor="text1"/>
                <w:sz w:val="21"/>
                <w:szCs w:val="21"/>
                <w:lang w:eastAsia="zh-CN"/>
              </w:rPr>
              <w:t>；</w:t>
            </w:r>
          </w:p>
          <w:p>
            <w:pPr>
              <w:pStyle w:val="BodyTextFirstIndent2"/>
              <w:ind w:firstLine="0" w:firstLineChars="0"/>
              <w:rPr>
                <w:rFonts w:eastAsia="宋体" w:cs="宋体" w:hint="eastAsia"/>
                <w:color w:themeColor="text1"/>
                <w:sz w:val="21"/>
                <w:szCs w:val="21"/>
              </w:rPr>
            </w:pPr>
            <w:r>
              <w:rPr>
                <w:rFonts w:ascii="宋体" w:eastAsia="宋体" w:hAnsi="宋体" w:cs="宋体" w:hint="eastAsia"/>
                <w:color w:val="000000" w:themeColor="text1"/>
                <w:sz w:val="21"/>
                <w:szCs w:val="21"/>
                <w:lang w:val="en-US" w:eastAsia="zh-CN"/>
              </w:rPr>
              <w:t>17、</w:t>
            </w:r>
            <w:r>
              <w:rPr>
                <w:rFonts w:ascii="宋体" w:eastAsia="宋体" w:hAnsi="宋体" w:cs="宋体" w:hint="eastAsia"/>
                <w:color w:val="000000" w:themeColor="text1"/>
                <w:sz w:val="21"/>
                <w:szCs w:val="21"/>
              </w:rPr>
              <w:t xml:space="preserve">数据传输：支持 H.265 和 H.264 视频编码方式，支持视频双码流传输； </w:t>
            </w:r>
          </w:p>
          <w:p>
            <w:pPr>
              <w:pStyle w:val="BodyTextFirstIndent2"/>
              <w:ind w:firstLine="0" w:firstLineChars="0"/>
              <w:rPr>
                <w:rFonts w:eastAsia="宋体" w:cs="宋体" w:hint="eastAsia"/>
                <w:color w:themeColor="text1"/>
                <w:sz w:val="21"/>
                <w:szCs w:val="21"/>
                <w:lang w:val="en-US"/>
              </w:rPr>
            </w:pPr>
            <w:r>
              <w:rPr>
                <w:rFonts w:ascii="宋体" w:eastAsia="宋体" w:hAnsi="宋体" w:cs="宋体" w:hint="eastAsia"/>
                <w:color w:val="000000" w:themeColor="text1"/>
                <w:sz w:val="21"/>
                <w:szCs w:val="21"/>
                <w:lang w:val="en-US" w:eastAsia="zh-CN"/>
              </w:rPr>
              <w:t>18</w:t>
            </w:r>
            <w:r>
              <w:rPr>
                <w:rFonts w:ascii="宋体" w:eastAsia="宋体" w:hAnsi="宋体" w:cs="宋体" w:hint="eastAsia"/>
                <w:color w:val="000000" w:themeColor="text1"/>
                <w:sz w:val="21"/>
                <w:szCs w:val="21"/>
              </w:rPr>
              <w:t>、本地存储：支持双TF卡存储，单卡支持≥1T的本地存储，支持存储≥3个月的监控画面，</w:t>
            </w:r>
            <w:r>
              <w:rPr>
                <w:rFonts w:cs="宋体" w:hint="eastAsia"/>
                <w:color w:val="000000" w:themeColor="text1"/>
                <w:sz w:val="21"/>
                <w:szCs w:val="21"/>
                <w:lang w:val="en-US" w:eastAsia="zh-CN"/>
              </w:rPr>
              <w:t>支持加密存储</w:t>
            </w:r>
            <w:r>
              <w:rPr>
                <w:rFonts w:cs="宋体" w:hint="eastAsia"/>
                <w:color w:val="000000" w:themeColor="text1"/>
                <w:sz w:val="21"/>
                <w:szCs w:val="21"/>
              </w:rPr>
              <w:t>；</w:t>
            </w:r>
          </w:p>
          <w:p>
            <w:pPr>
              <w:pStyle w:val="BodyTextFirstIndent2"/>
              <w:ind w:firstLine="0" w:firstLineChars="0"/>
              <w:rPr>
                <w:rFonts w:eastAsia="宋体" w:cs="宋体" w:hint="eastAsia"/>
                <w:color w:themeColor="text1"/>
                <w:sz w:val="21"/>
                <w:szCs w:val="21"/>
              </w:rPr>
            </w:pPr>
            <w:r>
              <w:rPr>
                <w:rFonts w:ascii="宋体" w:eastAsia="宋体" w:hAnsi="宋体" w:cs="宋体" w:hint="eastAsia"/>
                <w:color w:val="000000" w:themeColor="text1"/>
                <w:sz w:val="21"/>
                <w:szCs w:val="21"/>
                <w:lang w:val="en-US" w:eastAsia="zh-CN"/>
              </w:rPr>
              <w:t>19</w:t>
            </w:r>
            <w:r>
              <w:rPr>
                <w:rFonts w:ascii="宋体" w:eastAsia="宋体" w:hAnsi="宋体" w:cs="宋体" w:hint="eastAsia"/>
                <w:color w:val="000000" w:themeColor="text1"/>
                <w:sz w:val="21"/>
                <w:szCs w:val="21"/>
              </w:rPr>
              <w:t>、</w:t>
            </w:r>
            <w:r>
              <w:rPr>
                <w:rFonts w:ascii="宋体" w:hAnsi="宋体" w:cs="宋体" w:hint="eastAsia"/>
                <w:color w:val="000000" w:themeColor="text1"/>
                <w:sz w:val="21"/>
                <w:szCs w:val="21"/>
                <w:lang w:val="en-US" w:eastAsia="zh-CN"/>
              </w:rPr>
              <w:t>支持物理网卡/专网卡，以VPN/APN的方式接入局域网；</w:t>
            </w:r>
            <w:r>
              <w:rPr>
                <w:rFonts w:ascii="宋体" w:eastAsia="宋体" w:hAnsi="宋体" w:cs="宋体" w:hint="eastAsia"/>
                <w:color w:val="000000" w:themeColor="text1"/>
                <w:sz w:val="21"/>
                <w:szCs w:val="21"/>
              </w:rPr>
              <w:t>；</w:t>
            </w:r>
          </w:p>
          <w:p>
            <w:pPr>
              <w:pStyle w:val="BodyTextFirstIndent2"/>
              <w:ind w:firstLine="0" w:firstLineChars="0"/>
              <w:rPr>
                <w:rFonts w:eastAsia="宋体" w:cs="宋体" w:hint="eastAsia"/>
                <w:color w:themeColor="text1"/>
                <w:sz w:val="21"/>
                <w:szCs w:val="21"/>
              </w:rPr>
            </w:pPr>
            <w:r>
              <w:rPr>
                <w:rFonts w:ascii="宋体" w:eastAsia="宋体" w:hAnsi="宋体" w:cs="宋体" w:hint="eastAsia"/>
                <w:color w:val="000000" w:themeColor="text1"/>
                <w:sz w:val="21"/>
                <w:szCs w:val="21"/>
                <w:lang w:val="en-US" w:eastAsia="zh-CN"/>
              </w:rPr>
              <w:t>20</w:t>
            </w:r>
            <w:r>
              <w:rPr>
                <w:rFonts w:ascii="宋体" w:eastAsia="宋体" w:hAnsi="宋体" w:cs="宋体" w:hint="eastAsia"/>
                <w:color w:val="000000" w:themeColor="text1"/>
                <w:sz w:val="21"/>
                <w:szCs w:val="21"/>
              </w:rPr>
              <w:t>、供电：支持电池供电和外接电源供电</w:t>
            </w:r>
            <w:r>
              <w:rPr>
                <w:rFonts w:ascii="宋体" w:eastAsia="宋体" w:hAnsi="宋体" w:cs="宋体" w:hint="eastAsia"/>
                <w:color w:val="000000" w:themeColor="text1"/>
                <w:sz w:val="21"/>
                <w:szCs w:val="21"/>
                <w:lang w:eastAsia="zh-CN"/>
              </w:rPr>
              <w:t>，</w:t>
            </w:r>
            <w:r>
              <w:rPr>
                <w:rFonts w:ascii="宋体" w:eastAsia="宋体" w:hAnsi="宋体" w:cs="宋体" w:hint="eastAsia"/>
                <w:color w:val="000000" w:themeColor="text1"/>
                <w:sz w:val="21"/>
                <w:szCs w:val="21"/>
                <w:lang w:val="en-US" w:eastAsia="zh-CN"/>
              </w:rPr>
              <w:t>默认模式下工作</w:t>
            </w:r>
            <w:r>
              <w:rPr>
                <w:rFonts w:ascii="宋体" w:eastAsia="宋体" w:hAnsi="宋体" w:cs="宋体" w:hint="eastAsia"/>
                <w:color w:val="000000" w:themeColor="text1"/>
                <w:sz w:val="21"/>
                <w:szCs w:val="21"/>
              </w:rPr>
              <w:t>≥</w:t>
            </w:r>
            <w:r>
              <w:rPr>
                <w:rFonts w:ascii="宋体" w:eastAsia="宋体" w:hAnsi="宋体" w:cs="宋体" w:hint="eastAsia"/>
                <w:color w:val="000000" w:themeColor="text1"/>
                <w:sz w:val="21"/>
                <w:szCs w:val="21"/>
                <w:lang w:val="en-US" w:eastAsia="zh-CN"/>
              </w:rPr>
              <w:t>10小时</w:t>
            </w:r>
            <w:r>
              <w:rPr>
                <w:rFonts w:ascii="宋体" w:eastAsia="宋体" w:hAnsi="宋体" w:cs="宋体" w:hint="eastAsia"/>
                <w:color w:val="000000" w:themeColor="text1"/>
                <w:sz w:val="21"/>
                <w:szCs w:val="21"/>
              </w:rPr>
              <w:t>；</w:t>
            </w:r>
          </w:p>
          <w:p>
            <w:pPr>
              <w:pStyle w:val="BodyTextFirstIndent2"/>
              <w:ind w:firstLine="0" w:firstLineChars="0"/>
              <w:rPr>
                <w:rFonts w:eastAsia="宋体" w:cs="宋体" w:hint="eastAsia"/>
                <w:color w:themeColor="text1"/>
                <w:sz w:val="21"/>
                <w:szCs w:val="21"/>
              </w:rPr>
            </w:pPr>
            <w:r>
              <w:rPr>
                <w:rFonts w:ascii="宋体" w:eastAsia="宋体" w:hAnsi="宋体" w:cs="宋体" w:hint="eastAsia"/>
                <w:color w:val="000000" w:themeColor="text1"/>
                <w:sz w:val="21"/>
                <w:szCs w:val="21"/>
                <w:lang w:val="en-US" w:eastAsia="zh-CN"/>
              </w:rPr>
              <w:t>2</w:t>
            </w:r>
            <w:r>
              <w:rPr>
                <w:rFonts w:cs="宋体" w:hint="eastAsia"/>
                <w:color w:val="000000" w:themeColor="text1"/>
                <w:sz w:val="21"/>
                <w:szCs w:val="21"/>
                <w:lang w:val="en-US" w:eastAsia="zh-CN"/>
              </w:rPr>
              <w:t>1</w:t>
            </w:r>
            <w:r>
              <w:rPr>
                <w:rFonts w:ascii="宋体" w:eastAsia="宋体" w:hAnsi="宋体" w:cs="宋体" w:hint="eastAsia"/>
                <w:color w:val="000000" w:themeColor="text1"/>
                <w:sz w:val="21"/>
                <w:szCs w:val="21"/>
                <w:lang w:val="en-US" w:eastAsia="zh-CN"/>
              </w:rPr>
              <w:t>、</w:t>
            </w:r>
            <w:r>
              <w:rPr>
                <w:rFonts w:ascii="宋体" w:eastAsia="宋体" w:hAnsi="宋体" w:cs="宋体" w:hint="eastAsia"/>
                <w:color w:val="000000" w:themeColor="text1"/>
                <w:sz w:val="21"/>
                <w:szCs w:val="21"/>
              </w:rPr>
              <w:t>支持三角支架安装及配套的稳固装置，可抗强风</w:t>
            </w:r>
            <w:r>
              <w:rPr>
                <w:rFonts w:ascii="宋体" w:eastAsia="宋体" w:hAnsi="宋体" w:cs="宋体" w:hint="eastAsia"/>
                <w:color w:val="000000" w:themeColor="text1"/>
                <w:sz w:val="21"/>
                <w:szCs w:val="21"/>
                <w:lang w:eastAsia="zh-CN"/>
              </w:rPr>
              <w:t>；</w:t>
            </w:r>
          </w:p>
          <w:p>
            <w:pPr>
              <w:pStyle w:val="BodyTextFirstIndent2"/>
              <w:ind w:firstLine="0" w:firstLineChars="0"/>
              <w:rPr>
                <w:rFonts w:eastAsia="宋体" w:cs="宋体" w:hint="eastAsia"/>
                <w:color w:themeColor="text1"/>
                <w:sz w:val="21"/>
                <w:szCs w:val="21"/>
                <w:lang w:val="en-US"/>
              </w:rPr>
            </w:pPr>
            <w:r>
              <w:rPr>
                <w:rFonts w:ascii="宋体" w:eastAsia="宋体" w:hAnsi="宋体" w:cs="宋体" w:hint="eastAsia"/>
                <w:color w:val="000000" w:themeColor="text1"/>
                <w:sz w:val="21"/>
                <w:szCs w:val="21"/>
                <w:lang w:val="en-US" w:eastAsia="zh-CN"/>
              </w:rPr>
              <w:t>2</w:t>
            </w:r>
            <w:r>
              <w:rPr>
                <w:rFonts w:cs="宋体" w:hint="eastAsia"/>
                <w:color w:val="000000" w:themeColor="text1"/>
                <w:sz w:val="21"/>
                <w:szCs w:val="21"/>
                <w:lang w:val="en-US" w:eastAsia="zh-CN"/>
              </w:rPr>
              <w:t>2</w:t>
            </w:r>
            <w:r>
              <w:rPr>
                <w:rFonts w:ascii="宋体" w:eastAsia="宋体" w:hAnsi="宋体" w:cs="宋体" w:hint="eastAsia"/>
                <w:color w:val="000000" w:themeColor="text1"/>
                <w:sz w:val="21"/>
                <w:szCs w:val="21"/>
                <w:lang w:val="en-US" w:eastAsia="zh-CN"/>
              </w:rPr>
              <w:t>、</w:t>
            </w:r>
            <w:r>
              <w:rPr>
                <w:rFonts w:ascii="宋体" w:eastAsia="宋体" w:hAnsi="宋体" w:cs="宋体" w:hint="eastAsia"/>
                <w:color w:val="000000" w:themeColor="text1"/>
                <w:sz w:val="21"/>
                <w:szCs w:val="21"/>
              </w:rPr>
              <w:t>支持定时功能，当设备待机时间达到设定值时，可自动运行</w:t>
            </w:r>
            <w:r>
              <w:rPr>
                <w:rFonts w:cs="宋体" w:hint="eastAsia"/>
                <w:color w:val="000000" w:themeColor="text1"/>
                <w:sz w:val="21"/>
                <w:szCs w:val="21"/>
                <w:lang w:eastAsia="zh-CN"/>
              </w:rPr>
              <w:t>调整</w:t>
            </w:r>
            <w:r>
              <w:rPr>
                <w:rFonts w:ascii="宋体" w:eastAsia="宋体" w:hAnsi="宋体" w:cs="宋体" w:hint="eastAsia"/>
                <w:color w:val="000000" w:themeColor="text1"/>
                <w:sz w:val="21"/>
                <w:szCs w:val="21"/>
              </w:rPr>
              <w:t>预置位、巡航扫描、花样扫描等功能；预置位数目≥256个</w:t>
            </w:r>
            <w:r>
              <w:rPr>
                <w:rFonts w:ascii="宋体" w:eastAsia="宋体" w:hAnsi="宋体" w:cs="宋体" w:hint="eastAsia"/>
                <w:color w:val="000000" w:themeColor="text1"/>
                <w:sz w:val="21"/>
                <w:szCs w:val="21"/>
                <w:lang w:eastAsia="zh-CN"/>
              </w:rPr>
              <w:t>；</w:t>
            </w:r>
          </w:p>
          <w:p>
            <w:pPr>
              <w:pStyle w:val="BodyTextFirstIndent2"/>
              <w:ind w:firstLine="0" w:firstLineChars="0"/>
              <w:rPr>
                <w:rFonts w:eastAsia="宋体" w:cs="宋体" w:hint="eastAsia"/>
                <w:color w:themeColor="text1"/>
                <w:sz w:val="21"/>
                <w:szCs w:val="21"/>
                <w:lang w:val="en-US"/>
              </w:rPr>
            </w:pPr>
            <w:r>
              <w:rPr>
                <w:rFonts w:ascii="宋体" w:eastAsia="宋体" w:hAnsi="宋体" w:cs="宋体" w:hint="eastAsia"/>
                <w:color w:val="000000" w:themeColor="text1"/>
                <w:sz w:val="21"/>
                <w:szCs w:val="21"/>
                <w:lang w:val="en-US" w:eastAsia="zh-CN"/>
              </w:rPr>
              <w:t>2</w:t>
            </w:r>
            <w:r>
              <w:rPr>
                <w:rFonts w:cs="宋体" w:hint="eastAsia"/>
                <w:color w:val="000000" w:themeColor="text1"/>
                <w:sz w:val="21"/>
                <w:szCs w:val="21"/>
                <w:lang w:val="en-US" w:eastAsia="zh-CN"/>
              </w:rPr>
              <w:t>3</w:t>
            </w:r>
            <w:r>
              <w:rPr>
                <w:rFonts w:ascii="宋体" w:eastAsia="宋体" w:hAnsi="宋体" w:cs="宋体" w:hint="eastAsia"/>
                <w:color w:val="000000" w:themeColor="text1"/>
                <w:sz w:val="21"/>
                <w:szCs w:val="21"/>
                <w:lang w:val="en-US" w:eastAsia="zh-CN"/>
              </w:rPr>
              <w:t>、防抖功能：电子防抖；</w:t>
            </w:r>
          </w:p>
          <w:p>
            <w:pPr>
              <w:pStyle w:val="BodyTextFirstIndent2"/>
              <w:ind w:firstLine="0" w:firstLineChars="0"/>
              <w:rPr>
                <w:rFonts w:eastAsia="宋体" w:cs="宋体" w:hint="eastAsia"/>
                <w:color w:themeColor="text1"/>
                <w:sz w:val="21"/>
                <w:szCs w:val="21"/>
              </w:rPr>
            </w:pPr>
            <w:r>
              <w:rPr>
                <w:rFonts w:ascii="宋体" w:eastAsia="宋体" w:hAnsi="宋体" w:cs="宋体" w:hint="eastAsia"/>
                <w:color w:val="000000" w:themeColor="text1"/>
                <w:sz w:val="21"/>
                <w:szCs w:val="21"/>
                <w:lang w:val="en-US" w:eastAsia="zh-CN"/>
              </w:rPr>
              <w:t>2</w:t>
            </w:r>
            <w:r>
              <w:rPr>
                <w:rFonts w:cs="宋体" w:hint="eastAsia"/>
                <w:color w:val="000000" w:themeColor="text1"/>
                <w:sz w:val="21"/>
                <w:szCs w:val="21"/>
                <w:lang w:val="en-US" w:eastAsia="zh-CN"/>
              </w:rPr>
              <w:t>4</w:t>
            </w:r>
            <w:r>
              <w:rPr>
                <w:rFonts w:ascii="宋体" w:eastAsia="宋体" w:hAnsi="宋体" w:cs="宋体" w:hint="eastAsia"/>
                <w:color w:val="000000" w:themeColor="text1"/>
                <w:sz w:val="21"/>
                <w:szCs w:val="21"/>
                <w:lang w:val="en-US" w:eastAsia="zh-CN"/>
              </w:rPr>
              <w:t>、</w:t>
            </w:r>
            <w:r>
              <w:rPr>
                <w:rFonts w:ascii="宋体" w:eastAsia="宋体" w:hAnsi="宋体" w:cs="宋体" w:hint="eastAsia"/>
                <w:color w:val="000000" w:themeColor="text1"/>
                <w:sz w:val="21"/>
                <w:szCs w:val="21"/>
              </w:rPr>
              <w:t>套装至少包含：电池*2，交流电源线*1，适配器*1，螺丝刀*1，10芯航空线缆*1，拉杆箱*1，三脚架*1，三脚架托盘*1，座充*1</w:t>
            </w:r>
            <w:r>
              <w:rPr>
                <w:rFonts w:ascii="宋体" w:hAnsi="宋体" w:cs="宋体" w:hint="eastAsia"/>
                <w:color w:val="000000" w:themeColor="text1"/>
                <w:sz w:val="21"/>
                <w:szCs w:val="21"/>
                <w:lang w:val="en-US" w:eastAsia="zh-CN"/>
              </w:rPr>
              <w:t>等</w:t>
            </w:r>
            <w:r>
              <w:rPr>
                <w:rFonts w:ascii="宋体" w:hAnsi="宋体" w:cs="宋体" w:hint="eastAsia"/>
                <w:color w:val="000000" w:themeColor="text1"/>
                <w:sz w:val="21"/>
                <w:szCs w:val="21"/>
                <w:lang w:eastAsia="zh-CN"/>
              </w:rPr>
              <w:t>；</w:t>
            </w:r>
          </w:p>
          <w:p>
            <w:pPr>
              <w:pStyle w:val="BodyTextFirstIndent2"/>
              <w:ind w:firstLine="0" w:firstLineChars="0"/>
              <w:rPr>
                <w:rFonts w:eastAsia="宋体" w:cs="宋体" w:hint="eastAsia"/>
                <w:color w:themeColor="text1"/>
                <w:sz w:val="21"/>
                <w:szCs w:val="21"/>
              </w:rPr>
            </w:pPr>
            <w:r>
              <w:rPr>
                <w:rFonts w:ascii="宋体" w:eastAsia="宋体" w:hAnsi="宋体" w:cs="宋体" w:hint="eastAsia"/>
                <w:color w:val="000000" w:themeColor="text1"/>
                <w:sz w:val="21"/>
                <w:szCs w:val="21"/>
                <w:lang w:val="en-US" w:eastAsia="zh-CN"/>
              </w:rPr>
              <w:t>2</w:t>
            </w:r>
            <w:r>
              <w:rPr>
                <w:rFonts w:cs="宋体" w:hint="eastAsia"/>
                <w:color w:val="000000" w:themeColor="text1"/>
                <w:sz w:val="21"/>
                <w:szCs w:val="21"/>
                <w:lang w:val="en-US" w:eastAsia="zh-CN"/>
              </w:rPr>
              <w:t>5</w:t>
            </w:r>
            <w:r>
              <w:rPr>
                <w:rFonts w:ascii="宋体" w:eastAsia="宋体" w:hAnsi="宋体" w:cs="宋体" w:hint="eastAsia"/>
                <w:color w:val="000000" w:themeColor="text1"/>
                <w:sz w:val="21"/>
                <w:szCs w:val="21"/>
                <w:lang w:val="en-US" w:eastAsia="zh-CN"/>
              </w:rPr>
              <w:t>、</w:t>
            </w:r>
            <w:r>
              <w:rPr>
                <w:rFonts w:ascii="宋体" w:eastAsia="宋体" w:hAnsi="宋体" w:cs="宋体" w:hint="eastAsia"/>
                <w:color w:val="000000" w:themeColor="text1"/>
                <w:sz w:val="21"/>
                <w:szCs w:val="21"/>
              </w:rPr>
              <w:t>电磁兼容性：具备一般电磁兼容性，可适用于各类电磁干扰环境下</w:t>
            </w:r>
            <w:r>
              <w:rPr>
                <w:rFonts w:ascii="宋体" w:eastAsia="宋体" w:hAnsi="宋体" w:cs="宋体" w:hint="eastAsia"/>
                <w:color w:val="000000" w:themeColor="text1"/>
                <w:sz w:val="21"/>
                <w:szCs w:val="21"/>
                <w:lang w:eastAsia="zh-CN"/>
              </w:rPr>
              <w:t>；</w:t>
            </w:r>
          </w:p>
          <w:p>
            <w:pPr>
              <w:rPr>
                <w:rFonts w:ascii="宋体" w:hAnsi="宋体" w:cs="宋体" w:hint="eastAsia"/>
                <w:color w:val="000000" w:themeColor="text1"/>
                <w:szCs w:val="21"/>
              </w:rPr>
            </w:pPr>
            <w:r>
              <w:rPr>
                <w:rFonts w:ascii="宋体" w:hAnsi="宋体" w:cs="宋体" w:hint="eastAsia"/>
                <w:color w:val="000000" w:themeColor="text1"/>
                <w:sz w:val="21"/>
                <w:szCs w:val="21"/>
                <w:lang w:val="en-US" w:eastAsia="zh-CN"/>
              </w:rPr>
              <w:t>26、必须提供移动布控球标准协议，移动布控球能够实现与视频调度系统对接和调度；</w:t>
            </w:r>
          </w:p>
          <w:p>
            <w:pPr>
              <w:jc w:val="left"/>
              <w:rPr>
                <w:rFonts w:ascii="宋体" w:hAnsi="宋体" w:cs="宋体" w:hint="default"/>
                <w:color w:val="000000" w:themeColor="text1"/>
                <w:szCs w:val="21"/>
              </w:rPr>
            </w:pPr>
            <w:r>
              <w:rPr>
                <w:rFonts w:ascii="宋体" w:hAnsi="宋体" w:cs="宋体" w:hint="eastAsia"/>
                <w:color w:val="000000" w:themeColor="text1"/>
                <w:sz w:val="21"/>
                <w:szCs w:val="21"/>
                <w:lang w:val="en-US" w:eastAsia="zh-CN"/>
              </w:rPr>
              <w:t>27、</w:t>
            </w:r>
            <w:r>
              <w:rPr>
                <w:rFonts w:ascii="宋体" w:hAnsi="宋体" w:cs="宋体" w:hint="eastAsia"/>
                <w:szCs w:val="21"/>
              </w:rPr>
              <w:t>支持对接天工平台的</w:t>
            </w:r>
            <w:r>
              <w:rPr>
                <w:rFonts w:ascii="宋体" w:hAnsi="宋体" w:cs="宋体" w:hint="eastAsia"/>
                <w:szCs w:val="21"/>
                <w:lang w:val="en-US" w:eastAsia="zh-CN"/>
              </w:rPr>
              <w:t>移动</w:t>
            </w:r>
            <w:r>
              <w:rPr>
                <w:rFonts w:ascii="宋体" w:hAnsi="宋体" w:cs="宋体" w:hint="eastAsia"/>
                <w:szCs w:val="21"/>
              </w:rPr>
              <w:t>布控球电子围栏组件</w:t>
            </w:r>
            <w:r>
              <w:rPr>
                <w:rFonts w:ascii="宋体" w:hAnsi="宋体" w:cs="宋体" w:hint="eastAsia"/>
                <w:sz w:val="21"/>
                <w:szCs w:val="21"/>
                <w:lang w:val="en-US" w:eastAsia="zh-CN"/>
              </w:rPr>
              <w:t>；</w:t>
            </w:r>
          </w:p>
          <w:p>
            <w:pPr>
              <w:widowControl w:val="0"/>
              <w:jc w:val="left"/>
              <w:rPr>
                <w:rFonts w:ascii="宋体" w:eastAsia="宋体" w:hAnsi="宋体" w:cs="宋体" w:hint="eastAsia"/>
                <w:color w:val="000000" w:themeColor="text1"/>
                <w:szCs w:val="21"/>
                <w:highlight w:val="none"/>
              </w:rPr>
            </w:pPr>
            <w:r>
              <w:rPr>
                <w:rFonts w:ascii="宋体" w:hAnsi="宋体" w:cs="宋体" w:hint="eastAsia"/>
                <w:color w:val="000000" w:themeColor="text1"/>
                <w:kern w:val="2"/>
                <w:sz w:val="21"/>
                <w:szCs w:val="21"/>
                <w:highlight w:val="none"/>
                <w:lang w:val="en-US" w:eastAsia="zh-CN" w:bidi="ar-SA"/>
              </w:rPr>
              <w:t>28、提供三年免费软件升级服务及流量费用。</w:t>
            </w:r>
          </w:p>
        </w:tc>
        <w:tc>
          <w:tcPr>
            <w:tcW w:w="363" w:type="pct"/>
            <w:noWrap w:val="0"/>
            <w:vAlign w:val="center"/>
          </w:tcPr>
          <w:p>
            <w:pPr>
              <w:widowControl w:val="0"/>
              <w:jc w:val="center"/>
              <w:rPr>
                <w:rFonts w:ascii="宋体" w:eastAsia="宋体" w:hAnsi="宋体" w:cs="宋体" w:hint="default"/>
                <w:color w:val="000000" w:themeColor="text1"/>
                <w:szCs w:val="21"/>
                <w:highlight w:val="none"/>
              </w:rPr>
            </w:pPr>
            <w:r>
              <w:rPr>
                <w:rFonts w:ascii="宋体" w:eastAsia="宋体" w:hAnsi="宋体" w:cs="宋体" w:hint="eastAsia"/>
                <w:color w:val="000000" w:themeColor="text1"/>
                <w:kern w:val="2"/>
                <w:sz w:val="21"/>
                <w:szCs w:val="21"/>
                <w:highlight w:val="none"/>
                <w:lang w:val="en-US" w:eastAsia="zh-CN" w:bidi="ar-SA"/>
              </w:rPr>
              <w:t>120</w:t>
            </w:r>
          </w:p>
        </w:tc>
        <w:tc>
          <w:tcPr>
            <w:tcW w:w="398" w:type="pct"/>
            <w:noWrap w:val="0"/>
            <w:vAlign w:val="center"/>
          </w:tcPr>
          <w:p>
            <w:pPr>
              <w:widowControl w:val="0"/>
              <w:jc w:val="center"/>
              <w:rPr>
                <w:rFonts w:ascii="宋体" w:eastAsia="宋体" w:hAnsi="宋体" w:cs="宋体" w:hint="default"/>
                <w:color w:val="000000" w:themeColor="text1"/>
                <w:szCs w:val="21"/>
                <w:highlight w:val="none"/>
              </w:rPr>
            </w:pPr>
            <w:r>
              <w:rPr>
                <w:rFonts w:ascii="宋体" w:eastAsia="宋体" w:hAnsi="宋体" w:cs="宋体" w:hint="eastAsia"/>
                <w:color w:val="000000" w:themeColor="text1"/>
                <w:kern w:val="2"/>
                <w:sz w:val="21"/>
                <w:szCs w:val="21"/>
                <w:highlight w:val="none"/>
                <w:lang w:val="en-US" w:eastAsia="zh-CN" w:bidi="ar-SA"/>
              </w:rPr>
              <w:t>套</w:t>
            </w:r>
          </w:p>
        </w:tc>
        <w:tc>
          <w:tcPr>
            <w:tcW w:w="506" w:type="pct"/>
            <w:noWrap w:val="0"/>
            <w:vAlign w:val="center"/>
          </w:tcPr>
          <w:p>
            <w:pPr>
              <w:widowControl w:val="0"/>
              <w:jc w:val="center"/>
              <w:rPr>
                <w:rFonts w:ascii="宋体" w:eastAsia="宋体" w:hAnsi="宋体" w:cs="宋体" w:hint="default"/>
                <w:color w:val="000000" w:themeColor="text1"/>
                <w:szCs w:val="21"/>
                <w:highlight w:val="none"/>
              </w:rPr>
            </w:pPr>
            <w:r>
              <w:rPr>
                <w:rFonts w:ascii="宋体" w:hAnsi="宋体" w:cs="宋体" w:hint="eastAsia"/>
                <w:color w:val="000000" w:themeColor="text1"/>
                <w:kern w:val="2"/>
                <w:sz w:val="21"/>
                <w:szCs w:val="21"/>
                <w:highlight w:val="none"/>
                <w:lang w:val="en-US" w:eastAsia="zh-CN" w:bidi="ar-SA"/>
              </w:rPr>
              <w:t>核心产品</w:t>
            </w:r>
          </w:p>
        </w:tc>
      </w:tr>
    </w:tbl>
    <w:p>
      <w:pPr>
        <w:pStyle w:val="BodyTextFirstIndent2"/>
        <w:ind w:left="0" w:firstLine="0" w:leftChars="0" w:firstLineChars="0"/>
        <w:jc w:val="center"/>
        <w:rPr>
          <w:rFonts w:eastAsia="宋体" w:cs="宋体" w:hint="eastAsia"/>
          <w:snapToGrid w:val="0"/>
          <w:spacing w:val="-1"/>
          <w:kern w:val="0"/>
          <w:sz w:val="21"/>
          <w:szCs w:val="21"/>
          <w:lang w:val="en-US" w:bidi="ar-SA"/>
        </w:rPr>
      </w:pPr>
    </w:p>
    <w:p>
      <w:pPr>
        <w:pStyle w:val="BodyTextFirstIndent2"/>
        <w:ind w:left="0" w:firstLine="0" w:leftChars="0" w:firstLineChars="0"/>
        <w:jc w:val="center"/>
        <w:rPr>
          <w:rFonts w:eastAsia="宋体" w:cs="宋体" w:hint="eastAsia"/>
          <w:snapToGrid w:val="0"/>
          <w:spacing w:val="-1"/>
          <w:kern w:val="0"/>
          <w:sz w:val="21"/>
          <w:szCs w:val="21"/>
          <w:lang w:val="en-US" w:bidi="ar-SA"/>
        </w:rPr>
      </w:pPr>
      <w:r>
        <w:rPr>
          <w:rFonts w:ascii="宋体" w:eastAsia="宋体" w:hAnsi="宋体" w:cs="宋体" w:hint="eastAsia"/>
          <w:snapToGrid w:val="0"/>
          <w:color w:val="000000"/>
          <w:spacing w:val="-1"/>
          <w:kern w:val="0"/>
          <w:sz w:val="21"/>
          <w:szCs w:val="21"/>
          <w:lang w:val="en-US" w:eastAsia="zh-CN" w:bidi="ar-SA"/>
        </w:rPr>
        <w:t>表2 对讲机</w:t>
      </w:r>
      <w:r>
        <w:rPr>
          <w:rFonts w:ascii="宋体" w:eastAsia="宋体" w:hAnsi="宋体" w:cs="宋体" w:hint="eastAsia"/>
          <w:snapToGrid w:val="0"/>
          <w:spacing w:val="-1"/>
          <w:kern w:val="0"/>
          <w:sz w:val="21"/>
          <w:szCs w:val="21"/>
        </w:rPr>
        <w:t>技术性能要求</w:t>
      </w:r>
    </w:p>
    <w:tbl>
      <w:tblPr>
        <w:tblStyle w:val="TableNormal"/>
        <w:tblW w:w="50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34"/>
        <w:gridCol w:w="1100"/>
        <w:gridCol w:w="4994"/>
        <w:gridCol w:w="655"/>
        <w:gridCol w:w="718"/>
        <w:gridCol w:w="913"/>
      </w:tblGrid>
      <w:tr>
        <w:tblPrEx>
          <w:tblW w:w="50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733"/>
          <w:jc w:val="center"/>
        </w:trPr>
        <w:tc>
          <w:tcPr>
            <w:tcW w:w="352" w:type="pct"/>
            <w:noWrap w:val="0"/>
            <w:vAlign w:val="center"/>
          </w:tcPr>
          <w:p>
            <w:pPr>
              <w:widowControl w:val="0"/>
              <w:jc w:val="center"/>
              <w:rPr>
                <w:rFonts w:ascii="宋体" w:eastAsia="宋体" w:hAnsi="宋体" w:cs="宋体" w:hint="eastAsia"/>
                <w:szCs w:val="21"/>
              </w:rPr>
            </w:pPr>
            <w:r>
              <w:rPr>
                <w:rFonts w:ascii="宋体" w:eastAsia="宋体" w:hAnsi="宋体" w:cs="宋体" w:hint="eastAsia"/>
                <w:kern w:val="2"/>
                <w:sz w:val="21"/>
                <w:szCs w:val="21"/>
                <w:lang w:val="en-US" w:eastAsia="zh-CN" w:bidi="ar-SA"/>
              </w:rPr>
              <w:t>序号</w:t>
            </w:r>
          </w:p>
        </w:tc>
        <w:tc>
          <w:tcPr>
            <w:tcW w:w="610" w:type="pct"/>
            <w:noWrap w:val="0"/>
            <w:vAlign w:val="center"/>
          </w:tcPr>
          <w:p>
            <w:pPr>
              <w:widowControl w:val="0"/>
              <w:jc w:val="center"/>
              <w:rPr>
                <w:rFonts w:ascii="宋体" w:eastAsia="宋体" w:hAnsi="宋体" w:cs="宋体" w:hint="eastAsia"/>
                <w:szCs w:val="21"/>
              </w:rPr>
            </w:pPr>
            <w:r>
              <w:rPr>
                <w:rFonts w:ascii="宋体" w:eastAsia="宋体" w:hAnsi="宋体" w:cs="宋体" w:hint="eastAsia"/>
                <w:kern w:val="2"/>
                <w:sz w:val="21"/>
                <w:szCs w:val="21"/>
                <w:lang w:val="en-US" w:eastAsia="zh-CN" w:bidi="ar-SA"/>
              </w:rPr>
              <w:t>名称</w:t>
            </w:r>
          </w:p>
        </w:tc>
        <w:tc>
          <w:tcPr>
            <w:tcW w:w="2769" w:type="pct"/>
            <w:noWrap w:val="0"/>
            <w:vAlign w:val="center"/>
          </w:tcPr>
          <w:p>
            <w:pPr>
              <w:widowControl w:val="0"/>
              <w:jc w:val="center"/>
              <w:rPr>
                <w:rFonts w:ascii="宋体" w:eastAsia="宋体" w:hAnsi="宋体" w:cs="宋体" w:hint="eastAsia"/>
                <w:szCs w:val="21"/>
              </w:rPr>
            </w:pPr>
            <w:r>
              <w:rPr>
                <w:rFonts w:ascii="宋体" w:eastAsia="宋体" w:hAnsi="宋体" w:cs="宋体" w:hint="eastAsia"/>
                <w:kern w:val="2"/>
                <w:sz w:val="21"/>
                <w:szCs w:val="21"/>
                <w:lang w:val="en-US" w:eastAsia="zh-CN" w:bidi="ar-SA"/>
              </w:rPr>
              <w:t>主要技术性能要求</w:t>
            </w:r>
          </w:p>
        </w:tc>
        <w:tc>
          <w:tcPr>
            <w:tcW w:w="363" w:type="pct"/>
            <w:noWrap w:val="0"/>
            <w:vAlign w:val="center"/>
          </w:tcPr>
          <w:p>
            <w:pPr>
              <w:widowControl w:val="0"/>
              <w:jc w:val="center"/>
              <w:rPr>
                <w:rFonts w:ascii="宋体" w:eastAsia="宋体" w:hAnsi="宋体" w:cs="宋体" w:hint="eastAsia"/>
                <w:szCs w:val="21"/>
              </w:rPr>
            </w:pPr>
            <w:r>
              <w:rPr>
                <w:rFonts w:ascii="宋体" w:eastAsia="宋体" w:hAnsi="宋体" w:cs="宋体" w:hint="eastAsia"/>
                <w:kern w:val="2"/>
                <w:sz w:val="21"/>
                <w:szCs w:val="21"/>
                <w:lang w:val="en-US" w:eastAsia="zh-CN" w:bidi="ar-SA"/>
              </w:rPr>
              <w:t>数量</w:t>
            </w:r>
          </w:p>
        </w:tc>
        <w:tc>
          <w:tcPr>
            <w:tcW w:w="398" w:type="pct"/>
            <w:noWrap w:val="0"/>
            <w:vAlign w:val="center"/>
          </w:tcPr>
          <w:p>
            <w:pPr>
              <w:widowControl w:val="0"/>
              <w:jc w:val="center"/>
              <w:rPr>
                <w:rFonts w:ascii="宋体" w:eastAsia="宋体" w:hAnsi="宋体" w:cs="宋体" w:hint="eastAsia"/>
                <w:szCs w:val="21"/>
              </w:rPr>
            </w:pPr>
            <w:r>
              <w:rPr>
                <w:rFonts w:ascii="宋体" w:eastAsia="宋体" w:hAnsi="宋体" w:cs="宋体" w:hint="eastAsia"/>
                <w:kern w:val="2"/>
                <w:sz w:val="21"/>
                <w:szCs w:val="21"/>
                <w:lang w:val="en-US" w:eastAsia="zh-CN" w:bidi="ar-SA"/>
              </w:rPr>
              <w:t>单位</w:t>
            </w:r>
          </w:p>
        </w:tc>
        <w:tc>
          <w:tcPr>
            <w:tcW w:w="506" w:type="pct"/>
            <w:noWrap w:val="0"/>
            <w:vAlign w:val="center"/>
          </w:tcPr>
          <w:p>
            <w:pPr>
              <w:widowControl w:val="0"/>
              <w:jc w:val="center"/>
              <w:rPr>
                <w:rFonts w:ascii="宋体" w:eastAsia="宋体" w:hAnsi="宋体" w:cs="宋体" w:hint="eastAsia"/>
                <w:szCs w:val="21"/>
              </w:rPr>
            </w:pPr>
            <w:r>
              <w:rPr>
                <w:rFonts w:ascii="宋体" w:eastAsia="宋体" w:hAnsi="宋体" w:cs="宋体" w:hint="eastAsia"/>
                <w:kern w:val="2"/>
                <w:sz w:val="21"/>
                <w:szCs w:val="21"/>
                <w:lang w:val="en-US" w:eastAsia="zh-CN" w:bidi="ar-SA"/>
              </w:rPr>
              <w:t>备注</w:t>
            </w:r>
          </w:p>
        </w:tc>
      </w:tr>
      <w:tr>
        <w:tblPrEx>
          <w:tblW w:w="5006" w:type="pct"/>
          <w:jc w:val="center"/>
          <w:tblCellMar>
            <w:top w:w="0" w:type="dxa"/>
            <w:left w:w="108" w:type="dxa"/>
            <w:bottom w:w="0" w:type="dxa"/>
            <w:right w:w="108" w:type="dxa"/>
          </w:tblCellMar>
        </w:tblPrEx>
        <w:trPr>
          <w:trHeight w:val="401"/>
          <w:jc w:val="center"/>
        </w:trPr>
        <w:tc>
          <w:tcPr>
            <w:tcW w:w="352" w:type="pct"/>
            <w:noWrap w:val="0"/>
            <w:vAlign w:val="center"/>
          </w:tcPr>
          <w:p>
            <w:pPr>
              <w:widowControl/>
              <w:jc w:val="left"/>
              <w:rPr>
                <w:rFonts w:ascii="宋体" w:eastAsia="宋体" w:hAnsi="宋体" w:cs="宋体" w:hint="eastAsia"/>
                <w:sz w:val="22"/>
              </w:rPr>
            </w:pPr>
            <w:r>
              <w:rPr>
                <w:rFonts w:ascii="宋体" w:eastAsia="宋体" w:hAnsi="宋体" w:cs="宋体" w:hint="eastAsia"/>
                <w:kern w:val="2"/>
                <w:sz w:val="22"/>
                <w:szCs w:val="22"/>
                <w:lang w:val="en-US" w:eastAsia="zh-CN" w:bidi="ar-SA"/>
              </w:rPr>
              <w:t>1</w:t>
            </w:r>
          </w:p>
        </w:tc>
        <w:tc>
          <w:tcPr>
            <w:tcW w:w="610" w:type="pct"/>
            <w:noWrap w:val="0"/>
            <w:vAlign w:val="center"/>
          </w:tcPr>
          <w:p>
            <w:pPr>
              <w:widowControl/>
              <w:jc w:val="left"/>
              <w:rPr>
                <w:rFonts w:ascii="宋体" w:eastAsia="宋体" w:hAnsi="宋体" w:cs="宋体" w:hint="eastAsia"/>
                <w:sz w:val="22"/>
              </w:rPr>
            </w:pPr>
            <w:r>
              <w:rPr>
                <w:rFonts w:ascii="宋体" w:eastAsia="宋体" w:hAnsi="宋体" w:cs="宋体" w:hint="eastAsia"/>
                <w:kern w:val="2"/>
                <w:sz w:val="22"/>
                <w:szCs w:val="22"/>
                <w:lang w:val="en-US" w:eastAsia="zh-CN" w:bidi="ar-SA"/>
              </w:rPr>
              <w:t>对讲机</w:t>
            </w:r>
          </w:p>
        </w:tc>
        <w:tc>
          <w:tcPr>
            <w:tcW w:w="2769" w:type="pct"/>
            <w:noWrap w:val="0"/>
            <w:vAlign w:val="center"/>
          </w:tcPr>
          <w:p>
            <w:pPr>
              <w:widowControl/>
              <w:numPr>
                <w:ilvl w:val="12"/>
                <w:numId w:val="0"/>
              </w:numPr>
              <w:ind w:left="0" w:firstLine="0"/>
              <w:jc w:val="left"/>
              <w:rPr>
                <w:rFonts w:ascii="宋体" w:eastAsia="宋体" w:hAnsi="宋体" w:cs="宋体" w:hint="eastAsia"/>
                <w:szCs w:val="21"/>
              </w:rPr>
            </w:pPr>
            <w:r>
              <w:rPr>
                <w:rFonts w:ascii="宋体" w:eastAsia="宋体" w:hAnsi="宋体" w:cs="宋体" w:hint="eastAsia"/>
                <w:sz w:val="21"/>
                <w:szCs w:val="21"/>
                <w:lang w:val="en-US" w:eastAsia="zh-CN"/>
              </w:rPr>
              <w:t>1、</w:t>
            </w:r>
            <w:r>
              <w:rPr>
                <w:rFonts w:ascii="宋体" w:eastAsia="宋体" w:hAnsi="宋体" w:cs="宋体" w:hint="eastAsia"/>
                <w:sz w:val="21"/>
                <w:szCs w:val="21"/>
              </w:rPr>
              <w:t>VHF/UHF频段；</w:t>
            </w:r>
          </w:p>
          <w:p>
            <w:pPr>
              <w:widowControl/>
              <w:numPr>
                <w:ilvl w:val="12"/>
                <w:numId w:val="0"/>
              </w:numPr>
              <w:ind w:left="0" w:firstLine="0"/>
              <w:jc w:val="left"/>
              <w:rPr>
                <w:rFonts w:ascii="宋体" w:eastAsia="宋体" w:hAnsi="宋体" w:cs="宋体" w:hint="eastAsia"/>
                <w:szCs w:val="21"/>
              </w:rPr>
            </w:pPr>
            <w:r>
              <w:rPr>
                <w:rFonts w:ascii="宋体" w:eastAsia="宋体" w:hAnsi="宋体" w:cs="宋体" w:hint="eastAsia"/>
                <w:sz w:val="21"/>
                <w:szCs w:val="21"/>
                <w:lang w:val="en-US" w:eastAsia="zh-CN"/>
              </w:rPr>
              <w:t>2、</w:t>
            </w:r>
            <w:r>
              <w:rPr>
                <w:rFonts w:ascii="宋体" w:eastAsia="宋体" w:hAnsi="宋体" w:cs="宋体" w:hint="eastAsia"/>
                <w:sz w:val="21"/>
                <w:szCs w:val="21"/>
              </w:rPr>
              <w:t>通信距离</w:t>
            </w:r>
            <w:r>
              <w:rPr>
                <w:rFonts w:ascii="宋体" w:hAnsi="宋体" w:cs="宋体" w:hint="eastAsia"/>
                <w:sz w:val="21"/>
                <w:szCs w:val="21"/>
                <w:lang w:val="en-US" w:eastAsia="zh-CN"/>
              </w:rPr>
              <w:t>3-</w:t>
            </w:r>
            <w:r>
              <w:rPr>
                <w:rFonts w:ascii="宋体" w:eastAsia="宋体" w:hAnsi="宋体" w:cs="宋体" w:hint="eastAsia"/>
                <w:sz w:val="21"/>
                <w:szCs w:val="21"/>
                <w:lang w:val="en-US" w:eastAsia="zh-CN"/>
              </w:rPr>
              <w:t>10</w:t>
            </w:r>
            <w:r>
              <w:rPr>
                <w:rFonts w:ascii="宋体" w:eastAsia="宋体" w:hAnsi="宋体" w:cs="宋体" w:hint="eastAsia"/>
                <w:sz w:val="21"/>
                <w:szCs w:val="21"/>
              </w:rPr>
              <w:t>公里；</w:t>
            </w:r>
          </w:p>
          <w:p>
            <w:pPr>
              <w:widowControl/>
              <w:numPr>
                <w:ilvl w:val="12"/>
                <w:numId w:val="0"/>
              </w:numPr>
              <w:ind w:left="0" w:firstLine="0"/>
              <w:jc w:val="left"/>
              <w:rPr>
                <w:rFonts w:ascii="宋体" w:eastAsia="宋体" w:hAnsi="宋体" w:cs="宋体" w:hint="eastAsia"/>
                <w:szCs w:val="21"/>
              </w:rPr>
            </w:pPr>
            <w:r>
              <w:rPr>
                <w:rFonts w:ascii="宋体" w:eastAsia="宋体" w:hAnsi="宋体" w:cs="宋体" w:hint="eastAsia"/>
                <w:sz w:val="21"/>
                <w:szCs w:val="21"/>
                <w:lang w:val="en-US" w:eastAsia="zh-CN"/>
              </w:rPr>
              <w:t>3、</w:t>
            </w:r>
            <w:r>
              <w:rPr>
                <w:rFonts w:ascii="宋体" w:eastAsia="宋体" w:hAnsi="宋体" w:cs="宋体" w:hint="eastAsia"/>
                <w:sz w:val="21"/>
                <w:szCs w:val="21"/>
              </w:rPr>
              <w:t>通话时间</w:t>
            </w:r>
            <w:r>
              <w:rPr>
                <w:rFonts w:ascii="宋体" w:hAnsi="宋体" w:cs="宋体" w:hint="eastAsia"/>
                <w:sz w:val="21"/>
                <w:szCs w:val="21"/>
                <w:lang w:val="en-US" w:eastAsia="zh-CN"/>
              </w:rPr>
              <w:t>8-</w:t>
            </w:r>
            <w:r>
              <w:rPr>
                <w:rFonts w:ascii="宋体" w:eastAsia="宋体" w:hAnsi="宋体" w:cs="宋体" w:hint="eastAsia"/>
                <w:sz w:val="21"/>
                <w:szCs w:val="21"/>
              </w:rPr>
              <w:t>12小时；</w:t>
            </w:r>
          </w:p>
          <w:p>
            <w:pPr>
              <w:widowControl/>
              <w:numPr>
                <w:ilvl w:val="12"/>
                <w:numId w:val="0"/>
              </w:numPr>
              <w:ind w:left="0" w:firstLine="0"/>
              <w:jc w:val="left"/>
              <w:rPr>
                <w:rFonts w:ascii="宋体" w:eastAsia="宋体" w:hAnsi="宋体" w:cs="宋体" w:hint="eastAsia"/>
                <w:szCs w:val="21"/>
              </w:rPr>
            </w:pPr>
            <w:r>
              <w:rPr>
                <w:rFonts w:ascii="宋体" w:eastAsia="宋体" w:hAnsi="宋体" w:cs="宋体" w:hint="eastAsia"/>
                <w:sz w:val="21"/>
                <w:szCs w:val="21"/>
                <w:lang w:val="en-US" w:eastAsia="zh-CN"/>
              </w:rPr>
              <w:t>4、</w:t>
            </w:r>
            <w:r>
              <w:rPr>
                <w:rFonts w:ascii="宋体" w:eastAsia="宋体" w:hAnsi="宋体" w:cs="宋体" w:hint="eastAsia"/>
                <w:sz w:val="21"/>
                <w:szCs w:val="21"/>
              </w:rPr>
              <w:t>待机时间</w:t>
            </w:r>
            <w:r>
              <w:rPr>
                <w:rFonts w:ascii="宋体" w:hAnsi="宋体" w:cs="宋体" w:hint="eastAsia"/>
                <w:sz w:val="21"/>
                <w:szCs w:val="21"/>
                <w:lang w:val="en-US" w:eastAsia="zh-CN"/>
              </w:rPr>
              <w:t>48-</w:t>
            </w:r>
            <w:r>
              <w:rPr>
                <w:rFonts w:ascii="宋体" w:eastAsia="宋体" w:hAnsi="宋体" w:cs="宋体" w:hint="eastAsia"/>
                <w:sz w:val="21"/>
                <w:szCs w:val="21"/>
              </w:rPr>
              <w:t>72小时；</w:t>
            </w:r>
          </w:p>
          <w:p>
            <w:pPr>
              <w:widowControl/>
              <w:numPr>
                <w:ilvl w:val="12"/>
                <w:numId w:val="0"/>
              </w:numPr>
              <w:ind w:left="0" w:firstLine="0"/>
              <w:jc w:val="left"/>
              <w:rPr>
                <w:rFonts w:ascii="宋体" w:eastAsia="宋体" w:hAnsi="宋体" w:cs="宋体" w:hint="eastAsia"/>
                <w:szCs w:val="21"/>
              </w:rPr>
            </w:pPr>
            <w:r>
              <w:rPr>
                <w:rFonts w:ascii="宋体" w:eastAsia="宋体" w:hAnsi="宋体" w:cs="宋体" w:hint="eastAsia"/>
                <w:sz w:val="21"/>
                <w:szCs w:val="21"/>
                <w:lang w:val="en-US" w:eastAsia="zh-CN"/>
              </w:rPr>
              <w:t>5、</w:t>
            </w:r>
            <w:r>
              <w:rPr>
                <w:rFonts w:ascii="宋体" w:eastAsia="宋体" w:hAnsi="宋体" w:cs="宋体" w:hint="eastAsia"/>
                <w:sz w:val="21"/>
                <w:szCs w:val="21"/>
              </w:rPr>
              <w:t>防水等级≥IP67；</w:t>
            </w:r>
          </w:p>
          <w:p>
            <w:pPr>
              <w:widowControl/>
              <w:numPr>
                <w:ilvl w:val="12"/>
                <w:numId w:val="0"/>
              </w:numPr>
              <w:ind w:left="0" w:firstLine="0"/>
              <w:jc w:val="left"/>
              <w:rPr>
                <w:rFonts w:ascii="宋体" w:eastAsia="宋体" w:hAnsi="宋体" w:cs="宋体" w:hint="eastAsia"/>
                <w:szCs w:val="21"/>
              </w:rPr>
            </w:pPr>
            <w:r>
              <w:rPr>
                <w:rFonts w:ascii="宋体" w:eastAsia="宋体" w:hAnsi="宋体" w:cs="宋体" w:hint="eastAsia"/>
                <w:sz w:val="21"/>
                <w:szCs w:val="21"/>
                <w:lang w:val="en-US" w:eastAsia="zh-CN"/>
              </w:rPr>
              <w:t>6、</w:t>
            </w:r>
            <w:r>
              <w:rPr>
                <w:rFonts w:ascii="宋体" w:eastAsia="宋体" w:hAnsi="宋体" w:cs="宋体" w:hint="eastAsia"/>
                <w:sz w:val="21"/>
                <w:szCs w:val="21"/>
              </w:rPr>
              <w:t>内部包含VHF/UHF频段的收发信机、天线、电池、音频处理电路等。</w:t>
            </w:r>
          </w:p>
          <w:p>
            <w:pPr>
              <w:widowControl/>
              <w:numPr>
                <w:ilvl w:val="12"/>
                <w:numId w:val="0"/>
              </w:numPr>
              <w:ind w:left="0" w:firstLine="0"/>
              <w:jc w:val="left"/>
              <w:rPr>
                <w:rFonts w:ascii="宋体" w:eastAsia="宋体" w:hAnsi="宋体" w:cs="宋体" w:hint="eastAsia"/>
                <w:szCs w:val="21"/>
              </w:rPr>
            </w:pPr>
            <w:r>
              <w:rPr>
                <w:rFonts w:ascii="宋体" w:eastAsia="宋体" w:hAnsi="宋体" w:cs="宋体" w:hint="eastAsia"/>
                <w:sz w:val="21"/>
                <w:szCs w:val="21"/>
                <w:lang w:val="en-US" w:eastAsia="zh-CN"/>
              </w:rPr>
              <w:t>7、</w:t>
            </w:r>
            <w:r>
              <w:rPr>
                <w:rFonts w:ascii="宋体" w:eastAsia="宋体" w:hAnsi="宋体" w:cs="宋体" w:hint="eastAsia"/>
                <w:sz w:val="21"/>
                <w:szCs w:val="21"/>
              </w:rPr>
              <w:t>配</w:t>
            </w:r>
            <w:r>
              <w:rPr>
                <w:rFonts w:ascii="宋体" w:hAnsi="宋体" w:cs="宋体" w:hint="eastAsia"/>
                <w:sz w:val="21"/>
                <w:szCs w:val="21"/>
                <w:lang w:val="en-US" w:eastAsia="zh-CN"/>
              </w:rPr>
              <w:t>收纳箱，含</w:t>
            </w:r>
            <w:r>
              <w:rPr>
                <w:rFonts w:ascii="宋体" w:eastAsia="宋体" w:hAnsi="宋体" w:cs="宋体" w:hint="eastAsia"/>
                <w:sz w:val="21"/>
                <w:szCs w:val="21"/>
              </w:rPr>
              <w:t>充电座，配备防丢失装备套：单手操作，可快速释放并安装设备，松紧可自由调节；可搭载在防静电服胸前装备挂袢上；</w:t>
            </w:r>
          </w:p>
          <w:p>
            <w:pPr>
              <w:widowControl/>
              <w:numPr>
                <w:ilvl w:val="0"/>
                <w:numId w:val="0"/>
              </w:numPr>
              <w:ind w:firstLine="0"/>
              <w:jc w:val="left"/>
              <w:rPr>
                <w:rFonts w:ascii="宋体" w:eastAsia="宋体" w:hAnsi="宋体" w:cs="宋体" w:hint="eastAsia"/>
                <w:szCs w:val="21"/>
              </w:rPr>
            </w:pPr>
            <w:r>
              <w:rPr>
                <w:rFonts w:ascii="宋体" w:eastAsia="宋体" w:hAnsi="宋体" w:cs="宋体" w:hint="eastAsia"/>
                <w:sz w:val="21"/>
                <w:szCs w:val="21"/>
                <w:lang w:val="en-US" w:eastAsia="zh-CN"/>
              </w:rPr>
              <w:t>8、</w:t>
            </w:r>
            <w:r>
              <w:rPr>
                <w:rFonts w:ascii="宋体" w:eastAsia="宋体" w:hAnsi="宋体" w:cs="宋体" w:hint="eastAsia"/>
                <w:sz w:val="21"/>
                <w:szCs w:val="21"/>
              </w:rPr>
              <w:t>配备有清晰的显示屏和指示灯，用于显示频道、电量、信号强度等信息</w:t>
            </w:r>
            <w:r>
              <w:rPr>
                <w:rFonts w:ascii="宋体" w:hAnsi="宋体" w:cs="宋体" w:hint="eastAsia"/>
                <w:sz w:val="21"/>
                <w:szCs w:val="21"/>
                <w:lang w:eastAsia="zh-CN"/>
              </w:rPr>
              <w:t>；</w:t>
            </w:r>
          </w:p>
          <w:p>
            <w:pPr>
              <w:widowControl/>
              <w:numPr>
                <w:ilvl w:val="12"/>
                <w:numId w:val="0"/>
              </w:numPr>
              <w:ind w:left="0" w:firstLine="0"/>
              <w:jc w:val="left"/>
              <w:rPr>
                <w:rFonts w:ascii="宋体" w:eastAsia="宋体" w:hAnsi="宋体" w:cs="宋体" w:hint="eastAsia"/>
                <w:szCs w:val="21"/>
              </w:rPr>
            </w:pPr>
            <w:r>
              <w:rPr>
                <w:rFonts w:ascii="宋体" w:eastAsia="宋体" w:hAnsi="宋体" w:cs="宋体" w:hint="eastAsia"/>
                <w:sz w:val="21"/>
                <w:szCs w:val="21"/>
                <w:lang w:val="en-US" w:eastAsia="zh-CN"/>
              </w:rPr>
              <w:t>9、</w:t>
            </w:r>
            <w:r>
              <w:rPr>
                <w:rFonts w:ascii="宋体" w:hAnsi="宋体" w:cs="宋体" w:hint="eastAsia"/>
                <w:szCs w:val="21"/>
              </w:rPr>
              <w:t>提供三年免费质保，质保到期后，提供5年维保</w:t>
            </w:r>
            <w:r>
              <w:rPr>
                <w:rFonts w:ascii="宋体" w:hAnsi="宋体" w:cs="宋体" w:hint="eastAsia"/>
                <w:szCs w:val="21"/>
                <w:lang w:eastAsia="zh-CN"/>
              </w:rPr>
              <w:t>；</w:t>
            </w:r>
          </w:p>
          <w:p>
            <w:pPr>
              <w:widowControl/>
              <w:numPr>
                <w:ilvl w:val="12"/>
                <w:numId w:val="0"/>
              </w:numPr>
              <w:ind w:left="0" w:firstLine="0"/>
              <w:jc w:val="left"/>
              <w:rPr>
                <w:rFonts w:ascii="宋体" w:hAnsi="宋体" w:cs="宋体" w:hint="eastAsia"/>
                <w:szCs w:val="21"/>
              </w:rPr>
            </w:pPr>
            <w:r>
              <w:rPr>
                <w:rFonts w:ascii="宋体" w:hAnsi="宋体" w:cs="宋体" w:hint="eastAsia"/>
                <w:kern w:val="2"/>
                <w:sz w:val="22"/>
                <w:szCs w:val="22"/>
                <w:lang w:val="en-US" w:eastAsia="zh-CN" w:bidi="ar-SA"/>
              </w:rPr>
              <w:t>10、</w:t>
            </w:r>
            <w:r>
              <w:rPr>
                <w:rFonts w:ascii="宋体" w:hAnsi="宋体" w:cs="宋体" w:hint="eastAsia"/>
                <w:kern w:val="2"/>
                <w:sz w:val="21"/>
                <w:szCs w:val="21"/>
                <w:lang w:val="en-US" w:eastAsia="zh-CN" w:bidi="ar-SA"/>
              </w:rPr>
              <w:t>支持</w:t>
            </w:r>
            <w:r>
              <w:rPr>
                <w:rFonts w:ascii="宋体" w:hAnsi="宋体" w:cs="宋体" w:hint="eastAsia"/>
                <w:sz w:val="21"/>
                <w:szCs w:val="21"/>
                <w:lang w:val="en-US" w:eastAsia="zh-CN"/>
              </w:rPr>
              <w:t>GB/T 15844-2022级。</w:t>
            </w:r>
          </w:p>
        </w:tc>
        <w:tc>
          <w:tcPr>
            <w:tcW w:w="363" w:type="pct"/>
            <w:noWrap w:val="0"/>
            <w:vAlign w:val="center"/>
          </w:tcPr>
          <w:p>
            <w:pPr>
              <w:widowControl/>
              <w:numPr>
                <w:ilvl w:val="0"/>
                <w:numId w:val="0"/>
              </w:numPr>
              <w:jc w:val="left"/>
              <w:rPr>
                <w:rFonts w:ascii="宋体" w:eastAsia="宋体" w:hAnsi="宋体" w:cs="宋体" w:hint="eastAsia"/>
                <w:szCs w:val="21"/>
              </w:rPr>
            </w:pPr>
            <w:r>
              <w:rPr>
                <w:rFonts w:ascii="宋体" w:eastAsia="宋体" w:hAnsi="宋体" w:cs="宋体" w:hint="eastAsia"/>
                <w:kern w:val="2"/>
                <w:sz w:val="21"/>
                <w:szCs w:val="21"/>
                <w:lang w:val="en-US" w:eastAsia="zh-CN" w:bidi="ar-SA"/>
              </w:rPr>
              <w:t>120</w:t>
            </w:r>
          </w:p>
        </w:tc>
        <w:tc>
          <w:tcPr>
            <w:tcW w:w="398" w:type="pct"/>
            <w:noWrap w:val="0"/>
            <w:vAlign w:val="center"/>
          </w:tcPr>
          <w:p>
            <w:pPr>
              <w:widowControl/>
              <w:numPr>
                <w:ilvl w:val="0"/>
                <w:numId w:val="0"/>
              </w:numPr>
              <w:jc w:val="left"/>
              <w:rPr>
                <w:rFonts w:ascii="宋体" w:eastAsia="宋体" w:hAnsi="宋体" w:cs="宋体" w:hint="eastAsia"/>
                <w:szCs w:val="21"/>
              </w:rPr>
            </w:pPr>
            <w:r>
              <w:rPr>
                <w:rFonts w:ascii="宋体" w:eastAsia="宋体" w:hAnsi="宋体" w:cs="宋体" w:hint="eastAsia"/>
                <w:kern w:val="2"/>
                <w:sz w:val="21"/>
                <w:szCs w:val="21"/>
                <w:lang w:val="en-US" w:eastAsia="zh-CN" w:bidi="ar-SA"/>
              </w:rPr>
              <w:t>套</w:t>
            </w:r>
          </w:p>
        </w:tc>
        <w:tc>
          <w:tcPr>
            <w:tcW w:w="506" w:type="pct"/>
            <w:noWrap w:val="0"/>
            <w:vAlign w:val="center"/>
          </w:tcPr>
          <w:p>
            <w:pPr>
              <w:widowControl/>
              <w:numPr>
                <w:ilvl w:val="0"/>
                <w:numId w:val="0"/>
              </w:numPr>
              <w:jc w:val="left"/>
              <w:rPr>
                <w:rFonts w:ascii="宋体" w:eastAsia="宋体" w:hAnsi="宋体" w:cs="宋体" w:hint="eastAsia"/>
                <w:szCs w:val="21"/>
              </w:rPr>
            </w:pPr>
            <w:r>
              <w:rPr>
                <w:rFonts w:ascii="宋体" w:eastAsia="宋体" w:hAnsi="宋体" w:cs="宋体" w:hint="eastAsia"/>
                <w:kern w:val="2"/>
                <w:sz w:val="21"/>
                <w:szCs w:val="21"/>
                <w:lang w:val="en-US" w:eastAsia="zh-CN" w:bidi="ar-SA"/>
              </w:rPr>
              <w:t>每套包含2台独立对讲机</w:t>
            </w:r>
          </w:p>
        </w:tc>
      </w:tr>
    </w:tbl>
    <w:p>
      <w:pPr>
        <w:keepNext w:val="0"/>
        <w:keepLines w:val="0"/>
        <w:pageBreakBefore w:val="0"/>
        <w:widowControl w:val="0"/>
        <w:kinsoku/>
        <w:wordWrap/>
        <w:overflowPunct/>
        <w:topLinePunct w:val="0"/>
        <w:autoSpaceDE w:val="0"/>
        <w:autoSpaceDN w:val="0"/>
        <w:bidi w:val="0"/>
        <w:adjustRightInd w:val="0"/>
        <w:snapToGrid w:val="0"/>
        <w:spacing w:before="0" w:line="560" w:lineRule="exact"/>
        <w:ind w:firstLine="420" w:firstLineChars="200"/>
        <w:jc w:val="center"/>
        <w:textAlignment w:val="baseline"/>
        <w:outlineLvl w:val="9"/>
        <w:rPr>
          <w:rFonts w:ascii="宋体" w:eastAsia="宋体" w:hAnsi="宋体" w:cs="宋体" w:hint="eastAsia"/>
          <w:snapToGrid w:val="0"/>
          <w:color w:val="000000"/>
          <w:spacing w:val="-1"/>
          <w:kern w:val="0"/>
          <w:szCs w:val="21"/>
        </w:rPr>
      </w:pPr>
      <w:r>
        <w:rPr>
          <w:rFonts w:ascii="宋体" w:eastAsia="宋体" w:hAnsi="宋体" w:cs="宋体" w:hint="eastAsia"/>
          <w:snapToGrid w:val="0"/>
          <w:color w:val="000000"/>
          <w:spacing w:val="-1"/>
          <w:kern w:val="0"/>
          <w:sz w:val="21"/>
          <w:szCs w:val="21"/>
          <w:lang w:val="en-US" w:eastAsia="zh-CN" w:bidi="ar-SA"/>
        </w:rPr>
        <w:t>表</w:t>
      </w:r>
      <w:r>
        <w:rPr>
          <w:rFonts w:ascii="宋体" w:hAnsi="宋体" w:cs="宋体" w:hint="eastAsia"/>
          <w:snapToGrid w:val="0"/>
          <w:color w:val="000000"/>
          <w:spacing w:val="-1"/>
          <w:kern w:val="0"/>
          <w:sz w:val="21"/>
          <w:szCs w:val="21"/>
          <w:lang w:val="en-US" w:eastAsia="zh-CN" w:bidi="ar-SA"/>
        </w:rPr>
        <w:t>3</w:t>
      </w:r>
      <w:r>
        <w:rPr>
          <w:rFonts w:ascii="宋体" w:eastAsia="宋体" w:hAnsi="宋体" w:cs="宋体" w:hint="eastAsia"/>
          <w:snapToGrid w:val="0"/>
          <w:color w:val="000000"/>
          <w:spacing w:val="-1"/>
          <w:kern w:val="0"/>
          <w:sz w:val="21"/>
          <w:szCs w:val="21"/>
          <w:lang w:val="en-US" w:eastAsia="zh-CN" w:bidi="ar-SA"/>
        </w:rPr>
        <w:t xml:space="preserve"> </w:t>
      </w:r>
      <w:r>
        <w:rPr>
          <w:rFonts w:ascii="宋体" w:hAnsi="宋体" w:cs="宋体" w:hint="eastAsia"/>
          <w:snapToGrid w:val="0"/>
          <w:color w:val="000000"/>
          <w:spacing w:val="-1"/>
          <w:kern w:val="0"/>
          <w:sz w:val="21"/>
          <w:szCs w:val="21"/>
          <w:lang w:val="en-US" w:eastAsia="zh-CN" w:bidi="ar-SA"/>
        </w:rPr>
        <w:t>固定作业点设备</w:t>
      </w:r>
      <w:r>
        <w:rPr>
          <w:rFonts w:ascii="宋体" w:eastAsia="宋体" w:hAnsi="宋体" w:cs="宋体" w:hint="eastAsia"/>
          <w:snapToGrid w:val="0"/>
          <w:color w:val="000000"/>
          <w:spacing w:val="-1"/>
          <w:kern w:val="0"/>
          <w:sz w:val="21"/>
          <w:szCs w:val="21"/>
          <w:lang w:val="en-US" w:eastAsia="zh-CN" w:bidi="ar-SA"/>
        </w:rPr>
        <w:t>技术性能要求</w:t>
      </w:r>
    </w:p>
    <w:tbl>
      <w:tblPr>
        <w:tblStyle w:val="TableNormal"/>
        <w:tblW w:w="50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32"/>
        <w:gridCol w:w="2"/>
        <w:gridCol w:w="1098"/>
        <w:gridCol w:w="2"/>
        <w:gridCol w:w="4995"/>
        <w:gridCol w:w="655"/>
        <w:gridCol w:w="716"/>
        <w:gridCol w:w="912"/>
      </w:tblGrid>
      <w:tr>
        <w:tblPrEx>
          <w:tblW w:w="50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733"/>
          <w:jc w:val="center"/>
        </w:trPr>
        <w:tc>
          <w:tcPr>
            <w:tcW w:w="352" w:type="pct"/>
            <w:gridSpan w:val="2"/>
            <w:noWrap w:val="0"/>
            <w:vAlign w:val="center"/>
          </w:tcPr>
          <w:p>
            <w:pPr>
              <w:widowControl w:val="0"/>
              <w:jc w:val="center"/>
              <w:rPr>
                <w:rFonts w:ascii="宋体" w:eastAsia="宋体" w:hAnsi="宋体" w:cs="宋体" w:hint="eastAsia"/>
                <w:color w:val="000000" w:themeColor="text1"/>
                <w:szCs w:val="21"/>
              </w:rPr>
            </w:pPr>
            <w:r>
              <w:rPr>
                <w:rFonts w:ascii="宋体" w:eastAsia="宋体" w:hAnsi="宋体" w:cs="宋体" w:hint="eastAsia"/>
                <w:color w:val="000000" w:themeColor="text1"/>
                <w:kern w:val="2"/>
                <w:sz w:val="21"/>
                <w:szCs w:val="21"/>
                <w:lang w:val="en-US" w:eastAsia="zh-CN" w:bidi="ar-SA"/>
              </w:rPr>
              <w:t>序号</w:t>
            </w:r>
          </w:p>
        </w:tc>
        <w:tc>
          <w:tcPr>
            <w:tcW w:w="610" w:type="pct"/>
            <w:gridSpan w:val="2"/>
            <w:noWrap w:val="0"/>
            <w:vAlign w:val="center"/>
          </w:tcPr>
          <w:p>
            <w:pPr>
              <w:widowControl w:val="0"/>
              <w:jc w:val="center"/>
              <w:rPr>
                <w:rFonts w:ascii="宋体" w:eastAsia="宋体" w:hAnsi="宋体" w:cs="宋体" w:hint="eastAsia"/>
                <w:color w:val="000000" w:themeColor="text1"/>
                <w:szCs w:val="21"/>
              </w:rPr>
            </w:pPr>
            <w:r>
              <w:rPr>
                <w:rFonts w:ascii="宋体" w:eastAsia="宋体" w:hAnsi="宋体" w:cs="宋体" w:hint="eastAsia"/>
                <w:color w:val="000000" w:themeColor="text1"/>
                <w:kern w:val="2"/>
                <w:sz w:val="21"/>
                <w:szCs w:val="21"/>
                <w:lang w:val="en-US" w:eastAsia="zh-CN" w:bidi="ar-SA"/>
              </w:rPr>
              <w:t>名称</w:t>
            </w:r>
          </w:p>
        </w:tc>
        <w:tc>
          <w:tcPr>
            <w:tcW w:w="2769" w:type="pct"/>
            <w:noWrap w:val="0"/>
            <w:vAlign w:val="center"/>
          </w:tcPr>
          <w:p>
            <w:pPr>
              <w:widowControl w:val="0"/>
              <w:jc w:val="center"/>
              <w:rPr>
                <w:rFonts w:ascii="宋体" w:eastAsia="宋体" w:hAnsi="宋体" w:cs="宋体" w:hint="eastAsia"/>
                <w:color w:val="000000" w:themeColor="text1"/>
                <w:szCs w:val="21"/>
              </w:rPr>
            </w:pPr>
            <w:r>
              <w:rPr>
                <w:rFonts w:ascii="宋体" w:eastAsia="宋体" w:hAnsi="宋体" w:cs="宋体" w:hint="eastAsia"/>
                <w:color w:val="000000" w:themeColor="text1"/>
                <w:kern w:val="2"/>
                <w:sz w:val="21"/>
                <w:szCs w:val="21"/>
                <w:lang w:val="en-US" w:eastAsia="zh-CN" w:bidi="ar-SA"/>
              </w:rPr>
              <w:t>主要技术性能要求</w:t>
            </w:r>
          </w:p>
        </w:tc>
        <w:tc>
          <w:tcPr>
            <w:tcW w:w="363" w:type="pct"/>
            <w:noWrap w:val="0"/>
            <w:vAlign w:val="center"/>
          </w:tcPr>
          <w:p>
            <w:pPr>
              <w:widowControl w:val="0"/>
              <w:jc w:val="center"/>
              <w:rPr>
                <w:rFonts w:ascii="宋体" w:eastAsia="宋体" w:hAnsi="宋体" w:cs="宋体" w:hint="eastAsia"/>
                <w:color w:val="000000" w:themeColor="text1"/>
                <w:szCs w:val="21"/>
              </w:rPr>
            </w:pPr>
            <w:r>
              <w:rPr>
                <w:rFonts w:ascii="宋体" w:eastAsia="宋体" w:hAnsi="宋体" w:cs="宋体" w:hint="eastAsia"/>
                <w:color w:val="000000" w:themeColor="text1"/>
                <w:kern w:val="2"/>
                <w:sz w:val="21"/>
                <w:szCs w:val="21"/>
                <w:lang w:val="en-US" w:eastAsia="zh-CN" w:bidi="ar-SA"/>
              </w:rPr>
              <w:t>数量</w:t>
            </w:r>
          </w:p>
        </w:tc>
        <w:tc>
          <w:tcPr>
            <w:tcW w:w="397" w:type="pct"/>
            <w:noWrap w:val="0"/>
            <w:vAlign w:val="center"/>
          </w:tcPr>
          <w:p>
            <w:pPr>
              <w:widowControl w:val="0"/>
              <w:jc w:val="center"/>
              <w:rPr>
                <w:rFonts w:ascii="宋体" w:eastAsia="宋体" w:hAnsi="宋体" w:cs="宋体" w:hint="eastAsia"/>
                <w:color w:val="000000" w:themeColor="text1"/>
                <w:szCs w:val="21"/>
              </w:rPr>
            </w:pPr>
            <w:r>
              <w:rPr>
                <w:rFonts w:ascii="宋体" w:eastAsia="宋体" w:hAnsi="宋体" w:cs="宋体" w:hint="eastAsia"/>
                <w:color w:val="000000" w:themeColor="text1"/>
                <w:kern w:val="2"/>
                <w:sz w:val="21"/>
                <w:szCs w:val="21"/>
                <w:lang w:val="en-US" w:eastAsia="zh-CN" w:bidi="ar-SA"/>
              </w:rPr>
              <w:t>单位</w:t>
            </w:r>
          </w:p>
        </w:tc>
        <w:tc>
          <w:tcPr>
            <w:tcW w:w="506" w:type="pct"/>
            <w:noWrap w:val="0"/>
            <w:vAlign w:val="center"/>
          </w:tcPr>
          <w:p>
            <w:pPr>
              <w:widowControl w:val="0"/>
              <w:jc w:val="center"/>
              <w:rPr>
                <w:rFonts w:ascii="宋体" w:eastAsia="宋体" w:hAnsi="宋体" w:cs="宋体" w:hint="eastAsia"/>
                <w:color w:val="000000" w:themeColor="text1"/>
                <w:szCs w:val="21"/>
              </w:rPr>
            </w:pPr>
            <w:r>
              <w:rPr>
                <w:rFonts w:ascii="宋体" w:eastAsia="宋体" w:hAnsi="宋体" w:cs="宋体" w:hint="eastAsia"/>
                <w:color w:val="000000" w:themeColor="text1"/>
                <w:kern w:val="2"/>
                <w:sz w:val="21"/>
                <w:szCs w:val="21"/>
                <w:lang w:val="en-US" w:eastAsia="zh-CN" w:bidi="ar-SA"/>
              </w:rPr>
              <w:t>备注</w:t>
            </w:r>
          </w:p>
        </w:tc>
      </w:tr>
      <w:tr>
        <w:tblPrEx>
          <w:tblW w:w="5005" w:type="pct"/>
          <w:jc w:val="center"/>
          <w:tblCellMar>
            <w:top w:w="0" w:type="dxa"/>
            <w:left w:w="108" w:type="dxa"/>
            <w:bottom w:w="0" w:type="dxa"/>
            <w:right w:w="108" w:type="dxa"/>
          </w:tblCellMar>
        </w:tblPrEx>
        <w:trPr>
          <w:trHeight w:val="401"/>
          <w:jc w:val="center"/>
        </w:trPr>
        <w:tc>
          <w:tcPr>
            <w:tcW w:w="351" w:type="pct"/>
            <w:noWrap w:val="0"/>
            <w:vAlign w:val="center"/>
          </w:tcPr>
          <w:p>
            <w:pPr>
              <w:widowControl/>
              <w:jc w:val="left"/>
              <w:rPr>
                <w:rFonts w:ascii="宋体" w:eastAsia="宋体" w:hAnsi="宋体" w:cs="宋体" w:hint="eastAsia"/>
                <w:color w:val="000000" w:themeColor="text1"/>
                <w:szCs w:val="21"/>
              </w:rPr>
            </w:pPr>
            <w:r>
              <w:rPr>
                <w:rFonts w:ascii="宋体" w:eastAsia="宋体" w:hAnsi="宋体" w:cs="宋体" w:hint="eastAsia"/>
                <w:color w:val="000000" w:themeColor="text1"/>
                <w:kern w:val="2"/>
                <w:sz w:val="21"/>
                <w:szCs w:val="21"/>
                <w:lang w:val="en-US" w:eastAsia="zh-CN" w:bidi="ar-SA"/>
              </w:rPr>
              <w:t>1</w:t>
            </w:r>
          </w:p>
        </w:tc>
        <w:tc>
          <w:tcPr>
            <w:tcW w:w="610" w:type="pct"/>
            <w:gridSpan w:val="2"/>
            <w:noWrap w:val="0"/>
            <w:vAlign w:val="center"/>
          </w:tcPr>
          <w:p>
            <w:pPr>
              <w:keepNext w:val="0"/>
              <w:keepLines w:val="0"/>
              <w:widowControl/>
              <w:suppressLineNumbers w:val="0"/>
              <w:jc w:val="center"/>
              <w:textAlignment w:val="center"/>
              <w:rPr>
                <w:rFonts w:ascii="宋体" w:eastAsia="宋体" w:hAnsi="宋体" w:cs="宋体" w:hint="eastAsia"/>
                <w:color w:val="000000" w:themeColor="text1"/>
                <w:szCs w:val="21"/>
              </w:rPr>
            </w:pPr>
            <w:r>
              <w:rPr>
                <w:rFonts w:ascii="宋体" w:eastAsia="宋体" w:hAnsi="宋体" w:cs="宋体" w:hint="eastAsia"/>
                <w:i w:val="0"/>
                <w:iCs w:val="0"/>
                <w:snapToGrid w:val="0"/>
                <w:color w:val="000000" w:themeColor="text1"/>
                <w:kern w:val="0"/>
                <w:sz w:val="21"/>
                <w:szCs w:val="21"/>
                <w:u w:val="none"/>
                <w:lang w:val="en-US" w:eastAsia="zh-CN" w:bidi="ar"/>
              </w:rPr>
              <w:t>高炮安全射界图更新</w:t>
            </w:r>
          </w:p>
        </w:tc>
        <w:tc>
          <w:tcPr>
            <w:tcW w:w="2771" w:type="pct"/>
            <w:gridSpan w:val="2"/>
            <w:noWrap w:val="0"/>
            <w:vAlign w:val="center"/>
          </w:tcPr>
          <w:p>
            <w:pPr>
              <w:keepNext w:val="0"/>
              <w:keepLines w:val="0"/>
              <w:widowControl/>
              <w:numPr>
                <w:ilvl w:val="0"/>
                <w:numId w:val="4"/>
              </w:numPr>
              <w:suppressLineNumbers w:val="0"/>
              <w:jc w:val="left"/>
              <w:textAlignment w:val="center"/>
              <w:rPr>
                <w:rFonts w:ascii="宋体" w:eastAsia="宋体" w:hAnsi="宋体" w:cs="宋体" w:hint="eastAsia"/>
                <w:i w:val="0"/>
                <w:iCs w:val="0"/>
                <w:snapToGrid w:val="0"/>
                <w:color w:val="000000" w:themeColor="text1"/>
                <w:kern w:val="0"/>
                <w:szCs w:val="21"/>
                <w:u w:val="none"/>
                <w:lang w:bidi="ar"/>
              </w:rPr>
            </w:pPr>
            <w:r>
              <w:rPr>
                <w:rFonts w:ascii="宋体" w:eastAsia="宋体" w:hAnsi="宋体" w:cs="宋体" w:hint="eastAsia"/>
                <w:i w:val="0"/>
                <w:iCs w:val="0"/>
                <w:snapToGrid w:val="0"/>
                <w:color w:val="000000" w:themeColor="text1"/>
                <w:kern w:val="0"/>
                <w:sz w:val="21"/>
                <w:szCs w:val="21"/>
                <w:u w:val="none"/>
                <w:lang w:val="en-US" w:eastAsia="zh-CN" w:bidi="ar"/>
              </w:rPr>
              <w:t>高炮射界图总体要求：</w:t>
            </w:r>
            <w:r>
              <w:rPr>
                <w:rFonts w:ascii="宋体" w:eastAsia="宋体" w:hAnsi="宋体" w:cs="宋体" w:hint="eastAsia"/>
                <w:color w:val="000000" w:themeColor="text1"/>
                <w:kern w:val="2"/>
                <w:sz w:val="21"/>
                <w:szCs w:val="21"/>
                <w:lang w:val="en-US" w:eastAsia="zh-CN" w:bidi="ar-SA"/>
              </w:rPr>
              <w:t>严格按照国标《GBT 39782—2021 人工影响天气高炮作业点安全射界图绘制规范》绘制。</w:t>
            </w:r>
          </w:p>
          <w:p>
            <w:pPr>
              <w:keepNext w:val="0"/>
              <w:keepLines w:val="0"/>
              <w:widowControl/>
              <w:numPr>
                <w:ilvl w:val="0"/>
                <w:numId w:val="5"/>
              </w:numPr>
              <w:suppressLineNumbers w:val="0"/>
              <w:jc w:val="left"/>
              <w:textAlignment w:val="center"/>
              <w:rPr>
                <w:rFonts w:ascii="宋体" w:eastAsia="宋体" w:hAnsi="宋体" w:cs="宋体" w:hint="eastAsia"/>
                <w:color w:val="000000" w:themeColor="text1"/>
                <w:szCs w:val="21"/>
                <w:highlight w:val="none"/>
              </w:rPr>
            </w:pPr>
            <w:r>
              <w:rPr>
                <w:rFonts w:ascii="宋体" w:eastAsia="宋体" w:hAnsi="宋体" w:cs="宋体" w:hint="eastAsia"/>
                <w:b w:val="0"/>
                <w:bCs w:val="0"/>
                <w:color w:val="000000" w:themeColor="text1"/>
                <w:sz w:val="21"/>
                <w:szCs w:val="21"/>
                <w:highlight w:val="none"/>
                <w:lang w:eastAsia="zh-CN"/>
              </w:rPr>
              <w:t>▲</w:t>
            </w:r>
            <w:r>
              <w:rPr>
                <w:rFonts w:ascii="宋体" w:eastAsia="宋体" w:hAnsi="宋体" w:cs="宋体" w:hint="eastAsia"/>
                <w:i w:val="0"/>
                <w:iCs w:val="0"/>
                <w:snapToGrid w:val="0"/>
                <w:color w:val="000000" w:themeColor="text1"/>
                <w:kern w:val="0"/>
                <w:sz w:val="21"/>
                <w:szCs w:val="21"/>
                <w:u w:val="none"/>
                <w:lang w:val="en-US" w:eastAsia="zh-CN" w:bidi="ar"/>
              </w:rPr>
              <w:t>采用高分辨率卫星影像，将影像进行坐标校正（坐标系2000国家大地坐标系，地理坐标，单位为十进制度），并根据人影作业点的经纬度信息，进行坐标转换，在影像上准确定位作业点位置，达到绘制的安全射界图与实际作业点一一对应，</w:t>
            </w:r>
            <w:r>
              <w:rPr>
                <w:rFonts w:ascii="宋体" w:eastAsia="宋体" w:hAnsi="宋体" w:cs="宋体" w:hint="eastAsia"/>
                <w:snapToGrid w:val="0"/>
                <w:color w:val="000000" w:themeColor="text1"/>
                <w:kern w:val="0"/>
                <w:sz w:val="21"/>
                <w:szCs w:val="21"/>
                <w:u w:val="none"/>
                <w:lang w:val="en-US" w:eastAsia="zh-CN" w:bidi="ar"/>
              </w:rPr>
              <w:t>提供安全射界图制作相关案例</w:t>
            </w:r>
            <w:bookmarkStart w:id="57" w:name="_GoBack"/>
            <w:bookmarkEnd w:id="57"/>
            <w:r>
              <w:rPr>
                <w:rFonts w:ascii="宋体" w:eastAsia="宋体" w:hAnsi="宋体" w:cs="宋体" w:hint="eastAsia"/>
                <w:snapToGrid w:val="0"/>
                <w:color w:val="000000" w:themeColor="text1"/>
                <w:kern w:val="0"/>
                <w:sz w:val="21"/>
                <w:szCs w:val="21"/>
                <w:u w:val="none"/>
                <w:lang w:val="en-US" w:eastAsia="zh-CN" w:bidi="ar"/>
              </w:rPr>
              <w:t>。</w:t>
            </w:r>
          </w:p>
          <w:p>
            <w:pPr>
              <w:keepNext w:val="0"/>
              <w:keepLines w:val="0"/>
              <w:widowControl/>
              <w:numPr>
                <w:ilvl w:val="0"/>
                <w:numId w:val="5"/>
              </w:numPr>
              <w:suppressLineNumbers w:val="0"/>
              <w:jc w:val="left"/>
              <w:textAlignment w:val="center"/>
              <w:rPr>
                <w:rFonts w:ascii="宋体" w:eastAsia="宋体" w:hAnsi="宋体" w:cs="宋体" w:hint="eastAsia"/>
                <w:color w:val="000000" w:themeColor="text1"/>
                <w:szCs w:val="21"/>
                <w:highlight w:val="none"/>
              </w:rPr>
            </w:pPr>
            <w:r>
              <w:rPr>
                <w:rFonts w:ascii="宋体" w:eastAsia="宋体" w:hAnsi="宋体" w:cs="宋体" w:hint="eastAsia"/>
                <w:i w:val="0"/>
                <w:iCs w:val="0"/>
                <w:snapToGrid w:val="0"/>
                <w:color w:val="000000" w:themeColor="text1"/>
                <w:kern w:val="0"/>
                <w:sz w:val="21"/>
                <w:szCs w:val="21"/>
                <w:u w:val="none"/>
                <w:lang w:val="en-US" w:eastAsia="zh-CN" w:bidi="ar"/>
              </w:rPr>
              <w:t>利用每个人影作业点经纬度定位信息绘制卫星影像安全射界图，经由县人影办或县气象局熟悉作业点的管理技术人员核对每个作业点的卫星影像位置，进行校正，弥补经纬度测量误差，达到影像作业点与实际作业点一致。并利用精准定位和绘制程序，对每个人影作业点在卫星影像上截取20×20km</w:t>
            </w:r>
            <w:r>
              <w:rPr>
                <w:rFonts w:ascii="宋体" w:eastAsia="宋体" w:hAnsi="宋体" w:cs="宋体" w:hint="eastAsia"/>
                <w:i w:val="0"/>
                <w:iCs w:val="0"/>
                <w:snapToGrid w:val="0"/>
                <w:color w:val="000000" w:themeColor="text1"/>
                <w:kern w:val="0"/>
                <w:sz w:val="21"/>
                <w:szCs w:val="21"/>
                <w:u w:val="none"/>
                <w:vertAlign w:val="superscript"/>
                <w:lang w:val="en-US" w:eastAsia="zh-CN" w:bidi="ar"/>
              </w:rPr>
              <w:t>2</w:t>
            </w:r>
            <w:r>
              <w:rPr>
                <w:rFonts w:ascii="宋体" w:eastAsia="宋体" w:hAnsi="宋体" w:cs="宋体" w:hint="eastAsia"/>
                <w:i w:val="0"/>
                <w:iCs w:val="0"/>
                <w:snapToGrid w:val="0"/>
                <w:color w:val="000000" w:themeColor="text1"/>
                <w:kern w:val="0"/>
                <w:sz w:val="21"/>
                <w:szCs w:val="21"/>
                <w:u w:val="none"/>
                <w:lang w:val="en-US" w:eastAsia="zh-CN" w:bidi="ar"/>
              </w:rPr>
              <w:t>的作业点高精度区域图，从中选取安全作业区域。按照相同比例尺，在每个作业点高精度区域截图上以作业点为中心叠加绘制距离圈和安全射界区。</w:t>
            </w:r>
          </w:p>
          <w:p>
            <w:pPr>
              <w:keepNext w:val="0"/>
              <w:keepLines w:val="0"/>
              <w:widowControl/>
              <w:numPr>
                <w:ilvl w:val="0"/>
                <w:numId w:val="5"/>
              </w:numPr>
              <w:suppressLineNumbers w:val="0"/>
              <w:jc w:val="left"/>
              <w:textAlignment w:val="center"/>
              <w:rPr>
                <w:rFonts w:ascii="宋体" w:eastAsia="宋体" w:hAnsi="宋体" w:cs="宋体" w:hint="eastAsia"/>
                <w:color w:val="000000" w:themeColor="text1"/>
                <w:szCs w:val="21"/>
                <w:highlight w:val="none"/>
              </w:rPr>
            </w:pPr>
            <w:r>
              <w:rPr>
                <w:rFonts w:ascii="宋体" w:eastAsia="宋体" w:hAnsi="宋体" w:cs="宋体" w:hint="eastAsia"/>
                <w:i w:val="0"/>
                <w:iCs w:val="0"/>
                <w:snapToGrid w:val="0"/>
                <w:color w:val="000000" w:themeColor="text1"/>
                <w:kern w:val="0"/>
                <w:sz w:val="21"/>
                <w:szCs w:val="21"/>
                <w:u w:val="none"/>
                <w:lang w:val="en-US" w:eastAsia="zh-CN" w:bidi="ar"/>
              </w:rPr>
              <w:t>距离圈绘制根据弹道系数和初速度等参数分别计算出在“静风（风速0m/s）”“顺风（风速20m/s）”“逆风（风速20m/s）”和“横风（横风即为炮弹的初射方向与风速垂直，设风速为20m/s）”条件下，高炮以不同仰角发射的炮弹未爆炸时的落点距离，同时，绘制以不同方位角度发射时，不影响地面安全的安全区域，形成安全射界图。</w:t>
            </w:r>
          </w:p>
          <w:p>
            <w:pPr>
              <w:keepNext w:val="0"/>
              <w:keepLines w:val="0"/>
              <w:widowControl/>
              <w:numPr>
                <w:ilvl w:val="0"/>
                <w:numId w:val="5"/>
              </w:numPr>
              <w:suppressLineNumbers w:val="0"/>
              <w:jc w:val="left"/>
              <w:textAlignment w:val="center"/>
              <w:rPr>
                <w:rFonts w:ascii="宋体" w:eastAsia="宋体" w:hAnsi="宋体" w:cs="宋体" w:hint="eastAsia"/>
                <w:color w:val="000000" w:themeColor="text1"/>
                <w:szCs w:val="21"/>
                <w:highlight w:val="none"/>
              </w:rPr>
            </w:pPr>
            <w:r>
              <w:rPr>
                <w:rFonts w:ascii="宋体" w:eastAsia="宋体" w:hAnsi="宋体" w:cs="宋体" w:hint="eastAsia"/>
                <w:i w:val="0"/>
                <w:iCs w:val="0"/>
                <w:snapToGrid w:val="0"/>
                <w:color w:val="000000" w:themeColor="text1"/>
                <w:kern w:val="0"/>
                <w:sz w:val="21"/>
                <w:szCs w:val="21"/>
                <w:u w:val="none"/>
                <w:lang w:val="en-US" w:eastAsia="zh-CN" w:bidi="ar"/>
              </w:rPr>
              <w:t>高炮实际射击时，因高炮弹本身性能存在微差，且受空中风向风速、射击点海拔高度、温度等环境条件影响，未爆弹丸的实际落点与理论测算会出现明显偏差，呈现一定的散布范围。绘制中应考虑影响未爆弹丸射程偏差的主要因素（风、海拔高度），以确定安全射界最小范围，预先在高分辨率卫星影像图上标绘出符合条件的安全射界，射击时按照安全射界作业，从而最大限度避免未爆弹丸落入人口密集区或重要设施区。</w:t>
            </w:r>
          </w:p>
          <w:p>
            <w:pPr>
              <w:keepNext w:val="0"/>
              <w:keepLines w:val="0"/>
              <w:widowControl/>
              <w:numPr>
                <w:ilvl w:val="0"/>
                <w:numId w:val="4"/>
              </w:numPr>
              <w:suppressLineNumbers w:val="0"/>
              <w:ind w:left="0" w:firstLine="0" w:leftChars="0" w:firstLineChars="0"/>
              <w:jc w:val="left"/>
              <w:textAlignment w:val="center"/>
              <w:rPr>
                <w:rFonts w:ascii="宋体" w:eastAsia="宋体" w:hAnsi="宋体" w:cs="宋体" w:hint="eastAsia"/>
                <w:i w:val="0"/>
                <w:iCs w:val="0"/>
                <w:snapToGrid w:val="0"/>
                <w:color w:val="000000" w:themeColor="text1"/>
                <w:kern w:val="0"/>
                <w:szCs w:val="21"/>
                <w:u w:val="none"/>
                <w:lang w:bidi="ar"/>
              </w:rPr>
            </w:pPr>
            <w:r>
              <w:rPr>
                <w:rFonts w:ascii="宋体" w:eastAsia="宋体" w:hAnsi="宋体" w:cs="宋体" w:hint="eastAsia"/>
                <w:i w:val="0"/>
                <w:iCs w:val="0"/>
                <w:snapToGrid w:val="0"/>
                <w:color w:val="000000" w:themeColor="text1"/>
                <w:kern w:val="0"/>
                <w:sz w:val="21"/>
                <w:szCs w:val="21"/>
                <w:u w:val="none"/>
                <w:lang w:val="en-US" w:eastAsia="zh-CN" w:bidi="ar"/>
              </w:rPr>
              <w:t>安全射界图（标牌）：</w:t>
            </w:r>
          </w:p>
          <w:p>
            <w:pPr>
              <w:keepNext w:val="0"/>
              <w:keepLines w:val="0"/>
              <w:widowControl/>
              <w:numPr>
                <w:ilvl w:val="0"/>
                <w:numId w:val="0"/>
              </w:numPr>
              <w:suppressLineNumbers w:val="0"/>
              <w:ind w:leftChars="0"/>
              <w:jc w:val="left"/>
              <w:textAlignment w:val="center"/>
              <w:rPr>
                <w:rFonts w:ascii="宋体" w:eastAsia="宋体" w:hAnsi="宋体" w:cs="宋体" w:hint="eastAsia"/>
                <w:i w:val="0"/>
                <w:iCs w:val="0"/>
                <w:snapToGrid w:val="0"/>
                <w:color w:val="000000" w:themeColor="text1"/>
                <w:kern w:val="0"/>
                <w:szCs w:val="21"/>
                <w:u w:val="none"/>
                <w:lang w:bidi="ar"/>
              </w:rPr>
            </w:pPr>
            <w:r>
              <w:rPr>
                <w:rFonts w:ascii="宋体" w:eastAsia="宋体" w:hAnsi="宋体" w:cs="宋体" w:hint="eastAsia"/>
                <w:i w:val="0"/>
                <w:iCs w:val="0"/>
                <w:snapToGrid w:val="0"/>
                <w:color w:val="000000" w:themeColor="text1"/>
                <w:kern w:val="0"/>
                <w:sz w:val="21"/>
                <w:szCs w:val="21"/>
                <w:u w:val="none"/>
                <w:lang w:val="en-US" w:eastAsia="zh-CN" w:bidi="ar"/>
              </w:rPr>
              <w:t>1.严格按照国标《GBT 39782—2021 人工影响天气高炮作业点安全射界图绘制规范》绘制。</w:t>
            </w:r>
          </w:p>
          <w:p>
            <w:pPr>
              <w:keepNext w:val="0"/>
              <w:keepLines w:val="0"/>
              <w:widowControl/>
              <w:numPr>
                <w:ilvl w:val="0"/>
                <w:numId w:val="0"/>
              </w:numPr>
              <w:suppressLineNumbers w:val="0"/>
              <w:ind w:leftChars="0"/>
              <w:jc w:val="left"/>
              <w:textAlignment w:val="center"/>
              <w:rPr>
                <w:rFonts w:ascii="宋体" w:eastAsia="宋体" w:hAnsi="宋体" w:cs="宋体" w:hint="eastAsia"/>
                <w:color w:val="000000" w:themeColor="text1"/>
                <w:szCs w:val="21"/>
              </w:rPr>
            </w:pPr>
            <w:r>
              <w:rPr>
                <w:rFonts w:ascii="宋体" w:eastAsia="宋体" w:hAnsi="宋体" w:cs="宋体" w:hint="eastAsia"/>
                <w:i w:val="0"/>
                <w:iCs w:val="0"/>
                <w:snapToGrid w:val="0"/>
                <w:color w:val="000000" w:themeColor="text1"/>
                <w:kern w:val="0"/>
                <w:sz w:val="21"/>
                <w:szCs w:val="21"/>
                <w:u w:val="none"/>
                <w:lang w:val="en-US" w:eastAsia="zh-CN" w:bidi="ar"/>
              </w:rPr>
              <w:t>2.尺寸：不小于A2（420mm×594mm），采用亚克力展板印制。</w:t>
            </w:r>
          </w:p>
        </w:tc>
        <w:tc>
          <w:tcPr>
            <w:tcW w:w="363" w:type="pct"/>
            <w:noWrap w:val="0"/>
            <w:vAlign w:val="center"/>
          </w:tcPr>
          <w:p>
            <w:pPr>
              <w:keepNext w:val="0"/>
              <w:keepLines w:val="0"/>
              <w:widowControl/>
              <w:suppressLineNumbers w:val="0"/>
              <w:jc w:val="center"/>
              <w:textAlignment w:val="center"/>
              <w:rPr>
                <w:rFonts w:ascii="宋体" w:eastAsia="宋体" w:hAnsi="宋体" w:cs="宋体" w:hint="eastAsia"/>
                <w:color w:val="000000" w:themeColor="text1"/>
                <w:szCs w:val="21"/>
              </w:rPr>
            </w:pPr>
            <w:r>
              <w:rPr>
                <w:rFonts w:ascii="宋体" w:eastAsia="宋体" w:hAnsi="宋体" w:cs="宋体" w:hint="eastAsia"/>
                <w:i w:val="0"/>
                <w:iCs w:val="0"/>
                <w:snapToGrid w:val="0"/>
                <w:color w:val="000000" w:themeColor="text1"/>
                <w:kern w:val="0"/>
                <w:sz w:val="21"/>
                <w:szCs w:val="21"/>
                <w:u w:val="none"/>
                <w:lang w:val="en-US" w:eastAsia="zh-CN" w:bidi="ar"/>
              </w:rPr>
              <w:t xml:space="preserve">154 </w:t>
            </w:r>
          </w:p>
        </w:tc>
        <w:tc>
          <w:tcPr>
            <w:tcW w:w="397" w:type="pct"/>
            <w:noWrap w:val="0"/>
            <w:vAlign w:val="center"/>
          </w:tcPr>
          <w:p>
            <w:pPr>
              <w:keepNext w:val="0"/>
              <w:keepLines w:val="0"/>
              <w:widowControl/>
              <w:suppressLineNumbers w:val="0"/>
              <w:jc w:val="center"/>
              <w:textAlignment w:val="center"/>
              <w:rPr>
                <w:rFonts w:ascii="宋体" w:eastAsia="宋体" w:hAnsi="宋体" w:cs="宋体" w:hint="eastAsia"/>
                <w:color w:val="000000" w:themeColor="text1"/>
                <w:szCs w:val="21"/>
              </w:rPr>
            </w:pPr>
            <w:r>
              <w:rPr>
                <w:rFonts w:ascii="宋体" w:eastAsia="宋体" w:hAnsi="宋体" w:cs="宋体" w:hint="eastAsia"/>
                <w:i w:val="0"/>
                <w:iCs w:val="0"/>
                <w:snapToGrid w:val="0"/>
                <w:color w:val="000000" w:themeColor="text1"/>
                <w:kern w:val="0"/>
                <w:sz w:val="21"/>
                <w:szCs w:val="21"/>
                <w:u w:val="none"/>
                <w:lang w:val="en-US" w:eastAsia="zh-CN" w:bidi="ar"/>
              </w:rPr>
              <w:t>套</w:t>
            </w:r>
          </w:p>
        </w:tc>
        <w:tc>
          <w:tcPr>
            <w:tcW w:w="506" w:type="pct"/>
            <w:noWrap w:val="0"/>
            <w:vAlign w:val="center"/>
          </w:tcPr>
          <w:p>
            <w:pPr>
              <w:widowControl/>
              <w:numPr>
                <w:ilvl w:val="0"/>
                <w:numId w:val="0"/>
              </w:numPr>
              <w:jc w:val="left"/>
              <w:rPr>
                <w:rFonts w:ascii="宋体" w:eastAsia="宋体" w:hAnsi="宋体" w:cs="宋体" w:hint="eastAsia"/>
                <w:color w:val="000000" w:themeColor="text1"/>
                <w:szCs w:val="21"/>
              </w:rPr>
            </w:pPr>
          </w:p>
        </w:tc>
      </w:tr>
      <w:tr>
        <w:tblPrEx>
          <w:tblW w:w="5005" w:type="pct"/>
          <w:jc w:val="center"/>
          <w:tblCellMar>
            <w:top w:w="0" w:type="dxa"/>
            <w:left w:w="108" w:type="dxa"/>
            <w:bottom w:w="0" w:type="dxa"/>
            <w:right w:w="108" w:type="dxa"/>
          </w:tblCellMar>
        </w:tblPrEx>
        <w:trPr>
          <w:trHeight w:val="401"/>
          <w:jc w:val="center"/>
        </w:trPr>
        <w:tc>
          <w:tcPr>
            <w:tcW w:w="351" w:type="pct"/>
            <w:noWrap w:val="0"/>
            <w:vAlign w:val="center"/>
          </w:tcPr>
          <w:p>
            <w:pPr>
              <w:widowControl/>
              <w:jc w:val="left"/>
              <w:rPr>
                <w:rFonts w:ascii="宋体" w:eastAsia="宋体" w:hAnsi="宋体" w:cs="宋体" w:hint="eastAsia"/>
                <w:color w:val="000000" w:themeColor="text1"/>
                <w:szCs w:val="21"/>
              </w:rPr>
            </w:pPr>
            <w:r>
              <w:rPr>
                <w:rFonts w:ascii="宋体" w:eastAsia="宋体" w:hAnsi="宋体" w:cs="宋体" w:hint="eastAsia"/>
                <w:color w:val="000000" w:themeColor="text1"/>
                <w:kern w:val="2"/>
                <w:sz w:val="21"/>
                <w:szCs w:val="21"/>
                <w:lang w:val="en-US" w:eastAsia="zh-CN" w:bidi="ar-SA"/>
              </w:rPr>
              <w:t>2</w:t>
            </w:r>
          </w:p>
        </w:tc>
        <w:tc>
          <w:tcPr>
            <w:tcW w:w="610" w:type="pct"/>
            <w:gridSpan w:val="2"/>
            <w:noWrap w:val="0"/>
            <w:vAlign w:val="center"/>
          </w:tcPr>
          <w:p>
            <w:pPr>
              <w:keepNext w:val="0"/>
              <w:keepLines w:val="0"/>
              <w:widowControl/>
              <w:suppressLineNumbers w:val="0"/>
              <w:jc w:val="center"/>
              <w:textAlignment w:val="center"/>
              <w:rPr>
                <w:rFonts w:ascii="宋体" w:eastAsia="宋体" w:hAnsi="宋体" w:cs="宋体" w:hint="eastAsia"/>
                <w:color w:val="000000" w:themeColor="text1"/>
                <w:szCs w:val="21"/>
              </w:rPr>
            </w:pPr>
            <w:r>
              <w:rPr>
                <w:rFonts w:ascii="宋体" w:eastAsia="宋体" w:hAnsi="宋体" w:cs="宋体" w:hint="eastAsia"/>
                <w:i w:val="0"/>
                <w:iCs w:val="0"/>
                <w:snapToGrid w:val="0"/>
                <w:color w:val="000000" w:themeColor="text1"/>
                <w:kern w:val="0"/>
                <w:sz w:val="21"/>
                <w:szCs w:val="21"/>
                <w:u w:val="none"/>
                <w:lang w:val="en-US" w:eastAsia="zh-CN" w:bidi="ar"/>
              </w:rPr>
              <w:t>高炮安全射界图地面喷绘</w:t>
            </w:r>
          </w:p>
        </w:tc>
        <w:tc>
          <w:tcPr>
            <w:tcW w:w="2771" w:type="pct"/>
            <w:gridSpan w:val="2"/>
            <w:noWrap w:val="0"/>
            <w:vAlign w:val="center"/>
          </w:tcPr>
          <w:p>
            <w:pPr>
              <w:keepNext w:val="0"/>
              <w:keepLines w:val="0"/>
              <w:widowControl/>
              <w:suppressLineNumbers w:val="0"/>
              <w:jc w:val="left"/>
              <w:textAlignment w:val="center"/>
              <w:rPr>
                <w:rFonts w:ascii="宋体" w:eastAsia="宋体" w:hAnsi="宋体" w:cs="宋体" w:hint="eastAsia"/>
                <w:i w:val="0"/>
                <w:iCs w:val="0"/>
                <w:snapToGrid w:val="0"/>
                <w:color w:val="000000" w:themeColor="text1"/>
                <w:kern w:val="0"/>
                <w:szCs w:val="21"/>
                <w:u w:val="none"/>
                <w:lang w:bidi="ar"/>
              </w:rPr>
            </w:pPr>
            <w:r>
              <w:rPr>
                <w:rFonts w:ascii="宋体" w:eastAsia="宋体" w:hAnsi="宋体" w:cs="宋体" w:hint="eastAsia"/>
                <w:i w:val="0"/>
                <w:iCs w:val="0"/>
                <w:snapToGrid w:val="0"/>
                <w:color w:val="000000" w:themeColor="text1"/>
                <w:kern w:val="0"/>
                <w:sz w:val="21"/>
                <w:szCs w:val="21"/>
                <w:u w:val="none"/>
                <w:lang w:val="en-US" w:eastAsia="zh-CN" w:bidi="ar"/>
              </w:rPr>
              <w:t>按照作业点安全射界图进行喷绘，表面采用环氧树脂面层，底层采用石英砂与底料拌合浆状，人工刮平，使砼表面挂底料，同时渗入砼层，表面干燥后施工第二层，底层用砂子磨平，局部补刮平整，涂刷初面层，采用滚筒或刮尺，将面料均匀滚刷一遍，表面厚实平整，待干燥后，涂刷涂层花样；</w:t>
            </w:r>
          </w:p>
          <w:p>
            <w:pPr>
              <w:keepNext w:val="0"/>
              <w:keepLines w:val="0"/>
              <w:widowControl/>
              <w:suppressLineNumbers w:val="0"/>
              <w:jc w:val="left"/>
              <w:textAlignment w:val="center"/>
              <w:rPr>
                <w:rFonts w:ascii="宋体" w:eastAsia="宋体" w:hAnsi="宋体" w:cs="宋体" w:hint="eastAsia"/>
                <w:i w:val="0"/>
                <w:iCs w:val="0"/>
                <w:snapToGrid w:val="0"/>
                <w:color w:val="000000" w:themeColor="text1"/>
                <w:kern w:val="0"/>
                <w:szCs w:val="21"/>
                <w:u w:val="none"/>
                <w:lang w:bidi="ar"/>
              </w:rPr>
            </w:pPr>
            <w:r>
              <w:rPr>
                <w:rFonts w:ascii="宋体" w:eastAsia="宋体" w:hAnsi="宋体" w:cs="宋体" w:hint="eastAsia"/>
                <w:i w:val="0"/>
                <w:iCs w:val="0"/>
                <w:snapToGrid w:val="0"/>
                <w:color w:val="000000" w:themeColor="text1"/>
                <w:kern w:val="0"/>
                <w:sz w:val="21"/>
                <w:szCs w:val="21"/>
                <w:u w:val="none"/>
                <w:lang w:val="en-US" w:eastAsia="zh-CN" w:bidi="ar"/>
              </w:rPr>
              <w:t>材料：彩色耐磨环氧树脂；</w:t>
            </w:r>
          </w:p>
          <w:p>
            <w:pPr>
              <w:keepNext w:val="0"/>
              <w:keepLines w:val="0"/>
              <w:widowControl/>
              <w:suppressLineNumbers w:val="0"/>
              <w:jc w:val="left"/>
              <w:textAlignment w:val="center"/>
              <w:rPr>
                <w:rFonts w:ascii="宋体" w:eastAsia="宋体" w:hAnsi="宋体" w:cs="宋体" w:hint="eastAsia"/>
                <w:color w:val="000000" w:themeColor="text1"/>
                <w:szCs w:val="21"/>
              </w:rPr>
            </w:pPr>
            <w:r>
              <w:rPr>
                <w:rFonts w:ascii="宋体" w:eastAsia="宋体" w:hAnsi="宋体" w:cs="宋体" w:hint="eastAsia"/>
                <w:i w:val="0"/>
                <w:iCs w:val="0"/>
                <w:snapToGrid w:val="0"/>
                <w:color w:val="000000" w:themeColor="text1"/>
                <w:kern w:val="0"/>
                <w:sz w:val="21"/>
                <w:szCs w:val="21"/>
                <w:u w:val="none"/>
                <w:lang w:val="en-US" w:eastAsia="zh-CN" w:bidi="ar"/>
              </w:rPr>
              <w:t>颜色要求：禁射区标识为红色、安全射界区标识为绿色。</w:t>
            </w:r>
            <w:r>
              <w:rPr>
                <w:rFonts w:ascii="宋体" w:eastAsia="宋体" w:hAnsi="宋体" w:cs="宋体" w:hint="eastAsia"/>
                <w:i w:val="0"/>
                <w:iCs w:val="0"/>
                <w:snapToGrid w:val="0"/>
                <w:color w:val="000000" w:themeColor="text1"/>
                <w:kern w:val="0"/>
                <w:sz w:val="21"/>
                <w:szCs w:val="21"/>
                <w:u w:val="none"/>
                <w:lang w:val="en-US" w:eastAsia="zh-CN" w:bidi="ar"/>
              </w:rPr>
              <w:br/>
            </w:r>
            <w:r>
              <w:rPr>
                <w:rFonts w:ascii="宋体" w:eastAsia="宋体" w:hAnsi="宋体" w:cs="宋体" w:hint="eastAsia"/>
                <w:i w:val="0"/>
                <w:iCs w:val="0"/>
                <w:snapToGrid w:val="0"/>
                <w:color w:val="000000" w:themeColor="text1"/>
                <w:kern w:val="0"/>
                <w:sz w:val="21"/>
                <w:szCs w:val="21"/>
                <w:u w:val="none"/>
                <w:lang w:val="en-US" w:eastAsia="zh-CN" w:bidi="ar"/>
              </w:rPr>
              <w:t>对于部分作业点高炮作业平台有损坏无法进行正常喷绘的，需要先进行修缮。</w:t>
            </w:r>
          </w:p>
        </w:tc>
        <w:tc>
          <w:tcPr>
            <w:tcW w:w="363" w:type="pct"/>
            <w:noWrap w:val="0"/>
            <w:vAlign w:val="center"/>
          </w:tcPr>
          <w:p>
            <w:pPr>
              <w:keepNext w:val="0"/>
              <w:keepLines w:val="0"/>
              <w:widowControl/>
              <w:suppressLineNumbers w:val="0"/>
              <w:jc w:val="center"/>
              <w:textAlignment w:val="center"/>
              <w:rPr>
                <w:rFonts w:ascii="宋体" w:eastAsia="宋体" w:hAnsi="宋体" w:cs="宋体" w:hint="eastAsia"/>
                <w:color w:val="000000" w:themeColor="text1"/>
                <w:szCs w:val="21"/>
              </w:rPr>
            </w:pPr>
            <w:r>
              <w:rPr>
                <w:rFonts w:ascii="宋体" w:eastAsia="宋体" w:hAnsi="宋体" w:cs="宋体" w:hint="eastAsia"/>
                <w:i w:val="0"/>
                <w:iCs w:val="0"/>
                <w:snapToGrid w:val="0"/>
                <w:color w:val="000000" w:themeColor="text1"/>
                <w:kern w:val="0"/>
                <w:sz w:val="21"/>
                <w:szCs w:val="21"/>
                <w:u w:val="none"/>
                <w:lang w:val="en-US" w:eastAsia="zh-CN" w:bidi="ar"/>
              </w:rPr>
              <w:t xml:space="preserve">154 </w:t>
            </w:r>
          </w:p>
        </w:tc>
        <w:tc>
          <w:tcPr>
            <w:tcW w:w="397" w:type="pct"/>
            <w:noWrap w:val="0"/>
            <w:vAlign w:val="center"/>
          </w:tcPr>
          <w:p>
            <w:pPr>
              <w:keepNext w:val="0"/>
              <w:keepLines w:val="0"/>
              <w:widowControl/>
              <w:suppressLineNumbers w:val="0"/>
              <w:jc w:val="center"/>
              <w:textAlignment w:val="center"/>
              <w:rPr>
                <w:rFonts w:ascii="宋体" w:eastAsia="宋体" w:hAnsi="宋体" w:cs="宋体" w:hint="eastAsia"/>
                <w:color w:val="000000" w:themeColor="text1"/>
                <w:szCs w:val="21"/>
              </w:rPr>
            </w:pPr>
            <w:r>
              <w:rPr>
                <w:rFonts w:ascii="宋体" w:eastAsia="宋体" w:hAnsi="宋体" w:cs="宋体" w:hint="eastAsia"/>
                <w:i w:val="0"/>
                <w:iCs w:val="0"/>
                <w:snapToGrid w:val="0"/>
                <w:color w:val="000000" w:themeColor="text1"/>
                <w:kern w:val="0"/>
                <w:sz w:val="21"/>
                <w:szCs w:val="21"/>
                <w:u w:val="none"/>
                <w:lang w:val="en-US" w:eastAsia="zh-CN" w:bidi="ar"/>
              </w:rPr>
              <w:t>项</w:t>
            </w:r>
          </w:p>
        </w:tc>
        <w:tc>
          <w:tcPr>
            <w:tcW w:w="506" w:type="pct"/>
            <w:noWrap w:val="0"/>
            <w:vAlign w:val="center"/>
          </w:tcPr>
          <w:p>
            <w:pPr>
              <w:widowControl/>
              <w:numPr>
                <w:ilvl w:val="0"/>
                <w:numId w:val="0"/>
              </w:numPr>
              <w:jc w:val="left"/>
              <w:rPr>
                <w:rFonts w:ascii="宋体" w:eastAsia="宋体" w:hAnsi="宋体" w:cs="宋体" w:hint="eastAsia"/>
                <w:color w:val="000000" w:themeColor="text1"/>
                <w:szCs w:val="21"/>
              </w:rPr>
            </w:pPr>
          </w:p>
        </w:tc>
      </w:tr>
      <w:tr>
        <w:tblPrEx>
          <w:tblW w:w="5005" w:type="pct"/>
          <w:jc w:val="center"/>
          <w:tblCellMar>
            <w:top w:w="0" w:type="dxa"/>
            <w:left w:w="108" w:type="dxa"/>
            <w:bottom w:w="0" w:type="dxa"/>
            <w:right w:w="108" w:type="dxa"/>
          </w:tblCellMar>
        </w:tblPrEx>
        <w:trPr>
          <w:trHeight w:val="401"/>
          <w:jc w:val="center"/>
        </w:trPr>
        <w:tc>
          <w:tcPr>
            <w:tcW w:w="351" w:type="pct"/>
            <w:noWrap w:val="0"/>
            <w:vAlign w:val="center"/>
          </w:tcPr>
          <w:p>
            <w:pPr>
              <w:widowControl/>
              <w:jc w:val="left"/>
              <w:rPr>
                <w:rFonts w:ascii="宋体" w:eastAsia="宋体" w:hAnsi="宋体" w:cs="宋体" w:hint="eastAsia"/>
                <w:color w:val="000000" w:themeColor="text1"/>
                <w:szCs w:val="21"/>
              </w:rPr>
            </w:pPr>
            <w:r>
              <w:rPr>
                <w:rFonts w:ascii="宋体" w:eastAsia="宋体" w:hAnsi="宋体" w:cs="宋体" w:hint="eastAsia"/>
                <w:color w:val="000000" w:themeColor="text1"/>
                <w:kern w:val="2"/>
                <w:sz w:val="21"/>
                <w:szCs w:val="21"/>
                <w:lang w:val="en-US" w:eastAsia="zh-CN" w:bidi="ar-SA"/>
              </w:rPr>
              <w:t>3</w:t>
            </w:r>
          </w:p>
        </w:tc>
        <w:tc>
          <w:tcPr>
            <w:tcW w:w="610" w:type="pct"/>
            <w:gridSpan w:val="2"/>
            <w:noWrap w:val="0"/>
            <w:vAlign w:val="center"/>
          </w:tcPr>
          <w:p>
            <w:pPr>
              <w:keepNext w:val="0"/>
              <w:keepLines w:val="0"/>
              <w:widowControl/>
              <w:suppressLineNumbers w:val="0"/>
              <w:jc w:val="center"/>
              <w:textAlignment w:val="center"/>
              <w:rPr>
                <w:rFonts w:ascii="宋体" w:eastAsia="宋体" w:hAnsi="宋体" w:cs="宋体" w:hint="eastAsia"/>
                <w:color w:val="000000" w:themeColor="text1"/>
                <w:szCs w:val="21"/>
              </w:rPr>
            </w:pPr>
            <w:r>
              <w:rPr>
                <w:rFonts w:ascii="宋体" w:eastAsia="宋体" w:hAnsi="宋体" w:cs="宋体" w:hint="eastAsia"/>
                <w:i w:val="0"/>
                <w:iCs w:val="0"/>
                <w:snapToGrid w:val="0"/>
                <w:color w:val="000000" w:themeColor="text1"/>
                <w:kern w:val="0"/>
                <w:sz w:val="21"/>
                <w:szCs w:val="21"/>
                <w:u w:val="none"/>
                <w:lang w:val="en-US" w:eastAsia="zh-CN" w:bidi="ar"/>
              </w:rPr>
              <w:t>公告牌</w:t>
            </w:r>
          </w:p>
        </w:tc>
        <w:tc>
          <w:tcPr>
            <w:tcW w:w="2771" w:type="pct"/>
            <w:gridSpan w:val="2"/>
            <w:noWrap w:val="0"/>
            <w:vAlign w:val="center"/>
          </w:tcPr>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jc w:val="left"/>
              <w:rPr>
                <w:rFonts w:ascii="宋体" w:eastAsia="宋体" w:hAnsi="宋体" w:cs="宋体" w:hint="eastAsia"/>
                <w:color w:val="000000" w:themeColor="text1"/>
                <w:szCs w:val="21"/>
              </w:rPr>
            </w:pPr>
            <w:r>
              <w:rPr>
                <w:rFonts w:ascii="宋体" w:eastAsia="宋体" w:hAnsi="宋体" w:cs="宋体" w:hint="eastAsia"/>
                <w:color w:val="000000" w:themeColor="text1"/>
                <w:kern w:val="0"/>
                <w:sz w:val="21"/>
                <w:szCs w:val="21"/>
                <w:lang w:val="en-US" w:eastAsia="zh-CN" w:bidi="ar"/>
              </w:rPr>
              <w:t>放置于作业点外部，用于展示作业公告，主要由显示屏体、控制系统、移动框架及配套线缆组成。屏体部分：采用户外型显示单元，可显示图像、文字及公告信息。控制部分：由接收卡、播放控制设备等组成，支持通过移动终端无线更新内容，可同步显示时间、天气、温湿度等信息。移动框架：采用户外适用结构及箱体，配套国标电源线、信号线等辅材，整体可灵活移动、方便布设。</w:t>
            </w:r>
          </w:p>
          <w:p>
            <w:pPr>
              <w:pStyle w:val="Heading1"/>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jc w:val="left"/>
              <w:rPr>
                <w:rFonts w:ascii="宋体" w:eastAsia="宋体" w:hAnsi="宋体" w:cs="宋体" w:hint="eastAsia"/>
                <w:color w:val="000000" w:themeColor="text1"/>
                <w:sz w:val="21"/>
                <w:szCs w:val="21"/>
              </w:rPr>
            </w:pPr>
            <w:r>
              <w:rPr>
                <w:rFonts w:ascii="宋体" w:eastAsia="宋体" w:hAnsi="宋体" w:cs="宋体" w:hint="eastAsia"/>
                <w:color w:val="000000" w:themeColor="text1"/>
                <w:sz w:val="21"/>
                <w:szCs w:val="21"/>
              </w:rPr>
              <w:t>一、显示屏体（1 套）</w:t>
            </w:r>
          </w:p>
          <w:p>
            <w:pPr>
              <w:keepNext w:val="0"/>
              <w:keepLines w:val="0"/>
              <w:widowControl/>
              <w:numPr>
                <w:ilvl w:val="0"/>
                <w:numId w:val="6"/>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firstLine="0"/>
              <w:jc w:val="left"/>
              <w:rPr>
                <w:rFonts w:ascii="宋体" w:eastAsia="宋体" w:hAnsi="宋体" w:cs="宋体" w:hint="eastAsia"/>
                <w:color w:val="000000" w:themeColor="text1"/>
                <w:szCs w:val="21"/>
              </w:rPr>
            </w:pPr>
            <w:r>
              <w:rPr>
                <w:rFonts w:ascii="宋体" w:eastAsia="宋体" w:hAnsi="宋体" w:cs="宋体" w:hint="eastAsia"/>
                <w:color w:val="000000" w:themeColor="text1"/>
                <w:sz w:val="21"/>
                <w:szCs w:val="21"/>
              </w:rPr>
              <w:t>显示尺寸：宽约 1600mm× 高约 960mm；点间距≤5mm；屏体分辨率不低于 320×192。</w:t>
            </w:r>
          </w:p>
          <w:p>
            <w:pPr>
              <w:keepNext w:val="0"/>
              <w:keepLines w:val="0"/>
              <w:widowControl/>
              <w:numPr>
                <w:ilvl w:val="0"/>
                <w:numId w:val="6"/>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firstLine="0"/>
              <w:jc w:val="left"/>
              <w:rPr>
                <w:rFonts w:ascii="宋体" w:eastAsia="宋体" w:hAnsi="宋体" w:cs="宋体" w:hint="eastAsia"/>
                <w:color w:val="000000" w:themeColor="text1"/>
                <w:szCs w:val="21"/>
              </w:rPr>
            </w:pPr>
            <w:r>
              <w:rPr>
                <w:rFonts w:ascii="宋体" w:eastAsia="宋体" w:hAnsi="宋体" w:cs="宋体" w:hint="eastAsia"/>
                <w:color w:val="000000" w:themeColor="text1"/>
                <w:sz w:val="21"/>
                <w:szCs w:val="21"/>
              </w:rPr>
              <w:t>屏体墨色均匀，表面做哑光处理，户外观看无明显反光。</w:t>
            </w:r>
          </w:p>
          <w:p>
            <w:pPr>
              <w:keepNext w:val="0"/>
              <w:keepLines w:val="0"/>
              <w:widowControl/>
              <w:numPr>
                <w:ilvl w:val="0"/>
                <w:numId w:val="6"/>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firstLine="0"/>
              <w:jc w:val="left"/>
              <w:rPr>
                <w:rFonts w:ascii="宋体" w:eastAsia="宋体" w:hAnsi="宋体" w:cs="宋体" w:hint="eastAsia"/>
                <w:color w:val="000000" w:themeColor="text1"/>
                <w:szCs w:val="21"/>
              </w:rPr>
            </w:pPr>
            <w:r>
              <w:rPr>
                <w:rFonts w:ascii="宋体" w:eastAsia="宋体" w:hAnsi="宋体" w:cs="宋体" w:hint="eastAsia"/>
                <w:color w:val="000000" w:themeColor="text1"/>
                <w:sz w:val="21"/>
                <w:szCs w:val="21"/>
              </w:rPr>
              <w:t>屏体整体平整，拼接严密，无明显缝隙及凹凸感。</w:t>
            </w:r>
          </w:p>
          <w:p>
            <w:pPr>
              <w:keepNext w:val="0"/>
              <w:keepLines w:val="0"/>
              <w:widowControl/>
              <w:numPr>
                <w:ilvl w:val="0"/>
                <w:numId w:val="6"/>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firstLine="0"/>
              <w:jc w:val="left"/>
              <w:rPr>
                <w:rFonts w:ascii="宋体" w:eastAsia="宋体" w:hAnsi="宋体" w:cs="宋体" w:hint="eastAsia"/>
                <w:color w:val="000000" w:themeColor="text1"/>
                <w:szCs w:val="21"/>
              </w:rPr>
            </w:pPr>
            <w:r>
              <w:rPr>
                <w:rFonts w:ascii="宋体" w:eastAsia="宋体" w:hAnsi="宋体" w:cs="宋体" w:hint="eastAsia"/>
                <w:b w:val="0"/>
                <w:bCs w:val="0"/>
                <w:color w:val="000000" w:themeColor="text1"/>
                <w:sz w:val="21"/>
                <w:szCs w:val="21"/>
              </w:rPr>
              <w:t>屏体采用户外耐用封装工艺，具备防尘、防水、抗磕碰、抗老化、耐高温高湿等性能，适应户外露天作业环境。</w:t>
            </w:r>
          </w:p>
          <w:p>
            <w:pPr>
              <w:keepNext w:val="0"/>
              <w:keepLines w:val="0"/>
              <w:widowControl/>
              <w:numPr>
                <w:ilvl w:val="0"/>
                <w:numId w:val="6"/>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firstLine="0"/>
              <w:jc w:val="left"/>
              <w:rPr>
                <w:rFonts w:ascii="宋体" w:eastAsia="宋体" w:hAnsi="宋体" w:cs="宋体" w:hint="eastAsia"/>
                <w:color w:val="000000" w:themeColor="text1"/>
                <w:szCs w:val="21"/>
              </w:rPr>
            </w:pPr>
            <w:r>
              <w:rPr>
                <w:rFonts w:ascii="宋体" w:eastAsia="宋体" w:hAnsi="宋体" w:cs="宋体" w:hint="eastAsia"/>
                <w:b w:val="0"/>
                <w:bCs w:val="0"/>
                <w:color w:val="000000" w:themeColor="text1"/>
                <w:sz w:val="21"/>
                <w:szCs w:val="21"/>
                <w:highlight w:val="none"/>
                <w:lang w:eastAsia="zh-CN"/>
              </w:rPr>
              <w:t>▲</w:t>
            </w:r>
            <w:r>
              <w:rPr>
                <w:rFonts w:ascii="宋体" w:eastAsia="宋体" w:hAnsi="宋体" w:cs="宋体" w:hint="eastAsia"/>
                <w:color w:val="000000" w:themeColor="text1"/>
                <w:sz w:val="21"/>
                <w:szCs w:val="21"/>
              </w:rPr>
              <w:t>动态节能：具备智能节电、带电黑屏节电功能，智能节电模式下综合节电率不低于 60%；采用合理散热结构与动态节能控制技术；提供由第三方专业机构出具的检测报告（扫描件或复印件），并加盖厂家公章。</w:t>
            </w:r>
          </w:p>
          <w:p>
            <w:pPr>
              <w:keepNext w:val="0"/>
              <w:keepLines w:val="0"/>
              <w:widowControl/>
              <w:numPr>
                <w:ilvl w:val="0"/>
                <w:numId w:val="6"/>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firstLine="0"/>
              <w:jc w:val="left"/>
              <w:rPr>
                <w:rFonts w:ascii="宋体" w:eastAsia="宋体" w:hAnsi="宋体" w:cs="宋体" w:hint="eastAsia"/>
                <w:color w:val="000000" w:themeColor="text1"/>
                <w:szCs w:val="21"/>
              </w:rPr>
            </w:pPr>
            <w:r>
              <w:rPr>
                <w:rFonts w:ascii="宋体" w:eastAsia="宋体" w:hAnsi="宋体" w:cs="宋体" w:hint="eastAsia"/>
                <w:b w:val="0"/>
                <w:bCs w:val="0"/>
                <w:color w:val="000000" w:themeColor="text1"/>
                <w:sz w:val="21"/>
                <w:szCs w:val="21"/>
                <w:highlight w:val="none"/>
                <w:lang w:eastAsia="zh-CN"/>
              </w:rPr>
              <w:t>▲</w:t>
            </w:r>
            <w:r>
              <w:rPr>
                <w:rFonts w:ascii="宋体" w:eastAsia="宋体" w:hAnsi="宋体" w:cs="宋体" w:hint="eastAsia"/>
                <w:color w:val="000000" w:themeColor="text1"/>
                <w:sz w:val="21"/>
                <w:szCs w:val="21"/>
              </w:rPr>
              <w:t>屏体亮度满足户外日间清晰可视要求，最大亮度≥5000cd/m²，亮度连续可调，可根据项目需求定制更高亮度；可视角度：水平 / 垂直视角≥160°；静态对比度≥12000:1；提供由第三方专业机构出具的检测报告（扫描件或复印件），并加盖厂家公章。</w:t>
            </w:r>
          </w:p>
          <w:p>
            <w:pPr>
              <w:keepNext w:val="0"/>
              <w:keepLines w:val="0"/>
              <w:widowControl/>
              <w:numPr>
                <w:ilvl w:val="0"/>
                <w:numId w:val="6"/>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firstLine="0"/>
              <w:jc w:val="left"/>
              <w:rPr>
                <w:rFonts w:ascii="宋体" w:eastAsia="宋体" w:hAnsi="宋体" w:cs="宋体" w:hint="eastAsia"/>
                <w:color w:val="000000" w:themeColor="text1"/>
                <w:szCs w:val="21"/>
              </w:rPr>
            </w:pPr>
            <w:r>
              <w:rPr>
                <w:rFonts w:ascii="宋体" w:eastAsia="宋体" w:hAnsi="宋体" w:cs="宋体" w:hint="eastAsia"/>
                <w:color w:val="000000" w:themeColor="text1"/>
                <w:sz w:val="21"/>
                <w:szCs w:val="21"/>
              </w:rPr>
              <w:t>刷新率≥2880Hz</w:t>
            </w:r>
            <w:r>
              <w:rPr>
                <w:rFonts w:ascii="宋体" w:eastAsia="宋体" w:hAnsi="宋体" w:cs="宋体" w:hint="eastAsia"/>
                <w:color w:val="000000" w:themeColor="text1"/>
                <w:sz w:val="21"/>
                <w:szCs w:val="21"/>
                <w:lang w:eastAsia="zh-CN"/>
              </w:rPr>
              <w:t>，</w:t>
            </w:r>
            <w:r>
              <w:rPr>
                <w:rFonts w:ascii="宋体" w:eastAsia="宋体" w:hAnsi="宋体" w:cs="宋体" w:hint="eastAsia"/>
                <w:color w:val="000000" w:themeColor="text1"/>
                <w:sz w:val="21"/>
                <w:szCs w:val="21"/>
              </w:rPr>
              <w:t>适配常规播放需求，画面清晰稳定，无闪烁、无拖影；像素点失控率符合行业通用合格标准。</w:t>
            </w:r>
          </w:p>
          <w:p>
            <w:pPr>
              <w:keepNext w:val="0"/>
              <w:keepLines w:val="0"/>
              <w:widowControl/>
              <w:numPr>
                <w:ilvl w:val="0"/>
                <w:numId w:val="6"/>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firstLine="0"/>
              <w:jc w:val="left"/>
              <w:rPr>
                <w:rFonts w:ascii="宋体" w:eastAsia="宋体" w:hAnsi="宋体" w:cs="宋体" w:hint="eastAsia"/>
                <w:color w:val="000000" w:themeColor="text1"/>
                <w:szCs w:val="21"/>
              </w:rPr>
            </w:pPr>
            <w:r>
              <w:rPr>
                <w:rFonts w:ascii="宋体" w:eastAsia="宋体" w:hAnsi="宋体" w:cs="宋体" w:hint="eastAsia"/>
                <w:b w:val="0"/>
                <w:bCs w:val="0"/>
                <w:color w:val="000000" w:themeColor="text1"/>
                <w:sz w:val="21"/>
                <w:szCs w:val="21"/>
                <w:highlight w:val="none"/>
                <w:lang w:eastAsia="zh-CN"/>
              </w:rPr>
              <w:t>▲</w:t>
            </w:r>
            <w:r>
              <w:rPr>
                <w:rFonts w:ascii="宋体" w:eastAsia="宋体" w:hAnsi="宋体" w:cs="宋体" w:hint="eastAsia"/>
                <w:color w:val="000000" w:themeColor="text1"/>
                <w:sz w:val="21"/>
                <w:szCs w:val="21"/>
              </w:rPr>
              <w:t>具备完善的供电及电气安全设计，符合国家电气安全相关标准，使用安全可靠</w:t>
            </w:r>
            <w:r>
              <w:rPr>
                <w:rFonts w:ascii="宋体" w:eastAsia="宋体" w:hAnsi="宋体" w:cs="宋体" w:hint="eastAsia"/>
                <w:color w:val="000000" w:themeColor="text1"/>
                <w:sz w:val="21"/>
                <w:szCs w:val="21"/>
                <w:lang w:eastAsia="zh-CN"/>
              </w:rPr>
              <w:t>；</w:t>
            </w:r>
            <w:r>
              <w:rPr>
                <w:rFonts w:ascii="宋体" w:eastAsia="宋体" w:hAnsi="宋体" w:cs="宋体" w:hint="eastAsia"/>
                <w:color w:val="000000" w:themeColor="text1"/>
                <w:sz w:val="21"/>
                <w:szCs w:val="21"/>
              </w:rPr>
              <w:t>提供由第三方专业机构出具的检测报告（扫描件或复印件），并加盖厂家公章。</w:t>
            </w:r>
          </w:p>
          <w:p>
            <w:pPr>
              <w:keepNext w:val="0"/>
              <w:keepLines w:val="0"/>
              <w:widowControl/>
              <w:numPr>
                <w:ilvl w:val="0"/>
                <w:numId w:val="6"/>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firstLine="0"/>
              <w:jc w:val="left"/>
              <w:rPr>
                <w:rFonts w:ascii="宋体" w:eastAsia="宋体" w:hAnsi="宋体" w:cs="宋体" w:hint="eastAsia"/>
                <w:color w:val="000000" w:themeColor="text1"/>
                <w:szCs w:val="21"/>
              </w:rPr>
            </w:pPr>
            <w:r>
              <w:rPr>
                <w:rFonts w:ascii="宋体" w:eastAsia="宋体" w:hAnsi="宋体" w:cs="宋体" w:hint="eastAsia"/>
                <w:color w:val="000000" w:themeColor="text1"/>
                <w:sz w:val="21"/>
                <w:szCs w:val="21"/>
              </w:rPr>
              <w:t>具备多样化信号接入能力，支持常见视频及网络传输接口，可满足常规信号接入及联网播放需求。</w:t>
            </w:r>
          </w:p>
          <w:p>
            <w:pPr>
              <w:pStyle w:val="Heading1"/>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jc w:val="left"/>
              <w:rPr>
                <w:rFonts w:ascii="宋体" w:eastAsia="宋体" w:hAnsi="宋体" w:cs="宋体" w:hint="eastAsia"/>
                <w:color w:val="000000" w:themeColor="text1"/>
                <w:sz w:val="21"/>
                <w:szCs w:val="21"/>
              </w:rPr>
            </w:pPr>
            <w:r>
              <w:rPr>
                <w:rFonts w:ascii="宋体" w:eastAsia="宋体" w:hAnsi="宋体" w:cs="宋体" w:hint="eastAsia"/>
                <w:color w:val="000000" w:themeColor="text1"/>
                <w:sz w:val="21"/>
                <w:szCs w:val="21"/>
              </w:rPr>
              <w:t>二、控制系统（联网播放终端，1 台）</w:t>
            </w:r>
          </w:p>
          <w:p>
            <w:pPr>
              <w:keepNext w:val="0"/>
              <w:keepLines w:val="0"/>
              <w:widowControl/>
              <w:numPr>
                <w:ilvl w:val="0"/>
                <w:numId w:val="7"/>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firstLine="0"/>
              <w:jc w:val="left"/>
              <w:rPr>
                <w:rFonts w:ascii="宋体" w:eastAsia="宋体" w:hAnsi="宋体" w:cs="宋体" w:hint="eastAsia"/>
                <w:color w:val="000000" w:themeColor="text1"/>
                <w:szCs w:val="21"/>
              </w:rPr>
            </w:pPr>
            <w:r>
              <w:rPr>
                <w:rFonts w:ascii="宋体" w:eastAsia="宋体" w:hAnsi="宋体" w:cs="宋体" w:hint="eastAsia"/>
                <w:b w:val="0"/>
                <w:bCs w:val="0"/>
                <w:color w:val="000000" w:themeColor="text1"/>
                <w:sz w:val="21"/>
                <w:szCs w:val="21"/>
                <w:highlight w:val="none"/>
                <w:lang w:eastAsia="zh-CN"/>
              </w:rPr>
              <w:t>▲</w:t>
            </w:r>
            <w:r>
              <w:rPr>
                <w:rFonts w:ascii="宋体" w:eastAsia="宋体" w:hAnsi="宋体" w:cs="宋体" w:hint="eastAsia"/>
                <w:color w:val="000000" w:themeColor="text1"/>
                <w:sz w:val="21"/>
                <w:szCs w:val="21"/>
              </w:rPr>
              <w:t>采用工业级稳定方案，多核处理器，运行内存≥2GB，存储容量≥32GB，满足长时间连续播放。需提供由第三方专业机构出具的检测报告（扫描件或复印件），并加盖厂家公章。</w:t>
            </w:r>
          </w:p>
          <w:p>
            <w:pPr>
              <w:keepNext w:val="0"/>
              <w:keepLines w:val="0"/>
              <w:widowControl/>
              <w:numPr>
                <w:ilvl w:val="0"/>
                <w:numId w:val="7"/>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firstLine="0"/>
              <w:jc w:val="left"/>
              <w:rPr>
                <w:rFonts w:ascii="宋体" w:eastAsia="宋体" w:hAnsi="宋体" w:cs="宋体" w:hint="eastAsia"/>
                <w:color w:val="000000" w:themeColor="text1"/>
                <w:szCs w:val="21"/>
              </w:rPr>
            </w:pPr>
            <w:r>
              <w:rPr>
                <w:rFonts w:ascii="宋体" w:eastAsia="宋体" w:hAnsi="宋体" w:cs="宋体" w:hint="eastAsia"/>
                <w:color w:val="000000" w:themeColor="text1"/>
                <w:sz w:val="21"/>
                <w:szCs w:val="21"/>
              </w:rPr>
              <w:t>支持 H.265 等主流解码格式，支持 4K 及 1080P 高清视频播放。</w:t>
            </w:r>
          </w:p>
          <w:p>
            <w:pPr>
              <w:keepNext w:val="0"/>
              <w:keepLines w:val="0"/>
              <w:widowControl/>
              <w:numPr>
                <w:ilvl w:val="0"/>
                <w:numId w:val="7"/>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firstLine="0"/>
              <w:jc w:val="left"/>
              <w:rPr>
                <w:rFonts w:ascii="宋体" w:eastAsia="宋体" w:hAnsi="宋体" w:cs="宋体" w:hint="eastAsia"/>
                <w:color w:val="000000" w:themeColor="text1"/>
                <w:szCs w:val="21"/>
              </w:rPr>
            </w:pPr>
            <w:r>
              <w:rPr>
                <w:rFonts w:ascii="宋体" w:eastAsia="宋体" w:hAnsi="宋体" w:cs="宋体" w:hint="eastAsia"/>
                <w:color w:val="000000" w:themeColor="text1"/>
                <w:sz w:val="21"/>
                <w:szCs w:val="21"/>
              </w:rPr>
              <w:t>支持网络输出控制，带载能力满足本屏体显示需求。</w:t>
            </w:r>
          </w:p>
          <w:p>
            <w:pPr>
              <w:keepNext w:val="0"/>
              <w:keepLines w:val="0"/>
              <w:widowControl/>
              <w:numPr>
                <w:ilvl w:val="0"/>
                <w:numId w:val="7"/>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firstLine="0"/>
              <w:jc w:val="left"/>
              <w:rPr>
                <w:rFonts w:ascii="宋体" w:eastAsia="宋体" w:hAnsi="宋体" w:cs="宋体" w:hint="eastAsia"/>
                <w:b w:val="0"/>
                <w:bCs w:val="0"/>
                <w:color w:val="000000" w:themeColor="text1"/>
                <w:szCs w:val="21"/>
                <w:highlight w:val="none"/>
              </w:rPr>
            </w:pPr>
            <w:r>
              <w:rPr>
                <w:rFonts w:ascii="宋体" w:eastAsia="宋体" w:hAnsi="宋体" w:cs="宋体" w:hint="eastAsia"/>
                <w:b w:val="0"/>
                <w:bCs w:val="0"/>
                <w:color w:val="000000" w:themeColor="text1"/>
                <w:sz w:val="21"/>
                <w:szCs w:val="21"/>
                <w:highlight w:val="none"/>
                <w:lang w:eastAsia="zh-CN"/>
              </w:rPr>
              <w:t>支持千兆有线网、Wi-Fi、4G 等多种联网方式，支持 Wi-Fi 双模式同时工作。</w:t>
            </w:r>
          </w:p>
          <w:p>
            <w:pPr>
              <w:keepNext w:val="0"/>
              <w:keepLines w:val="0"/>
              <w:widowControl/>
              <w:numPr>
                <w:ilvl w:val="0"/>
                <w:numId w:val="7"/>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firstLine="0"/>
              <w:jc w:val="left"/>
              <w:rPr>
                <w:rFonts w:ascii="宋体" w:eastAsia="宋体" w:hAnsi="宋体" w:cs="宋体" w:hint="eastAsia"/>
                <w:b w:val="0"/>
                <w:bCs w:val="0"/>
                <w:color w:val="000000" w:themeColor="text1"/>
                <w:szCs w:val="21"/>
                <w:highlight w:val="none"/>
              </w:rPr>
            </w:pPr>
            <w:r>
              <w:rPr>
                <w:rFonts w:ascii="宋体" w:eastAsia="宋体" w:hAnsi="宋体" w:cs="宋体" w:hint="eastAsia"/>
                <w:b w:val="0"/>
                <w:bCs w:val="0"/>
                <w:color w:val="000000" w:themeColor="text1"/>
                <w:sz w:val="21"/>
                <w:szCs w:val="21"/>
                <w:highlight w:val="none"/>
                <w:lang w:eastAsia="zh-CN"/>
              </w:rPr>
              <w:t>配备通用 USB 接口，支持 U 盘导入节目、扩容存储。</w:t>
            </w:r>
          </w:p>
          <w:p>
            <w:pPr>
              <w:keepNext w:val="0"/>
              <w:keepLines w:val="0"/>
              <w:widowControl/>
              <w:numPr>
                <w:ilvl w:val="0"/>
                <w:numId w:val="7"/>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firstLine="0"/>
              <w:jc w:val="left"/>
              <w:rPr>
                <w:rFonts w:ascii="宋体" w:eastAsia="宋体" w:hAnsi="宋体" w:cs="宋体" w:hint="eastAsia"/>
                <w:color w:val="000000" w:themeColor="text1"/>
                <w:szCs w:val="21"/>
              </w:rPr>
            </w:pPr>
            <w:r>
              <w:rPr>
                <w:rFonts w:ascii="宋体" w:eastAsia="宋体" w:hAnsi="宋体" w:cs="宋体" w:hint="eastAsia"/>
                <w:b w:val="0"/>
                <w:bCs w:val="0"/>
                <w:color w:val="000000" w:themeColor="text1"/>
                <w:sz w:val="21"/>
                <w:szCs w:val="21"/>
                <w:highlight w:val="none"/>
                <w:lang w:eastAsia="zh-CN"/>
              </w:rPr>
              <w:t>▲</w:t>
            </w:r>
            <w:r>
              <w:rPr>
                <w:rFonts w:ascii="宋体" w:eastAsia="宋体" w:hAnsi="宋体" w:cs="宋体" w:hint="eastAsia"/>
                <w:color w:val="000000" w:themeColor="text1"/>
                <w:sz w:val="21"/>
                <w:szCs w:val="21"/>
              </w:rPr>
              <w:t>支持外接传感器功能，可接入温湿度、亮度等环境监测设备，可接入温湿度、亮度、噪声、PM2.5、风速风向等传感器模块；需提供由第三方专业机构出具的检测报告（扫描件或复印件），并加盖厂家公章。</w:t>
            </w:r>
          </w:p>
          <w:p>
            <w:pPr>
              <w:keepNext w:val="0"/>
              <w:keepLines w:val="0"/>
              <w:widowControl/>
              <w:numPr>
                <w:ilvl w:val="0"/>
                <w:numId w:val="7"/>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firstLine="0"/>
              <w:jc w:val="left"/>
              <w:rPr>
                <w:rFonts w:ascii="宋体" w:eastAsia="宋体" w:hAnsi="宋体" w:cs="宋体" w:hint="eastAsia"/>
                <w:color w:val="000000" w:themeColor="text1"/>
                <w:szCs w:val="21"/>
              </w:rPr>
            </w:pPr>
            <w:r>
              <w:rPr>
                <w:rFonts w:ascii="宋体" w:eastAsia="宋体" w:hAnsi="宋体" w:cs="宋体" w:hint="eastAsia"/>
                <w:color w:val="000000" w:themeColor="text1"/>
                <w:sz w:val="21"/>
                <w:szCs w:val="21"/>
              </w:rPr>
              <w:t>支持配套多功能管理卡，可实现远程、定时、自动开关屏管理。</w:t>
            </w:r>
          </w:p>
          <w:p>
            <w:pPr>
              <w:keepNext w:val="0"/>
              <w:keepLines w:val="0"/>
              <w:widowControl/>
              <w:numPr>
                <w:ilvl w:val="0"/>
                <w:numId w:val="7"/>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firstLine="0"/>
              <w:jc w:val="left"/>
              <w:rPr>
                <w:rFonts w:ascii="宋体" w:eastAsia="宋体" w:hAnsi="宋体" w:cs="宋体" w:hint="eastAsia"/>
                <w:color w:val="000000" w:themeColor="text1"/>
                <w:szCs w:val="21"/>
              </w:rPr>
            </w:pPr>
            <w:r>
              <w:rPr>
                <w:rFonts w:ascii="宋体" w:eastAsia="宋体" w:hAnsi="宋体" w:cs="宋体" w:hint="eastAsia"/>
                <w:b w:val="0"/>
                <w:bCs w:val="0"/>
                <w:color w:val="000000" w:themeColor="text1"/>
                <w:sz w:val="21"/>
                <w:szCs w:val="21"/>
                <w:highlight w:val="none"/>
                <w:lang w:eastAsia="zh-CN"/>
              </w:rPr>
              <w:t>▲</w:t>
            </w:r>
            <w:r>
              <w:rPr>
                <w:rFonts w:ascii="宋体" w:eastAsia="宋体" w:hAnsi="宋体" w:cs="宋体" w:hint="eastAsia"/>
                <w:color w:val="000000" w:themeColor="text1"/>
                <w:sz w:val="21"/>
                <w:szCs w:val="21"/>
              </w:rPr>
              <w:t>支持数字时钟显示、天气信息显示、环境监测数据叠加播放等功能。需提供由第三方专业机构出具的检测报告（扫描件或复印件），并加盖厂家公章。</w:t>
            </w:r>
          </w:p>
          <w:p>
            <w:pPr>
              <w:keepNext w:val="0"/>
              <w:keepLines w:val="0"/>
              <w:widowControl/>
              <w:numPr>
                <w:ilvl w:val="0"/>
                <w:numId w:val="7"/>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firstLine="0"/>
              <w:jc w:val="left"/>
              <w:rPr>
                <w:rFonts w:ascii="宋体" w:eastAsia="宋体" w:hAnsi="宋体" w:cs="宋体" w:hint="eastAsia"/>
                <w:color w:val="000000" w:themeColor="text1"/>
                <w:szCs w:val="21"/>
              </w:rPr>
            </w:pPr>
            <w:r>
              <w:rPr>
                <w:rFonts w:ascii="宋体" w:eastAsia="宋体" w:hAnsi="宋体" w:cs="宋体" w:hint="eastAsia"/>
                <w:color w:val="000000" w:themeColor="text1"/>
                <w:sz w:val="21"/>
                <w:szCs w:val="21"/>
              </w:rPr>
              <w:t>支持显示屏运行状态监测、亮度监测及日志记录。</w:t>
            </w:r>
          </w:p>
          <w:p>
            <w:pPr>
              <w:pStyle w:val="Heading1"/>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jc w:val="left"/>
              <w:rPr>
                <w:rFonts w:ascii="宋体" w:eastAsia="宋体" w:hAnsi="宋体" w:cs="宋体" w:hint="eastAsia"/>
                <w:color w:val="000000" w:themeColor="text1"/>
                <w:sz w:val="21"/>
                <w:szCs w:val="21"/>
              </w:rPr>
            </w:pPr>
            <w:r>
              <w:rPr>
                <w:rFonts w:ascii="宋体" w:eastAsia="宋体" w:hAnsi="宋体" w:cs="宋体" w:hint="eastAsia"/>
                <w:color w:val="000000" w:themeColor="text1"/>
                <w:sz w:val="21"/>
                <w:szCs w:val="21"/>
              </w:rPr>
              <w:t>三、移动框架（1 套）</w:t>
            </w:r>
          </w:p>
          <w:p>
            <w:pPr>
              <w:keepNext w:val="0"/>
              <w:keepLines w:val="0"/>
              <w:widowControl/>
              <w:numPr>
                <w:ilvl w:val="0"/>
                <w:numId w:val="8"/>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firstLine="0"/>
              <w:jc w:val="left"/>
              <w:rPr>
                <w:rFonts w:ascii="宋体" w:eastAsia="宋体" w:hAnsi="宋体" w:cs="宋体" w:hint="eastAsia"/>
                <w:color w:val="000000" w:themeColor="text1"/>
                <w:szCs w:val="21"/>
              </w:rPr>
            </w:pPr>
            <w:r>
              <w:rPr>
                <w:rFonts w:ascii="宋体" w:eastAsia="宋体" w:hAnsi="宋体" w:cs="宋体" w:hint="eastAsia"/>
                <w:color w:val="000000" w:themeColor="text1"/>
                <w:sz w:val="21"/>
                <w:szCs w:val="21"/>
              </w:rPr>
              <w:t>定制化户外移动结构，总高度按现场图纸确认，底部带脚轮，可灵活移动。</w:t>
            </w:r>
          </w:p>
          <w:p>
            <w:pPr>
              <w:keepNext w:val="0"/>
              <w:keepLines w:val="0"/>
              <w:widowControl/>
              <w:numPr>
                <w:ilvl w:val="0"/>
                <w:numId w:val="8"/>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firstLine="0"/>
              <w:jc w:val="left"/>
              <w:rPr>
                <w:rFonts w:ascii="宋体" w:eastAsia="宋体" w:hAnsi="宋体" w:cs="宋体" w:hint="eastAsia"/>
                <w:color w:val="000000" w:themeColor="text1"/>
                <w:szCs w:val="21"/>
              </w:rPr>
            </w:pPr>
            <w:r>
              <w:rPr>
                <w:rFonts w:ascii="宋体" w:eastAsia="宋体" w:hAnsi="宋体" w:cs="宋体" w:hint="eastAsia"/>
                <w:color w:val="000000" w:themeColor="text1"/>
                <w:sz w:val="21"/>
                <w:szCs w:val="21"/>
              </w:rPr>
              <w:t>整体采用烤漆工艺，颜色可选黑色或白色，结构稳固、防锈耐用。</w:t>
            </w:r>
          </w:p>
          <w:p>
            <w:pPr>
              <w:keepNext w:val="0"/>
              <w:keepLines w:val="0"/>
              <w:widowControl/>
              <w:numPr>
                <w:ilvl w:val="0"/>
                <w:numId w:val="8"/>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left="0" w:right="0" w:firstLine="0"/>
              <w:jc w:val="left"/>
              <w:rPr>
                <w:rFonts w:ascii="宋体" w:eastAsia="宋体" w:hAnsi="宋体" w:cs="宋体" w:hint="eastAsia"/>
                <w:i w:val="0"/>
                <w:iCs w:val="0"/>
                <w:snapToGrid w:val="0"/>
                <w:color w:val="000000" w:themeColor="text1"/>
                <w:kern w:val="0"/>
                <w:szCs w:val="21"/>
                <w:u w:val="none"/>
                <w:lang w:bidi="ar"/>
              </w:rPr>
            </w:pPr>
            <w:r>
              <w:rPr>
                <w:rFonts w:ascii="宋体" w:eastAsia="宋体" w:hAnsi="宋体" w:cs="宋体" w:hint="eastAsia"/>
                <w:color w:val="000000" w:themeColor="text1"/>
                <w:sz w:val="21"/>
                <w:szCs w:val="21"/>
              </w:rPr>
              <w:t>配备户外专用防水连接器，布线规范、防护到位。</w:t>
            </w:r>
          </w:p>
          <w:p>
            <w:pPr>
              <w:keepNext w:val="0"/>
              <w:keepLines w:val="0"/>
              <w:widowControl/>
              <w:numPr>
                <w:ilvl w:val="0"/>
                <w:numId w:val="9"/>
              </w:numPr>
              <w:suppressLineNumbers w:val="0"/>
              <w:pBdr>
                <w:top w:val="none" w:sz="0" w:space="0" w:color="auto"/>
                <w:left w:val="none" w:sz="0" w:space="0" w:color="auto"/>
                <w:bottom w:val="none" w:sz="0" w:space="0" w:color="auto"/>
                <w:right w:val="none" w:sz="0" w:space="0" w:color="auto"/>
              </w:pBdr>
              <w:spacing w:before="0" w:beforeAutospacing="0" w:after="0" w:afterAutospacing="0" w:line="240" w:lineRule="auto"/>
              <w:ind w:right="0" w:leftChars="0" w:rightChars="0"/>
              <w:jc w:val="left"/>
              <w:rPr>
                <w:rFonts w:ascii="宋体" w:eastAsia="宋体" w:hAnsi="宋体" w:cs="宋体" w:hint="eastAsia"/>
                <w:b/>
                <w:bCs/>
                <w:color w:val="000000" w:themeColor="text1"/>
                <w:szCs w:val="21"/>
              </w:rPr>
            </w:pPr>
            <w:r>
              <w:rPr>
                <w:rFonts w:ascii="宋体" w:eastAsia="宋体" w:hAnsi="宋体" w:cs="宋体" w:hint="eastAsia"/>
                <w:b/>
                <w:bCs/>
                <w:color w:val="000000" w:themeColor="text1"/>
                <w:sz w:val="21"/>
                <w:szCs w:val="21"/>
              </w:rPr>
              <w:t>配套主电源线（1 根）</w:t>
            </w:r>
          </w:p>
          <w:p>
            <w:pPr>
              <w:keepNext w:val="0"/>
              <w:keepLines w:val="0"/>
              <w:pageBreakBefore w:val="0"/>
              <w:widowControl/>
              <w:numPr>
                <w:ilvl w:val="0"/>
                <w:numId w:val="0"/>
              </w:numPr>
              <w:suppressLineNumbers w:val="0"/>
              <w:kinsoku/>
              <w:wordWrap/>
              <w:overflowPunct/>
              <w:topLinePunct w:val="0"/>
              <w:autoSpaceDE/>
              <w:autoSpaceDN/>
              <w:bidi w:val="0"/>
              <w:adjustRightInd/>
              <w:snapToGrid/>
              <w:ind w:leftChars="0"/>
              <w:jc w:val="left"/>
              <w:textAlignment w:val="center"/>
              <w:rPr>
                <w:rFonts w:ascii="宋体" w:eastAsia="宋体" w:hAnsi="宋体" w:cs="宋体" w:hint="eastAsia"/>
                <w:color w:val="000000" w:themeColor="text1"/>
                <w:szCs w:val="21"/>
              </w:rPr>
            </w:pPr>
            <w:r>
              <w:rPr>
                <w:rFonts w:ascii="宋体" w:eastAsia="宋体" w:hAnsi="宋体" w:cs="宋体" w:hint="eastAsia"/>
                <w:color w:val="000000" w:themeColor="text1"/>
                <w:sz w:val="21"/>
                <w:szCs w:val="21"/>
                <w:lang w:val="en-US" w:eastAsia="zh-CN"/>
              </w:rPr>
              <w:t>1.</w:t>
            </w:r>
            <w:r>
              <w:rPr>
                <w:rFonts w:ascii="宋体" w:eastAsia="宋体" w:hAnsi="宋体" w:cs="宋体" w:hint="eastAsia"/>
                <w:color w:val="000000" w:themeColor="text1"/>
                <w:sz w:val="21"/>
                <w:szCs w:val="21"/>
              </w:rPr>
              <w:t>采用 RVV 3×2.5mm² 国标纯铜电源线，长度≥10 米，含配套防水航空插头。</w:t>
            </w:r>
          </w:p>
        </w:tc>
        <w:tc>
          <w:tcPr>
            <w:tcW w:w="363" w:type="pct"/>
            <w:noWrap w:val="0"/>
            <w:vAlign w:val="center"/>
          </w:tcPr>
          <w:p>
            <w:pPr>
              <w:keepNext w:val="0"/>
              <w:keepLines w:val="0"/>
              <w:widowControl/>
              <w:suppressLineNumbers w:val="0"/>
              <w:jc w:val="center"/>
              <w:textAlignment w:val="center"/>
              <w:rPr>
                <w:rFonts w:ascii="宋体" w:eastAsia="宋体" w:hAnsi="宋体" w:cs="宋体" w:hint="eastAsia"/>
                <w:color w:val="000000" w:themeColor="text1"/>
                <w:szCs w:val="21"/>
              </w:rPr>
            </w:pPr>
            <w:r>
              <w:rPr>
                <w:rFonts w:ascii="宋体" w:eastAsia="宋体" w:hAnsi="宋体" w:cs="宋体" w:hint="eastAsia"/>
                <w:i w:val="0"/>
                <w:iCs w:val="0"/>
                <w:snapToGrid w:val="0"/>
                <w:color w:val="000000" w:themeColor="text1"/>
                <w:kern w:val="0"/>
                <w:sz w:val="21"/>
                <w:szCs w:val="21"/>
                <w:u w:val="none"/>
                <w:lang w:val="en-US" w:eastAsia="zh-CN" w:bidi="ar"/>
              </w:rPr>
              <w:t xml:space="preserve">154 </w:t>
            </w:r>
          </w:p>
        </w:tc>
        <w:tc>
          <w:tcPr>
            <w:tcW w:w="397" w:type="pct"/>
            <w:noWrap w:val="0"/>
            <w:vAlign w:val="center"/>
          </w:tcPr>
          <w:p>
            <w:pPr>
              <w:keepNext w:val="0"/>
              <w:keepLines w:val="0"/>
              <w:widowControl/>
              <w:suppressLineNumbers w:val="0"/>
              <w:jc w:val="center"/>
              <w:textAlignment w:val="center"/>
              <w:rPr>
                <w:rFonts w:ascii="宋体" w:eastAsia="宋体" w:hAnsi="宋体" w:cs="宋体" w:hint="eastAsia"/>
                <w:color w:val="000000" w:themeColor="text1"/>
                <w:szCs w:val="21"/>
              </w:rPr>
            </w:pPr>
            <w:r>
              <w:rPr>
                <w:rFonts w:ascii="宋体" w:eastAsia="宋体" w:hAnsi="宋体" w:cs="宋体" w:hint="eastAsia"/>
                <w:i w:val="0"/>
                <w:iCs w:val="0"/>
                <w:snapToGrid w:val="0"/>
                <w:color w:val="000000" w:themeColor="text1"/>
                <w:kern w:val="0"/>
                <w:sz w:val="21"/>
                <w:szCs w:val="21"/>
                <w:u w:val="none"/>
                <w:lang w:val="en-US" w:eastAsia="zh-CN" w:bidi="ar"/>
              </w:rPr>
              <w:t>套</w:t>
            </w:r>
          </w:p>
        </w:tc>
        <w:tc>
          <w:tcPr>
            <w:tcW w:w="506" w:type="pct"/>
            <w:noWrap w:val="0"/>
            <w:vAlign w:val="center"/>
          </w:tcPr>
          <w:p>
            <w:pPr>
              <w:widowControl/>
              <w:numPr>
                <w:ilvl w:val="0"/>
                <w:numId w:val="0"/>
              </w:numPr>
              <w:jc w:val="left"/>
              <w:rPr>
                <w:rFonts w:ascii="宋体" w:eastAsia="宋体" w:hAnsi="宋体" w:cs="宋体" w:hint="eastAsia"/>
                <w:color w:val="000000" w:themeColor="text1"/>
                <w:szCs w:val="21"/>
              </w:rPr>
            </w:pPr>
          </w:p>
        </w:tc>
      </w:tr>
      <w:tr>
        <w:tblPrEx>
          <w:tblW w:w="5005" w:type="pct"/>
          <w:jc w:val="center"/>
          <w:tblCellMar>
            <w:top w:w="0" w:type="dxa"/>
            <w:left w:w="108" w:type="dxa"/>
            <w:bottom w:w="0" w:type="dxa"/>
            <w:right w:w="108" w:type="dxa"/>
          </w:tblCellMar>
        </w:tblPrEx>
        <w:trPr>
          <w:trHeight w:val="401"/>
          <w:jc w:val="center"/>
        </w:trPr>
        <w:tc>
          <w:tcPr>
            <w:tcW w:w="351" w:type="pct"/>
            <w:noWrap w:val="0"/>
            <w:vAlign w:val="center"/>
          </w:tcPr>
          <w:p>
            <w:pPr>
              <w:widowControl/>
              <w:jc w:val="left"/>
              <w:rPr>
                <w:rFonts w:ascii="宋体" w:eastAsia="宋体" w:hAnsi="宋体" w:cs="宋体" w:hint="eastAsia"/>
                <w:color w:val="000000" w:themeColor="text1"/>
                <w:szCs w:val="21"/>
              </w:rPr>
            </w:pPr>
            <w:r>
              <w:rPr>
                <w:rFonts w:ascii="宋体" w:eastAsia="宋体" w:hAnsi="宋体" w:cs="宋体" w:hint="eastAsia"/>
                <w:color w:val="000000" w:themeColor="text1"/>
                <w:kern w:val="2"/>
                <w:sz w:val="21"/>
                <w:szCs w:val="21"/>
                <w:lang w:val="en-US" w:eastAsia="zh-CN" w:bidi="ar-SA"/>
              </w:rPr>
              <w:t>4</w:t>
            </w:r>
          </w:p>
        </w:tc>
        <w:tc>
          <w:tcPr>
            <w:tcW w:w="610" w:type="pct"/>
            <w:gridSpan w:val="2"/>
            <w:noWrap w:val="0"/>
            <w:vAlign w:val="center"/>
          </w:tcPr>
          <w:p>
            <w:pPr>
              <w:keepNext w:val="0"/>
              <w:keepLines w:val="0"/>
              <w:widowControl/>
              <w:suppressLineNumbers w:val="0"/>
              <w:jc w:val="center"/>
              <w:textAlignment w:val="center"/>
              <w:rPr>
                <w:rFonts w:ascii="宋体" w:eastAsia="宋体" w:hAnsi="宋体" w:cs="宋体" w:hint="eastAsia"/>
                <w:color w:val="000000" w:themeColor="text1"/>
                <w:szCs w:val="21"/>
              </w:rPr>
            </w:pPr>
            <w:r>
              <w:rPr>
                <w:rFonts w:ascii="宋体" w:eastAsia="宋体" w:hAnsi="宋体" w:cs="宋体" w:hint="eastAsia"/>
                <w:i w:val="0"/>
                <w:iCs w:val="0"/>
                <w:snapToGrid w:val="0"/>
                <w:color w:val="000000" w:themeColor="text1"/>
                <w:kern w:val="0"/>
                <w:sz w:val="21"/>
                <w:szCs w:val="21"/>
                <w:u w:val="none"/>
                <w:lang w:val="en-US" w:eastAsia="zh-CN" w:bidi="ar"/>
              </w:rPr>
              <w:t>高炮作业点标识牌</w:t>
            </w:r>
          </w:p>
        </w:tc>
        <w:tc>
          <w:tcPr>
            <w:tcW w:w="2771" w:type="pct"/>
            <w:gridSpan w:val="2"/>
            <w:noWrap w:val="0"/>
            <w:vAlign w:val="center"/>
          </w:tcPr>
          <w:p>
            <w:pPr>
              <w:keepNext w:val="0"/>
              <w:keepLines w:val="0"/>
              <w:widowControl/>
              <w:suppressLineNumbers w:val="0"/>
              <w:jc w:val="left"/>
              <w:textAlignment w:val="center"/>
              <w:rPr>
                <w:rFonts w:ascii="宋体" w:eastAsia="宋体" w:hAnsi="宋体" w:cs="宋体" w:hint="eastAsia"/>
                <w:color w:val="000000" w:themeColor="text1"/>
                <w:szCs w:val="21"/>
              </w:rPr>
            </w:pPr>
            <w:r>
              <w:rPr>
                <w:rFonts w:ascii="宋体" w:eastAsia="宋体" w:hAnsi="宋体" w:cs="宋体" w:hint="eastAsia"/>
                <w:i w:val="0"/>
                <w:iCs w:val="0"/>
                <w:snapToGrid w:val="0"/>
                <w:color w:val="000000" w:themeColor="text1"/>
                <w:kern w:val="0"/>
                <w:sz w:val="21"/>
                <w:szCs w:val="21"/>
                <w:u w:val="none"/>
                <w:lang w:val="en-US" w:eastAsia="zh-CN" w:bidi="ar"/>
              </w:rPr>
              <w:t>铭牌标识、公告牌、安全警示标志：专业数码打印机、激光雕刻机，保障制作的铭牌标识、公告牌、安全警示标志美观、耐用、清晰。</w:t>
            </w:r>
            <w:r>
              <w:rPr>
                <w:rFonts w:ascii="宋体" w:eastAsia="宋体" w:hAnsi="宋体" w:cs="宋体" w:hint="eastAsia"/>
                <w:i w:val="0"/>
                <w:iCs w:val="0"/>
                <w:snapToGrid w:val="0"/>
                <w:color w:val="000000" w:themeColor="text1"/>
                <w:kern w:val="0"/>
                <w:sz w:val="21"/>
                <w:szCs w:val="21"/>
                <w:u w:val="none"/>
                <w:lang w:val="en-US" w:eastAsia="zh-CN" w:bidi="ar"/>
              </w:rPr>
              <w:br/>
            </w:r>
            <w:r>
              <w:rPr>
                <w:rFonts w:ascii="宋体" w:eastAsia="宋体" w:hAnsi="宋体" w:cs="宋体" w:hint="eastAsia"/>
                <w:i w:val="0"/>
                <w:iCs w:val="0"/>
                <w:snapToGrid w:val="0"/>
                <w:color w:val="000000" w:themeColor="text1"/>
                <w:kern w:val="0"/>
                <w:sz w:val="21"/>
                <w:szCs w:val="21"/>
                <w:u w:val="none"/>
                <w:lang w:val="en-US" w:eastAsia="zh-CN" w:bidi="ar"/>
              </w:rPr>
              <w:t>（1）作业点铭牌*1个：</w:t>
            </w:r>
            <w:r>
              <w:rPr>
                <w:rFonts w:ascii="宋体" w:eastAsia="宋体" w:hAnsi="宋体" w:cs="宋体" w:hint="eastAsia"/>
                <w:i w:val="0"/>
                <w:iCs w:val="0"/>
                <w:snapToGrid w:val="0"/>
                <w:color w:val="000000" w:themeColor="text1"/>
                <w:kern w:val="0"/>
                <w:sz w:val="21"/>
                <w:szCs w:val="21"/>
                <w:u w:val="none"/>
                <w:lang w:val="en-US" w:eastAsia="zh-CN" w:bidi="ar"/>
              </w:rPr>
              <w:br/>
            </w:r>
            <w:r>
              <w:rPr>
                <w:rFonts w:ascii="宋体" w:eastAsia="宋体" w:hAnsi="宋体" w:cs="宋体" w:hint="eastAsia"/>
                <w:i w:val="0"/>
                <w:iCs w:val="0"/>
                <w:snapToGrid w:val="0"/>
                <w:color w:val="000000" w:themeColor="text1"/>
                <w:kern w:val="0"/>
                <w:sz w:val="21"/>
                <w:szCs w:val="21"/>
                <w:u w:val="none"/>
                <w:lang w:val="en-US" w:eastAsia="zh-CN" w:bidi="ar"/>
              </w:rPr>
              <w:t>用于标识作业点名称、编号。</w:t>
            </w:r>
            <w:r>
              <w:rPr>
                <w:rFonts w:ascii="宋体" w:eastAsia="宋体" w:hAnsi="宋体" w:cs="宋体" w:hint="eastAsia"/>
                <w:i w:val="0"/>
                <w:iCs w:val="0"/>
                <w:snapToGrid w:val="0"/>
                <w:color w:val="000000" w:themeColor="text1"/>
                <w:kern w:val="0"/>
                <w:sz w:val="21"/>
                <w:szCs w:val="21"/>
                <w:u w:val="none"/>
                <w:lang w:val="en-US" w:eastAsia="zh-CN" w:bidi="ar"/>
              </w:rPr>
              <w:br/>
            </w:r>
            <w:r>
              <w:rPr>
                <w:rFonts w:ascii="宋体" w:eastAsia="宋体" w:hAnsi="宋体" w:cs="宋体" w:hint="eastAsia"/>
                <w:i w:val="0"/>
                <w:iCs w:val="0"/>
                <w:snapToGrid w:val="0"/>
                <w:color w:val="000000" w:themeColor="text1"/>
                <w:kern w:val="0"/>
                <w:sz w:val="21"/>
                <w:szCs w:val="21"/>
                <w:u w:val="none"/>
                <w:lang w:val="en-US" w:eastAsia="zh-CN" w:bidi="ar"/>
              </w:rPr>
              <w:t>规格尺寸：宽800*高600mm。</w:t>
            </w:r>
            <w:r>
              <w:rPr>
                <w:rFonts w:ascii="宋体" w:eastAsia="宋体" w:hAnsi="宋体" w:cs="宋体" w:hint="eastAsia"/>
                <w:i w:val="0"/>
                <w:iCs w:val="0"/>
                <w:snapToGrid w:val="0"/>
                <w:color w:val="000000" w:themeColor="text1"/>
                <w:kern w:val="0"/>
                <w:sz w:val="21"/>
                <w:szCs w:val="21"/>
                <w:u w:val="none"/>
                <w:lang w:val="en-US" w:eastAsia="zh-CN" w:bidi="ar"/>
              </w:rPr>
              <w:br/>
            </w:r>
            <w:r>
              <w:rPr>
                <w:rFonts w:ascii="宋体" w:eastAsia="宋体" w:hAnsi="宋体" w:cs="宋体" w:hint="eastAsia"/>
                <w:i w:val="0"/>
                <w:iCs w:val="0"/>
                <w:snapToGrid w:val="0"/>
                <w:color w:val="000000" w:themeColor="text1"/>
                <w:kern w:val="0"/>
                <w:sz w:val="21"/>
                <w:szCs w:val="21"/>
                <w:u w:val="none"/>
                <w:lang w:val="en-US" w:eastAsia="zh-CN" w:bidi="ar"/>
              </w:rPr>
              <w:t>材质：不低于G8不锈钢0.63镜面钛金。</w:t>
            </w:r>
            <w:r>
              <w:rPr>
                <w:rFonts w:ascii="宋体" w:eastAsia="宋体" w:hAnsi="宋体" w:cs="宋体" w:hint="eastAsia"/>
                <w:i w:val="0"/>
                <w:iCs w:val="0"/>
                <w:snapToGrid w:val="0"/>
                <w:color w:val="000000" w:themeColor="text1"/>
                <w:kern w:val="0"/>
                <w:sz w:val="21"/>
                <w:szCs w:val="21"/>
                <w:u w:val="none"/>
                <w:lang w:val="en-US" w:eastAsia="zh-CN" w:bidi="ar"/>
              </w:rPr>
              <w:br/>
            </w:r>
            <w:r>
              <w:rPr>
                <w:rFonts w:ascii="宋体" w:eastAsia="宋体" w:hAnsi="宋体" w:cs="宋体" w:hint="eastAsia"/>
                <w:i w:val="0"/>
                <w:iCs w:val="0"/>
                <w:snapToGrid w:val="0"/>
                <w:color w:val="000000" w:themeColor="text1"/>
                <w:kern w:val="0"/>
                <w:sz w:val="21"/>
                <w:szCs w:val="21"/>
                <w:u w:val="none"/>
                <w:lang w:val="en-US" w:eastAsia="zh-CN" w:bidi="ar"/>
              </w:rPr>
              <w:t>制作工艺：文字及图案制作工艺为化学腐蚀，填充烤漆，单色字。</w:t>
            </w:r>
            <w:r>
              <w:rPr>
                <w:rFonts w:ascii="宋体" w:eastAsia="宋体" w:hAnsi="宋体" w:cs="宋体" w:hint="eastAsia"/>
                <w:i w:val="0"/>
                <w:iCs w:val="0"/>
                <w:snapToGrid w:val="0"/>
                <w:color w:val="000000" w:themeColor="text1"/>
                <w:kern w:val="0"/>
                <w:sz w:val="21"/>
                <w:szCs w:val="21"/>
                <w:u w:val="none"/>
                <w:lang w:val="en-US" w:eastAsia="zh-CN" w:bidi="ar"/>
              </w:rPr>
              <w:br/>
            </w:r>
            <w:r>
              <w:rPr>
                <w:rFonts w:ascii="宋体" w:eastAsia="宋体" w:hAnsi="宋体" w:cs="宋体" w:hint="eastAsia"/>
                <w:i w:val="0"/>
                <w:iCs w:val="0"/>
                <w:snapToGrid w:val="0"/>
                <w:color w:val="000000" w:themeColor="text1"/>
                <w:kern w:val="0"/>
                <w:sz w:val="21"/>
                <w:szCs w:val="21"/>
                <w:u w:val="none"/>
                <w:lang w:val="en-US" w:eastAsia="zh-CN" w:bidi="ar"/>
              </w:rPr>
              <w:t>（2）警示标识*4个：</w:t>
            </w:r>
            <w:r>
              <w:rPr>
                <w:rFonts w:ascii="宋体" w:eastAsia="宋体" w:hAnsi="宋体" w:cs="宋体" w:hint="eastAsia"/>
                <w:i w:val="0"/>
                <w:iCs w:val="0"/>
                <w:snapToGrid w:val="0"/>
                <w:color w:val="000000" w:themeColor="text1"/>
                <w:kern w:val="0"/>
                <w:sz w:val="21"/>
                <w:szCs w:val="21"/>
                <w:u w:val="none"/>
                <w:lang w:val="en-US" w:eastAsia="zh-CN" w:bidi="ar"/>
              </w:rPr>
              <w:br/>
            </w:r>
            <w:r>
              <w:rPr>
                <w:rFonts w:ascii="宋体" w:eastAsia="宋体" w:hAnsi="宋体" w:cs="宋体" w:hint="eastAsia"/>
                <w:i w:val="0"/>
                <w:iCs w:val="0"/>
                <w:snapToGrid w:val="0"/>
                <w:color w:val="000000" w:themeColor="text1"/>
                <w:kern w:val="0"/>
                <w:sz w:val="21"/>
                <w:szCs w:val="21"/>
                <w:u w:val="none"/>
                <w:lang w:val="en-US" w:eastAsia="zh-CN" w:bidi="ar"/>
              </w:rPr>
              <w:t>用于炮库警示标识，提示仓库重地、禁止烟火等字样。</w:t>
            </w:r>
            <w:r>
              <w:rPr>
                <w:rFonts w:ascii="宋体" w:eastAsia="宋体" w:hAnsi="宋体" w:cs="宋体" w:hint="eastAsia"/>
                <w:i w:val="0"/>
                <w:iCs w:val="0"/>
                <w:snapToGrid w:val="0"/>
                <w:color w:val="000000" w:themeColor="text1"/>
                <w:kern w:val="0"/>
                <w:sz w:val="21"/>
                <w:szCs w:val="21"/>
                <w:u w:val="none"/>
                <w:lang w:val="en-US" w:eastAsia="zh-CN" w:bidi="ar"/>
              </w:rPr>
              <w:br/>
            </w:r>
            <w:r>
              <w:rPr>
                <w:rFonts w:ascii="宋体" w:eastAsia="宋体" w:hAnsi="宋体" w:cs="宋体" w:hint="eastAsia"/>
                <w:i w:val="0"/>
                <w:iCs w:val="0"/>
                <w:snapToGrid w:val="0"/>
                <w:color w:val="000000" w:themeColor="text1"/>
                <w:kern w:val="0"/>
                <w:sz w:val="21"/>
                <w:szCs w:val="21"/>
                <w:u w:val="none"/>
                <w:lang w:val="en-US" w:eastAsia="zh-CN" w:bidi="ar"/>
              </w:rPr>
              <w:t>规格尺寸：宽600*高400mm。</w:t>
            </w:r>
            <w:r>
              <w:rPr>
                <w:rFonts w:ascii="宋体" w:eastAsia="宋体" w:hAnsi="宋体" w:cs="宋体" w:hint="eastAsia"/>
                <w:i w:val="0"/>
                <w:iCs w:val="0"/>
                <w:snapToGrid w:val="0"/>
                <w:color w:val="000000" w:themeColor="text1"/>
                <w:kern w:val="0"/>
                <w:sz w:val="21"/>
                <w:szCs w:val="21"/>
                <w:u w:val="none"/>
                <w:lang w:val="en-US" w:eastAsia="zh-CN" w:bidi="ar"/>
              </w:rPr>
              <w:br/>
            </w:r>
            <w:r>
              <w:rPr>
                <w:rFonts w:ascii="宋体" w:eastAsia="宋体" w:hAnsi="宋体" w:cs="宋体" w:hint="eastAsia"/>
                <w:i w:val="0"/>
                <w:iCs w:val="0"/>
                <w:snapToGrid w:val="0"/>
                <w:color w:val="000000" w:themeColor="text1"/>
                <w:kern w:val="0"/>
                <w:sz w:val="21"/>
                <w:szCs w:val="21"/>
                <w:u w:val="none"/>
                <w:lang w:val="en-US" w:eastAsia="zh-CN" w:bidi="ar"/>
              </w:rPr>
              <w:t>材质：不低于0.8国标厚铝板。</w:t>
            </w:r>
            <w:r>
              <w:rPr>
                <w:rFonts w:ascii="宋体" w:eastAsia="宋体" w:hAnsi="宋体" w:cs="宋体" w:hint="eastAsia"/>
                <w:i w:val="0"/>
                <w:iCs w:val="0"/>
                <w:snapToGrid w:val="0"/>
                <w:color w:val="000000" w:themeColor="text1"/>
                <w:kern w:val="0"/>
                <w:sz w:val="21"/>
                <w:szCs w:val="21"/>
                <w:u w:val="none"/>
                <w:lang w:val="en-US" w:eastAsia="zh-CN" w:bidi="ar"/>
              </w:rPr>
              <w:br/>
            </w:r>
            <w:r>
              <w:rPr>
                <w:rFonts w:ascii="宋体" w:eastAsia="宋体" w:hAnsi="宋体" w:cs="宋体" w:hint="eastAsia"/>
                <w:i w:val="0"/>
                <w:iCs w:val="0"/>
                <w:snapToGrid w:val="0"/>
                <w:color w:val="000000" w:themeColor="text1"/>
                <w:kern w:val="0"/>
                <w:sz w:val="21"/>
                <w:szCs w:val="21"/>
                <w:u w:val="none"/>
                <w:lang w:val="en-US" w:eastAsia="zh-CN" w:bidi="ar"/>
              </w:rPr>
              <w:t>制作工艺：铝板电镀抗氧化处理，电喷各种色底，胶片制版，高耐候性油墨丝印，激光镀水晶膜。</w:t>
            </w:r>
            <w:r>
              <w:rPr>
                <w:rFonts w:ascii="宋体" w:eastAsia="宋体" w:hAnsi="宋体" w:cs="宋体" w:hint="eastAsia"/>
                <w:i w:val="0"/>
                <w:iCs w:val="0"/>
                <w:snapToGrid w:val="0"/>
                <w:color w:val="000000" w:themeColor="text1"/>
                <w:kern w:val="0"/>
                <w:sz w:val="21"/>
                <w:szCs w:val="21"/>
                <w:u w:val="none"/>
                <w:lang w:val="en-US" w:eastAsia="zh-CN" w:bidi="ar"/>
              </w:rPr>
              <w:br/>
            </w:r>
            <w:r>
              <w:rPr>
                <w:rFonts w:ascii="宋体" w:eastAsia="宋体" w:hAnsi="宋体" w:cs="宋体" w:hint="eastAsia"/>
                <w:i w:val="0"/>
                <w:iCs w:val="0"/>
                <w:snapToGrid w:val="0"/>
                <w:color w:val="000000" w:themeColor="text1"/>
                <w:kern w:val="0"/>
                <w:sz w:val="21"/>
                <w:szCs w:val="21"/>
                <w:u w:val="none"/>
                <w:lang w:val="en-US" w:eastAsia="zh-CN" w:bidi="ar"/>
              </w:rPr>
              <w:t>（3）十不准制度牌*1个：</w:t>
            </w:r>
            <w:r>
              <w:rPr>
                <w:rFonts w:ascii="宋体" w:eastAsia="宋体" w:hAnsi="宋体" w:cs="宋体" w:hint="eastAsia"/>
                <w:i w:val="0"/>
                <w:iCs w:val="0"/>
                <w:snapToGrid w:val="0"/>
                <w:color w:val="000000" w:themeColor="text1"/>
                <w:kern w:val="0"/>
                <w:sz w:val="21"/>
                <w:szCs w:val="21"/>
                <w:u w:val="none"/>
                <w:lang w:val="en-US" w:eastAsia="zh-CN" w:bidi="ar"/>
              </w:rPr>
              <w:br/>
            </w:r>
            <w:r>
              <w:rPr>
                <w:rFonts w:ascii="宋体" w:eastAsia="宋体" w:hAnsi="宋体" w:cs="宋体" w:hint="eastAsia"/>
                <w:i w:val="0"/>
                <w:iCs w:val="0"/>
                <w:snapToGrid w:val="0"/>
                <w:color w:val="000000" w:themeColor="text1"/>
                <w:kern w:val="0"/>
                <w:sz w:val="21"/>
                <w:szCs w:val="21"/>
                <w:u w:val="none"/>
                <w:lang w:val="en-US" w:eastAsia="zh-CN" w:bidi="ar"/>
              </w:rPr>
              <w:t>悬挂于值班室墙壁，提示炮手在作业过程中注意事项，杜绝炮手违规操作。</w:t>
            </w:r>
            <w:r>
              <w:rPr>
                <w:rFonts w:ascii="宋体" w:eastAsia="宋体" w:hAnsi="宋体" w:cs="宋体" w:hint="eastAsia"/>
                <w:i w:val="0"/>
                <w:iCs w:val="0"/>
                <w:snapToGrid w:val="0"/>
                <w:color w:val="000000" w:themeColor="text1"/>
                <w:kern w:val="0"/>
                <w:sz w:val="21"/>
                <w:szCs w:val="21"/>
                <w:u w:val="none"/>
                <w:lang w:val="en-US" w:eastAsia="zh-CN" w:bidi="ar"/>
              </w:rPr>
              <w:br/>
            </w:r>
            <w:r>
              <w:rPr>
                <w:rFonts w:ascii="宋体" w:eastAsia="宋体" w:hAnsi="宋体" w:cs="宋体" w:hint="eastAsia"/>
                <w:i w:val="0"/>
                <w:iCs w:val="0"/>
                <w:snapToGrid w:val="0"/>
                <w:color w:val="000000" w:themeColor="text1"/>
                <w:kern w:val="0"/>
                <w:sz w:val="21"/>
                <w:szCs w:val="21"/>
                <w:u w:val="none"/>
                <w:lang w:val="en-US" w:eastAsia="zh-CN" w:bidi="ar"/>
              </w:rPr>
              <w:t>规格尺寸：600*900mm。</w:t>
            </w:r>
            <w:r>
              <w:rPr>
                <w:rFonts w:ascii="宋体" w:eastAsia="宋体" w:hAnsi="宋体" w:cs="宋体" w:hint="eastAsia"/>
                <w:i w:val="0"/>
                <w:iCs w:val="0"/>
                <w:snapToGrid w:val="0"/>
                <w:color w:val="000000" w:themeColor="text1"/>
                <w:kern w:val="0"/>
                <w:sz w:val="21"/>
                <w:szCs w:val="21"/>
                <w:u w:val="none"/>
                <w:lang w:val="en-US" w:eastAsia="zh-CN" w:bidi="ar"/>
              </w:rPr>
              <w:br/>
            </w:r>
            <w:r>
              <w:rPr>
                <w:rFonts w:ascii="宋体" w:eastAsia="宋体" w:hAnsi="宋体" w:cs="宋体" w:hint="eastAsia"/>
                <w:i w:val="0"/>
                <w:iCs w:val="0"/>
                <w:snapToGrid w:val="0"/>
                <w:color w:val="000000" w:themeColor="text1"/>
                <w:kern w:val="0"/>
                <w:sz w:val="21"/>
                <w:szCs w:val="21"/>
                <w:u w:val="none"/>
                <w:lang w:val="en-US" w:eastAsia="zh-CN" w:bidi="ar"/>
              </w:rPr>
              <w:t>材质：不低于0.8国标厚铝板。</w:t>
            </w:r>
            <w:r>
              <w:rPr>
                <w:rFonts w:ascii="宋体" w:eastAsia="宋体" w:hAnsi="宋体" w:cs="宋体" w:hint="eastAsia"/>
                <w:i w:val="0"/>
                <w:iCs w:val="0"/>
                <w:snapToGrid w:val="0"/>
                <w:color w:val="000000" w:themeColor="text1"/>
                <w:kern w:val="0"/>
                <w:sz w:val="21"/>
                <w:szCs w:val="21"/>
                <w:u w:val="none"/>
                <w:lang w:val="en-US" w:eastAsia="zh-CN" w:bidi="ar"/>
              </w:rPr>
              <w:br/>
            </w:r>
            <w:r>
              <w:rPr>
                <w:rFonts w:ascii="宋体" w:eastAsia="宋体" w:hAnsi="宋体" w:cs="宋体" w:hint="eastAsia"/>
                <w:i w:val="0"/>
                <w:iCs w:val="0"/>
                <w:snapToGrid w:val="0"/>
                <w:color w:val="000000" w:themeColor="text1"/>
                <w:kern w:val="0"/>
                <w:sz w:val="21"/>
                <w:szCs w:val="21"/>
                <w:u w:val="none"/>
                <w:lang w:val="en-US" w:eastAsia="zh-CN" w:bidi="ar"/>
              </w:rPr>
              <w:t>材质：铝板电镀抗氧化处理，电喷各种色底，胶片制版，高耐候性油墨丝印，激光镀水晶膜。</w:t>
            </w:r>
          </w:p>
        </w:tc>
        <w:tc>
          <w:tcPr>
            <w:tcW w:w="363" w:type="pct"/>
            <w:noWrap w:val="0"/>
            <w:vAlign w:val="center"/>
          </w:tcPr>
          <w:p>
            <w:pPr>
              <w:keepNext w:val="0"/>
              <w:keepLines w:val="0"/>
              <w:widowControl/>
              <w:suppressLineNumbers w:val="0"/>
              <w:jc w:val="center"/>
              <w:textAlignment w:val="center"/>
              <w:rPr>
                <w:rFonts w:ascii="宋体" w:eastAsia="宋体" w:hAnsi="宋体" w:cs="宋体" w:hint="eastAsia"/>
                <w:color w:val="000000" w:themeColor="text1"/>
                <w:szCs w:val="21"/>
              </w:rPr>
            </w:pPr>
            <w:r>
              <w:rPr>
                <w:rFonts w:ascii="宋体" w:eastAsia="宋体" w:hAnsi="宋体" w:cs="宋体" w:hint="eastAsia"/>
                <w:i w:val="0"/>
                <w:iCs w:val="0"/>
                <w:snapToGrid w:val="0"/>
                <w:color w:val="000000" w:themeColor="text1"/>
                <w:kern w:val="0"/>
                <w:sz w:val="21"/>
                <w:szCs w:val="21"/>
                <w:u w:val="none"/>
                <w:lang w:val="en-US" w:eastAsia="zh-CN" w:bidi="ar"/>
              </w:rPr>
              <w:t xml:space="preserve">154 </w:t>
            </w:r>
          </w:p>
        </w:tc>
        <w:tc>
          <w:tcPr>
            <w:tcW w:w="397" w:type="pct"/>
            <w:noWrap w:val="0"/>
            <w:vAlign w:val="center"/>
          </w:tcPr>
          <w:p>
            <w:pPr>
              <w:keepNext w:val="0"/>
              <w:keepLines w:val="0"/>
              <w:widowControl/>
              <w:suppressLineNumbers w:val="0"/>
              <w:jc w:val="center"/>
              <w:textAlignment w:val="center"/>
              <w:rPr>
                <w:rFonts w:ascii="宋体" w:eastAsia="宋体" w:hAnsi="宋体" w:cs="宋体" w:hint="eastAsia"/>
                <w:color w:val="000000" w:themeColor="text1"/>
                <w:szCs w:val="21"/>
              </w:rPr>
            </w:pPr>
            <w:r>
              <w:rPr>
                <w:rFonts w:ascii="宋体" w:eastAsia="宋体" w:hAnsi="宋体" w:cs="宋体" w:hint="eastAsia"/>
                <w:i w:val="0"/>
                <w:iCs w:val="0"/>
                <w:snapToGrid w:val="0"/>
                <w:color w:val="000000" w:themeColor="text1"/>
                <w:kern w:val="0"/>
                <w:sz w:val="21"/>
                <w:szCs w:val="21"/>
                <w:u w:val="none"/>
                <w:lang w:val="en-US" w:eastAsia="zh-CN" w:bidi="ar"/>
              </w:rPr>
              <w:t>批</w:t>
            </w:r>
          </w:p>
        </w:tc>
        <w:tc>
          <w:tcPr>
            <w:tcW w:w="506" w:type="pct"/>
            <w:noWrap w:val="0"/>
            <w:vAlign w:val="center"/>
          </w:tcPr>
          <w:p>
            <w:pPr>
              <w:widowControl/>
              <w:numPr>
                <w:ilvl w:val="0"/>
                <w:numId w:val="0"/>
              </w:numPr>
              <w:jc w:val="left"/>
              <w:rPr>
                <w:rFonts w:ascii="宋体" w:eastAsia="宋体" w:hAnsi="宋体" w:cs="宋体" w:hint="eastAsia"/>
                <w:color w:val="000000" w:themeColor="text1"/>
                <w:szCs w:val="21"/>
              </w:rPr>
            </w:pPr>
          </w:p>
        </w:tc>
      </w:tr>
    </w:tbl>
    <w:p>
      <w:pPr>
        <w:pStyle w:val="BodyTextFirstIndent2"/>
        <w:ind w:left="0" w:firstLine="0" w:leftChars="0" w:firstLineChars="0"/>
        <w:jc w:val="center"/>
        <w:rPr>
          <w:rFonts w:eastAsia="宋体" w:cs="宋体" w:hint="eastAsia"/>
          <w:snapToGrid w:val="0"/>
          <w:spacing w:val="-1"/>
          <w:kern w:val="0"/>
          <w:sz w:val="21"/>
          <w:szCs w:val="21"/>
          <w:lang w:val="en-US" w:bidi="ar-SA"/>
        </w:rPr>
      </w:pP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eastAsia"/>
          <w:b w:val="0"/>
          <w:bCs/>
          <w:szCs w:val="21"/>
        </w:rPr>
      </w:pPr>
      <w:r>
        <w:rPr>
          <w:rFonts w:ascii="宋体" w:eastAsia="宋体" w:hAnsi="宋体" w:cs="Times New Roman" w:hint="eastAsia"/>
          <w:b w:val="0"/>
          <w:bCs/>
          <w:szCs w:val="21"/>
        </w:rPr>
        <w:t>四、检验考核要求</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1.</w:t>
      </w:r>
      <w:r>
        <w:rPr>
          <w:rFonts w:ascii="宋体" w:eastAsia="宋体" w:hAnsi="宋体" w:cs="Times New Roman" w:hint="eastAsia"/>
          <w:b w:val="0"/>
          <w:bCs/>
          <w:szCs w:val="21"/>
        </w:rPr>
        <w:t>外包装除应符合GB/T 191-2025的要求外，还应：标志齐全、清晰，无错漏；箱体整洁、完整，无缺损；按规定紧固包装，没有突出尖状物。</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2.</w:t>
      </w:r>
      <w:r>
        <w:rPr>
          <w:rFonts w:ascii="宋体" w:eastAsia="宋体" w:hAnsi="宋体" w:cs="Times New Roman" w:hint="eastAsia"/>
          <w:b w:val="0"/>
          <w:bCs/>
          <w:szCs w:val="21"/>
        </w:rPr>
        <w:t>外包装箱上通常应有以下标志：1）产品型号、名称、数量、生产厂家名称及详细地址；2）执行的产品标准号；3）箱体外形尺寸；4）重量；5）出厂日期；6）需要时还应标明发站、到站及收货单位；7）符合GB/T 191-2025规定的“小心轻放</w:t>
      </w:r>
      <w:r>
        <w:rPr>
          <w:rFonts w:ascii="宋体" w:hAnsi="宋体" w:cs="Times New Roman" w:hint="eastAsia"/>
          <w:b w:val="0"/>
          <w:bCs/>
          <w:szCs w:val="21"/>
          <w:lang w:eastAsia="zh-CN"/>
        </w:rPr>
        <w:t>”“</w:t>
      </w:r>
      <w:r>
        <w:rPr>
          <w:rFonts w:ascii="宋体" w:eastAsia="宋体" w:hAnsi="宋体" w:cs="Times New Roman" w:hint="eastAsia"/>
          <w:b w:val="0"/>
          <w:bCs/>
          <w:szCs w:val="21"/>
        </w:rPr>
        <w:t>向上</w:t>
      </w:r>
      <w:r>
        <w:rPr>
          <w:rFonts w:ascii="宋体" w:hAnsi="宋体" w:cs="Times New Roman" w:hint="eastAsia"/>
          <w:b w:val="0"/>
          <w:bCs/>
          <w:szCs w:val="21"/>
          <w:lang w:eastAsia="zh-CN"/>
        </w:rPr>
        <w:t>”“</w:t>
      </w:r>
      <w:r>
        <w:rPr>
          <w:rFonts w:ascii="宋体" w:eastAsia="宋体" w:hAnsi="宋体" w:cs="Times New Roman" w:hint="eastAsia"/>
          <w:b w:val="0"/>
          <w:bCs/>
          <w:szCs w:val="21"/>
        </w:rPr>
        <w:t>怕雨”等包装储运图示标志。</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3.</w:t>
      </w:r>
      <w:r>
        <w:rPr>
          <w:rFonts w:ascii="宋体" w:eastAsia="宋体" w:hAnsi="宋体" w:cs="Times New Roman" w:hint="eastAsia"/>
          <w:b w:val="0"/>
          <w:bCs/>
          <w:szCs w:val="21"/>
        </w:rPr>
        <w:t>内包装应符合GJB 145A-1993，有合格证及装箱单；配套齐全、正确、完整，无损伤无差错。</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4.</w:t>
      </w:r>
      <w:r>
        <w:rPr>
          <w:rFonts w:ascii="宋体" w:eastAsia="宋体" w:hAnsi="宋体" w:cs="Times New Roman" w:hint="eastAsia"/>
          <w:b w:val="0"/>
          <w:bCs/>
          <w:szCs w:val="21"/>
        </w:rPr>
        <w:t>运输：出厂验收合格后，中标单位负责将产品运输到用户指定的地点，运输过程应当遵守国家有关管理的</w:t>
      </w:r>
      <w:r>
        <w:rPr>
          <w:rFonts w:ascii="宋体" w:hAnsi="宋体" w:cs="Times New Roman" w:hint="eastAsia"/>
          <w:b w:val="0"/>
          <w:bCs/>
          <w:szCs w:val="21"/>
          <w:lang w:eastAsia="zh-CN"/>
        </w:rPr>
        <w:t>法律法规</w:t>
      </w:r>
      <w:r>
        <w:rPr>
          <w:rFonts w:ascii="宋体" w:eastAsia="宋体" w:hAnsi="宋体" w:cs="Times New Roman" w:hint="eastAsia"/>
          <w:b w:val="0"/>
          <w:bCs/>
          <w:szCs w:val="21"/>
        </w:rPr>
        <w:t>。</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5.</w:t>
      </w:r>
      <w:r>
        <w:rPr>
          <w:rFonts w:ascii="宋体" w:eastAsia="宋体" w:hAnsi="宋体" w:cs="Times New Roman" w:hint="eastAsia"/>
          <w:b w:val="0"/>
          <w:bCs/>
          <w:szCs w:val="21"/>
        </w:rPr>
        <w:t>设备出厂前，需按照出厂测试大纲进行技术指标测试；系统安装、调试完成后，应严格按照现场测试大纲要求对系统进行全面的测试、标定，合格后设备投入业务试运行。</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6.</w:t>
      </w:r>
      <w:r>
        <w:rPr>
          <w:rFonts w:ascii="宋体" w:eastAsia="宋体" w:hAnsi="宋体" w:cs="Times New Roman" w:hint="eastAsia"/>
          <w:b w:val="0"/>
          <w:bCs/>
          <w:szCs w:val="21"/>
        </w:rPr>
        <w:t>所有设备、仪器在开箱时必须完好，无破损，整机无污染，无侵权行为、表面无划痕、无任何缺陷隐患。配置与装箱单相符。数量、质量及性能不低于本项目提出的要求。所有设备为原制造商制造的全新产品，在中国境内可依常规安全合法使用。</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7.</w:t>
      </w:r>
      <w:r>
        <w:rPr>
          <w:rFonts w:ascii="宋体" w:eastAsia="宋体" w:hAnsi="宋体" w:cs="Times New Roman" w:hint="eastAsia"/>
          <w:b w:val="0"/>
          <w:bCs/>
          <w:szCs w:val="21"/>
        </w:rPr>
        <w:t>投标人须负责对货物的现场安装、调试和</w:t>
      </w:r>
      <w:r>
        <w:rPr>
          <w:rFonts w:ascii="宋体" w:hAnsi="宋体" w:cs="Times New Roman" w:hint="eastAsia"/>
          <w:b w:val="0"/>
          <w:bCs/>
          <w:szCs w:val="21"/>
          <w:lang w:eastAsia="zh-CN"/>
        </w:rPr>
        <w:t>其他</w:t>
      </w:r>
      <w:r>
        <w:rPr>
          <w:rFonts w:ascii="宋体" w:eastAsia="宋体" w:hAnsi="宋体" w:cs="Times New Roman" w:hint="eastAsia"/>
          <w:b w:val="0"/>
          <w:bCs/>
          <w:szCs w:val="21"/>
        </w:rPr>
        <w:t>服务。合同所订货物到达采购人指定地点后，投标人应在接到采购人通知后指派合格的技术人员到指定地点进行安装调试。如因投标人责任而造成的延期，所有因安装延期而产生的费用由投标人负担。货物运抵现场后，采购人将对货物的质量、规格、数量进行检验，如发现货物的规格或数量或两者都与合同不符，采购人有权向投标人提出索赔。</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8.</w:t>
      </w:r>
      <w:r>
        <w:rPr>
          <w:rFonts w:ascii="宋体" w:eastAsia="宋体" w:hAnsi="宋体" w:cs="Times New Roman" w:hint="eastAsia"/>
          <w:b w:val="0"/>
          <w:bCs/>
          <w:szCs w:val="21"/>
        </w:rPr>
        <w:t>投标人人员在现场安装调试培训期间，其食宿、交通等费用均自行承担。投标人保证派出的服务人员已经过专业培训，对采购范围内设备的维修保养具有丰富经验。</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9.</w:t>
      </w:r>
      <w:r>
        <w:rPr>
          <w:rFonts w:ascii="宋体" w:eastAsia="宋体" w:hAnsi="宋体" w:cs="Times New Roman" w:hint="eastAsia"/>
          <w:b w:val="0"/>
          <w:bCs/>
          <w:szCs w:val="21"/>
        </w:rPr>
        <w:t>由投标人负责设备安装、调试等工作，用户方负责提供安装场地、供电及通讯，设备安装调试、验收等相关工作</w:t>
      </w:r>
      <w:r>
        <w:rPr>
          <w:rFonts w:ascii="宋体" w:hAnsi="宋体" w:cs="Times New Roman" w:hint="eastAsia"/>
          <w:b w:val="0"/>
          <w:bCs/>
          <w:szCs w:val="21"/>
          <w:lang w:eastAsia="zh-CN"/>
        </w:rPr>
        <w:t>，</w:t>
      </w:r>
      <w:r>
        <w:rPr>
          <w:rFonts w:ascii="宋体" w:eastAsia="宋体" w:hAnsi="宋体" w:cs="Times New Roman" w:hint="eastAsia"/>
          <w:b w:val="0"/>
          <w:bCs/>
          <w:szCs w:val="21"/>
        </w:rPr>
        <w:t>费用由中标供货商负责。设备不合格或不符合质量要求，供应商除无条件退货、返工外，还应承担采购人的一切损失。</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1</w:t>
      </w:r>
      <w:r>
        <w:rPr>
          <w:rFonts w:ascii="宋体" w:hAnsi="宋体" w:cs="Times New Roman" w:hint="eastAsia"/>
          <w:b w:val="0"/>
          <w:bCs/>
          <w:szCs w:val="21"/>
          <w:lang w:val="en-US" w:eastAsia="zh-CN"/>
        </w:rPr>
        <w:t>0</w:t>
      </w:r>
      <w:r>
        <w:rPr>
          <w:rFonts w:ascii="宋体" w:eastAsia="宋体" w:hAnsi="宋体" w:cs="Times New Roman" w:hint="eastAsia"/>
          <w:b w:val="0"/>
          <w:bCs/>
          <w:szCs w:val="21"/>
          <w:lang w:val="en-US" w:eastAsia="zh-CN"/>
        </w:rPr>
        <w:t>.</w:t>
      </w:r>
      <w:r>
        <w:rPr>
          <w:rFonts w:ascii="宋体" w:eastAsia="宋体" w:hAnsi="宋体" w:cs="Times New Roman" w:hint="eastAsia"/>
          <w:b w:val="0"/>
          <w:bCs/>
          <w:szCs w:val="21"/>
        </w:rPr>
        <w:t>投标人应计划好在服务人员不足时补充足够人员，遇突发性工作或事故检修时可调配的技术支援人员，以保证各项工作按工期、质量等要求顺利进行。若因投标人不能满足安全生产要求时，采购人有权组织其他单位参与工作，所产生的各项费用从投标人合同费用中扣除。</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1</w:t>
      </w:r>
      <w:r>
        <w:rPr>
          <w:rFonts w:ascii="宋体" w:hAnsi="宋体" w:cs="Times New Roman" w:hint="eastAsia"/>
          <w:b w:val="0"/>
          <w:bCs/>
          <w:szCs w:val="21"/>
          <w:lang w:val="en-US" w:eastAsia="zh-CN"/>
        </w:rPr>
        <w:t>1</w:t>
      </w:r>
      <w:r>
        <w:rPr>
          <w:rFonts w:ascii="宋体" w:eastAsia="宋体" w:hAnsi="宋体" w:cs="Times New Roman" w:hint="eastAsia"/>
          <w:b w:val="0"/>
          <w:bCs/>
          <w:szCs w:val="21"/>
          <w:lang w:val="en-US" w:eastAsia="zh-CN"/>
        </w:rPr>
        <w:t>.</w:t>
      </w:r>
      <w:r>
        <w:rPr>
          <w:rFonts w:ascii="宋体" w:eastAsia="宋体" w:hAnsi="宋体" w:cs="Times New Roman" w:hint="eastAsia"/>
          <w:b w:val="0"/>
          <w:bCs/>
          <w:szCs w:val="21"/>
        </w:rPr>
        <w:t>当采购人有合理理由认为任何服务人员不符合本项目要求时，采购人有权要求投标人更换服务人员，投标人应无条件配合。</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default"/>
          <w:b w:val="0"/>
          <w:bCs/>
          <w:szCs w:val="21"/>
        </w:rPr>
      </w:pPr>
      <w:r>
        <w:rPr>
          <w:rFonts w:ascii="宋体" w:eastAsia="宋体" w:hAnsi="宋体" w:cs="Times New Roman" w:hint="eastAsia"/>
          <w:b w:val="0"/>
          <w:bCs/>
          <w:szCs w:val="21"/>
          <w:lang w:val="en-US" w:eastAsia="zh-CN"/>
        </w:rPr>
        <w:t>五</w:t>
      </w:r>
      <w:r>
        <w:rPr>
          <w:rFonts w:ascii="宋体" w:eastAsia="宋体" w:hAnsi="宋体" w:cs="Times New Roman" w:hint="eastAsia"/>
          <w:b w:val="0"/>
          <w:bCs/>
          <w:szCs w:val="21"/>
        </w:rPr>
        <w:t>、</w:t>
      </w:r>
      <w:r>
        <w:rPr>
          <w:rFonts w:ascii="宋体" w:eastAsia="宋体" w:hAnsi="宋体" w:cs="Times New Roman" w:hint="eastAsia"/>
          <w:b w:val="0"/>
          <w:bCs/>
          <w:szCs w:val="21"/>
          <w:lang w:val="en-US" w:eastAsia="zh-CN"/>
        </w:rPr>
        <w:t>技术服务和质保期服务要求</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eastAsia"/>
          <w:b w:val="0"/>
          <w:bCs/>
          <w:szCs w:val="21"/>
          <w:highlight w:val="none"/>
        </w:rPr>
      </w:pPr>
      <w:r>
        <w:rPr>
          <w:rFonts w:ascii="宋体" w:eastAsia="宋体" w:hAnsi="宋体" w:cs="Times New Roman" w:hint="eastAsia"/>
          <w:b w:val="0"/>
          <w:bCs/>
          <w:szCs w:val="21"/>
          <w:highlight w:val="none"/>
          <w:lang w:val="en-US" w:eastAsia="zh-CN"/>
        </w:rPr>
        <w:t>1.售后服务</w:t>
      </w:r>
    </w:p>
    <w:p>
      <w:pPr>
        <w:keepNext w:val="0"/>
        <w:keepLines w:val="0"/>
        <w:pageBreakBefore w:val="0"/>
        <w:widowControl w:val="0"/>
        <w:tabs>
          <w:tab w:val="left" w:pos="540"/>
        </w:tabs>
        <w:kinsoku/>
        <w:wordWrap/>
        <w:overflowPunct/>
        <w:topLinePunct w:val="0"/>
        <w:bidi w:val="0"/>
        <w:spacing w:line="360" w:lineRule="auto"/>
        <w:ind w:firstLine="412" w:firstLineChars="196"/>
        <w:outlineLvl w:val="9"/>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（1）投标人对所有设备提供自验收合格后8年（3年质保和5年维保）售后服务，需提供设备质保承诺函原件。</w:t>
      </w:r>
    </w:p>
    <w:p>
      <w:pPr>
        <w:keepNext w:val="0"/>
        <w:keepLines w:val="0"/>
        <w:pageBreakBefore w:val="0"/>
        <w:widowControl w:val="0"/>
        <w:tabs>
          <w:tab w:val="left" w:pos="540"/>
        </w:tabs>
        <w:kinsoku/>
        <w:wordWrap/>
        <w:overflowPunct/>
        <w:topLinePunct w:val="0"/>
        <w:bidi w:val="0"/>
        <w:spacing w:line="360" w:lineRule="auto"/>
        <w:ind w:firstLine="412" w:firstLineChars="196"/>
        <w:outlineLvl w:val="9"/>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2）在质保期内，设备供应商服务时间应为7×24小时，当投标产品或软件遭到损坏或出现故障时，要在用户报修之时起4小时内做出响应，并在48小时内到达现场，开展维修维护工作，视情况双方协商设备恢复正常运行时限。</w:t>
      </w:r>
    </w:p>
    <w:p>
      <w:pPr>
        <w:keepNext w:val="0"/>
        <w:keepLines w:val="0"/>
        <w:pageBreakBefore w:val="0"/>
        <w:widowControl w:val="0"/>
        <w:tabs>
          <w:tab w:val="left" w:pos="540"/>
        </w:tabs>
        <w:kinsoku/>
        <w:wordWrap/>
        <w:overflowPunct/>
        <w:topLinePunct w:val="0"/>
        <w:bidi w:val="0"/>
        <w:spacing w:line="360" w:lineRule="auto"/>
        <w:ind w:firstLine="412" w:firstLineChars="196"/>
        <w:outlineLvl w:val="9"/>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（3）投标人应保证在规定的工期内完成项目工作，保证项目质量。</w:t>
      </w:r>
    </w:p>
    <w:p>
      <w:pPr>
        <w:keepNext w:val="0"/>
        <w:keepLines w:val="0"/>
        <w:pageBreakBefore w:val="0"/>
        <w:widowControl w:val="0"/>
        <w:tabs>
          <w:tab w:val="left" w:pos="540"/>
        </w:tabs>
        <w:kinsoku/>
        <w:wordWrap/>
        <w:overflowPunct/>
        <w:topLinePunct w:val="0"/>
        <w:bidi w:val="0"/>
        <w:spacing w:line="360" w:lineRule="auto"/>
        <w:ind w:firstLine="412" w:firstLineChars="196"/>
        <w:outlineLvl w:val="9"/>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（4）如确需上门服务的，在接到问题报告后48小时内成交供应商应派人到达现场。</w:t>
      </w:r>
    </w:p>
    <w:p>
      <w:pPr>
        <w:keepNext w:val="0"/>
        <w:keepLines w:val="0"/>
        <w:pageBreakBefore w:val="0"/>
        <w:widowControl w:val="0"/>
        <w:tabs>
          <w:tab w:val="left" w:pos="540"/>
        </w:tabs>
        <w:kinsoku/>
        <w:wordWrap/>
        <w:overflowPunct/>
        <w:topLinePunct w:val="0"/>
        <w:bidi w:val="0"/>
        <w:spacing w:line="360" w:lineRule="auto"/>
        <w:ind w:firstLine="412" w:firstLineChars="196"/>
        <w:outlineLvl w:val="9"/>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（5）投标人应终身向用户免费提供电话、传真、电子邮件技术支持服务。</w:t>
      </w:r>
    </w:p>
    <w:p>
      <w:pPr>
        <w:keepNext w:val="0"/>
        <w:keepLines w:val="0"/>
        <w:pageBreakBefore w:val="0"/>
        <w:widowControl w:val="0"/>
        <w:tabs>
          <w:tab w:val="left" w:pos="540"/>
        </w:tabs>
        <w:kinsoku/>
        <w:wordWrap/>
        <w:overflowPunct/>
        <w:topLinePunct w:val="0"/>
        <w:bidi w:val="0"/>
        <w:spacing w:line="360" w:lineRule="auto"/>
        <w:ind w:firstLine="412" w:firstLineChars="196"/>
        <w:outlineLvl w:val="9"/>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（6）质保期过后，设备供应商仍有义务提供技术服务（包括提供设备维护、备件等）。</w:t>
      </w:r>
    </w:p>
    <w:p>
      <w:pPr>
        <w:keepNext w:val="0"/>
        <w:keepLines w:val="0"/>
        <w:pageBreakBefore w:val="0"/>
        <w:widowControl w:val="0"/>
        <w:tabs>
          <w:tab w:val="left" w:pos="540"/>
        </w:tabs>
        <w:kinsoku/>
        <w:wordWrap/>
        <w:overflowPunct/>
        <w:topLinePunct w:val="0"/>
        <w:bidi w:val="0"/>
        <w:spacing w:line="360" w:lineRule="auto"/>
        <w:ind w:firstLine="412" w:firstLineChars="196"/>
        <w:outlineLvl w:val="9"/>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（7）投标人需提供详细售后服务方案，包括设备售后服务组织机构、人员组成、技术支持文档等。其中，售后服务组织机构设置合理，人员技术能力强，技术文档内容全面。</w:t>
      </w:r>
    </w:p>
    <w:p>
      <w:pPr>
        <w:keepNext w:val="0"/>
        <w:keepLines w:val="0"/>
        <w:pageBreakBefore w:val="0"/>
        <w:widowControl w:val="0"/>
        <w:tabs>
          <w:tab w:val="left" w:pos="540"/>
        </w:tabs>
        <w:kinsoku/>
        <w:wordWrap/>
        <w:overflowPunct/>
        <w:topLinePunct w:val="0"/>
        <w:bidi w:val="0"/>
        <w:spacing w:line="360" w:lineRule="auto"/>
        <w:ind w:firstLine="412" w:firstLineChars="196"/>
        <w:outlineLvl w:val="9"/>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（8）投标人提供相关设施所需4G/5G流量卡</w:t>
      </w:r>
      <w:r>
        <w:rPr>
          <w:rFonts w:ascii="宋体" w:hAnsi="宋体" w:cs="Times New Roman" w:hint="eastAsia"/>
          <w:b w:val="0"/>
          <w:bCs/>
          <w:szCs w:val="21"/>
          <w:lang w:val="en-US" w:eastAsia="zh-CN"/>
        </w:rPr>
        <w:t>（</w:t>
      </w:r>
      <w:r>
        <w:rPr>
          <w:rFonts w:ascii="宋体" w:eastAsia="宋体" w:hAnsi="宋体" w:cs="Times New Roman" w:hint="eastAsia"/>
          <w:b w:val="0"/>
          <w:bCs/>
          <w:szCs w:val="21"/>
          <w:lang w:val="en-US" w:eastAsia="zh-CN"/>
        </w:rPr>
        <w:t>含</w:t>
      </w:r>
      <w:r>
        <w:rPr>
          <w:rFonts w:ascii="宋体" w:hAnsi="宋体" w:cs="Times New Roman" w:hint="eastAsia"/>
          <w:b w:val="0"/>
          <w:bCs/>
          <w:szCs w:val="21"/>
          <w:lang w:val="en-US" w:eastAsia="zh-CN"/>
        </w:rPr>
        <w:t>3</w:t>
      </w:r>
      <w:r>
        <w:rPr>
          <w:rFonts w:ascii="宋体" w:eastAsia="宋体" w:hAnsi="宋体" w:cs="Times New Roman" w:hint="eastAsia"/>
          <w:b w:val="0"/>
          <w:bCs/>
          <w:szCs w:val="21"/>
          <w:lang w:val="en-US" w:eastAsia="zh-CN"/>
        </w:rPr>
        <w:t>年流量费</w:t>
      </w:r>
      <w:r>
        <w:rPr>
          <w:rFonts w:ascii="宋体" w:hAnsi="宋体" w:cs="Times New Roman" w:hint="eastAsia"/>
          <w:b w:val="0"/>
          <w:bCs/>
          <w:szCs w:val="21"/>
          <w:lang w:val="en-US" w:eastAsia="zh-CN"/>
        </w:rPr>
        <w:t>）</w:t>
      </w:r>
      <w:r>
        <w:rPr>
          <w:rFonts w:ascii="宋体" w:eastAsia="宋体" w:hAnsi="宋体" w:cs="Times New Roman" w:hint="eastAsia"/>
          <w:b w:val="0"/>
          <w:bCs/>
          <w:szCs w:val="21"/>
          <w:lang w:val="en-US" w:eastAsia="zh-CN"/>
        </w:rPr>
        <w:t>并提供承诺函。</w:t>
      </w:r>
    </w:p>
    <w:p>
      <w:pPr>
        <w:keepNext w:val="0"/>
        <w:keepLines w:val="0"/>
        <w:pageBreakBefore w:val="0"/>
        <w:widowControl w:val="0"/>
        <w:tabs>
          <w:tab w:val="left" w:pos="540"/>
        </w:tabs>
        <w:kinsoku/>
        <w:wordWrap/>
        <w:overflowPunct/>
        <w:topLinePunct w:val="0"/>
        <w:bidi w:val="0"/>
        <w:spacing w:line="360" w:lineRule="auto"/>
        <w:ind w:firstLine="412" w:firstLineChars="196"/>
        <w:outlineLvl w:val="9"/>
        <w:rPr>
          <w:rFonts w:ascii="宋体" w:eastAsia="宋体" w:hAnsi="宋体" w:cs="Times New Roman" w:hint="default"/>
          <w:b w:val="0"/>
          <w:bCs/>
          <w:szCs w:val="21"/>
        </w:rPr>
      </w:pPr>
      <w:r>
        <w:rPr>
          <w:rFonts w:ascii="宋体" w:eastAsia="宋体" w:hAnsi="宋体" w:cs="Times New Roman" w:hint="eastAsia"/>
          <w:b w:val="0"/>
          <w:bCs/>
          <w:szCs w:val="21"/>
          <w:lang w:val="en-US" w:eastAsia="zh-CN"/>
        </w:rPr>
        <w:t>（9）</w:t>
      </w:r>
      <w:r>
        <w:rPr>
          <w:rFonts w:ascii="宋体" w:hAnsi="宋体" w:cs="微软雅黑" w:hint="eastAsia"/>
          <w:b/>
          <w:color w:val="0000FF"/>
          <w:kern w:val="0"/>
          <w:sz w:val="18"/>
          <w:szCs w:val="18"/>
        </w:rPr>
        <w:t>*</w:t>
      </w:r>
      <w:r>
        <w:rPr>
          <w:rFonts w:ascii="宋体" w:eastAsia="宋体" w:hAnsi="宋体" w:cs="Times New Roman" w:hint="eastAsia"/>
          <w:b w:val="0"/>
          <w:bCs/>
          <w:szCs w:val="21"/>
          <w:lang w:val="en-US" w:eastAsia="zh-CN"/>
        </w:rPr>
        <w:t>设备运行及维保期</w:t>
      </w:r>
      <w:r>
        <w:rPr>
          <w:rFonts w:ascii="宋体" w:hAnsi="宋体" w:cs="Times New Roman" w:hint="eastAsia"/>
          <w:b w:val="0"/>
          <w:bCs/>
          <w:szCs w:val="21"/>
          <w:lang w:val="en-US" w:eastAsia="zh-CN"/>
        </w:rPr>
        <w:t>：</w:t>
      </w:r>
      <w:r>
        <w:rPr>
          <w:rFonts w:ascii="宋体" w:eastAsia="宋体" w:hAnsi="宋体" w:cs="Times New Roman" w:hint="eastAsia"/>
          <w:b w:val="0"/>
          <w:bCs/>
          <w:szCs w:val="21"/>
          <w:lang w:val="en-US" w:eastAsia="zh-CN"/>
        </w:rPr>
        <w:t>≥8年（3年质保和5年维保）并提供承诺函。</w:t>
      </w:r>
    </w:p>
    <w:p>
      <w:pPr>
        <w:keepNext w:val="0"/>
        <w:keepLines w:val="0"/>
        <w:pageBreakBefore w:val="0"/>
        <w:widowControl w:val="0"/>
        <w:tabs>
          <w:tab w:val="left" w:pos="540"/>
        </w:tabs>
        <w:kinsoku/>
        <w:wordWrap/>
        <w:overflowPunct/>
        <w:topLinePunct w:val="0"/>
        <w:bidi w:val="0"/>
        <w:spacing w:line="360" w:lineRule="auto"/>
        <w:ind w:firstLine="412" w:firstLineChars="196"/>
        <w:outlineLvl w:val="9"/>
        <w:rPr>
          <w:rFonts w:ascii="宋体" w:eastAsia="宋体" w:hAnsi="宋体" w:cs="Times New Roman" w:hint="eastAsia"/>
          <w:b w:val="0"/>
          <w:bCs/>
          <w:szCs w:val="21"/>
        </w:rPr>
      </w:pPr>
      <w:r>
        <w:rPr>
          <w:rFonts w:ascii="宋体" w:eastAsia="宋体" w:hAnsi="宋体" w:cs="Times New Roman" w:hint="eastAsia"/>
          <w:b w:val="0"/>
          <w:bCs/>
          <w:szCs w:val="21"/>
          <w:lang w:val="en-US" w:eastAsia="zh-CN"/>
        </w:rPr>
        <w:t>2.验收</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default"/>
          <w:b w:val="0"/>
          <w:bCs/>
          <w:szCs w:val="21"/>
          <w:highlight w:val="none"/>
        </w:rPr>
      </w:pPr>
      <w:r>
        <w:rPr>
          <w:rFonts w:ascii="宋体" w:eastAsia="宋体" w:hAnsi="宋体" w:cs="Times New Roman" w:hint="default"/>
          <w:b w:val="0"/>
          <w:bCs/>
          <w:szCs w:val="21"/>
          <w:highlight w:val="none"/>
          <w:lang w:val="en-US" w:eastAsia="zh-CN"/>
        </w:rPr>
        <w:t>验收分出厂检验、安装调试检验与最终验收三个阶段。</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default"/>
          <w:b w:val="0"/>
          <w:bCs/>
          <w:szCs w:val="21"/>
          <w:highlight w:val="none"/>
        </w:rPr>
      </w:pPr>
      <w:r>
        <w:rPr>
          <w:rFonts w:ascii="宋体" w:eastAsia="宋体" w:hAnsi="宋体" w:cs="Times New Roman" w:hint="eastAsia"/>
          <w:b w:val="0"/>
          <w:bCs/>
          <w:szCs w:val="21"/>
          <w:highlight w:val="none"/>
          <w:lang w:val="en-US" w:eastAsia="zh-CN"/>
        </w:rPr>
        <w:t>（1）</w:t>
      </w:r>
      <w:r>
        <w:rPr>
          <w:rFonts w:ascii="宋体" w:eastAsia="宋体" w:hAnsi="宋体" w:cs="Times New Roman" w:hint="default"/>
          <w:b w:val="0"/>
          <w:bCs/>
          <w:szCs w:val="21"/>
          <w:highlight w:val="none"/>
          <w:lang w:val="en-US" w:eastAsia="zh-CN"/>
        </w:rPr>
        <w:t>出厂检验：系统设备生产完成，进行出厂验收，</w:t>
      </w:r>
      <w:r>
        <w:rPr>
          <w:rFonts w:ascii="宋体" w:eastAsia="宋体" w:hAnsi="宋体" w:cs="Times New Roman" w:hint="eastAsia"/>
          <w:b w:val="0"/>
          <w:bCs/>
          <w:szCs w:val="21"/>
          <w:highlight w:val="none"/>
          <w:lang w:val="en-US" w:eastAsia="zh-CN"/>
        </w:rPr>
        <w:t>投标人</w:t>
      </w:r>
      <w:r>
        <w:rPr>
          <w:rFonts w:ascii="宋体" w:eastAsia="宋体" w:hAnsi="宋体" w:cs="Times New Roman" w:hint="default"/>
          <w:b w:val="0"/>
          <w:bCs/>
          <w:szCs w:val="21"/>
          <w:highlight w:val="none"/>
          <w:lang w:val="en-US" w:eastAsia="zh-CN"/>
        </w:rPr>
        <w:t>在本合同货物交付给招标人时，必须同时向招标人提交《产品质量合格证》。</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default"/>
          <w:b w:val="0"/>
          <w:bCs/>
          <w:szCs w:val="21"/>
          <w:highlight w:val="none"/>
        </w:rPr>
      </w:pPr>
      <w:r>
        <w:rPr>
          <w:rFonts w:ascii="宋体" w:eastAsia="宋体" w:hAnsi="宋体" w:cs="Times New Roman" w:hint="eastAsia"/>
          <w:b w:val="0"/>
          <w:bCs/>
          <w:szCs w:val="21"/>
          <w:highlight w:val="none"/>
          <w:lang w:val="en-US" w:eastAsia="zh-CN"/>
        </w:rPr>
        <w:t>（2）</w:t>
      </w:r>
      <w:r>
        <w:rPr>
          <w:rFonts w:ascii="宋体" w:eastAsia="宋体" w:hAnsi="宋体" w:cs="Times New Roman" w:hint="default"/>
          <w:b w:val="0"/>
          <w:bCs/>
          <w:szCs w:val="21"/>
          <w:highlight w:val="none"/>
          <w:lang w:val="en-US" w:eastAsia="zh-CN"/>
        </w:rPr>
        <w:t>安装调试检验：</w:t>
      </w:r>
      <w:r>
        <w:rPr>
          <w:rFonts w:ascii="宋体" w:eastAsia="宋体" w:hAnsi="宋体" w:cs="Times New Roman" w:hint="eastAsia"/>
          <w:b w:val="0"/>
          <w:bCs/>
          <w:szCs w:val="21"/>
          <w:highlight w:val="none"/>
          <w:lang w:val="en-US" w:eastAsia="zh-CN"/>
        </w:rPr>
        <w:t>投标人</w:t>
      </w:r>
      <w:r>
        <w:rPr>
          <w:rFonts w:ascii="宋体" w:eastAsia="宋体" w:hAnsi="宋体" w:cs="Times New Roman" w:hint="default"/>
          <w:b w:val="0"/>
          <w:bCs/>
          <w:szCs w:val="21"/>
          <w:highlight w:val="none"/>
          <w:lang w:val="en-US" w:eastAsia="zh-CN"/>
        </w:rPr>
        <w:t>在货物到货之前须提供一份详细的货物清单及验收方案报告。</w:t>
      </w:r>
      <w:r>
        <w:rPr>
          <w:rFonts w:ascii="宋体" w:eastAsia="宋体" w:hAnsi="宋体" w:cs="Times New Roman" w:hint="eastAsia"/>
          <w:b w:val="0"/>
          <w:bCs/>
          <w:szCs w:val="21"/>
          <w:highlight w:val="none"/>
          <w:lang w:val="en-US" w:eastAsia="zh-CN"/>
        </w:rPr>
        <w:t>投</w:t>
      </w:r>
      <w:r>
        <w:rPr>
          <w:rFonts w:ascii="宋体" w:eastAsia="宋体" w:hAnsi="宋体" w:cs="Times New Roman" w:hint="default"/>
          <w:b w:val="0"/>
          <w:bCs/>
          <w:szCs w:val="21"/>
          <w:highlight w:val="none"/>
          <w:lang w:val="en-US" w:eastAsia="zh-CN"/>
        </w:rPr>
        <w:t>标人应以书面形式通知招标人所要完成的工作和准备、进行验收的项目种类及验收开始时间，此通知书需经招标人认定后方可执行。招标人与</w:t>
      </w:r>
      <w:r>
        <w:rPr>
          <w:rFonts w:ascii="宋体" w:eastAsia="宋体" w:hAnsi="宋体" w:cs="Times New Roman" w:hint="eastAsia"/>
          <w:b w:val="0"/>
          <w:bCs/>
          <w:szCs w:val="21"/>
          <w:highlight w:val="none"/>
          <w:lang w:val="en-US" w:eastAsia="zh-CN"/>
        </w:rPr>
        <w:t>投</w:t>
      </w:r>
      <w:r>
        <w:rPr>
          <w:rFonts w:ascii="宋体" w:eastAsia="宋体" w:hAnsi="宋体" w:cs="Times New Roman" w:hint="default"/>
          <w:b w:val="0"/>
          <w:bCs/>
          <w:szCs w:val="21"/>
          <w:highlight w:val="none"/>
          <w:lang w:val="en-US" w:eastAsia="zh-CN"/>
        </w:rPr>
        <w:t>标人一起对所验收的项目进行测试。货物安装调试过</w:t>
      </w:r>
      <w:r>
        <w:rPr>
          <w:rFonts w:ascii="宋体" w:hAnsi="宋体" w:cs="Times New Roman" w:hint="eastAsia"/>
          <w:b w:val="0"/>
          <w:bCs/>
          <w:szCs w:val="21"/>
          <w:highlight w:val="none"/>
          <w:lang w:val="en-US" w:eastAsia="zh-CN"/>
        </w:rPr>
        <w:t>程中</w:t>
      </w:r>
      <w:r>
        <w:rPr>
          <w:rFonts w:ascii="宋体" w:eastAsia="宋体" w:hAnsi="宋体" w:cs="Times New Roman" w:hint="default"/>
          <w:b w:val="0"/>
          <w:bCs/>
          <w:szCs w:val="21"/>
          <w:highlight w:val="none"/>
          <w:lang w:val="en-US" w:eastAsia="zh-CN"/>
        </w:rPr>
        <w:t>，</w:t>
      </w:r>
      <w:r>
        <w:rPr>
          <w:rFonts w:ascii="宋体" w:eastAsia="宋体" w:hAnsi="宋体" w:cs="Times New Roman" w:hint="eastAsia"/>
          <w:b w:val="0"/>
          <w:bCs/>
          <w:szCs w:val="21"/>
          <w:highlight w:val="none"/>
          <w:lang w:val="en-US" w:eastAsia="zh-CN"/>
        </w:rPr>
        <w:t>投标人</w:t>
      </w:r>
      <w:r>
        <w:rPr>
          <w:rFonts w:ascii="宋体" w:eastAsia="宋体" w:hAnsi="宋体" w:cs="Times New Roman" w:hint="default"/>
          <w:b w:val="0"/>
          <w:bCs/>
          <w:szCs w:val="21"/>
          <w:highlight w:val="none"/>
          <w:lang w:val="en-US" w:eastAsia="zh-CN"/>
        </w:rPr>
        <w:t>应</w:t>
      </w:r>
      <w:r>
        <w:rPr>
          <w:rFonts w:ascii="宋体" w:hAnsi="宋体" w:cs="Times New Roman" w:hint="eastAsia"/>
          <w:b w:val="0"/>
          <w:bCs/>
          <w:szCs w:val="21"/>
          <w:highlight w:val="none"/>
          <w:lang w:val="en-US" w:eastAsia="zh-CN"/>
        </w:rPr>
        <w:t>做</w:t>
      </w:r>
      <w:r>
        <w:rPr>
          <w:rFonts w:ascii="宋体" w:eastAsia="宋体" w:hAnsi="宋体" w:cs="Times New Roman" w:hint="default"/>
          <w:b w:val="0"/>
          <w:bCs/>
          <w:szCs w:val="21"/>
          <w:highlight w:val="none"/>
          <w:lang w:val="en-US" w:eastAsia="zh-CN"/>
        </w:rPr>
        <w:t>详细检验记录，并将检验记录提交给招标人。</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default"/>
          <w:b w:val="0"/>
          <w:bCs/>
          <w:szCs w:val="21"/>
          <w:highlight w:val="none"/>
        </w:rPr>
      </w:pPr>
      <w:r>
        <w:rPr>
          <w:rFonts w:ascii="宋体" w:eastAsia="宋体" w:hAnsi="宋体" w:cs="Times New Roman" w:hint="eastAsia"/>
          <w:b w:val="0"/>
          <w:bCs/>
          <w:szCs w:val="21"/>
          <w:highlight w:val="none"/>
          <w:lang w:val="en-US" w:eastAsia="zh-CN"/>
        </w:rPr>
        <w:t>（3）</w:t>
      </w:r>
      <w:r>
        <w:rPr>
          <w:rFonts w:ascii="宋体" w:eastAsia="宋体" w:hAnsi="宋体" w:cs="Times New Roman" w:hint="default"/>
          <w:b w:val="0"/>
          <w:bCs/>
          <w:szCs w:val="21"/>
          <w:highlight w:val="none"/>
          <w:lang w:val="en-US" w:eastAsia="zh-CN"/>
        </w:rPr>
        <w:t>最终验收：货物安装调试和试运行结束后，双方按合同有关规定的标准和要求进行验收。验收应对设备的各项功能、性能及技术指标进行测试。</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default"/>
          <w:b w:val="0"/>
          <w:bCs/>
          <w:szCs w:val="21"/>
          <w:highlight w:val="none"/>
        </w:rPr>
      </w:pPr>
      <w:r>
        <w:rPr>
          <w:rFonts w:ascii="宋体" w:eastAsia="宋体" w:hAnsi="宋体" w:cs="Times New Roman" w:hint="eastAsia"/>
          <w:b w:val="0"/>
          <w:bCs/>
          <w:szCs w:val="21"/>
          <w:highlight w:val="none"/>
          <w:lang w:val="en-US" w:eastAsia="zh-CN"/>
        </w:rPr>
        <w:t>投</w:t>
      </w:r>
      <w:r>
        <w:rPr>
          <w:rFonts w:ascii="宋体" w:eastAsia="宋体" w:hAnsi="宋体" w:cs="Times New Roman" w:hint="default"/>
          <w:b w:val="0"/>
          <w:bCs/>
          <w:szCs w:val="21"/>
          <w:highlight w:val="none"/>
          <w:lang w:val="en-US" w:eastAsia="zh-CN"/>
        </w:rPr>
        <w:t>标人负责提供验收测试所需的人力、专用测试设备、特殊工具、附加备件和</w:t>
      </w:r>
      <w:r>
        <w:rPr>
          <w:rFonts w:ascii="宋体" w:hAnsi="宋体" w:cs="Times New Roman" w:hint="eastAsia"/>
          <w:b w:val="0"/>
          <w:bCs/>
          <w:szCs w:val="21"/>
          <w:highlight w:val="none"/>
          <w:lang w:val="en-US" w:eastAsia="zh-CN"/>
        </w:rPr>
        <w:t>其他</w:t>
      </w:r>
      <w:r>
        <w:rPr>
          <w:rFonts w:ascii="宋体" w:eastAsia="宋体" w:hAnsi="宋体" w:cs="Times New Roman" w:hint="default"/>
          <w:b w:val="0"/>
          <w:bCs/>
          <w:szCs w:val="21"/>
          <w:highlight w:val="none"/>
          <w:lang w:val="en-US" w:eastAsia="zh-CN"/>
        </w:rPr>
        <w:t>材料。</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default"/>
          <w:b w:val="0"/>
          <w:bCs/>
          <w:szCs w:val="21"/>
          <w:highlight w:val="none"/>
        </w:rPr>
      </w:pPr>
      <w:r>
        <w:rPr>
          <w:rFonts w:ascii="宋体" w:eastAsia="宋体" w:hAnsi="宋体" w:cs="Times New Roman" w:hint="default"/>
          <w:b w:val="0"/>
          <w:bCs/>
          <w:szCs w:val="21"/>
          <w:highlight w:val="none"/>
          <w:lang w:val="en-US" w:eastAsia="zh-CN"/>
        </w:rPr>
        <w:t>验收合格的基本条件：设备、零备件及设备文档齐全；在24小时考机期间设备性能和技术参数达到合同要求；设备通过验收测试，并处于良好运行状态。</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default"/>
          <w:b w:val="0"/>
          <w:bCs/>
          <w:szCs w:val="21"/>
          <w:highlight w:val="none"/>
        </w:rPr>
      </w:pPr>
      <w:r>
        <w:rPr>
          <w:rFonts w:ascii="宋体" w:eastAsia="宋体" w:hAnsi="宋体" w:cs="Times New Roman" w:hint="default"/>
          <w:b w:val="0"/>
          <w:bCs/>
          <w:szCs w:val="21"/>
          <w:highlight w:val="none"/>
          <w:lang w:val="en-US" w:eastAsia="zh-CN"/>
        </w:rPr>
        <w:t>验收各方应在验收报告上签署确认。</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default"/>
          <w:b w:val="0"/>
          <w:bCs/>
          <w:szCs w:val="21"/>
          <w:highlight w:val="none"/>
        </w:rPr>
      </w:pPr>
      <w:r>
        <w:rPr>
          <w:rFonts w:ascii="宋体" w:eastAsia="宋体" w:hAnsi="宋体" w:cs="Times New Roman" w:hint="default"/>
          <w:b w:val="0"/>
          <w:bCs/>
          <w:szCs w:val="21"/>
          <w:highlight w:val="none"/>
          <w:lang w:val="en-US" w:eastAsia="zh-CN"/>
        </w:rPr>
        <w:t>验收所发生的一切费用由</w:t>
      </w:r>
      <w:r>
        <w:rPr>
          <w:rFonts w:ascii="宋体" w:eastAsia="宋体" w:hAnsi="宋体" w:cs="Times New Roman" w:hint="eastAsia"/>
          <w:b w:val="0"/>
          <w:bCs/>
          <w:szCs w:val="21"/>
          <w:highlight w:val="none"/>
          <w:lang w:val="en-US" w:eastAsia="zh-CN"/>
        </w:rPr>
        <w:t>投标人</w:t>
      </w:r>
      <w:r>
        <w:rPr>
          <w:rFonts w:ascii="宋体" w:eastAsia="宋体" w:hAnsi="宋体" w:cs="Times New Roman" w:hint="default"/>
          <w:b w:val="0"/>
          <w:bCs/>
          <w:szCs w:val="21"/>
          <w:highlight w:val="none"/>
          <w:lang w:val="en-US" w:eastAsia="zh-CN"/>
        </w:rPr>
        <w:t xml:space="preserve">承担。 </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eastAsia"/>
          <w:b w:val="0"/>
          <w:bCs/>
          <w:szCs w:val="21"/>
          <w:highlight w:val="none"/>
        </w:rPr>
      </w:pPr>
      <w:r>
        <w:rPr>
          <w:rFonts w:ascii="宋体" w:eastAsia="宋体" w:hAnsi="宋体" w:cs="Times New Roman" w:hint="eastAsia"/>
          <w:b w:val="0"/>
          <w:bCs/>
          <w:szCs w:val="21"/>
          <w:highlight w:val="none"/>
          <w:lang w:val="en-US" w:eastAsia="zh-CN"/>
        </w:rPr>
        <w:t>3.培训</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eastAsia"/>
          <w:bCs/>
          <w:szCs w:val="21"/>
          <w:highlight w:val="none"/>
        </w:rPr>
      </w:pPr>
      <w:r>
        <w:rPr>
          <w:rFonts w:ascii="宋体" w:eastAsia="宋体" w:hAnsi="宋体" w:cs="Times New Roman" w:hint="eastAsia"/>
          <w:bCs/>
          <w:szCs w:val="21"/>
          <w:highlight w:val="none"/>
        </w:rPr>
        <w:t>对相关人员进行培训，确保能够熟练掌握新装备使用和操作技能。培训以操作使用说明书为教材，分使用方法、操作程序、简易故障排除、保管保养方法以及使用注意事项等内容进行现场培训。</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eastAsia"/>
          <w:bCs/>
          <w:szCs w:val="21"/>
          <w:highlight w:val="none"/>
        </w:rPr>
      </w:pPr>
      <w:r>
        <w:rPr>
          <w:rFonts w:ascii="宋体" w:eastAsia="宋体" w:hAnsi="宋体" w:cs="Times New Roman" w:hint="eastAsia"/>
          <w:bCs/>
          <w:szCs w:val="21"/>
          <w:highlight w:val="none"/>
        </w:rPr>
        <w:t>安装完成后，在现场对指定的操作人员在操作、保养和维护方面进行培训，培训时间2～4小时。</w:t>
      </w:r>
    </w:p>
    <w:p>
      <w:pPr>
        <w:keepNext w:val="0"/>
        <w:keepLines w:val="0"/>
        <w:pageBreakBefore w:val="0"/>
        <w:widowControl w:val="0"/>
        <w:kinsoku/>
        <w:wordWrap/>
        <w:overflowPunct/>
        <w:topLinePunct w:val="0"/>
        <w:bidi w:val="0"/>
        <w:spacing w:line="360" w:lineRule="auto"/>
        <w:ind w:firstLine="420" w:firstLineChars="200"/>
        <w:rPr>
          <w:rFonts w:ascii="宋体" w:eastAsia="宋体" w:hAnsi="宋体" w:cs="Times New Roman" w:hint="eastAsia"/>
          <w:bCs/>
          <w:szCs w:val="21"/>
          <w:highlight w:val="none"/>
        </w:rPr>
      </w:pPr>
      <w:r>
        <w:rPr>
          <w:rFonts w:ascii="宋体" w:eastAsia="宋体" w:hAnsi="宋体" w:cs="Times New Roman" w:hint="eastAsia"/>
          <w:bCs/>
          <w:szCs w:val="21"/>
          <w:highlight w:val="none"/>
        </w:rPr>
        <w:t>现场培训目标：让作业人员掌握设备的基本组成，性能以及功能；能熟练</w:t>
      </w:r>
      <w:r>
        <w:rPr>
          <w:rFonts w:ascii="宋体" w:hAnsi="宋体" w:cs="Times New Roman" w:hint="eastAsia"/>
          <w:bCs/>
          <w:szCs w:val="21"/>
          <w:highlight w:val="none"/>
          <w:lang w:eastAsia="zh-CN"/>
        </w:rPr>
        <w:t>地</w:t>
      </w:r>
      <w:r>
        <w:rPr>
          <w:rFonts w:ascii="宋体" w:eastAsia="宋体" w:hAnsi="宋体" w:cs="Times New Roman" w:hint="eastAsia"/>
          <w:bCs/>
          <w:szCs w:val="21"/>
          <w:highlight w:val="none"/>
        </w:rPr>
        <w:t>操作，进行正常的日常维护，排除一般技术故障。</w:t>
      </w:r>
    </w:p>
    <w:p>
      <w:pPr>
        <w:spacing w:line="360" w:lineRule="auto"/>
        <w:ind w:left="0" w:firstLine="420" w:leftChars="0" w:firstLineChars="200"/>
        <w:rPr>
          <w:rFonts w:ascii="宋体" w:eastAsia="宋体" w:hAnsi="宋体" w:cs="Times New Roman" w:hint="default"/>
          <w:bCs/>
          <w:szCs w:val="21"/>
          <w:highlight w:val="none"/>
        </w:rPr>
      </w:pPr>
      <w:r>
        <w:rPr>
          <w:rFonts w:ascii="宋体" w:eastAsia="宋体" w:hAnsi="宋体" w:cs="Times New Roman" w:hint="eastAsia"/>
          <w:bCs/>
          <w:szCs w:val="21"/>
          <w:highlight w:val="none"/>
        </w:rPr>
        <w:t>培训结束后，由专业技术人员对操作人员进行实地考核，对考核不合格者继续进行培训，直至达到合格为止。</w:t>
      </w:r>
    </w:p>
    <w:p>
      <w:pPr>
        <w:spacing w:line="360" w:lineRule="auto"/>
        <w:ind w:left="0" w:firstLine="420" w:leftChars="0" w:firstLineChars="200"/>
        <w:rPr>
          <w:rFonts w:ascii="宋体" w:eastAsia="宋体" w:hAnsi="宋体" w:cs="Times New Roman" w:hint="default"/>
          <w:bCs/>
          <w:szCs w:val="21"/>
          <w:highlight w:val="none"/>
        </w:rPr>
      </w:pPr>
    </w:p>
    <w:p>
      <w:pPr>
        <w:spacing w:line="360" w:lineRule="auto"/>
        <w:ind w:left="0" w:firstLine="420" w:leftChars="0" w:firstLineChars="200"/>
        <w:rPr>
          <w:rFonts w:ascii="宋体" w:eastAsia="宋体" w:hAnsi="宋体" w:cs="Times New Roman" w:hint="default"/>
          <w:bCs/>
          <w:szCs w:val="21"/>
          <w:highlight w:val="none"/>
        </w:rPr>
      </w:pPr>
      <w:r>
        <w:rPr>
          <w:rFonts w:ascii="宋体" w:eastAsia="宋体" w:hAnsi="宋体" w:cs="Times New Roman" w:hint="default"/>
          <w:bCs/>
          <w:color w:val="000000"/>
          <w:kern w:val="2"/>
          <w:sz w:val="21"/>
          <w:szCs w:val="21"/>
          <w:highlight w:val="none"/>
          <w:lang w:val="en-US" w:eastAsia="zh-CN" w:bidi="ar-SA"/>
        </w:rPr>
        <w:t xml:space="preserve">第七章 </w:t>
      </w:r>
      <w:r>
        <w:rPr>
          <w:rFonts w:ascii="宋体" w:eastAsia="宋体" w:hAnsi="宋体" w:cs="Times New Roman" w:hint="default"/>
          <w:bCs/>
          <w:szCs w:val="21"/>
          <w:highlight w:val="none"/>
        </w:rPr>
        <w:t>采购需求 附表</w:t>
      </w:r>
    </w:p>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ascii="宋体" w:hAnsi="宋体" w:hint="eastAsia"/>
          <w:b/>
          <w:bCs/>
          <w:szCs w:val="21"/>
        </w:rPr>
      </w:pPr>
      <w:r>
        <w:rPr>
          <w:rFonts w:ascii="宋体" w:hAnsi="宋体" w:hint="eastAsia"/>
          <w:b/>
          <w:bCs/>
          <w:szCs w:val="21"/>
          <w:lang w:eastAsia="zh-CN"/>
        </w:rPr>
        <w:t>（</w:t>
      </w:r>
      <w:r>
        <w:rPr>
          <w:rFonts w:ascii="宋体" w:hAnsi="宋体" w:hint="eastAsia"/>
          <w:b/>
          <w:bCs/>
          <w:szCs w:val="21"/>
          <w:lang w:val="en-US" w:eastAsia="zh-CN"/>
        </w:rPr>
        <w:t>1）建设内容</w:t>
      </w:r>
    </w:p>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ascii="宋体" w:hAnsi="宋体" w:hint="eastAsia"/>
          <w:szCs w:val="21"/>
          <w:highlight w:val="none"/>
        </w:rPr>
      </w:pPr>
      <w:r>
        <w:rPr>
          <w:rFonts w:ascii="宋体" w:hAnsi="宋体" w:hint="eastAsia"/>
          <w:szCs w:val="21"/>
          <w:highlight w:val="none"/>
        </w:rPr>
        <w:t>采购高炮作业点安防配套标识154套，其中高炮安全射界图更新154份，高炮安全射界图地面喷绘154份（对于部分作业点高炮作业平台有损坏无法进行正常喷绘的，需要先进行修缮），公告牌154部，高炮作业点154个铭牌、616个警示标识、154个十不准制度牌；配备120套作业监控设施（移动布控球）</w:t>
      </w:r>
      <w:r>
        <w:rPr>
          <w:rFonts w:ascii="宋体" w:hAnsi="宋体" w:hint="eastAsia"/>
          <w:szCs w:val="21"/>
          <w:highlight w:val="none"/>
          <w:lang w:eastAsia="zh-CN"/>
        </w:rPr>
        <w:t>、</w:t>
      </w:r>
      <w:r>
        <w:rPr>
          <w:rFonts w:ascii="宋体" w:hAnsi="宋体" w:hint="eastAsia"/>
          <w:szCs w:val="21"/>
          <w:highlight w:val="none"/>
        </w:rPr>
        <w:t>120套对讲机（每套含两个独立对讲机）</w:t>
      </w:r>
      <w:r>
        <w:rPr>
          <w:rFonts w:ascii="宋体" w:hAnsi="宋体" w:hint="eastAsia"/>
          <w:szCs w:val="21"/>
          <w:highlight w:val="none"/>
          <w:lang w:eastAsia="zh-CN"/>
        </w:rPr>
        <w:t>，</w:t>
      </w:r>
      <w:r>
        <w:rPr>
          <w:rFonts w:ascii="宋体" w:hAnsi="宋体" w:hint="eastAsia"/>
          <w:szCs w:val="21"/>
          <w:highlight w:val="none"/>
          <w:lang w:val="en-US" w:eastAsia="zh-CN"/>
        </w:rPr>
        <w:t>实现区域入侵自动报警和作业过程实时监控</w:t>
      </w:r>
      <w:r>
        <w:rPr>
          <w:rFonts w:ascii="宋体" w:hAnsi="宋体" w:hint="eastAsia"/>
          <w:szCs w:val="21"/>
          <w:highlight w:val="none"/>
        </w:rPr>
        <w:t>。</w:t>
      </w:r>
    </w:p>
    <w:p>
      <w:pPr>
        <w:spacing w:line="360" w:lineRule="auto"/>
        <w:jc w:val="center"/>
        <w:rPr>
          <w:rFonts w:ascii="宋体" w:eastAsia="宋体" w:hAnsi="宋体" w:cs="Times New Roman" w:hint="eastAsia"/>
          <w:szCs w:val="21"/>
        </w:rPr>
      </w:pPr>
      <w:r>
        <w:rPr>
          <w:rFonts w:ascii="宋体" w:hAnsi="宋体" w:cs="Times New Roman" w:hint="eastAsia"/>
          <w:szCs w:val="21"/>
          <w:lang w:val="en-US" w:eastAsia="zh-CN"/>
        </w:rPr>
        <w:t xml:space="preserve">表1 </w:t>
      </w:r>
      <w:r>
        <w:rPr>
          <w:rFonts w:ascii="宋体" w:eastAsia="宋体" w:hAnsi="宋体" w:cs="Times New Roman" w:hint="eastAsia"/>
          <w:szCs w:val="21"/>
        </w:rPr>
        <w:t>设备需求总表</w:t>
      </w:r>
    </w:p>
    <w:tbl>
      <w:tblPr>
        <w:tblStyle w:val="TableGrid"/>
        <w:tblpPr w:leftFromText="180" w:rightFromText="180" w:vertAnchor="text" w:horzAnchor="page" w:tblpX="1509" w:tblpY="379"/>
        <w:tblOverlap w:val="never"/>
        <w:tblW w:w="946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7"/>
        <w:gridCol w:w="837"/>
        <w:gridCol w:w="1619"/>
        <w:gridCol w:w="1085"/>
        <w:gridCol w:w="1165"/>
        <w:gridCol w:w="1293"/>
        <w:gridCol w:w="1361"/>
        <w:gridCol w:w="854"/>
        <w:gridCol w:w="577"/>
      </w:tblGrid>
      <w:tr>
        <w:tblPrEx>
          <w:tblW w:w="946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677" w:type="dxa"/>
            <w:noWrap w:val="0"/>
            <w:vAlign w:val="center"/>
          </w:tcPr>
          <w:p>
            <w:pPr>
              <w:autoSpaceDE w:val="0"/>
              <w:jc w:val="center"/>
              <w:rPr>
                <w:rFonts w:ascii="宋体" w:eastAsia="宋体" w:hAnsi="宋体" w:cs="宋体" w:hint="eastAsia"/>
                <w:kern w:val="0"/>
                <w:szCs w:val="21"/>
              </w:rPr>
            </w:pPr>
            <w:r>
              <w:rPr>
                <w:rFonts w:ascii="宋体" w:eastAsia="宋体" w:hAnsi="宋体" w:cs="宋体" w:hint="eastAsia"/>
                <w:kern w:val="0"/>
                <w:szCs w:val="21"/>
              </w:rPr>
              <w:t>序号</w:t>
            </w:r>
          </w:p>
        </w:tc>
        <w:tc>
          <w:tcPr>
            <w:tcW w:w="837" w:type="dxa"/>
            <w:noWrap w:val="0"/>
            <w:vAlign w:val="center"/>
          </w:tcPr>
          <w:p>
            <w:pPr>
              <w:autoSpaceDE w:val="0"/>
              <w:jc w:val="center"/>
              <w:rPr>
                <w:rFonts w:ascii="宋体" w:eastAsia="宋体" w:hAnsi="宋体" w:cs="宋体" w:hint="default"/>
                <w:kern w:val="0"/>
                <w:szCs w:val="21"/>
              </w:rPr>
            </w:pPr>
            <w:r>
              <w:rPr>
                <w:rFonts w:ascii="宋体" w:eastAsia="宋体" w:hAnsi="宋体" w:cs="宋体" w:hint="eastAsia"/>
                <w:kern w:val="0"/>
                <w:szCs w:val="21"/>
                <w:lang w:val="en-US" w:eastAsia="zh-CN"/>
              </w:rPr>
              <w:t>项目名称</w:t>
            </w:r>
          </w:p>
        </w:tc>
        <w:tc>
          <w:tcPr>
            <w:tcW w:w="1619" w:type="dxa"/>
            <w:noWrap w:val="0"/>
            <w:vAlign w:val="center"/>
          </w:tcPr>
          <w:p>
            <w:pPr>
              <w:autoSpaceDE w:val="0"/>
              <w:jc w:val="center"/>
              <w:rPr>
                <w:rFonts w:ascii="宋体" w:eastAsia="宋体" w:hAnsi="宋体" w:cs="宋体" w:hint="eastAsia"/>
                <w:kern w:val="0"/>
                <w:szCs w:val="21"/>
              </w:rPr>
            </w:pPr>
            <w:r>
              <w:rPr>
                <w:rFonts w:ascii="宋体" w:eastAsia="宋体" w:hAnsi="宋体" w:cs="宋体" w:hint="eastAsia"/>
                <w:kern w:val="0"/>
                <w:szCs w:val="21"/>
              </w:rPr>
              <w:t>设备名称</w:t>
            </w:r>
          </w:p>
        </w:tc>
        <w:tc>
          <w:tcPr>
            <w:tcW w:w="1085" w:type="dxa"/>
            <w:noWrap w:val="0"/>
            <w:vAlign w:val="center"/>
          </w:tcPr>
          <w:p>
            <w:pPr>
              <w:autoSpaceDE w:val="0"/>
              <w:jc w:val="center"/>
              <w:rPr>
                <w:rFonts w:ascii="宋体" w:eastAsia="宋体" w:hAnsi="宋体" w:cs="宋体" w:hint="eastAsia"/>
                <w:kern w:val="0"/>
                <w:szCs w:val="21"/>
              </w:rPr>
            </w:pPr>
            <w:r>
              <w:rPr>
                <w:rFonts w:ascii="宋体" w:eastAsia="宋体" w:hAnsi="宋体" w:cs="宋体" w:hint="eastAsia"/>
                <w:kern w:val="0"/>
                <w:szCs w:val="21"/>
              </w:rPr>
              <w:t>采购数量</w:t>
            </w:r>
          </w:p>
        </w:tc>
        <w:tc>
          <w:tcPr>
            <w:tcW w:w="1165" w:type="dxa"/>
            <w:noWrap w:val="0"/>
            <w:vAlign w:val="center"/>
          </w:tcPr>
          <w:p>
            <w:pPr>
              <w:autoSpaceDE w:val="0"/>
              <w:jc w:val="center"/>
              <w:rPr>
                <w:rFonts w:ascii="宋体" w:eastAsia="宋体" w:hAnsi="宋体" w:cs="宋体" w:hint="eastAsia"/>
                <w:kern w:val="0"/>
                <w:szCs w:val="21"/>
              </w:rPr>
            </w:pPr>
            <w:r>
              <w:rPr>
                <w:rFonts w:ascii="宋体" w:eastAsia="宋体" w:hAnsi="宋体" w:cs="宋体" w:hint="eastAsia"/>
                <w:kern w:val="0"/>
                <w:szCs w:val="21"/>
              </w:rPr>
              <w:t>计量单位</w:t>
            </w:r>
          </w:p>
        </w:tc>
        <w:tc>
          <w:tcPr>
            <w:tcW w:w="1293" w:type="dxa"/>
            <w:noWrap w:val="0"/>
            <w:vAlign w:val="center"/>
          </w:tcPr>
          <w:p>
            <w:pPr>
              <w:autoSpaceDE w:val="0"/>
              <w:jc w:val="center"/>
              <w:rPr>
                <w:rFonts w:ascii="宋体" w:eastAsia="宋体" w:hAnsi="宋体" w:cs="宋体" w:hint="eastAsia"/>
                <w:kern w:val="0"/>
                <w:szCs w:val="21"/>
              </w:rPr>
            </w:pPr>
            <w:r>
              <w:rPr>
                <w:rFonts w:ascii="宋体" w:eastAsia="宋体" w:hAnsi="宋体" w:cs="宋体" w:hint="eastAsia"/>
                <w:kern w:val="0"/>
                <w:szCs w:val="21"/>
              </w:rPr>
              <w:t>采购预算（元）</w:t>
            </w:r>
          </w:p>
        </w:tc>
        <w:tc>
          <w:tcPr>
            <w:tcW w:w="1361" w:type="dxa"/>
            <w:noWrap w:val="0"/>
            <w:vAlign w:val="center"/>
          </w:tcPr>
          <w:p>
            <w:pPr>
              <w:autoSpaceDE w:val="0"/>
              <w:jc w:val="center"/>
              <w:rPr>
                <w:rFonts w:ascii="宋体" w:eastAsia="宋体" w:hAnsi="宋体" w:cs="宋体" w:hint="eastAsia"/>
                <w:kern w:val="0"/>
                <w:szCs w:val="21"/>
              </w:rPr>
            </w:pPr>
            <w:r>
              <w:rPr>
                <w:rFonts w:ascii="宋体" w:eastAsia="宋体" w:hAnsi="宋体" w:cs="宋体" w:hint="eastAsia"/>
                <w:kern w:val="0"/>
                <w:szCs w:val="21"/>
              </w:rPr>
              <w:t>采购预算（元）</w:t>
            </w:r>
          </w:p>
        </w:tc>
        <w:tc>
          <w:tcPr>
            <w:tcW w:w="854" w:type="dxa"/>
            <w:noWrap w:val="0"/>
            <w:vAlign w:val="center"/>
          </w:tcPr>
          <w:p>
            <w:pPr>
              <w:autoSpaceDE w:val="0"/>
              <w:jc w:val="center"/>
              <w:rPr>
                <w:rFonts w:ascii="宋体" w:eastAsia="宋体" w:hAnsi="宋体" w:cs="宋体" w:hint="eastAsia"/>
                <w:kern w:val="0"/>
                <w:szCs w:val="21"/>
              </w:rPr>
            </w:pPr>
            <w:r>
              <w:rPr>
                <w:rFonts w:ascii="宋体" w:eastAsia="宋体" w:hAnsi="宋体" w:cs="宋体" w:hint="eastAsia"/>
                <w:kern w:val="0"/>
                <w:szCs w:val="21"/>
              </w:rPr>
              <w:t>交货</w:t>
            </w:r>
            <w:r>
              <w:rPr>
                <w:rFonts w:ascii="宋体" w:eastAsia="宋体" w:hAnsi="宋体" w:cs="宋体" w:hint="eastAsia"/>
                <w:kern w:val="0"/>
                <w:szCs w:val="21"/>
                <w:lang w:val="en-US" w:eastAsia="zh-CN"/>
              </w:rPr>
              <w:t>期（天）</w:t>
            </w:r>
          </w:p>
        </w:tc>
        <w:tc>
          <w:tcPr>
            <w:tcW w:w="577" w:type="dxa"/>
            <w:noWrap w:val="0"/>
            <w:vAlign w:val="center"/>
          </w:tcPr>
          <w:p>
            <w:pPr>
              <w:autoSpaceDE w:val="0"/>
              <w:autoSpaceDN w:val="0"/>
              <w:adjustRightInd w:val="0"/>
              <w:spacing w:before="48"/>
              <w:ind w:right="-20"/>
              <w:jc w:val="center"/>
              <w:rPr>
                <w:rFonts w:ascii="宋体" w:eastAsia="宋体" w:hAnsi="宋体" w:cs="宋体" w:hint="eastAsia"/>
                <w:kern w:val="0"/>
                <w:szCs w:val="21"/>
              </w:rPr>
            </w:pPr>
            <w:r>
              <w:rPr>
                <w:rFonts w:ascii="宋体" w:eastAsia="宋体" w:hAnsi="宋体" w:cs="宋体" w:hint="eastAsia"/>
                <w:kern w:val="0"/>
                <w:szCs w:val="21"/>
              </w:rPr>
              <w:t>备注</w:t>
            </w:r>
          </w:p>
        </w:tc>
      </w:tr>
      <w:tr>
        <w:tblPrEx>
          <w:tblW w:w="9468" w:type="dxa"/>
          <w:tblInd w:w="0" w:type="dxa"/>
          <w:tblLayout w:type="fixed"/>
          <w:tblCellMar>
            <w:top w:w="0" w:type="dxa"/>
            <w:left w:w="108" w:type="dxa"/>
            <w:bottom w:w="0" w:type="dxa"/>
            <w:right w:w="108" w:type="dxa"/>
          </w:tblCellMar>
        </w:tblPrEx>
        <w:tc>
          <w:tcPr>
            <w:tcW w:w="677" w:type="dxa"/>
            <w:noWrap w:val="0"/>
            <w:vAlign w:val="center"/>
          </w:tcPr>
          <w:p>
            <w:pPr>
              <w:autoSpaceDE w:val="0"/>
              <w:jc w:val="center"/>
              <w:rPr>
                <w:rFonts w:ascii="宋体" w:eastAsia="宋体" w:hAnsi="宋体" w:cs="宋体" w:hint="eastAsia"/>
                <w:kern w:val="0"/>
                <w:szCs w:val="21"/>
              </w:rPr>
            </w:pPr>
            <w:r>
              <w:rPr>
                <w:rFonts w:ascii="宋体" w:eastAsia="宋体" w:hAnsi="宋体" w:cs="宋体" w:hint="eastAsia"/>
                <w:szCs w:val="22"/>
              </w:rPr>
              <w:t>1</w:t>
            </w:r>
          </w:p>
        </w:tc>
        <w:tc>
          <w:tcPr>
            <w:tcW w:w="837" w:type="dxa"/>
            <w:vMerge w:val="restart"/>
            <w:noWrap w:val="0"/>
            <w:vAlign w:val="center"/>
          </w:tcPr>
          <w:p>
            <w:pPr>
              <w:autoSpaceDE w:val="0"/>
              <w:jc w:val="center"/>
              <w:rPr>
                <w:rFonts w:ascii="宋体" w:eastAsia="宋体" w:hAnsi="宋体" w:cs="宋体" w:hint="eastAsia"/>
              </w:rPr>
            </w:pPr>
            <w:r>
              <w:rPr>
                <w:rFonts w:ascii="宋体" w:eastAsia="宋体" w:hAnsi="宋体" w:cs="宋体" w:hint="eastAsia"/>
                <w:szCs w:val="22"/>
                <w:lang w:val="en-US" w:eastAsia="zh-CN"/>
              </w:rPr>
              <w:t>火箭流动作业点视频通讯</w:t>
            </w:r>
          </w:p>
        </w:tc>
        <w:tc>
          <w:tcPr>
            <w:tcW w:w="1619" w:type="dxa"/>
            <w:noWrap w:val="0"/>
            <w:vAlign w:val="center"/>
          </w:tcPr>
          <w:p>
            <w:pPr>
              <w:autoSpaceDE w:val="0"/>
              <w:jc w:val="center"/>
              <w:rPr>
                <w:rFonts w:ascii="宋体" w:eastAsia="宋体" w:hAnsi="宋体" w:cs="宋体" w:hint="default"/>
                <w:kern w:val="0"/>
                <w:szCs w:val="21"/>
              </w:rPr>
            </w:pPr>
            <w:r>
              <w:rPr>
                <w:rFonts w:ascii="宋体" w:eastAsia="宋体" w:hAnsi="宋体" w:cs="宋体" w:hint="eastAsia"/>
                <w:szCs w:val="22"/>
                <w:lang w:val="en-US" w:eastAsia="zh-CN"/>
              </w:rPr>
              <w:t>移动布控球</w:t>
            </w:r>
          </w:p>
        </w:tc>
        <w:tc>
          <w:tcPr>
            <w:tcW w:w="1085" w:type="dxa"/>
            <w:noWrap w:val="0"/>
            <w:vAlign w:val="center"/>
          </w:tcPr>
          <w:p>
            <w:pPr>
              <w:autoSpaceDE w:val="0"/>
              <w:jc w:val="center"/>
              <w:rPr>
                <w:rFonts w:ascii="宋体" w:eastAsia="宋体" w:hAnsi="宋体" w:cs="宋体" w:hint="default"/>
              </w:rPr>
            </w:pPr>
            <w:r>
              <w:rPr>
                <w:rFonts w:ascii="宋体" w:eastAsia="宋体" w:hAnsi="宋体" w:cs="宋体" w:hint="eastAsia"/>
                <w:szCs w:val="22"/>
                <w:lang w:val="en-US" w:eastAsia="zh-CN"/>
              </w:rPr>
              <w:t>120</w:t>
            </w:r>
          </w:p>
        </w:tc>
        <w:tc>
          <w:tcPr>
            <w:tcW w:w="1165" w:type="dxa"/>
            <w:noWrap w:val="0"/>
            <w:vAlign w:val="center"/>
          </w:tcPr>
          <w:p>
            <w:pPr>
              <w:autoSpaceDE w:val="0"/>
              <w:jc w:val="center"/>
              <w:rPr>
                <w:rFonts w:ascii="宋体" w:eastAsia="宋体" w:hAnsi="宋体" w:cs="宋体" w:hint="eastAsia"/>
                <w:kern w:val="0"/>
                <w:szCs w:val="21"/>
              </w:rPr>
            </w:pPr>
            <w:r>
              <w:rPr>
                <w:rFonts w:ascii="宋体" w:eastAsia="宋体" w:hAnsi="宋体" w:cs="宋体" w:hint="eastAsia"/>
                <w:szCs w:val="22"/>
              </w:rPr>
              <w:t>台（套、个）</w:t>
            </w:r>
          </w:p>
        </w:tc>
        <w:tc>
          <w:tcPr>
            <w:tcW w:w="1293" w:type="dxa"/>
            <w:noWrap w:val="0"/>
            <w:vAlign w:val="center"/>
          </w:tcPr>
          <w:p>
            <w:pPr>
              <w:autoSpaceDE w:val="0"/>
              <w:jc w:val="center"/>
              <w:rPr>
                <w:rFonts w:ascii="宋体" w:eastAsia="宋体" w:hAnsi="宋体" w:cs="宋体" w:hint="eastAsia"/>
                <w:kern w:val="0"/>
                <w:szCs w:val="21"/>
              </w:rPr>
            </w:pPr>
            <w:r>
              <w:rPr>
                <w:rFonts w:ascii="宋体" w:eastAsia="宋体" w:hAnsi="宋体" w:cs="宋体" w:hint="eastAsia"/>
                <w:szCs w:val="22"/>
                <w:lang w:val="en-US" w:eastAsia="zh-CN"/>
              </w:rPr>
              <w:t>1440000.00</w:t>
            </w:r>
          </w:p>
        </w:tc>
        <w:tc>
          <w:tcPr>
            <w:tcW w:w="1361" w:type="dxa"/>
            <w:vMerge w:val="restart"/>
            <w:noWrap w:val="0"/>
            <w:vAlign w:val="center"/>
          </w:tcPr>
          <w:p>
            <w:pPr>
              <w:autoSpaceDE w:val="0"/>
              <w:jc w:val="center"/>
              <w:rPr>
                <w:rFonts w:ascii="宋体" w:hAnsi="宋体" w:cs="宋体" w:hint="default"/>
              </w:rPr>
            </w:pPr>
            <w:r>
              <w:rPr>
                <w:rFonts w:ascii="宋体" w:hAnsi="宋体" w:cs="宋体" w:hint="eastAsia"/>
                <w:szCs w:val="22"/>
                <w:lang w:val="en-US" w:eastAsia="zh-CN"/>
              </w:rPr>
              <w:t>1800000.00</w:t>
            </w:r>
          </w:p>
        </w:tc>
        <w:tc>
          <w:tcPr>
            <w:tcW w:w="854" w:type="dxa"/>
            <w:noWrap w:val="0"/>
            <w:vAlign w:val="center"/>
          </w:tcPr>
          <w:p>
            <w:pPr>
              <w:autoSpaceDE w:val="0"/>
              <w:jc w:val="center"/>
              <w:rPr>
                <w:rFonts w:ascii="宋体" w:eastAsia="宋体" w:hAnsi="宋体" w:cs="宋体" w:hint="default"/>
                <w:kern w:val="0"/>
                <w:szCs w:val="21"/>
              </w:rPr>
            </w:pPr>
            <w:r>
              <w:rPr>
                <w:rFonts w:ascii="宋体" w:hAnsi="宋体" w:cs="宋体" w:hint="eastAsia"/>
                <w:szCs w:val="22"/>
                <w:lang w:val="en-US" w:eastAsia="zh-CN"/>
              </w:rPr>
              <w:t>30</w:t>
            </w:r>
          </w:p>
        </w:tc>
        <w:tc>
          <w:tcPr>
            <w:tcW w:w="577" w:type="dxa"/>
            <w:noWrap w:val="0"/>
            <w:vAlign w:val="center"/>
          </w:tcPr>
          <w:p>
            <w:pPr>
              <w:autoSpaceDE w:val="0"/>
              <w:autoSpaceDN w:val="0"/>
              <w:adjustRightInd w:val="0"/>
              <w:spacing w:before="48"/>
              <w:ind w:right="-20"/>
              <w:jc w:val="center"/>
              <w:rPr>
                <w:rFonts w:ascii="宋体" w:eastAsia="宋体" w:hAnsi="宋体" w:cs="宋体" w:hint="eastAsia"/>
                <w:kern w:val="0"/>
                <w:szCs w:val="21"/>
              </w:rPr>
            </w:pPr>
          </w:p>
        </w:tc>
      </w:tr>
      <w:tr>
        <w:tblPrEx>
          <w:tblW w:w="9468" w:type="dxa"/>
          <w:tblInd w:w="0" w:type="dxa"/>
          <w:tblLayout w:type="fixed"/>
          <w:tblCellMar>
            <w:top w:w="0" w:type="dxa"/>
            <w:left w:w="108" w:type="dxa"/>
            <w:bottom w:w="0" w:type="dxa"/>
            <w:right w:w="108" w:type="dxa"/>
          </w:tblCellMar>
        </w:tblPrEx>
        <w:tc>
          <w:tcPr>
            <w:tcW w:w="677" w:type="dxa"/>
            <w:noWrap w:val="0"/>
            <w:vAlign w:val="center"/>
          </w:tcPr>
          <w:p>
            <w:pPr>
              <w:autoSpaceDE w:val="0"/>
              <w:jc w:val="center"/>
              <w:rPr>
                <w:rFonts w:ascii="宋体" w:eastAsia="宋体" w:hAnsi="宋体" w:cs="宋体" w:hint="eastAsia"/>
              </w:rPr>
            </w:pPr>
            <w:r>
              <w:rPr>
                <w:rFonts w:ascii="宋体" w:eastAsia="宋体" w:hAnsi="宋体" w:cs="宋体" w:hint="eastAsia"/>
                <w:szCs w:val="22"/>
                <w:lang w:val="en-US" w:eastAsia="zh-CN"/>
              </w:rPr>
              <w:t>2</w:t>
            </w:r>
          </w:p>
        </w:tc>
        <w:tc>
          <w:tcPr>
            <w:tcW w:w="837" w:type="dxa"/>
            <w:vMerge/>
            <w:noWrap w:val="0"/>
            <w:vAlign w:val="center"/>
          </w:tcPr>
          <w:p>
            <w:pPr>
              <w:autoSpaceDE w:val="0"/>
              <w:jc w:val="center"/>
              <w:rPr>
                <w:rFonts w:ascii="宋体" w:eastAsia="宋体" w:hAnsi="宋体" w:cs="宋体" w:hint="eastAsia"/>
              </w:rPr>
            </w:pPr>
          </w:p>
        </w:tc>
        <w:tc>
          <w:tcPr>
            <w:tcW w:w="1619" w:type="dxa"/>
            <w:noWrap w:val="0"/>
            <w:vAlign w:val="center"/>
          </w:tcPr>
          <w:p>
            <w:pPr>
              <w:autoSpaceDE w:val="0"/>
              <w:jc w:val="center"/>
              <w:rPr>
                <w:rFonts w:ascii="宋体" w:eastAsia="宋体" w:hAnsi="宋体" w:cs="宋体" w:hint="default"/>
              </w:rPr>
            </w:pPr>
            <w:r>
              <w:rPr>
                <w:rFonts w:ascii="宋体" w:eastAsia="宋体" w:hAnsi="宋体" w:cs="宋体" w:hint="eastAsia"/>
                <w:szCs w:val="22"/>
                <w:lang w:val="en-US" w:eastAsia="zh-CN"/>
              </w:rPr>
              <w:t>对讲机</w:t>
            </w:r>
          </w:p>
        </w:tc>
        <w:tc>
          <w:tcPr>
            <w:tcW w:w="1085" w:type="dxa"/>
            <w:noWrap w:val="0"/>
            <w:vAlign w:val="center"/>
          </w:tcPr>
          <w:p>
            <w:pPr>
              <w:autoSpaceDE w:val="0"/>
              <w:jc w:val="center"/>
              <w:rPr>
                <w:rFonts w:ascii="宋体" w:eastAsia="宋体" w:hAnsi="宋体" w:cs="宋体" w:hint="default"/>
              </w:rPr>
            </w:pPr>
            <w:r>
              <w:rPr>
                <w:rFonts w:ascii="宋体" w:eastAsia="宋体" w:hAnsi="宋体" w:cs="宋体" w:hint="eastAsia"/>
                <w:szCs w:val="22"/>
                <w:lang w:val="en-US" w:eastAsia="zh-CN"/>
              </w:rPr>
              <w:t>240</w:t>
            </w:r>
          </w:p>
        </w:tc>
        <w:tc>
          <w:tcPr>
            <w:tcW w:w="1165" w:type="dxa"/>
            <w:noWrap w:val="0"/>
            <w:vAlign w:val="center"/>
          </w:tcPr>
          <w:p>
            <w:pPr>
              <w:autoSpaceDE w:val="0"/>
              <w:jc w:val="center"/>
              <w:rPr>
                <w:rFonts w:ascii="宋体" w:eastAsia="宋体" w:hAnsi="宋体" w:cs="宋体" w:hint="eastAsia"/>
              </w:rPr>
            </w:pPr>
            <w:r>
              <w:rPr>
                <w:rFonts w:ascii="宋体" w:eastAsia="宋体" w:hAnsi="宋体" w:cs="宋体" w:hint="eastAsia"/>
                <w:szCs w:val="22"/>
              </w:rPr>
              <w:t>台（套、个）</w:t>
            </w:r>
          </w:p>
        </w:tc>
        <w:tc>
          <w:tcPr>
            <w:tcW w:w="1293" w:type="dxa"/>
            <w:noWrap w:val="0"/>
            <w:vAlign w:val="center"/>
          </w:tcPr>
          <w:p>
            <w:pPr>
              <w:autoSpaceDE w:val="0"/>
              <w:jc w:val="center"/>
              <w:rPr>
                <w:rFonts w:ascii="宋体" w:eastAsia="宋体" w:hAnsi="宋体" w:cs="宋体" w:hint="default"/>
              </w:rPr>
            </w:pPr>
            <w:r>
              <w:rPr>
                <w:rFonts w:ascii="宋体" w:eastAsia="宋体" w:hAnsi="宋体" w:cs="宋体" w:hint="eastAsia"/>
                <w:szCs w:val="22"/>
                <w:lang w:val="en-US" w:eastAsia="zh-CN"/>
              </w:rPr>
              <w:t>360000.00</w:t>
            </w:r>
          </w:p>
        </w:tc>
        <w:tc>
          <w:tcPr>
            <w:tcW w:w="1361" w:type="dxa"/>
            <w:vMerge/>
            <w:noWrap w:val="0"/>
            <w:vAlign w:val="center"/>
          </w:tcPr>
          <w:p>
            <w:pPr>
              <w:autoSpaceDE w:val="0"/>
              <w:jc w:val="center"/>
              <w:rPr>
                <w:rFonts w:ascii="宋体" w:hAnsi="宋体" w:cs="宋体" w:hint="eastAsia"/>
              </w:rPr>
            </w:pPr>
          </w:p>
        </w:tc>
        <w:tc>
          <w:tcPr>
            <w:tcW w:w="854" w:type="dxa"/>
            <w:noWrap w:val="0"/>
            <w:vAlign w:val="center"/>
          </w:tcPr>
          <w:p>
            <w:pPr>
              <w:autoSpaceDE w:val="0"/>
              <w:jc w:val="center"/>
              <w:rPr>
                <w:rFonts w:ascii="宋体" w:eastAsia="宋体" w:hAnsi="宋体" w:cs="宋体" w:hint="default"/>
              </w:rPr>
            </w:pPr>
            <w:r>
              <w:rPr>
                <w:rFonts w:ascii="宋体" w:hAnsi="宋体" w:cs="宋体" w:hint="eastAsia"/>
                <w:szCs w:val="22"/>
                <w:lang w:val="en-US" w:eastAsia="zh-CN"/>
              </w:rPr>
              <w:t>30</w:t>
            </w:r>
          </w:p>
        </w:tc>
        <w:tc>
          <w:tcPr>
            <w:tcW w:w="577" w:type="dxa"/>
            <w:noWrap w:val="0"/>
            <w:vAlign w:val="center"/>
          </w:tcPr>
          <w:p>
            <w:pPr>
              <w:autoSpaceDE w:val="0"/>
              <w:autoSpaceDN w:val="0"/>
              <w:adjustRightInd w:val="0"/>
              <w:spacing w:before="48"/>
              <w:ind w:right="-20"/>
              <w:jc w:val="center"/>
              <w:rPr>
                <w:rFonts w:ascii="宋体" w:eastAsia="宋体" w:hAnsi="宋体" w:cs="宋体" w:hint="eastAsia"/>
                <w:kern w:val="0"/>
                <w:szCs w:val="21"/>
              </w:rPr>
            </w:pPr>
          </w:p>
        </w:tc>
      </w:tr>
      <w:tr>
        <w:tblPrEx>
          <w:tblW w:w="9468" w:type="dxa"/>
          <w:tblInd w:w="0" w:type="dxa"/>
          <w:tblLayout w:type="fixed"/>
          <w:tblCellMar>
            <w:top w:w="0" w:type="dxa"/>
            <w:left w:w="108" w:type="dxa"/>
            <w:bottom w:w="0" w:type="dxa"/>
            <w:right w:w="108" w:type="dxa"/>
          </w:tblCellMar>
        </w:tblPrEx>
        <w:tc>
          <w:tcPr>
            <w:tcW w:w="677" w:type="dxa"/>
            <w:noWrap w:val="0"/>
            <w:vAlign w:val="center"/>
          </w:tcPr>
          <w:p>
            <w:pPr>
              <w:autoSpaceDE w:val="0"/>
              <w:jc w:val="center"/>
              <w:rPr>
                <w:rFonts w:ascii="宋体" w:eastAsia="宋体" w:hAnsi="宋体" w:cs="宋体" w:hint="default"/>
              </w:rPr>
            </w:pPr>
            <w:r>
              <w:rPr>
                <w:rFonts w:ascii="宋体" w:hAnsi="宋体" w:cs="宋体" w:hint="eastAsia"/>
                <w:szCs w:val="22"/>
                <w:lang w:val="en-US" w:eastAsia="zh-CN"/>
              </w:rPr>
              <w:t>3</w:t>
            </w:r>
          </w:p>
        </w:tc>
        <w:tc>
          <w:tcPr>
            <w:tcW w:w="837" w:type="dxa"/>
            <w:vMerge w:val="restart"/>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ascii="Times New Roman" w:eastAsia="宋体" w:hAnsi="Times New Roman" w:cs="Times New Roman" w:hint="default"/>
                <w:b w:val="0"/>
                <w:bCs/>
                <w:szCs w:val="21"/>
              </w:rPr>
            </w:pPr>
            <w:r>
              <w:rPr>
                <w:rFonts w:ascii="Times New Roman" w:eastAsia="宋体" w:hAnsi="Times New Roman" w:cs="Times New Roman" w:hint="default"/>
                <w:b w:val="0"/>
                <w:bCs/>
                <w:kern w:val="2"/>
                <w:sz w:val="21"/>
                <w:szCs w:val="21"/>
                <w:lang w:val="en-US" w:eastAsia="zh-CN" w:bidi="ar-SA"/>
              </w:rPr>
              <w:t>高炮作业点安防配套标识</w:t>
            </w:r>
          </w:p>
        </w:tc>
        <w:tc>
          <w:tcPr>
            <w:tcW w:w="1619"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rPr>
            </w:pPr>
            <w:r>
              <w:rPr>
                <w:rFonts w:ascii="Times New Roman" w:eastAsia="宋体" w:hAnsi="Times New Roman" w:cs="Times New Roman" w:hint="default"/>
                <w:b w:val="0"/>
                <w:bCs/>
                <w:kern w:val="2"/>
                <w:sz w:val="21"/>
                <w:szCs w:val="21"/>
                <w:lang w:val="en-US" w:eastAsia="zh-CN" w:bidi="ar-SA"/>
              </w:rPr>
              <w:t>高炮安全射界图更新</w:t>
            </w:r>
          </w:p>
        </w:tc>
        <w:tc>
          <w:tcPr>
            <w:tcW w:w="1085" w:type="dxa"/>
            <w:noWrap w:val="0"/>
            <w:vAlign w:val="center"/>
          </w:tcPr>
          <w:p>
            <w:pPr>
              <w:autoSpaceDE w:val="0"/>
              <w:jc w:val="center"/>
              <w:rPr>
                <w:rFonts w:ascii="宋体" w:eastAsia="宋体" w:hAnsi="宋体" w:cs="宋体" w:hint="eastAsia"/>
              </w:rPr>
            </w:pPr>
            <w:r>
              <w:rPr>
                <w:rFonts w:ascii="宋体" w:eastAsia="宋体" w:hAnsi="宋体" w:cs="宋体" w:hint="eastAsia"/>
                <w:szCs w:val="22"/>
                <w:lang w:val="en-US" w:eastAsia="zh-CN"/>
              </w:rPr>
              <w:t>154</w:t>
            </w:r>
          </w:p>
        </w:tc>
        <w:tc>
          <w:tcPr>
            <w:tcW w:w="1165" w:type="dxa"/>
            <w:shd w:val="clear" w:color="auto" w:fill="auto"/>
            <w:noWrap w:val="0"/>
            <w:vAlign w:val="center"/>
          </w:tcPr>
          <w:p>
            <w:pPr>
              <w:autoSpaceDE w:val="0"/>
              <w:jc w:val="center"/>
              <w:rPr>
                <w:rFonts w:ascii="宋体" w:eastAsia="宋体" w:hAnsi="宋体" w:cs="宋体" w:hint="eastAsia"/>
                <w:kern w:val="0"/>
                <w:szCs w:val="21"/>
              </w:rPr>
            </w:pPr>
            <w:r>
              <w:rPr>
                <w:rFonts w:ascii="宋体" w:eastAsia="宋体" w:hAnsi="宋体" w:cs="宋体" w:hint="eastAsia"/>
                <w:szCs w:val="22"/>
              </w:rPr>
              <w:t>台（套、个）</w:t>
            </w:r>
          </w:p>
        </w:tc>
        <w:tc>
          <w:tcPr>
            <w:tcW w:w="1293" w:type="dxa"/>
            <w:noWrap w:val="0"/>
            <w:vAlign w:val="center"/>
          </w:tcPr>
          <w:p>
            <w:pPr>
              <w:autoSpaceDE w:val="0"/>
              <w:jc w:val="center"/>
              <w:rPr>
                <w:rFonts w:ascii="宋体" w:eastAsia="宋体" w:hAnsi="宋体" w:cs="宋体" w:hint="default"/>
              </w:rPr>
            </w:pPr>
            <w:r>
              <w:rPr>
                <w:rFonts w:ascii="宋体" w:hAnsi="宋体" w:cs="宋体" w:hint="eastAsia"/>
                <w:szCs w:val="22"/>
                <w:lang w:val="en-US" w:eastAsia="zh-CN"/>
              </w:rPr>
              <w:t>308000.00</w:t>
            </w:r>
          </w:p>
        </w:tc>
        <w:tc>
          <w:tcPr>
            <w:tcW w:w="1361" w:type="dxa"/>
            <w:vMerge w:val="restart"/>
            <w:noWrap w:val="0"/>
            <w:vAlign w:val="center"/>
          </w:tcPr>
          <w:p>
            <w:pPr>
              <w:autoSpaceDE w:val="0"/>
              <w:jc w:val="center"/>
              <w:rPr>
                <w:rFonts w:ascii="宋体" w:hAnsi="宋体" w:cs="宋体" w:hint="default"/>
              </w:rPr>
            </w:pPr>
            <w:r>
              <w:rPr>
                <w:rFonts w:ascii="宋体" w:hAnsi="宋体" w:cs="宋体" w:hint="eastAsia"/>
                <w:szCs w:val="22"/>
                <w:lang w:val="en-US" w:eastAsia="zh-CN"/>
              </w:rPr>
              <w:t>1540000.00</w:t>
            </w:r>
          </w:p>
        </w:tc>
        <w:tc>
          <w:tcPr>
            <w:tcW w:w="854" w:type="dxa"/>
            <w:noWrap w:val="0"/>
            <w:vAlign w:val="center"/>
          </w:tcPr>
          <w:p>
            <w:pPr>
              <w:autoSpaceDE w:val="0"/>
              <w:jc w:val="center"/>
              <w:rPr>
                <w:rFonts w:ascii="宋体" w:hAnsi="宋体" w:cs="宋体" w:hint="default"/>
              </w:rPr>
            </w:pPr>
            <w:r>
              <w:rPr>
                <w:rFonts w:ascii="宋体" w:hAnsi="宋体" w:cs="宋体" w:hint="eastAsia"/>
                <w:szCs w:val="22"/>
                <w:lang w:val="en-US" w:eastAsia="zh-CN"/>
              </w:rPr>
              <w:t>60</w:t>
            </w:r>
          </w:p>
        </w:tc>
        <w:tc>
          <w:tcPr>
            <w:tcW w:w="577" w:type="dxa"/>
            <w:noWrap w:val="0"/>
            <w:vAlign w:val="center"/>
          </w:tcPr>
          <w:p>
            <w:pPr>
              <w:autoSpaceDE w:val="0"/>
              <w:autoSpaceDN w:val="0"/>
              <w:adjustRightInd w:val="0"/>
              <w:spacing w:before="48"/>
              <w:ind w:right="-20"/>
              <w:jc w:val="center"/>
              <w:rPr>
                <w:rFonts w:ascii="宋体" w:eastAsia="宋体" w:hAnsi="宋体" w:cs="宋体" w:hint="eastAsia"/>
                <w:kern w:val="0"/>
                <w:szCs w:val="21"/>
              </w:rPr>
            </w:pPr>
          </w:p>
        </w:tc>
      </w:tr>
      <w:tr>
        <w:tblPrEx>
          <w:tblW w:w="9468" w:type="dxa"/>
          <w:tblInd w:w="0" w:type="dxa"/>
          <w:tblLayout w:type="fixed"/>
          <w:tblCellMar>
            <w:top w:w="0" w:type="dxa"/>
            <w:left w:w="108" w:type="dxa"/>
            <w:bottom w:w="0" w:type="dxa"/>
            <w:right w:w="108" w:type="dxa"/>
          </w:tblCellMar>
        </w:tblPrEx>
        <w:tc>
          <w:tcPr>
            <w:tcW w:w="677" w:type="dxa"/>
            <w:noWrap w:val="0"/>
            <w:vAlign w:val="center"/>
          </w:tcPr>
          <w:p>
            <w:pPr>
              <w:autoSpaceDE w:val="0"/>
              <w:jc w:val="center"/>
              <w:rPr>
                <w:rFonts w:ascii="宋体" w:eastAsia="宋体" w:hAnsi="宋体" w:cs="宋体" w:hint="default"/>
              </w:rPr>
            </w:pPr>
            <w:r>
              <w:rPr>
                <w:rFonts w:ascii="宋体" w:hAnsi="宋体" w:cs="宋体" w:hint="eastAsia"/>
                <w:szCs w:val="22"/>
                <w:lang w:val="en-US" w:eastAsia="zh-CN"/>
              </w:rPr>
              <w:t>4</w:t>
            </w:r>
          </w:p>
        </w:tc>
        <w:tc>
          <w:tcPr>
            <w:tcW w:w="837" w:type="dxa"/>
            <w:vMerge/>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ascii="Times New Roman" w:eastAsia="宋体" w:hAnsi="Times New Roman" w:cs="Times New Roman" w:hint="default"/>
                <w:b w:val="0"/>
                <w:bCs/>
                <w:szCs w:val="21"/>
              </w:rPr>
            </w:pPr>
          </w:p>
        </w:tc>
        <w:tc>
          <w:tcPr>
            <w:tcW w:w="1619"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rPr>
            </w:pPr>
            <w:r>
              <w:rPr>
                <w:rFonts w:ascii="Times New Roman" w:eastAsia="宋体" w:hAnsi="Times New Roman" w:cs="Times New Roman" w:hint="default"/>
                <w:b w:val="0"/>
                <w:bCs/>
                <w:kern w:val="2"/>
                <w:sz w:val="21"/>
                <w:szCs w:val="21"/>
                <w:lang w:val="en-US" w:eastAsia="zh-CN" w:bidi="ar-SA"/>
              </w:rPr>
              <w:t>高炮安全射界图地面喷绘</w:t>
            </w:r>
          </w:p>
        </w:tc>
        <w:tc>
          <w:tcPr>
            <w:tcW w:w="1085" w:type="dxa"/>
            <w:noWrap w:val="0"/>
            <w:vAlign w:val="center"/>
          </w:tcPr>
          <w:p>
            <w:pPr>
              <w:autoSpaceDE w:val="0"/>
              <w:jc w:val="center"/>
              <w:rPr>
                <w:rFonts w:ascii="宋体" w:eastAsia="宋体" w:hAnsi="宋体" w:cs="宋体" w:hint="eastAsia"/>
              </w:rPr>
            </w:pPr>
            <w:r>
              <w:rPr>
                <w:rFonts w:ascii="宋体" w:eastAsia="宋体" w:hAnsi="宋体" w:cs="宋体" w:hint="eastAsia"/>
                <w:szCs w:val="22"/>
                <w:lang w:val="en-US" w:eastAsia="zh-CN"/>
              </w:rPr>
              <w:t>154</w:t>
            </w:r>
          </w:p>
        </w:tc>
        <w:tc>
          <w:tcPr>
            <w:tcW w:w="1165" w:type="dxa"/>
            <w:shd w:val="clear" w:color="auto" w:fill="auto"/>
            <w:noWrap w:val="0"/>
            <w:vAlign w:val="center"/>
          </w:tcPr>
          <w:p>
            <w:pPr>
              <w:autoSpaceDE w:val="0"/>
              <w:jc w:val="center"/>
              <w:rPr>
                <w:rFonts w:ascii="宋体" w:eastAsia="宋体" w:hAnsi="宋体" w:cs="宋体" w:hint="eastAsia"/>
              </w:rPr>
            </w:pPr>
            <w:r>
              <w:rPr>
                <w:rFonts w:ascii="宋体" w:eastAsia="宋体" w:hAnsi="宋体" w:cs="宋体" w:hint="eastAsia"/>
                <w:szCs w:val="22"/>
              </w:rPr>
              <w:t>台（套、个）</w:t>
            </w:r>
          </w:p>
        </w:tc>
        <w:tc>
          <w:tcPr>
            <w:tcW w:w="1293" w:type="dxa"/>
            <w:noWrap w:val="0"/>
            <w:vAlign w:val="center"/>
          </w:tcPr>
          <w:p>
            <w:pPr>
              <w:autoSpaceDE w:val="0"/>
              <w:jc w:val="center"/>
              <w:rPr>
                <w:rFonts w:ascii="宋体" w:eastAsia="宋体" w:hAnsi="宋体" w:cs="宋体" w:hint="default"/>
              </w:rPr>
            </w:pPr>
            <w:r>
              <w:rPr>
                <w:rFonts w:ascii="宋体" w:hAnsi="宋体" w:cs="宋体" w:hint="eastAsia"/>
                <w:szCs w:val="22"/>
                <w:lang w:val="en-US" w:eastAsia="zh-CN"/>
              </w:rPr>
              <w:t>308000.00</w:t>
            </w:r>
          </w:p>
        </w:tc>
        <w:tc>
          <w:tcPr>
            <w:tcW w:w="1361" w:type="dxa"/>
            <w:vMerge/>
            <w:noWrap w:val="0"/>
            <w:vAlign w:val="center"/>
          </w:tcPr>
          <w:p>
            <w:pPr>
              <w:autoSpaceDE w:val="0"/>
              <w:jc w:val="center"/>
              <w:rPr>
                <w:rFonts w:ascii="宋体" w:hAnsi="宋体" w:cs="宋体" w:hint="eastAsia"/>
              </w:rPr>
            </w:pPr>
          </w:p>
        </w:tc>
        <w:tc>
          <w:tcPr>
            <w:tcW w:w="854" w:type="dxa"/>
            <w:noWrap w:val="0"/>
            <w:vAlign w:val="center"/>
          </w:tcPr>
          <w:p>
            <w:pPr>
              <w:autoSpaceDE w:val="0"/>
              <w:jc w:val="center"/>
              <w:rPr>
                <w:rFonts w:ascii="宋体" w:hAnsi="宋体" w:cs="宋体" w:hint="default"/>
              </w:rPr>
            </w:pPr>
            <w:r>
              <w:rPr>
                <w:rFonts w:ascii="宋体" w:hAnsi="宋体" w:cs="宋体" w:hint="eastAsia"/>
                <w:szCs w:val="22"/>
                <w:lang w:val="en-US" w:eastAsia="zh-CN"/>
              </w:rPr>
              <w:t>60</w:t>
            </w:r>
          </w:p>
        </w:tc>
        <w:tc>
          <w:tcPr>
            <w:tcW w:w="577" w:type="dxa"/>
            <w:noWrap w:val="0"/>
            <w:vAlign w:val="center"/>
          </w:tcPr>
          <w:p>
            <w:pPr>
              <w:autoSpaceDE w:val="0"/>
              <w:autoSpaceDN w:val="0"/>
              <w:adjustRightInd w:val="0"/>
              <w:spacing w:before="48"/>
              <w:ind w:right="-20"/>
              <w:jc w:val="center"/>
              <w:rPr>
                <w:rFonts w:ascii="宋体" w:eastAsia="宋体" w:hAnsi="宋体" w:cs="宋体" w:hint="eastAsia"/>
                <w:kern w:val="0"/>
                <w:szCs w:val="21"/>
              </w:rPr>
            </w:pPr>
          </w:p>
        </w:tc>
      </w:tr>
      <w:tr>
        <w:tblPrEx>
          <w:tblW w:w="9468" w:type="dxa"/>
          <w:tblInd w:w="0" w:type="dxa"/>
          <w:tblLayout w:type="fixed"/>
          <w:tblCellMar>
            <w:top w:w="0" w:type="dxa"/>
            <w:left w:w="108" w:type="dxa"/>
            <w:bottom w:w="0" w:type="dxa"/>
            <w:right w:w="108" w:type="dxa"/>
          </w:tblCellMar>
        </w:tblPrEx>
        <w:tc>
          <w:tcPr>
            <w:tcW w:w="677" w:type="dxa"/>
            <w:noWrap w:val="0"/>
            <w:vAlign w:val="center"/>
          </w:tcPr>
          <w:p>
            <w:pPr>
              <w:autoSpaceDE w:val="0"/>
              <w:jc w:val="center"/>
              <w:rPr>
                <w:rFonts w:ascii="宋体" w:eastAsia="宋体" w:hAnsi="宋体" w:cs="宋体" w:hint="default"/>
              </w:rPr>
            </w:pPr>
            <w:r>
              <w:rPr>
                <w:rFonts w:ascii="宋体" w:hAnsi="宋体" w:cs="宋体" w:hint="eastAsia"/>
                <w:szCs w:val="22"/>
                <w:lang w:val="en-US" w:eastAsia="zh-CN"/>
              </w:rPr>
              <w:t>5</w:t>
            </w:r>
          </w:p>
        </w:tc>
        <w:tc>
          <w:tcPr>
            <w:tcW w:w="837" w:type="dxa"/>
            <w:vMerge/>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ascii="Times New Roman" w:eastAsia="宋体" w:hAnsi="Times New Roman" w:cs="Times New Roman" w:hint="default"/>
                <w:b w:val="0"/>
                <w:bCs/>
                <w:szCs w:val="21"/>
              </w:rPr>
            </w:pPr>
          </w:p>
        </w:tc>
        <w:tc>
          <w:tcPr>
            <w:tcW w:w="1619"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rPr>
            </w:pPr>
            <w:r>
              <w:rPr>
                <w:rFonts w:ascii="Times New Roman" w:eastAsia="宋体" w:hAnsi="Times New Roman" w:cs="Times New Roman" w:hint="default"/>
                <w:b w:val="0"/>
                <w:bCs/>
                <w:kern w:val="2"/>
                <w:sz w:val="21"/>
                <w:szCs w:val="21"/>
                <w:lang w:val="en-US" w:eastAsia="zh-CN" w:bidi="ar-SA"/>
              </w:rPr>
              <w:t>公告牌</w:t>
            </w:r>
          </w:p>
        </w:tc>
        <w:tc>
          <w:tcPr>
            <w:tcW w:w="1085" w:type="dxa"/>
            <w:noWrap w:val="0"/>
            <w:vAlign w:val="center"/>
          </w:tcPr>
          <w:p>
            <w:pPr>
              <w:autoSpaceDE w:val="0"/>
              <w:jc w:val="center"/>
              <w:rPr>
                <w:rFonts w:ascii="宋体" w:eastAsia="宋体" w:hAnsi="宋体" w:cs="宋体" w:hint="eastAsia"/>
              </w:rPr>
            </w:pPr>
            <w:r>
              <w:rPr>
                <w:rFonts w:ascii="宋体" w:eastAsia="宋体" w:hAnsi="宋体" w:cs="宋体" w:hint="eastAsia"/>
                <w:szCs w:val="22"/>
                <w:lang w:val="en-US" w:eastAsia="zh-CN"/>
              </w:rPr>
              <w:t>154</w:t>
            </w:r>
          </w:p>
        </w:tc>
        <w:tc>
          <w:tcPr>
            <w:tcW w:w="1165" w:type="dxa"/>
            <w:shd w:val="clear" w:color="auto" w:fill="auto"/>
            <w:noWrap w:val="0"/>
            <w:vAlign w:val="center"/>
          </w:tcPr>
          <w:p>
            <w:pPr>
              <w:autoSpaceDE w:val="0"/>
              <w:jc w:val="center"/>
              <w:rPr>
                <w:rFonts w:ascii="宋体" w:eastAsia="宋体" w:hAnsi="宋体" w:cs="宋体" w:hint="eastAsia"/>
                <w:kern w:val="0"/>
                <w:szCs w:val="21"/>
              </w:rPr>
            </w:pPr>
            <w:r>
              <w:rPr>
                <w:rFonts w:ascii="宋体" w:eastAsia="宋体" w:hAnsi="宋体" w:cs="宋体" w:hint="eastAsia"/>
                <w:szCs w:val="22"/>
              </w:rPr>
              <w:t>台（套、个）</w:t>
            </w:r>
          </w:p>
        </w:tc>
        <w:tc>
          <w:tcPr>
            <w:tcW w:w="1293" w:type="dxa"/>
            <w:noWrap w:val="0"/>
            <w:vAlign w:val="center"/>
          </w:tcPr>
          <w:p>
            <w:pPr>
              <w:autoSpaceDE w:val="0"/>
              <w:jc w:val="center"/>
              <w:rPr>
                <w:rFonts w:ascii="宋体" w:eastAsia="宋体" w:hAnsi="宋体" w:cs="宋体" w:hint="default"/>
              </w:rPr>
            </w:pPr>
            <w:r>
              <w:rPr>
                <w:rFonts w:ascii="宋体" w:hAnsi="宋体" w:cs="宋体" w:hint="eastAsia"/>
                <w:szCs w:val="22"/>
                <w:lang w:val="en-US" w:eastAsia="zh-CN"/>
              </w:rPr>
              <w:t>770000.00</w:t>
            </w:r>
          </w:p>
        </w:tc>
        <w:tc>
          <w:tcPr>
            <w:tcW w:w="1361" w:type="dxa"/>
            <w:vMerge/>
            <w:noWrap w:val="0"/>
            <w:vAlign w:val="center"/>
          </w:tcPr>
          <w:p>
            <w:pPr>
              <w:autoSpaceDE w:val="0"/>
              <w:jc w:val="center"/>
              <w:rPr>
                <w:rFonts w:ascii="宋体" w:hAnsi="宋体" w:cs="宋体" w:hint="eastAsia"/>
              </w:rPr>
            </w:pPr>
          </w:p>
        </w:tc>
        <w:tc>
          <w:tcPr>
            <w:tcW w:w="854" w:type="dxa"/>
            <w:noWrap w:val="0"/>
            <w:vAlign w:val="center"/>
          </w:tcPr>
          <w:p>
            <w:pPr>
              <w:autoSpaceDE w:val="0"/>
              <w:jc w:val="center"/>
              <w:rPr>
                <w:rFonts w:ascii="宋体" w:hAnsi="宋体" w:cs="宋体" w:hint="default"/>
              </w:rPr>
            </w:pPr>
            <w:r>
              <w:rPr>
                <w:rFonts w:ascii="宋体" w:hAnsi="宋体" w:cs="宋体" w:hint="eastAsia"/>
                <w:szCs w:val="22"/>
                <w:lang w:val="en-US" w:eastAsia="zh-CN"/>
              </w:rPr>
              <w:t>60</w:t>
            </w:r>
          </w:p>
        </w:tc>
        <w:tc>
          <w:tcPr>
            <w:tcW w:w="577" w:type="dxa"/>
            <w:noWrap w:val="0"/>
            <w:vAlign w:val="center"/>
          </w:tcPr>
          <w:p>
            <w:pPr>
              <w:autoSpaceDE w:val="0"/>
              <w:autoSpaceDN w:val="0"/>
              <w:adjustRightInd w:val="0"/>
              <w:spacing w:before="48"/>
              <w:ind w:right="-20"/>
              <w:jc w:val="center"/>
              <w:rPr>
                <w:rFonts w:ascii="宋体" w:eastAsia="宋体" w:hAnsi="宋体" w:cs="宋体" w:hint="eastAsia"/>
                <w:kern w:val="0"/>
                <w:szCs w:val="21"/>
              </w:rPr>
            </w:pPr>
          </w:p>
        </w:tc>
      </w:tr>
      <w:tr>
        <w:tblPrEx>
          <w:tblW w:w="9468" w:type="dxa"/>
          <w:tblInd w:w="0" w:type="dxa"/>
          <w:tblLayout w:type="fixed"/>
          <w:tblCellMar>
            <w:top w:w="0" w:type="dxa"/>
            <w:left w:w="108" w:type="dxa"/>
            <w:bottom w:w="0" w:type="dxa"/>
            <w:right w:w="108" w:type="dxa"/>
          </w:tblCellMar>
        </w:tblPrEx>
        <w:tc>
          <w:tcPr>
            <w:tcW w:w="677" w:type="dxa"/>
            <w:noWrap w:val="0"/>
            <w:vAlign w:val="center"/>
          </w:tcPr>
          <w:p>
            <w:pPr>
              <w:autoSpaceDE w:val="0"/>
              <w:jc w:val="center"/>
              <w:rPr>
                <w:rFonts w:ascii="宋体" w:eastAsia="宋体" w:hAnsi="宋体" w:cs="宋体" w:hint="default"/>
              </w:rPr>
            </w:pPr>
            <w:r>
              <w:rPr>
                <w:rFonts w:ascii="宋体" w:hAnsi="宋体" w:cs="宋体" w:hint="eastAsia"/>
                <w:szCs w:val="22"/>
                <w:lang w:val="en-US" w:eastAsia="zh-CN"/>
              </w:rPr>
              <w:t>6</w:t>
            </w:r>
          </w:p>
        </w:tc>
        <w:tc>
          <w:tcPr>
            <w:tcW w:w="837" w:type="dxa"/>
            <w:vMerge/>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ascii="Times New Roman" w:eastAsia="宋体" w:hAnsi="Times New Roman" w:cs="Times New Roman" w:hint="default"/>
                <w:b w:val="0"/>
                <w:bCs/>
                <w:szCs w:val="21"/>
              </w:rPr>
            </w:pPr>
          </w:p>
        </w:tc>
        <w:tc>
          <w:tcPr>
            <w:tcW w:w="1619"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rPr>
            </w:pPr>
            <w:r>
              <w:rPr>
                <w:rFonts w:ascii="Times New Roman" w:eastAsia="宋体" w:hAnsi="Times New Roman" w:cs="Times New Roman" w:hint="default"/>
                <w:b w:val="0"/>
                <w:bCs/>
                <w:kern w:val="2"/>
                <w:sz w:val="21"/>
                <w:szCs w:val="21"/>
                <w:lang w:val="en-US" w:eastAsia="zh-CN" w:bidi="ar-SA"/>
              </w:rPr>
              <w:t>高炮作业点1个铭牌、4个警示标识、1个十不准制度牌</w:t>
            </w:r>
          </w:p>
        </w:tc>
        <w:tc>
          <w:tcPr>
            <w:tcW w:w="1085" w:type="dxa"/>
            <w:noWrap w:val="0"/>
            <w:vAlign w:val="center"/>
          </w:tcPr>
          <w:p>
            <w:pPr>
              <w:autoSpaceDE w:val="0"/>
              <w:jc w:val="center"/>
              <w:rPr>
                <w:rFonts w:ascii="宋体" w:eastAsia="宋体" w:hAnsi="宋体" w:cs="宋体" w:hint="eastAsia"/>
              </w:rPr>
            </w:pPr>
            <w:r>
              <w:rPr>
                <w:rFonts w:ascii="宋体" w:eastAsia="宋体" w:hAnsi="宋体" w:cs="宋体" w:hint="eastAsia"/>
                <w:szCs w:val="22"/>
                <w:lang w:val="en-US" w:eastAsia="zh-CN"/>
              </w:rPr>
              <w:t>154</w:t>
            </w:r>
          </w:p>
        </w:tc>
        <w:tc>
          <w:tcPr>
            <w:tcW w:w="1165" w:type="dxa"/>
            <w:shd w:val="clear" w:color="auto" w:fill="auto"/>
            <w:noWrap w:val="0"/>
            <w:vAlign w:val="center"/>
          </w:tcPr>
          <w:p>
            <w:pPr>
              <w:autoSpaceDE w:val="0"/>
              <w:jc w:val="center"/>
              <w:rPr>
                <w:rFonts w:ascii="宋体" w:eastAsia="宋体" w:hAnsi="宋体" w:cs="宋体" w:hint="eastAsia"/>
              </w:rPr>
            </w:pPr>
            <w:r>
              <w:rPr>
                <w:rFonts w:ascii="宋体" w:eastAsia="宋体" w:hAnsi="宋体" w:cs="宋体" w:hint="eastAsia"/>
                <w:szCs w:val="22"/>
              </w:rPr>
              <w:t>台（套、个）</w:t>
            </w:r>
          </w:p>
        </w:tc>
        <w:tc>
          <w:tcPr>
            <w:tcW w:w="1293" w:type="dxa"/>
            <w:noWrap w:val="0"/>
            <w:vAlign w:val="center"/>
          </w:tcPr>
          <w:p>
            <w:pPr>
              <w:autoSpaceDE w:val="0"/>
              <w:jc w:val="center"/>
              <w:rPr>
                <w:rFonts w:ascii="宋体" w:eastAsia="宋体" w:hAnsi="宋体" w:cs="宋体" w:hint="default"/>
              </w:rPr>
            </w:pPr>
            <w:r>
              <w:rPr>
                <w:rFonts w:ascii="宋体" w:hAnsi="宋体" w:cs="宋体" w:hint="eastAsia"/>
                <w:szCs w:val="22"/>
                <w:lang w:val="en-US" w:eastAsia="zh-CN"/>
              </w:rPr>
              <w:t>154000.00</w:t>
            </w:r>
          </w:p>
        </w:tc>
        <w:tc>
          <w:tcPr>
            <w:tcW w:w="1361" w:type="dxa"/>
            <w:vMerge/>
            <w:noWrap w:val="0"/>
            <w:vAlign w:val="center"/>
          </w:tcPr>
          <w:p>
            <w:pPr>
              <w:autoSpaceDE w:val="0"/>
              <w:jc w:val="center"/>
              <w:rPr>
                <w:rFonts w:ascii="宋体" w:hAnsi="宋体" w:cs="宋体" w:hint="eastAsia"/>
              </w:rPr>
            </w:pPr>
          </w:p>
        </w:tc>
        <w:tc>
          <w:tcPr>
            <w:tcW w:w="854" w:type="dxa"/>
            <w:noWrap w:val="0"/>
            <w:vAlign w:val="center"/>
          </w:tcPr>
          <w:p>
            <w:pPr>
              <w:autoSpaceDE w:val="0"/>
              <w:jc w:val="center"/>
              <w:rPr>
                <w:rFonts w:ascii="宋体" w:hAnsi="宋体" w:cs="宋体" w:hint="default"/>
              </w:rPr>
            </w:pPr>
            <w:r>
              <w:rPr>
                <w:rFonts w:ascii="宋体" w:hAnsi="宋体" w:cs="宋体" w:hint="eastAsia"/>
                <w:szCs w:val="22"/>
                <w:lang w:val="en-US" w:eastAsia="zh-CN"/>
              </w:rPr>
              <w:t>60</w:t>
            </w:r>
          </w:p>
        </w:tc>
        <w:tc>
          <w:tcPr>
            <w:tcW w:w="577" w:type="dxa"/>
            <w:noWrap w:val="0"/>
            <w:vAlign w:val="center"/>
          </w:tcPr>
          <w:p>
            <w:pPr>
              <w:autoSpaceDE w:val="0"/>
              <w:autoSpaceDN w:val="0"/>
              <w:adjustRightInd w:val="0"/>
              <w:spacing w:before="48"/>
              <w:ind w:right="-20"/>
              <w:jc w:val="center"/>
              <w:rPr>
                <w:rFonts w:ascii="宋体" w:eastAsia="宋体" w:hAnsi="宋体" w:cs="宋体" w:hint="eastAsia"/>
                <w:kern w:val="0"/>
                <w:szCs w:val="21"/>
              </w:rPr>
            </w:pPr>
          </w:p>
        </w:tc>
      </w:tr>
      <w:tr>
        <w:tblPrEx>
          <w:tblW w:w="9468" w:type="dxa"/>
          <w:tblInd w:w="0" w:type="dxa"/>
          <w:tblLayout w:type="fixed"/>
          <w:tblCellMar>
            <w:top w:w="0" w:type="dxa"/>
            <w:left w:w="108" w:type="dxa"/>
            <w:bottom w:w="0" w:type="dxa"/>
            <w:right w:w="108" w:type="dxa"/>
          </w:tblCellMar>
        </w:tblPrEx>
        <w:tc>
          <w:tcPr>
            <w:tcW w:w="677" w:type="dxa"/>
            <w:noWrap w:val="0"/>
            <w:vAlign w:val="center"/>
          </w:tcPr>
          <w:p>
            <w:pPr>
              <w:autoSpaceDE w:val="0"/>
              <w:jc w:val="center"/>
              <w:rPr>
                <w:rFonts w:ascii="宋体" w:eastAsia="宋体" w:hAnsi="宋体" w:cs="宋体" w:hint="eastAsia"/>
                <w:kern w:val="0"/>
                <w:szCs w:val="21"/>
              </w:rPr>
            </w:pPr>
            <w:r>
              <w:rPr>
                <w:rFonts w:ascii="宋体" w:eastAsia="宋体" w:hAnsi="宋体" w:cs="宋体" w:hint="eastAsia"/>
                <w:szCs w:val="22"/>
              </w:rPr>
              <w:t>合计</w:t>
            </w:r>
          </w:p>
        </w:tc>
        <w:tc>
          <w:tcPr>
            <w:tcW w:w="8791" w:type="dxa"/>
            <w:gridSpan w:val="8"/>
            <w:noWrap w:val="0"/>
            <w:vAlign w:val="center"/>
          </w:tcPr>
          <w:p>
            <w:pPr>
              <w:autoSpaceDE w:val="0"/>
              <w:jc w:val="center"/>
              <w:rPr>
                <w:rFonts w:ascii="宋体" w:eastAsia="宋体" w:hAnsi="宋体" w:cs="宋体" w:hint="eastAsia"/>
                <w:kern w:val="0"/>
                <w:szCs w:val="21"/>
              </w:rPr>
            </w:pPr>
            <w:r>
              <w:rPr>
                <w:rFonts w:ascii="宋体" w:hAnsi="宋体" w:cs="宋体" w:hint="eastAsia"/>
                <w:szCs w:val="22"/>
                <w:lang w:val="en-US" w:eastAsia="zh-CN"/>
              </w:rPr>
              <w:t xml:space="preserve">                                   334</w:t>
            </w:r>
            <w:r>
              <w:rPr>
                <w:rFonts w:ascii="宋体" w:eastAsia="宋体" w:hAnsi="宋体" w:cs="宋体" w:hint="eastAsia"/>
                <w:szCs w:val="22"/>
                <w:lang w:val="en-US" w:eastAsia="zh-CN"/>
              </w:rPr>
              <w:t>0000.00</w:t>
            </w:r>
          </w:p>
        </w:tc>
      </w:tr>
    </w:tbl>
    <w:p>
      <w:pPr>
        <w:keepNext w:val="0"/>
        <w:keepLines w:val="0"/>
        <w:pageBreakBefore w:val="0"/>
        <w:widowControl w:val="0"/>
        <w:numPr>
          <w:ilvl w:val="0"/>
          <w:numId w:val="10"/>
        </w:numPr>
        <w:kinsoku/>
        <w:wordWrap/>
        <w:overflowPunct/>
        <w:topLinePunct w:val="0"/>
        <w:autoSpaceDE/>
        <w:autoSpaceDN/>
        <w:bidi w:val="0"/>
        <w:adjustRightInd w:val="0"/>
        <w:snapToGrid w:val="0"/>
        <w:spacing w:line="560" w:lineRule="exact"/>
        <w:ind w:firstLine="420" w:firstLineChars="200"/>
        <w:textAlignment w:val="auto"/>
        <w:rPr>
          <w:rFonts w:ascii="宋体" w:hAnsi="宋体" w:hint="eastAsia"/>
          <w:b/>
          <w:bCs/>
          <w:szCs w:val="21"/>
        </w:rPr>
      </w:pPr>
      <w:r>
        <w:rPr>
          <w:rFonts w:ascii="宋体" w:hAnsi="宋体" w:hint="eastAsia"/>
          <w:b/>
          <w:bCs/>
          <w:szCs w:val="21"/>
          <w:lang w:val="en-US" w:eastAsia="zh-CN"/>
        </w:rPr>
        <w:t>安装工艺和建设地址</w:t>
      </w:r>
    </w:p>
    <w:p>
      <w:pPr>
        <w:keepNext w:val="0"/>
        <w:keepLines w:val="0"/>
        <w:pageBreakBefore w:val="0"/>
        <w:widowControl w:val="0"/>
        <w:numPr>
          <w:ilvl w:val="12"/>
          <w:numId w:val="0"/>
        </w:numPr>
        <w:kinsoku/>
        <w:wordWrap/>
        <w:overflowPunct/>
        <w:topLinePunct w:val="0"/>
        <w:autoSpaceDE/>
        <w:autoSpaceDN/>
        <w:bidi w:val="0"/>
        <w:adjustRightInd w:val="0"/>
        <w:snapToGrid w:val="0"/>
        <w:spacing w:line="560" w:lineRule="exact"/>
        <w:ind w:firstLine="420" w:firstLineChars="200"/>
        <w:textAlignment w:val="auto"/>
        <w:rPr>
          <w:rFonts w:ascii="宋体" w:hAnsi="宋体" w:hint="eastAsia"/>
          <w:szCs w:val="21"/>
          <w:highlight w:val="none"/>
        </w:rPr>
      </w:pPr>
      <w:r>
        <w:rPr>
          <w:rFonts w:ascii="宋体" w:hAnsi="宋体" w:hint="eastAsia"/>
          <w:szCs w:val="21"/>
          <w:highlight w:val="none"/>
          <w:lang w:val="en-US" w:eastAsia="zh-CN"/>
        </w:rPr>
        <w:t>火箭</w:t>
      </w:r>
      <w:r>
        <w:rPr>
          <w:rFonts w:ascii="宋体" w:hAnsi="宋体" w:hint="eastAsia"/>
          <w:szCs w:val="21"/>
          <w:highlight w:val="none"/>
        </w:rPr>
        <w:t>流动作业点移动布控球用三脚架固定安装在作业现场的制高点，确保能无死角地监控作业现场。也可使用壁挂式或抱杆式支架，将设备安装在作业区域周边的建筑物、电线杆等固定物体上。安装时要注意保证设备的稳定性和安全性，避免因风吹、振动等因素导致设备损坏或掉落。</w:t>
      </w:r>
    </w:p>
    <w:p>
      <w:pPr>
        <w:keepNext w:val="0"/>
        <w:keepLines w:val="0"/>
        <w:pageBreakBefore w:val="0"/>
        <w:widowControl w:val="0"/>
        <w:numPr>
          <w:ilvl w:val="12"/>
          <w:numId w:val="0"/>
        </w:numPr>
        <w:kinsoku/>
        <w:wordWrap/>
        <w:overflowPunct/>
        <w:topLinePunct w:val="0"/>
        <w:autoSpaceDE/>
        <w:autoSpaceDN/>
        <w:bidi w:val="0"/>
        <w:adjustRightInd w:val="0"/>
        <w:snapToGrid w:val="0"/>
        <w:spacing w:line="560" w:lineRule="exact"/>
        <w:ind w:firstLine="0" w:firstLineChars="0"/>
        <w:textAlignment w:val="auto"/>
        <w:rPr>
          <w:rFonts w:ascii="宋体" w:hAnsi="宋体" w:hint="eastAsia"/>
          <w:szCs w:val="21"/>
          <w:highlight w:val="none"/>
        </w:rPr>
      </w:pPr>
      <w:r>
        <w:rPr>
          <w:rFonts w:ascii="宋体" w:hAnsi="宋体" w:hint="eastAsia"/>
          <w:szCs w:val="21"/>
          <w:highlight w:val="none"/>
        </w:rPr>
        <w:t>对讲机可配备专用的对讲机充电座，安装在作业点的休息区或值班室等便于取用的位置。工作人员在作业时可将对讲机佩戴在腰间或装入专用的对讲机背包中，方便随时使用。</w:t>
      </w:r>
    </w:p>
    <w:p>
      <w:pPr>
        <w:keepNext w:val="0"/>
        <w:keepLines w:val="0"/>
        <w:pageBreakBefore w:val="0"/>
        <w:widowControl w:val="0"/>
        <w:numPr>
          <w:ilvl w:val="12"/>
          <w:numId w:val="0"/>
        </w:numPr>
        <w:kinsoku/>
        <w:wordWrap/>
        <w:overflowPunct/>
        <w:topLinePunct w:val="0"/>
        <w:autoSpaceDE/>
        <w:autoSpaceDN/>
        <w:bidi w:val="0"/>
        <w:adjustRightInd w:val="0"/>
        <w:snapToGrid w:val="0"/>
        <w:spacing w:line="560" w:lineRule="exact"/>
        <w:ind w:firstLine="420" w:firstLineChars="200"/>
        <w:textAlignment w:val="auto"/>
        <w:rPr>
          <w:rFonts w:ascii="宋体" w:hAnsi="宋体" w:hint="eastAsia"/>
          <w:szCs w:val="21"/>
          <w:highlight w:val="none"/>
        </w:rPr>
      </w:pPr>
      <w:r>
        <w:rPr>
          <w:rFonts w:ascii="宋体" w:hAnsi="宋体" w:hint="eastAsia"/>
          <w:szCs w:val="21"/>
          <w:highlight w:val="none"/>
        </w:rPr>
        <w:t>作业设备的安装由仪器设备供应商的专业安装技术团队负责完成，建设单位参与技术参数测试与验收。业务运行方面，保修期内由运行执行单位与供应商共同负责仪器设备的正常运行；保修期过后，则由运行执行单位负责。观测设备配套的系统运行，由供应商维保技术人员与运行执行单位业务技术人员共同维护。</w:t>
      </w:r>
    </w:p>
    <w:p>
      <w:pPr>
        <w:keepNext w:val="0"/>
        <w:keepLines w:val="0"/>
        <w:pageBreakBefore w:val="0"/>
        <w:widowControl w:val="0"/>
        <w:numPr>
          <w:ilvl w:val="12"/>
          <w:numId w:val="0"/>
        </w:numPr>
        <w:kinsoku/>
        <w:wordWrap/>
        <w:overflowPunct/>
        <w:topLinePunct w:val="0"/>
        <w:autoSpaceDE/>
        <w:autoSpaceDN/>
        <w:bidi w:val="0"/>
        <w:adjustRightInd w:val="0"/>
        <w:snapToGrid w:val="0"/>
        <w:spacing w:line="560" w:lineRule="exact"/>
        <w:ind w:firstLine="420" w:firstLineChars="200"/>
        <w:textAlignment w:val="auto"/>
        <w:rPr>
          <w:rFonts w:ascii="宋体" w:eastAsia="宋体" w:hAnsi="宋体" w:cs="Times New Roman" w:hint="eastAsia"/>
          <w:b w:val="0"/>
          <w:bCs w:val="0"/>
          <w:szCs w:val="21"/>
          <w:highlight w:val="none"/>
        </w:rPr>
      </w:pPr>
      <w:r>
        <w:rPr>
          <w:rFonts w:ascii="宋体" w:eastAsia="宋体" w:hAnsi="宋体" w:cs="Times New Roman" w:hint="eastAsia"/>
          <w:snapToGrid/>
          <w:spacing w:val="0"/>
          <w:kern w:val="2"/>
          <w:sz w:val="21"/>
          <w:szCs w:val="21"/>
          <w:highlight w:val="none"/>
          <w:lang w:val="en-US" w:eastAsia="zh-CN" w:bidi="ar-SA"/>
        </w:rPr>
        <w:t>全省火箭流动作业点视频通讯布设详见表2，全省</w:t>
      </w:r>
      <w:r>
        <w:rPr>
          <w:rFonts w:ascii="宋体" w:eastAsia="宋体" w:hAnsi="宋体" w:cs="Times New Roman" w:hint="eastAsia"/>
          <w:szCs w:val="21"/>
          <w:highlight w:val="none"/>
        </w:rPr>
        <w:t>高炮作业点安防配套标识</w:t>
      </w:r>
      <w:r>
        <w:rPr>
          <w:rFonts w:ascii="宋体" w:eastAsia="宋体" w:hAnsi="宋体" w:cs="Times New Roman" w:hint="eastAsia"/>
          <w:snapToGrid/>
          <w:spacing w:val="0"/>
          <w:kern w:val="2"/>
          <w:sz w:val="21"/>
          <w:szCs w:val="21"/>
          <w:highlight w:val="none"/>
          <w:lang w:val="en-US" w:eastAsia="zh-CN" w:bidi="ar-SA"/>
        </w:rPr>
        <w:t>布设详见表3</w:t>
      </w:r>
    </w:p>
    <w:p>
      <w:pPr>
        <w:spacing w:line="360" w:lineRule="auto"/>
        <w:jc w:val="center"/>
        <w:rPr>
          <w:rFonts w:ascii="宋体" w:eastAsia="宋体" w:hAnsi="宋体" w:cs="Times New Roman" w:hint="eastAsia"/>
          <w:szCs w:val="21"/>
        </w:rPr>
      </w:pPr>
      <w:r>
        <w:rPr>
          <w:rFonts w:ascii="宋体" w:eastAsia="宋体" w:hAnsi="宋体" w:cs="Times New Roman" w:hint="eastAsia"/>
          <w:kern w:val="2"/>
          <w:sz w:val="21"/>
          <w:szCs w:val="21"/>
          <w:lang w:val="en-US" w:eastAsia="zh-CN" w:bidi="ar-SA"/>
        </w:rPr>
        <w:t>表2 全省火箭流动作业点视频通讯布设表</w:t>
      </w:r>
    </w:p>
    <w:tbl>
      <w:tblPr>
        <w:tblStyle w:val="TableNormal"/>
        <w:tblW w:w="82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1904"/>
        <w:gridCol w:w="1385"/>
        <w:gridCol w:w="1799"/>
        <w:gridCol w:w="3170"/>
      </w:tblGrid>
      <w:tr>
        <w:tblPrEx>
          <w:tblW w:w="82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227"/>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序号</w:t>
            </w:r>
          </w:p>
        </w:tc>
        <w:tc>
          <w:tcPr>
            <w:tcW w:w="1385"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市州</w:t>
            </w:r>
          </w:p>
        </w:tc>
        <w:tc>
          <w:tcPr>
            <w:tcW w:w="1799"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县区</w:t>
            </w: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作业点名称</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w:t>
            </w:r>
          </w:p>
        </w:tc>
        <w:tc>
          <w:tcPr>
            <w:tcW w:w="13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西宁市</w:t>
            </w: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湟中区</w:t>
            </w: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上红</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2</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加拉山</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3</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吊庄</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4</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大麻台</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5</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湟源县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上台</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6</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上寨村</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7</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后沟脑</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8</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大通回族土族自治县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向化</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9</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新庄</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10</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青林</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11</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逊让</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12</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良教</w:t>
            </w:r>
          </w:p>
        </w:tc>
      </w:tr>
      <w:tr>
        <w:tblPrEx>
          <w:tblW w:w="8258" w:type="dxa"/>
          <w:jc w:val="center"/>
          <w:shd w:val="clear" w:color="auto" w:fill="auto"/>
          <w:tblCellMar>
            <w:top w:w="0" w:type="dxa"/>
            <w:left w:w="108" w:type="dxa"/>
            <w:bottom w:w="0" w:type="dxa"/>
            <w:right w:w="108" w:type="dxa"/>
          </w:tblCellMar>
        </w:tblPrEx>
        <w:trPr>
          <w:trHeight w:val="310"/>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13</w:t>
            </w:r>
          </w:p>
        </w:tc>
        <w:tc>
          <w:tcPr>
            <w:tcW w:w="13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海北</w:t>
            </w: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刚察县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刚察县县城</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14</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吉尔孟乡</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15</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青海湖农场四分场</w:t>
            </w:r>
          </w:p>
        </w:tc>
      </w:tr>
      <w:tr>
        <w:tblPrEx>
          <w:tblW w:w="8258" w:type="dxa"/>
          <w:jc w:val="center"/>
          <w:shd w:val="clear" w:color="auto" w:fill="auto"/>
          <w:tblCellMar>
            <w:top w:w="0" w:type="dxa"/>
            <w:left w:w="108" w:type="dxa"/>
            <w:bottom w:w="0" w:type="dxa"/>
            <w:right w:w="108" w:type="dxa"/>
          </w:tblCellMar>
        </w:tblPrEx>
        <w:trPr>
          <w:trHeight w:val="300"/>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16</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三角城种羊场一大队</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17</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海晏县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金滩乡</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18</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三角城镇三联村</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19</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祁连县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阿柔乡</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20</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水塔</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21</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野牛沟乡</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22</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央隆乡曲库村</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23</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门源回族自治县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北山乡</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24</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浩门镇下疙瘩村</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25</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铁迈罗家湾</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26</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马场乌兰</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27</w:t>
            </w:r>
          </w:p>
        </w:tc>
        <w:tc>
          <w:tcPr>
            <w:tcW w:w="13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海南</w:t>
            </w: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共和县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石乃亥</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28</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沙珠玉</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29</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龙羊新村</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30</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同德县</w:t>
            </w:r>
          </w:p>
        </w:tc>
        <w:tc>
          <w:tcPr>
            <w:tcW w:w="31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尕巴松多</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31</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32</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科加村</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33</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完科村</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34</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贵南县</w:t>
            </w:r>
          </w:p>
        </w:tc>
        <w:tc>
          <w:tcPr>
            <w:tcW w:w="3170" w:type="dxa"/>
            <w:tcBorders>
              <w:top w:val="single" w:sz="4" w:space="0" w:color="000000"/>
              <w:left w:val="nil"/>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塔秀乡</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35</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nil"/>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马六队</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36</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nil"/>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木格滩</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37</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nil"/>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过马营镇</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38</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nil"/>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贵南县城</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39</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nil"/>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上达玉村</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40</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贵德县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新街</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41</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新建坪村</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42</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兴海县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河卡乡</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43</w:t>
            </w:r>
          </w:p>
        </w:tc>
        <w:tc>
          <w:tcPr>
            <w:tcW w:w="13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黄南州</w:t>
            </w: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泽库县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泽库县王家乡</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44</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赛日庆村委会</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45</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夸日龙村委会</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46</w:t>
            </w:r>
          </w:p>
        </w:tc>
        <w:tc>
          <w:tcPr>
            <w:tcW w:w="13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格尔木</w:t>
            </w: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格尔木市</w:t>
            </w: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格尔木河西农场</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47</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温泉 2 号</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48</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昆仑山门</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49</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四道沟</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50</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吾牛沟东</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51</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乌乡政府</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52</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沱沱河</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53</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伍道梁</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54</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雪水河</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55</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诺木洪</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56</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都兰县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巴隆牙日哈水库</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57</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香加乡前进村</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58</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西台水库</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59</w:t>
            </w:r>
          </w:p>
        </w:tc>
        <w:tc>
          <w:tcPr>
            <w:tcW w:w="13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海西</w:t>
            </w: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天峻县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大桥</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60</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天棚</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61</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龙门乡</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62</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生格乡</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63</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快尔玛乡</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64</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阳康乡</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65</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天峻县</w:t>
            </w:r>
          </w:p>
        </w:tc>
      </w:tr>
      <w:tr>
        <w:tblPrEx>
          <w:tblW w:w="8258" w:type="dxa"/>
          <w:jc w:val="center"/>
          <w:shd w:val="clear" w:color="auto" w:fill="auto"/>
          <w:tblCellMar>
            <w:top w:w="0" w:type="dxa"/>
            <w:left w:w="108" w:type="dxa"/>
            <w:bottom w:w="0" w:type="dxa"/>
            <w:right w:w="108" w:type="dxa"/>
          </w:tblCellMar>
        </w:tblPrEx>
        <w:trPr>
          <w:trHeight w:val="240"/>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66</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木里镇垭口</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67</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舟群乡范扎村</w:t>
            </w:r>
          </w:p>
        </w:tc>
      </w:tr>
      <w:tr>
        <w:tblPrEx>
          <w:tblW w:w="8258" w:type="dxa"/>
          <w:jc w:val="center"/>
          <w:shd w:val="clear" w:color="auto" w:fill="auto"/>
          <w:tblCellMar>
            <w:top w:w="0" w:type="dxa"/>
            <w:left w:w="108" w:type="dxa"/>
            <w:bottom w:w="0" w:type="dxa"/>
            <w:right w:w="108" w:type="dxa"/>
          </w:tblCellMar>
        </w:tblPrEx>
        <w:trPr>
          <w:trHeight w:val="360"/>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68</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江河镇莫合拉村</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69</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织合玛乡加陇村</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70</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苏里乡瓦乎寺管护站</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71</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德令哈市</w:t>
            </w: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德令哈可鲁克镇</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72</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大柴旦</w:t>
            </w:r>
            <w:r>
              <w:rPr>
                <w:rFonts w:ascii="宋体" w:eastAsia="宋体" w:hAnsi="宋体" w:cs="宋体" w:hint="eastAsia"/>
                <w:color w:val="auto"/>
                <w:kern w:val="2"/>
                <w:sz w:val="21"/>
                <w:szCs w:val="21"/>
                <w:lang w:val="en-US" w:eastAsia="zh-CN" w:bidi="ar-SA"/>
              </w:rPr>
              <w:br/>
            </w:r>
            <w:r>
              <w:rPr>
                <w:rFonts w:ascii="宋体" w:eastAsia="宋体" w:hAnsi="宋体" w:cs="宋体" w:hint="eastAsia"/>
                <w:color w:val="auto"/>
                <w:kern w:val="2"/>
                <w:sz w:val="21"/>
                <w:szCs w:val="21"/>
                <w:lang w:val="en-US" w:eastAsia="zh-CN" w:bidi="ar-SA"/>
              </w:rPr>
              <w:t>行委</w:t>
            </w:r>
          </w:p>
        </w:tc>
        <w:tc>
          <w:tcPr>
            <w:tcW w:w="31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大柴旦马海村</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73</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大柴旦</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74</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锡铁山</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75</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乌兰县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老虎口</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76</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柯柯镇</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77</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茶卡镇</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78</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都兰河</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79</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乌兰牦牛山</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80</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哈里哈图</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81</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茫崖市</w:t>
            </w:r>
          </w:p>
        </w:tc>
        <w:tc>
          <w:tcPr>
            <w:tcW w:w="31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花土沟镇阿拉尔</w:t>
            </w:r>
          </w:p>
        </w:tc>
      </w:tr>
      <w:tr>
        <w:tblPrEx>
          <w:tblW w:w="8258" w:type="dxa"/>
          <w:jc w:val="center"/>
          <w:shd w:val="clear" w:color="auto" w:fill="auto"/>
          <w:tblCellMar>
            <w:top w:w="0" w:type="dxa"/>
            <w:left w:w="108" w:type="dxa"/>
            <w:bottom w:w="0" w:type="dxa"/>
            <w:right w:w="108" w:type="dxa"/>
          </w:tblCellMar>
        </w:tblPrEx>
        <w:trPr>
          <w:trHeight w:val="480"/>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82</w:t>
            </w:r>
          </w:p>
        </w:tc>
        <w:tc>
          <w:tcPr>
            <w:tcW w:w="13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玉树</w:t>
            </w: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玉树市</w:t>
            </w: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玉树市扎西科北山</w:t>
            </w:r>
          </w:p>
        </w:tc>
      </w:tr>
      <w:tr>
        <w:tblPrEx>
          <w:tblW w:w="8258" w:type="dxa"/>
          <w:jc w:val="center"/>
          <w:shd w:val="clear" w:color="auto" w:fill="auto"/>
          <w:tblCellMar>
            <w:top w:w="0" w:type="dxa"/>
            <w:left w:w="108" w:type="dxa"/>
            <w:bottom w:w="0" w:type="dxa"/>
            <w:right w:w="108" w:type="dxa"/>
          </w:tblCellMar>
        </w:tblPrEx>
        <w:trPr>
          <w:trHeight w:val="480"/>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83</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通天河大桥</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84</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称多</w:t>
            </w:r>
          </w:p>
        </w:tc>
        <w:tc>
          <w:tcPr>
            <w:tcW w:w="31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珍秦镇</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85</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称文镇</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86</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囊谦县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香达镇香达村</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87</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多南村</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88</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治多县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同卡乡</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89</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立新乡</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90</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曲麻莱县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约改镇</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91</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冬查沟</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92</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杂多县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扎青乡</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93</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萨呼腾镇</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94</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结多乡政府</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95</w:t>
            </w:r>
          </w:p>
        </w:tc>
        <w:tc>
          <w:tcPr>
            <w:tcW w:w="13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果洛</w:t>
            </w: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玛多县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玛多县县城</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96</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扎陵湖乡</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97</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花石峡镇</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98</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黄河乡</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99</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玛沁县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玛沁县县城</w:t>
            </w:r>
          </w:p>
        </w:tc>
      </w:tr>
      <w:tr>
        <w:tblPrEx>
          <w:tblW w:w="8258" w:type="dxa"/>
          <w:jc w:val="center"/>
          <w:shd w:val="clear" w:color="auto" w:fill="auto"/>
          <w:tblCellMar>
            <w:top w:w="0" w:type="dxa"/>
            <w:left w:w="108" w:type="dxa"/>
            <w:bottom w:w="0" w:type="dxa"/>
            <w:right w:w="108" w:type="dxa"/>
          </w:tblCellMar>
        </w:tblPrEx>
        <w:trPr>
          <w:trHeight w:val="348"/>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100</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东倾沟乡</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101</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久治县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久治县县城</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102</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久治县分水岭</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103</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久治县大仓电站</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104</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甘德县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甘德县县城</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105</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青珍</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106</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达日县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达日县县城</w:t>
            </w:r>
          </w:p>
        </w:tc>
      </w:tr>
      <w:tr>
        <w:tblPrEx>
          <w:tblW w:w="8258" w:type="dxa"/>
          <w:jc w:val="center"/>
          <w:shd w:val="clear" w:color="auto" w:fill="auto"/>
          <w:tblCellMar>
            <w:top w:w="0" w:type="dxa"/>
            <w:left w:w="108" w:type="dxa"/>
            <w:bottom w:w="0" w:type="dxa"/>
            <w:right w:w="108" w:type="dxa"/>
          </w:tblCellMar>
        </w:tblPrEx>
        <w:trPr>
          <w:trHeight w:val="360"/>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107</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建设乡 （金渡）</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108</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窝赛乡</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109</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班玛县</w:t>
            </w:r>
          </w:p>
        </w:tc>
        <w:tc>
          <w:tcPr>
            <w:tcW w:w="31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班玛县县城</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110</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玛柯河林场</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111</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王柔</w:t>
            </w:r>
          </w:p>
        </w:tc>
      </w:tr>
      <w:tr>
        <w:tblPrEx>
          <w:tblW w:w="8258" w:type="dxa"/>
          <w:jc w:val="center"/>
          <w:shd w:val="clear" w:color="auto" w:fill="auto"/>
          <w:tblCellMar>
            <w:top w:w="0" w:type="dxa"/>
            <w:left w:w="108" w:type="dxa"/>
            <w:bottom w:w="0" w:type="dxa"/>
            <w:right w:w="108" w:type="dxa"/>
          </w:tblCellMar>
        </w:tblPrEx>
        <w:trPr>
          <w:trHeight w:val="285"/>
          <w:jc w:val="center"/>
        </w:trPr>
        <w:tc>
          <w:tcPr>
            <w:tcW w:w="1904"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112</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1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p>
        </w:tc>
        <w:tc>
          <w:tcPr>
            <w:tcW w:w="317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eastAsia="宋体" w:hAnsi="宋体" w:cs="宋体" w:hint="eastAsia"/>
                <w:color w:val="auto"/>
                <w:szCs w:val="21"/>
              </w:rPr>
            </w:pPr>
            <w:r>
              <w:rPr>
                <w:rFonts w:ascii="宋体" w:eastAsia="宋体" w:hAnsi="宋体" w:cs="宋体" w:hint="eastAsia"/>
                <w:color w:val="auto"/>
                <w:kern w:val="2"/>
                <w:sz w:val="21"/>
                <w:szCs w:val="21"/>
                <w:lang w:val="en-US" w:eastAsia="zh-CN" w:bidi="ar-SA"/>
              </w:rPr>
              <w:t>可培</w:t>
            </w:r>
          </w:p>
        </w:tc>
      </w:tr>
    </w:tbl>
    <w:p>
      <w:pPr>
        <w:spacing w:line="360" w:lineRule="auto"/>
        <w:ind w:firstLine="0" w:firstLineChars="0"/>
        <w:jc w:val="center"/>
        <w:rPr>
          <w:rFonts w:ascii="宋体" w:eastAsia="宋体" w:hAnsi="宋体" w:cs="Times New Roman" w:hint="default"/>
          <w:szCs w:val="21"/>
        </w:rPr>
      </w:pPr>
      <w:r>
        <w:rPr>
          <w:rFonts w:ascii="宋体" w:eastAsia="宋体" w:hAnsi="宋体" w:cs="Times New Roman" w:hint="eastAsia"/>
          <w:szCs w:val="21"/>
          <w:lang w:val="en-US" w:eastAsia="zh-CN"/>
        </w:rPr>
        <w:t>表3  全省</w:t>
      </w:r>
      <w:r>
        <w:rPr>
          <w:rFonts w:ascii="宋体" w:eastAsia="宋体" w:hAnsi="宋体" w:hint="eastAsia"/>
          <w:szCs w:val="21"/>
        </w:rPr>
        <w:t>高炮作业点安防配套标识</w:t>
      </w:r>
      <w:r>
        <w:rPr>
          <w:rFonts w:ascii="宋体" w:eastAsia="宋体" w:hAnsi="宋体" w:hint="eastAsia"/>
          <w:szCs w:val="21"/>
          <w:lang w:val="en-US" w:eastAsia="zh-CN"/>
        </w:rPr>
        <w:t>布设表</w:t>
      </w:r>
    </w:p>
    <w:tbl>
      <w:tblPr>
        <w:tblStyle w:val="TableNorm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ayout w:type="fixed"/>
        <w:tblCellMar>
          <w:top w:w="0" w:type="dxa"/>
          <w:left w:w="108" w:type="dxa"/>
          <w:bottom w:w="0" w:type="dxa"/>
          <w:right w:w="108" w:type="dxa"/>
        </w:tblCellMar>
      </w:tblPr>
      <w:tblGrid>
        <w:gridCol w:w="1672"/>
        <w:gridCol w:w="980"/>
        <w:gridCol w:w="1258"/>
        <w:gridCol w:w="2010"/>
        <w:gridCol w:w="2678"/>
      </w:tblGrid>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ayout w:type="fixed"/>
          <w:tblCellMar>
            <w:top w:w="0" w:type="dxa"/>
            <w:left w:w="108" w:type="dxa"/>
            <w:bottom w:w="0" w:type="dxa"/>
            <w:right w:w="108" w:type="dxa"/>
          </w:tblCellMar>
        </w:tblPrEx>
        <w:trPr>
          <w:trHeight w:val="772"/>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序号</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市州</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县区</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作业点名称</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作业点所在地</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w:t>
            </w:r>
          </w:p>
        </w:tc>
        <w:tc>
          <w:tcPr>
            <w:tcW w:w="980"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西宁市</w:t>
            </w:r>
          </w:p>
        </w:tc>
        <w:tc>
          <w:tcPr>
            <w:tcW w:w="125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湟中区</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纳卜藏</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上五庄镇纳卜藏村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2</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华科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上五庄镇华科村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3</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麻子营</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拦隆口镇麻子营村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4</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上红</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拦隆口镇上红村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5</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新庄</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李家山镇新庄村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6</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马营</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李家山镇马营村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7</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加拉山</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多巴镇加拉山村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8</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石城</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共和镇石城村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9</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大磨</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大才乡大磨石沟村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10</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汉东</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汉东乡马莲沟</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11</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羊圈</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西堡镇羊圈村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12</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葛家元台</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西堡镇葛家村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13</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徐家寨</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鲁沙尔镇徐家寨村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14</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吊庄</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鲁沙尔吊庄村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15</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马场</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上新庄镇马场村</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16</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城台</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土门关乡青丰村城台</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17</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永丰</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田家寨镇永丰村西山顶</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18</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莫家沟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城中区莫家沟村</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19</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大麻台</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田家寨甘家村大麻台</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20</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群塔</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田家寨镇群塔村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21</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朱家庄</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鲁沙尔朱家庄村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22</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阿滩</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海子沟乡阿滩村</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23</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拉沙南山</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拦隆口镇占岭顶拉沙南山</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24</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庄廓脑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共和镇庄廓脑村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25</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水草沟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上新庄镇水草沟村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26</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湟源县</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纳隆口</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城郊乡纳隆口村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27</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大华</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大华镇大华村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28</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新寺</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巴燕乡新寺村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29</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大石头</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日月乡大石头村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30</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后庄</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大华镇后庄村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31</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白水</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和平乡白水村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32</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上台</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波航乡上台村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33</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上寨村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寺寨乡上寨村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34</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后沟脑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申中乡后沟脑村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35</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元山</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巴燕乡元山村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36</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小茶石浪</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日月乡小茶石浪村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37</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曲布滩</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和平乡曲布滩村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38</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大通县</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向化</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向化乡达隆村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39</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斜沟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斜沟乡河滩村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40</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景阳</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景阳镇甘树湾村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41</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多林</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多林镇黑庄廓村　</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42</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青山</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青山乡西北岔村　</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43</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药草</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塔尔镇王庄村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44</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黄家寨黄东</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黄家寨镇黄东村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45</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新庄</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新庄镇新庄村　</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46</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青林毛合湾</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青林乡毛合湾村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47</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岗冲</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景阳镇兰冲村　</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48</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城关</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城关镇贝寺村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49</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东峡</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东峡镇克麻村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50</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桥头</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桥头镇向阳堡村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51</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良教</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良教乡上甘沟村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52</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极乐</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极乐乡后庄村　</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53</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逊让</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逊让乡逊布村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54</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石山</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石山乡铧尖村　</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55</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桦林</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桦林乡关巴村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56</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长宁</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长宁镇东风村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57</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朔北</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朔北乡阿家堡村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58</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青林林棵掌</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青林乡雪里合村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59</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宝库乡</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宝库乡山城村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60</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黄家寨清平</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黄家寨镇下柴村</w:t>
            </w:r>
          </w:p>
        </w:tc>
      </w:tr>
      <w:tr>
        <w:tblPrEx>
          <w:tblW w:w="0" w:type="auto"/>
          <w:jc w:val="center"/>
          <w:shd w:val="clear" w:color="auto" w:fill="auto"/>
          <w:tblLayout w:type="fixed"/>
          <w:tblCellMar>
            <w:top w:w="0" w:type="dxa"/>
            <w:left w:w="108" w:type="dxa"/>
            <w:bottom w:w="0" w:type="dxa"/>
            <w:right w:w="108" w:type="dxa"/>
          </w:tblCellMar>
        </w:tblPrEx>
        <w:trPr>
          <w:trHeight w:val="34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61</w:t>
            </w:r>
          </w:p>
        </w:tc>
        <w:tc>
          <w:tcPr>
            <w:tcW w:w="980"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海东</w:t>
            </w:r>
          </w:p>
        </w:tc>
        <w:tc>
          <w:tcPr>
            <w:tcW w:w="125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循化县</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白庄乡何加</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白庄乡何加村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62</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积石镇沙坝塘</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积石镇沙坝塘村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63</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文都抽子山</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文都乡抽子山村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64</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道帏乡古雷</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道帏乡古雷村</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65</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查汉都斯乡下庄村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查汗都斯乡下庄村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66</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尕楞乡建设堂</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尕楞乡建设堂村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67</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互助县</w:t>
            </w:r>
          </w:p>
        </w:tc>
        <w:tc>
          <w:tcPr>
            <w:tcW w:w="2010" w:type="dxa"/>
            <w:tcBorders>
              <w:top w:val="single" w:sz="4" w:space="0" w:color="000000"/>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塘川镇双树</w:t>
            </w:r>
          </w:p>
        </w:tc>
        <w:tc>
          <w:tcPr>
            <w:tcW w:w="2678" w:type="dxa"/>
            <w:tcBorders>
              <w:top w:val="single" w:sz="4" w:space="0" w:color="000000"/>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塘川镇双树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68</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五峰镇海子</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五峰乡海子村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69</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五峰镇七塔尔</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五峰乡七塔尔村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70</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台子乡下台子</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台子乡上台子村</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71</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南门峡镇老虎沟</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南门峡镇老虎沟村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72</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林川乡保家</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林川乡保家村</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73</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南门峡镇七塔尔</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南门峡镇七塔尔村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74</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东沟乡尔开</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东沟乡尔开村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75</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丹麻镇拉庄</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丹麻镇拉庄村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76</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五十镇巴洪</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五十乡巴洪村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77</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威远镇安定</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威远镇安定村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78</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林川乡马场</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林川乡马场村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79</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西山乡郭家沟</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西山乡郭家沟村</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80</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南门峡镇西山根</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南门峡镇西山根</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81</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东和乡小桦林</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东和乡小桦林村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82</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丹麻镇山城村</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丹麻镇山城村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83</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东山乡沟脑</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东山乡沟脑村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84</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五十镇桑士哥</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五十乡桑士哥村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85</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民和县</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满坪镇东湾村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满坪镇东湾村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86</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古鄯镇尖岭村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古鄯镇尖岭村</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87</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李二堡镇河西沟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李二堡镇河西沟村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88</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马营镇罗家沟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马营镇罗家沟村</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89</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李二堡镇张家湾</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李二堡镇张家湾村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90</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西沟乡大滩村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西沟乡大滩村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91</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北山乡罗家湾</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北山乡罗家湾村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92</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甘沟乡韩家咀</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甘沟乡韩家咀村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93</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刘家湾</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古鄯镇刘家湾村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94</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乐都区</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达拉乡宁过岭</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达拉乡宁过岭村</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95</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共和乡磨石沟岭</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共和乡磨石沟村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96</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寿乐镇祁家山</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寿乐镇祁家山村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97</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寿乐镇昂麻</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寿乐镇昂麻村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98</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中岭乡大水泉</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中岭乡大水泉村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99</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李家乡民族</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李家乡民族村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100</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马营乡龙王岗</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马营乡龙王岗村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101</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马营乡占马墩</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马营乡占马墩村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102</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芦化乡寺院</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芦化乡寺院村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103</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下营上掌</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下营乡上掌村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104</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城台拉尕邑岭</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城台乡拉尕邑岭村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105</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峰堆下阳洼</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峰堆乡下阳洼村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106</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曲坛乡朵巴营</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曲坛乡朵巴营村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107</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曲坛乡吴家台</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曲坛乡吴家台村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108</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瞿昙镇周家</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瞿昙镇周家村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109</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蒲台黑窑洞</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蒲台乡黑窑洞村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110</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中坝泉脑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中坝乡泉脑村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111</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平安区</w:t>
            </w:r>
          </w:p>
        </w:tc>
        <w:tc>
          <w:tcPr>
            <w:tcW w:w="2010" w:type="dxa"/>
            <w:tcBorders>
              <w:top w:val="single" w:sz="4" w:space="0" w:color="000000"/>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三合镇仲家</w:t>
            </w:r>
          </w:p>
        </w:tc>
        <w:tc>
          <w:tcPr>
            <w:tcW w:w="2678" w:type="dxa"/>
            <w:tcBorders>
              <w:top w:val="single" w:sz="4" w:space="0" w:color="000000"/>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三合镇仲家村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112</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洪水泉乡永安</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洪水泉乡永安村</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113</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石灰窑乡石挂寺</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石灰窑乡石挂寺村</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114</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古城乡牌楼沟村</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古城乡牌楼沟村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115</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化隆县</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雄先乡华科村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雄先乡华科村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116</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扎巴镇南滩村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扎巴镇南滩村</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117</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昂思多镇德加村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昂思多镇德加村</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118</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二塘乡香里乎拉村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二塘乡香里乎拉村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119</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巴燕镇李家庄</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巴燕镇李家庄</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120</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石大仓乡石大仓</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石大仓乡石大仓</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121</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查甫乡尕什加村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查甫乡尕什加村</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122</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初么乡扎西庄村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初么乡扎西庄村</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123</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谢家滩乡牙合村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谢家滩乡牙合村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124</w:t>
            </w:r>
          </w:p>
        </w:tc>
        <w:tc>
          <w:tcPr>
            <w:tcW w:w="980"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海北州</w:t>
            </w:r>
          </w:p>
        </w:tc>
        <w:tc>
          <w:tcPr>
            <w:tcW w:w="125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刚察县</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青海湖农场</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刚察县青海湖农场</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125</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三角城羊场</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刚察县三角城羊场</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126</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海晏县</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哈勒景</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海晏县哈勒景乡</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127</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left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default"/>
                <w:b w:val="0"/>
                <w:bCs w:val="0"/>
                <w:color w:val="auto"/>
                <w:szCs w:val="21"/>
              </w:rPr>
            </w:pPr>
            <w:r>
              <w:rPr>
                <w:rFonts w:ascii="宋体" w:eastAsia="宋体" w:hAnsi="宋体" w:cs="宋体" w:hint="eastAsia"/>
                <w:b w:val="0"/>
                <w:bCs w:val="0"/>
                <w:color w:val="auto"/>
                <w:kern w:val="2"/>
                <w:sz w:val="21"/>
                <w:szCs w:val="21"/>
                <w:lang w:val="en-US" w:eastAsia="zh-CN" w:bidi="ar-SA"/>
              </w:rPr>
              <w:t>仓开村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海晏县金滩乡</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128</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三角城镇黄草掌村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三角城镇黄草掌村</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129</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门源县</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青石嘴镇药草梁村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门源县青石嘴镇药草梁村</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130</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泉口镇大湾村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门源县泉口镇大湾村</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131</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北山乡下金巴台村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门源县北山乡下金巴台村</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132</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浩门农场十一队机耕队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门源县浩门农场十一队机耕队</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133</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浩门农场九大队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门源县浩门农场九大队</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134</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西滩乡</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门源县西滩乡</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135</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军分区农场</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门源县军分区农场</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136</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马场场部</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门源县青石嘴镇种马场</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137</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西沙河</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门源县泉口镇西沙河村</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138</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种马场四牙合大队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门源县种马场四牙合大队</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default"/>
                <w:b w:val="0"/>
                <w:bCs w:val="0"/>
                <w:color w:val="auto"/>
                <w:szCs w:val="21"/>
              </w:rPr>
            </w:pPr>
            <w:r>
              <w:rPr>
                <w:rFonts w:ascii="宋体" w:eastAsia="宋体" w:hAnsi="宋体" w:cs="宋体" w:hint="eastAsia"/>
                <w:b w:val="0"/>
                <w:bCs w:val="0"/>
                <w:color w:val="auto"/>
                <w:kern w:val="2"/>
                <w:sz w:val="21"/>
                <w:szCs w:val="21"/>
                <w:lang w:val="en-US" w:eastAsia="zh-CN" w:bidi="ar-SA"/>
              </w:rPr>
              <w:t>139</w:t>
            </w:r>
          </w:p>
        </w:tc>
        <w:tc>
          <w:tcPr>
            <w:tcW w:w="980"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海南州</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共和县</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共和县江西沟乡</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共和县江西沟乡</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140</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同德县</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巴滩</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同德县巴滩村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141</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拉家路</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同德县拉家路村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142</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巴沟乡</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同德县巴沟乡</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143</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贵南县</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过马营</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过马营村（二分公司）</w:t>
            </w:r>
          </w:p>
        </w:tc>
      </w:tr>
      <w:tr>
        <w:tblPrEx>
          <w:tblW w:w="0" w:type="auto"/>
          <w:jc w:val="center"/>
          <w:shd w:val="clear" w:color="auto" w:fill="auto"/>
          <w:tblLayout w:type="fixed"/>
          <w:tblCellMar>
            <w:top w:w="0" w:type="dxa"/>
            <w:left w:w="108" w:type="dxa"/>
            <w:bottom w:w="0" w:type="dxa"/>
            <w:right w:w="108" w:type="dxa"/>
          </w:tblCellMar>
        </w:tblPrEx>
        <w:trPr>
          <w:trHeight w:val="480"/>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144</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森多</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森多乡（农二队）</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default"/>
                <w:b w:val="0"/>
                <w:bCs w:val="0"/>
                <w:color w:val="auto"/>
                <w:szCs w:val="21"/>
              </w:rPr>
            </w:pPr>
            <w:r>
              <w:rPr>
                <w:rFonts w:ascii="宋体" w:eastAsia="宋体" w:hAnsi="宋体" w:cs="宋体" w:hint="eastAsia"/>
                <w:b w:val="0"/>
                <w:bCs w:val="0"/>
                <w:color w:val="auto"/>
                <w:kern w:val="2"/>
                <w:sz w:val="21"/>
                <w:szCs w:val="21"/>
                <w:lang w:val="en-US" w:eastAsia="zh-CN" w:bidi="ar-SA"/>
              </w:rPr>
              <w:t>145</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农三队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农三队</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146</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马一队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马一队</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147</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马二队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马二队</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148</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兴海县</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河卡乡</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河卡镇</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149</w:t>
            </w:r>
          </w:p>
        </w:tc>
        <w:tc>
          <w:tcPr>
            <w:tcW w:w="980"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黄南州</w:t>
            </w:r>
          </w:p>
        </w:tc>
        <w:tc>
          <w:tcPr>
            <w:tcW w:w="125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同仁市</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依里村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隆务镇依里村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150</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保安镇浪加村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保安镇浪加村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151</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尖扎县</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能科乡措卡村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能科乡措卡村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152</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城上</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康杨镇城上村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153</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石脑宁</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措周乡石脑宁村</w:t>
            </w:r>
          </w:p>
        </w:tc>
      </w:tr>
      <w:tr>
        <w:tblPrEx>
          <w:tblW w:w="0" w:type="auto"/>
          <w:jc w:val="center"/>
          <w:shd w:val="clear" w:color="auto" w:fill="auto"/>
          <w:tblLayout w:type="fixed"/>
          <w:tblCellMar>
            <w:top w:w="0" w:type="dxa"/>
            <w:left w:w="108" w:type="dxa"/>
            <w:bottom w:w="0" w:type="dxa"/>
            <w:right w:w="108" w:type="dxa"/>
          </w:tblCellMar>
        </w:tblPrEx>
        <w:trPr>
          <w:trHeight w:val="285"/>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154</w:t>
            </w: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125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eastAsia="宋体" w:hAnsi="宋体" w:cs="宋体" w:hint="eastAsia"/>
                <w:b w:val="0"/>
                <w:bCs w:val="0"/>
                <w:color w:val="auto"/>
                <w:szCs w:val="21"/>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康扬镇格曲村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宋体" w:eastAsia="宋体" w:hAnsi="宋体" w:cs="宋体" w:hint="eastAsia"/>
                <w:b w:val="0"/>
                <w:bCs w:val="0"/>
                <w:color w:val="auto"/>
                <w:szCs w:val="21"/>
              </w:rPr>
            </w:pPr>
            <w:r>
              <w:rPr>
                <w:rFonts w:ascii="宋体" w:eastAsia="宋体" w:hAnsi="宋体" w:cs="宋体" w:hint="eastAsia"/>
                <w:b w:val="0"/>
                <w:bCs w:val="0"/>
                <w:color w:val="auto"/>
                <w:kern w:val="2"/>
                <w:sz w:val="21"/>
                <w:szCs w:val="21"/>
                <w:lang w:val="en-US" w:eastAsia="zh-CN" w:bidi="ar-SA"/>
              </w:rPr>
              <w:t>康扬镇格曲村</w:t>
            </w:r>
          </w:p>
        </w:tc>
      </w:tr>
    </w:tbl>
    <w:p>
      <w:pPr>
        <w:spacing w:line="360" w:lineRule="auto"/>
        <w:ind w:firstLine="420" w:firstLineChars="200"/>
        <w:rPr>
          <w:rFonts w:ascii="宋体" w:eastAsia="宋体" w:hAnsi="宋体" w:cs="Times New Roman" w:hint="eastAsia"/>
          <w:szCs w:val="21"/>
        </w:rPr>
      </w:pPr>
    </w:p>
    <w:p>
      <w:pPr>
        <w:spacing w:line="360" w:lineRule="auto"/>
        <w:rPr>
          <w:rFonts w:eastAsia="宋体" w:hint="default"/>
        </w:rPr>
        <w:sectPr>
          <w:pgSz w:w="11906" w:h="16838"/>
          <w:pgMar w:top="1418" w:right="1418" w:bottom="1418" w:left="1701" w:header="851" w:footer="851" w:gutter="0"/>
          <w:cols w:num="1" w:space="720"/>
          <w:docGrid w:type="linesAndChars" w:linePitch="312" w:charSpace="0"/>
        </w:sectPr>
      </w:pPr>
      <w:r>
        <w:rPr>
          <w:rFonts w:ascii="宋体" w:eastAsia="宋体" w:hAnsi="宋体" w:cs="Times New Roman" w:hint="eastAsia"/>
          <w:szCs w:val="21"/>
        </w:rPr>
        <w:t>注：交货期从采购合同签订之日起计算。</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75"/>
        <w:gridCol w:w="3746"/>
        <w:gridCol w:w="780"/>
        <w:gridCol w:w="1084"/>
        <w:gridCol w:w="1236"/>
        <w:gridCol w:w="780"/>
        <w:gridCol w:w="460"/>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58" w:name="货物一览表_index"/>
            <w:r>
              <w:rPr>
                <w:rFonts w:asciiTheme="minorEastAsia" w:eastAsiaTheme="minorEastAsia" w:hAnsiTheme="minorEastAsia" w:cstheme="minorEastAsia" w:hint="eastAsia"/>
                <w:kern w:val="0"/>
                <w:szCs w:val="21"/>
              </w:rPr>
              <w:t>序号</w:t>
            </w:r>
            <w:bookmarkEnd w:id="58"/>
          </w:p>
        </w:tc>
        <w:tc>
          <w:tcPr>
            <w:tcW w:w="1135" w:type="dxa"/>
          </w:tcPr>
          <w:p>
            <w:pPr>
              <w:autoSpaceDE w:val="0"/>
              <w:jc w:val="center"/>
              <w:rPr>
                <w:rFonts w:asciiTheme="minorEastAsia" w:hAnsiTheme="minorEastAsia" w:cstheme="minorEastAsia"/>
                <w:kern w:val="0"/>
                <w:szCs w:val="21"/>
              </w:rPr>
            </w:pPr>
            <w:bookmarkStart w:id="59" w:name="货物一览表_goodsName"/>
            <w:r>
              <w:rPr>
                <w:rFonts w:asciiTheme="minorEastAsia" w:eastAsiaTheme="minorEastAsia" w:hAnsiTheme="minorEastAsia" w:cstheme="minorEastAsia" w:hint="eastAsia"/>
                <w:kern w:val="0"/>
                <w:szCs w:val="21"/>
              </w:rPr>
              <w:t>设备名称</w:t>
            </w:r>
            <w:bookmarkEnd w:id="59"/>
          </w:p>
        </w:tc>
        <w:tc>
          <w:tcPr>
            <w:tcW w:w="965" w:type="dxa"/>
          </w:tcPr>
          <w:p>
            <w:pPr>
              <w:autoSpaceDE w:val="0"/>
              <w:jc w:val="center"/>
              <w:rPr>
                <w:rFonts w:asciiTheme="minorEastAsia" w:hAnsiTheme="minorEastAsia" w:cstheme="minorEastAsia"/>
                <w:kern w:val="0"/>
                <w:szCs w:val="21"/>
              </w:rPr>
            </w:pPr>
            <w:bookmarkStart w:id="60" w:name="货物一览表_nums"/>
            <w:r>
              <w:rPr>
                <w:rFonts w:asciiTheme="minorEastAsia" w:eastAsiaTheme="minorEastAsia" w:hAnsiTheme="minorEastAsia" w:cstheme="minorEastAsia" w:hint="eastAsia"/>
                <w:kern w:val="0"/>
                <w:szCs w:val="21"/>
              </w:rPr>
              <w:t>采购数量</w:t>
            </w:r>
            <w:bookmarkEnd w:id="60"/>
          </w:p>
        </w:tc>
        <w:tc>
          <w:tcPr>
            <w:tcW w:w="1062" w:type="dxa"/>
          </w:tcPr>
          <w:p>
            <w:pPr>
              <w:autoSpaceDE w:val="0"/>
              <w:jc w:val="center"/>
              <w:rPr>
                <w:rFonts w:asciiTheme="minorEastAsia" w:hAnsiTheme="minorEastAsia" w:cstheme="minorEastAsia"/>
                <w:kern w:val="0"/>
                <w:szCs w:val="21"/>
              </w:rPr>
            </w:pPr>
            <w:bookmarkStart w:id="61" w:name="货物一览表_units"/>
            <w:r>
              <w:rPr>
                <w:rFonts w:asciiTheme="minorEastAsia" w:eastAsiaTheme="minorEastAsia" w:hAnsiTheme="minorEastAsia" w:cstheme="minorEastAsia" w:hint="eastAsia"/>
                <w:kern w:val="0"/>
                <w:szCs w:val="21"/>
              </w:rPr>
              <w:t>计量单位</w:t>
            </w:r>
            <w:bookmarkEnd w:id="61"/>
          </w:p>
        </w:tc>
        <w:tc>
          <w:tcPr>
            <w:tcW w:w="1220" w:type="dxa"/>
          </w:tcPr>
          <w:p>
            <w:pPr>
              <w:autoSpaceDE w:val="0"/>
              <w:jc w:val="center"/>
              <w:rPr>
                <w:rFonts w:asciiTheme="minorEastAsia" w:hAnsiTheme="minorEastAsia" w:cstheme="minorEastAsia"/>
                <w:kern w:val="0"/>
                <w:szCs w:val="21"/>
              </w:rPr>
            </w:pPr>
            <w:bookmarkStart w:id="62" w:name="货物一览表_procurementBudget"/>
            <w:r>
              <w:rPr>
                <w:rFonts w:asciiTheme="minorEastAsia" w:eastAsiaTheme="minorEastAsia" w:hAnsiTheme="minorEastAsia" w:cstheme="minorEastAsia" w:hint="eastAsia"/>
                <w:kern w:val="0"/>
                <w:szCs w:val="21"/>
              </w:rPr>
              <w:t>采购预算（元）</w:t>
            </w:r>
            <w:bookmarkEnd w:id="62"/>
          </w:p>
        </w:tc>
        <w:tc>
          <w:tcPr>
            <w:tcW w:w="1329" w:type="dxa"/>
          </w:tcPr>
          <w:p>
            <w:pPr>
              <w:autoSpaceDE w:val="0"/>
              <w:jc w:val="center"/>
              <w:rPr>
                <w:rFonts w:asciiTheme="minorEastAsia" w:hAnsiTheme="minorEastAsia" w:cstheme="minorEastAsia" w:hint="eastAsia"/>
                <w:kern w:val="0"/>
                <w:szCs w:val="21"/>
              </w:rPr>
            </w:pPr>
            <w:bookmarkStart w:id="63"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3"/>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4" w:name="货物一览表_remark"/>
            <w:r>
              <w:rPr>
                <w:rFonts w:asciiTheme="minorEastAsia" w:eastAsiaTheme="minorEastAsia" w:hAnsiTheme="minorEastAsia" w:cstheme="minorEastAsia" w:hint="eastAsia"/>
                <w:kern w:val="0"/>
                <w:szCs w:val="21"/>
              </w:rPr>
              <w:t>备注</w:t>
            </w:r>
            <w:bookmarkEnd w:id="64"/>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移动布控球</w:t>
            </w:r>
          </w:p>
        </w:tc>
        <w:tc>
          <w:tcPr/>
          <w:p>
            <w:pPr>
              <w:autoSpaceDE w:val="0"/>
              <w:jc w:val="center"/>
              <w:rPr>
                <w:rFonts w:asciiTheme="minorEastAsia" w:hAnsiTheme="minorEastAsia" w:cstheme="minorEastAsia"/>
                <w:kern w:val="0"/>
                <w:szCs w:val="21"/>
              </w:rPr>
            </w:pPr>
            <w:r>
              <w:t>120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1,440,000.00</w:t>
            </w:r>
          </w:p>
        </w:tc>
        <w:tc>
          <w:tcPr/>
          <w:p>
            <w:pPr>
              <w:autoSpaceDE w:val="0"/>
              <w:jc w:val="center"/>
              <w:rPr>
                <w:rFonts w:asciiTheme="minorEastAsia" w:hAnsiTheme="minorEastAsia" w:cstheme="minorEastAsia" w:hint="eastAsia"/>
                <w:kern w:val="0"/>
                <w:szCs w:val="21"/>
              </w:rPr>
            </w:pPr>
            <w:r>
              <w:t>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公告牌</w:t>
            </w:r>
          </w:p>
        </w:tc>
        <w:tc>
          <w:tcPr/>
          <w:p>
            <w:pPr>
              <w:autoSpaceDE w:val="0"/>
              <w:jc w:val="center"/>
              <w:rPr>
                <w:rFonts w:asciiTheme="minorEastAsia" w:hAnsiTheme="minorEastAsia" w:cstheme="minorEastAsia"/>
                <w:kern w:val="0"/>
                <w:szCs w:val="21"/>
              </w:rPr>
            </w:pPr>
            <w:r>
              <w:t>154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770,000.00</w:t>
            </w:r>
          </w:p>
        </w:tc>
        <w:tc>
          <w:tcPr/>
          <w:p>
            <w:pPr>
              <w:autoSpaceDE w:val="0"/>
              <w:jc w:val="center"/>
              <w:rPr>
                <w:rFonts w:asciiTheme="minorEastAsia" w:hAnsiTheme="minorEastAsia" w:cstheme="minorEastAsia" w:hint="eastAsia"/>
                <w:kern w:val="0"/>
                <w:szCs w:val="21"/>
              </w:rPr>
            </w:pPr>
            <w:r>
              <w:t>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高炮安全射界图地面喷绘</w:t>
            </w:r>
          </w:p>
        </w:tc>
        <w:tc>
          <w:tcPr/>
          <w:p>
            <w:pPr>
              <w:autoSpaceDE w:val="0"/>
              <w:jc w:val="center"/>
              <w:rPr>
                <w:rFonts w:asciiTheme="minorEastAsia" w:hAnsiTheme="minorEastAsia" w:cstheme="minorEastAsia"/>
                <w:kern w:val="0"/>
                <w:szCs w:val="21"/>
              </w:rPr>
            </w:pPr>
            <w:r>
              <w:t>154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308,000.00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高炮安全射界图更新</w:t>
            </w:r>
          </w:p>
        </w:tc>
        <w:tc>
          <w:tcPr/>
          <w:p>
            <w:pPr>
              <w:autoSpaceDE w:val="0"/>
              <w:jc w:val="center"/>
              <w:rPr>
                <w:rFonts w:asciiTheme="minorEastAsia" w:hAnsiTheme="minorEastAsia" w:cstheme="minorEastAsia"/>
                <w:kern w:val="0"/>
                <w:szCs w:val="21"/>
              </w:rPr>
            </w:pPr>
            <w:r>
              <w:t>154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308,000.00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对讲机</w:t>
            </w:r>
          </w:p>
        </w:tc>
        <w:tc>
          <w:tcPr/>
          <w:p>
            <w:pPr>
              <w:autoSpaceDE w:val="0"/>
              <w:jc w:val="center"/>
              <w:rPr>
                <w:rFonts w:asciiTheme="minorEastAsia" w:hAnsiTheme="minorEastAsia" w:cstheme="minorEastAsia"/>
                <w:kern w:val="0"/>
                <w:szCs w:val="21"/>
              </w:rPr>
            </w:pPr>
            <w:r>
              <w:t>240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360,000.00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高炮作业点1个铭牌、4个警示标识、1个十不准制度牌</w:t>
            </w:r>
          </w:p>
        </w:tc>
        <w:tc>
          <w:tcPr/>
          <w:p>
            <w:pPr>
              <w:autoSpaceDE w:val="0"/>
              <w:jc w:val="center"/>
              <w:rPr>
                <w:rFonts w:asciiTheme="minorEastAsia" w:hAnsiTheme="minorEastAsia" w:cstheme="minorEastAsia"/>
                <w:kern w:val="0"/>
                <w:szCs w:val="21"/>
              </w:rPr>
            </w:pPr>
            <w:r>
              <w:t>154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154,000.00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3,340,000.00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21"/>
        <w:gridCol w:w="1497"/>
        <w:gridCol w:w="3315"/>
        <w:gridCol w:w="421"/>
        <w:gridCol w:w="959"/>
        <w:gridCol w:w="799"/>
        <w:gridCol w:w="690"/>
        <w:gridCol w:w="42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5"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业务部(001057019005)</w:t>
            </w:r>
          </w:p>
        </w:tc>
        <w:tc>
          <w:tcPr/>
          <w:p>
            <w:r>
              <w:t>移动布控球</w:t>
            </w:r>
          </w:p>
        </w:tc>
        <w:tc>
          <w:tcPr/>
          <w:p>
            <w:r>
              <w:t>120</w:t>
            </w:r>
          </w:p>
        </w:tc>
        <w:tc>
          <w:tcPr/>
          <w:p>
            <w:r>
              <w:t>1440000.00</w:t>
            </w:r>
          </w:p>
        </w:tc>
        <w:tc>
          <w:tcPr>
            <w:vMerge w:val="restart"/>
          </w:tcPr>
          <w:p>
            <w:r>
              <w:t xml:space="preserve">3340000.00  </w:t>
            </w:r>
          </w:p>
        </w:tc>
        <w:tc>
          <w:tcPr/>
          <w:p/>
        </w:tc>
        <w:tc>
          <w:tcPr/>
          <w:p/>
        </w:tc>
      </w:tr>
      <w:tr>
        <w:tblPrEx>
          <w:tblW w:w="5000" w:type="pct"/>
          <w:tblCellMar>
            <w:left w:w="108" w:type="dxa"/>
            <w:right w:w="108" w:type="dxa"/>
          </w:tblCellMar>
        </w:tblPrEx>
        <w:tc>
          <w:tcPr/>
          <w:p>
            <w:r>
              <w:t>2</w:t>
            </w:r>
          </w:p>
        </w:tc>
        <w:tc>
          <w:tcPr>
            <w:vMerge/>
          </w:tcPr>
          <w:p>
            <w:r>
              <w:t>青海省气象灾害防御技术中心(001057019005)</w:t>
            </w:r>
          </w:p>
        </w:tc>
        <w:tc>
          <w:tcPr/>
          <w:p>
            <w:r>
              <w:t>公告牌</w:t>
            </w:r>
          </w:p>
        </w:tc>
        <w:tc>
          <w:tcPr/>
          <w:p>
            <w:r>
              <w:t>154</w:t>
            </w:r>
          </w:p>
        </w:tc>
        <w:tc>
          <w:tcPr/>
          <w:p>
            <w:r>
              <w:t>770000.00</w:t>
            </w:r>
          </w:p>
        </w:tc>
        <w:tc>
          <w:tcPr>
            <w:vMerge/>
          </w:tcPr>
          <w:p>
            <w:r>
              <w:t xml:space="preserve">3340000.00  </w:t>
            </w:r>
          </w:p>
        </w:tc>
        <w:tc>
          <w:tcPr/>
          <w:p/>
        </w:tc>
        <w:tc>
          <w:tcPr/>
          <w:p/>
        </w:tc>
      </w:tr>
      <w:tr>
        <w:tblPrEx>
          <w:tblW w:w="5000" w:type="pct"/>
          <w:tblCellMar>
            <w:left w:w="108" w:type="dxa"/>
            <w:right w:w="108" w:type="dxa"/>
          </w:tblCellMar>
        </w:tblPrEx>
        <w:tc>
          <w:tcPr/>
          <w:p>
            <w:r>
              <w:t>3</w:t>
            </w:r>
          </w:p>
        </w:tc>
        <w:tc>
          <w:tcPr>
            <w:vMerge/>
          </w:tcPr>
          <w:p>
            <w:r>
              <w:t>青海省气象灾害防御技术中心(001057019005)</w:t>
            </w:r>
          </w:p>
        </w:tc>
        <w:tc>
          <w:tcPr/>
          <w:p>
            <w:r>
              <w:t>对讲机</w:t>
            </w:r>
          </w:p>
        </w:tc>
        <w:tc>
          <w:tcPr/>
          <w:p>
            <w:r>
              <w:t>240</w:t>
            </w:r>
          </w:p>
        </w:tc>
        <w:tc>
          <w:tcPr/>
          <w:p>
            <w:r>
              <w:t>360000.00</w:t>
            </w:r>
          </w:p>
        </w:tc>
        <w:tc>
          <w:tcPr>
            <w:vMerge/>
          </w:tcPr>
          <w:p>
            <w:r>
              <w:t xml:space="preserve">3340000.00  </w:t>
            </w:r>
          </w:p>
        </w:tc>
        <w:tc>
          <w:tcPr/>
          <w:p/>
        </w:tc>
        <w:tc>
          <w:tcPr/>
          <w:p/>
        </w:tc>
      </w:tr>
      <w:tr>
        <w:tblPrEx>
          <w:tblW w:w="5000" w:type="pct"/>
          <w:tblCellMar>
            <w:left w:w="108" w:type="dxa"/>
            <w:right w:w="108" w:type="dxa"/>
          </w:tblCellMar>
        </w:tblPrEx>
        <w:tc>
          <w:tcPr/>
          <w:p>
            <w:r>
              <w:t>4</w:t>
            </w:r>
          </w:p>
        </w:tc>
        <w:tc>
          <w:tcPr>
            <w:vMerge/>
          </w:tcPr>
          <w:p>
            <w:r>
              <w:t>青海省气象灾害防御技术中心(001057019005)</w:t>
            </w:r>
          </w:p>
        </w:tc>
        <w:tc>
          <w:tcPr/>
          <w:p>
            <w:r>
              <w:t>高炮作业点1个铭牌、4个警示标识、1个十不准制度牌</w:t>
            </w:r>
          </w:p>
        </w:tc>
        <w:tc>
          <w:tcPr/>
          <w:p>
            <w:r>
              <w:t>154</w:t>
            </w:r>
          </w:p>
        </w:tc>
        <w:tc>
          <w:tcPr/>
          <w:p>
            <w:r>
              <w:t>154000.00</w:t>
            </w:r>
          </w:p>
        </w:tc>
        <w:tc>
          <w:tcPr>
            <w:vMerge/>
          </w:tcPr>
          <w:p>
            <w:r>
              <w:t xml:space="preserve">3340000.00  </w:t>
            </w:r>
          </w:p>
        </w:tc>
        <w:tc>
          <w:tcPr/>
          <w:p/>
        </w:tc>
        <w:tc>
          <w:tcPr/>
          <w:p/>
        </w:tc>
      </w:tr>
      <w:tr>
        <w:tblPrEx>
          <w:tblW w:w="5000" w:type="pct"/>
          <w:tblCellMar>
            <w:left w:w="108" w:type="dxa"/>
            <w:right w:w="108" w:type="dxa"/>
          </w:tblCellMar>
        </w:tblPrEx>
        <w:tc>
          <w:tcPr/>
          <w:p>
            <w:r>
              <w:t>5</w:t>
            </w:r>
          </w:p>
        </w:tc>
        <w:tc>
          <w:tcPr>
            <w:vMerge/>
          </w:tcPr>
          <w:p>
            <w:r>
              <w:t>青海省气象灾害防御技术中心(001057019005)</w:t>
            </w:r>
          </w:p>
        </w:tc>
        <w:tc>
          <w:tcPr/>
          <w:p>
            <w:r>
              <w:t>高炮安全射界图地面喷绘</w:t>
            </w:r>
          </w:p>
        </w:tc>
        <w:tc>
          <w:tcPr/>
          <w:p>
            <w:r>
              <w:t>154</w:t>
            </w:r>
          </w:p>
        </w:tc>
        <w:tc>
          <w:tcPr/>
          <w:p>
            <w:r>
              <w:t>308000.00</w:t>
            </w:r>
          </w:p>
        </w:tc>
        <w:tc>
          <w:tcPr>
            <w:vMerge/>
          </w:tcPr>
          <w:p>
            <w:r>
              <w:t xml:space="preserve">3340000.00  </w:t>
            </w:r>
          </w:p>
        </w:tc>
        <w:tc>
          <w:tcPr/>
          <w:p/>
        </w:tc>
        <w:tc>
          <w:tcPr/>
          <w:p/>
        </w:tc>
      </w:tr>
      <w:tr>
        <w:tblPrEx>
          <w:tblW w:w="5000" w:type="pct"/>
          <w:tblCellMar>
            <w:left w:w="108" w:type="dxa"/>
            <w:right w:w="108" w:type="dxa"/>
          </w:tblCellMar>
        </w:tblPrEx>
        <w:tc>
          <w:tcPr/>
          <w:p>
            <w:r>
              <w:t>6</w:t>
            </w:r>
          </w:p>
        </w:tc>
        <w:tc>
          <w:tcPr>
            <w:vMerge/>
          </w:tcPr>
          <w:p>
            <w:r>
              <w:t>青海省气象灾害防御技术中心(001057019005)</w:t>
            </w:r>
          </w:p>
        </w:tc>
        <w:tc>
          <w:tcPr/>
          <w:p>
            <w:r>
              <w:t>高炮安全射界图更新</w:t>
            </w:r>
          </w:p>
        </w:tc>
        <w:tc>
          <w:tcPr/>
          <w:p>
            <w:r>
              <w:t>154</w:t>
            </w:r>
          </w:p>
        </w:tc>
        <w:tc>
          <w:tcPr/>
          <w:p>
            <w:r>
              <w:t>308000.00</w:t>
            </w:r>
          </w:p>
        </w:tc>
        <w:tc>
          <w:tcPr>
            <w:vMerge/>
          </w:tcPr>
          <w:p>
            <w:r>
              <w:t xml:space="preserve">3340000.00  </w:t>
            </w:r>
          </w:p>
        </w:tc>
        <w:tc>
          <w:tcPr/>
          <w:p/>
        </w:tc>
        <w:tc>
          <w:tcPr/>
          <w:p/>
        </w:tc>
      </w:tr>
    </w:tbl>
    <w:p w:rsidR="00A77B3E"/>
    <w:p>
      <w:pPr>
        <w:spacing w:line="360" w:lineRule="auto"/>
        <w:rPr>
          <w:rFonts w:ascii="宋体" w:hAnsi="宋体"/>
          <w:szCs w:val="21"/>
        </w:rPr>
      </w:pPr>
      <w:bookmarkEnd w:id="65"/>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6"/>
    </w:p>
    <w:p w:rsidR="00BC48C2">
      <w:pPr>
        <w:tabs>
          <w:tab w:val="left" w:pos="1573"/>
        </w:tabs>
        <w:adjustRightInd w:val="0"/>
        <w:snapToGrid w:val="0"/>
        <w:spacing w:line="360" w:lineRule="auto"/>
        <w:jc w:val="center"/>
        <w:outlineLvl w:val="1"/>
        <w:rPr>
          <w:b/>
          <w:bCs/>
          <w:sz w:val="30"/>
          <w:szCs w:val="30"/>
        </w:rPr>
      </w:pPr>
      <w:bookmarkStart w:id="66"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BC48C2">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BC48C2">
            <w:pPr>
              <w:rPr>
                <w:sz w:val="18"/>
                <w:szCs w:val="18"/>
              </w:rPr>
            </w:pPr>
            <w:r>
              <w:rPr>
                <w:rFonts w:hint="eastAsia"/>
                <w:sz w:val="18"/>
                <w:szCs w:val="18"/>
              </w:rPr>
              <w:t>序号</w:t>
            </w:r>
          </w:p>
        </w:tc>
        <w:tc>
          <w:tcPr>
            <w:tcW w:w="898" w:type="dxa"/>
            <w:vAlign w:val="center"/>
          </w:tcPr>
          <w:p w:rsidR="00BC48C2">
            <w:pPr>
              <w:jc w:val="center"/>
              <w:rPr>
                <w:sz w:val="18"/>
                <w:szCs w:val="18"/>
              </w:rPr>
            </w:pPr>
            <w:r>
              <w:rPr>
                <w:rFonts w:hint="eastAsia"/>
                <w:sz w:val="18"/>
                <w:szCs w:val="18"/>
              </w:rPr>
              <w:t>对应</w:t>
            </w:r>
          </w:p>
          <w:p w:rsidR="00BC48C2">
            <w:pPr>
              <w:jc w:val="center"/>
              <w:rPr>
                <w:sz w:val="18"/>
                <w:szCs w:val="18"/>
              </w:rPr>
            </w:pPr>
            <w:r>
              <w:rPr>
                <w:rFonts w:hint="eastAsia"/>
                <w:sz w:val="18"/>
                <w:szCs w:val="18"/>
              </w:rPr>
              <w:t>条款号</w:t>
            </w:r>
          </w:p>
        </w:tc>
        <w:tc>
          <w:tcPr>
            <w:tcW w:w="7347" w:type="dxa"/>
            <w:vAlign w:val="center"/>
          </w:tcPr>
          <w:p w:rsidR="00BC48C2">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8789" w:type="dxa"/>
          <w:tblLayout w:type="fixed"/>
          <w:tblLook w:val="04A0"/>
        </w:tblPrEx>
        <w:trPr>
          <w:cantSplit/>
        </w:trPr>
        <w:tc>
          <w:tcPr>
            <w:tcW w:w="8789" w:type="dxa"/>
            <w:gridSpan w:val="3"/>
            <w:vAlign w:val="center"/>
          </w:tcPr>
          <w:p w:rsidR="00BC48C2">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8789" w:type="dxa"/>
          <w:tblLayout w:type="fixed"/>
          <w:tblLook w:val="04A0"/>
        </w:tblPrEx>
        <w:trPr>
          <w:cantSplit/>
        </w:trPr>
        <w:tc>
          <w:tcPr>
            <w:tcW w:w="544" w:type="dxa"/>
            <w:vAlign w:val="center"/>
          </w:tcPr>
          <w:p w:rsidR="00BC48C2">
            <w:pPr>
              <w:numPr>
                <w:ilvl w:val="0"/>
                <w:numId w:val="11"/>
              </w:numPr>
              <w:rPr>
                <w:rFonts w:ascii="宋体" w:hAnsi="宋体"/>
                <w:sz w:val="18"/>
                <w:szCs w:val="18"/>
              </w:rPr>
            </w:pPr>
          </w:p>
        </w:tc>
        <w:tc>
          <w:tcPr>
            <w:tcW w:w="898" w:type="dxa"/>
            <w:vAlign w:val="center"/>
          </w:tcPr>
          <w:p w:rsidR="00BC48C2">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BC48C2">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无</w:t>
            </w:r>
          </w:p>
        </w:tc>
      </w:tr>
      <w:tr>
        <w:tblPrEx>
          <w:tblW w:w="8789" w:type="dxa"/>
          <w:tblLayout w:type="fixed"/>
          <w:tblLook w:val="04A0"/>
        </w:tblPrEx>
        <w:trPr>
          <w:cantSplit/>
        </w:trPr>
        <w:tc>
          <w:tcPr>
            <w:tcW w:w="8789" w:type="dxa"/>
            <w:gridSpan w:val="3"/>
            <w:vAlign w:val="center"/>
          </w:tcPr>
          <w:p w:rsidR="00BC48C2">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8789" w:type="dxa"/>
          <w:tblLayout w:type="fixed"/>
          <w:tblLook w:val="04A0"/>
        </w:tblPrEx>
        <w:trPr>
          <w:cantSplit/>
        </w:trPr>
        <w:tc>
          <w:tcPr>
            <w:tcW w:w="544" w:type="dxa"/>
            <w:vAlign w:val="center"/>
          </w:tcPr>
          <w:p w:rsidR="00BC48C2">
            <w:pPr>
              <w:numPr>
                <w:ilvl w:val="0"/>
                <w:numId w:val="11"/>
              </w:numPr>
              <w:rPr>
                <w:rFonts w:ascii="宋体" w:hAnsi="宋体"/>
                <w:sz w:val="18"/>
                <w:szCs w:val="18"/>
              </w:rPr>
            </w:pPr>
          </w:p>
        </w:tc>
        <w:tc>
          <w:tcPr>
            <w:tcW w:w="898" w:type="dxa"/>
            <w:vAlign w:val="center"/>
          </w:tcPr>
          <w:p w:rsidR="00BC48C2">
            <w:pPr>
              <w:jc w:val="center"/>
              <w:rPr>
                <w:rFonts w:ascii="宋体" w:hAnsi="宋体"/>
                <w:sz w:val="18"/>
                <w:szCs w:val="18"/>
              </w:rPr>
            </w:pPr>
            <w:r>
              <w:rPr>
                <w:rFonts w:ascii="宋体" w:hAnsi="宋体" w:hint="eastAsia"/>
                <w:sz w:val="18"/>
                <w:szCs w:val="18"/>
              </w:rPr>
              <w:t>五</w:t>
            </w:r>
          </w:p>
        </w:tc>
        <w:tc>
          <w:tcPr>
            <w:tcW w:w="7347" w:type="dxa"/>
            <w:vAlign w:val="center"/>
          </w:tcPr>
          <w:p w:rsidR="00BC48C2">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设备运行及维保期：≥</w:t>
            </w:r>
            <w:r>
              <w:rPr>
                <w:rFonts w:ascii="宋体" w:hAnsi="宋体" w:cs="微软雅黑" w:hint="eastAsia"/>
                <w:b/>
                <w:color w:val="0000FF"/>
                <w:kern w:val="0"/>
                <w:sz w:val="18"/>
                <w:szCs w:val="18"/>
              </w:rPr>
              <w:t xml:space="preserve">8 </w:t>
            </w:r>
            <w:r>
              <w:rPr>
                <w:rFonts w:ascii="宋体" w:hAnsi="宋体" w:cs="微软雅黑" w:hint="eastAsia"/>
                <w:b/>
                <w:color w:val="0000FF"/>
                <w:kern w:val="0"/>
                <w:sz w:val="18"/>
                <w:szCs w:val="18"/>
              </w:rPr>
              <w:t>年并提供承诺函（</w:t>
            </w:r>
            <w:r>
              <w:rPr>
                <w:rFonts w:ascii="宋体" w:hAnsi="宋体" w:cs="微软雅黑" w:hint="eastAsia"/>
                <w:b/>
                <w:color w:val="0000FF"/>
                <w:kern w:val="0"/>
                <w:sz w:val="18"/>
                <w:szCs w:val="18"/>
              </w:rPr>
              <w:t>3</w:t>
            </w:r>
            <w:r>
              <w:rPr>
                <w:rFonts w:ascii="宋体" w:hAnsi="宋体" w:cs="微软雅黑" w:hint="eastAsia"/>
                <w:b/>
                <w:color w:val="0000FF"/>
                <w:kern w:val="0"/>
                <w:sz w:val="18"/>
                <w:szCs w:val="18"/>
              </w:rPr>
              <w:t>年质保和</w:t>
            </w:r>
            <w:r>
              <w:rPr>
                <w:rFonts w:ascii="宋体" w:hAnsi="宋体" w:cs="微软雅黑" w:hint="eastAsia"/>
                <w:b/>
                <w:color w:val="0000FF"/>
                <w:kern w:val="0"/>
                <w:sz w:val="18"/>
                <w:szCs w:val="18"/>
              </w:rPr>
              <w:t>5</w:t>
            </w:r>
            <w:r>
              <w:rPr>
                <w:rFonts w:ascii="宋体" w:hAnsi="宋体" w:cs="微软雅黑" w:hint="eastAsia"/>
                <w:b/>
                <w:color w:val="0000FF"/>
                <w:kern w:val="0"/>
                <w:sz w:val="18"/>
                <w:szCs w:val="18"/>
              </w:rPr>
              <w:t>年维保）</w:t>
            </w:r>
          </w:p>
        </w:tc>
      </w:tr>
    </w:tbl>
    <w:p w:rsidR="00BC48C2">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6"/>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ind w:right="-693" w:rightChars="-330"/>
        <w:rPr>
          <w:rFonts w:eastAsia="黑体" w:hint="default"/>
          <w:b w:val="0"/>
          <w:bCs w:val="0"/>
          <w:color w:val="auto"/>
          <w:sz w:val="28"/>
          <w:szCs w:val="28"/>
        </w:rPr>
      </w:pPr>
      <w:bookmarkStart w:id="67" w:name="采购公告合同部分_ZBGGHT"/>
      <w:r>
        <w:rPr>
          <w:rFonts w:ascii="Times New Roman" w:eastAsia="黑体" w:hAnsi="Times New Roman" w:cs="Times New Roman" w:hint="default"/>
          <w:b w:val="0"/>
          <w:bCs w:val="0"/>
          <w:color w:val="auto"/>
          <w:sz w:val="28"/>
          <w:szCs w:val="28"/>
        </w:rPr>
        <w:t>合同编号：</w:t>
      </w:r>
    </w:p>
    <w:p>
      <w:pPr>
        <w:spacing w:line="360" w:lineRule="auto"/>
        <w:ind w:right="-693" w:rightChars="-330"/>
        <w:rPr>
          <w:rFonts w:eastAsia="黑体" w:hint="default"/>
          <w:b w:val="0"/>
          <w:bCs w:val="0"/>
          <w:color w:val="auto"/>
          <w:sz w:val="28"/>
          <w:szCs w:val="28"/>
        </w:rPr>
      </w:pPr>
    </w:p>
    <w:p>
      <w:pPr>
        <w:spacing w:line="360" w:lineRule="auto"/>
        <w:ind w:right="-693" w:rightChars="-330"/>
        <w:rPr>
          <w:rFonts w:hint="default"/>
          <w:color w:val="auto"/>
          <w:sz w:val="28"/>
        </w:rPr>
      </w:pPr>
      <w:r>
        <w:rPr>
          <w:rFonts w:ascii="Times New Roman" w:eastAsia="楷体_GB2312" w:hAnsi="Times New Roman" w:cs="Times New Roman" w:hint="default"/>
          <w:color w:val="auto"/>
          <w:sz w:val="28"/>
          <w:lang w:val="en-US" w:eastAsia="zh-CN"/>
        </w:rPr>
        <w:t>青海</w:t>
      </w:r>
      <w:r>
        <w:rPr>
          <w:rFonts w:ascii="Times New Roman" w:eastAsia="楷体_GB2312" w:hAnsi="Times New Roman" w:cs="Times New Roman" w:hint="eastAsia"/>
          <w:color w:val="auto"/>
          <w:sz w:val="28"/>
          <w:lang w:val="en-US" w:eastAsia="zh-CN"/>
        </w:rPr>
        <w:t>省人工影响天气水资源保障</w:t>
      </w:r>
      <w:r>
        <w:rPr>
          <w:rFonts w:ascii="Times New Roman" w:eastAsia="楷体_GB2312" w:hAnsi="Times New Roman" w:cs="Times New Roman" w:hint="default"/>
          <w:color w:val="auto"/>
          <w:sz w:val="28"/>
          <w:lang w:val="en-US" w:eastAsia="zh-CN"/>
        </w:rPr>
        <w:t>工程</w:t>
      </w:r>
    </w:p>
    <w:p>
      <w:pPr>
        <w:spacing w:line="360" w:lineRule="auto"/>
        <w:ind w:right="-693" w:rightChars="-330"/>
        <w:rPr>
          <w:rFonts w:hint="default"/>
          <w:color w:val="auto"/>
          <w:sz w:val="28"/>
        </w:rPr>
      </w:pPr>
    </w:p>
    <w:p>
      <w:pPr>
        <w:spacing w:line="360" w:lineRule="auto"/>
        <w:ind w:right="-693" w:rightChars="-330"/>
        <w:rPr>
          <w:rFonts w:hint="default"/>
          <w:color w:val="auto"/>
          <w:sz w:val="28"/>
        </w:rPr>
      </w:pPr>
    </w:p>
    <w:p>
      <w:pPr>
        <w:spacing w:line="360" w:lineRule="auto"/>
        <w:ind w:right="0" w:rightChars="0"/>
        <w:jc w:val="center"/>
        <w:rPr>
          <w:rFonts w:eastAsia="方正小标宋简体" w:hint="default"/>
          <w:b/>
          <w:color w:val="auto"/>
          <w:sz w:val="48"/>
          <w:szCs w:val="48"/>
        </w:rPr>
      </w:pPr>
    </w:p>
    <w:p>
      <w:pPr>
        <w:spacing w:line="360" w:lineRule="auto"/>
        <w:ind w:right="0" w:rightChars="0"/>
        <w:jc w:val="center"/>
        <w:rPr>
          <w:rFonts w:eastAsia="方正小标宋简体" w:hint="default"/>
          <w:b/>
          <w:color w:val="auto"/>
          <w:sz w:val="48"/>
          <w:szCs w:val="48"/>
        </w:rPr>
      </w:pPr>
      <w:r>
        <w:rPr>
          <w:rFonts w:ascii="Times New Roman" w:eastAsia="方正小标宋简体" w:hAnsi="Times New Roman" w:cs="Times New Roman" w:hint="default"/>
          <w:b/>
          <w:color w:val="auto"/>
          <w:sz w:val="48"/>
          <w:szCs w:val="48"/>
        </w:rPr>
        <w:t>采购合同书</w:t>
      </w:r>
    </w:p>
    <w:p>
      <w:pPr>
        <w:spacing w:line="360" w:lineRule="auto"/>
        <w:ind w:right="-693" w:firstLine="3840" w:rightChars="-330" w:firstLineChars="800"/>
        <w:jc w:val="both"/>
        <w:rPr>
          <w:rFonts w:hint="default"/>
          <w:b/>
          <w:color w:val="auto"/>
          <w:sz w:val="48"/>
          <w:szCs w:val="48"/>
        </w:rPr>
      </w:pPr>
    </w:p>
    <w:p>
      <w:pPr>
        <w:spacing w:line="360" w:lineRule="auto"/>
        <w:ind w:right="-693" w:firstLine="3840" w:rightChars="-330" w:firstLineChars="800"/>
        <w:jc w:val="both"/>
        <w:rPr>
          <w:rFonts w:hint="default"/>
          <w:b/>
          <w:color w:val="auto"/>
          <w:sz w:val="48"/>
          <w:szCs w:val="48"/>
        </w:rPr>
      </w:pPr>
    </w:p>
    <w:p>
      <w:pPr>
        <w:spacing w:line="360" w:lineRule="auto"/>
        <w:ind w:right="-693" w:firstLine="3840" w:rightChars="-330" w:firstLineChars="800"/>
        <w:jc w:val="both"/>
        <w:rPr>
          <w:rFonts w:hint="default"/>
          <w:b/>
          <w:color w:val="auto"/>
          <w:sz w:val="48"/>
          <w:szCs w:val="48"/>
        </w:rPr>
      </w:pPr>
    </w:p>
    <w:p>
      <w:pPr>
        <w:spacing w:line="360" w:lineRule="auto"/>
        <w:ind w:right="-693" w:firstLine="3840" w:rightChars="-330" w:firstLineChars="800"/>
        <w:jc w:val="both"/>
        <w:rPr>
          <w:rFonts w:hint="default"/>
          <w:b/>
          <w:color w:val="auto"/>
          <w:sz w:val="48"/>
          <w:szCs w:val="48"/>
        </w:rPr>
      </w:pPr>
    </w:p>
    <w:p>
      <w:pPr>
        <w:spacing w:line="360" w:lineRule="auto"/>
        <w:ind w:right="-693" w:firstLine="3840" w:rightChars="-330" w:firstLineChars="800"/>
        <w:jc w:val="both"/>
        <w:rPr>
          <w:rFonts w:hint="default"/>
          <w:b/>
          <w:color w:val="auto"/>
          <w:sz w:val="48"/>
          <w:szCs w:val="48"/>
        </w:rPr>
      </w:pPr>
    </w:p>
    <w:p>
      <w:pPr>
        <w:spacing w:line="360" w:lineRule="auto"/>
        <w:ind w:right="-693" w:firstLine="2240" w:rightChars="-330" w:firstLineChars="800"/>
        <w:jc w:val="both"/>
        <w:rPr>
          <w:rFonts w:hint="default"/>
          <w:color w:val="auto"/>
          <w:sz w:val="28"/>
        </w:rPr>
      </w:pPr>
    </w:p>
    <w:p>
      <w:pPr>
        <w:widowControl/>
        <w:spacing w:line="360" w:lineRule="auto"/>
        <w:ind w:firstLine="2240" w:firstLineChars="800"/>
        <w:rPr>
          <w:rFonts w:hint="default"/>
          <w:b/>
          <w:bCs/>
          <w:color w:val="auto"/>
          <w:sz w:val="28"/>
          <w:szCs w:val="28"/>
          <w:u w:val="single"/>
          <w:lang w:bidi="ar"/>
        </w:rPr>
      </w:pPr>
      <w:r>
        <w:rPr>
          <w:rFonts w:ascii="Times New Roman" w:eastAsia="宋体" w:hAnsi="Times New Roman" w:cs="Times New Roman" w:hint="default"/>
          <w:b/>
          <w:bCs/>
          <w:color w:val="auto"/>
          <w:sz w:val="28"/>
          <w:szCs w:val="28"/>
          <w:u w:val="single"/>
          <w:lang w:bidi="ar"/>
        </w:rPr>
        <w:t>甲方：</w:t>
      </w:r>
      <w:r>
        <w:rPr>
          <w:rFonts w:ascii="Times New Roman" w:hAnsi="Times New Roman" w:cs="Times New Roman" w:hint="default"/>
          <w:b/>
          <w:bCs/>
          <w:color w:val="auto"/>
          <w:sz w:val="28"/>
          <w:szCs w:val="28"/>
          <w:u w:val="single"/>
          <w:lang w:bidi="ar"/>
        </w:rPr>
        <w:t>青海省气象灾害防御技术中心</w:t>
      </w:r>
    </w:p>
    <w:p>
      <w:pPr>
        <w:widowControl/>
        <w:spacing w:line="360" w:lineRule="auto"/>
        <w:ind w:firstLine="2240" w:firstLineChars="800"/>
        <w:rPr>
          <w:rFonts w:hint="default"/>
          <w:color w:val="auto"/>
          <w:sz w:val="28"/>
        </w:rPr>
        <w:sectPr>
          <w:headerReference w:type="default" r:id="rId8"/>
          <w:footerReference w:type="default" r:id="rId9"/>
          <w:pgSz w:w="11906" w:h="16838"/>
          <w:pgMar w:top="1417" w:right="1701" w:bottom="1417" w:left="1701" w:header="851" w:footer="992" w:gutter="0"/>
          <w:pgNumType w:fmt="decimal"/>
          <w:cols w:num="1" w:space="720"/>
          <w:docGrid w:type="lines" w:linePitch="312" w:charSpace="0"/>
        </w:sectPr>
      </w:pPr>
      <w:r>
        <w:rPr>
          <w:rFonts w:ascii="Times New Roman" w:eastAsia="宋体" w:hAnsi="Times New Roman" w:cs="Times New Roman" w:hint="default"/>
          <w:b/>
          <w:bCs/>
          <w:color w:val="auto"/>
          <w:sz w:val="28"/>
          <w:szCs w:val="28"/>
          <w:u w:val="single"/>
          <w:lang w:bidi="ar"/>
        </w:rPr>
        <w:t>乙方：</w:t>
      </w:r>
      <w:r>
        <w:rPr>
          <w:rFonts w:ascii="Times New Roman" w:hAnsi="Times New Roman" w:cs="Times New Roman" w:hint="eastAsia"/>
          <w:b/>
          <w:bCs/>
          <w:color w:val="auto"/>
          <w:sz w:val="28"/>
          <w:szCs w:val="28"/>
          <w:u w:val="single"/>
          <w:lang w:val="en-US" w:eastAsia="zh-CN" w:bidi="ar"/>
        </w:rPr>
        <w:t xml:space="preserve">                 </w:t>
      </w:r>
      <w:r>
        <w:rPr>
          <w:rFonts w:ascii="Times New Roman" w:eastAsia="宋体" w:hAnsi="Times New Roman" w:cs="Times New Roman" w:hint="eastAsia"/>
          <w:b/>
          <w:bCs/>
          <w:color w:val="auto"/>
          <w:sz w:val="28"/>
          <w:szCs w:val="28"/>
          <w:u w:val="single"/>
          <w:lang w:bidi="ar"/>
        </w:rPr>
        <w:t>有限公司</w:t>
      </w:r>
      <w:r>
        <w:rPr>
          <w:rFonts w:ascii="Times New Roman" w:eastAsia="宋体" w:hAnsi="Times New Roman" w:cs="Times New Roman" w:hint="default"/>
          <w:b/>
          <w:bCs/>
          <w:color w:val="auto"/>
          <w:sz w:val="28"/>
          <w:szCs w:val="28"/>
          <w:u w:val="single"/>
          <w:lang w:val="en-US" w:eastAsia="zh-CN" w:bidi="ar"/>
        </w:rPr>
        <w:t xml:space="preserve">  </w:t>
      </w:r>
    </w:p>
    <w:p>
      <w:pPr>
        <w:pStyle w:val="BodyText"/>
        <w:tabs>
          <w:tab w:val="left" w:pos="2351"/>
          <w:tab w:val="left" w:pos="3084"/>
          <w:tab w:val="left" w:pos="3242"/>
          <w:tab w:val="left" w:pos="3926"/>
          <w:tab w:val="left" w:pos="5551"/>
        </w:tabs>
        <w:ind w:right="0"/>
        <w:rPr>
          <w:rFonts w:ascii="Times New Roman" w:hAnsi="Times New Roman" w:cs="Times New Roman" w:hint="default"/>
          <w:color w:val="auto"/>
          <w:sz w:val="28"/>
          <w:szCs w:val="28"/>
          <w:lang w:val="en-US"/>
        </w:rPr>
      </w:pP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甲方所需</w:t>
      </w:r>
      <w:r>
        <w:rPr>
          <w:rFonts w:ascii="Times New Roman" w:eastAsia="宋体" w:hAnsi="Times New Roman" w:cs="Times New Roman" w:hint="eastAsia"/>
          <w:color w:val="auto"/>
          <w:kern w:val="2"/>
          <w:sz w:val="28"/>
          <w:szCs w:val="28"/>
          <w:lang w:val="en-US" w:eastAsia="zh-CN" w:bidi="ar-SA"/>
        </w:rPr>
        <w:t xml:space="preserve">    </w:t>
      </w:r>
      <w:r>
        <w:rPr>
          <w:rFonts w:ascii="Times New Roman" w:eastAsia="宋体" w:hAnsi="Times New Roman" w:cs="Times New Roman" w:hint="default"/>
          <w:color w:val="auto"/>
          <w:kern w:val="2"/>
          <w:sz w:val="28"/>
          <w:szCs w:val="28"/>
          <w:lang w:val="en-US" w:eastAsia="zh-CN" w:bidi="ar-SA"/>
        </w:rPr>
        <w:t>由中国气象局政府采购中心于</w:t>
      </w:r>
      <w:r>
        <w:rPr>
          <w:rFonts w:ascii="Times New Roman" w:eastAsia="宋体" w:hAnsi="Times New Roman" w:cs="Times New Roman" w:hint="default"/>
          <w:color w:val="auto"/>
          <w:kern w:val="2"/>
          <w:sz w:val="28"/>
          <w:szCs w:val="28"/>
          <w:highlight w:val="none"/>
          <w:lang w:val="en-US" w:eastAsia="zh-CN" w:bidi="ar-SA"/>
        </w:rPr>
        <w:t>202</w:t>
      </w:r>
      <w:r>
        <w:rPr>
          <w:rFonts w:ascii="Times New Roman" w:eastAsia="宋体" w:hAnsi="Times New Roman" w:cs="Times New Roman" w:hint="eastAsia"/>
          <w:color w:val="auto"/>
          <w:kern w:val="2"/>
          <w:sz w:val="28"/>
          <w:szCs w:val="28"/>
          <w:highlight w:val="none"/>
          <w:lang w:val="en-US" w:eastAsia="zh-CN" w:bidi="ar-SA"/>
        </w:rPr>
        <w:t>6</w:t>
      </w:r>
      <w:r>
        <w:rPr>
          <w:rFonts w:ascii="Times New Roman" w:eastAsia="宋体" w:hAnsi="Times New Roman" w:cs="Times New Roman" w:hint="default"/>
          <w:color w:val="auto"/>
          <w:kern w:val="2"/>
          <w:sz w:val="28"/>
          <w:szCs w:val="28"/>
          <w:highlight w:val="none"/>
          <w:lang w:val="en-US" w:eastAsia="zh-CN" w:bidi="ar-SA"/>
        </w:rPr>
        <w:t>年</w:t>
      </w:r>
      <w:r>
        <w:rPr>
          <w:rFonts w:ascii="Times New Roman" w:eastAsia="宋体" w:hAnsi="Times New Roman" w:cs="Times New Roman" w:hint="eastAsia"/>
          <w:color w:val="auto"/>
          <w:kern w:val="2"/>
          <w:sz w:val="28"/>
          <w:szCs w:val="28"/>
          <w:highlight w:val="none"/>
          <w:lang w:val="en-US" w:eastAsia="zh-CN" w:bidi="ar-SA"/>
        </w:rPr>
        <w:t xml:space="preserve"> </w:t>
      </w:r>
      <w:r>
        <w:rPr>
          <w:rFonts w:ascii="Times New Roman" w:eastAsia="宋体" w:hAnsi="Times New Roman" w:cs="Times New Roman" w:hint="default"/>
          <w:color w:val="auto"/>
          <w:kern w:val="2"/>
          <w:sz w:val="28"/>
          <w:szCs w:val="28"/>
          <w:highlight w:val="none"/>
          <w:lang w:val="en-US" w:eastAsia="zh-CN" w:bidi="ar-SA"/>
        </w:rPr>
        <w:t>月</w:t>
      </w:r>
      <w:r>
        <w:rPr>
          <w:rFonts w:ascii="Times New Roman" w:eastAsia="宋体" w:hAnsi="Times New Roman" w:cs="Times New Roman" w:hint="eastAsia"/>
          <w:color w:val="auto"/>
          <w:kern w:val="2"/>
          <w:sz w:val="28"/>
          <w:szCs w:val="28"/>
          <w:highlight w:val="none"/>
          <w:lang w:val="en-US" w:eastAsia="zh-CN" w:bidi="ar-SA"/>
        </w:rPr>
        <w:t xml:space="preserve"> </w:t>
      </w:r>
      <w:r>
        <w:rPr>
          <w:rFonts w:ascii="Times New Roman" w:eastAsia="宋体" w:hAnsi="Times New Roman" w:cs="Times New Roman" w:hint="default"/>
          <w:color w:val="auto"/>
          <w:kern w:val="2"/>
          <w:sz w:val="28"/>
          <w:szCs w:val="28"/>
          <w:highlight w:val="none"/>
          <w:lang w:val="en-US" w:eastAsia="zh-CN" w:bidi="ar-SA"/>
        </w:rPr>
        <w:t>日在北京组织公开招标采购（项目编号ZQC</w:t>
      </w:r>
      <w:r>
        <w:rPr>
          <w:rFonts w:ascii="Times New Roman" w:eastAsia="宋体" w:hAnsi="Times New Roman" w:cs="Times New Roman" w:hint="eastAsia"/>
          <w:color w:val="auto"/>
          <w:kern w:val="2"/>
          <w:sz w:val="28"/>
          <w:szCs w:val="28"/>
          <w:highlight w:val="none"/>
          <w:lang w:val="en-US" w:eastAsia="zh-CN" w:bidi="ar-SA"/>
        </w:rPr>
        <w:t>D</w:t>
      </w:r>
      <w:r>
        <w:rPr>
          <w:rFonts w:ascii="Times New Roman" w:eastAsia="宋体" w:hAnsi="Times New Roman" w:cs="Times New Roman" w:hint="default"/>
          <w:color w:val="auto"/>
          <w:kern w:val="2"/>
          <w:sz w:val="28"/>
          <w:szCs w:val="28"/>
          <w:highlight w:val="none"/>
          <w:lang w:val="en-US" w:eastAsia="zh-CN" w:bidi="ar-SA"/>
        </w:rPr>
        <w:t>-），</w:t>
      </w:r>
      <w:r>
        <w:rPr>
          <w:rFonts w:ascii="Times New Roman" w:eastAsia="宋体" w:hAnsi="Times New Roman" w:cs="Times New Roman" w:hint="default"/>
          <w:color w:val="auto"/>
          <w:kern w:val="2"/>
          <w:sz w:val="28"/>
          <w:szCs w:val="28"/>
          <w:lang w:val="en-US" w:eastAsia="zh-CN" w:bidi="ar-SA"/>
        </w:rPr>
        <w:t>经招标评审会评定，确定乙方中标。甲乙双方根据《中华人民共和国政府采购法》《中华人民共和国民法典》等相关法律法规以及本项目招标文件的规定，经平等协商达成合同如下：</w:t>
      </w:r>
    </w:p>
    <w:p>
      <w:pPr>
        <w:spacing w:line="360" w:lineRule="auto"/>
        <w:ind w:firstLine="560" w:firstLineChars="200"/>
        <w:rPr>
          <w:rFonts w:hint="default"/>
          <w:b/>
          <w:color w:val="auto"/>
          <w:sz w:val="28"/>
          <w:szCs w:val="28"/>
        </w:rPr>
      </w:pPr>
      <w:r>
        <w:rPr>
          <w:rFonts w:ascii="Times New Roman" w:hAnsi="Times New Roman" w:cs="Times New Roman" w:hint="default"/>
          <w:color w:val="auto"/>
          <w:sz w:val="28"/>
          <w:szCs w:val="28"/>
          <w:lang w:val="en-US" w:eastAsia="zh-CN"/>
        </w:rPr>
        <w:t>一</w:t>
      </w:r>
      <w:r>
        <w:rPr>
          <w:rFonts w:ascii="Times New Roman" w:hAnsi="Times New Roman" w:cs="Times New Roman" w:hint="default"/>
          <w:b/>
          <w:color w:val="auto"/>
          <w:spacing w:val="-3"/>
          <w:sz w:val="28"/>
          <w:szCs w:val="28"/>
        </w:rPr>
        <w:t>、定义</w:t>
      </w: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1.采购人名称：青海省气象灾害防御技术中心</w:t>
      </w:r>
    </w:p>
    <w:p>
      <w:pPr>
        <w:widowControl/>
        <w:spacing w:line="360" w:lineRule="auto"/>
        <w:ind w:firstLine="560" w:firstLineChars="200"/>
        <w:rPr>
          <w:rFonts w:hint="default"/>
          <w:color w:val="auto"/>
          <w:sz w:val="28"/>
          <w:szCs w:val="28"/>
          <w:u w:val="single"/>
        </w:rPr>
      </w:pPr>
      <w:r>
        <w:rPr>
          <w:rFonts w:ascii="Times New Roman" w:hAnsi="Times New Roman" w:cs="Times New Roman" w:hint="default"/>
          <w:color w:val="auto"/>
          <w:spacing w:val="-2"/>
          <w:sz w:val="28"/>
          <w:szCs w:val="28"/>
          <w:lang w:val="en-US" w:eastAsia="zh-CN"/>
        </w:rPr>
        <w:t>2.</w:t>
      </w:r>
      <w:r>
        <w:rPr>
          <w:rFonts w:ascii="Times New Roman" w:hAnsi="Times New Roman" w:cs="Times New Roman" w:hint="default"/>
          <w:color w:val="auto"/>
          <w:spacing w:val="-2"/>
          <w:sz w:val="28"/>
          <w:szCs w:val="28"/>
        </w:rPr>
        <w:t>项目编号和分包号：</w:t>
      </w:r>
      <w:r>
        <w:rPr>
          <w:rFonts w:ascii="Times New Roman" w:hAnsi="Times New Roman" w:cs="Times New Roman" w:hint="default"/>
          <w:color w:val="auto"/>
          <w:sz w:val="28"/>
          <w:szCs w:val="28"/>
          <w:u w:val="single"/>
          <w:lang w:val="en-US" w:eastAsia="zh-CN"/>
        </w:rPr>
        <w:t>ZQC-</w:t>
      </w:r>
      <w:r>
        <w:rPr>
          <w:rFonts w:ascii="Times New Roman" w:hAnsi="Times New Roman" w:cs="Times New Roman" w:hint="default"/>
          <w:color w:val="auto"/>
          <w:sz w:val="28"/>
          <w:szCs w:val="28"/>
          <w:u w:val="single"/>
          <w:lang w:bidi="ar"/>
        </w:rPr>
        <w:t xml:space="preserve"> 、共1包</w:t>
      </w:r>
    </w:p>
    <w:p>
      <w:pPr>
        <w:widowControl/>
        <w:spacing w:line="360" w:lineRule="auto"/>
        <w:ind w:firstLine="560" w:firstLineChars="200"/>
        <w:rPr>
          <w:rFonts w:hint="default"/>
          <w:color w:val="auto"/>
          <w:sz w:val="28"/>
          <w:szCs w:val="28"/>
          <w:u w:val="none"/>
        </w:rPr>
      </w:pPr>
      <w:r>
        <w:rPr>
          <w:rFonts w:ascii="Times New Roman" w:hAnsi="Times New Roman" w:cs="Times New Roman" w:hint="default"/>
          <w:color w:val="auto"/>
          <w:spacing w:val="-2"/>
          <w:sz w:val="28"/>
          <w:szCs w:val="28"/>
          <w:lang w:val="en-US" w:eastAsia="zh-CN"/>
        </w:rPr>
        <w:t>3.</w:t>
      </w:r>
      <w:r>
        <w:rPr>
          <w:rFonts w:ascii="Times New Roman" w:hAnsi="Times New Roman" w:cs="Times New Roman" w:hint="default"/>
          <w:color w:val="auto"/>
          <w:spacing w:val="-2"/>
          <w:sz w:val="28"/>
          <w:szCs w:val="28"/>
        </w:rPr>
        <w:t>项目名称：</w:t>
      </w:r>
      <w:r>
        <w:rPr>
          <w:rFonts w:ascii="Times New Roman" w:hAnsi="Times New Roman" w:cs="Times New Roman" w:hint="default"/>
          <w:color w:val="auto"/>
          <w:sz w:val="28"/>
          <w:szCs w:val="28"/>
          <w:u w:val="single"/>
          <w:lang w:bidi="ar"/>
        </w:rPr>
        <w:t>青海省人工影响天气水资源保障工程-</w:t>
      </w:r>
      <w:r>
        <w:rPr>
          <w:rFonts w:cs="Times New Roman" w:hint="eastAsia"/>
          <w:color w:val="auto"/>
          <w:sz w:val="28"/>
          <w:szCs w:val="28"/>
          <w:u w:val="single"/>
          <w:lang w:val="en-US" w:eastAsia="zh-CN"/>
        </w:rPr>
        <w:t>高炮作业点安防配套标识和火箭流动作业点视频通讯</w:t>
      </w:r>
      <w:r>
        <w:rPr>
          <w:rFonts w:ascii="Times New Roman" w:hAnsi="Times New Roman" w:cs="Times New Roman" w:hint="default"/>
          <w:color w:val="auto"/>
          <w:sz w:val="28"/>
          <w:szCs w:val="28"/>
          <w:u w:val="none"/>
          <w:lang w:eastAsia="zh-CN" w:bidi="ar"/>
        </w:rPr>
        <w:t>。</w:t>
      </w:r>
    </w:p>
    <w:p>
      <w:pPr>
        <w:spacing w:line="360" w:lineRule="auto"/>
        <w:ind w:firstLine="474"/>
        <w:rPr>
          <w:rFonts w:hint="default"/>
          <w:b/>
          <w:color w:val="auto"/>
          <w:sz w:val="28"/>
          <w:szCs w:val="28"/>
        </w:rPr>
      </w:pPr>
      <w:r>
        <w:rPr>
          <w:rFonts w:ascii="Times New Roman" w:hAnsi="Times New Roman" w:cs="Times New Roman" w:hint="default"/>
          <w:b/>
          <w:color w:val="auto"/>
          <w:spacing w:val="-2"/>
          <w:sz w:val="28"/>
          <w:szCs w:val="28"/>
          <w:lang w:val="en-US" w:eastAsia="zh-CN"/>
        </w:rPr>
        <w:t>二</w:t>
      </w:r>
      <w:r>
        <w:rPr>
          <w:rFonts w:ascii="Times New Roman" w:hAnsi="Times New Roman" w:cs="Times New Roman" w:hint="default"/>
          <w:b/>
          <w:color w:val="auto"/>
          <w:spacing w:val="-2"/>
          <w:sz w:val="28"/>
          <w:szCs w:val="28"/>
        </w:rPr>
        <w:t>、合同标的</w:t>
      </w:r>
    </w:p>
    <w:p>
      <w:pPr>
        <w:pStyle w:val="BodyText"/>
        <w:tabs>
          <w:tab w:val="left" w:pos="2351"/>
          <w:tab w:val="left" w:pos="3084"/>
          <w:tab w:val="left" w:pos="3242"/>
          <w:tab w:val="left" w:pos="3926"/>
          <w:tab w:val="left" w:pos="5551"/>
        </w:tabs>
        <w:ind w:right="-726" w:firstLine="480"/>
        <w:rPr>
          <w:rFonts w:ascii="Times New Roman" w:hAnsi="Times New Roman" w:cs="Times New Roman" w:hint="default"/>
          <w:color w:val="auto"/>
          <w:sz w:val="28"/>
          <w:szCs w:val="28"/>
        </w:rPr>
      </w:pPr>
      <w:r>
        <w:rPr>
          <w:rFonts w:ascii="Times New Roman" w:hAnsi="Times New Roman" w:cs="Times New Roman" w:hint="default"/>
          <w:color w:val="auto"/>
          <w:sz w:val="28"/>
          <w:szCs w:val="28"/>
        </w:rPr>
        <w:t>甲方同意从乙方购买，乙方同意向甲方出售下列产品</w:t>
      </w:r>
      <w:r>
        <w:rPr>
          <w:rFonts w:ascii="Times New Roman" w:hAnsi="Times New Roman" w:cs="Times New Roman" w:hint="eastAsia"/>
          <w:color w:val="auto"/>
          <w:sz w:val="28"/>
          <w:szCs w:val="28"/>
          <w:lang w:val="en-US" w:eastAsia="zh-CN"/>
        </w:rPr>
        <w:t>和</w:t>
      </w:r>
      <w:r>
        <w:rPr>
          <w:rFonts w:ascii="Times New Roman" w:hAnsi="Times New Roman" w:cs="Times New Roman" w:hint="default"/>
          <w:color w:val="auto"/>
          <w:sz w:val="28"/>
          <w:szCs w:val="28"/>
        </w:rPr>
        <w:t>服务：</w:t>
      </w:r>
    </w:p>
    <w:tbl>
      <w:tblPr>
        <w:tblStyle w:val="TableNormal"/>
        <w:tblW w:w="0" w:type="auto"/>
        <w:jc w:val="center"/>
        <w:tblLayout w:type="fixed"/>
        <w:tblCellMar>
          <w:top w:w="0" w:type="dxa"/>
          <w:left w:w="0" w:type="dxa"/>
          <w:bottom w:w="0" w:type="dxa"/>
          <w:right w:w="0" w:type="dxa"/>
        </w:tblCellMar>
      </w:tblPr>
      <w:tblGrid>
        <w:gridCol w:w="803"/>
        <w:gridCol w:w="1817"/>
        <w:gridCol w:w="1202"/>
        <w:gridCol w:w="1726"/>
        <w:gridCol w:w="1080"/>
        <w:gridCol w:w="1780"/>
      </w:tblGrid>
      <w:tr>
        <w:tblPrEx>
          <w:tblW w:w="0" w:type="auto"/>
          <w:jc w:val="center"/>
          <w:tblLayout w:type="fixed"/>
          <w:tblCellMar>
            <w:top w:w="0" w:type="dxa"/>
            <w:left w:w="0" w:type="dxa"/>
            <w:bottom w:w="0" w:type="dxa"/>
            <w:right w:w="0" w:type="dxa"/>
          </w:tblCellMar>
        </w:tblPrEx>
        <w:trPr>
          <w:trHeight w:hRule="exact" w:val="699"/>
          <w:jc w:val="center"/>
        </w:trPr>
        <w:tc>
          <w:tcPr>
            <w:tcW w:w="80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48" w:beforeAutospacing="0" w:after="0" w:afterAutospacing="0"/>
              <w:ind w:left="0" w:right="-20"/>
              <w:jc w:val="center"/>
              <w:rPr>
                <w:rFonts w:ascii="宋体" w:hAnsi="宋体" w:hint="eastAsia"/>
                <w:color w:val="000000"/>
                <w:szCs w:val="21"/>
              </w:rPr>
            </w:pPr>
            <w:r>
              <w:rPr>
                <w:rFonts w:ascii="宋体" w:eastAsia="宋体" w:hAnsi="宋体" w:cs="Times New Roman" w:hint="eastAsia"/>
                <w:color w:val="000000"/>
                <w:kern w:val="2"/>
                <w:sz w:val="21"/>
                <w:szCs w:val="21"/>
              </w:rPr>
              <w:t>序号</w:t>
            </w:r>
          </w:p>
        </w:tc>
        <w:tc>
          <w:tcPr>
            <w:tcW w:w="1817"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48" w:beforeAutospacing="0" w:after="0" w:afterAutospacing="0"/>
              <w:ind w:left="0" w:right="-20"/>
              <w:jc w:val="center"/>
              <w:rPr>
                <w:rFonts w:ascii="宋体" w:hAnsi="宋体" w:hint="eastAsia"/>
                <w:color w:val="000000"/>
                <w:szCs w:val="21"/>
              </w:rPr>
            </w:pPr>
            <w:r>
              <w:rPr>
                <w:rFonts w:ascii="宋体" w:eastAsia="宋体" w:hAnsi="宋体" w:cs="Times New Roman" w:hint="eastAsia"/>
                <w:color w:val="000000"/>
                <w:kern w:val="2"/>
                <w:sz w:val="21"/>
                <w:szCs w:val="21"/>
              </w:rPr>
              <w:t>设备名称</w:t>
            </w:r>
          </w:p>
        </w:tc>
        <w:tc>
          <w:tcPr>
            <w:tcW w:w="1202"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48" w:beforeAutospacing="0" w:after="0" w:afterAutospacing="0"/>
              <w:ind w:left="0" w:right="-20"/>
              <w:jc w:val="center"/>
              <w:rPr>
                <w:rFonts w:ascii="宋体" w:hAnsi="宋体" w:hint="eastAsia"/>
                <w:color w:val="000000"/>
                <w:szCs w:val="21"/>
              </w:rPr>
            </w:pPr>
            <w:r>
              <w:rPr>
                <w:rFonts w:ascii="宋体" w:eastAsia="宋体" w:hAnsi="宋体" w:cs="Times New Roman" w:hint="eastAsia"/>
                <w:color w:val="000000"/>
                <w:kern w:val="2"/>
                <w:sz w:val="21"/>
                <w:szCs w:val="21"/>
              </w:rPr>
              <w:t>数量及单位</w:t>
            </w:r>
          </w:p>
        </w:tc>
        <w:tc>
          <w:tcPr>
            <w:tcW w:w="1726"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48" w:beforeAutospacing="0" w:after="0" w:afterAutospacing="0"/>
              <w:ind w:left="0" w:right="-20"/>
              <w:jc w:val="center"/>
              <w:rPr>
                <w:rFonts w:ascii="宋体" w:hAnsi="宋体" w:hint="eastAsia"/>
                <w:color w:val="000000"/>
                <w:szCs w:val="21"/>
              </w:rPr>
            </w:pPr>
            <w:r>
              <w:rPr>
                <w:rFonts w:ascii="宋体" w:eastAsia="宋体" w:hAnsi="宋体" w:cs="Times New Roman" w:hint="eastAsia"/>
                <w:color w:val="000000"/>
                <w:kern w:val="2"/>
                <w:sz w:val="21"/>
                <w:szCs w:val="21"/>
              </w:rPr>
              <w:t>交货期</w:t>
            </w:r>
          </w:p>
        </w:tc>
        <w:tc>
          <w:tcPr>
            <w:tcW w:w="1080"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48" w:beforeAutospacing="0" w:after="0" w:afterAutospacing="0"/>
              <w:ind w:left="0" w:right="-20"/>
              <w:jc w:val="center"/>
              <w:rPr>
                <w:rFonts w:ascii="宋体" w:hAnsi="宋体" w:hint="eastAsia"/>
                <w:color w:val="000000"/>
                <w:szCs w:val="21"/>
              </w:rPr>
            </w:pPr>
            <w:r>
              <w:rPr>
                <w:rFonts w:ascii="宋体" w:eastAsia="宋体" w:hAnsi="宋体" w:cs="Times New Roman" w:hint="eastAsia"/>
                <w:color w:val="000000"/>
                <w:kern w:val="2"/>
                <w:sz w:val="21"/>
                <w:szCs w:val="21"/>
              </w:rPr>
              <w:t>交货地点</w:t>
            </w:r>
          </w:p>
        </w:tc>
        <w:tc>
          <w:tcPr>
            <w:tcW w:w="1780"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autoSpaceDN/>
              <w:spacing w:before="0" w:beforeAutospacing="0" w:after="0" w:afterAutospacing="0"/>
              <w:ind w:left="0" w:right="0"/>
              <w:jc w:val="both"/>
              <w:rPr>
                <w:rFonts w:ascii="宋体" w:hAnsi="宋体" w:hint="default"/>
                <w:color w:val="000000"/>
                <w:szCs w:val="21"/>
              </w:rPr>
            </w:pPr>
          </w:p>
          <w:p>
            <w:pPr>
              <w:keepNext w:val="0"/>
              <w:keepLines w:val="0"/>
              <w:suppressLineNumbers w:val="0"/>
              <w:autoSpaceDE w:val="0"/>
              <w:autoSpaceDN w:val="0"/>
              <w:adjustRightInd w:val="0"/>
              <w:spacing w:before="48" w:beforeAutospacing="0" w:after="0" w:afterAutospacing="0"/>
              <w:ind w:left="0" w:right="-20"/>
              <w:jc w:val="center"/>
              <w:rPr>
                <w:rFonts w:ascii="宋体" w:hAnsi="宋体" w:hint="eastAsia"/>
                <w:color w:val="000000"/>
                <w:szCs w:val="21"/>
              </w:rPr>
            </w:pPr>
            <w:r>
              <w:rPr>
                <w:rFonts w:ascii="宋体" w:eastAsia="宋体" w:hAnsi="宋体" w:cs="Times New Roman" w:hint="eastAsia"/>
                <w:color w:val="000000"/>
                <w:kern w:val="2"/>
                <w:sz w:val="21"/>
                <w:szCs w:val="21"/>
              </w:rPr>
              <w:t>备注</w:t>
            </w:r>
          </w:p>
        </w:tc>
      </w:tr>
      <w:tr>
        <w:tblPrEx>
          <w:tblW w:w="0" w:type="auto"/>
          <w:jc w:val="center"/>
          <w:tblLayout w:type="fixed"/>
          <w:tblCellMar>
            <w:top w:w="0" w:type="dxa"/>
            <w:left w:w="0" w:type="dxa"/>
            <w:bottom w:w="0" w:type="dxa"/>
            <w:right w:w="0" w:type="dxa"/>
          </w:tblCellMar>
        </w:tblPrEx>
        <w:trPr>
          <w:trHeight w:hRule="exact" w:val="1264"/>
          <w:jc w:val="center"/>
        </w:trPr>
        <w:tc>
          <w:tcPr>
            <w:tcW w:w="80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default"/>
                <w:color w:val="000000"/>
                <w:szCs w:val="21"/>
              </w:rPr>
            </w:pPr>
            <w:r>
              <w:rPr>
                <w:rFonts w:ascii="宋体" w:eastAsia="宋体" w:hAnsi="宋体" w:cs="Times New Roman" w:hint="default"/>
                <w:color w:val="000000"/>
                <w:kern w:val="2"/>
                <w:sz w:val="21"/>
                <w:szCs w:val="21"/>
              </w:rPr>
              <w:t>1</w:t>
            </w:r>
          </w:p>
        </w:tc>
        <w:tc>
          <w:tcPr>
            <w:tcW w:w="1817"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0" w:right="0"/>
              <w:jc w:val="center"/>
              <w:rPr>
                <w:rFonts w:ascii="宋体" w:hAnsi="宋体" w:hint="default"/>
                <w:color w:val="000000"/>
                <w:szCs w:val="21"/>
              </w:rPr>
            </w:pPr>
            <w:r>
              <w:rPr>
                <w:rFonts w:cs="Times New Roman" w:hint="eastAsia"/>
                <w:color w:val="000000"/>
                <w:kern w:val="2"/>
                <w:sz w:val="21"/>
                <w:szCs w:val="21"/>
                <w:lang w:val="en-US" w:eastAsia="zh-CN"/>
              </w:rPr>
              <w:t>移动布控球</w:t>
            </w:r>
          </w:p>
        </w:tc>
        <w:tc>
          <w:tcPr>
            <w:tcW w:w="1202"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default"/>
                <w:color w:val="000000"/>
                <w:szCs w:val="21"/>
              </w:rPr>
            </w:pPr>
            <w:r>
              <w:rPr>
                <w:rFonts w:ascii="宋体" w:hAnsi="宋体" w:cs="Times New Roman" w:hint="eastAsia"/>
                <w:color w:val="000000"/>
                <w:kern w:val="2"/>
                <w:sz w:val="21"/>
                <w:szCs w:val="21"/>
                <w:lang w:val="en-US" w:eastAsia="zh-CN"/>
              </w:rPr>
              <w:t>120套</w:t>
            </w:r>
          </w:p>
        </w:tc>
        <w:tc>
          <w:tcPr>
            <w:tcW w:w="1726"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eastAsia"/>
                <w:color w:val="000000"/>
                <w:szCs w:val="21"/>
              </w:rPr>
            </w:pPr>
            <w:r>
              <w:rPr>
                <w:rFonts w:ascii="宋体" w:eastAsia="宋体" w:hAnsi="宋体" w:cs="Times New Roman" w:hint="eastAsia"/>
                <w:color w:val="000000"/>
                <w:kern w:val="2"/>
                <w:sz w:val="21"/>
                <w:szCs w:val="21"/>
                <w:highlight w:val="none"/>
              </w:rPr>
              <w:t>合同签订后</w:t>
            </w:r>
            <w:r>
              <w:rPr>
                <w:rFonts w:ascii="宋体" w:hAnsi="宋体" w:cs="Times New Roman" w:hint="eastAsia"/>
                <w:color w:val="000000"/>
                <w:kern w:val="2"/>
                <w:sz w:val="21"/>
                <w:szCs w:val="21"/>
                <w:highlight w:val="none"/>
                <w:lang w:val="en-US" w:eastAsia="zh-CN"/>
              </w:rPr>
              <w:t>1</w:t>
            </w:r>
            <w:r>
              <w:rPr>
                <w:rFonts w:ascii="宋体" w:eastAsia="宋体" w:hAnsi="宋体" w:cs="Times New Roman" w:hint="eastAsia"/>
                <w:color w:val="000000"/>
                <w:kern w:val="2"/>
                <w:sz w:val="21"/>
                <w:szCs w:val="21"/>
                <w:highlight w:val="none"/>
                <w:lang w:val="en-US" w:eastAsia="zh-CN"/>
              </w:rPr>
              <w:t>个月</w:t>
            </w:r>
            <w:r>
              <w:rPr>
                <w:rFonts w:ascii="宋体" w:eastAsia="宋体" w:hAnsi="宋体" w:cs="Times New Roman" w:hint="eastAsia"/>
                <w:color w:val="000000"/>
                <w:kern w:val="2"/>
                <w:sz w:val="21"/>
                <w:szCs w:val="21"/>
                <w:highlight w:val="none"/>
              </w:rPr>
              <w:t>内</w:t>
            </w:r>
          </w:p>
        </w:tc>
        <w:tc>
          <w:tcPr>
            <w:tcW w:w="1080"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eastAsia"/>
                <w:color w:val="000000"/>
                <w:szCs w:val="21"/>
              </w:rPr>
            </w:pPr>
            <w:r>
              <w:rPr>
                <w:rFonts w:cs="Times New Roman" w:hint="eastAsia"/>
                <w:color w:val="000000"/>
                <w:kern w:val="2"/>
                <w:sz w:val="21"/>
                <w:szCs w:val="21"/>
                <w:lang w:val="en-US" w:eastAsia="zh-CN"/>
              </w:rPr>
              <w:t>青海省指定位置</w:t>
            </w:r>
            <w:r>
              <w:rPr>
                <w:rFonts w:ascii="宋体" w:eastAsia="宋体" w:hAnsi="宋体" w:cs="Times New Roman" w:hint="eastAsia"/>
                <w:color w:val="000000"/>
                <w:kern w:val="2"/>
                <w:sz w:val="21"/>
                <w:szCs w:val="21"/>
              </w:rPr>
              <w:t xml:space="preserve"> </w:t>
            </w:r>
          </w:p>
        </w:tc>
        <w:tc>
          <w:tcPr>
            <w:tcW w:w="1780"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default"/>
                <w:color w:val="000000"/>
                <w:szCs w:val="21"/>
              </w:rPr>
            </w:pPr>
            <w:r>
              <w:rPr>
                <w:rFonts w:cs="Times New Roman" w:hint="eastAsia"/>
                <w:color w:val="000000"/>
                <w:kern w:val="2"/>
                <w:sz w:val="21"/>
                <w:szCs w:val="21"/>
                <w:highlight w:val="none"/>
                <w:lang w:val="en-US" w:eastAsia="zh-CN"/>
              </w:rPr>
              <w:t>3</w:t>
            </w:r>
            <w:r>
              <w:rPr>
                <w:rFonts w:ascii="宋体" w:eastAsia="宋体" w:hAnsi="宋体" w:cs="Times New Roman" w:hint="eastAsia"/>
                <w:color w:val="000000"/>
                <w:kern w:val="2"/>
                <w:sz w:val="21"/>
                <w:szCs w:val="21"/>
                <w:highlight w:val="none"/>
              </w:rPr>
              <w:t>年质保，</w:t>
            </w:r>
            <w:r>
              <w:rPr>
                <w:rFonts w:cs="Times New Roman" w:hint="eastAsia"/>
                <w:color w:val="000000"/>
                <w:kern w:val="2"/>
                <w:sz w:val="21"/>
                <w:szCs w:val="21"/>
                <w:highlight w:val="none"/>
                <w:lang w:val="en-US" w:eastAsia="zh-CN"/>
              </w:rPr>
              <w:t>5</w:t>
            </w:r>
            <w:r>
              <w:rPr>
                <w:rFonts w:ascii="宋体" w:eastAsia="宋体" w:hAnsi="宋体" w:cs="Times New Roman" w:hint="eastAsia"/>
                <w:color w:val="000000"/>
                <w:kern w:val="2"/>
                <w:sz w:val="21"/>
                <w:szCs w:val="21"/>
                <w:highlight w:val="none"/>
              </w:rPr>
              <w:t>年维保</w:t>
            </w:r>
          </w:p>
        </w:tc>
      </w:tr>
      <w:tr>
        <w:tblPrEx>
          <w:tblW w:w="0" w:type="auto"/>
          <w:jc w:val="center"/>
          <w:tblLayout w:type="fixed"/>
          <w:tblCellMar>
            <w:top w:w="0" w:type="dxa"/>
            <w:left w:w="0" w:type="dxa"/>
            <w:bottom w:w="0" w:type="dxa"/>
            <w:right w:w="0" w:type="dxa"/>
          </w:tblCellMar>
        </w:tblPrEx>
        <w:trPr>
          <w:trHeight w:hRule="exact" w:val="1264"/>
          <w:jc w:val="center"/>
        </w:trPr>
        <w:tc>
          <w:tcPr>
            <w:tcW w:w="80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eastAsia"/>
                <w:color w:val="000000"/>
                <w:szCs w:val="21"/>
              </w:rPr>
            </w:pPr>
            <w:r>
              <w:rPr>
                <w:rFonts w:ascii="宋体" w:hAnsi="宋体" w:cs="Times New Roman" w:hint="eastAsia"/>
                <w:color w:val="000000"/>
                <w:kern w:val="2"/>
                <w:sz w:val="21"/>
                <w:szCs w:val="21"/>
                <w:lang w:val="en-US" w:eastAsia="zh-CN"/>
              </w:rPr>
              <w:t>2</w:t>
            </w:r>
          </w:p>
        </w:tc>
        <w:tc>
          <w:tcPr>
            <w:tcW w:w="1817"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0" w:right="0"/>
              <w:jc w:val="center"/>
              <w:rPr>
                <w:rFonts w:hint="default"/>
                <w:color w:val="000000"/>
                <w:szCs w:val="21"/>
              </w:rPr>
            </w:pPr>
            <w:r>
              <w:rPr>
                <w:rFonts w:cs="Times New Roman" w:hint="eastAsia"/>
                <w:color w:val="000000"/>
                <w:kern w:val="2"/>
                <w:sz w:val="21"/>
                <w:szCs w:val="21"/>
                <w:lang w:val="en-US" w:eastAsia="zh-CN"/>
              </w:rPr>
              <w:t>对讲机</w:t>
            </w:r>
          </w:p>
        </w:tc>
        <w:tc>
          <w:tcPr>
            <w:tcW w:w="1202"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eastAsia"/>
                <w:color w:val="000000"/>
                <w:szCs w:val="21"/>
              </w:rPr>
            </w:pPr>
            <w:r>
              <w:rPr>
                <w:rFonts w:ascii="宋体" w:hAnsi="宋体" w:cs="Times New Roman" w:hint="eastAsia"/>
                <w:color w:val="000000"/>
                <w:kern w:val="2"/>
                <w:sz w:val="21"/>
                <w:szCs w:val="21"/>
                <w:lang w:val="en-US" w:eastAsia="zh-CN"/>
              </w:rPr>
              <w:t>120套</w:t>
            </w:r>
          </w:p>
        </w:tc>
        <w:tc>
          <w:tcPr>
            <w:tcW w:w="1726"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eastAsia"/>
                <w:color w:val="000000"/>
                <w:szCs w:val="21"/>
                <w:highlight w:val="none"/>
              </w:rPr>
            </w:pPr>
            <w:r>
              <w:rPr>
                <w:rFonts w:ascii="宋体" w:eastAsia="宋体" w:hAnsi="宋体" w:cs="Times New Roman" w:hint="eastAsia"/>
                <w:color w:val="000000"/>
                <w:kern w:val="2"/>
                <w:sz w:val="21"/>
                <w:szCs w:val="21"/>
                <w:highlight w:val="none"/>
              </w:rPr>
              <w:t>合同签订后</w:t>
            </w:r>
            <w:r>
              <w:rPr>
                <w:rFonts w:ascii="宋体" w:hAnsi="宋体" w:cs="Times New Roman" w:hint="eastAsia"/>
                <w:color w:val="000000"/>
                <w:kern w:val="2"/>
                <w:sz w:val="21"/>
                <w:szCs w:val="21"/>
                <w:highlight w:val="none"/>
                <w:lang w:val="en-US" w:eastAsia="zh-CN"/>
              </w:rPr>
              <w:t>1</w:t>
            </w:r>
            <w:r>
              <w:rPr>
                <w:rFonts w:ascii="宋体" w:eastAsia="宋体" w:hAnsi="宋体" w:cs="Times New Roman" w:hint="eastAsia"/>
                <w:color w:val="000000"/>
                <w:kern w:val="2"/>
                <w:sz w:val="21"/>
                <w:szCs w:val="21"/>
                <w:highlight w:val="none"/>
                <w:lang w:val="en-US" w:eastAsia="zh-CN"/>
              </w:rPr>
              <w:t>个月</w:t>
            </w:r>
            <w:r>
              <w:rPr>
                <w:rFonts w:ascii="宋体" w:eastAsia="宋体" w:hAnsi="宋体" w:cs="Times New Roman" w:hint="eastAsia"/>
                <w:color w:val="000000"/>
                <w:kern w:val="2"/>
                <w:sz w:val="21"/>
                <w:szCs w:val="21"/>
                <w:highlight w:val="none"/>
              </w:rPr>
              <w:t>内</w:t>
            </w:r>
          </w:p>
        </w:tc>
        <w:tc>
          <w:tcPr>
            <w:tcW w:w="1080"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hint="eastAsia"/>
                <w:color w:val="000000"/>
                <w:szCs w:val="21"/>
              </w:rPr>
            </w:pPr>
            <w:r>
              <w:rPr>
                <w:rFonts w:cs="Times New Roman" w:hint="eastAsia"/>
                <w:color w:val="000000"/>
                <w:kern w:val="2"/>
                <w:sz w:val="21"/>
                <w:szCs w:val="21"/>
                <w:lang w:val="en-US" w:eastAsia="zh-CN"/>
              </w:rPr>
              <w:t>青海省指定位置</w:t>
            </w:r>
            <w:r>
              <w:rPr>
                <w:rFonts w:ascii="宋体" w:eastAsia="宋体" w:hAnsi="宋体" w:cs="Times New Roman" w:hint="eastAsia"/>
                <w:color w:val="000000"/>
                <w:kern w:val="2"/>
                <w:sz w:val="21"/>
                <w:szCs w:val="21"/>
              </w:rPr>
              <w:t xml:space="preserve"> </w:t>
            </w:r>
          </w:p>
        </w:tc>
        <w:tc>
          <w:tcPr>
            <w:tcW w:w="1780"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hint="eastAsia"/>
                <w:color w:val="000000"/>
                <w:szCs w:val="21"/>
                <w:highlight w:val="none"/>
              </w:rPr>
            </w:pPr>
            <w:r>
              <w:rPr>
                <w:rFonts w:cs="Times New Roman" w:hint="eastAsia"/>
                <w:color w:val="000000"/>
                <w:kern w:val="2"/>
                <w:sz w:val="21"/>
                <w:szCs w:val="21"/>
                <w:highlight w:val="none"/>
                <w:lang w:val="en-US" w:eastAsia="zh-CN"/>
              </w:rPr>
              <w:t>3</w:t>
            </w:r>
            <w:r>
              <w:rPr>
                <w:rFonts w:ascii="宋体" w:eastAsia="宋体" w:hAnsi="宋体" w:cs="Times New Roman" w:hint="eastAsia"/>
                <w:color w:val="000000"/>
                <w:kern w:val="2"/>
                <w:sz w:val="21"/>
                <w:szCs w:val="21"/>
                <w:highlight w:val="none"/>
              </w:rPr>
              <w:t>年质保，</w:t>
            </w:r>
            <w:r>
              <w:rPr>
                <w:rFonts w:cs="Times New Roman" w:hint="eastAsia"/>
                <w:color w:val="000000"/>
                <w:kern w:val="2"/>
                <w:sz w:val="21"/>
                <w:szCs w:val="21"/>
                <w:highlight w:val="none"/>
                <w:lang w:val="en-US" w:eastAsia="zh-CN"/>
              </w:rPr>
              <w:t>5</w:t>
            </w:r>
            <w:r>
              <w:rPr>
                <w:rFonts w:ascii="宋体" w:eastAsia="宋体" w:hAnsi="宋体" w:cs="Times New Roman" w:hint="eastAsia"/>
                <w:color w:val="000000"/>
                <w:kern w:val="2"/>
                <w:sz w:val="21"/>
                <w:szCs w:val="21"/>
                <w:highlight w:val="none"/>
              </w:rPr>
              <w:t>年维保</w:t>
            </w:r>
          </w:p>
        </w:tc>
      </w:tr>
      <w:tr>
        <w:tblPrEx>
          <w:tblW w:w="0" w:type="auto"/>
          <w:jc w:val="center"/>
          <w:tblLayout w:type="fixed"/>
          <w:tblCellMar>
            <w:top w:w="0" w:type="dxa"/>
            <w:left w:w="0" w:type="dxa"/>
            <w:bottom w:w="0" w:type="dxa"/>
            <w:right w:w="0" w:type="dxa"/>
          </w:tblCellMar>
        </w:tblPrEx>
        <w:trPr>
          <w:trHeight w:hRule="exact" w:val="1264"/>
          <w:jc w:val="center"/>
        </w:trPr>
        <w:tc>
          <w:tcPr>
            <w:tcW w:w="80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default"/>
                <w:color w:val="000000"/>
                <w:szCs w:val="21"/>
              </w:rPr>
            </w:pPr>
            <w:r>
              <w:rPr>
                <w:rFonts w:ascii="宋体" w:hAnsi="宋体" w:cs="Times New Roman" w:hint="eastAsia"/>
                <w:color w:val="000000"/>
                <w:kern w:val="2"/>
                <w:sz w:val="21"/>
                <w:szCs w:val="21"/>
                <w:lang w:val="en-US" w:eastAsia="zh-CN"/>
              </w:rPr>
              <w:t>3</w:t>
            </w:r>
          </w:p>
        </w:tc>
        <w:tc>
          <w:tcPr>
            <w:tcW w:w="1817"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color w:val="000000"/>
                <w:szCs w:val="21"/>
              </w:rPr>
            </w:pPr>
            <w:r>
              <w:rPr>
                <w:rFonts w:ascii="Times New Roman" w:eastAsia="宋体" w:hAnsi="Times New Roman" w:cs="Times New Roman" w:hint="default"/>
                <w:b w:val="0"/>
                <w:bCs/>
                <w:kern w:val="2"/>
                <w:sz w:val="21"/>
                <w:szCs w:val="21"/>
                <w:lang w:val="en-US" w:eastAsia="zh-CN" w:bidi="ar-SA"/>
              </w:rPr>
              <w:t>高炮安全射界图更新</w:t>
            </w:r>
          </w:p>
        </w:tc>
        <w:tc>
          <w:tcPr>
            <w:tcW w:w="1202"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default"/>
                <w:color w:val="000000"/>
                <w:szCs w:val="21"/>
              </w:rPr>
            </w:pPr>
            <w:r>
              <w:rPr>
                <w:rFonts w:ascii="宋体" w:hAnsi="宋体" w:cs="Times New Roman" w:hint="eastAsia"/>
                <w:color w:val="000000"/>
                <w:kern w:val="2"/>
                <w:sz w:val="21"/>
                <w:szCs w:val="21"/>
                <w:lang w:val="en-US" w:eastAsia="zh-CN"/>
              </w:rPr>
              <w:t>154套</w:t>
            </w:r>
          </w:p>
        </w:tc>
        <w:tc>
          <w:tcPr>
            <w:tcW w:w="1726"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eastAsia"/>
                <w:color w:val="000000"/>
                <w:szCs w:val="21"/>
                <w:highlight w:val="none"/>
              </w:rPr>
            </w:pPr>
            <w:r>
              <w:rPr>
                <w:rFonts w:ascii="宋体" w:eastAsia="宋体" w:hAnsi="宋体" w:cs="Times New Roman" w:hint="eastAsia"/>
                <w:color w:val="000000"/>
                <w:kern w:val="2"/>
                <w:sz w:val="21"/>
                <w:szCs w:val="21"/>
                <w:highlight w:val="none"/>
              </w:rPr>
              <w:t>合同签订后</w:t>
            </w:r>
            <w:r>
              <w:rPr>
                <w:rFonts w:ascii="宋体" w:eastAsia="宋体" w:hAnsi="宋体" w:cs="Times New Roman" w:hint="eastAsia"/>
                <w:color w:val="000000"/>
                <w:kern w:val="2"/>
                <w:sz w:val="21"/>
                <w:szCs w:val="21"/>
                <w:highlight w:val="none"/>
                <w:lang w:val="en-US" w:eastAsia="zh-CN"/>
              </w:rPr>
              <w:t>2个月</w:t>
            </w:r>
            <w:r>
              <w:rPr>
                <w:rFonts w:ascii="宋体" w:eastAsia="宋体" w:hAnsi="宋体" w:cs="Times New Roman" w:hint="eastAsia"/>
                <w:color w:val="000000"/>
                <w:kern w:val="2"/>
                <w:sz w:val="21"/>
                <w:szCs w:val="21"/>
                <w:highlight w:val="none"/>
              </w:rPr>
              <w:t>内</w:t>
            </w:r>
          </w:p>
        </w:tc>
        <w:tc>
          <w:tcPr>
            <w:tcW w:w="1080" w:type="dxa"/>
            <w:tcBorders>
              <w:top w:val="single" w:sz="4" w:space="0" w:color="000000"/>
              <w:left w:val="single" w:sz="4" w:space="0" w:color="000000"/>
              <w:bottom w:val="single" w:sz="4" w:space="0" w:color="000000"/>
              <w:right w:val="single" w:sz="4" w:space="0" w:color="000000"/>
            </w:tcBorders>
            <w:shd w:val="clear" w:color="auto" w:fill="auto"/>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ascii="宋体" w:hAnsi="宋体" w:hint="eastAsia"/>
                <w:color w:val="000000"/>
                <w:szCs w:val="21"/>
              </w:rPr>
            </w:pPr>
            <w:r>
              <w:rPr>
                <w:rFonts w:cs="Times New Roman" w:hint="eastAsia"/>
                <w:color w:val="000000"/>
                <w:kern w:val="2"/>
                <w:sz w:val="21"/>
                <w:szCs w:val="21"/>
                <w:lang w:val="en-US" w:eastAsia="zh-CN"/>
              </w:rPr>
              <w:t>青海省指定位置</w:t>
            </w:r>
            <w:r>
              <w:rPr>
                <w:rFonts w:ascii="宋体" w:eastAsia="宋体" w:hAnsi="宋体" w:cs="Times New Roman" w:hint="eastAsia"/>
                <w:color w:val="000000"/>
                <w:kern w:val="2"/>
                <w:sz w:val="21"/>
                <w:szCs w:val="21"/>
              </w:rPr>
              <w:t xml:space="preserve"> </w:t>
            </w:r>
          </w:p>
        </w:tc>
        <w:tc>
          <w:tcPr>
            <w:tcW w:w="1780" w:type="dxa"/>
            <w:tcBorders>
              <w:top w:val="single" w:sz="4" w:space="0" w:color="000000"/>
              <w:left w:val="single" w:sz="4" w:space="0" w:color="000000"/>
              <w:bottom w:val="single" w:sz="4" w:space="0" w:color="000000"/>
              <w:right w:val="single" w:sz="4" w:space="0" w:color="000000"/>
            </w:tcBorders>
            <w:shd w:val="clear" w:color="auto" w:fill="auto"/>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ascii="宋体" w:hAnsi="宋体" w:hint="eastAsia"/>
                <w:color w:val="000000"/>
                <w:szCs w:val="21"/>
              </w:rPr>
            </w:pPr>
          </w:p>
        </w:tc>
      </w:tr>
      <w:tr>
        <w:tblPrEx>
          <w:tblW w:w="0" w:type="auto"/>
          <w:jc w:val="center"/>
          <w:tblLayout w:type="fixed"/>
          <w:tblCellMar>
            <w:top w:w="0" w:type="dxa"/>
            <w:left w:w="0" w:type="dxa"/>
            <w:bottom w:w="0" w:type="dxa"/>
            <w:right w:w="0" w:type="dxa"/>
          </w:tblCellMar>
        </w:tblPrEx>
        <w:trPr>
          <w:trHeight w:hRule="exact" w:val="1264"/>
          <w:jc w:val="center"/>
        </w:trPr>
        <w:tc>
          <w:tcPr>
            <w:tcW w:w="80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default"/>
                <w:color w:val="000000"/>
                <w:szCs w:val="21"/>
              </w:rPr>
            </w:pPr>
            <w:r>
              <w:rPr>
                <w:rFonts w:ascii="宋体" w:hAnsi="宋体" w:cs="Times New Roman" w:hint="eastAsia"/>
                <w:color w:val="000000"/>
                <w:kern w:val="2"/>
                <w:sz w:val="21"/>
                <w:szCs w:val="21"/>
                <w:lang w:val="en-US" w:eastAsia="zh-CN"/>
              </w:rPr>
              <w:t>4</w:t>
            </w:r>
          </w:p>
        </w:tc>
        <w:tc>
          <w:tcPr>
            <w:tcW w:w="1817"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color w:val="000000"/>
                <w:szCs w:val="21"/>
              </w:rPr>
            </w:pPr>
            <w:r>
              <w:rPr>
                <w:rFonts w:ascii="Times New Roman" w:eastAsia="宋体" w:hAnsi="Times New Roman" w:cs="Times New Roman" w:hint="default"/>
                <w:b w:val="0"/>
                <w:bCs/>
                <w:kern w:val="2"/>
                <w:sz w:val="21"/>
                <w:szCs w:val="21"/>
                <w:lang w:val="en-US" w:eastAsia="zh-CN" w:bidi="ar-SA"/>
              </w:rPr>
              <w:t>高炮安全射界图地面喷绘</w:t>
            </w:r>
          </w:p>
        </w:tc>
        <w:tc>
          <w:tcPr>
            <w:tcW w:w="1202"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eastAsia"/>
                <w:color w:val="000000"/>
                <w:szCs w:val="21"/>
              </w:rPr>
            </w:pPr>
            <w:r>
              <w:rPr>
                <w:rFonts w:ascii="宋体" w:hAnsi="宋体" w:cs="Times New Roman" w:hint="eastAsia"/>
                <w:color w:val="000000"/>
                <w:kern w:val="2"/>
                <w:sz w:val="21"/>
                <w:szCs w:val="21"/>
                <w:lang w:val="en-US" w:eastAsia="zh-CN"/>
              </w:rPr>
              <w:t>154套</w:t>
            </w:r>
          </w:p>
        </w:tc>
        <w:tc>
          <w:tcPr>
            <w:tcW w:w="1726"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eastAsia"/>
                <w:color w:val="000000"/>
                <w:szCs w:val="21"/>
                <w:highlight w:val="none"/>
              </w:rPr>
            </w:pPr>
            <w:r>
              <w:rPr>
                <w:rFonts w:ascii="宋体" w:eastAsia="宋体" w:hAnsi="宋体" w:cs="Times New Roman" w:hint="eastAsia"/>
                <w:color w:val="000000"/>
                <w:kern w:val="2"/>
                <w:sz w:val="21"/>
                <w:szCs w:val="21"/>
                <w:highlight w:val="none"/>
              </w:rPr>
              <w:t>合同签订后</w:t>
            </w:r>
            <w:r>
              <w:rPr>
                <w:rFonts w:ascii="宋体" w:eastAsia="宋体" w:hAnsi="宋体" w:cs="Times New Roman" w:hint="eastAsia"/>
                <w:color w:val="000000"/>
                <w:kern w:val="2"/>
                <w:sz w:val="21"/>
                <w:szCs w:val="21"/>
                <w:highlight w:val="none"/>
                <w:lang w:val="en-US" w:eastAsia="zh-CN"/>
              </w:rPr>
              <w:t>3个月</w:t>
            </w:r>
            <w:r>
              <w:rPr>
                <w:rFonts w:ascii="宋体" w:eastAsia="宋体" w:hAnsi="宋体" w:cs="Times New Roman" w:hint="eastAsia"/>
                <w:color w:val="000000"/>
                <w:kern w:val="2"/>
                <w:sz w:val="21"/>
                <w:szCs w:val="21"/>
                <w:highlight w:val="none"/>
              </w:rPr>
              <w:t>内</w:t>
            </w:r>
          </w:p>
        </w:tc>
        <w:tc>
          <w:tcPr>
            <w:tcW w:w="1080" w:type="dxa"/>
            <w:tcBorders>
              <w:top w:val="single" w:sz="4" w:space="0" w:color="000000"/>
              <w:left w:val="single" w:sz="4" w:space="0" w:color="000000"/>
              <w:bottom w:val="single" w:sz="4" w:space="0" w:color="000000"/>
              <w:right w:val="single" w:sz="4" w:space="0" w:color="000000"/>
            </w:tcBorders>
            <w:shd w:val="clear" w:color="auto" w:fill="auto"/>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hint="eastAsia"/>
                <w:color w:val="000000"/>
                <w:szCs w:val="21"/>
              </w:rPr>
            </w:pPr>
            <w:r>
              <w:rPr>
                <w:rFonts w:cs="Times New Roman" w:hint="eastAsia"/>
                <w:color w:val="000000"/>
                <w:kern w:val="2"/>
                <w:sz w:val="21"/>
                <w:szCs w:val="21"/>
                <w:lang w:val="en-US" w:eastAsia="zh-CN"/>
              </w:rPr>
              <w:t>青海省指定位置</w:t>
            </w:r>
            <w:r>
              <w:rPr>
                <w:rFonts w:ascii="宋体" w:eastAsia="宋体" w:hAnsi="宋体" w:cs="Times New Roman" w:hint="eastAsia"/>
                <w:color w:val="000000"/>
                <w:kern w:val="2"/>
                <w:sz w:val="21"/>
                <w:szCs w:val="21"/>
              </w:rPr>
              <w:t xml:space="preserve"> </w:t>
            </w:r>
          </w:p>
        </w:tc>
        <w:tc>
          <w:tcPr>
            <w:tcW w:w="1780" w:type="dxa"/>
            <w:tcBorders>
              <w:top w:val="single" w:sz="4" w:space="0" w:color="000000"/>
              <w:left w:val="single" w:sz="4" w:space="0" w:color="000000"/>
              <w:bottom w:val="single" w:sz="4" w:space="0" w:color="000000"/>
              <w:right w:val="single" w:sz="4" w:space="0" w:color="000000"/>
            </w:tcBorders>
            <w:shd w:val="clear" w:color="auto" w:fill="auto"/>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hint="eastAsia"/>
                <w:color w:val="000000"/>
                <w:szCs w:val="21"/>
                <w:highlight w:val="none"/>
              </w:rPr>
            </w:pPr>
          </w:p>
        </w:tc>
      </w:tr>
      <w:tr>
        <w:tblPrEx>
          <w:tblW w:w="0" w:type="auto"/>
          <w:jc w:val="center"/>
          <w:tblLayout w:type="fixed"/>
          <w:tblCellMar>
            <w:top w:w="0" w:type="dxa"/>
            <w:left w:w="0" w:type="dxa"/>
            <w:bottom w:w="0" w:type="dxa"/>
            <w:right w:w="0" w:type="dxa"/>
          </w:tblCellMar>
        </w:tblPrEx>
        <w:trPr>
          <w:trHeight w:hRule="exact" w:val="1264"/>
          <w:jc w:val="center"/>
        </w:trPr>
        <w:tc>
          <w:tcPr>
            <w:tcW w:w="80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default"/>
                <w:color w:val="000000"/>
                <w:szCs w:val="21"/>
              </w:rPr>
            </w:pPr>
            <w:r>
              <w:rPr>
                <w:rFonts w:ascii="宋体" w:hAnsi="宋体" w:cs="Times New Roman" w:hint="eastAsia"/>
                <w:color w:val="000000"/>
                <w:kern w:val="2"/>
                <w:sz w:val="21"/>
                <w:szCs w:val="21"/>
                <w:lang w:val="en-US" w:eastAsia="zh-CN"/>
              </w:rPr>
              <w:t>5</w:t>
            </w:r>
          </w:p>
        </w:tc>
        <w:tc>
          <w:tcPr>
            <w:tcW w:w="1817"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color w:val="000000"/>
                <w:szCs w:val="21"/>
              </w:rPr>
            </w:pPr>
            <w:r>
              <w:rPr>
                <w:rFonts w:ascii="Times New Roman" w:eastAsia="宋体" w:hAnsi="Times New Roman" w:cs="Times New Roman" w:hint="default"/>
                <w:b w:val="0"/>
                <w:bCs/>
                <w:kern w:val="2"/>
                <w:sz w:val="21"/>
                <w:szCs w:val="21"/>
                <w:lang w:val="en-US" w:eastAsia="zh-CN" w:bidi="ar-SA"/>
              </w:rPr>
              <w:t>公告牌</w:t>
            </w:r>
          </w:p>
        </w:tc>
        <w:tc>
          <w:tcPr>
            <w:tcW w:w="1202"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eastAsia"/>
                <w:color w:val="000000"/>
                <w:szCs w:val="21"/>
              </w:rPr>
            </w:pPr>
            <w:r>
              <w:rPr>
                <w:rFonts w:ascii="宋体" w:hAnsi="宋体" w:cs="Times New Roman" w:hint="eastAsia"/>
                <w:color w:val="000000"/>
                <w:kern w:val="2"/>
                <w:sz w:val="21"/>
                <w:szCs w:val="21"/>
                <w:lang w:val="en-US" w:eastAsia="zh-CN"/>
              </w:rPr>
              <w:t>154套</w:t>
            </w:r>
          </w:p>
        </w:tc>
        <w:tc>
          <w:tcPr>
            <w:tcW w:w="1726"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eastAsia"/>
                <w:color w:val="000000"/>
                <w:szCs w:val="21"/>
                <w:highlight w:val="none"/>
              </w:rPr>
            </w:pPr>
            <w:r>
              <w:rPr>
                <w:rFonts w:ascii="宋体" w:eastAsia="宋体" w:hAnsi="宋体" w:cs="Times New Roman" w:hint="eastAsia"/>
                <w:color w:val="000000"/>
                <w:kern w:val="2"/>
                <w:sz w:val="21"/>
                <w:szCs w:val="21"/>
                <w:highlight w:val="none"/>
              </w:rPr>
              <w:t>合同签订后</w:t>
            </w:r>
            <w:r>
              <w:rPr>
                <w:rFonts w:ascii="宋体" w:eastAsia="宋体" w:hAnsi="宋体" w:cs="Times New Roman" w:hint="eastAsia"/>
                <w:color w:val="000000"/>
                <w:kern w:val="2"/>
                <w:sz w:val="21"/>
                <w:szCs w:val="21"/>
                <w:highlight w:val="none"/>
                <w:lang w:val="en-US" w:eastAsia="zh-CN"/>
              </w:rPr>
              <w:t>1个月</w:t>
            </w:r>
            <w:r>
              <w:rPr>
                <w:rFonts w:ascii="宋体" w:eastAsia="宋体" w:hAnsi="宋体" w:cs="Times New Roman" w:hint="eastAsia"/>
                <w:color w:val="000000"/>
                <w:kern w:val="2"/>
                <w:sz w:val="21"/>
                <w:szCs w:val="21"/>
                <w:highlight w:val="none"/>
              </w:rPr>
              <w:t>内</w:t>
            </w:r>
          </w:p>
        </w:tc>
        <w:tc>
          <w:tcPr>
            <w:tcW w:w="1080" w:type="dxa"/>
            <w:tcBorders>
              <w:top w:val="single" w:sz="4" w:space="0" w:color="000000"/>
              <w:left w:val="single" w:sz="4" w:space="0" w:color="000000"/>
              <w:bottom w:val="single" w:sz="4" w:space="0" w:color="000000"/>
              <w:right w:val="single" w:sz="4" w:space="0" w:color="000000"/>
            </w:tcBorders>
            <w:shd w:val="clear" w:color="auto" w:fill="auto"/>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ascii="宋体" w:hAnsi="宋体" w:hint="eastAsia"/>
                <w:color w:val="000000"/>
                <w:szCs w:val="21"/>
              </w:rPr>
            </w:pPr>
            <w:r>
              <w:rPr>
                <w:rFonts w:cs="Times New Roman" w:hint="eastAsia"/>
                <w:color w:val="000000"/>
                <w:kern w:val="2"/>
                <w:sz w:val="21"/>
                <w:szCs w:val="21"/>
                <w:lang w:val="en-US" w:eastAsia="zh-CN"/>
              </w:rPr>
              <w:t>青海省指定位置</w:t>
            </w:r>
            <w:r>
              <w:rPr>
                <w:rFonts w:ascii="宋体" w:eastAsia="宋体" w:hAnsi="宋体" w:cs="Times New Roman" w:hint="eastAsia"/>
                <w:color w:val="000000"/>
                <w:kern w:val="2"/>
                <w:sz w:val="21"/>
                <w:szCs w:val="21"/>
              </w:rPr>
              <w:t xml:space="preserve"> </w:t>
            </w:r>
          </w:p>
        </w:tc>
        <w:tc>
          <w:tcPr>
            <w:tcW w:w="1780" w:type="dxa"/>
            <w:tcBorders>
              <w:top w:val="single" w:sz="4" w:space="0" w:color="000000"/>
              <w:left w:val="single" w:sz="4" w:space="0" w:color="000000"/>
              <w:bottom w:val="single" w:sz="4" w:space="0" w:color="000000"/>
              <w:right w:val="single" w:sz="4" w:space="0" w:color="000000"/>
            </w:tcBorders>
            <w:shd w:val="clear" w:color="auto" w:fill="auto"/>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ascii="宋体" w:hAnsi="宋体" w:hint="eastAsia"/>
                <w:color w:val="000000"/>
                <w:szCs w:val="21"/>
              </w:rPr>
            </w:pPr>
            <w:r>
              <w:rPr>
                <w:rFonts w:cs="Times New Roman" w:hint="eastAsia"/>
                <w:color w:val="000000"/>
                <w:kern w:val="2"/>
                <w:sz w:val="21"/>
                <w:szCs w:val="21"/>
                <w:highlight w:val="none"/>
                <w:lang w:val="en-US" w:eastAsia="zh-CN"/>
              </w:rPr>
              <w:t>3</w:t>
            </w:r>
            <w:r>
              <w:rPr>
                <w:rFonts w:ascii="宋体" w:eastAsia="宋体" w:hAnsi="宋体" w:cs="Times New Roman" w:hint="eastAsia"/>
                <w:color w:val="000000"/>
                <w:kern w:val="2"/>
                <w:sz w:val="21"/>
                <w:szCs w:val="21"/>
                <w:highlight w:val="none"/>
              </w:rPr>
              <w:t>年质保，</w:t>
            </w:r>
            <w:r>
              <w:rPr>
                <w:rFonts w:cs="Times New Roman" w:hint="eastAsia"/>
                <w:color w:val="000000"/>
                <w:kern w:val="2"/>
                <w:sz w:val="21"/>
                <w:szCs w:val="21"/>
                <w:highlight w:val="none"/>
                <w:lang w:val="en-US" w:eastAsia="zh-CN"/>
              </w:rPr>
              <w:t>5</w:t>
            </w:r>
            <w:r>
              <w:rPr>
                <w:rFonts w:ascii="宋体" w:eastAsia="宋体" w:hAnsi="宋体" w:cs="Times New Roman" w:hint="eastAsia"/>
                <w:color w:val="000000"/>
                <w:kern w:val="2"/>
                <w:sz w:val="21"/>
                <w:szCs w:val="21"/>
                <w:highlight w:val="none"/>
              </w:rPr>
              <w:t>年维保</w:t>
            </w:r>
          </w:p>
        </w:tc>
      </w:tr>
      <w:tr>
        <w:tblPrEx>
          <w:tblW w:w="0" w:type="auto"/>
          <w:jc w:val="center"/>
          <w:tblLayout w:type="fixed"/>
          <w:tblCellMar>
            <w:top w:w="0" w:type="dxa"/>
            <w:left w:w="0" w:type="dxa"/>
            <w:bottom w:w="0" w:type="dxa"/>
            <w:right w:w="0" w:type="dxa"/>
          </w:tblCellMar>
        </w:tblPrEx>
        <w:trPr>
          <w:trHeight w:hRule="exact" w:val="1264"/>
          <w:jc w:val="center"/>
        </w:trPr>
        <w:tc>
          <w:tcPr>
            <w:tcW w:w="80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default"/>
                <w:color w:val="000000"/>
                <w:szCs w:val="21"/>
              </w:rPr>
            </w:pPr>
            <w:r>
              <w:rPr>
                <w:rFonts w:ascii="宋体" w:hAnsi="宋体" w:cs="Times New Roman" w:hint="eastAsia"/>
                <w:color w:val="000000"/>
                <w:kern w:val="2"/>
                <w:sz w:val="21"/>
                <w:szCs w:val="21"/>
                <w:lang w:val="en-US" w:eastAsia="zh-CN"/>
              </w:rPr>
              <w:t>6</w:t>
            </w:r>
          </w:p>
        </w:tc>
        <w:tc>
          <w:tcPr>
            <w:tcW w:w="1817"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color w:val="000000"/>
                <w:szCs w:val="21"/>
              </w:rPr>
            </w:pPr>
            <w:r>
              <w:rPr>
                <w:rFonts w:ascii="Times New Roman" w:eastAsia="宋体" w:hAnsi="Times New Roman" w:cs="Times New Roman" w:hint="default"/>
                <w:b w:val="0"/>
                <w:bCs/>
                <w:kern w:val="2"/>
                <w:sz w:val="21"/>
                <w:szCs w:val="21"/>
                <w:lang w:val="en-US" w:eastAsia="zh-CN" w:bidi="ar-SA"/>
              </w:rPr>
              <w:t>高炮作业点1个铭牌、4个警示标识、1个十不准制度牌</w:t>
            </w:r>
          </w:p>
        </w:tc>
        <w:tc>
          <w:tcPr>
            <w:tcW w:w="1202"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eastAsia"/>
                <w:color w:val="000000"/>
                <w:szCs w:val="21"/>
              </w:rPr>
            </w:pPr>
            <w:r>
              <w:rPr>
                <w:rFonts w:ascii="宋体" w:hAnsi="宋体" w:cs="Times New Roman" w:hint="eastAsia"/>
                <w:color w:val="000000"/>
                <w:kern w:val="2"/>
                <w:sz w:val="21"/>
                <w:szCs w:val="21"/>
                <w:lang w:val="en-US" w:eastAsia="zh-CN"/>
              </w:rPr>
              <w:t>154套</w:t>
            </w:r>
          </w:p>
        </w:tc>
        <w:tc>
          <w:tcPr>
            <w:tcW w:w="1726"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eastAsia"/>
                <w:color w:val="000000"/>
                <w:szCs w:val="21"/>
                <w:highlight w:val="none"/>
              </w:rPr>
            </w:pPr>
            <w:r>
              <w:rPr>
                <w:rFonts w:ascii="宋体" w:eastAsia="宋体" w:hAnsi="宋体" w:cs="Times New Roman" w:hint="eastAsia"/>
                <w:color w:val="000000"/>
                <w:kern w:val="2"/>
                <w:sz w:val="21"/>
                <w:szCs w:val="21"/>
                <w:highlight w:val="none"/>
              </w:rPr>
              <w:t>合同签订后</w:t>
            </w:r>
            <w:r>
              <w:rPr>
                <w:rFonts w:ascii="宋体" w:eastAsia="宋体" w:hAnsi="宋体" w:cs="Times New Roman" w:hint="eastAsia"/>
                <w:color w:val="000000"/>
                <w:kern w:val="2"/>
                <w:sz w:val="21"/>
                <w:szCs w:val="21"/>
                <w:highlight w:val="none"/>
                <w:lang w:val="en-US" w:eastAsia="zh-CN"/>
              </w:rPr>
              <w:t>1个月</w:t>
            </w:r>
            <w:r>
              <w:rPr>
                <w:rFonts w:ascii="宋体" w:eastAsia="宋体" w:hAnsi="宋体" w:cs="Times New Roman" w:hint="eastAsia"/>
                <w:color w:val="000000"/>
                <w:kern w:val="2"/>
                <w:sz w:val="21"/>
                <w:szCs w:val="21"/>
                <w:highlight w:val="none"/>
              </w:rPr>
              <w:t>内</w:t>
            </w:r>
          </w:p>
        </w:tc>
        <w:tc>
          <w:tcPr>
            <w:tcW w:w="1080" w:type="dxa"/>
            <w:tcBorders>
              <w:top w:val="single" w:sz="4" w:space="0" w:color="000000"/>
              <w:left w:val="single" w:sz="4" w:space="0" w:color="000000"/>
              <w:bottom w:val="single" w:sz="4" w:space="0" w:color="000000"/>
              <w:right w:val="single" w:sz="4" w:space="0" w:color="000000"/>
            </w:tcBorders>
            <w:shd w:val="clear" w:color="auto" w:fill="auto"/>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hint="eastAsia"/>
                <w:color w:val="000000"/>
                <w:szCs w:val="21"/>
              </w:rPr>
            </w:pPr>
            <w:r>
              <w:rPr>
                <w:rFonts w:cs="Times New Roman" w:hint="eastAsia"/>
                <w:color w:val="000000"/>
                <w:kern w:val="2"/>
                <w:sz w:val="21"/>
                <w:szCs w:val="21"/>
                <w:lang w:val="en-US" w:eastAsia="zh-CN"/>
              </w:rPr>
              <w:t>青海省指定位置</w:t>
            </w:r>
            <w:r>
              <w:rPr>
                <w:rFonts w:ascii="宋体" w:eastAsia="宋体" w:hAnsi="宋体" w:cs="Times New Roman" w:hint="eastAsia"/>
                <w:color w:val="000000"/>
                <w:kern w:val="2"/>
                <w:sz w:val="21"/>
                <w:szCs w:val="21"/>
              </w:rPr>
              <w:t xml:space="preserve"> </w:t>
            </w:r>
          </w:p>
        </w:tc>
        <w:tc>
          <w:tcPr>
            <w:tcW w:w="1780" w:type="dxa"/>
            <w:tcBorders>
              <w:top w:val="single" w:sz="4" w:space="0" w:color="000000"/>
              <w:left w:val="single" w:sz="4" w:space="0" w:color="000000"/>
              <w:bottom w:val="single" w:sz="4" w:space="0" w:color="000000"/>
              <w:right w:val="single" w:sz="4" w:space="0" w:color="000000"/>
            </w:tcBorders>
            <w:shd w:val="clear" w:color="auto" w:fill="auto"/>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hint="eastAsia"/>
                <w:color w:val="000000"/>
                <w:szCs w:val="21"/>
                <w:highlight w:val="none"/>
              </w:rPr>
            </w:pPr>
            <w:r>
              <w:rPr>
                <w:rFonts w:cs="Times New Roman" w:hint="eastAsia"/>
                <w:color w:val="000000"/>
                <w:kern w:val="2"/>
                <w:sz w:val="21"/>
                <w:szCs w:val="21"/>
                <w:highlight w:val="none"/>
                <w:lang w:val="en-US" w:eastAsia="zh-CN"/>
              </w:rPr>
              <w:t>3</w:t>
            </w:r>
            <w:r>
              <w:rPr>
                <w:rFonts w:ascii="宋体" w:eastAsia="宋体" w:hAnsi="宋体" w:cs="Times New Roman" w:hint="eastAsia"/>
                <w:color w:val="000000"/>
                <w:kern w:val="2"/>
                <w:sz w:val="21"/>
                <w:szCs w:val="21"/>
                <w:highlight w:val="none"/>
              </w:rPr>
              <w:t>年质保，</w:t>
            </w:r>
            <w:r>
              <w:rPr>
                <w:rFonts w:cs="Times New Roman" w:hint="eastAsia"/>
                <w:color w:val="000000"/>
                <w:kern w:val="2"/>
                <w:sz w:val="21"/>
                <w:szCs w:val="21"/>
                <w:highlight w:val="none"/>
                <w:lang w:val="en-US" w:eastAsia="zh-CN"/>
              </w:rPr>
              <w:t>5</w:t>
            </w:r>
            <w:r>
              <w:rPr>
                <w:rFonts w:ascii="宋体" w:eastAsia="宋体" w:hAnsi="宋体" w:cs="Times New Roman" w:hint="eastAsia"/>
                <w:color w:val="000000"/>
                <w:kern w:val="2"/>
                <w:sz w:val="21"/>
                <w:szCs w:val="21"/>
                <w:highlight w:val="none"/>
              </w:rPr>
              <w:t>年维保</w:t>
            </w:r>
          </w:p>
        </w:tc>
      </w:tr>
    </w:tbl>
    <w:p>
      <w:pPr>
        <w:spacing w:line="360" w:lineRule="auto"/>
        <w:ind w:right="0" w:firstLine="560" w:firstLineChars="200"/>
        <w:jc w:val="both"/>
        <w:rPr>
          <w:rFonts w:hint="default"/>
          <w:color w:val="auto"/>
          <w:sz w:val="28"/>
          <w:szCs w:val="28"/>
        </w:rPr>
      </w:pPr>
      <w:r>
        <w:rPr>
          <w:rFonts w:ascii="Times New Roman" w:hAnsi="Times New Roman" w:cs="Times New Roman" w:hint="default"/>
          <w:b/>
          <w:color w:val="auto"/>
          <w:spacing w:val="-2"/>
          <w:sz w:val="28"/>
          <w:szCs w:val="28"/>
          <w:lang w:val="en-US" w:eastAsia="zh-CN"/>
        </w:rPr>
        <w:t>三</w:t>
      </w:r>
      <w:r>
        <w:rPr>
          <w:rFonts w:ascii="Times New Roman" w:hAnsi="Times New Roman" w:cs="Times New Roman" w:hint="default"/>
          <w:b/>
          <w:color w:val="auto"/>
          <w:spacing w:val="-2"/>
          <w:sz w:val="28"/>
          <w:szCs w:val="28"/>
        </w:rPr>
        <w:t>、质量标准及保证</w:t>
      </w: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1.乙方保证提供的货物皆为符合国家标准的全新、未使用过的正品合格产品，且承诺为甲方提供符合或高于国家标准、行业的安全质量标准、环保标准及招标文件要求的服务，且若该货物在投标货物生产厂商中国总部对外公众网站上具有标准配置和服务的，乙方为甲方提供的产品及服务符合或高于其标准。</w:t>
      </w:r>
      <w:r>
        <w:rPr>
          <w:rFonts w:ascii="Times New Roman" w:eastAsia="宋体" w:hAnsi="Times New Roman" w:cs="Times New Roman" w:hint="default"/>
          <w:color w:val="auto"/>
          <w:kern w:val="2"/>
          <w:sz w:val="28"/>
          <w:szCs w:val="28"/>
          <w:lang w:val="en-US" w:eastAsia="zh-CN" w:bidi="ar-SA"/>
        </w:rPr>
        <w:tab/>
      </w: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2.乙方应提供产品达到合格标准的自测报告和第三方测试报告。</w:t>
      </w: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3.202</w:t>
      </w:r>
      <w:r>
        <w:rPr>
          <w:rFonts w:ascii="Times New Roman" w:eastAsia="宋体" w:hAnsi="Times New Roman" w:cs="Times New Roman" w:hint="eastAsia"/>
          <w:color w:val="auto"/>
          <w:kern w:val="2"/>
          <w:sz w:val="28"/>
          <w:szCs w:val="28"/>
          <w:lang w:val="en-US" w:eastAsia="zh-CN" w:bidi="ar-SA"/>
        </w:rPr>
        <w:t>6</w:t>
      </w:r>
      <w:r>
        <w:rPr>
          <w:rFonts w:ascii="Times New Roman" w:eastAsia="宋体" w:hAnsi="Times New Roman" w:cs="Times New Roman" w:hint="default"/>
          <w:color w:val="auto"/>
          <w:kern w:val="2"/>
          <w:sz w:val="28"/>
          <w:szCs w:val="28"/>
          <w:lang w:val="en-US" w:eastAsia="zh-CN" w:bidi="ar-SA"/>
        </w:rPr>
        <w:t>年</w:t>
      </w:r>
      <w:r>
        <w:rPr>
          <w:rFonts w:ascii="Times New Roman" w:eastAsia="宋体" w:hAnsi="Times New Roman" w:cs="Times New Roman" w:hint="eastAsia"/>
          <w:color w:val="auto"/>
          <w:kern w:val="2"/>
          <w:sz w:val="28"/>
          <w:szCs w:val="28"/>
          <w:lang w:val="en-US" w:eastAsia="zh-CN" w:bidi="ar-SA"/>
        </w:rPr>
        <w:t>7</w:t>
      </w:r>
      <w:r>
        <w:rPr>
          <w:rFonts w:ascii="Times New Roman" w:eastAsia="宋体" w:hAnsi="Times New Roman" w:cs="Times New Roman" w:hint="default"/>
          <w:color w:val="auto"/>
          <w:kern w:val="2"/>
          <w:sz w:val="28"/>
          <w:szCs w:val="28"/>
          <w:lang w:val="en-US" w:eastAsia="zh-CN" w:bidi="ar-SA"/>
        </w:rPr>
        <w:t>月15日前，完成出厂测试。</w:t>
      </w: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4.202</w:t>
      </w:r>
      <w:r>
        <w:rPr>
          <w:rFonts w:ascii="Times New Roman" w:eastAsia="宋体" w:hAnsi="Times New Roman" w:cs="Times New Roman" w:hint="eastAsia"/>
          <w:color w:val="auto"/>
          <w:kern w:val="2"/>
          <w:sz w:val="28"/>
          <w:szCs w:val="28"/>
          <w:lang w:val="en-US" w:eastAsia="zh-CN" w:bidi="ar-SA"/>
        </w:rPr>
        <w:t>6</w:t>
      </w:r>
      <w:r>
        <w:rPr>
          <w:rFonts w:ascii="Times New Roman" w:eastAsia="宋体" w:hAnsi="Times New Roman" w:cs="Times New Roman" w:hint="default"/>
          <w:color w:val="auto"/>
          <w:kern w:val="2"/>
          <w:sz w:val="28"/>
          <w:szCs w:val="28"/>
          <w:lang w:val="en-US" w:eastAsia="zh-CN" w:bidi="ar-SA"/>
        </w:rPr>
        <w:t>年</w:t>
      </w:r>
      <w:r>
        <w:rPr>
          <w:rFonts w:ascii="Times New Roman" w:eastAsia="宋体" w:hAnsi="Times New Roman" w:cs="Times New Roman" w:hint="eastAsia"/>
          <w:color w:val="auto"/>
          <w:kern w:val="2"/>
          <w:sz w:val="28"/>
          <w:szCs w:val="28"/>
          <w:lang w:val="en-US" w:eastAsia="zh-CN" w:bidi="ar-SA"/>
        </w:rPr>
        <w:t>9</w:t>
      </w:r>
      <w:r>
        <w:rPr>
          <w:rFonts w:ascii="Times New Roman" w:eastAsia="宋体" w:hAnsi="Times New Roman" w:cs="Times New Roman" w:hint="default"/>
          <w:color w:val="auto"/>
          <w:kern w:val="2"/>
          <w:sz w:val="28"/>
          <w:szCs w:val="28"/>
          <w:lang w:val="en-US" w:eastAsia="zh-CN" w:bidi="ar-SA"/>
        </w:rPr>
        <w:t>月</w:t>
      </w:r>
      <w:r>
        <w:rPr>
          <w:rFonts w:ascii="Times New Roman" w:eastAsia="宋体" w:hAnsi="Times New Roman" w:cs="Times New Roman" w:hint="eastAsia"/>
          <w:color w:val="auto"/>
          <w:kern w:val="2"/>
          <w:sz w:val="28"/>
          <w:szCs w:val="28"/>
          <w:lang w:val="en-US" w:eastAsia="zh-CN" w:bidi="ar-SA"/>
        </w:rPr>
        <w:t>30</w:t>
      </w:r>
      <w:r>
        <w:rPr>
          <w:rFonts w:ascii="Times New Roman" w:eastAsia="宋体" w:hAnsi="Times New Roman" w:cs="Times New Roman" w:hint="default"/>
          <w:color w:val="auto"/>
          <w:kern w:val="2"/>
          <w:sz w:val="28"/>
          <w:szCs w:val="28"/>
          <w:lang w:val="en-US" w:eastAsia="zh-CN" w:bidi="ar-SA"/>
        </w:rPr>
        <w:t>日前，完成</w:t>
      </w:r>
      <w:r>
        <w:rPr>
          <w:rFonts w:ascii="Times New Roman" w:eastAsia="宋体" w:hAnsi="Times New Roman" w:cs="Times New Roman" w:hint="eastAsia"/>
          <w:color w:val="auto"/>
          <w:kern w:val="2"/>
          <w:sz w:val="28"/>
          <w:szCs w:val="28"/>
          <w:lang w:val="en-US" w:eastAsia="zh-CN" w:bidi="ar-SA"/>
        </w:rPr>
        <w:t>到货及安装。</w:t>
      </w: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5.202</w:t>
      </w:r>
      <w:r>
        <w:rPr>
          <w:rFonts w:ascii="Times New Roman" w:eastAsia="宋体" w:hAnsi="Times New Roman" w:cs="Times New Roman" w:hint="eastAsia"/>
          <w:color w:val="auto"/>
          <w:kern w:val="2"/>
          <w:sz w:val="28"/>
          <w:szCs w:val="28"/>
          <w:lang w:val="en-US" w:eastAsia="zh-CN" w:bidi="ar-SA"/>
        </w:rPr>
        <w:t>6</w:t>
      </w:r>
      <w:r>
        <w:rPr>
          <w:rFonts w:ascii="Times New Roman" w:eastAsia="宋体" w:hAnsi="Times New Roman" w:cs="Times New Roman" w:hint="default"/>
          <w:color w:val="auto"/>
          <w:kern w:val="2"/>
          <w:sz w:val="28"/>
          <w:szCs w:val="28"/>
          <w:lang w:val="en-US" w:eastAsia="zh-CN" w:bidi="ar-SA"/>
        </w:rPr>
        <w:t>年</w:t>
      </w:r>
      <w:r>
        <w:rPr>
          <w:rFonts w:ascii="Times New Roman" w:eastAsia="宋体" w:hAnsi="Times New Roman" w:cs="Times New Roman" w:hint="eastAsia"/>
          <w:color w:val="auto"/>
          <w:kern w:val="2"/>
          <w:sz w:val="28"/>
          <w:szCs w:val="28"/>
          <w:lang w:val="en-US" w:eastAsia="zh-CN" w:bidi="ar-SA"/>
        </w:rPr>
        <w:t>12</w:t>
      </w:r>
      <w:r>
        <w:rPr>
          <w:rFonts w:ascii="Times New Roman" w:eastAsia="宋体" w:hAnsi="Times New Roman" w:cs="Times New Roman" w:hint="default"/>
          <w:color w:val="auto"/>
          <w:kern w:val="2"/>
          <w:sz w:val="28"/>
          <w:szCs w:val="28"/>
          <w:lang w:val="en-US" w:eastAsia="zh-CN" w:bidi="ar-SA"/>
        </w:rPr>
        <w:t>月</w:t>
      </w:r>
      <w:r>
        <w:rPr>
          <w:rFonts w:ascii="Times New Roman" w:eastAsia="宋体" w:hAnsi="Times New Roman" w:cs="Times New Roman" w:hint="eastAsia"/>
          <w:color w:val="auto"/>
          <w:kern w:val="2"/>
          <w:sz w:val="28"/>
          <w:szCs w:val="28"/>
          <w:lang w:val="en-US" w:eastAsia="zh-CN" w:bidi="ar-SA"/>
        </w:rPr>
        <w:t>31</w:t>
      </w:r>
      <w:r>
        <w:rPr>
          <w:rFonts w:ascii="Times New Roman" w:eastAsia="宋体" w:hAnsi="Times New Roman" w:cs="Times New Roman" w:hint="default"/>
          <w:color w:val="auto"/>
          <w:kern w:val="2"/>
          <w:sz w:val="28"/>
          <w:szCs w:val="28"/>
          <w:lang w:val="en-US" w:eastAsia="zh-CN" w:bidi="ar-SA"/>
        </w:rPr>
        <w:t>日前，完成合同验收</w:t>
      </w:r>
      <w:r>
        <w:rPr>
          <w:rFonts w:ascii="Times New Roman" w:eastAsia="宋体" w:hAnsi="Times New Roman" w:cs="Times New Roman" w:hint="eastAsia"/>
          <w:color w:val="auto"/>
          <w:kern w:val="2"/>
          <w:sz w:val="28"/>
          <w:szCs w:val="28"/>
          <w:lang w:val="en-US" w:eastAsia="zh-CN" w:bidi="ar-SA"/>
        </w:rPr>
        <w:t>、业务验收</w:t>
      </w:r>
      <w:r>
        <w:rPr>
          <w:rFonts w:ascii="Times New Roman" w:eastAsia="宋体" w:hAnsi="Times New Roman" w:cs="Times New Roman" w:hint="default"/>
          <w:color w:val="auto"/>
          <w:kern w:val="2"/>
          <w:sz w:val="28"/>
          <w:szCs w:val="28"/>
          <w:lang w:val="en-US" w:eastAsia="zh-CN" w:bidi="ar-SA"/>
        </w:rPr>
        <w:t>。</w:t>
      </w:r>
    </w:p>
    <w:p>
      <w:pPr>
        <w:spacing w:before="0" w:line="360" w:lineRule="auto"/>
        <w:ind w:firstLine="560" w:firstLineChars="200"/>
        <w:jc w:val="both"/>
        <w:rPr>
          <w:rFonts w:hint="default"/>
          <w:b/>
          <w:color w:val="auto"/>
          <w:sz w:val="28"/>
          <w:szCs w:val="28"/>
        </w:rPr>
      </w:pPr>
      <w:r>
        <w:rPr>
          <w:rFonts w:ascii="Times New Roman" w:hAnsi="Times New Roman" w:cs="Times New Roman" w:hint="default"/>
          <w:b/>
          <w:color w:val="auto"/>
          <w:spacing w:val="-3"/>
          <w:sz w:val="28"/>
          <w:szCs w:val="28"/>
          <w:lang w:val="en-US" w:eastAsia="zh-CN"/>
        </w:rPr>
        <w:t>四</w:t>
      </w:r>
      <w:r>
        <w:rPr>
          <w:rFonts w:ascii="Times New Roman" w:hAnsi="Times New Roman" w:cs="Times New Roman" w:hint="default"/>
          <w:b/>
          <w:color w:val="auto"/>
          <w:spacing w:val="-3"/>
          <w:sz w:val="28"/>
          <w:szCs w:val="28"/>
        </w:rPr>
        <w:t>、验收</w:t>
      </w:r>
    </w:p>
    <w:p>
      <w:pPr>
        <w:tabs>
          <w:tab w:val="left" w:pos="709"/>
        </w:tabs>
        <w:autoSpaceDE/>
        <w:autoSpaceDN/>
        <w:adjustRightInd w:val="0"/>
        <w:snapToGrid/>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1.</w:t>
      </w:r>
      <w:r>
        <w:rPr>
          <w:rFonts w:ascii="Times New Roman" w:hAnsi="Times New Roman" w:cs="Times New Roman" w:hint="default"/>
          <w:color w:val="auto"/>
          <w:sz w:val="28"/>
          <w:szCs w:val="28"/>
        </w:rPr>
        <w:t>验收分为出厂验收、</w:t>
      </w:r>
      <w:r>
        <w:rPr>
          <w:rFonts w:ascii="Times New Roman" w:hAnsi="Times New Roman" w:cs="Times New Roman" w:hint="eastAsia"/>
          <w:color w:val="auto"/>
          <w:sz w:val="28"/>
          <w:szCs w:val="28"/>
          <w:lang w:val="en-US" w:eastAsia="zh-CN"/>
        </w:rPr>
        <w:t>业务</w:t>
      </w:r>
      <w:r>
        <w:rPr>
          <w:rFonts w:ascii="Times New Roman" w:hAnsi="Times New Roman" w:cs="Times New Roman" w:hint="default"/>
          <w:color w:val="auto"/>
          <w:sz w:val="28"/>
          <w:szCs w:val="28"/>
        </w:rPr>
        <w:t>验收及合同验收，</w:t>
      </w:r>
      <w:r>
        <w:rPr>
          <w:rFonts w:ascii="Times New Roman" w:hAnsi="Times New Roman" w:cs="Times New Roman" w:hint="default"/>
          <w:color w:val="auto"/>
          <w:sz w:val="28"/>
          <w:szCs w:val="28"/>
          <w:highlight w:val="none"/>
        </w:rPr>
        <w:t>乙方在完成安装调试并试运行</w:t>
      </w:r>
      <w:r>
        <w:rPr>
          <w:rFonts w:ascii="Times New Roman" w:hAnsi="Times New Roman" w:cs="Times New Roman" w:hint="default"/>
          <w:color w:val="auto"/>
          <w:sz w:val="28"/>
          <w:szCs w:val="28"/>
          <w:highlight w:val="none"/>
          <w:lang w:val="en-US" w:eastAsia="zh-CN"/>
        </w:rPr>
        <w:t>十五日</w:t>
      </w:r>
      <w:r>
        <w:rPr>
          <w:rFonts w:ascii="Times New Roman" w:hAnsi="Times New Roman" w:cs="Times New Roman" w:hint="default"/>
          <w:color w:val="auto"/>
          <w:sz w:val="28"/>
          <w:szCs w:val="28"/>
          <w:highlight w:val="none"/>
        </w:rPr>
        <w:t>后</w:t>
      </w:r>
      <w:r>
        <w:rPr>
          <w:rFonts w:ascii="Times New Roman" w:hAnsi="Times New Roman" w:cs="Times New Roman" w:hint="default"/>
          <w:color w:val="auto"/>
          <w:sz w:val="28"/>
          <w:szCs w:val="28"/>
        </w:rPr>
        <w:t>，向甲方提出验收申请，甲方接到申请后组织人员进行验收，验收前由乙方向甲方提供验收大纲，经甲方认可后执行，验收合格视为项目交付完成。</w:t>
      </w:r>
    </w:p>
    <w:p>
      <w:pPr>
        <w:tabs>
          <w:tab w:val="left" w:pos="709"/>
        </w:tabs>
        <w:autoSpaceDE/>
        <w:autoSpaceDN/>
        <w:adjustRightInd w:val="0"/>
        <w:snapToGrid/>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2.乙方</w:t>
      </w:r>
      <w:r>
        <w:rPr>
          <w:rFonts w:ascii="Times New Roman" w:hAnsi="Times New Roman" w:cs="Times New Roman" w:hint="eastAsia"/>
          <w:color w:val="auto"/>
          <w:sz w:val="28"/>
          <w:szCs w:val="28"/>
          <w:lang w:val="en-US" w:eastAsia="zh-CN"/>
        </w:rPr>
        <w:t>按照本合同技术说明书并</w:t>
      </w:r>
      <w:r>
        <w:rPr>
          <w:rFonts w:ascii="Times New Roman" w:hAnsi="Times New Roman" w:cs="Times New Roman" w:hint="default"/>
          <w:color w:val="auto"/>
          <w:sz w:val="28"/>
          <w:szCs w:val="28"/>
          <w:lang w:val="en-US" w:eastAsia="zh-CN"/>
        </w:rPr>
        <w:t>按照甲方要求提交合同实施情况报告、自测的产品性能测试报告、货物/服务接收清单、现场验收报告等。</w:t>
      </w:r>
    </w:p>
    <w:p>
      <w:pPr>
        <w:spacing w:line="360" w:lineRule="auto"/>
        <w:ind w:firstLine="560" w:firstLineChars="200"/>
        <w:jc w:val="both"/>
        <w:rPr>
          <w:rFonts w:hint="default"/>
          <w:b/>
          <w:color w:val="auto"/>
          <w:spacing w:val="-3"/>
          <w:sz w:val="28"/>
          <w:szCs w:val="28"/>
        </w:rPr>
      </w:pPr>
      <w:r>
        <w:rPr>
          <w:rFonts w:ascii="Times New Roman" w:hAnsi="Times New Roman" w:cs="Times New Roman" w:hint="default"/>
          <w:b/>
          <w:color w:val="auto"/>
          <w:spacing w:val="-3"/>
          <w:sz w:val="28"/>
          <w:szCs w:val="28"/>
          <w:lang w:val="en-US" w:eastAsia="zh-CN"/>
        </w:rPr>
        <w:t>五</w:t>
      </w:r>
      <w:r>
        <w:rPr>
          <w:rFonts w:ascii="Times New Roman" w:hAnsi="Times New Roman" w:cs="Times New Roman" w:hint="default"/>
          <w:b/>
          <w:color w:val="auto"/>
          <w:spacing w:val="-3"/>
          <w:sz w:val="28"/>
          <w:szCs w:val="28"/>
        </w:rPr>
        <w:t>、运输</w:t>
      </w:r>
    </w:p>
    <w:p>
      <w:pPr>
        <w:tabs>
          <w:tab w:val="left" w:pos="726"/>
          <w:tab w:val="left" w:pos="1873"/>
        </w:tabs>
        <w:spacing w:before="0" w:line="360" w:lineRule="auto"/>
        <w:ind w:right="0" w:firstLine="560" w:firstLineChars="200"/>
        <w:jc w:val="both"/>
        <w:rPr>
          <w:rFonts w:hint="default"/>
          <w:color w:val="auto"/>
          <w:spacing w:val="-4"/>
          <w:sz w:val="28"/>
          <w:szCs w:val="28"/>
        </w:rPr>
      </w:pPr>
      <w:r>
        <w:rPr>
          <w:rFonts w:ascii="Times New Roman" w:hAnsi="Times New Roman" w:cs="Times New Roman" w:hint="default"/>
          <w:color w:val="auto"/>
          <w:spacing w:val="-2"/>
          <w:sz w:val="28"/>
          <w:szCs w:val="28"/>
        </w:rPr>
        <w:t>1.本合同项下货物应由乙方承运至甲方指定地点，运输所产生的费用由乙方承担。乙方应同时承担运输过程中合同货物的所有在途风险，包括但不限于毁损、丢</w:t>
      </w:r>
      <w:r>
        <w:rPr>
          <w:rFonts w:ascii="Times New Roman" w:hAnsi="Times New Roman" w:cs="Times New Roman" w:hint="default"/>
          <w:color w:val="auto"/>
          <w:spacing w:val="-4"/>
          <w:sz w:val="28"/>
          <w:szCs w:val="28"/>
        </w:rPr>
        <w:t>失等。</w:t>
      </w:r>
    </w:p>
    <w:p>
      <w:pPr>
        <w:tabs>
          <w:tab w:val="left" w:pos="726"/>
          <w:tab w:val="left" w:pos="1873"/>
        </w:tabs>
        <w:spacing w:before="0" w:line="360" w:lineRule="auto"/>
        <w:ind w:right="0"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2.货物运输过程中出现的所有事故，由乙方自行负责，与甲方无关，如因此给甲方造成损失的，乙方应该承担相应的赔偿责任。</w:t>
      </w:r>
    </w:p>
    <w:p>
      <w:pPr>
        <w:tabs>
          <w:tab w:val="left" w:pos="726"/>
          <w:tab w:val="left" w:pos="1873"/>
        </w:tabs>
        <w:spacing w:before="0" w:line="360" w:lineRule="auto"/>
        <w:ind w:right="0"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3.货物运输途中发生的可对运输产生的不利影响的所有不可预计情况均由乙方自行协调解决。</w:t>
      </w:r>
    </w:p>
    <w:p>
      <w:pPr>
        <w:tabs>
          <w:tab w:val="left" w:pos="726"/>
          <w:tab w:val="left" w:pos="1873"/>
        </w:tabs>
        <w:spacing w:before="0" w:line="360" w:lineRule="auto"/>
        <w:ind w:right="0"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4.因自然灾害、政策变动等不可抗力因素导致送货延迟的，乙方须及时通知甲方，并取得相关证明，以便甲方处理后续工作。</w:t>
      </w:r>
    </w:p>
    <w:p>
      <w:pPr>
        <w:spacing w:line="360" w:lineRule="auto"/>
        <w:ind w:firstLine="560" w:firstLineChars="200"/>
        <w:jc w:val="both"/>
        <w:rPr>
          <w:rFonts w:hint="default"/>
          <w:b/>
          <w:color w:val="auto"/>
          <w:spacing w:val="-3"/>
          <w:sz w:val="28"/>
          <w:szCs w:val="28"/>
        </w:rPr>
      </w:pPr>
      <w:r>
        <w:rPr>
          <w:rFonts w:ascii="Times New Roman" w:hAnsi="Times New Roman" w:cs="Times New Roman" w:hint="default"/>
          <w:b/>
          <w:color w:val="auto"/>
          <w:spacing w:val="-3"/>
          <w:sz w:val="28"/>
          <w:szCs w:val="28"/>
          <w:lang w:val="en-US" w:eastAsia="zh-CN"/>
        </w:rPr>
        <w:t>六</w:t>
      </w:r>
      <w:r>
        <w:rPr>
          <w:rFonts w:ascii="Times New Roman" w:hAnsi="Times New Roman" w:cs="Times New Roman" w:hint="default"/>
          <w:b/>
          <w:color w:val="auto"/>
          <w:spacing w:val="-3"/>
          <w:sz w:val="28"/>
          <w:szCs w:val="28"/>
        </w:rPr>
        <w:t>、收货时间、地点</w:t>
      </w:r>
    </w:p>
    <w:p>
      <w:pPr>
        <w:pStyle w:val="BodyText"/>
        <w:tabs>
          <w:tab w:val="left" w:pos="2604"/>
          <w:tab w:val="left" w:pos="3242"/>
          <w:tab w:val="left" w:pos="3926"/>
          <w:tab w:val="left" w:pos="5551"/>
        </w:tabs>
        <w:ind w:right="0" w:firstLine="560" w:firstLineChars="200"/>
        <w:jc w:val="both"/>
        <w:rPr>
          <w:rFonts w:ascii="宋体" w:eastAsia="宋体" w:hAnsi="宋体" w:cs="宋体" w:hint="eastAsia"/>
          <w:color w:val="auto"/>
          <w:sz w:val="28"/>
          <w:szCs w:val="28"/>
        </w:rPr>
      </w:pPr>
      <w:r>
        <w:rPr>
          <w:rFonts w:ascii="宋体" w:eastAsia="宋体" w:hAnsi="宋体" w:cs="宋体" w:hint="eastAsia"/>
          <w:color w:val="auto"/>
          <w:sz w:val="28"/>
          <w:szCs w:val="28"/>
        </w:rPr>
        <w:t>乙方应于</w:t>
      </w:r>
      <w:r>
        <w:rPr>
          <w:rFonts w:ascii="宋体" w:eastAsia="宋体" w:hAnsi="宋体" w:cs="宋体" w:hint="eastAsia"/>
          <w:color w:val="auto"/>
          <w:spacing w:val="-42"/>
          <w:sz w:val="28"/>
          <w:szCs w:val="28"/>
          <w:highlight w:val="none"/>
          <w:u w:val="single"/>
        </w:rPr>
        <w:t xml:space="preserve"> </w:t>
      </w:r>
      <w:r>
        <w:rPr>
          <w:rFonts w:ascii="宋体" w:eastAsia="宋体" w:hAnsi="宋体" w:cs="宋体" w:hint="eastAsia"/>
          <w:color w:val="auto"/>
          <w:sz w:val="28"/>
          <w:szCs w:val="28"/>
          <w:highlight w:val="none"/>
          <w:u w:val="single"/>
        </w:rPr>
        <w:t>202</w:t>
      </w:r>
      <w:r>
        <w:rPr>
          <w:rFonts w:ascii="宋体" w:eastAsia="宋体" w:hAnsi="宋体" w:cs="宋体" w:hint="eastAsia"/>
          <w:color w:val="auto"/>
          <w:sz w:val="28"/>
          <w:szCs w:val="28"/>
          <w:highlight w:val="none"/>
          <w:u w:val="single"/>
          <w:lang w:val="en-US" w:eastAsia="zh-CN"/>
        </w:rPr>
        <w:t>6</w:t>
      </w:r>
      <w:r>
        <w:rPr>
          <w:rFonts w:ascii="宋体" w:eastAsia="宋体" w:hAnsi="宋体" w:cs="宋体" w:hint="eastAsia"/>
          <w:color w:val="auto"/>
          <w:sz w:val="28"/>
          <w:szCs w:val="28"/>
          <w:highlight w:val="none"/>
        </w:rPr>
        <w:t>年</w:t>
      </w:r>
      <w:r>
        <w:rPr>
          <w:rFonts w:ascii="宋体" w:eastAsia="宋体" w:hAnsi="宋体" w:cs="宋体" w:hint="eastAsia"/>
          <w:color w:val="auto"/>
          <w:sz w:val="28"/>
          <w:szCs w:val="28"/>
          <w:highlight w:val="none"/>
          <w:u w:val="single"/>
          <w:lang w:val="en-US" w:eastAsia="zh-CN"/>
        </w:rPr>
        <w:t>8</w:t>
      </w:r>
      <w:r>
        <w:rPr>
          <w:rFonts w:ascii="宋体" w:eastAsia="宋体" w:hAnsi="宋体" w:cs="宋体" w:hint="eastAsia"/>
          <w:color w:val="auto"/>
          <w:sz w:val="28"/>
          <w:szCs w:val="28"/>
          <w:highlight w:val="none"/>
        </w:rPr>
        <w:t>月</w:t>
      </w:r>
      <w:r>
        <w:rPr>
          <w:rFonts w:ascii="宋体" w:eastAsia="宋体" w:hAnsi="宋体" w:cs="宋体" w:hint="eastAsia"/>
          <w:color w:val="auto"/>
          <w:sz w:val="28"/>
          <w:szCs w:val="28"/>
          <w:highlight w:val="none"/>
          <w:u w:val="single"/>
          <w:lang w:val="en-US" w:eastAsia="zh-CN"/>
        </w:rPr>
        <w:t>30</w:t>
      </w:r>
      <w:r>
        <w:rPr>
          <w:rFonts w:ascii="宋体" w:eastAsia="宋体" w:hAnsi="宋体" w:cs="宋体" w:hint="eastAsia"/>
          <w:color w:val="auto"/>
          <w:sz w:val="28"/>
          <w:szCs w:val="28"/>
          <w:highlight w:val="none"/>
        </w:rPr>
        <w:t>日</w:t>
      </w:r>
      <w:r>
        <w:rPr>
          <w:rFonts w:ascii="宋体" w:eastAsia="宋体" w:hAnsi="宋体" w:cs="宋体" w:hint="eastAsia"/>
          <w:color w:val="auto"/>
          <w:sz w:val="28"/>
          <w:szCs w:val="28"/>
        </w:rPr>
        <w:t>前将本合同货物运至</w:t>
      </w:r>
      <w:r>
        <w:rPr>
          <w:rFonts w:ascii="宋体" w:eastAsia="宋体" w:hAnsi="宋体" w:cs="宋体" w:hint="eastAsia"/>
          <w:color w:val="auto"/>
          <w:sz w:val="28"/>
          <w:szCs w:val="28"/>
          <w:lang w:val="en-US" w:eastAsia="zh-CN"/>
        </w:rPr>
        <w:t>指定</w:t>
      </w:r>
      <w:r>
        <w:rPr>
          <w:rFonts w:ascii="宋体" w:eastAsia="宋体" w:hAnsi="宋体" w:cs="宋体" w:hint="eastAsia"/>
          <w:color w:val="auto"/>
          <w:sz w:val="28"/>
          <w:szCs w:val="28"/>
        </w:rPr>
        <w:t>地点：</w:t>
      </w:r>
    </w:p>
    <w:p>
      <w:pPr>
        <w:pStyle w:val="BodyText"/>
        <w:tabs>
          <w:tab w:val="left" w:pos="2351"/>
          <w:tab w:val="left" w:pos="3084"/>
          <w:tab w:val="left" w:pos="3242"/>
          <w:tab w:val="left" w:pos="3926"/>
          <w:tab w:val="left" w:pos="5551"/>
        </w:tabs>
        <w:ind w:right="0" w:firstLine="560" w:firstLineChars="200"/>
        <w:jc w:val="both"/>
        <w:rPr>
          <w:rFonts w:ascii="宋体" w:eastAsia="宋体" w:hAnsi="宋体" w:cs="宋体" w:hint="eastAsia"/>
          <w:color w:val="auto"/>
          <w:sz w:val="28"/>
          <w:szCs w:val="28"/>
        </w:rPr>
      </w:pPr>
      <w:r>
        <w:rPr>
          <w:rFonts w:ascii="宋体" w:eastAsia="宋体" w:hAnsi="宋体" w:cs="宋体" w:hint="eastAsia"/>
          <w:color w:val="auto"/>
          <w:sz w:val="28"/>
          <w:szCs w:val="28"/>
        </w:rPr>
        <w:t>收货单位：青海省气象灾害防御技术中心</w:t>
      </w:r>
    </w:p>
    <w:p>
      <w:pPr>
        <w:pStyle w:val="BodyText"/>
        <w:tabs>
          <w:tab w:val="left" w:pos="5470"/>
          <w:tab w:val="left" w:pos="5551"/>
          <w:tab w:val="left" w:pos="5610"/>
          <w:tab w:val="left" w:pos="5640"/>
        </w:tabs>
        <w:ind w:right="0" w:firstLine="560" w:firstLineChars="200"/>
        <w:jc w:val="both"/>
        <w:rPr>
          <w:rFonts w:ascii="宋体" w:eastAsia="宋体" w:hAnsi="宋体" w:cs="宋体" w:hint="eastAsia"/>
          <w:color w:val="auto"/>
          <w:sz w:val="28"/>
          <w:szCs w:val="28"/>
          <w:u w:val="single"/>
          <w:lang w:val="en-US"/>
        </w:rPr>
      </w:pPr>
      <w:r>
        <w:rPr>
          <w:rFonts w:ascii="宋体" w:eastAsia="宋体" w:hAnsi="宋体" w:cs="宋体" w:hint="eastAsia"/>
          <w:color w:val="auto"/>
          <w:sz w:val="28"/>
          <w:szCs w:val="28"/>
        </w:rPr>
        <w:t>收</w:t>
      </w:r>
      <w:r>
        <w:rPr>
          <w:rFonts w:ascii="宋体" w:eastAsia="宋体" w:hAnsi="宋体" w:cs="宋体" w:hint="eastAsia"/>
          <w:color w:val="auto"/>
          <w:sz w:val="28"/>
          <w:szCs w:val="28"/>
          <w:lang w:val="en-US" w:eastAsia="zh-CN"/>
        </w:rPr>
        <w:t xml:space="preserve"> </w:t>
      </w:r>
      <w:r>
        <w:rPr>
          <w:rFonts w:ascii="宋体" w:eastAsia="宋体" w:hAnsi="宋体" w:cs="宋体" w:hint="eastAsia"/>
          <w:color w:val="auto"/>
          <w:sz w:val="28"/>
          <w:szCs w:val="28"/>
        </w:rPr>
        <w:t>货</w:t>
      </w:r>
      <w:r>
        <w:rPr>
          <w:rFonts w:ascii="宋体" w:eastAsia="宋体" w:hAnsi="宋体" w:cs="宋体" w:hint="eastAsia"/>
          <w:color w:val="auto"/>
          <w:sz w:val="28"/>
          <w:szCs w:val="28"/>
          <w:lang w:val="en-US" w:eastAsia="zh-CN"/>
        </w:rPr>
        <w:t xml:space="preserve"> </w:t>
      </w:r>
      <w:r>
        <w:rPr>
          <w:rFonts w:ascii="宋体" w:eastAsia="宋体" w:hAnsi="宋体" w:cs="宋体" w:hint="eastAsia"/>
          <w:color w:val="auto"/>
          <w:sz w:val="28"/>
          <w:szCs w:val="28"/>
        </w:rPr>
        <w:t>人：</w:t>
      </w:r>
      <w:r>
        <w:rPr>
          <w:rFonts w:ascii="宋体" w:eastAsia="宋体" w:hAnsi="宋体" w:cs="宋体" w:hint="eastAsia"/>
          <w:color w:val="auto"/>
          <w:sz w:val="28"/>
          <w:szCs w:val="28"/>
          <w:lang w:val="en-US" w:eastAsia="zh-CN"/>
        </w:rPr>
        <w:t>山老师、</w:t>
      </w:r>
      <w:r>
        <w:rPr>
          <w:rFonts w:ascii="宋体" w:eastAsia="宋体" w:hAnsi="宋体" w:cs="宋体" w:hint="eastAsia"/>
          <w:color w:val="auto"/>
          <w:sz w:val="28"/>
          <w:szCs w:val="28"/>
          <w:u w:val="single"/>
          <w:lang w:val="en-US" w:eastAsia="zh-CN"/>
        </w:rPr>
        <w:t>侯老师</w:t>
      </w:r>
    </w:p>
    <w:p>
      <w:pPr>
        <w:pStyle w:val="BodyText"/>
        <w:tabs>
          <w:tab w:val="left" w:pos="5230"/>
          <w:tab w:val="left" w:pos="5370"/>
          <w:tab w:val="left" w:pos="5400"/>
          <w:tab w:val="left" w:pos="5551"/>
        </w:tabs>
        <w:ind w:right="0" w:firstLine="560" w:firstLineChars="200"/>
        <w:jc w:val="both"/>
        <w:rPr>
          <w:rFonts w:ascii="宋体" w:eastAsia="宋体" w:hAnsi="宋体" w:cs="宋体" w:hint="default"/>
          <w:color w:val="auto"/>
          <w:sz w:val="28"/>
          <w:szCs w:val="28"/>
          <w:lang w:val="en-US"/>
        </w:rPr>
      </w:pPr>
      <w:r>
        <w:rPr>
          <w:rFonts w:ascii="宋体" w:eastAsia="宋体" w:hAnsi="宋体" w:cs="宋体" w:hint="eastAsia"/>
          <w:color w:val="auto"/>
          <w:sz w:val="28"/>
          <w:szCs w:val="28"/>
        </w:rPr>
        <w:t>电</w:t>
      </w:r>
      <w:r>
        <w:rPr>
          <w:rFonts w:ascii="宋体" w:eastAsia="宋体" w:hAnsi="宋体" w:cs="宋体" w:hint="eastAsia"/>
          <w:color w:val="auto"/>
          <w:sz w:val="28"/>
          <w:szCs w:val="28"/>
          <w:lang w:val="en-US" w:eastAsia="zh-CN"/>
        </w:rPr>
        <w:t xml:space="preserve">    </w:t>
      </w:r>
      <w:r>
        <w:rPr>
          <w:rFonts w:ascii="宋体" w:eastAsia="宋体" w:hAnsi="宋体" w:cs="宋体" w:hint="eastAsia"/>
          <w:color w:val="auto"/>
          <w:sz w:val="28"/>
          <w:szCs w:val="28"/>
        </w:rPr>
        <w:t>话：</w:t>
      </w:r>
      <w:r>
        <w:rPr>
          <w:rFonts w:ascii="宋体" w:eastAsia="宋体" w:hAnsi="宋体" w:cs="宋体" w:hint="eastAsia"/>
          <w:color w:val="auto"/>
          <w:sz w:val="28"/>
          <w:szCs w:val="28"/>
          <w:lang w:val="en-US" w:eastAsia="zh-CN"/>
        </w:rPr>
        <w:t>19909780177、</w:t>
      </w:r>
      <w:r>
        <w:rPr>
          <w:rFonts w:ascii="宋体" w:eastAsia="宋体" w:hAnsi="宋体" w:cs="宋体" w:hint="eastAsia"/>
          <w:color w:val="auto"/>
          <w:sz w:val="28"/>
          <w:szCs w:val="28"/>
          <w:u w:val="single"/>
          <w:lang w:val="en-US" w:eastAsia="zh-CN"/>
        </w:rPr>
        <w:t>15720601661</w:t>
      </w:r>
    </w:p>
    <w:p>
      <w:pPr>
        <w:tabs>
          <w:tab w:val="left" w:pos="5636"/>
        </w:tabs>
        <w:spacing w:line="360" w:lineRule="auto"/>
        <w:ind w:right="0" w:firstLine="560" w:firstLineChars="200"/>
        <w:jc w:val="both"/>
        <w:rPr>
          <w:rFonts w:hint="default"/>
          <w:color w:val="auto"/>
          <w:sz w:val="28"/>
          <w:szCs w:val="28"/>
          <w:u w:val="single"/>
        </w:rPr>
      </w:pPr>
      <w:r>
        <w:rPr>
          <w:rFonts w:ascii="Times New Roman" w:hAnsi="Times New Roman" w:cs="Times New Roman" w:hint="default"/>
          <w:color w:val="auto"/>
          <w:spacing w:val="-2"/>
          <w:sz w:val="28"/>
          <w:szCs w:val="28"/>
        </w:rPr>
        <w:t>收货地址：</w:t>
      </w:r>
      <w:r>
        <w:rPr>
          <w:rFonts w:ascii="Times New Roman" w:hAnsi="Times New Roman" w:cs="Times New Roman" w:hint="default"/>
          <w:color w:val="auto"/>
          <w:sz w:val="28"/>
          <w:szCs w:val="28"/>
          <w:u w:val="single"/>
          <w:lang w:val="en-US" w:eastAsia="zh-CN"/>
        </w:rPr>
        <w:t>青海省西宁市城西区五四大街19号</w:t>
      </w:r>
    </w:p>
    <w:p>
      <w:pPr>
        <w:tabs>
          <w:tab w:val="left" w:pos="3242"/>
        </w:tabs>
        <w:spacing w:line="360" w:lineRule="auto"/>
        <w:ind w:right="0" w:firstLine="560" w:firstLineChars="200"/>
        <w:jc w:val="both"/>
        <w:rPr>
          <w:rFonts w:hint="default"/>
          <w:color w:val="auto"/>
          <w:sz w:val="28"/>
          <w:szCs w:val="28"/>
          <w:u w:val="single"/>
        </w:rPr>
      </w:pPr>
      <w:r>
        <w:rPr>
          <w:rFonts w:ascii="Times New Roman" w:hAnsi="Times New Roman" w:cs="Times New Roman" w:hint="default"/>
          <w:color w:val="auto"/>
          <w:spacing w:val="-2"/>
          <w:sz w:val="28"/>
          <w:szCs w:val="28"/>
        </w:rPr>
        <w:t>邮    编：</w:t>
      </w:r>
      <w:r>
        <w:rPr>
          <w:rFonts w:ascii="Times New Roman" w:hAnsi="Times New Roman" w:cs="Times New Roman" w:hint="default"/>
          <w:color w:val="auto"/>
          <w:sz w:val="28"/>
          <w:szCs w:val="28"/>
          <w:u w:val="single"/>
          <w:lang w:val="en-US" w:eastAsia="zh-CN"/>
        </w:rPr>
        <w:t>810001</w:t>
      </w:r>
    </w:p>
    <w:p>
      <w:pPr>
        <w:numPr>
          <w:ilvl w:val="0"/>
          <w:numId w:val="0"/>
        </w:numPr>
        <w:tabs>
          <w:tab w:val="left" w:pos="3242"/>
        </w:tabs>
        <w:spacing w:line="360" w:lineRule="auto"/>
        <w:ind w:left="420" w:firstLine="0" w:leftChars="200" w:firstLineChars="0"/>
        <w:jc w:val="both"/>
        <w:rPr>
          <w:rFonts w:hint="default"/>
          <w:b/>
          <w:color w:val="auto"/>
          <w:spacing w:val="-3"/>
          <w:sz w:val="28"/>
          <w:szCs w:val="28"/>
        </w:rPr>
      </w:pPr>
      <w:r>
        <w:rPr>
          <w:rFonts w:ascii="Times New Roman" w:hAnsi="Times New Roman" w:cs="Times New Roman" w:hint="default"/>
          <w:b/>
          <w:color w:val="auto"/>
          <w:spacing w:val="-3"/>
          <w:sz w:val="28"/>
          <w:szCs w:val="28"/>
          <w:lang w:val="en-US" w:eastAsia="zh-CN"/>
        </w:rPr>
        <w:t>七</w:t>
      </w:r>
      <w:r>
        <w:rPr>
          <w:rFonts w:ascii="Times New Roman" w:hAnsi="Times New Roman" w:cs="Times New Roman" w:hint="default"/>
          <w:b/>
          <w:color w:val="auto"/>
          <w:spacing w:val="-3"/>
          <w:sz w:val="28"/>
          <w:szCs w:val="28"/>
        </w:rPr>
        <w:t>、合同价格及付款方式</w:t>
      </w:r>
    </w:p>
    <w:p>
      <w:pPr>
        <w:wordWrap/>
        <w:autoSpaceDE/>
        <w:autoSpaceDN/>
        <w:spacing w:line="360" w:lineRule="auto"/>
        <w:ind w:firstLine="560" w:firstLineChars="200"/>
        <w:jc w:val="both"/>
        <w:rPr>
          <w:rFonts w:hint="default"/>
          <w:color w:val="auto"/>
          <w:sz w:val="28"/>
          <w:szCs w:val="28"/>
          <w:highlight w:val="none"/>
        </w:rPr>
      </w:pPr>
      <w:r>
        <w:rPr>
          <w:rFonts w:ascii="Times New Roman" w:hAnsi="Times New Roman" w:cs="Times New Roman" w:hint="default"/>
          <w:color w:val="auto"/>
          <w:sz w:val="28"/>
          <w:szCs w:val="28"/>
          <w:highlight w:val="none"/>
        </w:rPr>
        <w:t>1.合同总金额为人民币</w:t>
      </w:r>
      <w:r>
        <w:rPr>
          <w:rFonts w:ascii="Times New Roman" w:hAnsi="Times New Roman" w:cs="Times New Roman" w:hint="eastAsia"/>
          <w:color w:val="auto"/>
          <w:sz w:val="28"/>
          <w:szCs w:val="28"/>
          <w:highlight w:val="none"/>
          <w:u w:val="single"/>
          <w:lang w:val="en-US" w:eastAsia="zh-CN"/>
        </w:rPr>
        <w:t xml:space="preserve">   </w:t>
      </w:r>
      <w:r>
        <w:rPr>
          <w:rFonts w:ascii="Times New Roman" w:hAnsi="Times New Roman" w:cs="Times New Roman" w:hint="default"/>
          <w:color w:val="auto"/>
          <w:sz w:val="28"/>
          <w:szCs w:val="28"/>
          <w:highlight w:val="none"/>
          <w:u w:val="single"/>
        </w:rPr>
        <w:t>万元整</w:t>
      </w:r>
      <w:r>
        <w:rPr>
          <w:rFonts w:ascii="Times New Roman" w:hAnsi="Times New Roman" w:cs="Times New Roman" w:hint="default"/>
          <w:color w:val="auto"/>
          <w:sz w:val="28"/>
          <w:szCs w:val="28"/>
          <w:highlight w:val="none"/>
          <w:u w:val="none"/>
          <w:lang w:eastAsia="zh-CN"/>
        </w:rPr>
        <w:t>（</w:t>
      </w:r>
      <w:r>
        <w:rPr>
          <w:rFonts w:ascii="Times New Roman" w:hAnsi="Times New Roman" w:cs="Times New Roman" w:hint="default"/>
          <w:color w:val="auto"/>
          <w:sz w:val="28"/>
          <w:szCs w:val="28"/>
          <w:highlight w:val="none"/>
          <w:u w:val="none"/>
          <w:lang w:val="en-US" w:eastAsia="zh-CN"/>
        </w:rPr>
        <w:t>大写</w:t>
      </w:r>
      <w:r>
        <w:rPr>
          <w:rFonts w:ascii="Times New Roman" w:hAnsi="Times New Roman" w:cs="Times New Roman" w:hint="default"/>
          <w:color w:val="auto"/>
          <w:sz w:val="28"/>
          <w:szCs w:val="28"/>
          <w:highlight w:val="none"/>
          <w:u w:val="none"/>
          <w:lang w:eastAsia="zh-CN"/>
        </w:rPr>
        <w:t>），</w:t>
      </w:r>
      <w:r>
        <w:rPr>
          <w:rFonts w:ascii="Times New Roman" w:hAnsi="Times New Roman" w:cs="Times New Roman" w:hint="default"/>
          <w:color w:val="auto"/>
          <w:sz w:val="28"/>
          <w:szCs w:val="28"/>
          <w:highlight w:val="none"/>
          <w:u w:val="single"/>
        </w:rPr>
        <w:t>￥</w:t>
      </w:r>
      <w:r>
        <w:rPr>
          <w:rFonts w:ascii="Times New Roman" w:hAnsi="Times New Roman" w:cs="Times New Roman" w:hint="eastAsia"/>
          <w:color w:val="auto"/>
          <w:sz w:val="28"/>
          <w:szCs w:val="28"/>
          <w:highlight w:val="none"/>
          <w:u w:val="single"/>
          <w:lang w:val="en-US" w:eastAsia="zh-CN"/>
        </w:rPr>
        <w:t xml:space="preserve">     </w:t>
      </w:r>
      <w:r>
        <w:rPr>
          <w:rFonts w:ascii="Times New Roman" w:hAnsi="Times New Roman" w:cs="Times New Roman" w:hint="default"/>
          <w:color w:val="auto"/>
          <w:sz w:val="28"/>
          <w:szCs w:val="28"/>
          <w:highlight w:val="none"/>
          <w:u w:val="none"/>
          <w:lang w:eastAsia="zh-CN"/>
        </w:rPr>
        <w:t>（</w:t>
      </w:r>
      <w:r>
        <w:rPr>
          <w:rFonts w:ascii="Times New Roman" w:hAnsi="Times New Roman" w:cs="Times New Roman" w:hint="default"/>
          <w:color w:val="auto"/>
          <w:sz w:val="28"/>
          <w:szCs w:val="28"/>
          <w:highlight w:val="none"/>
          <w:u w:val="none"/>
          <w:lang w:val="en-US" w:eastAsia="zh-CN"/>
        </w:rPr>
        <w:t>小写</w:t>
      </w:r>
      <w:r>
        <w:rPr>
          <w:rFonts w:ascii="Times New Roman" w:hAnsi="Times New Roman" w:cs="Times New Roman" w:hint="default"/>
          <w:color w:val="auto"/>
          <w:sz w:val="28"/>
          <w:szCs w:val="28"/>
          <w:highlight w:val="none"/>
          <w:u w:val="none"/>
          <w:lang w:eastAsia="zh-CN"/>
        </w:rPr>
        <w:t>），</w:t>
      </w:r>
      <w:r>
        <w:rPr>
          <w:rFonts w:ascii="Times New Roman" w:eastAsia="宋体" w:hAnsi="Times New Roman" w:cs="Times New Roman" w:hint="default"/>
          <w:color w:val="auto"/>
          <w:kern w:val="0"/>
          <w:sz w:val="28"/>
          <w:szCs w:val="28"/>
          <w:highlight w:val="none"/>
          <w:lang w:val="en-US" w:eastAsia="zh-CN"/>
        </w:rPr>
        <w:t>包含设备购置、运输、安装、保险、税金等全部费用</w:t>
      </w:r>
      <w:r>
        <w:rPr>
          <w:rFonts w:ascii="Times New Roman" w:hAnsi="Times New Roman" w:cs="Times New Roman" w:hint="default"/>
          <w:color w:val="auto"/>
          <w:sz w:val="28"/>
          <w:szCs w:val="28"/>
          <w:highlight w:val="none"/>
          <w:u w:val="none"/>
        </w:rPr>
        <w:t>。</w:t>
      </w:r>
    </w:p>
    <w:p>
      <w:pPr>
        <w:spacing w:line="360" w:lineRule="auto"/>
        <w:ind w:firstLine="560" w:firstLineChars="200"/>
        <w:jc w:val="both"/>
        <w:rPr>
          <w:rFonts w:hint="default"/>
          <w:color w:val="auto"/>
          <w:kern w:val="0"/>
          <w:sz w:val="28"/>
          <w:szCs w:val="28"/>
          <w:highlight w:val="none"/>
        </w:rPr>
      </w:pPr>
      <w:r>
        <w:rPr>
          <w:rFonts w:ascii="Times New Roman" w:hAnsi="Times New Roman" w:cs="Times New Roman" w:hint="default"/>
          <w:color w:val="auto"/>
          <w:sz w:val="28"/>
          <w:szCs w:val="28"/>
          <w:highlight w:val="none"/>
        </w:rPr>
        <w:t>2.合同生效后付款：</w:t>
      </w:r>
      <w:r>
        <w:rPr>
          <w:rFonts w:ascii="Times New Roman" w:eastAsia="宋体" w:hAnsi="Times New Roman" w:cs="Times New Roman" w:hint="default"/>
          <w:color w:val="auto"/>
          <w:kern w:val="0"/>
          <w:sz w:val="28"/>
          <w:szCs w:val="28"/>
          <w:highlight w:val="none"/>
        </w:rPr>
        <w:t>双方签署合同后</w:t>
      </w:r>
      <w:r>
        <w:rPr>
          <w:rFonts w:cs="Times New Roman" w:hint="eastAsia"/>
          <w:color w:val="auto"/>
          <w:kern w:val="0"/>
          <w:sz w:val="28"/>
          <w:szCs w:val="28"/>
          <w:highlight w:val="none"/>
          <w:lang w:val="en-US" w:eastAsia="zh-CN"/>
        </w:rPr>
        <w:t>30</w:t>
      </w:r>
      <w:r>
        <w:rPr>
          <w:rFonts w:ascii="Times New Roman" w:eastAsia="宋体" w:hAnsi="Times New Roman" w:cs="Times New Roman" w:hint="default"/>
          <w:color w:val="auto"/>
          <w:kern w:val="0"/>
          <w:sz w:val="28"/>
          <w:szCs w:val="28"/>
          <w:highlight w:val="none"/>
        </w:rPr>
        <w:t>个工作日内，甲方向乙方支付合同总金额的</w:t>
      </w:r>
      <w:r>
        <w:rPr>
          <w:rFonts w:ascii="Times New Roman" w:eastAsia="宋体" w:hAnsi="Times New Roman" w:cs="Times New Roman" w:hint="default"/>
          <w:color w:val="auto"/>
          <w:kern w:val="0"/>
          <w:sz w:val="28"/>
          <w:szCs w:val="28"/>
          <w:highlight w:val="none"/>
          <w:lang w:val="en-US" w:eastAsia="zh-CN"/>
        </w:rPr>
        <w:t>60</w:t>
      </w:r>
      <w:r>
        <w:rPr>
          <w:rFonts w:ascii="Times New Roman" w:eastAsia="宋体" w:hAnsi="Times New Roman" w:cs="Times New Roman" w:hint="default"/>
          <w:color w:val="auto"/>
          <w:kern w:val="0"/>
          <w:sz w:val="28"/>
          <w:szCs w:val="28"/>
          <w:highlight w:val="none"/>
        </w:rPr>
        <w:t>%</w:t>
      </w:r>
      <w:r>
        <w:rPr>
          <w:rFonts w:ascii="Times New Roman" w:eastAsia="宋体" w:hAnsi="Times New Roman" w:cs="Times New Roman" w:hint="default"/>
          <w:color w:val="auto"/>
          <w:kern w:val="0"/>
          <w:sz w:val="28"/>
          <w:szCs w:val="28"/>
          <w:highlight w:val="none"/>
          <w:lang w:val="en-US" w:eastAsia="zh-CN"/>
        </w:rPr>
        <w:t>预付款</w:t>
      </w:r>
      <w:r>
        <w:rPr>
          <w:rFonts w:ascii="Times New Roman" w:eastAsia="宋体" w:hAnsi="Times New Roman" w:cs="Times New Roman" w:hint="default"/>
          <w:color w:val="auto"/>
          <w:kern w:val="0"/>
          <w:sz w:val="28"/>
          <w:szCs w:val="28"/>
          <w:highlight w:val="none"/>
        </w:rPr>
        <w:t>，即人民币</w:t>
      </w:r>
      <w:r>
        <w:rPr>
          <w:rFonts w:ascii="Times New Roman" w:hAnsi="Times New Roman" w:cs="Times New Roman" w:hint="eastAsia"/>
          <w:color w:val="auto"/>
          <w:sz w:val="28"/>
          <w:szCs w:val="28"/>
          <w:highlight w:val="none"/>
          <w:u w:val="single"/>
          <w:lang w:val="en-US" w:eastAsia="zh-CN"/>
        </w:rPr>
        <w:t xml:space="preserve">   </w:t>
      </w:r>
      <w:r>
        <w:rPr>
          <w:rFonts w:ascii="Times New Roman" w:hAnsi="Times New Roman" w:cs="Times New Roman" w:hint="default"/>
          <w:color w:val="auto"/>
          <w:sz w:val="28"/>
          <w:szCs w:val="28"/>
          <w:highlight w:val="none"/>
          <w:u w:val="single"/>
        </w:rPr>
        <w:t>元整</w:t>
      </w:r>
      <w:r>
        <w:rPr>
          <w:rFonts w:ascii="Times New Roman" w:hAnsi="Times New Roman" w:cs="Times New Roman" w:hint="default"/>
          <w:color w:val="auto"/>
          <w:sz w:val="28"/>
          <w:szCs w:val="28"/>
          <w:highlight w:val="none"/>
        </w:rPr>
        <w:t>（大写）</w:t>
      </w:r>
      <w:r>
        <w:rPr>
          <w:rFonts w:ascii="Times New Roman" w:hAnsi="Times New Roman" w:cs="Times New Roman" w:hint="default"/>
          <w:color w:val="auto"/>
          <w:sz w:val="28"/>
          <w:szCs w:val="28"/>
          <w:highlight w:val="none"/>
          <w:lang w:eastAsia="zh-CN"/>
        </w:rPr>
        <w:t>，</w:t>
      </w:r>
      <w:r>
        <w:rPr>
          <w:rFonts w:ascii="Times New Roman" w:hAnsi="Times New Roman" w:cs="Times New Roman" w:hint="default"/>
          <w:color w:val="auto"/>
          <w:sz w:val="28"/>
          <w:szCs w:val="28"/>
          <w:highlight w:val="none"/>
          <w:u w:val="single"/>
          <w:lang w:eastAsia="zh-CN"/>
        </w:rPr>
        <w:t>￥</w:t>
      </w:r>
      <w:r>
        <w:rPr>
          <w:rFonts w:ascii="Times New Roman" w:hAnsi="Times New Roman" w:cs="Times New Roman" w:hint="eastAsia"/>
          <w:color w:val="auto"/>
          <w:sz w:val="28"/>
          <w:szCs w:val="28"/>
          <w:highlight w:val="none"/>
          <w:u w:val="single"/>
          <w:lang w:val="en-US" w:eastAsia="zh-CN"/>
        </w:rPr>
        <w:t xml:space="preserve">     </w:t>
      </w:r>
      <w:r>
        <w:rPr>
          <w:rFonts w:ascii="Times New Roman" w:hAnsi="Times New Roman" w:cs="Times New Roman" w:hint="default"/>
          <w:color w:val="auto"/>
          <w:sz w:val="28"/>
          <w:szCs w:val="28"/>
          <w:highlight w:val="none"/>
          <w:u w:val="single"/>
        </w:rPr>
        <w:t>元</w:t>
      </w:r>
      <w:r>
        <w:rPr>
          <w:rFonts w:ascii="Times New Roman" w:hAnsi="Times New Roman" w:cs="Times New Roman" w:hint="default"/>
          <w:color w:val="auto"/>
          <w:sz w:val="28"/>
          <w:szCs w:val="28"/>
          <w:highlight w:val="none"/>
        </w:rPr>
        <w:t>（小写）</w:t>
      </w:r>
      <w:r>
        <w:rPr>
          <w:rFonts w:ascii="Times New Roman" w:hAnsi="Times New Roman" w:cs="Times New Roman" w:hint="default"/>
          <w:color w:val="auto"/>
          <w:sz w:val="28"/>
          <w:szCs w:val="28"/>
          <w:highlight w:val="none"/>
          <w:lang w:eastAsia="zh-CN"/>
        </w:rPr>
        <w:t>，</w:t>
      </w:r>
      <w:r>
        <w:rPr>
          <w:rFonts w:ascii="Times New Roman" w:eastAsia="宋体" w:hAnsi="Times New Roman" w:cs="Times New Roman" w:hint="default"/>
          <w:color w:val="auto"/>
          <w:kern w:val="0"/>
          <w:sz w:val="28"/>
          <w:szCs w:val="28"/>
          <w:highlight w:val="none"/>
          <w:lang w:eastAsia="zh-CN"/>
        </w:rPr>
        <w:t>设备到场现场开箱验收合格后预付款转为合同支付款。</w:t>
      </w:r>
    </w:p>
    <w:p>
      <w:pPr>
        <w:numPr>
          <w:ilvl w:val="0"/>
          <w:numId w:val="0"/>
        </w:numPr>
        <w:spacing w:line="360" w:lineRule="auto"/>
        <w:ind w:firstLine="560" w:firstLineChars="200"/>
        <w:jc w:val="both"/>
        <w:rPr>
          <w:rFonts w:hint="default"/>
          <w:color w:val="auto"/>
          <w:sz w:val="28"/>
          <w:szCs w:val="28"/>
          <w:highlight w:val="none"/>
        </w:rPr>
      </w:pPr>
      <w:r>
        <w:rPr>
          <w:rFonts w:ascii="Times New Roman" w:hAnsi="Times New Roman" w:cs="Times New Roman" w:hint="default"/>
          <w:color w:val="auto"/>
          <w:sz w:val="28"/>
          <w:szCs w:val="28"/>
          <w:highlight w:val="none"/>
          <w:lang w:val="en-US" w:eastAsia="zh-CN"/>
        </w:rPr>
        <w:t>3.</w:t>
      </w:r>
      <w:r>
        <w:rPr>
          <w:rFonts w:ascii="Times New Roman" w:eastAsia="宋体" w:hAnsi="Times New Roman" w:cs="Times New Roman" w:hint="default"/>
          <w:color w:val="auto"/>
          <w:kern w:val="0"/>
          <w:sz w:val="28"/>
          <w:szCs w:val="28"/>
          <w:highlight w:val="none"/>
          <w:lang w:eastAsia="zh-CN"/>
        </w:rPr>
        <w:t>设备测试业务验收后</w:t>
      </w:r>
      <w:r>
        <w:rPr>
          <w:rFonts w:cs="Times New Roman" w:hint="eastAsia"/>
          <w:color w:val="auto"/>
          <w:kern w:val="0"/>
          <w:sz w:val="28"/>
          <w:szCs w:val="28"/>
          <w:highlight w:val="none"/>
          <w:lang w:val="en-US" w:eastAsia="zh-CN"/>
        </w:rPr>
        <w:t>30</w:t>
      </w:r>
      <w:r>
        <w:rPr>
          <w:rFonts w:ascii="Times New Roman" w:eastAsia="宋体" w:hAnsi="Times New Roman" w:cs="Times New Roman" w:hint="default"/>
          <w:color w:val="auto"/>
          <w:kern w:val="0"/>
          <w:sz w:val="28"/>
          <w:szCs w:val="28"/>
          <w:highlight w:val="none"/>
          <w:lang w:val="en-US" w:eastAsia="zh-CN"/>
        </w:rPr>
        <w:t>个工作日内</w:t>
      </w:r>
      <w:r>
        <w:rPr>
          <w:rFonts w:ascii="Times New Roman" w:eastAsia="宋体" w:hAnsi="Times New Roman" w:cs="Times New Roman" w:hint="default"/>
          <w:color w:val="auto"/>
          <w:kern w:val="0"/>
          <w:sz w:val="28"/>
          <w:szCs w:val="28"/>
          <w:highlight w:val="none"/>
          <w:lang w:eastAsia="zh-CN"/>
        </w:rPr>
        <w:t>甲方向乙方支付合同总金额的</w:t>
      </w:r>
      <w:r>
        <w:rPr>
          <w:rFonts w:ascii="Times New Roman" w:eastAsia="宋体" w:hAnsi="Times New Roman" w:cs="Times New Roman" w:hint="default"/>
          <w:color w:val="auto"/>
          <w:kern w:val="0"/>
          <w:sz w:val="28"/>
          <w:szCs w:val="28"/>
          <w:highlight w:val="none"/>
          <w:lang w:val="en-US" w:eastAsia="zh-CN"/>
        </w:rPr>
        <w:t>3</w:t>
      </w:r>
      <w:r>
        <w:rPr>
          <w:rFonts w:ascii="Times New Roman" w:eastAsia="宋体" w:hAnsi="Times New Roman" w:cs="Times New Roman" w:hint="eastAsia"/>
          <w:color w:val="auto"/>
          <w:kern w:val="0"/>
          <w:sz w:val="28"/>
          <w:szCs w:val="28"/>
          <w:highlight w:val="none"/>
          <w:lang w:val="en-US" w:eastAsia="zh-CN"/>
        </w:rPr>
        <w:t>0</w:t>
      </w:r>
      <w:r>
        <w:rPr>
          <w:rFonts w:ascii="Times New Roman" w:eastAsia="宋体" w:hAnsi="Times New Roman" w:cs="Times New Roman" w:hint="default"/>
          <w:color w:val="auto"/>
          <w:kern w:val="0"/>
          <w:sz w:val="28"/>
          <w:szCs w:val="28"/>
          <w:highlight w:val="none"/>
          <w:lang w:val="en-US" w:eastAsia="zh-CN"/>
        </w:rPr>
        <w:t>%，</w:t>
      </w:r>
      <w:r>
        <w:rPr>
          <w:rFonts w:ascii="Times New Roman" w:hAnsi="Times New Roman" w:cs="Times New Roman" w:hint="default"/>
          <w:color w:val="auto"/>
          <w:sz w:val="28"/>
          <w:szCs w:val="28"/>
          <w:highlight w:val="none"/>
        </w:rPr>
        <w:t>即人民币</w:t>
      </w:r>
      <w:r>
        <w:rPr>
          <w:rFonts w:ascii="Times New Roman" w:hAnsi="Times New Roman" w:cs="Times New Roman" w:hint="eastAsia"/>
          <w:color w:val="auto"/>
          <w:sz w:val="28"/>
          <w:szCs w:val="28"/>
          <w:highlight w:val="none"/>
          <w:u w:val="single"/>
          <w:lang w:val="en-US" w:eastAsia="zh-CN"/>
        </w:rPr>
        <w:t xml:space="preserve">    </w:t>
      </w:r>
      <w:r>
        <w:rPr>
          <w:rFonts w:ascii="Times New Roman" w:hAnsi="Times New Roman" w:cs="Times New Roman" w:hint="default"/>
          <w:color w:val="auto"/>
          <w:sz w:val="28"/>
          <w:szCs w:val="28"/>
          <w:highlight w:val="none"/>
          <w:u w:val="single"/>
        </w:rPr>
        <w:t>元整</w:t>
      </w:r>
      <w:r>
        <w:rPr>
          <w:rFonts w:ascii="Times New Roman" w:hAnsi="Times New Roman" w:cs="Times New Roman" w:hint="default"/>
          <w:color w:val="auto"/>
          <w:sz w:val="28"/>
          <w:szCs w:val="28"/>
          <w:highlight w:val="none"/>
          <w:u w:val="none"/>
        </w:rPr>
        <w:t>（大写）</w:t>
      </w:r>
      <w:r>
        <w:rPr>
          <w:rFonts w:ascii="Times New Roman" w:hAnsi="Times New Roman" w:cs="Times New Roman" w:hint="default"/>
          <w:color w:val="auto"/>
          <w:sz w:val="28"/>
          <w:szCs w:val="28"/>
          <w:highlight w:val="none"/>
          <w:u w:val="none"/>
          <w:lang w:eastAsia="zh-CN"/>
        </w:rPr>
        <w:t>，</w:t>
      </w:r>
      <w:r>
        <w:rPr>
          <w:rFonts w:ascii="Times New Roman" w:hAnsi="Times New Roman" w:cs="Times New Roman" w:hint="default"/>
          <w:color w:val="auto"/>
          <w:sz w:val="28"/>
          <w:szCs w:val="28"/>
          <w:highlight w:val="none"/>
          <w:u w:val="single"/>
          <w:lang w:eastAsia="zh-CN"/>
        </w:rPr>
        <w:t>￥</w:t>
      </w:r>
      <w:r>
        <w:rPr>
          <w:rFonts w:ascii="Times New Roman" w:hAnsi="Times New Roman" w:cs="Times New Roman" w:hint="eastAsia"/>
          <w:color w:val="auto"/>
          <w:sz w:val="28"/>
          <w:szCs w:val="28"/>
          <w:highlight w:val="none"/>
          <w:u w:val="single"/>
          <w:lang w:val="en-US" w:eastAsia="zh-CN"/>
        </w:rPr>
        <w:t xml:space="preserve">    </w:t>
      </w:r>
      <w:r>
        <w:rPr>
          <w:rFonts w:ascii="Times New Roman" w:hAnsi="Times New Roman" w:cs="Times New Roman" w:hint="default"/>
          <w:color w:val="auto"/>
          <w:sz w:val="28"/>
          <w:szCs w:val="28"/>
          <w:highlight w:val="none"/>
          <w:u w:val="single"/>
        </w:rPr>
        <w:t>元</w:t>
      </w:r>
      <w:r>
        <w:rPr>
          <w:rFonts w:ascii="Times New Roman" w:hAnsi="Times New Roman" w:cs="Times New Roman" w:hint="default"/>
          <w:color w:val="auto"/>
          <w:sz w:val="28"/>
          <w:szCs w:val="28"/>
          <w:highlight w:val="none"/>
          <w:u w:val="none"/>
        </w:rPr>
        <w:t>（小写）</w:t>
      </w:r>
      <w:r>
        <w:rPr>
          <w:rFonts w:ascii="Times New Roman" w:hAnsi="Times New Roman" w:cs="Times New Roman" w:hint="default"/>
          <w:color w:val="auto"/>
          <w:sz w:val="28"/>
          <w:szCs w:val="28"/>
          <w:highlight w:val="none"/>
          <w:u w:val="none"/>
          <w:lang w:eastAsia="zh-CN"/>
        </w:rPr>
        <w:t>。</w:t>
      </w:r>
    </w:p>
    <w:p>
      <w:pPr>
        <w:spacing w:line="360" w:lineRule="auto"/>
        <w:ind w:firstLine="560" w:firstLineChars="200"/>
        <w:jc w:val="both"/>
        <w:rPr>
          <w:rFonts w:hint="default"/>
          <w:color w:val="auto"/>
          <w:sz w:val="28"/>
          <w:szCs w:val="28"/>
          <w:u w:val="none"/>
        </w:rPr>
      </w:pPr>
      <w:r>
        <w:rPr>
          <w:rFonts w:ascii="Times New Roman" w:hAnsi="Times New Roman" w:cs="Times New Roman" w:hint="default"/>
          <w:color w:val="auto"/>
          <w:sz w:val="28"/>
          <w:szCs w:val="28"/>
          <w:highlight w:val="none"/>
        </w:rPr>
        <w:t>4.</w:t>
      </w:r>
      <w:r>
        <w:rPr>
          <w:rFonts w:ascii="Times New Roman" w:eastAsia="宋体" w:hAnsi="Times New Roman" w:cs="Times New Roman" w:hint="default"/>
          <w:color w:val="auto"/>
          <w:kern w:val="0"/>
          <w:sz w:val="28"/>
          <w:szCs w:val="28"/>
          <w:highlight w:val="none"/>
          <w:lang w:val="en-US" w:eastAsia="zh-CN"/>
        </w:rPr>
        <w:t>项目合同验收后</w:t>
      </w:r>
      <w:r>
        <w:rPr>
          <w:rFonts w:cs="Times New Roman" w:hint="eastAsia"/>
          <w:color w:val="auto"/>
          <w:kern w:val="0"/>
          <w:sz w:val="28"/>
          <w:szCs w:val="28"/>
          <w:highlight w:val="none"/>
          <w:lang w:val="en-US" w:eastAsia="zh-CN"/>
        </w:rPr>
        <w:t>30</w:t>
      </w:r>
      <w:r>
        <w:rPr>
          <w:rFonts w:ascii="Times New Roman" w:eastAsia="宋体" w:hAnsi="Times New Roman" w:cs="Times New Roman" w:hint="default"/>
          <w:color w:val="auto"/>
          <w:kern w:val="0"/>
          <w:sz w:val="28"/>
          <w:szCs w:val="28"/>
          <w:highlight w:val="none"/>
          <w:lang w:val="en-US" w:eastAsia="zh-CN"/>
        </w:rPr>
        <w:t>个工作日内，</w:t>
      </w:r>
      <w:r>
        <w:rPr>
          <w:rFonts w:ascii="Times New Roman" w:hAnsi="Times New Roman" w:cs="Times New Roman" w:hint="default"/>
          <w:color w:val="auto"/>
          <w:sz w:val="28"/>
          <w:szCs w:val="28"/>
          <w:highlight w:val="none"/>
        </w:rPr>
        <w:t>甲方向乙方支付合同总金额的</w:t>
      </w:r>
      <w:r>
        <w:rPr>
          <w:rFonts w:ascii="Times New Roman" w:hAnsi="Times New Roman" w:cs="Times New Roman" w:hint="eastAsia"/>
          <w:color w:val="auto"/>
          <w:sz w:val="28"/>
          <w:szCs w:val="28"/>
          <w:highlight w:val="none"/>
          <w:lang w:val="en-US" w:eastAsia="zh-CN"/>
        </w:rPr>
        <w:t>10</w:t>
      </w:r>
      <w:r>
        <w:rPr>
          <w:rFonts w:ascii="Times New Roman" w:hAnsi="Times New Roman" w:cs="Times New Roman" w:hint="default"/>
          <w:color w:val="auto"/>
          <w:sz w:val="28"/>
          <w:szCs w:val="28"/>
          <w:highlight w:val="none"/>
        </w:rPr>
        <w:t>%，即人民币</w:t>
      </w:r>
      <w:r>
        <w:rPr>
          <w:rFonts w:ascii="Times New Roman" w:hAnsi="Times New Roman" w:cs="Times New Roman" w:hint="eastAsia"/>
          <w:color w:val="auto"/>
          <w:sz w:val="28"/>
          <w:szCs w:val="28"/>
          <w:highlight w:val="none"/>
          <w:lang w:val="en-US" w:eastAsia="zh-CN"/>
        </w:rPr>
        <w:t xml:space="preserve">  </w:t>
      </w:r>
      <w:r>
        <w:rPr>
          <w:rFonts w:ascii="Times New Roman" w:hAnsi="Times New Roman" w:cs="Times New Roman" w:hint="default"/>
          <w:color w:val="auto"/>
          <w:sz w:val="28"/>
          <w:szCs w:val="28"/>
          <w:highlight w:val="none"/>
          <w:u w:val="single"/>
        </w:rPr>
        <w:t>元整</w:t>
      </w:r>
      <w:r>
        <w:rPr>
          <w:rFonts w:ascii="Times New Roman" w:hAnsi="Times New Roman" w:cs="Times New Roman" w:hint="default"/>
          <w:color w:val="auto"/>
          <w:sz w:val="28"/>
          <w:szCs w:val="28"/>
          <w:highlight w:val="none"/>
          <w:u w:val="none"/>
        </w:rPr>
        <w:t>（大写）</w:t>
      </w:r>
      <w:r>
        <w:rPr>
          <w:rFonts w:ascii="Times New Roman" w:hAnsi="Times New Roman" w:cs="Times New Roman" w:hint="default"/>
          <w:color w:val="auto"/>
          <w:sz w:val="28"/>
          <w:szCs w:val="28"/>
          <w:highlight w:val="none"/>
          <w:u w:val="none"/>
          <w:lang w:eastAsia="zh-CN"/>
        </w:rPr>
        <w:t>，</w:t>
      </w:r>
      <w:r>
        <w:rPr>
          <w:rFonts w:ascii="Times New Roman" w:hAnsi="Times New Roman" w:cs="Times New Roman" w:hint="default"/>
          <w:color w:val="auto"/>
          <w:sz w:val="28"/>
          <w:szCs w:val="28"/>
          <w:highlight w:val="none"/>
          <w:u w:val="single"/>
          <w:lang w:eastAsia="zh-CN"/>
        </w:rPr>
        <w:t>￥</w:t>
      </w:r>
      <w:r>
        <w:rPr>
          <w:rFonts w:ascii="Times New Roman" w:hAnsi="Times New Roman" w:cs="Times New Roman" w:hint="eastAsia"/>
          <w:color w:val="auto"/>
          <w:sz w:val="28"/>
          <w:szCs w:val="28"/>
          <w:highlight w:val="none"/>
          <w:u w:val="single"/>
          <w:lang w:val="en-US" w:eastAsia="zh-CN"/>
        </w:rPr>
        <w:t xml:space="preserve">       </w:t>
      </w:r>
      <w:r>
        <w:rPr>
          <w:rFonts w:ascii="Times New Roman" w:hAnsi="Times New Roman" w:cs="Times New Roman" w:hint="default"/>
          <w:color w:val="auto"/>
          <w:sz w:val="28"/>
          <w:szCs w:val="28"/>
          <w:highlight w:val="none"/>
          <w:u w:val="single"/>
        </w:rPr>
        <w:t>元</w:t>
      </w:r>
      <w:r>
        <w:rPr>
          <w:rFonts w:ascii="Times New Roman" w:hAnsi="Times New Roman" w:cs="Times New Roman" w:hint="default"/>
          <w:color w:val="auto"/>
          <w:sz w:val="28"/>
          <w:szCs w:val="28"/>
          <w:highlight w:val="none"/>
          <w:u w:val="none"/>
        </w:rPr>
        <w:t>（小写）</w:t>
      </w:r>
      <w:r>
        <w:rPr>
          <w:rFonts w:ascii="Times New Roman" w:hAnsi="Times New Roman" w:cs="Times New Roman" w:hint="default"/>
          <w:color w:val="auto"/>
          <w:sz w:val="28"/>
          <w:szCs w:val="28"/>
          <w:u w:val="none"/>
          <w:lang w:eastAsia="zh-CN"/>
        </w:rPr>
        <w:t>。</w:t>
      </w:r>
    </w:p>
    <w:tbl>
      <w:tblPr>
        <w:tblStyle w:val="TableNormal"/>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122"/>
        <w:gridCol w:w="7081"/>
      </w:tblGrid>
      <w:tr>
        <w:tblPrEx>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7"/>
          <w:jc w:val="center"/>
        </w:trPr>
        <w:tc>
          <w:tcPr>
            <w:tcW w:w="9203" w:type="dxa"/>
            <w:gridSpan w:val="2"/>
            <w:noWrap w:val="0"/>
            <w:vAlign w:val="top"/>
          </w:tcPr>
          <w:p>
            <w:pPr>
              <w:keepNext w:val="0"/>
              <w:keepLines w:val="0"/>
              <w:suppressLineNumbers w:val="0"/>
              <w:spacing w:before="0" w:beforeAutospacing="0" w:after="0" w:afterAutospacing="0" w:line="360" w:lineRule="auto"/>
              <w:ind w:left="0" w:right="0"/>
              <w:jc w:val="center"/>
              <w:rPr>
                <w:rFonts w:hint="default"/>
                <w:color w:val="auto"/>
              </w:rPr>
            </w:pPr>
            <w:r>
              <w:rPr>
                <w:rFonts w:ascii="Times New Roman" w:hAnsi="Times New Roman" w:cs="Times New Roman" w:hint="default"/>
                <w:b/>
                <w:color w:val="auto"/>
                <w:sz w:val="24"/>
                <w:szCs w:val="24"/>
              </w:rPr>
              <w:t>付款信息</w:t>
            </w:r>
          </w:p>
        </w:tc>
      </w:tr>
      <w:tr>
        <w:tblPrEx>
          <w:tblW w:w="9203" w:type="dxa"/>
          <w:jc w:val="center"/>
          <w:tblLayout w:type="fixed"/>
          <w:tblCellMar>
            <w:top w:w="0" w:type="dxa"/>
            <w:left w:w="108" w:type="dxa"/>
            <w:bottom w:w="0" w:type="dxa"/>
            <w:right w:w="108" w:type="dxa"/>
          </w:tblCellMar>
        </w:tblPrEx>
        <w:trPr>
          <w:trHeight w:val="93"/>
          <w:jc w:val="center"/>
        </w:trPr>
        <w:tc>
          <w:tcPr>
            <w:tcW w:w="2122" w:type="dxa"/>
            <w:noWrap w:val="0"/>
            <w:vAlign w:val="top"/>
          </w:tcPr>
          <w:p>
            <w:pPr>
              <w:keepNext w:val="0"/>
              <w:keepLines w:val="0"/>
              <w:suppressLineNumbers w:val="0"/>
              <w:spacing w:before="0" w:beforeAutospacing="0" w:after="0" w:afterAutospacing="0" w:line="360" w:lineRule="auto"/>
              <w:ind w:left="0" w:right="0"/>
              <w:jc w:val="center"/>
              <w:rPr>
                <w:rFonts w:hint="default"/>
                <w:color w:val="auto"/>
              </w:rPr>
            </w:pPr>
            <w:r>
              <w:rPr>
                <w:rFonts w:ascii="Times New Roman" w:hAnsi="Times New Roman" w:cs="Times New Roman" w:hint="default"/>
                <w:color w:val="auto"/>
                <w:sz w:val="24"/>
                <w:szCs w:val="24"/>
              </w:rPr>
              <w:t>单位名称</w:t>
            </w:r>
          </w:p>
        </w:tc>
        <w:tc>
          <w:tcPr>
            <w:tcW w:w="7081" w:type="dxa"/>
            <w:noWrap w:val="0"/>
            <w:vAlign w:val="top"/>
          </w:tcPr>
          <w:p>
            <w:pPr>
              <w:keepNext w:val="0"/>
              <w:keepLines w:val="0"/>
              <w:suppressLineNumbers w:val="0"/>
              <w:adjustRightInd w:val="0"/>
              <w:snapToGrid w:val="0"/>
              <w:spacing w:before="0" w:beforeAutospacing="0" w:after="0" w:afterAutospacing="0"/>
              <w:ind w:left="0" w:right="0"/>
              <w:rPr>
                <w:rFonts w:hint="default"/>
                <w:color w:val="auto"/>
                <w:lang w:bidi="ar"/>
              </w:rPr>
            </w:pPr>
          </w:p>
        </w:tc>
      </w:tr>
      <w:tr>
        <w:tblPrEx>
          <w:tblW w:w="9203" w:type="dxa"/>
          <w:jc w:val="center"/>
          <w:tblLayout w:type="fixed"/>
          <w:tblCellMar>
            <w:top w:w="0" w:type="dxa"/>
            <w:left w:w="108" w:type="dxa"/>
            <w:bottom w:w="0" w:type="dxa"/>
            <w:right w:w="108" w:type="dxa"/>
          </w:tblCellMar>
        </w:tblPrEx>
        <w:trPr>
          <w:trHeight w:val="93"/>
          <w:jc w:val="center"/>
        </w:trPr>
        <w:tc>
          <w:tcPr>
            <w:tcW w:w="2122" w:type="dxa"/>
            <w:noWrap w:val="0"/>
            <w:vAlign w:val="top"/>
          </w:tcPr>
          <w:p>
            <w:pPr>
              <w:keepNext w:val="0"/>
              <w:keepLines w:val="0"/>
              <w:suppressLineNumbers w:val="0"/>
              <w:spacing w:before="0" w:beforeAutospacing="0" w:after="0" w:afterAutospacing="0" w:line="360" w:lineRule="auto"/>
              <w:ind w:left="0" w:right="0"/>
              <w:jc w:val="center"/>
              <w:rPr>
                <w:rFonts w:hint="default"/>
                <w:color w:val="auto"/>
              </w:rPr>
            </w:pPr>
            <w:r>
              <w:rPr>
                <w:rFonts w:ascii="Times New Roman" w:hAnsi="Times New Roman" w:cs="Times New Roman" w:hint="default"/>
                <w:color w:val="auto"/>
                <w:sz w:val="24"/>
                <w:szCs w:val="24"/>
              </w:rPr>
              <w:t>开户银行</w:t>
            </w:r>
          </w:p>
        </w:tc>
        <w:tc>
          <w:tcPr>
            <w:tcW w:w="7081" w:type="dxa"/>
            <w:noWrap w:val="0"/>
            <w:vAlign w:val="top"/>
          </w:tcPr>
          <w:p>
            <w:pPr>
              <w:keepNext w:val="0"/>
              <w:keepLines w:val="0"/>
              <w:suppressLineNumbers w:val="0"/>
              <w:adjustRightInd w:val="0"/>
              <w:snapToGrid w:val="0"/>
              <w:spacing w:before="0" w:beforeAutospacing="0" w:after="0" w:afterAutospacing="0"/>
              <w:ind w:left="0" w:right="0"/>
              <w:rPr>
                <w:rFonts w:hint="default"/>
                <w:color w:val="auto"/>
                <w:lang w:bidi="ar"/>
              </w:rPr>
            </w:pPr>
          </w:p>
        </w:tc>
      </w:tr>
      <w:tr>
        <w:tblPrEx>
          <w:tblW w:w="9203" w:type="dxa"/>
          <w:jc w:val="center"/>
          <w:tblLayout w:type="fixed"/>
          <w:tblCellMar>
            <w:top w:w="0" w:type="dxa"/>
            <w:left w:w="108" w:type="dxa"/>
            <w:bottom w:w="0" w:type="dxa"/>
            <w:right w:w="108" w:type="dxa"/>
          </w:tblCellMar>
        </w:tblPrEx>
        <w:trPr>
          <w:trHeight w:val="93"/>
          <w:jc w:val="center"/>
        </w:trPr>
        <w:tc>
          <w:tcPr>
            <w:tcW w:w="2122" w:type="dxa"/>
            <w:noWrap w:val="0"/>
            <w:vAlign w:val="top"/>
          </w:tcPr>
          <w:p>
            <w:pPr>
              <w:keepNext w:val="0"/>
              <w:keepLines w:val="0"/>
              <w:suppressLineNumbers w:val="0"/>
              <w:spacing w:before="0" w:beforeAutospacing="0" w:after="0" w:afterAutospacing="0" w:line="360" w:lineRule="auto"/>
              <w:ind w:left="0" w:right="0"/>
              <w:jc w:val="center"/>
              <w:rPr>
                <w:rFonts w:hint="default"/>
                <w:color w:val="auto"/>
              </w:rPr>
            </w:pPr>
            <w:r>
              <w:rPr>
                <w:rFonts w:ascii="Times New Roman" w:hAnsi="Times New Roman" w:cs="Times New Roman" w:hint="default"/>
                <w:color w:val="auto"/>
                <w:sz w:val="24"/>
                <w:szCs w:val="24"/>
              </w:rPr>
              <w:t>账号</w:t>
            </w:r>
          </w:p>
        </w:tc>
        <w:tc>
          <w:tcPr>
            <w:tcW w:w="7081" w:type="dxa"/>
            <w:noWrap w:val="0"/>
            <w:vAlign w:val="top"/>
          </w:tcPr>
          <w:p>
            <w:pPr>
              <w:keepNext w:val="0"/>
              <w:keepLines w:val="0"/>
              <w:suppressLineNumbers w:val="0"/>
              <w:adjustRightInd w:val="0"/>
              <w:snapToGrid w:val="0"/>
              <w:spacing w:before="0" w:beforeAutospacing="0" w:after="0" w:afterAutospacing="0"/>
              <w:ind w:left="0" w:right="0"/>
              <w:rPr>
                <w:rFonts w:hint="default"/>
                <w:color w:val="auto"/>
                <w:lang w:bidi="ar"/>
              </w:rPr>
            </w:pPr>
          </w:p>
        </w:tc>
      </w:tr>
      <w:tr>
        <w:tblPrEx>
          <w:tblW w:w="9203" w:type="dxa"/>
          <w:jc w:val="center"/>
          <w:tblLayout w:type="fixed"/>
          <w:tblCellMar>
            <w:top w:w="0" w:type="dxa"/>
            <w:left w:w="108" w:type="dxa"/>
            <w:bottom w:w="0" w:type="dxa"/>
            <w:right w:w="108" w:type="dxa"/>
          </w:tblCellMar>
        </w:tblPrEx>
        <w:trPr>
          <w:trHeight w:val="296"/>
          <w:jc w:val="center"/>
        </w:trPr>
        <w:tc>
          <w:tcPr>
            <w:tcW w:w="9203" w:type="dxa"/>
            <w:gridSpan w:val="2"/>
            <w:noWrap w:val="0"/>
            <w:vAlign w:val="top"/>
          </w:tcPr>
          <w:p>
            <w:pPr>
              <w:keepNext w:val="0"/>
              <w:keepLines w:val="0"/>
              <w:suppressLineNumbers w:val="0"/>
              <w:spacing w:before="0" w:beforeAutospacing="0" w:after="0" w:afterAutospacing="0" w:line="360" w:lineRule="auto"/>
              <w:ind w:left="0" w:right="0"/>
              <w:jc w:val="center"/>
              <w:rPr>
                <w:rFonts w:hint="default"/>
                <w:color w:val="auto"/>
              </w:rPr>
            </w:pPr>
            <w:r>
              <w:rPr>
                <w:rFonts w:ascii="Times New Roman" w:hAnsi="Times New Roman" w:cs="Times New Roman" w:hint="default"/>
                <w:b/>
                <w:color w:val="auto"/>
                <w:sz w:val="24"/>
                <w:szCs w:val="24"/>
              </w:rPr>
              <w:t>开具发票信息</w:t>
            </w:r>
          </w:p>
        </w:tc>
      </w:tr>
      <w:tr>
        <w:tblPrEx>
          <w:tblW w:w="9203" w:type="dxa"/>
          <w:jc w:val="center"/>
          <w:tblLayout w:type="fixed"/>
          <w:tblCellMar>
            <w:top w:w="0" w:type="dxa"/>
            <w:left w:w="108" w:type="dxa"/>
            <w:bottom w:w="0" w:type="dxa"/>
            <w:right w:w="108" w:type="dxa"/>
          </w:tblCellMar>
        </w:tblPrEx>
        <w:trPr>
          <w:trHeight w:val="133"/>
          <w:jc w:val="center"/>
        </w:trPr>
        <w:tc>
          <w:tcPr>
            <w:tcW w:w="2122" w:type="dxa"/>
            <w:noWrap w:val="0"/>
            <w:vAlign w:val="top"/>
          </w:tcPr>
          <w:p>
            <w:pPr>
              <w:keepNext w:val="0"/>
              <w:keepLines w:val="0"/>
              <w:suppressLineNumbers w:val="0"/>
              <w:spacing w:before="0" w:beforeAutospacing="0" w:after="0" w:afterAutospacing="0" w:line="360" w:lineRule="auto"/>
              <w:ind w:left="0" w:right="0"/>
              <w:jc w:val="center"/>
              <w:rPr>
                <w:rFonts w:hint="default"/>
                <w:color w:val="auto"/>
              </w:rPr>
            </w:pPr>
            <w:r>
              <w:rPr>
                <w:rFonts w:ascii="Times New Roman" w:hAnsi="Times New Roman" w:cs="Times New Roman" w:hint="default"/>
                <w:color w:val="auto"/>
                <w:sz w:val="24"/>
                <w:szCs w:val="24"/>
              </w:rPr>
              <w:t>单位名称</w:t>
            </w:r>
          </w:p>
        </w:tc>
        <w:tc>
          <w:tcPr>
            <w:tcW w:w="7081" w:type="dxa"/>
            <w:noWrap w:val="0"/>
            <w:vAlign w:val="center"/>
          </w:tcPr>
          <w:p>
            <w:pPr>
              <w:keepNext w:val="0"/>
              <w:keepLines w:val="0"/>
              <w:suppressLineNumbers w:val="0"/>
              <w:adjustRightInd w:val="0"/>
              <w:snapToGrid w:val="0"/>
              <w:spacing w:before="0" w:beforeAutospacing="0" w:after="0" w:afterAutospacing="0"/>
              <w:ind w:left="0" w:right="0"/>
              <w:rPr>
                <w:rFonts w:hint="default"/>
                <w:color w:val="auto"/>
              </w:rPr>
            </w:pPr>
            <w:r>
              <w:rPr>
                <w:rFonts w:ascii="Times New Roman" w:hAnsi="Times New Roman" w:cs="Times New Roman" w:hint="default"/>
                <w:color w:val="auto"/>
                <w:sz w:val="24"/>
                <w:szCs w:val="24"/>
                <w:lang w:bidi="ar"/>
              </w:rPr>
              <w:t>青海省气象灾害防御技术中心</w:t>
            </w:r>
          </w:p>
        </w:tc>
      </w:tr>
      <w:tr>
        <w:tblPrEx>
          <w:tblW w:w="9203" w:type="dxa"/>
          <w:jc w:val="center"/>
          <w:tblLayout w:type="fixed"/>
          <w:tblCellMar>
            <w:top w:w="0" w:type="dxa"/>
            <w:left w:w="108" w:type="dxa"/>
            <w:bottom w:w="0" w:type="dxa"/>
            <w:right w:w="108" w:type="dxa"/>
          </w:tblCellMar>
        </w:tblPrEx>
        <w:trPr>
          <w:trHeight w:val="133"/>
          <w:jc w:val="center"/>
        </w:trPr>
        <w:tc>
          <w:tcPr>
            <w:tcW w:w="2122" w:type="dxa"/>
            <w:noWrap w:val="0"/>
            <w:vAlign w:val="top"/>
          </w:tcPr>
          <w:p>
            <w:pPr>
              <w:keepNext w:val="0"/>
              <w:keepLines w:val="0"/>
              <w:suppressLineNumbers w:val="0"/>
              <w:spacing w:before="0" w:beforeAutospacing="0" w:after="0" w:afterAutospacing="0" w:line="360" w:lineRule="auto"/>
              <w:ind w:left="0" w:right="0"/>
              <w:jc w:val="center"/>
              <w:rPr>
                <w:rFonts w:hint="default"/>
                <w:color w:val="auto"/>
                <w:highlight w:val="yellow"/>
              </w:rPr>
            </w:pPr>
            <w:r>
              <w:rPr>
                <w:rFonts w:ascii="Times New Roman" w:hAnsi="Times New Roman" w:cs="Times New Roman" w:hint="default"/>
                <w:color w:val="auto"/>
                <w:sz w:val="24"/>
                <w:szCs w:val="24"/>
                <w:highlight w:val="none"/>
              </w:rPr>
              <w:t>纳税人识别号</w:t>
            </w:r>
          </w:p>
        </w:tc>
        <w:tc>
          <w:tcPr>
            <w:tcW w:w="7081" w:type="dxa"/>
            <w:noWrap w:val="0"/>
            <w:vAlign w:val="center"/>
          </w:tcPr>
          <w:p>
            <w:pPr>
              <w:keepNext w:val="0"/>
              <w:keepLines w:val="0"/>
              <w:suppressLineNumbers w:val="0"/>
              <w:spacing w:before="0" w:beforeAutospacing="0" w:after="0" w:afterAutospacing="0" w:line="360" w:lineRule="auto"/>
              <w:ind w:left="0" w:right="0"/>
              <w:rPr>
                <w:rFonts w:hint="default"/>
                <w:color w:val="auto"/>
                <w:highlight w:val="yellow"/>
              </w:rPr>
            </w:pPr>
            <w:r>
              <w:rPr>
                <w:rFonts w:ascii="Times New Roman" w:hAnsi="Times New Roman" w:cs="Times New Roman" w:hint="default"/>
                <w:color w:val="auto"/>
                <w:highlight w:val="none"/>
              </w:rPr>
              <w:t>12630000710507172H</w:t>
            </w:r>
          </w:p>
        </w:tc>
      </w:tr>
      <w:tr>
        <w:tblPrEx>
          <w:tblW w:w="9203" w:type="dxa"/>
          <w:jc w:val="center"/>
          <w:tblLayout w:type="fixed"/>
          <w:tblCellMar>
            <w:top w:w="0" w:type="dxa"/>
            <w:left w:w="108" w:type="dxa"/>
            <w:bottom w:w="0" w:type="dxa"/>
            <w:right w:w="108" w:type="dxa"/>
          </w:tblCellMar>
        </w:tblPrEx>
        <w:trPr>
          <w:trHeight w:val="133"/>
          <w:jc w:val="center"/>
        </w:trPr>
        <w:tc>
          <w:tcPr>
            <w:tcW w:w="2122" w:type="dxa"/>
            <w:noWrap w:val="0"/>
            <w:vAlign w:val="top"/>
          </w:tcPr>
          <w:p>
            <w:pPr>
              <w:keepNext w:val="0"/>
              <w:keepLines w:val="0"/>
              <w:suppressLineNumbers w:val="0"/>
              <w:spacing w:before="0" w:beforeAutospacing="0" w:after="0" w:afterAutospacing="0" w:line="360" w:lineRule="auto"/>
              <w:ind w:left="0" w:right="0"/>
              <w:jc w:val="center"/>
              <w:rPr>
                <w:rFonts w:hint="default"/>
                <w:color w:val="auto"/>
              </w:rPr>
            </w:pPr>
            <w:r>
              <w:rPr>
                <w:rFonts w:ascii="Times New Roman" w:hAnsi="Times New Roman" w:cs="Times New Roman" w:hint="default"/>
                <w:color w:val="auto"/>
                <w:sz w:val="24"/>
                <w:szCs w:val="24"/>
              </w:rPr>
              <w:t>发票类型</w:t>
            </w:r>
          </w:p>
        </w:tc>
        <w:tc>
          <w:tcPr>
            <w:tcW w:w="7081" w:type="dxa"/>
            <w:noWrap w:val="0"/>
            <w:vAlign w:val="top"/>
          </w:tcPr>
          <w:p>
            <w:pPr>
              <w:keepNext w:val="0"/>
              <w:keepLines w:val="0"/>
              <w:suppressLineNumbers w:val="0"/>
              <w:spacing w:before="0" w:beforeAutospacing="0" w:after="0" w:afterAutospacing="0" w:line="360" w:lineRule="auto"/>
              <w:ind w:left="0" w:right="0"/>
              <w:rPr>
                <w:rFonts w:hint="default"/>
                <w:color w:val="auto"/>
              </w:rPr>
            </w:pPr>
            <w:r>
              <w:rPr>
                <w:rFonts w:ascii="Times New Roman" w:hAnsi="Times New Roman" w:cs="Times New Roman" w:hint="default"/>
                <w:color w:val="auto"/>
                <w:sz w:val="24"/>
                <w:szCs w:val="24"/>
              </w:rPr>
              <w:t>■增值税普通发票  □增值税专用发票</w:t>
            </w:r>
          </w:p>
        </w:tc>
      </w:tr>
    </w:tbl>
    <w:p>
      <w:pPr>
        <w:widowControl/>
        <w:spacing w:line="360" w:lineRule="auto"/>
        <w:ind w:firstLine="560" w:firstLineChars="200"/>
        <w:jc w:val="both"/>
        <w:rPr>
          <w:rFonts w:hint="default"/>
          <w:b/>
          <w:color w:val="auto"/>
          <w:spacing w:val="-2"/>
          <w:sz w:val="28"/>
          <w:szCs w:val="28"/>
        </w:rPr>
      </w:pPr>
      <w:r>
        <w:rPr>
          <w:rFonts w:ascii="Times New Roman" w:hAnsi="Times New Roman" w:cs="Times New Roman" w:hint="default"/>
          <w:color w:val="auto"/>
          <w:sz w:val="28"/>
          <w:szCs w:val="28"/>
          <w:lang w:val="en-US" w:eastAsia="zh-CN"/>
        </w:rPr>
        <w:t>八</w:t>
      </w:r>
      <w:r>
        <w:rPr>
          <w:rFonts w:ascii="Times New Roman" w:hAnsi="Times New Roman" w:cs="Times New Roman" w:hint="default"/>
          <w:b/>
          <w:color w:val="auto"/>
          <w:spacing w:val="-2"/>
          <w:sz w:val="28"/>
          <w:szCs w:val="28"/>
        </w:rPr>
        <w:t>、技术服务和保修责任方式</w:t>
      </w:r>
    </w:p>
    <w:p>
      <w:pPr>
        <w:widowControl/>
        <w:spacing w:line="360" w:lineRule="auto"/>
        <w:ind w:firstLine="560" w:firstLineChars="200"/>
        <w:jc w:val="both"/>
        <w:rPr>
          <w:rFonts w:hint="eastAsia"/>
          <w:color w:val="auto"/>
          <w:sz w:val="28"/>
          <w:szCs w:val="28"/>
        </w:rPr>
      </w:pPr>
      <w:r>
        <w:rPr>
          <w:rFonts w:ascii="Times New Roman" w:hAnsi="Times New Roman" w:cs="Times New Roman" w:hint="default"/>
          <w:color w:val="auto"/>
          <w:sz w:val="28"/>
          <w:szCs w:val="28"/>
          <w:lang w:bidi="ar"/>
        </w:rPr>
        <w:t>1</w:t>
      </w:r>
      <w:r>
        <w:rPr>
          <w:rFonts w:ascii="Times New Roman" w:hAnsi="Times New Roman" w:cs="Times New Roman" w:hint="default"/>
          <w:color w:val="auto"/>
          <w:sz w:val="28"/>
          <w:szCs w:val="28"/>
          <w:lang w:val="en-US" w:eastAsia="zh-CN" w:bidi="ar"/>
        </w:rPr>
        <w:t>.</w:t>
      </w:r>
      <w:r>
        <w:rPr>
          <w:rFonts w:ascii="Times New Roman" w:hAnsi="Times New Roman" w:cs="Times New Roman" w:hint="default"/>
          <w:color w:val="auto"/>
          <w:sz w:val="28"/>
          <w:szCs w:val="28"/>
        </w:rPr>
        <w:t>乙方对</w:t>
      </w:r>
      <w:r>
        <w:rPr>
          <w:rFonts w:cs="Times New Roman" w:hint="eastAsia"/>
          <w:color w:val="auto"/>
          <w:sz w:val="28"/>
          <w:szCs w:val="28"/>
          <w:lang w:val="en-US" w:eastAsia="zh-CN"/>
        </w:rPr>
        <w:t>移动布控球、对讲机、公告牌和</w:t>
      </w:r>
      <w:r>
        <w:rPr>
          <w:rFonts w:eastAsia="宋体" w:cs="Times New Roman" w:hint="default"/>
          <w:color w:val="auto"/>
          <w:sz w:val="28"/>
          <w:szCs w:val="28"/>
          <w:lang w:val="en-US" w:eastAsia="zh-CN"/>
        </w:rPr>
        <w:t>铭牌</w:t>
      </w:r>
      <w:r>
        <w:rPr>
          <w:rFonts w:cs="Times New Roman" w:hint="eastAsia"/>
          <w:color w:val="auto"/>
          <w:sz w:val="28"/>
          <w:szCs w:val="28"/>
          <w:lang w:val="en-US" w:eastAsia="zh-CN"/>
        </w:rPr>
        <w:t>等设备</w:t>
      </w:r>
      <w:r>
        <w:rPr>
          <w:rFonts w:ascii="Times New Roman" w:hAnsi="Times New Roman" w:cs="Times New Roman" w:hint="default"/>
          <w:color w:val="auto"/>
          <w:sz w:val="28"/>
          <w:szCs w:val="28"/>
        </w:rPr>
        <w:t>的售后维修服务为验收证书签署之日起</w:t>
      </w:r>
      <w:r>
        <w:rPr>
          <w:rFonts w:ascii="Times New Roman" w:hAnsi="Times New Roman" w:cs="Times New Roman" w:hint="default"/>
          <w:color w:val="auto"/>
          <w:sz w:val="28"/>
          <w:szCs w:val="28"/>
          <w:u w:val="single"/>
        </w:rPr>
        <w:t xml:space="preserve"> </w:t>
      </w:r>
      <w:r>
        <w:rPr>
          <w:rFonts w:ascii="Times New Roman" w:hAnsi="Times New Roman" w:cs="Times New Roman" w:hint="eastAsia"/>
          <w:color w:val="auto"/>
          <w:sz w:val="28"/>
          <w:szCs w:val="28"/>
          <w:u w:val="single"/>
          <w:lang w:val="en-US" w:eastAsia="zh-CN"/>
        </w:rPr>
        <w:t>8</w:t>
      </w:r>
      <w:r>
        <w:rPr>
          <w:rFonts w:ascii="Times New Roman" w:hAnsi="Times New Roman" w:cs="Times New Roman" w:hint="default"/>
          <w:color w:val="auto"/>
          <w:sz w:val="28"/>
          <w:szCs w:val="28"/>
          <w:u w:val="single"/>
        </w:rPr>
        <w:t xml:space="preserve"> </w:t>
      </w:r>
      <w:r>
        <w:rPr>
          <w:rFonts w:ascii="Times New Roman" w:hAnsi="Times New Roman" w:cs="Times New Roman" w:hint="eastAsia"/>
          <w:color w:val="auto"/>
          <w:sz w:val="28"/>
          <w:szCs w:val="28"/>
          <w:lang w:val="en-US" w:eastAsia="zh-CN"/>
        </w:rPr>
        <w:t>年</w:t>
      </w:r>
      <w:r>
        <w:rPr>
          <w:rFonts w:ascii="Times New Roman" w:hAnsi="Times New Roman" w:cs="Times New Roman" w:hint="eastAsia"/>
          <w:color w:val="auto"/>
          <w:sz w:val="28"/>
          <w:szCs w:val="28"/>
          <w:lang w:eastAsia="zh-CN"/>
        </w:rPr>
        <w:t>；</w:t>
      </w:r>
      <w:r>
        <w:rPr>
          <w:rFonts w:ascii="Times New Roman" w:hAnsi="Times New Roman" w:cs="Times New Roman" w:hint="default"/>
          <w:color w:val="auto"/>
          <w:sz w:val="28"/>
          <w:szCs w:val="28"/>
        </w:rPr>
        <w:t>对</w:t>
      </w:r>
      <w:r>
        <w:rPr>
          <w:rFonts w:cs="Times New Roman" w:hint="eastAsia"/>
          <w:color w:val="auto"/>
          <w:sz w:val="28"/>
          <w:szCs w:val="28"/>
          <w:lang w:val="en-US" w:eastAsia="zh-CN"/>
        </w:rPr>
        <w:t>移动布控球、对讲机、公告牌和</w:t>
      </w:r>
      <w:r>
        <w:rPr>
          <w:rFonts w:eastAsia="宋体" w:cs="Times New Roman" w:hint="default"/>
          <w:color w:val="auto"/>
          <w:sz w:val="28"/>
          <w:szCs w:val="28"/>
          <w:lang w:val="en-US" w:eastAsia="zh-CN"/>
        </w:rPr>
        <w:t>铭牌</w:t>
      </w:r>
      <w:r>
        <w:rPr>
          <w:rFonts w:cs="Times New Roman" w:hint="eastAsia"/>
          <w:color w:val="auto"/>
          <w:sz w:val="28"/>
          <w:szCs w:val="28"/>
          <w:lang w:val="en-US" w:eastAsia="zh-CN"/>
        </w:rPr>
        <w:t>等设备</w:t>
      </w:r>
      <w:r>
        <w:rPr>
          <w:rFonts w:ascii="Times New Roman" w:hAnsi="Times New Roman" w:cs="Times New Roman" w:hint="default"/>
          <w:color w:val="auto"/>
          <w:sz w:val="28"/>
          <w:szCs w:val="28"/>
        </w:rPr>
        <w:t>的</w:t>
      </w:r>
      <w:r>
        <w:rPr>
          <w:rFonts w:ascii="Times New Roman" w:hAnsi="Times New Roman" w:cs="Times New Roman" w:hint="eastAsia"/>
          <w:color w:val="auto"/>
          <w:sz w:val="28"/>
          <w:szCs w:val="28"/>
          <w:lang w:val="en-US" w:eastAsia="zh-CN"/>
        </w:rPr>
        <w:t>质量保证</w:t>
      </w:r>
      <w:r>
        <w:rPr>
          <w:rFonts w:ascii="Times New Roman" w:hAnsi="Times New Roman" w:cs="Times New Roman" w:hint="default"/>
          <w:color w:val="auto"/>
          <w:sz w:val="28"/>
          <w:szCs w:val="28"/>
        </w:rPr>
        <w:t>服务为验收证书签署之日起</w:t>
      </w:r>
      <w:r>
        <w:rPr>
          <w:rFonts w:ascii="Times New Roman" w:hAnsi="Times New Roman" w:cs="Times New Roman" w:hint="default"/>
          <w:color w:val="auto"/>
          <w:sz w:val="28"/>
          <w:szCs w:val="28"/>
          <w:u w:val="single"/>
        </w:rPr>
        <w:t xml:space="preserve"> </w:t>
      </w:r>
      <w:r>
        <w:rPr>
          <w:rFonts w:ascii="Times New Roman" w:hAnsi="Times New Roman" w:cs="Times New Roman" w:hint="eastAsia"/>
          <w:color w:val="auto"/>
          <w:sz w:val="28"/>
          <w:szCs w:val="28"/>
          <w:u w:val="single"/>
          <w:lang w:val="en-US" w:eastAsia="zh-CN"/>
        </w:rPr>
        <w:t>3</w:t>
      </w:r>
      <w:r>
        <w:rPr>
          <w:rFonts w:ascii="Times New Roman" w:hAnsi="Times New Roman" w:cs="Times New Roman" w:hint="default"/>
          <w:color w:val="auto"/>
          <w:sz w:val="28"/>
          <w:szCs w:val="28"/>
          <w:u w:val="single"/>
        </w:rPr>
        <w:t xml:space="preserve"> </w:t>
      </w:r>
      <w:r>
        <w:rPr>
          <w:rFonts w:ascii="Times New Roman" w:hAnsi="Times New Roman" w:cs="Times New Roman" w:hint="eastAsia"/>
          <w:color w:val="auto"/>
          <w:sz w:val="28"/>
          <w:szCs w:val="28"/>
          <w:lang w:val="en-US" w:eastAsia="zh-CN"/>
        </w:rPr>
        <w:t>年。</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2</w:t>
      </w:r>
      <w:r>
        <w:rPr>
          <w:rFonts w:ascii="Times New Roman" w:hAnsi="Times New Roman" w:cs="Times New Roman" w:hint="default"/>
          <w:color w:val="auto"/>
          <w:sz w:val="28"/>
          <w:szCs w:val="28"/>
          <w:lang w:val="en-US" w:eastAsia="zh-CN"/>
        </w:rPr>
        <w:t>.</w:t>
      </w:r>
      <w:r>
        <w:rPr>
          <w:rFonts w:ascii="Times New Roman" w:hAnsi="Times New Roman" w:cs="Times New Roman" w:hint="default"/>
          <w:color w:val="auto"/>
          <w:sz w:val="28"/>
          <w:szCs w:val="28"/>
        </w:rPr>
        <w:t>乙方在合同货物的质量保修期内，免费为甲方提供合同货物的技术指导和维修服务的时间是：每周7天</w:t>
      </w:r>
      <w:r>
        <w:rPr>
          <w:rFonts w:ascii="Arial" w:hAnsi="Arial" w:cs="Arial" w:hint="default"/>
          <w:color w:val="auto"/>
          <w:sz w:val="28"/>
          <w:szCs w:val="28"/>
        </w:rPr>
        <w:t>×</w:t>
      </w:r>
      <w:r>
        <w:rPr>
          <w:rFonts w:ascii="Times New Roman" w:hAnsi="Times New Roman" w:cs="Times New Roman" w:hint="default"/>
          <w:color w:val="auto"/>
          <w:sz w:val="28"/>
          <w:szCs w:val="28"/>
        </w:rPr>
        <w:t>24小时（工作时间）。</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3</w:t>
      </w:r>
      <w:r>
        <w:rPr>
          <w:rFonts w:ascii="Times New Roman" w:hAnsi="Times New Roman" w:cs="Times New Roman" w:hint="default"/>
          <w:color w:val="auto"/>
          <w:sz w:val="28"/>
          <w:szCs w:val="28"/>
          <w:lang w:val="en-US" w:eastAsia="zh-CN"/>
        </w:rPr>
        <w:t>.</w:t>
      </w:r>
      <w:r>
        <w:rPr>
          <w:rFonts w:ascii="Times New Roman" w:hAnsi="Times New Roman" w:cs="Times New Roman" w:hint="default"/>
          <w:color w:val="auto"/>
          <w:sz w:val="28"/>
          <w:szCs w:val="28"/>
        </w:rPr>
        <w:t>乙方保证在合同货物出现故障和缺陷时，或接到甲方提出的技术服务要求后</w:t>
      </w:r>
      <w:r>
        <w:rPr>
          <w:rFonts w:ascii="Times New Roman" w:hAnsi="Times New Roman" w:cs="Times New Roman" w:hint="default"/>
          <w:color w:val="auto"/>
          <w:sz w:val="28"/>
          <w:szCs w:val="28"/>
          <w:lang w:val="en-US" w:eastAsia="zh-CN"/>
        </w:rPr>
        <w:t>1</w:t>
      </w:r>
      <w:r>
        <w:rPr>
          <w:rFonts w:ascii="Times New Roman" w:hAnsi="Times New Roman" w:cs="Times New Roman" w:hint="default"/>
          <w:color w:val="auto"/>
          <w:sz w:val="28"/>
          <w:szCs w:val="28"/>
        </w:rPr>
        <w:t>小时内予以答复，如甲方有要求或必要时，乙方应在接到甲方通知后72小时内派员至甲方免费维修和提供现场指导。</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4</w:t>
      </w:r>
      <w:r>
        <w:rPr>
          <w:rFonts w:ascii="Times New Roman" w:hAnsi="Times New Roman" w:cs="Times New Roman" w:hint="default"/>
          <w:color w:val="auto"/>
          <w:sz w:val="28"/>
          <w:szCs w:val="28"/>
          <w:lang w:val="en-US" w:eastAsia="zh-CN"/>
        </w:rPr>
        <w:t>.</w:t>
      </w:r>
      <w:r>
        <w:rPr>
          <w:rFonts w:ascii="Times New Roman" w:hAnsi="Times New Roman" w:cs="Times New Roman" w:hint="default"/>
          <w:color w:val="auto"/>
          <w:sz w:val="28"/>
          <w:szCs w:val="28"/>
        </w:rPr>
        <w:t>如乙方在接到甲方维修通知后72小时仍不能修复有关货物，乙方应</w:t>
      </w:r>
      <w:r>
        <w:rPr>
          <w:rFonts w:ascii="Times New Roman" w:hAnsi="Times New Roman" w:cs="Times New Roman" w:hint="default"/>
          <w:color w:val="auto"/>
          <w:sz w:val="28"/>
          <w:szCs w:val="28"/>
          <w:lang w:val="en-US" w:eastAsia="zh-CN"/>
        </w:rPr>
        <w:t>免费</w:t>
      </w:r>
      <w:r>
        <w:rPr>
          <w:rFonts w:ascii="Times New Roman" w:hAnsi="Times New Roman" w:cs="Times New Roman" w:hint="default"/>
          <w:color w:val="auto"/>
          <w:sz w:val="28"/>
          <w:szCs w:val="28"/>
        </w:rPr>
        <w:t>提供与该货物同一型号的备用货物。</w:t>
      </w:r>
    </w:p>
    <w:p>
      <w:pPr>
        <w:widowControl/>
        <w:spacing w:line="360" w:lineRule="auto"/>
        <w:ind w:firstLine="560" w:firstLineChars="200"/>
        <w:jc w:val="both"/>
        <w:rPr>
          <w:rFonts w:hint="default"/>
          <w:color w:val="auto"/>
          <w:sz w:val="28"/>
          <w:szCs w:val="28"/>
        </w:rPr>
      </w:pPr>
      <w:r>
        <w:rPr>
          <w:rFonts w:cs="Times New Roman" w:hint="eastAsia"/>
          <w:color w:val="auto"/>
          <w:sz w:val="28"/>
          <w:szCs w:val="28"/>
          <w:lang w:val="en-US" w:eastAsia="zh-CN"/>
        </w:rPr>
        <w:t>5</w:t>
      </w:r>
      <w:r>
        <w:rPr>
          <w:rFonts w:ascii="Times New Roman" w:hAnsi="Times New Roman" w:cs="Times New Roman" w:hint="default"/>
          <w:color w:val="auto"/>
          <w:sz w:val="28"/>
          <w:szCs w:val="28"/>
          <w:lang w:val="en-US" w:eastAsia="zh-CN"/>
        </w:rPr>
        <w:t>.</w:t>
      </w:r>
      <w:r>
        <w:rPr>
          <w:rFonts w:ascii="Times New Roman" w:hAnsi="Times New Roman" w:cs="Times New Roman" w:hint="default"/>
          <w:color w:val="auto"/>
          <w:sz w:val="28"/>
          <w:szCs w:val="28"/>
        </w:rPr>
        <w:t>在合同货物保修期届满后，如果因合同货物硬件或软件的固有缺陷和瑕疵出现紧急故障和事故，乙方应在接到甲方通知之后72小时内到达现场。</w:t>
      </w:r>
    </w:p>
    <w:p>
      <w:pPr>
        <w:widowControl/>
        <w:spacing w:line="360" w:lineRule="auto"/>
        <w:ind w:firstLine="560" w:firstLineChars="200"/>
        <w:jc w:val="both"/>
        <w:rPr>
          <w:rFonts w:hint="default"/>
          <w:color w:val="auto"/>
          <w:sz w:val="28"/>
          <w:szCs w:val="28"/>
        </w:rPr>
      </w:pPr>
      <w:r>
        <w:rPr>
          <w:rFonts w:cs="Times New Roman" w:hint="eastAsia"/>
          <w:color w:val="auto"/>
          <w:sz w:val="28"/>
          <w:szCs w:val="28"/>
          <w:lang w:val="en-US" w:eastAsia="zh-CN"/>
        </w:rPr>
        <w:t>6</w:t>
      </w:r>
      <w:r>
        <w:rPr>
          <w:rFonts w:ascii="Times New Roman" w:hAnsi="Times New Roman" w:cs="Times New Roman" w:hint="default"/>
          <w:color w:val="auto"/>
          <w:sz w:val="28"/>
          <w:szCs w:val="28"/>
          <w:lang w:val="en-US" w:eastAsia="zh-CN"/>
        </w:rPr>
        <w:t>.乙方应保证甲方在使用本合同项下的货物或其任何一部分时免受第三方提出侵犯其知识产权、商标权或工业设计权的起诉。如果发生此类问题，乙方应负责交涉并承担一切费用和责任。</w:t>
      </w:r>
    </w:p>
    <w:p>
      <w:pPr>
        <w:widowControl/>
        <w:spacing w:line="360" w:lineRule="auto"/>
        <w:ind w:firstLine="560" w:firstLineChars="200"/>
        <w:jc w:val="both"/>
        <w:rPr>
          <w:rFonts w:hint="default"/>
          <w:color w:val="auto"/>
          <w:sz w:val="28"/>
          <w:szCs w:val="28"/>
        </w:rPr>
      </w:pPr>
      <w:r>
        <w:rPr>
          <w:rFonts w:cs="Times New Roman" w:hint="eastAsia"/>
          <w:color w:val="auto"/>
          <w:sz w:val="28"/>
          <w:szCs w:val="28"/>
          <w:lang w:val="en-US" w:eastAsia="zh-CN"/>
        </w:rPr>
        <w:t>7</w:t>
      </w:r>
      <w:r>
        <w:rPr>
          <w:rFonts w:ascii="Times New Roman" w:hAnsi="Times New Roman" w:cs="Times New Roman" w:hint="default"/>
          <w:color w:val="auto"/>
          <w:sz w:val="28"/>
          <w:szCs w:val="28"/>
          <w:lang w:val="en-US" w:eastAsia="zh-CN"/>
        </w:rPr>
        <w:t>.乙方应提供所交付货物的全套技术文件资料，包括操作使用说明书或使用指南、零配件手册、服务手册、维修保养说明书；产品的合格证、保修卡等；所有货物均要求技术资料完整，有中文资料的必须提供完整中文资料。</w:t>
      </w:r>
    </w:p>
    <w:p>
      <w:pPr>
        <w:widowControl/>
        <w:spacing w:line="360" w:lineRule="auto"/>
        <w:ind w:firstLine="560" w:firstLineChars="200"/>
        <w:jc w:val="both"/>
        <w:rPr>
          <w:rFonts w:hint="default"/>
          <w:color w:val="auto"/>
          <w:sz w:val="28"/>
          <w:szCs w:val="28"/>
        </w:rPr>
      </w:pPr>
      <w:r>
        <w:rPr>
          <w:rFonts w:cs="Times New Roman" w:hint="eastAsia"/>
          <w:color w:val="auto"/>
          <w:sz w:val="28"/>
          <w:szCs w:val="28"/>
          <w:lang w:val="en-US" w:eastAsia="zh-CN"/>
        </w:rPr>
        <w:t>8</w:t>
      </w:r>
      <w:r>
        <w:rPr>
          <w:rFonts w:ascii="Times New Roman" w:hAnsi="Times New Roman" w:cs="Times New Roman" w:hint="default"/>
          <w:color w:val="auto"/>
          <w:sz w:val="28"/>
          <w:szCs w:val="28"/>
          <w:lang w:val="en-US" w:eastAsia="zh-CN"/>
        </w:rPr>
        <w:t>.由于乙方更换、修理和续补货物，而造成货物不得不停止使用，货物质量保修期应依照停止使用的实际时间加以延长，如有需要，乙方应当按照甲方的要求提供备用货物，如因此给甲方造成损失，乙方应负责赔偿。</w:t>
      </w:r>
    </w:p>
    <w:p>
      <w:pPr>
        <w:widowControl/>
        <w:spacing w:line="360" w:lineRule="auto"/>
        <w:ind w:firstLine="560" w:firstLineChars="200"/>
        <w:jc w:val="both"/>
        <w:rPr>
          <w:rFonts w:hint="default"/>
          <w:color w:val="auto"/>
          <w:sz w:val="28"/>
          <w:szCs w:val="28"/>
        </w:rPr>
      </w:pPr>
      <w:r>
        <w:rPr>
          <w:rFonts w:cs="Times New Roman" w:hint="eastAsia"/>
          <w:color w:val="auto"/>
          <w:sz w:val="28"/>
          <w:szCs w:val="28"/>
          <w:lang w:val="en-US" w:eastAsia="zh-CN"/>
        </w:rPr>
        <w:t>9</w:t>
      </w:r>
      <w:r>
        <w:rPr>
          <w:rFonts w:ascii="Times New Roman" w:hAnsi="Times New Roman" w:cs="Times New Roman" w:hint="default"/>
          <w:color w:val="auto"/>
          <w:sz w:val="28"/>
          <w:szCs w:val="28"/>
          <w:lang w:val="en-US" w:eastAsia="zh-CN"/>
        </w:rPr>
        <w:t>.在质量保修期内，乙方必须按甲方要求及时免费维修、更换有缺陷的产品或部件。如发现产品有其它潜在缺陷及不符合标准要求，甲方有权退货或向乙方索赔。</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1</w:t>
      </w:r>
      <w:r>
        <w:rPr>
          <w:rFonts w:cs="Times New Roman" w:hint="eastAsia"/>
          <w:color w:val="auto"/>
          <w:sz w:val="28"/>
          <w:szCs w:val="28"/>
          <w:lang w:val="en-US" w:eastAsia="zh-CN"/>
        </w:rPr>
        <w:t>0</w:t>
      </w:r>
      <w:r>
        <w:rPr>
          <w:rFonts w:ascii="Times New Roman" w:hAnsi="Times New Roman" w:cs="Times New Roman" w:hint="default"/>
          <w:color w:val="auto"/>
          <w:sz w:val="28"/>
          <w:szCs w:val="28"/>
          <w:lang w:val="en-US" w:eastAsia="zh-CN"/>
        </w:rPr>
        <w:t>.乙方应确保设备运行期间数据的存储及传输满足招标文件要求。</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1</w:t>
      </w:r>
      <w:r>
        <w:rPr>
          <w:rFonts w:cs="Times New Roman" w:hint="eastAsia"/>
          <w:color w:val="auto"/>
          <w:sz w:val="28"/>
          <w:szCs w:val="28"/>
          <w:lang w:val="en-US" w:eastAsia="zh-CN"/>
        </w:rPr>
        <w:t>1</w:t>
      </w:r>
      <w:r>
        <w:rPr>
          <w:rFonts w:ascii="Times New Roman" w:hAnsi="Times New Roman" w:cs="Times New Roman" w:hint="default"/>
          <w:color w:val="auto"/>
          <w:sz w:val="28"/>
          <w:szCs w:val="28"/>
          <w:lang w:val="en-US" w:eastAsia="zh-CN"/>
        </w:rPr>
        <w:t>.乙方还应提供下列服务:货物的现场安装、启动、标定及试运行;提供货物组装和维修所需的工具;在质量保修期内对所交付货物提供运行监督、维修、保养等;在项目现场就货物的安装、启动、运行、维护等对甲方人员进行培训。</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1</w:t>
      </w:r>
      <w:r>
        <w:rPr>
          <w:rFonts w:cs="Times New Roman" w:hint="eastAsia"/>
          <w:color w:val="auto"/>
          <w:sz w:val="28"/>
          <w:szCs w:val="28"/>
          <w:lang w:val="en-US" w:eastAsia="zh-CN"/>
        </w:rPr>
        <w:t>2</w:t>
      </w:r>
      <w:r>
        <w:rPr>
          <w:rFonts w:ascii="Times New Roman" w:hAnsi="Times New Roman" w:cs="Times New Roman" w:hint="default"/>
          <w:color w:val="auto"/>
          <w:sz w:val="28"/>
          <w:szCs w:val="28"/>
          <w:lang w:val="en-US" w:eastAsia="zh-CN"/>
        </w:rPr>
        <w:t>.乙方应按约定提供完善的培训服务，制定详实可行的培训计划，提供配套培训材料，对观测人员及设备维护人员制定有针对性的培训方案，有效组织和控制培训课程的顺利进行，确保培训质量。</w:t>
      </w:r>
    </w:p>
    <w:p>
      <w:pPr>
        <w:keepNext w:val="0"/>
        <w:keepLines w:val="0"/>
        <w:widowControl/>
        <w:suppressLineNumbers w:val="0"/>
        <w:ind w:firstLine="560" w:firstLineChars="200"/>
        <w:jc w:val="left"/>
        <w:rPr>
          <w:rFonts w:hint="eastAsia"/>
          <w:color w:val="auto"/>
          <w:sz w:val="28"/>
          <w:szCs w:val="28"/>
          <w:highlight w:val="none"/>
        </w:rPr>
      </w:pPr>
      <w:r>
        <w:rPr>
          <w:rFonts w:ascii="Times New Roman" w:hAnsi="Times New Roman" w:cs="Times New Roman" w:hint="default"/>
          <w:color w:val="auto"/>
          <w:sz w:val="28"/>
          <w:szCs w:val="28"/>
          <w:highlight w:val="none"/>
          <w:lang w:val="en-US" w:eastAsia="zh-CN"/>
        </w:rPr>
        <w:t>1</w:t>
      </w:r>
      <w:r>
        <w:rPr>
          <w:rFonts w:cs="Times New Roman" w:hint="eastAsia"/>
          <w:color w:val="auto"/>
          <w:sz w:val="28"/>
          <w:szCs w:val="28"/>
          <w:highlight w:val="none"/>
          <w:lang w:val="en-US" w:eastAsia="zh-CN"/>
        </w:rPr>
        <w:t>3</w:t>
      </w:r>
      <w:r>
        <w:rPr>
          <w:rFonts w:ascii="Times New Roman" w:hAnsi="Times New Roman" w:cs="Times New Roman" w:hint="default"/>
          <w:color w:val="auto"/>
          <w:sz w:val="28"/>
          <w:szCs w:val="28"/>
          <w:highlight w:val="none"/>
          <w:lang w:val="en-US" w:eastAsia="zh-CN"/>
        </w:rPr>
        <w:t>.</w:t>
      </w:r>
      <w:r>
        <w:rPr>
          <w:rFonts w:ascii="Times New Roman" w:hAnsi="Times New Roman" w:cs="Times New Roman" w:hint="eastAsia"/>
          <w:color w:val="auto"/>
          <w:sz w:val="28"/>
          <w:szCs w:val="28"/>
          <w:highlight w:val="none"/>
          <w:lang w:val="en-US" w:eastAsia="zh-CN"/>
        </w:rPr>
        <w:t>本合同甲方所采购仪器设备中，其中</w:t>
      </w:r>
      <w:r>
        <w:rPr>
          <w:rFonts w:cs="Times New Roman" w:hint="eastAsia"/>
          <w:color w:val="auto"/>
          <w:sz w:val="28"/>
          <w:szCs w:val="28"/>
          <w:highlight w:val="none"/>
          <w:lang w:val="en-US" w:eastAsia="zh-CN"/>
        </w:rPr>
        <w:t>移动布控球和对讲机</w:t>
      </w:r>
      <w:r>
        <w:rPr>
          <w:rFonts w:ascii="Times New Roman" w:hAnsi="Times New Roman" w:cs="Times New Roman" w:hint="eastAsia"/>
          <w:color w:val="auto"/>
          <w:sz w:val="28"/>
          <w:szCs w:val="28"/>
          <w:highlight w:val="none"/>
          <w:lang w:val="en-US" w:eastAsia="zh-CN"/>
        </w:rPr>
        <w:t>维保期为8年，其前3年为质保期。</w:t>
      </w:r>
    </w:p>
    <w:p>
      <w:pPr>
        <w:widowControl/>
        <w:spacing w:line="360" w:lineRule="auto"/>
        <w:ind w:firstLine="560" w:firstLineChars="200"/>
        <w:jc w:val="both"/>
        <w:rPr>
          <w:rFonts w:hint="default"/>
          <w:color w:val="auto"/>
          <w:sz w:val="28"/>
          <w:szCs w:val="28"/>
          <w:highlight w:val="none"/>
          <w:lang w:bidi="ar"/>
        </w:rPr>
      </w:pPr>
      <w:r>
        <w:rPr>
          <w:rFonts w:ascii="Times New Roman" w:hAnsi="Times New Roman" w:cs="Times New Roman" w:hint="default"/>
          <w:color w:val="auto"/>
          <w:sz w:val="28"/>
          <w:szCs w:val="28"/>
          <w:highlight w:val="none"/>
          <w:lang w:val="en-US" w:eastAsia="zh-CN"/>
        </w:rPr>
        <w:t>1</w:t>
      </w:r>
      <w:r>
        <w:rPr>
          <w:rFonts w:cs="Times New Roman" w:hint="eastAsia"/>
          <w:color w:val="auto"/>
          <w:sz w:val="28"/>
          <w:szCs w:val="28"/>
          <w:highlight w:val="none"/>
          <w:lang w:val="en-US" w:eastAsia="zh-CN"/>
        </w:rPr>
        <w:t>4</w:t>
      </w:r>
      <w:r>
        <w:rPr>
          <w:rFonts w:ascii="Times New Roman" w:hAnsi="Times New Roman" w:cs="Times New Roman" w:hint="default"/>
          <w:color w:val="auto"/>
          <w:sz w:val="28"/>
          <w:szCs w:val="28"/>
          <w:highlight w:val="none"/>
          <w:lang w:val="en-US" w:eastAsia="zh-CN"/>
        </w:rPr>
        <w:t>.上述服务的费用应包含在合同总价中，不单独进行支付。</w:t>
      </w:r>
    </w:p>
    <w:p>
      <w:pPr>
        <w:widowControl/>
        <w:spacing w:line="360" w:lineRule="auto"/>
        <w:ind w:firstLine="560" w:firstLineChars="200"/>
        <w:jc w:val="both"/>
        <w:rPr>
          <w:rFonts w:hint="default"/>
          <w:b/>
          <w:color w:val="auto"/>
          <w:spacing w:val="-2"/>
          <w:sz w:val="28"/>
          <w:szCs w:val="28"/>
        </w:rPr>
      </w:pPr>
      <w:r>
        <w:rPr>
          <w:rFonts w:ascii="Times New Roman" w:hAnsi="Times New Roman" w:cs="Times New Roman" w:hint="default"/>
          <w:b/>
          <w:color w:val="auto"/>
          <w:spacing w:val="-2"/>
          <w:sz w:val="28"/>
          <w:szCs w:val="28"/>
          <w:lang w:val="en-US" w:eastAsia="zh-CN"/>
        </w:rPr>
        <w:t>九</w:t>
      </w:r>
      <w:r>
        <w:rPr>
          <w:rFonts w:ascii="Times New Roman" w:hAnsi="Times New Roman" w:cs="Times New Roman" w:hint="default"/>
          <w:b/>
          <w:color w:val="auto"/>
          <w:spacing w:val="-2"/>
          <w:sz w:val="28"/>
          <w:szCs w:val="28"/>
        </w:rPr>
        <w:t>、违约责任</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1.双方签订合同后，任何一方未能按合同条款履行各自应尽义务的，一律视为违约。双方另有约定的除外。</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2.</w:t>
      </w:r>
      <w:r>
        <w:rPr>
          <w:rFonts w:ascii="Times New Roman" w:hAnsi="Times New Roman" w:cs="Times New Roman" w:hint="default"/>
          <w:color w:val="auto"/>
          <w:sz w:val="28"/>
          <w:szCs w:val="28"/>
        </w:rPr>
        <w:t>延期交付或延期付款的违约责任：如乙方延期交付或甲方延期付款，每逾期一天，违约方应按延期交货所折合的金额或延期付款金额每天0.3‰的比例向对方支付违约金，但该违约金累计不得超过合同总金额的5%；上述逾期超过90天，守约方有权解除合同，并要求违约方赔偿由此造成的损失。</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3.如因乙方提供的货物硬件或软件有缺陷，或乙方提供的技术资料有错误，或乙方的技术人员指导有错误而使货物不能达到合同规定的指标和技术性能，乙方应负责更换或修理，使货物运行指标和技术性能达到招标文件规定，由此引起的全部费用由乙方承担，并向甲方赔偿合同总金额20%的违约金。若因软件或硬件缺陷导致甲方损失或导致第三方受到损害的，全部赔偿责任均应由乙方承担。此时，相关货物的质量保修期及相关的其它期限也应相应顺延或重新起算。</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4.乙方无故解除合同的，承担合同总金额30%的违约金，乙方有违反本合同其他规定的情形均属于违约行为，应就每一单项违约向对方支付合同总金额5%的违约金。</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5.任何一方由于不可抗力原因不能按约履行合同时，应在不可抗力事件结束后3个工作日内向对方有效通报，以减轻可能给对方造成的损失，在取得有关机构的不可抗力证明或双方谅解并书面确认后，应当根据具体情况允许延期履行、修订或终止合同，并根据情况可部分或全部免于承担违约责任。</w:t>
      </w:r>
    </w:p>
    <w:p>
      <w:pPr>
        <w:widowControl/>
        <w:autoSpaceDE/>
        <w:autoSpaceDN/>
        <w:spacing w:line="360" w:lineRule="auto"/>
        <w:ind w:firstLine="560" w:firstLineChars="200"/>
        <w:jc w:val="both"/>
        <w:rPr>
          <w:rFonts w:hint="default"/>
          <w:b/>
          <w:color w:val="auto"/>
          <w:spacing w:val="-2"/>
          <w:sz w:val="28"/>
          <w:szCs w:val="28"/>
        </w:rPr>
      </w:pPr>
      <w:r>
        <w:rPr>
          <w:rFonts w:ascii="Times New Roman" w:hAnsi="Times New Roman" w:cs="Times New Roman" w:hint="default"/>
          <w:b/>
          <w:color w:val="auto"/>
          <w:spacing w:val="-2"/>
          <w:sz w:val="28"/>
          <w:szCs w:val="28"/>
        </w:rPr>
        <w:t>十、争议的解决</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1.合同签订后甲乙双方即直接产生权利与义务的关系，合同执行过程中出现的问题应按照《中华人民共和国民法典》等有关规定处理。合同在执行过程中，如有争议，双方协商解决；协商仍未解决，</w:t>
      </w:r>
      <w:r>
        <w:rPr>
          <w:rFonts w:ascii="Times New Roman" w:hAnsi="Times New Roman" w:cs="Times New Roman" w:hint="default"/>
          <w:color w:val="auto"/>
          <w:sz w:val="28"/>
          <w:szCs w:val="28"/>
          <w:lang w:val="en-US" w:eastAsia="zh-CN"/>
        </w:rPr>
        <w:t>可以向</w:t>
      </w:r>
      <w:r>
        <w:rPr>
          <w:rFonts w:ascii="Times New Roman" w:hAnsi="Times New Roman" w:cs="Times New Roman" w:hint="default"/>
          <w:color w:val="auto"/>
          <w:sz w:val="28"/>
          <w:szCs w:val="28"/>
        </w:rPr>
        <w:t>甲方所在地人民法院</w:t>
      </w:r>
      <w:r>
        <w:rPr>
          <w:rFonts w:ascii="Times New Roman" w:hAnsi="Times New Roman" w:cs="Times New Roman" w:hint="default"/>
          <w:color w:val="auto"/>
          <w:sz w:val="28"/>
          <w:szCs w:val="28"/>
          <w:lang w:val="en-US" w:eastAsia="zh-CN"/>
        </w:rPr>
        <w:t>提起诉讼</w:t>
      </w:r>
      <w:r>
        <w:rPr>
          <w:rFonts w:ascii="Times New Roman" w:hAnsi="Times New Roman" w:cs="Times New Roman" w:hint="default"/>
          <w:color w:val="auto"/>
          <w:sz w:val="28"/>
          <w:szCs w:val="28"/>
        </w:rPr>
        <w:t>。</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2.诉讼期间，本合同继续履行。</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3</w:t>
      </w:r>
      <w:r>
        <w:rPr>
          <w:rFonts w:ascii="Times New Roman" w:hAnsi="Times New Roman" w:cs="Times New Roman" w:hint="default"/>
          <w:color w:val="auto"/>
          <w:sz w:val="28"/>
          <w:szCs w:val="28"/>
        </w:rPr>
        <w:t>.未尽事宜，双方在不违背本合同和招标文件的原则下，协商解决。协商结果以书面形式签字盖章记录在案，作为本合同的附件，与本合同有同等效力。</w:t>
      </w:r>
    </w:p>
    <w:p>
      <w:pPr>
        <w:widowControl/>
        <w:spacing w:line="360" w:lineRule="auto"/>
        <w:ind w:firstLine="560" w:firstLineChars="200"/>
        <w:jc w:val="both"/>
        <w:rPr>
          <w:rFonts w:hint="default"/>
          <w:b/>
          <w:color w:val="auto"/>
          <w:spacing w:val="-2"/>
          <w:sz w:val="28"/>
          <w:szCs w:val="28"/>
        </w:rPr>
      </w:pPr>
      <w:r>
        <w:rPr>
          <w:rFonts w:ascii="Times New Roman" w:hAnsi="Times New Roman" w:cs="Times New Roman" w:hint="default"/>
          <w:b/>
          <w:color w:val="auto"/>
          <w:spacing w:val="-2"/>
          <w:sz w:val="28"/>
          <w:szCs w:val="28"/>
        </w:rPr>
        <w:t>十</w:t>
      </w:r>
      <w:r>
        <w:rPr>
          <w:rFonts w:ascii="Times New Roman" w:hAnsi="Times New Roman" w:cs="Times New Roman" w:hint="default"/>
          <w:b/>
          <w:color w:val="auto"/>
          <w:spacing w:val="-2"/>
          <w:sz w:val="28"/>
          <w:szCs w:val="28"/>
          <w:lang w:val="en-US" w:eastAsia="zh-CN"/>
        </w:rPr>
        <w:t>一</w:t>
      </w:r>
      <w:r>
        <w:rPr>
          <w:rFonts w:ascii="Times New Roman" w:hAnsi="Times New Roman" w:cs="Times New Roman" w:hint="default"/>
          <w:b/>
          <w:color w:val="auto"/>
          <w:spacing w:val="-2"/>
          <w:sz w:val="28"/>
          <w:szCs w:val="28"/>
        </w:rPr>
        <w:t>、联系与通知</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合同双方就合同中涉及各类通知、协议等文件以及就合同发生纠纷时相关文件和法律文书送达时的送达地址及法律后果作如下约定：</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1.一方基于本合同发出的任何通知或其他通信应全部满足以下条件，否则该等通知不应被视为完整、有效的正式书面通知：</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（1）以中文书面形式作出。</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（2）由通知发出方或其代表签署并加盖公章（用电子邮件发出的通知除外）。</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（3）按本条第3款所列地址送交相关方。</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2.通知可选择下述方式发送，并于下述对应时间视为送达：</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（1）亲自送达：送达双方指定的联系人签收之时。</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（2）采用邮寄方式：投递服务商记录的签收时间，或发件人按照经双方确认的地址寄送，邮件被退件或无法送达时，以邮件发出时间后的第五日为送达时间。</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3）采用传真方式：于通知到达各方确认的传真号码之时，或收到来自经双方确认号码的确认无中断无错误的传输报告之时，或发送至经双方确认的传真号码且发件人系统显示发送成功之时，或收到来自收件人的确认之时。</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4）电子邮件：于通知到达各方确认的电子邮件地址之时，或收到来自经双方确认的电子邮件地址的送达回执之时，或发送至经双方确认的电子邮件地址且发件人系统显示发送成功之时，或收到来自收件人的确认之时。</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3.通知或其他通信应被发送至：</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（1）甲方确认的其有效的送达地址为：</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甲方名称：【青海省气象灾害防御技术中心】</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甲方地址：【青海省西宁市五四大街19号】</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收件人（联系人）：【</w:t>
      </w:r>
      <w:r>
        <w:rPr>
          <w:rFonts w:cs="Times New Roman" w:hint="eastAsia"/>
          <w:color w:val="auto"/>
          <w:sz w:val="28"/>
          <w:szCs w:val="28"/>
          <w:lang w:val="en-US" w:eastAsia="zh-CN"/>
        </w:rPr>
        <w:t>侯永慧</w:t>
      </w:r>
      <w:r>
        <w:rPr>
          <w:rFonts w:ascii="Times New Roman" w:hAnsi="Times New Roman" w:cs="Times New Roman" w:hint="default"/>
          <w:color w:val="auto"/>
          <w:sz w:val="28"/>
          <w:szCs w:val="28"/>
          <w:lang w:val="en-US" w:eastAsia="zh-CN"/>
        </w:rPr>
        <w:t>】</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邮政编码：【810001】</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联系电话：【1</w:t>
      </w:r>
      <w:r>
        <w:rPr>
          <w:rFonts w:cs="Times New Roman" w:hint="eastAsia"/>
          <w:color w:val="auto"/>
          <w:sz w:val="28"/>
          <w:szCs w:val="28"/>
          <w:lang w:val="en-US" w:eastAsia="zh-CN"/>
        </w:rPr>
        <w:t>5720601661</w:t>
      </w:r>
      <w:r>
        <w:rPr>
          <w:rFonts w:ascii="Times New Roman" w:hAnsi="Times New Roman" w:cs="Times New Roman" w:hint="default"/>
          <w:color w:val="auto"/>
          <w:sz w:val="28"/>
          <w:szCs w:val="28"/>
          <w:lang w:val="en-US" w:eastAsia="zh-CN"/>
        </w:rPr>
        <w:t>】</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传真：【0971</w:t>
      </w:r>
      <w:r>
        <w:rPr>
          <w:rFonts w:ascii="Times New Roman" w:hAnsi="Times New Roman" w:cs="Times New Roman" w:hint="eastAsia"/>
          <w:color w:val="auto"/>
          <w:sz w:val="28"/>
          <w:szCs w:val="28"/>
          <w:lang w:val="en-US" w:eastAsia="zh-CN"/>
        </w:rPr>
        <w:t>-</w:t>
      </w:r>
      <w:r>
        <w:rPr>
          <w:rFonts w:ascii="Times New Roman" w:hAnsi="Times New Roman" w:cs="Times New Roman" w:hint="default"/>
          <w:color w:val="auto"/>
          <w:sz w:val="28"/>
          <w:szCs w:val="28"/>
          <w:lang w:val="en-US" w:eastAsia="zh-CN"/>
        </w:rPr>
        <w:t>61</w:t>
      </w:r>
      <w:r>
        <w:rPr>
          <w:rFonts w:ascii="Times New Roman" w:hAnsi="Times New Roman" w:cs="Times New Roman" w:hint="eastAsia"/>
          <w:color w:val="auto"/>
          <w:sz w:val="28"/>
          <w:szCs w:val="28"/>
          <w:lang w:val="en-US" w:eastAsia="zh-CN"/>
        </w:rPr>
        <w:t>44398</w:t>
      </w:r>
      <w:r>
        <w:rPr>
          <w:rFonts w:ascii="Times New Roman" w:hAnsi="Times New Roman" w:cs="Times New Roman" w:hint="default"/>
          <w:color w:val="auto"/>
          <w:sz w:val="28"/>
          <w:szCs w:val="28"/>
          <w:lang w:val="en-US" w:eastAsia="zh-CN"/>
        </w:rPr>
        <w:t>】</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（2）乙方确认的其有效的送达地址为：</w:t>
      </w:r>
    </w:p>
    <w:p>
      <w:pPr>
        <w:spacing w:line="360" w:lineRule="auto"/>
        <w:ind w:firstLine="560" w:firstLineChars="200"/>
        <w:jc w:val="both"/>
        <w:rPr>
          <w:rFonts w:hint="default"/>
          <w:color w:val="FF0000"/>
          <w:sz w:val="28"/>
          <w:szCs w:val="28"/>
        </w:rPr>
      </w:pPr>
      <w:r>
        <w:rPr>
          <w:rFonts w:ascii="Times New Roman" w:hAnsi="Times New Roman" w:cs="Times New Roman" w:hint="default"/>
          <w:color w:val="auto"/>
          <w:sz w:val="28"/>
          <w:szCs w:val="28"/>
          <w:lang w:val="en-US" w:eastAsia="zh-CN"/>
        </w:rPr>
        <w:t>乙方名称：</w:t>
      </w:r>
    </w:p>
    <w:p>
      <w:pPr>
        <w:spacing w:line="360" w:lineRule="auto"/>
        <w:ind w:firstLine="560" w:firstLineChars="200"/>
        <w:jc w:val="both"/>
        <w:rPr>
          <w:rFonts w:hint="default"/>
          <w:color w:val="FF0000"/>
          <w:sz w:val="28"/>
          <w:szCs w:val="28"/>
        </w:rPr>
      </w:pPr>
      <w:r>
        <w:rPr>
          <w:rFonts w:ascii="Times New Roman" w:hAnsi="Times New Roman" w:cs="Times New Roman" w:hint="default"/>
          <w:color w:val="auto"/>
          <w:sz w:val="28"/>
          <w:szCs w:val="28"/>
          <w:lang w:val="en-US" w:eastAsia="zh-CN"/>
        </w:rPr>
        <w:t>乙方地址：</w:t>
      </w:r>
    </w:p>
    <w:p>
      <w:pPr>
        <w:spacing w:line="360" w:lineRule="auto"/>
        <w:ind w:firstLine="560" w:firstLineChars="200"/>
        <w:jc w:val="both"/>
        <w:rPr>
          <w:rFonts w:hint="default"/>
          <w:color w:val="FF0000"/>
          <w:sz w:val="28"/>
          <w:szCs w:val="28"/>
          <w:u w:val="single"/>
        </w:rPr>
      </w:pPr>
      <w:r>
        <w:rPr>
          <w:rFonts w:ascii="Times New Roman" w:hAnsi="Times New Roman" w:cs="Times New Roman" w:hint="default"/>
          <w:color w:val="auto"/>
          <w:sz w:val="28"/>
          <w:szCs w:val="28"/>
        </w:rPr>
        <w:t>收件人（联系人）：</w:t>
      </w:r>
    </w:p>
    <w:p>
      <w:pPr>
        <w:spacing w:line="360" w:lineRule="auto"/>
        <w:ind w:firstLine="560" w:firstLineChars="200"/>
        <w:jc w:val="both"/>
        <w:rPr>
          <w:rFonts w:hint="default"/>
          <w:color w:val="FF0000"/>
          <w:sz w:val="28"/>
          <w:szCs w:val="28"/>
          <w:highlight w:val="yellow"/>
          <w:u w:val="single"/>
        </w:rPr>
      </w:pPr>
      <w:r>
        <w:rPr>
          <w:rFonts w:ascii="Times New Roman" w:hAnsi="Times New Roman" w:cs="Times New Roman" w:hint="default"/>
          <w:color w:val="auto"/>
          <w:sz w:val="28"/>
          <w:szCs w:val="28"/>
        </w:rPr>
        <w:t>邮政编码：</w:t>
      </w:r>
    </w:p>
    <w:p>
      <w:pPr>
        <w:spacing w:line="360" w:lineRule="auto"/>
        <w:ind w:firstLine="560" w:firstLineChars="200"/>
        <w:jc w:val="both"/>
        <w:rPr>
          <w:rFonts w:hint="default"/>
          <w:color w:val="FF0000"/>
          <w:sz w:val="28"/>
          <w:szCs w:val="28"/>
        </w:rPr>
      </w:pPr>
      <w:r>
        <w:rPr>
          <w:rFonts w:ascii="Times New Roman" w:hAnsi="Times New Roman" w:cs="Times New Roman" w:hint="default"/>
          <w:color w:val="auto"/>
          <w:sz w:val="28"/>
          <w:szCs w:val="28"/>
        </w:rPr>
        <w:t>联系电话：</w:t>
      </w:r>
    </w:p>
    <w:p>
      <w:pPr>
        <w:spacing w:line="360" w:lineRule="auto"/>
        <w:ind w:firstLine="560" w:firstLineChars="200"/>
        <w:jc w:val="both"/>
        <w:rPr>
          <w:rFonts w:hint="default"/>
          <w:color w:val="FF0000"/>
          <w:sz w:val="28"/>
          <w:szCs w:val="28"/>
          <w:u w:val="single"/>
        </w:rPr>
      </w:pPr>
      <w:r>
        <w:rPr>
          <w:rFonts w:ascii="Times New Roman" w:hAnsi="Times New Roman" w:cs="Times New Roman" w:hint="default"/>
          <w:color w:val="auto"/>
          <w:sz w:val="28"/>
          <w:szCs w:val="28"/>
        </w:rPr>
        <w:t>传真：</w:t>
      </w:r>
    </w:p>
    <w:p>
      <w:pPr>
        <w:spacing w:line="360" w:lineRule="auto"/>
        <w:ind w:firstLine="560" w:firstLineChars="200"/>
        <w:jc w:val="both"/>
        <w:rPr>
          <w:rFonts w:hint="default"/>
          <w:color w:val="FF0000"/>
          <w:sz w:val="28"/>
          <w:szCs w:val="28"/>
          <w:u w:val="single"/>
        </w:rPr>
      </w:pPr>
      <w:r>
        <w:rPr>
          <w:rFonts w:ascii="Times New Roman" w:hAnsi="Times New Roman" w:cs="Times New Roman" w:hint="default"/>
          <w:color w:val="auto"/>
          <w:sz w:val="28"/>
          <w:szCs w:val="28"/>
        </w:rPr>
        <w:t>电子邮件：</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4.任何对本条第3款所载的各方联系方式的修改根据本条第1款的规定通知另一方，该等修改应在通知中指明的修改的日期生效。如未通知另一方新修改的联系方式或新修改的联系方式无法接收送达，则另一方有权以双方在本合同中确认的送达地址按照本条第2款规定的方式进行送达，以本条第2款规定的时间即视为有效送达时间。</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5.双方的送达地址适用范围包括双方非诉时的各类通知、协议等文件，以及就合同发生纠纷时相关文件和法律文书的送达，同时包括在争议进入仲裁、民事诉讼程序后的一审、二审、再审和执行程序。</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6</w:t>
      </w:r>
      <w:r>
        <w:rPr>
          <w:rFonts w:ascii="Times New Roman" w:hAnsi="Times New Roman" w:cs="Times New Roman" w:hint="default"/>
          <w:color w:val="auto"/>
          <w:sz w:val="28"/>
          <w:szCs w:val="28"/>
        </w:rPr>
        <w:t>.上述发出通知、回复的费用由发出一方承担。</w:t>
      </w:r>
    </w:p>
    <w:p>
      <w:pPr>
        <w:widowControl/>
        <w:spacing w:line="360" w:lineRule="auto"/>
        <w:ind w:firstLine="560" w:firstLineChars="200"/>
        <w:jc w:val="both"/>
        <w:rPr>
          <w:rFonts w:hint="default"/>
          <w:b/>
          <w:color w:val="auto"/>
          <w:spacing w:val="-2"/>
          <w:sz w:val="28"/>
          <w:szCs w:val="28"/>
        </w:rPr>
      </w:pPr>
      <w:r>
        <w:rPr>
          <w:rFonts w:ascii="Times New Roman" w:hAnsi="Times New Roman" w:cs="Times New Roman" w:hint="default"/>
          <w:b/>
          <w:color w:val="auto"/>
          <w:spacing w:val="-2"/>
          <w:sz w:val="28"/>
          <w:szCs w:val="28"/>
        </w:rPr>
        <w:t>十</w:t>
      </w:r>
      <w:r>
        <w:rPr>
          <w:rFonts w:ascii="Times New Roman" w:hAnsi="Times New Roman" w:cs="Times New Roman" w:hint="default"/>
          <w:b/>
          <w:color w:val="auto"/>
          <w:spacing w:val="-2"/>
          <w:sz w:val="28"/>
          <w:szCs w:val="28"/>
          <w:lang w:val="en-US" w:eastAsia="zh-CN"/>
        </w:rPr>
        <w:t>二</w:t>
      </w:r>
      <w:r>
        <w:rPr>
          <w:rFonts w:ascii="Times New Roman" w:hAnsi="Times New Roman" w:cs="Times New Roman" w:hint="default"/>
          <w:b/>
          <w:color w:val="auto"/>
          <w:spacing w:val="-2"/>
          <w:sz w:val="28"/>
          <w:szCs w:val="28"/>
        </w:rPr>
        <w:t>、其他</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1.本合同经双方法定代表人或书面授权代表签名并加盖合同专用章或公章后生效。授权代表签署的，必须向对方提交代理权限及代理期限的授权文书。</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2.本合同签署后，任何一方不得擅自解除本合同（本合同另有约定的除外）。本合同项下所有权利义务不得转让给第三人。任何一方分立或与其它公司合并，则由其继承本合同项下权利义务的新公司继续履行本合同。</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3</w:t>
      </w:r>
      <w:r>
        <w:rPr>
          <w:rFonts w:ascii="Times New Roman" w:hAnsi="Times New Roman" w:cs="Times New Roman" w:hint="default"/>
          <w:color w:val="auto"/>
          <w:sz w:val="28"/>
          <w:szCs w:val="28"/>
        </w:rPr>
        <w:t>.因本合同履行而签署的变更协议、补充协议、</w:t>
      </w:r>
      <w:r>
        <w:rPr>
          <w:rFonts w:ascii="Times New Roman" w:hAnsi="Times New Roman" w:cs="Times New Roman" w:hint="eastAsia"/>
          <w:color w:val="auto"/>
          <w:sz w:val="28"/>
          <w:szCs w:val="28"/>
          <w:lang w:val="en-US" w:eastAsia="zh-CN"/>
        </w:rPr>
        <w:t>所有附件及</w:t>
      </w:r>
      <w:r>
        <w:rPr>
          <w:rFonts w:ascii="Times New Roman" w:hAnsi="Times New Roman" w:cs="Times New Roman" w:hint="default"/>
          <w:color w:val="auto"/>
          <w:sz w:val="28"/>
          <w:szCs w:val="28"/>
        </w:rPr>
        <w:t>配置明细表等均为本合同不可分割的一部分，与本合同具有同等法律效力。</w:t>
      </w:r>
    </w:p>
    <w:p>
      <w:pPr>
        <w:spacing w:line="360" w:lineRule="auto"/>
        <w:ind w:firstLine="560" w:firstLineChars="200"/>
        <w:jc w:val="both"/>
        <w:rPr>
          <w:rFonts w:hint="default"/>
          <w:color w:val="auto"/>
          <w:sz w:val="28"/>
          <w:szCs w:val="28"/>
          <w:highlight w:val="none"/>
        </w:rPr>
      </w:pPr>
      <w:r>
        <w:rPr>
          <w:rFonts w:ascii="Times New Roman" w:hAnsi="Times New Roman" w:cs="Times New Roman" w:hint="default"/>
          <w:color w:val="auto"/>
          <w:sz w:val="28"/>
          <w:szCs w:val="28"/>
          <w:lang w:val="en-US" w:eastAsia="zh-CN"/>
        </w:rPr>
        <w:t>4</w:t>
      </w:r>
      <w:r>
        <w:rPr>
          <w:rFonts w:ascii="Times New Roman" w:hAnsi="Times New Roman" w:cs="Times New Roman" w:hint="default"/>
          <w:color w:val="auto"/>
          <w:sz w:val="28"/>
          <w:szCs w:val="28"/>
        </w:rPr>
        <w:t>.</w:t>
      </w:r>
      <w:r>
        <w:rPr>
          <w:rFonts w:ascii="Times New Roman" w:hAnsi="Times New Roman" w:cs="Times New Roman" w:hint="default"/>
          <w:color w:val="auto"/>
          <w:sz w:val="28"/>
          <w:szCs w:val="28"/>
          <w:highlight w:val="none"/>
        </w:rPr>
        <w:t>本合同一式</w:t>
      </w:r>
      <w:r>
        <w:rPr>
          <w:rFonts w:ascii="Times New Roman" w:hAnsi="Times New Roman" w:cs="Times New Roman" w:hint="default"/>
          <w:color w:val="auto"/>
          <w:sz w:val="28"/>
          <w:szCs w:val="28"/>
          <w:highlight w:val="none"/>
          <w:lang w:val="en-US" w:eastAsia="zh-CN"/>
        </w:rPr>
        <w:t>陆</w:t>
      </w:r>
      <w:r>
        <w:rPr>
          <w:rFonts w:ascii="Times New Roman" w:hAnsi="Times New Roman" w:cs="Times New Roman" w:hint="default"/>
          <w:color w:val="auto"/>
          <w:sz w:val="28"/>
          <w:szCs w:val="28"/>
          <w:highlight w:val="none"/>
        </w:rPr>
        <w:t>份，甲</w:t>
      </w:r>
      <w:r>
        <w:rPr>
          <w:rFonts w:ascii="Times New Roman" w:hAnsi="Times New Roman" w:cs="Times New Roman" w:hint="default"/>
          <w:color w:val="auto"/>
          <w:sz w:val="28"/>
          <w:szCs w:val="28"/>
          <w:highlight w:val="none"/>
          <w:lang w:val="en-US" w:eastAsia="zh-CN"/>
        </w:rPr>
        <w:t>乙双方各持叁份，</w:t>
      </w:r>
      <w:r>
        <w:rPr>
          <w:rFonts w:ascii="Times New Roman" w:hAnsi="Times New Roman" w:cs="Times New Roman" w:hint="default"/>
          <w:color w:val="auto"/>
          <w:sz w:val="28"/>
          <w:szCs w:val="28"/>
          <w:highlight w:val="none"/>
        </w:rPr>
        <w:t>具有同等法律效力。</w:t>
      </w:r>
    </w:p>
    <w:p>
      <w:pPr>
        <w:spacing w:line="360" w:lineRule="auto"/>
        <w:ind w:firstLine="560" w:firstLineChars="200"/>
        <w:jc w:val="both"/>
        <w:rPr>
          <w:rFonts w:hint="default"/>
          <w:color w:val="auto"/>
          <w:kern w:val="0"/>
          <w:sz w:val="28"/>
          <w:szCs w:val="28"/>
          <w:highlight w:val="none"/>
        </w:rPr>
      </w:pPr>
      <w:r>
        <w:rPr>
          <w:rFonts w:ascii="Times New Roman" w:hAnsi="Times New Roman" w:cs="Times New Roman" w:hint="default"/>
          <w:color w:val="auto"/>
          <w:sz w:val="28"/>
          <w:szCs w:val="28"/>
          <w:highlight w:val="none"/>
          <w:lang w:val="en-US" w:eastAsia="zh-CN"/>
        </w:rPr>
        <w:t>5.合同</w:t>
      </w:r>
      <w:r>
        <w:rPr>
          <w:rFonts w:ascii="Times New Roman" w:eastAsia="宋体" w:hAnsi="Times New Roman" w:cs="Times New Roman" w:hint="default"/>
          <w:color w:val="auto"/>
          <w:kern w:val="0"/>
          <w:sz w:val="28"/>
          <w:szCs w:val="28"/>
          <w:highlight w:val="none"/>
          <w:lang w:val="en-US" w:eastAsia="zh-CN"/>
        </w:rPr>
        <w:t>签订后15个工作日内，乙方</w:t>
      </w:r>
      <w:r>
        <w:rPr>
          <w:rFonts w:ascii="Times New Roman" w:hAnsi="Times New Roman" w:cs="Times New Roman" w:hint="eastAsia"/>
          <w:color w:val="auto"/>
          <w:kern w:val="0"/>
          <w:sz w:val="28"/>
          <w:szCs w:val="28"/>
          <w:highlight w:val="none"/>
          <w:lang w:val="en-US" w:eastAsia="zh-CN"/>
        </w:rPr>
        <w:t>以银行履约保函的方式，</w:t>
      </w:r>
      <w:r>
        <w:rPr>
          <w:rFonts w:ascii="Times New Roman" w:eastAsia="宋体" w:hAnsi="Times New Roman" w:cs="Times New Roman" w:hint="default"/>
          <w:color w:val="auto"/>
          <w:kern w:val="0"/>
          <w:sz w:val="28"/>
          <w:szCs w:val="28"/>
          <w:highlight w:val="none"/>
          <w:lang w:val="en-US" w:eastAsia="zh-CN"/>
        </w:rPr>
        <w:t>向甲方提供合同总价5%</w:t>
      </w:r>
      <w:r>
        <w:rPr>
          <w:rFonts w:ascii="Times New Roman" w:hAnsi="Times New Roman" w:cs="Times New Roman" w:hint="eastAsia"/>
          <w:color w:val="auto"/>
          <w:kern w:val="0"/>
          <w:sz w:val="28"/>
          <w:szCs w:val="28"/>
          <w:highlight w:val="none"/>
          <w:lang w:val="en-US" w:eastAsia="zh-CN"/>
        </w:rPr>
        <w:t>的银行履约保函，保函</w:t>
      </w:r>
      <w:r>
        <w:rPr>
          <w:rFonts w:ascii="Times New Roman" w:eastAsia="宋体" w:hAnsi="Times New Roman" w:cs="Times New Roman" w:hint="default"/>
          <w:color w:val="auto"/>
          <w:kern w:val="0"/>
          <w:sz w:val="28"/>
          <w:szCs w:val="28"/>
          <w:highlight w:val="none"/>
          <w:lang w:val="en-US" w:eastAsia="zh-CN"/>
        </w:rPr>
        <w:t>有效期</w:t>
      </w:r>
      <w:r>
        <w:rPr>
          <w:rFonts w:ascii="Times New Roman" w:hAnsi="Times New Roman" w:cs="Times New Roman" w:hint="eastAsia"/>
          <w:color w:val="auto"/>
          <w:kern w:val="0"/>
          <w:sz w:val="28"/>
          <w:szCs w:val="28"/>
          <w:highlight w:val="none"/>
          <w:lang w:val="en-US" w:eastAsia="zh-CN"/>
        </w:rPr>
        <w:t>为</w:t>
      </w:r>
      <w:r>
        <w:rPr>
          <w:rFonts w:ascii="Times New Roman" w:eastAsia="宋体" w:hAnsi="Times New Roman" w:cs="Times New Roman" w:hint="default"/>
          <w:color w:val="auto"/>
          <w:kern w:val="0"/>
          <w:sz w:val="28"/>
          <w:szCs w:val="28"/>
          <w:highlight w:val="none"/>
          <w:lang w:val="en-US" w:eastAsia="zh-CN"/>
        </w:rPr>
        <w:t>4个月</w:t>
      </w:r>
      <w:r>
        <w:rPr>
          <w:rFonts w:ascii="Times New Roman" w:hAnsi="Times New Roman" w:cs="Times New Roman" w:hint="default"/>
          <w:color w:val="auto"/>
          <w:kern w:val="0"/>
          <w:sz w:val="28"/>
          <w:szCs w:val="28"/>
          <w:highlight w:val="none"/>
          <w:lang w:val="en-US" w:eastAsia="zh-CN"/>
        </w:rPr>
        <w:t>。</w:t>
      </w:r>
      <w:r>
        <w:rPr>
          <w:rFonts w:ascii="Times New Roman" w:hAnsi="Times New Roman" w:cs="Times New Roman" w:hint="eastAsia"/>
          <w:color w:val="auto"/>
          <w:kern w:val="0"/>
          <w:sz w:val="28"/>
          <w:szCs w:val="28"/>
          <w:highlight w:val="none"/>
          <w:lang w:val="en-US" w:eastAsia="zh-CN"/>
        </w:rPr>
        <w:t>合同验收后退回履约保函。</w:t>
      </w:r>
    </w:p>
    <w:p>
      <w:pPr>
        <w:spacing w:line="360" w:lineRule="auto"/>
        <w:ind w:firstLine="560" w:firstLineChars="200"/>
        <w:jc w:val="both"/>
        <w:rPr>
          <w:rFonts w:hint="default"/>
          <w:b/>
          <w:bCs/>
          <w:color w:val="auto"/>
          <w:sz w:val="28"/>
          <w:szCs w:val="28"/>
        </w:rPr>
      </w:pPr>
      <w:r>
        <w:rPr>
          <w:rFonts w:ascii="Times New Roman" w:hAnsi="Times New Roman" w:cs="Times New Roman" w:hint="default"/>
          <w:b/>
          <w:bCs/>
          <w:color w:val="auto"/>
          <w:sz w:val="28"/>
          <w:szCs w:val="28"/>
        </w:rPr>
        <w:t>十三、合同附件</w:t>
      </w:r>
    </w:p>
    <w:p>
      <w:pPr>
        <w:spacing w:line="360" w:lineRule="auto"/>
        <w:ind w:firstLine="560" w:firstLineChars="200"/>
        <w:jc w:val="both"/>
        <w:rPr>
          <w:rFonts w:hint="default"/>
          <w:color w:val="auto"/>
          <w:sz w:val="28"/>
          <w:szCs w:val="28"/>
        </w:rPr>
      </w:pPr>
      <w:r>
        <w:rPr>
          <w:rFonts w:ascii="Times New Roman" w:hAnsi="Times New Roman" w:cs="Times New Roman" w:hint="default"/>
          <w:b/>
          <w:bCs/>
          <w:color w:val="auto"/>
          <w:sz w:val="28"/>
          <w:szCs w:val="28"/>
        </w:rPr>
        <w:t>附件</w:t>
      </w:r>
      <w:r>
        <w:rPr>
          <w:rFonts w:ascii="Times New Roman" w:hAnsi="Times New Roman" w:cs="Times New Roman" w:hint="default"/>
          <w:b/>
          <w:bCs/>
          <w:color w:val="auto"/>
          <w:sz w:val="28"/>
          <w:szCs w:val="28"/>
          <w:lang w:val="en-US" w:eastAsia="zh-CN"/>
        </w:rPr>
        <w:t>1</w:t>
      </w:r>
      <w:r>
        <w:rPr>
          <w:rFonts w:ascii="Times New Roman" w:hAnsi="Times New Roman" w:cs="Times New Roman" w:hint="default"/>
          <w:color w:val="auto"/>
          <w:sz w:val="28"/>
          <w:szCs w:val="28"/>
        </w:rPr>
        <w:t>：</w:t>
      </w:r>
      <w:r>
        <w:rPr>
          <w:rFonts w:ascii="Times New Roman" w:hAnsi="Times New Roman" w:cs="Times New Roman" w:hint="default"/>
          <w:color w:val="auto"/>
          <w:sz w:val="28"/>
          <w:szCs w:val="28"/>
          <w:lang w:val="en-US" w:eastAsia="zh-CN"/>
        </w:rPr>
        <w:t>中标通知书</w:t>
      </w:r>
      <w:r>
        <w:rPr>
          <w:rFonts w:ascii="Times New Roman" w:hAnsi="Times New Roman" w:cs="Times New Roman" w:hint="eastAsia"/>
          <w:color w:val="auto"/>
          <w:sz w:val="28"/>
          <w:szCs w:val="28"/>
          <w:lang w:val="en-US" w:eastAsia="zh-CN"/>
        </w:rPr>
        <w:t>；</w:t>
      </w:r>
    </w:p>
    <w:p>
      <w:pPr>
        <w:spacing w:line="360" w:lineRule="auto"/>
        <w:ind w:firstLine="560" w:firstLineChars="200"/>
        <w:jc w:val="both"/>
        <w:rPr>
          <w:rFonts w:hint="default"/>
          <w:color w:val="auto"/>
          <w:sz w:val="28"/>
          <w:szCs w:val="28"/>
        </w:rPr>
      </w:pPr>
      <w:r>
        <w:rPr>
          <w:rFonts w:ascii="Times New Roman" w:hAnsi="Times New Roman" w:cs="Times New Roman" w:hint="default"/>
          <w:b/>
          <w:bCs/>
          <w:color w:val="auto"/>
          <w:sz w:val="28"/>
          <w:szCs w:val="28"/>
          <w:lang w:val="en-US" w:eastAsia="zh-CN"/>
        </w:rPr>
        <w:t>附件2：</w:t>
      </w:r>
      <w:r>
        <w:rPr>
          <w:rFonts w:cs="Times New Roman" w:hint="eastAsia"/>
          <w:color w:val="auto"/>
          <w:sz w:val="28"/>
          <w:szCs w:val="28"/>
          <w:lang w:val="en-US" w:eastAsia="zh-CN"/>
        </w:rPr>
        <w:t>青海省人工影响天气水资源保障工程-高炮作业点安防配套标识和火箭流动作业点视频通讯</w:t>
      </w:r>
      <w:r>
        <w:rPr>
          <w:rFonts w:ascii="Times New Roman" w:hAnsi="Times New Roman" w:cs="Times New Roman" w:hint="default"/>
          <w:color w:val="auto"/>
          <w:sz w:val="28"/>
          <w:szCs w:val="28"/>
        </w:rPr>
        <w:t>招标文件</w:t>
      </w:r>
      <w:r>
        <w:rPr>
          <w:rFonts w:ascii="Times New Roman" w:hAnsi="Times New Roman" w:cs="Times New Roman" w:hint="default"/>
          <w:color w:val="auto"/>
          <w:sz w:val="28"/>
          <w:szCs w:val="28"/>
          <w:lang w:val="en-US" w:eastAsia="zh-CN"/>
        </w:rPr>
        <w:t>专用册第八章</w:t>
      </w:r>
      <w:r>
        <w:rPr>
          <w:rFonts w:ascii="Times New Roman" w:hAnsi="Times New Roman" w:cs="Times New Roman" w:hint="default"/>
          <w:color w:val="auto"/>
          <w:sz w:val="28"/>
          <w:szCs w:val="28"/>
        </w:rPr>
        <w:t>；</w:t>
      </w:r>
    </w:p>
    <w:p>
      <w:pPr>
        <w:spacing w:line="360" w:lineRule="auto"/>
        <w:ind w:firstLine="560" w:firstLineChars="200"/>
        <w:jc w:val="both"/>
        <w:rPr>
          <w:rFonts w:hint="eastAsia"/>
          <w:color w:val="auto"/>
          <w:sz w:val="28"/>
          <w:szCs w:val="28"/>
        </w:rPr>
      </w:pPr>
      <w:r>
        <w:rPr>
          <w:rFonts w:ascii="Times New Roman" w:hAnsi="Times New Roman" w:cs="Times New Roman" w:hint="default"/>
          <w:b/>
          <w:bCs/>
          <w:color w:val="auto"/>
          <w:sz w:val="28"/>
          <w:szCs w:val="28"/>
        </w:rPr>
        <w:t>附件</w:t>
      </w:r>
      <w:r>
        <w:rPr>
          <w:rFonts w:ascii="Times New Roman" w:hAnsi="Times New Roman" w:cs="Times New Roman" w:hint="default"/>
          <w:b/>
          <w:bCs/>
          <w:color w:val="auto"/>
          <w:sz w:val="28"/>
          <w:szCs w:val="28"/>
          <w:lang w:val="en-US" w:eastAsia="zh-CN"/>
        </w:rPr>
        <w:t>3</w:t>
      </w:r>
      <w:r>
        <w:rPr>
          <w:rFonts w:ascii="Times New Roman" w:hAnsi="Times New Roman" w:cs="Times New Roman" w:hint="default"/>
          <w:b/>
          <w:bCs/>
          <w:color w:val="auto"/>
          <w:sz w:val="28"/>
          <w:szCs w:val="28"/>
        </w:rPr>
        <w:t>：</w:t>
      </w:r>
      <w:r>
        <w:rPr>
          <w:rFonts w:ascii="Times New Roman" w:hAnsi="Times New Roman" w:cs="Times New Roman" w:hint="default"/>
          <w:color w:val="auto"/>
          <w:sz w:val="28"/>
          <w:szCs w:val="28"/>
        </w:rPr>
        <w:t>货物签收单</w:t>
      </w:r>
      <w:r>
        <w:rPr>
          <w:rFonts w:ascii="Times New Roman" w:hAnsi="Times New Roman" w:cs="Times New Roman" w:hint="eastAsia"/>
          <w:color w:val="auto"/>
          <w:sz w:val="28"/>
          <w:szCs w:val="28"/>
          <w:lang w:eastAsia="zh-CN"/>
        </w:rPr>
        <w:t>；</w:t>
      </w:r>
    </w:p>
    <w:p>
      <w:pPr>
        <w:spacing w:line="360" w:lineRule="auto"/>
        <w:ind w:firstLine="560" w:firstLineChars="200"/>
        <w:jc w:val="both"/>
        <w:rPr>
          <w:rFonts w:hint="eastAsia"/>
          <w:color w:val="auto"/>
          <w:sz w:val="28"/>
          <w:szCs w:val="28"/>
        </w:rPr>
      </w:pPr>
      <w:r>
        <w:rPr>
          <w:rFonts w:ascii="Times New Roman" w:hAnsi="Times New Roman" w:cs="Times New Roman" w:hint="eastAsia"/>
          <w:b/>
          <w:bCs/>
          <w:color w:val="auto"/>
          <w:sz w:val="28"/>
          <w:szCs w:val="28"/>
          <w:lang w:val="en-US" w:eastAsia="zh-CN"/>
        </w:rPr>
        <w:t>附件4：</w:t>
      </w:r>
      <w:r>
        <w:rPr>
          <w:rFonts w:cs="Times New Roman" w:hint="eastAsia"/>
          <w:color w:val="auto"/>
          <w:sz w:val="28"/>
          <w:szCs w:val="28"/>
          <w:lang w:val="en-US" w:eastAsia="zh-CN"/>
        </w:rPr>
        <w:t>移动布控球、对讲机、公告牌、</w:t>
      </w:r>
      <w:r>
        <w:rPr>
          <w:rFonts w:eastAsia="宋体" w:cs="Times New Roman" w:hint="default"/>
          <w:color w:val="auto"/>
          <w:sz w:val="28"/>
          <w:szCs w:val="28"/>
          <w:lang w:val="en-US" w:eastAsia="zh-CN"/>
        </w:rPr>
        <w:t>铭牌</w:t>
      </w:r>
      <w:r>
        <w:rPr>
          <w:rFonts w:eastAsia="宋体" w:cs="Times New Roman" w:hint="eastAsia"/>
          <w:color w:val="auto"/>
          <w:sz w:val="28"/>
          <w:szCs w:val="28"/>
          <w:lang w:val="en-US" w:eastAsia="zh-CN"/>
        </w:rPr>
        <w:t>等</w:t>
      </w:r>
      <w:r>
        <w:rPr>
          <w:rFonts w:ascii="Times New Roman" w:hAnsi="Times New Roman" w:cs="Times New Roman" w:hint="eastAsia"/>
          <w:color w:val="auto"/>
          <w:sz w:val="28"/>
          <w:szCs w:val="28"/>
          <w:lang w:val="en-US" w:eastAsia="zh-CN"/>
        </w:rPr>
        <w:t>技术说明书。</w:t>
      </w:r>
    </w:p>
    <w:tbl>
      <w:tblPr>
        <w:tblStyle w:val="TableGrid"/>
        <w:tblpPr w:leftFromText="180" w:rightFromText="180" w:vertAnchor="text" w:horzAnchor="page" w:tblpX="1603" w:tblpY="360"/>
        <w:tblOverlap w:val="never"/>
        <w:tblW w:w="913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765"/>
        <w:gridCol w:w="4373"/>
      </w:tblGrid>
      <w:tr>
        <w:tblPrEx>
          <w:tblW w:w="913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561"/>
        </w:trPr>
        <w:tc>
          <w:tcPr>
            <w:tcW w:w="4765" w:type="dxa"/>
            <w:tcBorders>
              <w:top w:val="single" w:sz="4" w:space="0" w:color="auto"/>
              <w:left w:val="single" w:sz="4" w:space="0" w:color="auto"/>
              <w:bottom w:val="single" w:sz="4" w:space="0" w:color="auto"/>
              <w:right w:val="single" w:sz="4" w:space="0" w:color="auto"/>
            </w:tcBorders>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color w:val="auto"/>
                <w:spacing w:val="-10"/>
                <w:szCs w:val="22"/>
              </w:rPr>
            </w:pPr>
            <w:r>
              <w:rPr>
                <w:rFonts w:ascii="Times New Roman" w:hAnsi="Times New Roman" w:cs="Times New Roman" w:hint="default"/>
                <w:b/>
                <w:color w:val="auto"/>
                <w:sz w:val="24"/>
                <w:szCs w:val="24"/>
              </w:rPr>
              <w:t>甲方</w:t>
            </w:r>
            <w:r>
              <w:rPr>
                <w:rFonts w:ascii="Times New Roman" w:hAnsi="Times New Roman" w:cs="Times New Roman" w:hint="default"/>
                <w:b/>
                <w:color w:val="auto"/>
                <w:sz w:val="24"/>
                <w:szCs w:val="24"/>
                <w:lang w:val="en-US" w:eastAsia="zh-CN"/>
              </w:rPr>
              <w:t>(盖章)</w:t>
            </w:r>
            <w:r>
              <w:rPr>
                <w:rFonts w:ascii="Times New Roman" w:hAnsi="Times New Roman" w:cs="Times New Roman" w:hint="default"/>
                <w:b/>
                <w:color w:val="auto"/>
                <w:spacing w:val="-10"/>
                <w:sz w:val="24"/>
                <w:szCs w:val="24"/>
              </w:rPr>
              <w:t>：</w:t>
            </w:r>
          </w:p>
          <w:p>
            <w:pPr>
              <w:keepNext w:val="0"/>
              <w:keepLines w:val="0"/>
              <w:suppressLineNumbers w:val="0"/>
              <w:tabs>
                <w:tab w:val="left" w:pos="709"/>
              </w:tabs>
              <w:adjustRightInd w:val="0"/>
              <w:snapToGrid w:val="0"/>
              <w:spacing w:before="0" w:beforeAutospacing="0" w:after="0" w:afterAutospacing="0" w:line="360" w:lineRule="auto"/>
              <w:ind w:left="0" w:right="0"/>
              <w:rPr>
                <w:rFonts w:hint="default"/>
                <w:color w:val="auto"/>
                <w:szCs w:val="22"/>
              </w:rPr>
            </w:pPr>
            <w:r>
              <w:rPr>
                <w:rFonts w:ascii="Times New Roman" w:hAnsi="Times New Roman" w:cs="Times New Roman" w:hint="default"/>
                <w:b/>
                <w:color w:val="auto"/>
                <w:spacing w:val="-10"/>
                <w:sz w:val="24"/>
                <w:szCs w:val="24"/>
              </w:rPr>
              <w:t>青海省气象灾害防御技术中心</w:t>
            </w:r>
          </w:p>
        </w:tc>
        <w:tc>
          <w:tcPr>
            <w:tcW w:w="4373" w:type="dxa"/>
            <w:tcBorders>
              <w:top w:val="single" w:sz="4" w:space="0" w:color="auto"/>
              <w:left w:val="single" w:sz="4" w:space="0" w:color="auto"/>
              <w:bottom w:val="single" w:sz="4" w:space="0" w:color="auto"/>
              <w:right w:val="single" w:sz="4" w:space="0" w:color="auto"/>
            </w:tcBorders>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color w:val="auto"/>
                <w:spacing w:val="-10"/>
                <w:szCs w:val="22"/>
              </w:rPr>
            </w:pPr>
            <w:r>
              <w:rPr>
                <w:rFonts w:ascii="Times New Roman" w:hAnsi="Times New Roman" w:cs="Times New Roman" w:hint="default"/>
                <w:b/>
                <w:color w:val="auto"/>
                <w:spacing w:val="-2"/>
                <w:sz w:val="24"/>
                <w:szCs w:val="24"/>
              </w:rPr>
              <w:t>乙方(盖章)</w:t>
            </w:r>
            <w:r>
              <w:rPr>
                <w:rFonts w:ascii="Times New Roman" w:hAnsi="Times New Roman" w:cs="Times New Roman" w:hint="default"/>
                <w:b/>
                <w:color w:val="auto"/>
                <w:spacing w:val="-10"/>
                <w:sz w:val="24"/>
                <w:szCs w:val="24"/>
              </w:rPr>
              <w:t>：</w:t>
            </w:r>
          </w:p>
          <w:p>
            <w:pPr>
              <w:keepNext w:val="0"/>
              <w:keepLines w:val="0"/>
              <w:suppressLineNumbers w:val="0"/>
              <w:tabs>
                <w:tab w:val="left" w:pos="709"/>
              </w:tabs>
              <w:adjustRightInd w:val="0"/>
              <w:snapToGrid w:val="0"/>
              <w:spacing w:before="0" w:beforeAutospacing="0" w:after="0" w:afterAutospacing="0" w:line="360" w:lineRule="auto"/>
              <w:ind w:left="0" w:right="0"/>
              <w:rPr>
                <w:rFonts w:hint="default"/>
                <w:color w:val="auto"/>
                <w:szCs w:val="22"/>
              </w:rPr>
            </w:pPr>
            <w:r>
              <w:rPr>
                <w:rFonts w:ascii="Times New Roman" w:hAnsi="Times New Roman" w:cs="Times New Roman" w:hint="eastAsia"/>
                <w:b/>
                <w:color w:val="auto"/>
                <w:spacing w:val="-10"/>
                <w:sz w:val="24"/>
                <w:szCs w:val="24"/>
                <w:lang w:val="en-US" w:eastAsia="zh-CN"/>
              </w:rPr>
              <w:t>有限</w:t>
            </w:r>
            <w:r>
              <w:rPr>
                <w:rFonts w:ascii="Times New Roman" w:hAnsi="Times New Roman" w:cs="Times New Roman" w:hint="default"/>
                <w:b/>
                <w:color w:val="auto"/>
                <w:spacing w:val="-10"/>
                <w:sz w:val="24"/>
                <w:szCs w:val="24"/>
              </w:rPr>
              <w:t>公司</w:t>
            </w:r>
          </w:p>
        </w:tc>
      </w:tr>
      <w:tr>
        <w:tblPrEx>
          <w:tblW w:w="9138" w:type="dxa"/>
          <w:tblInd w:w="0" w:type="dxa"/>
          <w:tblCellMar>
            <w:top w:w="0" w:type="dxa"/>
            <w:left w:w="108" w:type="dxa"/>
            <w:bottom w:w="0" w:type="dxa"/>
            <w:right w:w="108" w:type="dxa"/>
          </w:tblCellMar>
        </w:tblPrEx>
        <w:trPr>
          <w:trHeight w:val="485"/>
        </w:trPr>
        <w:tc>
          <w:tcPr>
            <w:tcW w:w="4765" w:type="dxa"/>
            <w:tcBorders>
              <w:top w:val="nil"/>
            </w:tcBorders>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szCs w:val="22"/>
              </w:rPr>
            </w:pPr>
            <w:r>
              <w:rPr>
                <w:rFonts w:ascii="Times New Roman" w:hAnsi="Times New Roman" w:cs="Times New Roman" w:hint="default"/>
                <w:b/>
                <w:bCs/>
                <w:color w:val="auto"/>
                <w:sz w:val="24"/>
                <w:szCs w:val="24"/>
              </w:rPr>
              <w:t>地址</w:t>
            </w:r>
            <w:r>
              <w:rPr>
                <w:rFonts w:ascii="Times New Roman" w:hAnsi="Times New Roman" w:cs="Times New Roman" w:hint="default"/>
                <w:b/>
                <w:bCs/>
                <w:color w:val="auto"/>
                <w:sz w:val="24"/>
                <w:szCs w:val="24"/>
                <w:lang w:eastAsia="zh-CN"/>
              </w:rPr>
              <w:t>：青海省西宁市城西区五四大街19号</w:t>
            </w:r>
          </w:p>
        </w:tc>
        <w:tc>
          <w:tcPr>
            <w:tcW w:w="4373" w:type="dxa"/>
            <w:tcBorders>
              <w:top w:val="nil"/>
            </w:tcBorders>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color w:val="auto"/>
                <w:szCs w:val="22"/>
              </w:rPr>
            </w:pPr>
            <w:r>
              <w:rPr>
                <w:rFonts w:ascii="Times New Roman" w:hAnsi="Times New Roman" w:cs="Times New Roman" w:hint="default"/>
                <w:b/>
                <w:bCs/>
                <w:color w:val="auto"/>
                <w:sz w:val="24"/>
                <w:szCs w:val="24"/>
                <w:lang w:bidi="ar"/>
              </w:rPr>
              <w:t>地址：</w:t>
            </w:r>
          </w:p>
        </w:tc>
      </w:tr>
    </w:tbl>
    <w:p/>
    <w:p w:rsidR="00A77B3E"/>
    <w:p>
      <w:pPr>
        <w:spacing w:line="360" w:lineRule="auto"/>
        <w:ind w:firstLine="3066" w:firstLineChars="1460"/>
        <w:jc w:val="left"/>
        <w:rPr>
          <w:b/>
          <w:bCs/>
          <w:szCs w:val="21"/>
          <w:highlight w:val="none"/>
        </w:rPr>
      </w:pPr>
      <w:bookmarkEnd w:id="67"/>
    </w:p>
    <w:sectPr>
      <w:headerReference w:type="even" r:id="rId10"/>
      <w:headerReference w:type="default" r:id="rId11"/>
      <w:footerReference w:type="default" r:id="rId12"/>
      <w:headerReference w:type="first" r:id="rId13"/>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楷体_GB2312">
    <w:altName w:val="楷体"/>
    <w:panose1 w:val="02010609030101010101"/>
    <w:charset w:val="86"/>
    <w:family w:val="auto"/>
    <w:pitch w:val="default"/>
    <w:sig w:usb0="00000000" w:usb1="00000000" w:usb2="00000000" w:usb3="00000000" w:csb0="00040000" w:csb1="00000000"/>
  </w:font>
  <w:font w:name="方正小标宋简体">
    <w:panose1 w:val="02000000000000000000"/>
    <w:charset w:val="86"/>
    <w:family w:val="auto"/>
    <w:pitch w:val="default"/>
    <w:sig w:usb0="00000001" w:usb1="08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1</w:t>
    </w:r>
    <w:r>
      <w:fldChar w:fldCharType="end"/>
    </w:r>
  </w:p>
  <w:p>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3120"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3" type="#_x0000_t136" style="width:567.75pt;height:51.6pt;margin-top:0;margin-left:0;mso-position-horizontal:center;mso-position-horizontal-relative:margin;mso-position-vertical:center;mso-position-vertical-relative:margin;mso-wrap-style:square;position:absolute;rotation:315;z-index:-251655168" o:allowincell="f" fillcolor="silver" stroked="f">
          <v:fill opacity="0.5"/>
          <v:stroke linestyle="single"/>
          <v:textpath style="font-family:宋体;font-size:8pt" string="中国气象局政府采购中心"/>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4"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B953F87"/>
    <w:multiLevelType w:val="singleLevel"/>
    <w:tmpl w:val="8B953F87"/>
    <w:lvl w:ilvl="0">
      <w:start w:val="1"/>
      <w:numFmt w:val="chineseCounting"/>
      <w:suff w:val="nothing"/>
      <w:lvlText w:val="（%1）"/>
      <w:lvlJc w:val="left"/>
      <w:rPr>
        <w:rFonts w:hint="eastAsia"/>
      </w:rPr>
    </w:lvl>
  </w:abstractNum>
  <w:abstractNum w:abstractNumId="1">
    <w:nsid w:val="A93A279F"/>
    <w:multiLevelType w:val="multilevel"/>
    <w:tmpl w:val="A93A279F"/>
    <w:lvl w:ilvl="0">
      <w:start w:val="1"/>
      <w:numFmt w:val="decimal"/>
      <w:suff w:val="nothing"/>
      <w:lvlText w:val="%1."/>
      <w:lvlJc w:val="left"/>
      <w:pPr>
        <w:ind w:left="360" w:hanging="360"/>
      </w:pPr>
      <w:rPr>
        <w:sz w:val="24"/>
        <w:szCs w:val="24"/>
      </w:rPr>
    </w:lvl>
    <w:lvl w:ilvl="1">
      <w:start w:val="1"/>
      <w:numFmt w:val="decimal"/>
      <w:lvlText w:val="%2."/>
      <w:lvlJc w:val="left"/>
      <w:pPr>
        <w:tabs>
          <w:tab w:val="left" w:pos="1440"/>
        </w:tabs>
        <w:ind w:left="1080" w:hanging="360"/>
      </w:pPr>
      <w:rPr>
        <w:sz w:val="24"/>
        <w:szCs w:val="24"/>
      </w:rPr>
    </w:lvl>
    <w:lvl w:ilvl="2">
      <w:start w:val="1"/>
      <w:numFmt w:val="decimal"/>
      <w:lvlText w:val="%3."/>
      <w:lvlJc w:val="left"/>
      <w:pPr>
        <w:tabs>
          <w:tab w:val="left" w:pos="2160"/>
        </w:tabs>
        <w:ind w:left="1800" w:hanging="360"/>
      </w:pPr>
      <w:rPr>
        <w:sz w:val="24"/>
        <w:szCs w:val="24"/>
      </w:rPr>
    </w:lvl>
    <w:lvl w:ilvl="3">
      <w:start w:val="1"/>
      <w:numFmt w:val="decimal"/>
      <w:lvlText w:val="%4."/>
      <w:lvlJc w:val="left"/>
      <w:pPr>
        <w:tabs>
          <w:tab w:val="left" w:pos="2517"/>
        </w:tabs>
        <w:ind w:left="2520" w:hanging="360"/>
      </w:pPr>
      <w:rPr>
        <w:sz w:val="24"/>
        <w:szCs w:val="24"/>
      </w:rPr>
    </w:lvl>
    <w:lvl w:ilvl="4">
      <w:start w:val="1"/>
      <w:numFmt w:val="decimal"/>
      <w:lvlText w:val="%5."/>
      <w:lvlJc w:val="left"/>
      <w:pPr>
        <w:tabs>
          <w:tab w:val="left" w:pos="3238"/>
        </w:tabs>
        <w:ind w:left="3240" w:hanging="360"/>
      </w:pPr>
      <w:rPr>
        <w:sz w:val="24"/>
        <w:szCs w:val="24"/>
      </w:rPr>
    </w:lvl>
    <w:lvl w:ilvl="5">
      <w:start w:val="1"/>
      <w:numFmt w:val="decimal"/>
      <w:lvlText w:val="%6."/>
      <w:lvlJc w:val="left"/>
      <w:pPr>
        <w:tabs>
          <w:tab w:val="left" w:pos="3958"/>
        </w:tabs>
        <w:ind w:left="3960" w:hanging="360"/>
      </w:pPr>
      <w:rPr>
        <w:sz w:val="24"/>
        <w:szCs w:val="24"/>
      </w:rPr>
    </w:lvl>
    <w:lvl w:ilvl="6">
      <w:start w:val="1"/>
      <w:numFmt w:val="decimal"/>
      <w:lvlText w:val="%7."/>
      <w:lvlJc w:val="left"/>
      <w:pPr>
        <w:tabs>
          <w:tab w:val="left" w:pos="4678"/>
        </w:tabs>
        <w:ind w:left="4680" w:hanging="360"/>
      </w:pPr>
      <w:rPr>
        <w:sz w:val="24"/>
        <w:szCs w:val="24"/>
      </w:rPr>
    </w:lvl>
    <w:lvl w:ilvl="7">
      <w:start w:val="1"/>
      <w:numFmt w:val="decimal"/>
      <w:lvlText w:val="%8."/>
      <w:lvlJc w:val="left"/>
      <w:pPr>
        <w:tabs>
          <w:tab w:val="left" w:pos="5398"/>
        </w:tabs>
        <w:ind w:left="5400" w:hanging="360"/>
      </w:pPr>
      <w:rPr>
        <w:sz w:val="24"/>
        <w:szCs w:val="24"/>
      </w:rPr>
    </w:lvl>
    <w:lvl w:ilvl="8">
      <w:start w:val="1"/>
      <w:numFmt w:val="decimal"/>
      <w:lvlText w:val="%9."/>
      <w:lvlJc w:val="left"/>
      <w:pPr>
        <w:tabs>
          <w:tab w:val="left" w:pos="6118"/>
        </w:tabs>
        <w:ind w:left="6120" w:hanging="360"/>
      </w:pPr>
      <w:rPr>
        <w:sz w:val="24"/>
        <w:szCs w:val="24"/>
      </w:rPr>
    </w:lvl>
  </w:abstractNum>
  <w:abstractNum w:abstractNumId="2">
    <w:nsid w:val="C243BBAF"/>
    <w:multiLevelType w:val="multilevel"/>
    <w:tmpl w:val="C243BBAF"/>
    <w:lvl w:ilvl="0">
      <w:start w:val="1"/>
      <w:numFmt w:val="decimal"/>
      <w:suff w:val="nothing"/>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3">
    <w:nsid w:val="FF9F6696"/>
    <w:multiLevelType w:val="singleLevel"/>
    <w:tmpl w:val="FF9F6696"/>
    <w:lvl w:ilvl="0">
      <w:start w:val="4"/>
      <w:numFmt w:val="chineseCounting"/>
      <w:suff w:val="nothing"/>
      <w:lvlText w:val="%1、"/>
      <w:lvlJc w:val="left"/>
      <w:rPr>
        <w:rFonts w:hint="eastAsia"/>
      </w:rPr>
    </w:lvl>
  </w:abstractNum>
  <w:abstractNum w:abstractNumId="4">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5">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6">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4D5CE7EA"/>
    <w:multiLevelType w:val="singleLevel"/>
    <w:tmpl w:val="4D5CE7EA"/>
    <w:lvl w:ilvl="0">
      <w:start w:val="2"/>
      <w:numFmt w:val="decimal"/>
      <w:suff w:val="nothing"/>
      <w:lvlText w:val="（%1）"/>
      <w:lvlJc w:val="left"/>
    </w:lvl>
  </w:abstractNum>
  <w:abstractNum w:abstractNumId="9">
    <w:nsid w:val="5A245B46"/>
    <w:multiLevelType w:val="multilevel"/>
    <w:tmpl w:val="5A245B46"/>
    <w:lvl w:ilvl="0">
      <w:start w:val="1"/>
      <w:numFmt w:val="decimal"/>
      <w:suff w:val="nothing"/>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0">
    <w:nsid w:val="7FCC07A6"/>
    <w:multiLevelType w:val="singleLevel"/>
    <w:tmpl w:val="7FCC07A6"/>
    <w:lvl w:ilvl="0">
      <w:start w:val="1"/>
      <w:numFmt w:val="decimal"/>
      <w:suff w:val="nothing"/>
      <w:lvlText w:val="（%1）"/>
      <w:lvlJc w:val="left"/>
    </w:lvl>
  </w:abstractNum>
  <w:num w:numId="1">
    <w:abstractNumId w:val="5"/>
  </w:num>
  <w:num w:numId="2">
    <w:abstractNumId w:val="4"/>
  </w:num>
  <w:num w:numId="3">
    <w:abstractNumId w:val="6"/>
  </w:num>
  <w:num w:numId="4">
    <w:abstractNumId w:val="0"/>
  </w:num>
  <w:num w:numId="5">
    <w:abstractNumId w:val="10"/>
  </w:num>
  <w:num w:numId="6">
    <w:abstractNumId w:val="1"/>
  </w:num>
  <w:num w:numId="7">
    <w:abstractNumId w:val="9"/>
  </w:num>
  <w:num w:numId="8">
    <w:abstractNumId w:val="2"/>
  </w:num>
  <w:num w:numId="9">
    <w:abstractNumId w:val="3"/>
  </w:num>
  <w:num w:numId="10">
    <w:abstractNumId w:val="8"/>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8C2"/>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BodyTextFirstIndent2">
    <w:name w:val="Body Text First Indent 2"/>
    <w:basedOn w:val="BodyTextIndent"/>
    <w:next w:val="Normal"/>
    <w:unhideWhenUsed/>
    <w:qFormat/>
    <w:pPr>
      <w:spacing w:after="0"/>
      <w:ind w:left="0" w:firstLine="420" w:leftChars="0" w:firstLineChars="200"/>
    </w:pPr>
    <w:rPr>
      <w:rFonts w:ascii="宋体" w:hAnsi="宋体" w:eastAsiaTheme="minorEastAsia" w:cstheme="minorBidi"/>
      <w:color w:val="000000"/>
      <w:szCs w:val="22"/>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header" Target="header6.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