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华北人影项目（河北）——人工增减雨雪试验示范基地移动式毫米波测云雷达采购项目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ZQCD-26122</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河北省气候中心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华北人影项目（河北）——人工增减雨雪试验示范基地移动式毫米波测云雷达采购项目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ZQCD-26122</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合同签订后150天内交货，180天内完成安装调试并具备现场测试条件。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保定</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2026年07月24日 00:00:00</w:t>
      </w:r>
      <w:bookmarkEnd w:id="26"/>
      <w:r>
        <w:rPr>
          <w:rFonts w:ascii="宋体" w:hint="eastAsia"/>
          <w:szCs w:val="21"/>
          <w:highlight w:val="none"/>
        </w:rPr>
        <w:t>至</w:t>
      </w:r>
      <w:bookmarkStart w:id="27" w:name="项目公告_signUpLastTime"/>
      <w:r>
        <w:rPr>
          <w:rFonts w:ascii="宋体" w:hint="eastAsia"/>
          <w:szCs w:val="21"/>
          <w:highlight w:val="none"/>
        </w:rPr>
        <w:t>2026年07月31日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2026年08月18日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河北省气候中心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黄毅</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0311-81660048</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石家庄市裕华区槐中路253号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河北省气候中心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不允许（仅针对以下产品：移动式毫米波测云雷达 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不允许进口</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设有，核心产品为移动式毫米波测云雷达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必须，以下产品需要提供至投标截止日仍有效的《气象专用技术装备使用许可证》：全固态Ka波段双偏振云雷达气象专用技术装备使用许可证</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 移动式毫米波测云雷达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302.000000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302.000000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销售合同必须包括毫米波测云雷达，每提供1份合同得1分，最多得5分。否则不得分。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针对本项目采购的移动式毫米波测云雷达，承诺每提前10天交货的得0.5分，最多得1分。否则不得分。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针对毫米波测云雷达，每提供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2、除项目经理外至少5人具有2年及以上相关工作经验的，得1分；为本项目派出的技术人员至少3人具有1年及以上相关工作经验的，得0.5分；其他不得分。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针对移动式毫米波测云雷达，测试报告应涵盖高低温工作试验测试、湿热试验测试、盐雾试验测试、霉菌试验测试、电场辐射敏感度测试等内容，每包含项得0.4分，最多得2分。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rsidR="00253CAB">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253CAB">
      <w:pPr>
        <w:spacing w:line="360" w:lineRule="auto"/>
        <w:ind w:firstLine="420" w:firstLineChars="200"/>
        <w:rPr>
          <w:rFonts w:ascii="宋体" w:hAnsi="宋体"/>
          <w:szCs w:val="21"/>
        </w:rPr>
      </w:pPr>
      <w:r>
        <w:rPr>
          <w:rFonts w:ascii="宋体" w:hAnsi="宋体" w:hint="eastAsia"/>
          <w:szCs w:val="21"/>
        </w:rPr>
        <w:t>一、项目概况及总体要求</w:t>
      </w:r>
    </w:p>
    <w:p w:rsidR="00253CAB">
      <w:pPr>
        <w:spacing w:line="360" w:lineRule="auto"/>
        <w:ind w:firstLine="420" w:firstLineChars="200"/>
        <w:rPr>
          <w:rFonts w:ascii="宋体" w:hAnsi="宋体"/>
          <w:szCs w:val="21"/>
        </w:rPr>
      </w:pPr>
      <w:r>
        <w:rPr>
          <w:rFonts w:ascii="宋体" w:hAnsi="宋体" w:hint="eastAsia"/>
          <w:szCs w:val="21"/>
        </w:rPr>
        <w:t>（一）项目概况</w:t>
      </w:r>
    </w:p>
    <w:p w:rsidR="00253CAB">
      <w:pPr>
        <w:spacing w:line="360" w:lineRule="auto"/>
        <w:ind w:firstLine="420" w:firstLineChars="200"/>
      </w:pPr>
      <w:r>
        <w:rPr>
          <w:rFonts w:ascii="宋体" w:hAnsi="宋体" w:hint="eastAsia"/>
          <w:szCs w:val="21"/>
        </w:rPr>
        <w:t>本项目预算为</w:t>
      </w:r>
      <w:r>
        <w:rPr>
          <w:rFonts w:ascii="宋体" w:hAnsi="宋体" w:hint="eastAsia"/>
          <w:szCs w:val="21"/>
        </w:rPr>
        <w:t>302</w:t>
      </w:r>
      <w:r>
        <w:rPr>
          <w:rFonts w:ascii="宋体" w:hAnsi="宋体" w:hint="eastAsia"/>
          <w:szCs w:val="21"/>
        </w:rPr>
        <w:t>万元，采购</w:t>
      </w:r>
      <w:r>
        <w:rPr>
          <w:rFonts w:ascii="宋体" w:hAnsi="宋体"/>
          <w:szCs w:val="21"/>
        </w:rPr>
        <w:t>移动式</w:t>
      </w:r>
      <w:r>
        <w:rPr>
          <w:rFonts w:ascii="宋体" w:hAnsi="宋体"/>
          <w:szCs w:val="21"/>
        </w:rPr>
        <w:t>毫米波测云雷达</w:t>
      </w:r>
      <w:r>
        <w:rPr>
          <w:rFonts w:ascii="宋体" w:hAnsi="宋体" w:hint="eastAsia"/>
          <w:szCs w:val="21"/>
        </w:rPr>
        <w:t>1</w:t>
      </w:r>
      <w:r>
        <w:rPr>
          <w:rFonts w:ascii="宋体" w:hAnsi="宋体" w:hint="eastAsia"/>
          <w:szCs w:val="21"/>
        </w:rPr>
        <w:t>部。</w:t>
      </w:r>
      <w:r>
        <w:t>毫米波测云雷达</w:t>
      </w:r>
      <w:r>
        <w:t>具有更接近小粒子尺度的短波长，能探测从直径为几微米的云粒子到弱降水粒子的范围，穿透云的能力强，对于非降水</w:t>
      </w:r>
      <w:r>
        <w:t>云或者</w:t>
      </w:r>
      <w:r>
        <w:t>很弱的降水云衰减很小，因此更适合用来探测弱云，具有高时空分辨率，能够更精确地反映云的垂直和水平结构，可获取云厚、云高、云层数等宏观参数，云粒子大小、滴谱分布、冰与液态水含量等微观参数，为云的数值模拟和作业条件预报提供可靠的资料和信息。</w:t>
      </w:r>
    </w:p>
    <w:p w:rsidR="00253CAB">
      <w:pPr>
        <w:spacing w:line="360" w:lineRule="auto"/>
        <w:ind w:firstLine="420" w:firstLineChars="200"/>
        <w:rPr>
          <w:rFonts w:ascii="宋体" w:hAnsi="宋体"/>
          <w:szCs w:val="21"/>
        </w:rPr>
      </w:pPr>
      <w:r>
        <w:rPr>
          <w:rFonts w:ascii="宋体" w:hAnsi="宋体" w:hint="eastAsia"/>
          <w:szCs w:val="21"/>
        </w:rPr>
        <w:t>本项目</w:t>
      </w:r>
      <w:r>
        <w:rPr>
          <w:rFonts w:ascii="宋体" w:hAnsi="宋体"/>
          <w:szCs w:val="21"/>
        </w:rPr>
        <w:t>基于华北云系特点及人工影响天气作业基础条件</w:t>
      </w:r>
      <w:r>
        <w:rPr>
          <w:rFonts w:ascii="宋体" w:hAnsi="宋体" w:hint="eastAsia"/>
          <w:szCs w:val="21"/>
        </w:rPr>
        <w:t>和实际需求</w:t>
      </w:r>
      <w:r>
        <w:rPr>
          <w:rFonts w:ascii="宋体" w:hAnsi="宋体"/>
          <w:szCs w:val="21"/>
        </w:rPr>
        <w:t>，</w:t>
      </w:r>
      <w:r>
        <w:rPr>
          <w:rFonts w:ascii="宋体" w:hAnsi="宋体" w:hint="eastAsia"/>
          <w:szCs w:val="21"/>
        </w:rPr>
        <w:t>采购</w:t>
      </w:r>
      <w:r>
        <w:rPr>
          <w:rFonts w:ascii="宋体" w:hAnsi="宋体"/>
          <w:szCs w:val="21"/>
        </w:rPr>
        <w:t>移动式</w:t>
      </w:r>
      <w:r>
        <w:rPr>
          <w:rFonts w:ascii="宋体" w:hAnsi="宋体"/>
          <w:szCs w:val="21"/>
        </w:rPr>
        <w:t>毫米波测云雷达</w:t>
      </w:r>
      <w:r>
        <w:rPr>
          <w:rFonts w:ascii="宋体" w:hAnsi="宋体" w:hint="eastAsia"/>
          <w:szCs w:val="21"/>
        </w:rPr>
        <w:t>1</w:t>
      </w:r>
      <w:r>
        <w:rPr>
          <w:rFonts w:ascii="宋体" w:hAnsi="宋体" w:hint="eastAsia"/>
          <w:szCs w:val="21"/>
        </w:rPr>
        <w:t>部，服务本省云物理观测和人工影响天气业务等。</w:t>
      </w:r>
    </w:p>
    <w:p w:rsidR="00253CAB">
      <w:pPr>
        <w:spacing w:line="360" w:lineRule="auto"/>
        <w:ind w:firstLine="420" w:firstLineChars="200"/>
        <w:rPr>
          <w:rFonts w:ascii="宋体" w:hAnsi="宋体"/>
          <w:szCs w:val="21"/>
        </w:rPr>
      </w:pPr>
      <w:r>
        <w:rPr>
          <w:rFonts w:ascii="宋体" w:hAnsi="宋体" w:hint="eastAsia"/>
          <w:szCs w:val="21"/>
        </w:rPr>
        <w:t>（二）总体要求</w:t>
      </w:r>
    </w:p>
    <w:p w:rsidR="00253CAB">
      <w:pPr>
        <w:spacing w:line="360" w:lineRule="auto"/>
        <w:ind w:firstLine="420" w:firstLineChars="200"/>
        <w:rPr>
          <w:rFonts w:ascii="宋体" w:hAnsi="宋体"/>
          <w:szCs w:val="21"/>
        </w:rPr>
      </w:pPr>
      <w:r>
        <w:rPr>
          <w:rFonts w:ascii="宋体" w:hAnsi="宋体" w:hint="eastAsia"/>
          <w:szCs w:val="21"/>
        </w:rPr>
        <w:t>面向</w:t>
      </w:r>
      <w:r>
        <w:rPr>
          <w:rFonts w:ascii="宋体" w:hAnsi="宋体" w:hint="eastAsia"/>
          <w:szCs w:val="21"/>
        </w:rPr>
        <w:t>提升云宏微观</w:t>
      </w:r>
      <w:r>
        <w:rPr>
          <w:rFonts w:ascii="宋体" w:hAnsi="宋体" w:hint="eastAsia"/>
          <w:szCs w:val="21"/>
        </w:rPr>
        <w:t>特征观测能力的业务需要，同时考虑</w:t>
      </w:r>
      <w:r>
        <w:rPr>
          <w:rFonts w:ascii="宋体" w:hAnsi="宋体" w:cs="Times New Roman" w:hint="eastAsia"/>
          <w:szCs w:val="21"/>
        </w:rPr>
        <w:t>机动部署、灵活补盲、快速应急的布局需求</w:t>
      </w:r>
      <w:r>
        <w:rPr>
          <w:rFonts w:ascii="宋体" w:hAnsi="宋体" w:hint="eastAsia"/>
          <w:szCs w:val="21"/>
        </w:rPr>
        <w:t>，采购</w:t>
      </w:r>
      <w:r>
        <w:rPr>
          <w:rFonts w:ascii="宋体" w:hAnsi="宋体"/>
          <w:szCs w:val="21"/>
        </w:rPr>
        <w:t>移动式</w:t>
      </w:r>
      <w:r>
        <w:rPr>
          <w:rFonts w:ascii="宋体" w:hAnsi="宋体"/>
          <w:szCs w:val="21"/>
        </w:rPr>
        <w:t>毫米波测云雷达</w:t>
      </w:r>
      <w:r>
        <w:rPr>
          <w:rFonts w:ascii="宋体" w:hAnsi="宋体" w:hint="eastAsia"/>
          <w:szCs w:val="21"/>
        </w:rPr>
        <w:t>1</w:t>
      </w:r>
      <w:r>
        <w:rPr>
          <w:rFonts w:ascii="宋体" w:hAnsi="宋体" w:hint="eastAsia"/>
          <w:szCs w:val="21"/>
        </w:rPr>
        <w:t>部。</w:t>
      </w:r>
    </w:p>
    <w:p w:rsidR="00253CAB">
      <w:pPr>
        <w:spacing w:line="360" w:lineRule="auto"/>
        <w:ind w:firstLine="420" w:firstLineChars="200"/>
        <w:rPr>
          <w:rFonts w:ascii="宋体" w:hAnsi="宋体"/>
          <w:szCs w:val="21"/>
        </w:rPr>
      </w:pPr>
      <w:r>
        <w:rPr>
          <w:rFonts w:ascii="宋体" w:hAnsi="宋体" w:hint="eastAsia"/>
          <w:szCs w:val="21"/>
        </w:rPr>
        <w:t>（三）付款方式</w:t>
      </w:r>
    </w:p>
    <w:p w:rsidR="00253CA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支付方式：银行转账</w:t>
      </w:r>
    </w:p>
    <w:p w:rsidR="00253CAB">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货币单位：人民币</w:t>
      </w:r>
    </w:p>
    <w:p w:rsidR="00253CAB">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结算方式：</w:t>
      </w:r>
    </w:p>
    <w:p w:rsidR="00253CAB">
      <w:pPr>
        <w:spacing w:line="360" w:lineRule="auto"/>
        <w:ind w:firstLine="420" w:firstLineChars="200"/>
        <w:rPr>
          <w:rFonts w:ascii="宋体" w:hAnsi="宋体"/>
          <w:szCs w:val="21"/>
        </w:rPr>
      </w:pPr>
      <w:r>
        <w:rPr>
          <w:rFonts w:ascii="宋体" w:hAnsi="宋体"/>
          <w:szCs w:val="21"/>
        </w:rPr>
        <w:t>合同签订</w:t>
      </w:r>
      <w:r>
        <w:rPr>
          <w:rFonts w:ascii="宋体" w:hAnsi="宋体" w:hint="eastAsia"/>
          <w:szCs w:val="21"/>
        </w:rPr>
        <w:t>后</w:t>
      </w:r>
      <w:r>
        <w:rPr>
          <w:rFonts w:ascii="宋体" w:hAnsi="宋体"/>
          <w:szCs w:val="21"/>
        </w:rPr>
        <w:t>，乙方向甲方提供合同总金额</w:t>
      </w:r>
      <w:r>
        <w:rPr>
          <w:rFonts w:ascii="宋体" w:hAnsi="宋体"/>
          <w:szCs w:val="21"/>
        </w:rPr>
        <w:t>5%</w:t>
      </w:r>
      <w:r>
        <w:rPr>
          <w:rFonts w:ascii="宋体" w:hAnsi="宋体"/>
          <w:szCs w:val="21"/>
        </w:rPr>
        <w:t>的</w:t>
      </w:r>
      <w:r>
        <w:rPr>
          <w:rFonts w:ascii="宋体" w:hAnsi="宋体" w:hint="eastAsia"/>
          <w:szCs w:val="21"/>
        </w:rPr>
        <w:t>银行履约保函</w:t>
      </w:r>
      <w:r>
        <w:rPr>
          <w:rFonts w:ascii="宋体" w:hAnsi="宋体"/>
          <w:szCs w:val="21"/>
        </w:rPr>
        <w:t>，设备验收合格一年后，甲方将</w:t>
      </w:r>
      <w:r>
        <w:rPr>
          <w:rFonts w:ascii="宋体" w:hAnsi="宋体" w:hint="eastAsia"/>
          <w:szCs w:val="21"/>
        </w:rPr>
        <w:t>银行履约保函</w:t>
      </w:r>
      <w:r>
        <w:rPr>
          <w:rFonts w:ascii="宋体" w:hAnsi="宋体"/>
          <w:szCs w:val="21"/>
        </w:rPr>
        <w:t>退还乙方。</w:t>
      </w:r>
    </w:p>
    <w:p w:rsidR="00253CAB">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30</w:t>
      </w:r>
      <w:r>
        <w:rPr>
          <w:rFonts w:ascii="宋体" w:hAnsi="宋体" w:hint="eastAsia"/>
          <w:szCs w:val="21"/>
        </w:rPr>
        <w:t>日内支付合同金额的</w:t>
      </w:r>
      <w:r>
        <w:rPr>
          <w:rFonts w:ascii="宋体" w:hAnsi="宋体" w:hint="eastAsia"/>
          <w:szCs w:val="21"/>
        </w:rPr>
        <w:t>30%</w:t>
      </w:r>
      <w:r>
        <w:rPr>
          <w:rFonts w:ascii="宋体" w:hAnsi="宋体" w:hint="eastAsia"/>
          <w:szCs w:val="21"/>
        </w:rPr>
        <w:t>，用于</w:t>
      </w:r>
      <w:r>
        <w:rPr>
          <w:rFonts w:ascii="宋体" w:hAnsi="宋体"/>
          <w:szCs w:val="21"/>
        </w:rPr>
        <w:t>移动式</w:t>
      </w:r>
      <w:r>
        <w:rPr>
          <w:rFonts w:ascii="宋体" w:hAnsi="宋体"/>
          <w:szCs w:val="21"/>
        </w:rPr>
        <w:t>毫米波测云雷达</w:t>
      </w:r>
      <w:r>
        <w:rPr>
          <w:rFonts w:ascii="宋体" w:hAnsi="宋体" w:hint="eastAsia"/>
          <w:szCs w:val="21"/>
        </w:rPr>
        <w:t>的</w:t>
      </w:r>
      <w:r>
        <w:rPr>
          <w:rFonts w:ascii="宋体" w:hAnsi="宋体" w:hint="eastAsia"/>
          <w:szCs w:val="21"/>
        </w:rPr>
        <w:t>生产；设备完成出厂验收后，</w:t>
      </w:r>
      <w:r>
        <w:rPr>
          <w:rFonts w:ascii="宋体" w:hAnsi="宋体"/>
          <w:szCs w:val="21"/>
        </w:rPr>
        <w:t>支付</w:t>
      </w:r>
      <w:r>
        <w:rPr>
          <w:rFonts w:ascii="宋体" w:hAnsi="宋体" w:hint="eastAsia"/>
          <w:szCs w:val="21"/>
        </w:rPr>
        <w:t>合同金额的</w:t>
      </w:r>
      <w:r>
        <w:rPr>
          <w:rFonts w:ascii="宋体" w:hAnsi="宋体" w:hint="eastAsia"/>
          <w:szCs w:val="21"/>
        </w:rPr>
        <w:t>30%</w:t>
      </w:r>
      <w:r>
        <w:rPr>
          <w:rFonts w:ascii="宋体" w:hAnsi="宋体" w:hint="eastAsia"/>
          <w:szCs w:val="21"/>
        </w:rPr>
        <w:t>；设备到达现场，安装调试完毕，现场验收合格后，支付合同金额的</w:t>
      </w:r>
      <w:r>
        <w:rPr>
          <w:rFonts w:ascii="宋体" w:hAnsi="宋体" w:hint="eastAsia"/>
          <w:szCs w:val="21"/>
        </w:rPr>
        <w:t>30%</w:t>
      </w:r>
      <w:r>
        <w:rPr>
          <w:rFonts w:ascii="宋体" w:hAnsi="宋体" w:hint="eastAsia"/>
          <w:szCs w:val="21"/>
        </w:rPr>
        <w:t>；合同验收意见签署完成后支付合同金额的</w:t>
      </w:r>
      <w:r>
        <w:rPr>
          <w:rFonts w:ascii="宋体" w:hAnsi="宋体" w:hint="eastAsia"/>
          <w:szCs w:val="21"/>
        </w:rPr>
        <w:t>10%</w:t>
      </w:r>
      <w:r>
        <w:rPr>
          <w:rFonts w:ascii="宋体" w:hAnsi="宋体" w:hint="eastAsia"/>
          <w:szCs w:val="21"/>
        </w:rPr>
        <w:t>。</w:t>
      </w:r>
    </w:p>
    <w:p w:rsidR="00253CAB">
      <w:pPr>
        <w:spacing w:line="360" w:lineRule="auto"/>
        <w:ind w:firstLine="420" w:firstLineChars="200"/>
        <w:rPr>
          <w:rFonts w:ascii="宋体" w:hAnsi="宋体"/>
          <w:szCs w:val="21"/>
        </w:rPr>
      </w:pPr>
      <w:r>
        <w:rPr>
          <w:rFonts w:ascii="宋体" w:hAnsi="宋体" w:hint="eastAsia"/>
          <w:szCs w:val="21"/>
        </w:rPr>
        <w:t>二、设备需求一览表（见第七章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8757" w:type="dxa"/>
        <w:jc w:val="center"/>
        <w:tblLayout w:type="fixed"/>
        <w:tblCellMar>
          <w:left w:w="0" w:type="dxa"/>
          <w:right w:w="0" w:type="dxa"/>
        </w:tblCellMar>
        <w:tblLook w:val="04A0"/>
      </w:tblPr>
      <w:tblGrid>
        <w:gridCol w:w="845"/>
        <w:gridCol w:w="1694"/>
        <w:gridCol w:w="1068"/>
        <w:gridCol w:w="1455"/>
        <w:gridCol w:w="1166"/>
        <w:gridCol w:w="1455"/>
        <w:gridCol w:w="1074"/>
      </w:tblGrid>
      <w:tr>
        <w:tblPrEx>
          <w:tblW w:w="8757" w:type="dxa"/>
          <w:jc w:val="center"/>
          <w:tblLayout w:type="fixed"/>
          <w:tblCellMar>
            <w:left w:w="0" w:type="dxa"/>
            <w:right w:w="0" w:type="dxa"/>
          </w:tblCellMar>
          <w:tblLook w:val="04A0"/>
        </w:tblPrEx>
        <w:trPr>
          <w:trHeight w:hRule="exact" w:val="634"/>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right="-20"/>
              <w:jc w:val="center"/>
              <w:rPr>
                <w:kern w:val="0"/>
              </w:rPr>
            </w:pPr>
            <w:r>
              <w:rPr>
                <w:rFonts w:ascii="微软雅黑" w:eastAsia="微软雅黑" w:cs="微软雅黑" w:hint="eastAsia"/>
                <w:kern w:val="0"/>
                <w:szCs w:val="21"/>
              </w:rPr>
              <w:t>序号</w:t>
            </w:r>
          </w:p>
        </w:tc>
        <w:tc>
          <w:tcPr>
            <w:tcW w:w="1694"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right="-20"/>
              <w:jc w:val="center"/>
              <w:rPr>
                <w:kern w:val="0"/>
              </w:rPr>
            </w:pPr>
            <w:r>
              <w:rPr>
                <w:rFonts w:ascii="微软雅黑" w:eastAsia="微软雅黑" w:cs="微软雅黑" w:hint="eastAsia"/>
                <w:kern w:val="0"/>
                <w:szCs w:val="21"/>
              </w:rPr>
              <w:t>设备</w:t>
            </w:r>
            <w:r>
              <w:rPr>
                <w:rFonts w:ascii="微软雅黑" w:eastAsia="微软雅黑" w:cs="微软雅黑" w:hint="eastAsia"/>
                <w:spacing w:val="-2"/>
                <w:kern w:val="0"/>
                <w:szCs w:val="21"/>
              </w:rPr>
              <w:t>名</w:t>
            </w:r>
            <w:r>
              <w:rPr>
                <w:rFonts w:ascii="微软雅黑" w:eastAsia="微软雅黑" w:cs="微软雅黑" w:hint="eastAsia"/>
                <w:kern w:val="0"/>
                <w:szCs w:val="21"/>
              </w:rPr>
              <w:t>称</w:t>
            </w:r>
          </w:p>
        </w:tc>
        <w:tc>
          <w:tcPr>
            <w:tcW w:w="1068"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left="301" w:right="-20"/>
              <w:jc w:val="center"/>
              <w:rPr>
                <w:kern w:val="0"/>
              </w:rPr>
            </w:pPr>
            <w:r>
              <w:rPr>
                <w:rFonts w:ascii="微软雅黑" w:eastAsia="微软雅黑" w:cs="微软雅黑" w:hint="eastAsia"/>
                <w:kern w:val="0"/>
                <w:szCs w:val="21"/>
              </w:rPr>
              <w:t>规格</w:t>
            </w:r>
          </w:p>
        </w:tc>
        <w:tc>
          <w:tcPr>
            <w:tcW w:w="1455"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left="177" w:right="-20"/>
              <w:jc w:val="center"/>
              <w:rPr>
                <w:kern w:val="0"/>
              </w:rPr>
            </w:pPr>
            <w:r>
              <w:rPr>
                <w:rFonts w:ascii="微软雅黑" w:eastAsia="微软雅黑" w:cs="微软雅黑" w:hint="eastAsia"/>
                <w:kern w:val="0"/>
                <w:szCs w:val="21"/>
              </w:rPr>
              <w:t>数量</w:t>
            </w:r>
            <w:r>
              <w:rPr>
                <w:rFonts w:ascii="微软雅黑" w:eastAsia="微软雅黑" w:cs="微软雅黑" w:hint="eastAsia"/>
                <w:spacing w:val="-2"/>
                <w:kern w:val="0"/>
                <w:szCs w:val="21"/>
              </w:rPr>
              <w:t>及</w:t>
            </w:r>
            <w:r>
              <w:rPr>
                <w:rFonts w:ascii="微软雅黑" w:eastAsia="微软雅黑" w:cs="微软雅黑" w:hint="eastAsia"/>
                <w:kern w:val="0"/>
                <w:szCs w:val="21"/>
              </w:rPr>
              <w:t>单位</w:t>
            </w:r>
          </w:p>
        </w:tc>
        <w:tc>
          <w:tcPr>
            <w:tcW w:w="1166"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left="244" w:right="-20"/>
              <w:jc w:val="center"/>
              <w:rPr>
                <w:kern w:val="0"/>
              </w:rPr>
            </w:pPr>
            <w:r>
              <w:rPr>
                <w:rFonts w:ascii="微软雅黑" w:eastAsia="微软雅黑" w:cs="微软雅黑" w:hint="eastAsia"/>
                <w:kern w:val="0"/>
                <w:szCs w:val="21"/>
              </w:rPr>
              <w:t>交货期</w:t>
            </w:r>
          </w:p>
        </w:tc>
        <w:tc>
          <w:tcPr>
            <w:tcW w:w="1455"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交货地点</w:t>
            </w:r>
          </w:p>
        </w:tc>
        <w:tc>
          <w:tcPr>
            <w:tcW w:w="1074"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spacing w:before="48"/>
              <w:ind w:right="-20"/>
              <w:jc w:val="center"/>
              <w:rPr>
                <w:rFonts w:ascii="微软雅黑" w:eastAsia="微软雅黑" w:cs="微软雅黑"/>
                <w:kern w:val="0"/>
                <w:szCs w:val="21"/>
              </w:rPr>
            </w:pPr>
            <w:r>
              <w:rPr>
                <w:rFonts w:ascii="微软雅黑" w:eastAsia="微软雅黑" w:cs="微软雅黑" w:hint="eastAsia"/>
                <w:kern w:val="0"/>
                <w:szCs w:val="21"/>
              </w:rPr>
              <w:t>备注</w:t>
            </w:r>
          </w:p>
        </w:tc>
      </w:tr>
      <w:tr>
        <w:tblPrEx>
          <w:tblW w:w="8757" w:type="dxa"/>
          <w:jc w:val="center"/>
          <w:tblLayout w:type="fixed"/>
          <w:tblCellMar>
            <w:left w:w="0" w:type="dxa"/>
            <w:right w:w="0" w:type="dxa"/>
          </w:tblCellMar>
          <w:tblLook w:val="04A0"/>
        </w:tblPrEx>
        <w:trPr>
          <w:trHeight w:hRule="exact" w:val="538"/>
          <w:jc w:val="center"/>
        </w:trPr>
        <w:tc>
          <w:tcPr>
            <w:tcW w:w="845" w:type="dxa"/>
            <w:tcBorders>
              <w:top w:val="single" w:sz="4" w:space="0" w:color="000000"/>
              <w:left w:val="single" w:sz="4" w:space="0" w:color="000000"/>
              <w:bottom w:val="single" w:sz="4" w:space="0" w:color="000000"/>
              <w:right w:val="single" w:sz="4" w:space="0" w:color="000000"/>
            </w:tcBorders>
            <w:vAlign w:val="center"/>
          </w:tcPr>
          <w:p w:rsidR="00253CAB">
            <w:pPr>
              <w:jc w:val="center"/>
              <w:rPr>
                <w:sz w:val="20"/>
                <w:szCs w:val="20"/>
              </w:rPr>
            </w:pPr>
            <w:r>
              <w:rPr>
                <w:sz w:val="20"/>
                <w:szCs w:val="20"/>
              </w:rPr>
              <w:t>1</w:t>
            </w:r>
          </w:p>
        </w:tc>
        <w:tc>
          <w:tcPr>
            <w:tcW w:w="1694"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r>
              <w:rPr>
                <w:rFonts w:hint="eastAsia"/>
                <w:kern w:val="0"/>
                <w:sz w:val="22"/>
              </w:rPr>
              <w:t>移动式</w:t>
            </w:r>
            <w:r>
              <w:rPr>
                <w:rFonts w:hint="eastAsia"/>
                <w:kern w:val="0"/>
                <w:sz w:val="22"/>
              </w:rPr>
              <w:t>毫米波测云雷达</w:t>
            </w:r>
          </w:p>
        </w:tc>
        <w:tc>
          <w:tcPr>
            <w:tcW w:w="1068"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r>
              <w:rPr>
                <w:rFonts w:hint="eastAsia"/>
                <w:kern w:val="0"/>
                <w:sz w:val="22"/>
              </w:rPr>
              <w:t>详见技术性能指标</w:t>
            </w:r>
          </w:p>
        </w:tc>
        <w:tc>
          <w:tcPr>
            <w:tcW w:w="1455"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r>
              <w:rPr>
                <w:rFonts w:hint="eastAsia"/>
                <w:kern w:val="0"/>
                <w:sz w:val="22"/>
              </w:rPr>
              <w:t>1</w:t>
            </w:r>
            <w:r>
              <w:rPr>
                <w:rFonts w:hint="eastAsia"/>
                <w:kern w:val="0"/>
                <w:sz w:val="22"/>
              </w:rPr>
              <w:t>部</w:t>
            </w:r>
          </w:p>
        </w:tc>
        <w:tc>
          <w:tcPr>
            <w:tcW w:w="1166"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r>
              <w:rPr>
                <w:rFonts w:hint="eastAsia"/>
                <w:kern w:val="0"/>
                <w:szCs w:val="21"/>
              </w:rPr>
              <w:t>按照合同实际签订执行</w:t>
            </w:r>
          </w:p>
        </w:tc>
        <w:tc>
          <w:tcPr>
            <w:tcW w:w="1455"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r>
              <w:rPr>
                <w:rFonts w:hint="eastAsia"/>
                <w:kern w:val="0"/>
                <w:szCs w:val="21"/>
              </w:rPr>
              <w:t>保定</w:t>
            </w:r>
          </w:p>
        </w:tc>
        <w:tc>
          <w:tcPr>
            <w:tcW w:w="1074" w:type="dxa"/>
            <w:tcBorders>
              <w:top w:val="single" w:sz="4" w:space="0" w:color="000000"/>
              <w:left w:val="single" w:sz="4" w:space="0" w:color="000000"/>
              <w:bottom w:val="single" w:sz="4" w:space="0" w:color="000000"/>
              <w:right w:val="single" w:sz="4" w:space="0" w:color="000000"/>
            </w:tcBorders>
            <w:vAlign w:val="center"/>
          </w:tcPr>
          <w:p w:rsidR="00253CAB">
            <w:pPr>
              <w:autoSpaceDE w:val="0"/>
              <w:autoSpaceDN w:val="0"/>
              <w:adjustRightInd w:val="0"/>
              <w:jc w:val="center"/>
              <w:rPr>
                <w:sz w:val="20"/>
                <w:szCs w:val="20"/>
              </w:rPr>
            </w:pPr>
          </w:p>
        </w:tc>
      </w:tr>
    </w:tbl>
    <w:p w:rsidR="00253CAB">
      <w:pPr>
        <w:spacing w:line="360" w:lineRule="auto"/>
        <w:ind w:firstLine="420" w:firstLineChars="200"/>
        <w:rPr>
          <w:rFonts w:ascii="宋体" w:hAnsi="宋体"/>
          <w:szCs w:val="21"/>
        </w:rPr>
      </w:pPr>
    </w:p>
    <w:p w:rsidR="00253CAB">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253CAB">
      <w:pPr>
        <w:spacing w:line="360" w:lineRule="auto"/>
        <w:ind w:firstLine="420" w:firstLineChars="200"/>
        <w:jc w:val="center"/>
        <w:rPr>
          <w:rFonts w:ascii="宋体" w:hAnsi="宋体"/>
          <w:szCs w:val="21"/>
        </w:rPr>
      </w:pPr>
      <w:r>
        <w:rPr>
          <w:rFonts w:ascii="宋体" w:hAnsi="宋体" w:hint="eastAsia"/>
          <w:szCs w:val="21"/>
        </w:rPr>
        <w:t>移动式</w:t>
      </w:r>
      <w:r>
        <w:rPr>
          <w:rFonts w:ascii="宋体" w:hAnsi="宋体" w:hint="eastAsia"/>
          <w:szCs w:val="21"/>
        </w:rPr>
        <w:t>毫米波测云雷达</w:t>
      </w:r>
      <w:r>
        <w:rPr>
          <w:rFonts w:ascii="宋体" w:hAnsi="宋体" w:hint="eastAsia"/>
          <w:szCs w:val="21"/>
        </w:rPr>
        <w:t>主要设备组成表</w:t>
      </w:r>
    </w:p>
    <w:tbl>
      <w:tblPr>
        <w:tblStyle w:val="TableNormal"/>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67"/>
        <w:gridCol w:w="1534"/>
        <w:gridCol w:w="841"/>
        <w:gridCol w:w="5436"/>
      </w:tblGrid>
      <w:tr>
        <w:tblPrEx>
          <w:tblW w:w="4875"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Ex>
        <w:trPr>
          <w:trHeight w:val="375"/>
          <w:jc w:val="center"/>
        </w:trPr>
        <w:tc>
          <w:tcPr>
            <w:tcW w:w="967" w:type="dxa"/>
            <w:vAlign w:val="center"/>
          </w:tcPr>
          <w:p w:rsidR="00253CAB">
            <w:pPr>
              <w:jc w:val="center"/>
              <w:rPr>
                <w:b/>
                <w:sz w:val="20"/>
              </w:rPr>
            </w:pPr>
            <w:r>
              <w:rPr>
                <w:b/>
                <w:sz w:val="20"/>
              </w:rPr>
              <w:t>序号</w:t>
            </w:r>
          </w:p>
        </w:tc>
        <w:tc>
          <w:tcPr>
            <w:tcW w:w="1534" w:type="dxa"/>
            <w:vAlign w:val="center"/>
          </w:tcPr>
          <w:p w:rsidR="00253CAB">
            <w:pPr>
              <w:jc w:val="center"/>
              <w:rPr>
                <w:b/>
                <w:sz w:val="20"/>
              </w:rPr>
            </w:pPr>
            <w:r>
              <w:rPr>
                <w:b/>
                <w:sz w:val="20"/>
              </w:rPr>
              <w:t>设备名称</w:t>
            </w:r>
          </w:p>
        </w:tc>
        <w:tc>
          <w:tcPr>
            <w:tcW w:w="841" w:type="dxa"/>
            <w:vAlign w:val="center"/>
          </w:tcPr>
          <w:p w:rsidR="00253CAB">
            <w:pPr>
              <w:jc w:val="center"/>
              <w:rPr>
                <w:b/>
                <w:sz w:val="20"/>
              </w:rPr>
            </w:pPr>
            <w:r>
              <w:rPr>
                <w:b/>
                <w:sz w:val="20"/>
              </w:rPr>
              <w:t>数量</w:t>
            </w:r>
          </w:p>
        </w:tc>
        <w:tc>
          <w:tcPr>
            <w:tcW w:w="5437" w:type="dxa"/>
            <w:vAlign w:val="center"/>
          </w:tcPr>
          <w:p w:rsidR="00253CAB">
            <w:pPr>
              <w:jc w:val="center"/>
              <w:rPr>
                <w:b/>
                <w:sz w:val="20"/>
              </w:rPr>
            </w:pPr>
            <w:r>
              <w:rPr>
                <w:b/>
                <w:sz w:val="20"/>
              </w:rPr>
              <w:t>备注</w:t>
            </w:r>
          </w:p>
        </w:tc>
      </w:tr>
      <w:tr>
        <w:tblPrEx>
          <w:tblW w:w="4875" w:type="pct"/>
          <w:jc w:val="center"/>
          <w:tblLayout w:type="fixed"/>
          <w:tblLook w:val="04A0"/>
        </w:tblPrEx>
        <w:trPr>
          <w:trHeight w:val="285"/>
          <w:jc w:val="center"/>
        </w:trPr>
        <w:tc>
          <w:tcPr>
            <w:tcW w:w="967" w:type="dxa"/>
            <w:vAlign w:val="center"/>
          </w:tcPr>
          <w:p w:rsidR="00253CAB">
            <w:pPr>
              <w:rPr>
                <w:sz w:val="20"/>
              </w:rPr>
            </w:pPr>
            <w:r>
              <w:rPr>
                <w:sz w:val="20"/>
              </w:rPr>
              <w:t>1</w:t>
            </w:r>
          </w:p>
        </w:tc>
        <w:tc>
          <w:tcPr>
            <w:tcW w:w="1534" w:type="dxa"/>
            <w:vAlign w:val="center"/>
          </w:tcPr>
          <w:p w:rsidR="00253CAB">
            <w:pPr>
              <w:rPr>
                <w:sz w:val="20"/>
              </w:rPr>
            </w:pPr>
            <w:r>
              <w:rPr>
                <w:sz w:val="20"/>
              </w:rPr>
              <w:t>雷达系统</w:t>
            </w:r>
          </w:p>
        </w:tc>
        <w:tc>
          <w:tcPr>
            <w:tcW w:w="841" w:type="dxa"/>
            <w:vAlign w:val="center"/>
          </w:tcPr>
          <w:p w:rsidR="00253CAB">
            <w:pPr>
              <w:rPr>
                <w:sz w:val="20"/>
              </w:rPr>
            </w:pPr>
            <w:r>
              <w:rPr>
                <w:sz w:val="20"/>
              </w:rPr>
              <w:t>1</w:t>
            </w:r>
          </w:p>
        </w:tc>
        <w:tc>
          <w:tcPr>
            <w:tcW w:w="5437" w:type="dxa"/>
            <w:vAlign w:val="center"/>
          </w:tcPr>
          <w:p w:rsidR="00253CAB">
            <w:pPr>
              <w:rPr>
                <w:sz w:val="20"/>
              </w:rPr>
            </w:pPr>
            <w:r>
              <w:rPr>
                <w:sz w:val="20"/>
              </w:rPr>
              <w:t>发射系统、接收系统、天</w:t>
            </w:r>
            <w:r>
              <w:rPr>
                <w:sz w:val="20"/>
              </w:rPr>
              <w:t>馈</w:t>
            </w:r>
            <w:r>
              <w:rPr>
                <w:sz w:val="20"/>
              </w:rPr>
              <w:t>系统、信号处理系统</w:t>
            </w:r>
            <w:r>
              <w:rPr>
                <w:rFonts w:hint="eastAsia"/>
                <w:sz w:val="20"/>
              </w:rPr>
              <w:t>等</w:t>
            </w:r>
          </w:p>
        </w:tc>
      </w:tr>
      <w:tr>
        <w:tblPrEx>
          <w:tblW w:w="4875" w:type="pct"/>
          <w:jc w:val="center"/>
          <w:tblLayout w:type="fixed"/>
          <w:tblLook w:val="04A0"/>
        </w:tblPrEx>
        <w:trPr>
          <w:trHeight w:val="285"/>
          <w:jc w:val="center"/>
        </w:trPr>
        <w:tc>
          <w:tcPr>
            <w:tcW w:w="967" w:type="dxa"/>
            <w:vAlign w:val="center"/>
          </w:tcPr>
          <w:p w:rsidR="00253CAB">
            <w:pPr>
              <w:rPr>
                <w:sz w:val="20"/>
              </w:rPr>
            </w:pPr>
            <w:r>
              <w:rPr>
                <w:sz w:val="20"/>
              </w:rPr>
              <w:t>2</w:t>
            </w:r>
          </w:p>
        </w:tc>
        <w:tc>
          <w:tcPr>
            <w:tcW w:w="1534" w:type="dxa"/>
            <w:vAlign w:val="center"/>
          </w:tcPr>
          <w:p w:rsidR="00253CAB">
            <w:pPr>
              <w:rPr>
                <w:sz w:val="20"/>
              </w:rPr>
            </w:pPr>
            <w:r>
              <w:rPr>
                <w:sz w:val="20"/>
              </w:rPr>
              <w:t>方舱</w:t>
            </w:r>
          </w:p>
        </w:tc>
        <w:tc>
          <w:tcPr>
            <w:tcW w:w="841" w:type="dxa"/>
            <w:vAlign w:val="center"/>
          </w:tcPr>
          <w:p w:rsidR="00253CAB">
            <w:pPr>
              <w:rPr>
                <w:sz w:val="20"/>
              </w:rPr>
            </w:pPr>
            <w:r>
              <w:rPr>
                <w:sz w:val="20"/>
              </w:rPr>
              <w:t>1</w:t>
            </w:r>
          </w:p>
        </w:tc>
        <w:tc>
          <w:tcPr>
            <w:tcW w:w="5437" w:type="dxa"/>
            <w:vAlign w:val="center"/>
          </w:tcPr>
          <w:p w:rsidR="00253CAB">
            <w:pPr>
              <w:rPr>
                <w:sz w:val="20"/>
              </w:rPr>
            </w:pPr>
            <w:r>
              <w:rPr>
                <w:sz w:val="20"/>
              </w:rPr>
              <w:t>含运输</w:t>
            </w:r>
            <w:r>
              <w:rPr>
                <w:sz w:val="20"/>
              </w:rPr>
              <w:t>方舱和天线升降系统等</w:t>
            </w:r>
          </w:p>
        </w:tc>
      </w:tr>
      <w:tr>
        <w:tblPrEx>
          <w:tblW w:w="4875" w:type="pct"/>
          <w:jc w:val="center"/>
          <w:tblLayout w:type="fixed"/>
          <w:tblLook w:val="04A0"/>
        </w:tblPrEx>
        <w:trPr>
          <w:trHeight w:val="285"/>
          <w:jc w:val="center"/>
        </w:trPr>
        <w:tc>
          <w:tcPr>
            <w:tcW w:w="967" w:type="dxa"/>
            <w:vAlign w:val="center"/>
          </w:tcPr>
          <w:p w:rsidR="00253CAB">
            <w:pPr>
              <w:rPr>
                <w:sz w:val="20"/>
              </w:rPr>
            </w:pPr>
            <w:r>
              <w:rPr>
                <w:sz w:val="20"/>
              </w:rPr>
              <w:t>3</w:t>
            </w:r>
          </w:p>
        </w:tc>
        <w:tc>
          <w:tcPr>
            <w:tcW w:w="1534" w:type="dxa"/>
            <w:vAlign w:val="center"/>
          </w:tcPr>
          <w:p w:rsidR="00253CAB">
            <w:pPr>
              <w:rPr>
                <w:sz w:val="20"/>
              </w:rPr>
            </w:pPr>
            <w:r>
              <w:rPr>
                <w:sz w:val="20"/>
              </w:rPr>
              <w:t>附属设备</w:t>
            </w:r>
          </w:p>
        </w:tc>
        <w:tc>
          <w:tcPr>
            <w:tcW w:w="841" w:type="dxa"/>
            <w:vAlign w:val="center"/>
          </w:tcPr>
          <w:p w:rsidR="00253CAB">
            <w:pPr>
              <w:rPr>
                <w:sz w:val="20"/>
              </w:rPr>
            </w:pPr>
            <w:r>
              <w:rPr>
                <w:sz w:val="20"/>
              </w:rPr>
              <w:t>1</w:t>
            </w:r>
          </w:p>
        </w:tc>
        <w:tc>
          <w:tcPr>
            <w:tcW w:w="5437" w:type="dxa"/>
            <w:vAlign w:val="center"/>
          </w:tcPr>
          <w:p w:rsidR="00253CAB">
            <w:pPr>
              <w:rPr>
                <w:sz w:val="20"/>
              </w:rPr>
            </w:pPr>
            <w:r>
              <w:rPr>
                <w:sz w:val="20"/>
              </w:rPr>
              <w:t>含</w:t>
            </w:r>
            <w:r>
              <w:rPr>
                <w:rFonts w:hint="eastAsia"/>
                <w:sz w:val="20"/>
              </w:rPr>
              <w:t>发电机、</w:t>
            </w:r>
            <w:r>
              <w:rPr>
                <w:rFonts w:hint="eastAsia"/>
                <w:sz w:val="20"/>
              </w:rPr>
              <w:t>UPS</w:t>
            </w:r>
            <w:r>
              <w:rPr>
                <w:sz w:val="20"/>
              </w:rPr>
              <w:t>供电、通信、防雷等</w:t>
            </w:r>
          </w:p>
        </w:tc>
      </w:tr>
    </w:tbl>
    <w:p w:rsidR="00253CAB">
      <w:pPr>
        <w:spacing w:line="360" w:lineRule="auto"/>
        <w:rPr>
          <w:rFonts w:ascii="宋体" w:eastAsia="宋体" w:hAnsi="宋体"/>
          <w:szCs w:val="21"/>
        </w:rPr>
      </w:pPr>
    </w:p>
    <w:p w:rsidR="00253CAB">
      <w:pPr>
        <w:pStyle w:val="Caption"/>
        <w:rPr>
          <w:rFonts w:ascii="宋体" w:eastAsia="宋体" w:hAnsi="宋体" w:cs="Times New Roman"/>
          <w:sz w:val="21"/>
          <w:szCs w:val="21"/>
        </w:rPr>
      </w:pPr>
      <w:r>
        <w:rPr>
          <w:rFonts w:ascii="宋体" w:eastAsia="宋体" w:hAnsi="宋体" w:cs="Times New Roman" w:hint="eastAsia"/>
          <w:sz w:val="21"/>
          <w:szCs w:val="21"/>
        </w:rPr>
        <w:t>移动式</w:t>
      </w:r>
      <w:r>
        <w:rPr>
          <w:rFonts w:ascii="宋体" w:eastAsia="宋体" w:hAnsi="宋体" w:cs="Times New Roman" w:hint="eastAsia"/>
          <w:sz w:val="21"/>
          <w:szCs w:val="21"/>
        </w:rPr>
        <w:t>毫米波测云雷达</w:t>
      </w:r>
      <w:r>
        <w:rPr>
          <w:rFonts w:ascii="宋体" w:eastAsia="宋体" w:hAnsi="宋体" w:cs="Times New Roman" w:hint="eastAsia"/>
          <w:sz w:val="21"/>
          <w:szCs w:val="21"/>
        </w:rPr>
        <w:t>技术性能指标表</w:t>
      </w:r>
    </w:p>
    <w:p w:rsidR="00253CAB">
      <w:pPr>
        <w:adjustRightInd w:val="0"/>
        <w:snapToGrid w:val="0"/>
        <w:spacing w:line="360" w:lineRule="auto"/>
        <w:jc w:val="center"/>
        <w:rPr>
          <w:rFonts w:eastAsia="黑体"/>
          <w:bCs/>
          <w:szCs w:val="21"/>
        </w:rPr>
      </w:pPr>
      <w:r>
        <w:rPr>
          <w:rFonts w:eastAsia="黑体"/>
          <w:bCs/>
          <w:szCs w:val="21"/>
        </w:rPr>
        <w:t>总体技术指标</w:t>
      </w:r>
    </w:p>
    <w:tbl>
      <w:tblPr>
        <w:tblStyle w:val="TableNormal"/>
        <w:tblW w:w="8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82"/>
        <w:gridCol w:w="1563"/>
        <w:gridCol w:w="5035"/>
      </w:tblGrid>
      <w:tr>
        <w:tblPrEx>
          <w:tblW w:w="8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center"/>
              <w:rPr>
                <w:rFonts w:ascii="宋体" w:eastAsia="宋体" w:hAnsi="宋体"/>
                <w:sz w:val="18"/>
                <w:szCs w:val="18"/>
              </w:rPr>
            </w:pPr>
            <w:r>
              <w:rPr>
                <w:rFonts w:ascii="宋体" w:eastAsia="宋体" w:hAnsi="宋体" w:hint="eastAsia"/>
                <w:sz w:val="18"/>
                <w:szCs w:val="18"/>
              </w:rPr>
              <w:t>项目</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jc w:val="center"/>
              <w:rPr>
                <w:rFonts w:ascii="宋体" w:eastAsia="宋体" w:hAnsi="宋体"/>
                <w:sz w:val="18"/>
                <w:szCs w:val="18"/>
              </w:rPr>
            </w:pPr>
            <w:r>
              <w:rPr>
                <w:rFonts w:ascii="宋体" w:eastAsia="宋体" w:hAnsi="宋体" w:hint="eastAsia"/>
                <w:sz w:val="18"/>
                <w:szCs w:val="18"/>
              </w:rPr>
              <w:t>性能指标</w:t>
            </w:r>
          </w:p>
        </w:tc>
      </w:tr>
      <w:tr>
        <w:tblPrEx>
          <w:tblW w:w="8580" w:type="dxa"/>
          <w:jc w:val="center"/>
          <w:tblLayout w:type="fixed"/>
          <w:tblLook w:val="04A0"/>
        </w:tblPrEx>
        <w:trPr>
          <w:trHeight w:val="90"/>
          <w:jc w:val="center"/>
        </w:trPr>
        <w:tc>
          <w:tcPr>
            <w:tcW w:w="1982"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center"/>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偏振类型</w:t>
            </w: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center"/>
              <w:rPr>
                <w:rFonts w:ascii="宋体" w:eastAsia="宋体" w:hAnsi="宋体"/>
                <w:sz w:val="18"/>
                <w:szCs w:val="18"/>
              </w:rPr>
            </w:pPr>
            <w:r>
              <w:rPr>
                <w:rFonts w:ascii="宋体" w:eastAsia="宋体" w:hAnsi="宋体" w:hint="eastAsia"/>
                <w:sz w:val="18"/>
                <w:szCs w:val="18"/>
              </w:rPr>
              <w:t>扫描型</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jc w:val="left"/>
              <w:rPr>
                <w:rFonts w:ascii="宋体" w:eastAsia="宋体" w:hAnsi="宋体"/>
                <w:sz w:val="18"/>
                <w:szCs w:val="18"/>
              </w:rPr>
            </w:pPr>
            <w:r>
              <w:rPr>
                <w:rFonts w:ascii="宋体" w:eastAsia="宋体" w:hAnsi="宋体" w:hint="eastAsia"/>
                <w:sz w:val="18"/>
                <w:szCs w:val="18"/>
              </w:rPr>
              <w:t>双发双收线偏振（支持单发双收线偏振）</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发射机形式</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全固态</w:t>
            </w:r>
          </w:p>
        </w:tc>
      </w:tr>
      <w:tr>
        <w:tblPrEx>
          <w:tblW w:w="8580" w:type="dxa"/>
          <w:jc w:val="center"/>
          <w:tblLayout w:type="fixed"/>
          <w:tblLook w:val="04A0"/>
        </w:tblPrEx>
        <w:trPr>
          <w:trHeight w:val="90"/>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工作频率</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34.</w:t>
            </w:r>
            <w:r>
              <w:rPr>
                <w:rFonts w:ascii="宋体" w:eastAsia="宋体" w:hAnsi="宋体" w:hint="eastAsia"/>
                <w:sz w:val="18"/>
                <w:szCs w:val="18"/>
              </w:rPr>
              <w:t>7</w:t>
            </w:r>
            <w:r>
              <w:rPr>
                <w:rFonts w:ascii="宋体" w:eastAsia="宋体" w:hAnsi="宋体" w:hint="eastAsia"/>
                <w:sz w:val="18"/>
                <w:szCs w:val="18"/>
              </w:rPr>
              <w:t>5GHz</w:t>
            </w:r>
            <w:r>
              <w:rPr>
                <w:rFonts w:ascii="宋体" w:eastAsia="宋体" w:hAnsi="宋体" w:hint="eastAsia"/>
                <w:sz w:val="18"/>
                <w:szCs w:val="18"/>
              </w:rPr>
              <w:t>～</w:t>
            </w:r>
            <w:r>
              <w:rPr>
                <w:rFonts w:ascii="宋体" w:eastAsia="宋体" w:hAnsi="宋体" w:hint="eastAsia"/>
                <w:sz w:val="18"/>
                <w:szCs w:val="18"/>
              </w:rPr>
              <w:t>35.</w:t>
            </w:r>
            <w:r>
              <w:rPr>
                <w:rFonts w:ascii="宋体" w:eastAsia="宋体" w:hAnsi="宋体" w:hint="eastAsia"/>
                <w:sz w:val="18"/>
                <w:szCs w:val="18"/>
              </w:rPr>
              <w:t>2</w:t>
            </w:r>
            <w:r>
              <w:rPr>
                <w:rFonts w:ascii="宋体" w:eastAsia="宋体" w:hAnsi="宋体" w:hint="eastAsia"/>
                <w:sz w:val="18"/>
                <w:szCs w:val="18"/>
              </w:rPr>
              <w:t>5GHz</w:t>
            </w:r>
            <w:r>
              <w:rPr>
                <w:rFonts w:ascii="宋体" w:eastAsia="宋体" w:hAnsi="宋体" w:hint="eastAsia"/>
                <w:sz w:val="18"/>
                <w:szCs w:val="18"/>
              </w:rPr>
              <w:t>范围频点可选，带宽≤</w:t>
            </w:r>
            <w:r>
              <w:rPr>
                <w:rFonts w:ascii="宋体" w:eastAsia="宋体" w:hAnsi="宋体" w:hint="eastAsia"/>
                <w:sz w:val="18"/>
                <w:szCs w:val="18"/>
              </w:rPr>
              <w:t>200MHz</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整机寿命</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8</w:t>
            </w:r>
            <w:r>
              <w:rPr>
                <w:rFonts w:ascii="宋体" w:eastAsia="宋体" w:hAnsi="宋体" w:hint="eastAsia"/>
                <w:sz w:val="18"/>
                <w:szCs w:val="18"/>
              </w:rPr>
              <w:t>年</w:t>
            </w:r>
          </w:p>
        </w:tc>
      </w:tr>
      <w:tr>
        <w:tblPrEx>
          <w:tblW w:w="8580" w:type="dxa"/>
          <w:jc w:val="center"/>
          <w:tblLayout w:type="fixed"/>
          <w:tblLook w:val="04A0"/>
        </w:tblPrEx>
        <w:trPr>
          <w:trHeight w:val="235"/>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探测距离范围</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警戒≥</w:t>
            </w:r>
            <w:r>
              <w:rPr>
                <w:rFonts w:ascii="宋体" w:eastAsia="宋体" w:hAnsi="宋体" w:hint="eastAsia"/>
                <w:sz w:val="18"/>
                <w:szCs w:val="18"/>
              </w:rPr>
              <w:t>20km</w:t>
            </w:r>
            <w:r>
              <w:rPr>
                <w:rFonts w:ascii="宋体" w:eastAsia="宋体" w:hAnsi="宋体" w:hint="eastAsia"/>
                <w:sz w:val="18"/>
                <w:szCs w:val="18"/>
              </w:rPr>
              <w:t>，定量≥</w:t>
            </w:r>
            <w:r>
              <w:rPr>
                <w:rFonts w:ascii="宋体" w:eastAsia="宋体" w:hAnsi="宋体" w:hint="eastAsia"/>
                <w:sz w:val="18"/>
                <w:szCs w:val="18"/>
              </w:rPr>
              <w:t>15km</w:t>
            </w:r>
          </w:p>
        </w:tc>
      </w:tr>
      <w:tr>
        <w:tblPrEx>
          <w:tblW w:w="8580" w:type="dxa"/>
          <w:jc w:val="center"/>
          <w:tblLayout w:type="fixed"/>
          <w:tblLook w:val="04A0"/>
        </w:tblPrEx>
        <w:trPr>
          <w:trHeight w:val="219"/>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近距离盲区范围</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150m</w:t>
            </w:r>
          </w:p>
        </w:tc>
      </w:tr>
      <w:tr>
        <w:tblPrEx>
          <w:tblW w:w="8580" w:type="dxa"/>
          <w:jc w:val="center"/>
          <w:tblLayout w:type="fixed"/>
          <w:tblLook w:val="04A0"/>
        </w:tblPrEx>
        <w:trPr>
          <w:jc w:val="center"/>
        </w:trPr>
        <w:tc>
          <w:tcPr>
            <w:tcW w:w="1982" w:type="dxa"/>
            <w:vMerge w:val="restart"/>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基数</w:t>
            </w:r>
            <w:r>
              <w:rPr>
                <w:rFonts w:ascii="宋体" w:eastAsia="宋体" w:hAnsi="宋体" w:hint="eastAsia"/>
                <w:sz w:val="18"/>
                <w:szCs w:val="18"/>
              </w:rPr>
              <w:t>据产品</w:t>
            </w:r>
            <w:r>
              <w:rPr>
                <w:rFonts w:ascii="宋体" w:eastAsia="宋体" w:hAnsi="宋体" w:hint="eastAsia"/>
                <w:sz w:val="18"/>
                <w:szCs w:val="18"/>
              </w:rPr>
              <w:t>测量范围</w:t>
            </w: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45</w:t>
            </w:r>
            <w:r>
              <w:rPr>
                <w:rFonts w:ascii="宋体" w:eastAsia="宋体" w:hAnsi="宋体" w:hint="eastAsia"/>
                <w:sz w:val="18"/>
                <w:szCs w:val="18"/>
              </w:rPr>
              <w:t>dBZ</w:t>
            </w:r>
            <w:r>
              <w:rPr>
                <w:rFonts w:ascii="宋体" w:eastAsia="宋体" w:hAnsi="宋体" w:hint="eastAsia"/>
                <w:sz w:val="18"/>
                <w:szCs w:val="18"/>
              </w:rPr>
              <w:t>～</w:t>
            </w:r>
            <w:r>
              <w:rPr>
                <w:rFonts w:ascii="宋体" w:eastAsia="宋体" w:hAnsi="宋体" w:hint="eastAsia"/>
                <w:sz w:val="18"/>
                <w:szCs w:val="18"/>
              </w:rPr>
              <w:t>+35dBZ</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径向速度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-17</w:t>
            </w:r>
            <w:r>
              <w:rPr>
                <w:rFonts w:ascii="宋体" w:eastAsia="宋体" w:hAnsi="宋体" w:hint="eastAsia"/>
                <w:sz w:val="18"/>
                <w:szCs w:val="18"/>
              </w:rPr>
              <w:t>.1</w:t>
            </w:r>
            <w:r>
              <w:rPr>
                <w:rFonts w:ascii="宋体" w:eastAsia="宋体" w:hAnsi="宋体" w:hint="eastAsia"/>
                <w:sz w:val="18"/>
                <w:szCs w:val="18"/>
              </w:rPr>
              <w:t>m/s</w:t>
            </w:r>
            <w:r>
              <w:rPr>
                <w:rFonts w:ascii="宋体" w:eastAsia="宋体" w:hAnsi="宋体" w:hint="eastAsia"/>
                <w:sz w:val="18"/>
                <w:szCs w:val="18"/>
              </w:rPr>
              <w:t>～</w:t>
            </w:r>
            <w:r>
              <w:rPr>
                <w:rFonts w:ascii="宋体" w:eastAsia="宋体" w:hAnsi="宋体" w:hint="eastAsia"/>
                <w:sz w:val="18"/>
                <w:szCs w:val="18"/>
              </w:rPr>
              <w:t>+17</w:t>
            </w:r>
            <w:r>
              <w:rPr>
                <w:rFonts w:ascii="宋体" w:eastAsia="宋体" w:hAnsi="宋体" w:hint="eastAsia"/>
                <w:sz w:val="18"/>
                <w:szCs w:val="18"/>
              </w:rPr>
              <w:t>.1</w:t>
            </w:r>
            <w:r>
              <w:rPr>
                <w:rFonts w:ascii="宋体" w:eastAsia="宋体" w:hAnsi="宋体" w:hint="eastAsia"/>
                <w:sz w:val="18"/>
                <w:szCs w:val="18"/>
              </w:rPr>
              <w:t>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速度谱宽</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0m/s</w:t>
            </w:r>
            <w:r>
              <w:rPr>
                <w:rFonts w:ascii="宋体" w:eastAsia="宋体" w:hAnsi="宋体" w:hint="eastAsia"/>
                <w:sz w:val="18"/>
                <w:szCs w:val="18"/>
              </w:rPr>
              <w:t>～</w:t>
            </w:r>
            <w:r>
              <w:rPr>
                <w:rFonts w:ascii="宋体" w:eastAsia="宋体" w:hAnsi="宋体" w:hint="eastAsia"/>
                <w:sz w:val="18"/>
                <w:szCs w:val="18"/>
              </w:rPr>
              <w:t>8m/s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-8dB</w:t>
            </w:r>
            <w:r>
              <w:rPr>
                <w:rFonts w:ascii="宋体" w:eastAsia="宋体" w:hAnsi="宋体" w:hint="eastAsia"/>
                <w:sz w:val="18"/>
                <w:szCs w:val="18"/>
              </w:rPr>
              <w:t>～</w:t>
            </w:r>
            <w:r>
              <w:rPr>
                <w:rFonts w:ascii="宋体" w:eastAsia="宋体" w:hAnsi="宋体" w:hint="eastAsia"/>
                <w:sz w:val="18"/>
                <w:szCs w:val="18"/>
              </w:rPr>
              <w:t>+8dB</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-180</w:t>
            </w:r>
            <w:r>
              <w:rPr>
                <w:rFonts w:ascii="宋体" w:eastAsia="宋体" w:hAnsi="宋体" w:hint="eastAsia"/>
                <w:sz w:val="18"/>
                <w:szCs w:val="18"/>
              </w:rPr>
              <w:t>°～</w:t>
            </w:r>
            <w:r>
              <w:rPr>
                <w:rFonts w:ascii="宋体" w:eastAsia="宋体" w:hAnsi="宋体" w:hint="eastAsia"/>
                <w:sz w:val="18"/>
                <w:szCs w:val="18"/>
              </w:rPr>
              <w:t>+180</w:t>
            </w:r>
            <w:r>
              <w:rPr>
                <w:rFonts w:ascii="宋体" w:eastAsia="宋体" w:hAnsi="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差分传播相移率</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-10</w:t>
            </w:r>
            <w:r>
              <w:rPr>
                <w:rFonts w:ascii="宋体" w:eastAsia="宋体" w:hAnsi="宋体" w:hint="eastAsia"/>
                <w:sz w:val="18"/>
                <w:szCs w:val="18"/>
              </w:rPr>
              <w:t>°</w:t>
            </w:r>
            <w:r>
              <w:rPr>
                <w:rFonts w:ascii="宋体" w:eastAsia="宋体" w:hAnsi="宋体" w:hint="eastAsia"/>
                <w:sz w:val="18"/>
                <w:szCs w:val="18"/>
              </w:rPr>
              <w:t>/km</w:t>
            </w:r>
            <w:r>
              <w:rPr>
                <w:rFonts w:ascii="宋体" w:eastAsia="宋体" w:hAnsi="宋体" w:hint="eastAsia"/>
                <w:sz w:val="18"/>
                <w:szCs w:val="18"/>
              </w:rPr>
              <w:t>～</w:t>
            </w:r>
            <w:r>
              <w:rPr>
                <w:rFonts w:ascii="宋体" w:eastAsia="宋体" w:hAnsi="宋体" w:hint="eastAsia"/>
                <w:sz w:val="18"/>
                <w:szCs w:val="18"/>
              </w:rPr>
              <w:t>+10</w:t>
            </w:r>
            <w:r>
              <w:rPr>
                <w:rFonts w:ascii="宋体" w:eastAsia="宋体" w:hAnsi="宋体" w:hint="eastAsia"/>
                <w:sz w:val="18"/>
                <w:szCs w:val="18"/>
              </w:rPr>
              <w:t>°</w:t>
            </w:r>
            <w:r>
              <w:rPr>
                <w:rFonts w:ascii="宋体" w:eastAsia="宋体" w:hAnsi="宋体" w:hint="eastAsia"/>
                <w:sz w:val="18"/>
                <w:szCs w:val="18"/>
              </w:rPr>
              <w:t>/km</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线性退极化比</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-30dB</w:t>
            </w:r>
            <w:r>
              <w:rPr>
                <w:rFonts w:ascii="宋体" w:eastAsia="宋体" w:hAnsi="宋体" w:hint="eastAsia"/>
                <w:sz w:val="18"/>
                <w:szCs w:val="18"/>
              </w:rPr>
              <w:t>～</w:t>
            </w:r>
            <w:r>
              <w:rPr>
                <w:rFonts w:ascii="宋体" w:eastAsia="宋体" w:hAnsi="宋体" w:hint="eastAsia"/>
                <w:sz w:val="18"/>
                <w:szCs w:val="18"/>
              </w:rPr>
              <w:t>0dB</w:t>
            </w:r>
            <w:r>
              <w:rPr>
                <w:rFonts w:ascii="宋体" w:eastAsia="宋体" w:hAnsi="宋体" w:hint="eastAsia"/>
                <w:sz w:val="18"/>
                <w:szCs w:val="18"/>
              </w:rPr>
              <w:t>（</w:t>
            </w:r>
            <w:r>
              <w:rPr>
                <w:rFonts w:ascii="宋体" w:eastAsia="宋体" w:hAnsi="宋体" w:hint="eastAsia"/>
                <w:sz w:val="18"/>
                <w:szCs w:val="18"/>
              </w:rPr>
              <w:t>单发双</w:t>
            </w:r>
            <w:r>
              <w:rPr>
                <w:rFonts w:ascii="宋体" w:eastAsia="宋体" w:hAnsi="宋体" w:hint="eastAsia"/>
                <w:sz w:val="18"/>
                <w:szCs w:val="18"/>
              </w:rPr>
              <w:t>收工作模式）</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相关系数</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w:t>
            </w:r>
            <w:r>
              <w:rPr>
                <w:rFonts w:ascii="宋体" w:eastAsia="宋体" w:hAnsi="宋体" w:hint="eastAsia"/>
                <w:sz w:val="18"/>
                <w:szCs w:val="18"/>
              </w:rPr>
              <w:t>～</w:t>
            </w:r>
            <w:r>
              <w:rPr>
                <w:rFonts w:ascii="宋体" w:eastAsia="宋体" w:hAnsi="宋体" w:hint="eastAsia"/>
                <w:sz w:val="18"/>
                <w:szCs w:val="18"/>
              </w:rPr>
              <w:t>1</w:t>
            </w:r>
          </w:p>
        </w:tc>
      </w:tr>
      <w:tr>
        <w:tblPrEx>
          <w:tblW w:w="8580" w:type="dxa"/>
          <w:jc w:val="center"/>
          <w:tblLayout w:type="fixed"/>
          <w:tblLook w:val="04A0"/>
        </w:tblPrEx>
        <w:trPr>
          <w:jc w:val="center"/>
        </w:trPr>
        <w:tc>
          <w:tcPr>
            <w:tcW w:w="1982" w:type="dxa"/>
            <w:vMerge w:val="restart"/>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基数</w:t>
            </w:r>
            <w:r>
              <w:rPr>
                <w:rFonts w:ascii="宋体" w:eastAsia="宋体" w:hAnsi="宋体" w:hint="eastAsia"/>
                <w:sz w:val="18"/>
                <w:szCs w:val="18"/>
              </w:rPr>
              <w:t>据产品</w:t>
            </w:r>
            <w:r>
              <w:rPr>
                <w:rFonts w:ascii="宋体" w:eastAsia="宋体" w:hAnsi="宋体" w:hint="eastAsia"/>
                <w:sz w:val="18"/>
                <w:szCs w:val="18"/>
              </w:rPr>
              <w:t>分辨力</w:t>
            </w: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距离</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30m</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角度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0.4</w:t>
            </w:r>
            <w:r>
              <w:rPr>
                <w:rFonts w:ascii="宋体" w:eastAsia="宋体" w:hAnsi="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0.1dBZ</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径向速度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速度谱宽</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0.1dB</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1</w:t>
            </w:r>
            <w:r>
              <w:rPr>
                <w:rFonts w:ascii="宋体" w:eastAsia="宋体" w:hAnsi="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差分传播相移率</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w:t>
            </w:r>
            <w:r>
              <w:rPr>
                <w:rFonts w:ascii="宋体" w:eastAsia="宋体" w:hAnsi="宋体" w:hint="eastAsia"/>
                <w:sz w:val="18"/>
                <w:szCs w:val="18"/>
              </w:rPr>
              <w:t>°</w:t>
            </w:r>
            <w:r>
              <w:rPr>
                <w:rFonts w:ascii="宋体" w:eastAsia="宋体" w:hAnsi="宋体" w:hint="eastAsia"/>
                <w:sz w:val="18"/>
                <w:szCs w:val="18"/>
              </w:rPr>
              <w:t>/km</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线性退极化比</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0.1dB</w:t>
            </w:r>
            <w:r>
              <w:rPr>
                <w:rFonts w:ascii="宋体" w:eastAsia="宋体" w:hAnsi="宋体" w:hint="eastAsia"/>
                <w:sz w:val="18"/>
                <w:szCs w:val="18"/>
              </w:rPr>
              <w:t>（</w:t>
            </w:r>
            <w:r>
              <w:rPr>
                <w:rFonts w:ascii="宋体" w:eastAsia="宋体" w:hAnsi="宋体" w:hint="eastAsia"/>
                <w:sz w:val="18"/>
                <w:szCs w:val="18"/>
              </w:rPr>
              <w:t>单发双</w:t>
            </w:r>
            <w:r>
              <w:rPr>
                <w:rFonts w:ascii="宋体" w:eastAsia="宋体" w:hAnsi="宋体" w:hint="eastAsia"/>
                <w:sz w:val="18"/>
                <w:szCs w:val="18"/>
              </w:rPr>
              <w:t>收工作模式）</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相关系数</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0.01</w:t>
            </w:r>
          </w:p>
        </w:tc>
      </w:tr>
      <w:tr>
        <w:tblPrEx>
          <w:tblW w:w="8580" w:type="dxa"/>
          <w:jc w:val="center"/>
          <w:tblLayout w:type="fixed"/>
          <w:tblLook w:val="04A0"/>
        </w:tblPrEx>
        <w:trPr>
          <w:trHeight w:val="259"/>
          <w:jc w:val="center"/>
        </w:trPr>
        <w:tc>
          <w:tcPr>
            <w:tcW w:w="1982" w:type="dxa"/>
            <w:vMerge w:val="restart"/>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基数</w:t>
            </w:r>
            <w:r>
              <w:rPr>
                <w:rFonts w:ascii="宋体" w:eastAsia="宋体" w:hAnsi="宋体" w:hint="eastAsia"/>
                <w:sz w:val="18"/>
                <w:szCs w:val="18"/>
              </w:rPr>
              <w:t>据产品</w:t>
            </w:r>
            <w:r>
              <w:rPr>
                <w:rFonts w:ascii="宋体" w:eastAsia="宋体" w:hAnsi="宋体" w:hint="eastAsia"/>
                <w:sz w:val="18"/>
                <w:szCs w:val="18"/>
              </w:rPr>
              <w:t>测量精度</w:t>
            </w:r>
          </w:p>
        </w:tc>
        <w:tc>
          <w:tcPr>
            <w:tcW w:w="1563" w:type="dxa"/>
            <w:tcBorders>
              <w:top w:val="single" w:sz="4" w:space="0" w:color="auto"/>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1dB</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径向速度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0.5m/s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速度谱宽</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0.5m/s</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差分反射率因子</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0.2dB</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5</w:t>
            </w:r>
            <w:r>
              <w:rPr>
                <w:rFonts w:ascii="宋体" w:eastAsia="宋体" w:hAnsi="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差分传播相移率</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0.2</w:t>
            </w:r>
            <w:r>
              <w:rPr>
                <w:rFonts w:ascii="宋体" w:eastAsia="宋体" w:hAnsi="宋体" w:hint="eastAsia"/>
                <w:sz w:val="18"/>
                <w:szCs w:val="18"/>
              </w:rPr>
              <w:t>°</w:t>
            </w:r>
            <w:r>
              <w:rPr>
                <w:rFonts w:ascii="宋体" w:eastAsia="宋体" w:hAnsi="宋体" w:hint="eastAsia"/>
                <w:sz w:val="18"/>
                <w:szCs w:val="18"/>
              </w:rPr>
              <w:t>/km</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线性退极化比</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0.2dB</w:t>
            </w:r>
            <w:r>
              <w:rPr>
                <w:rFonts w:ascii="宋体" w:eastAsia="宋体" w:hAnsi="宋体" w:hint="eastAsia"/>
                <w:sz w:val="18"/>
                <w:szCs w:val="18"/>
              </w:rPr>
              <w:t>（</w:t>
            </w:r>
            <w:r>
              <w:rPr>
                <w:rFonts w:ascii="宋体" w:eastAsia="宋体" w:hAnsi="宋体" w:hint="eastAsia"/>
                <w:sz w:val="18"/>
                <w:szCs w:val="18"/>
              </w:rPr>
              <w:t>单发双</w:t>
            </w:r>
            <w:r>
              <w:rPr>
                <w:rFonts w:ascii="宋体" w:eastAsia="宋体" w:hAnsi="宋体" w:hint="eastAsia"/>
                <w:sz w:val="18"/>
                <w:szCs w:val="18"/>
              </w:rPr>
              <w:t>收工作模式）</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相关系数</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0.01</w:t>
            </w:r>
          </w:p>
        </w:tc>
      </w:tr>
      <w:tr>
        <w:tblPrEx>
          <w:tblW w:w="8580" w:type="dxa"/>
          <w:jc w:val="center"/>
          <w:tblLayout w:type="fixed"/>
          <w:tblLook w:val="04A0"/>
        </w:tblPrEx>
        <w:trPr>
          <w:trHeight w:val="226"/>
          <w:jc w:val="center"/>
        </w:trPr>
        <w:tc>
          <w:tcPr>
            <w:tcW w:w="1982" w:type="dxa"/>
            <w:vMerge w:val="restart"/>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物理量产品测量精度</w:t>
            </w: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云</w:t>
            </w:r>
            <w:r>
              <w:rPr>
                <w:rFonts w:ascii="宋体" w:eastAsia="宋体" w:hAnsi="宋体" w:hint="eastAsia"/>
                <w:sz w:val="18"/>
                <w:szCs w:val="18"/>
              </w:rPr>
              <w:t>底高度</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rPr>
                <w:rFonts w:ascii="宋体" w:eastAsia="宋体" w:hAnsi="宋体"/>
                <w:sz w:val="18"/>
                <w:szCs w:val="18"/>
              </w:rPr>
            </w:pPr>
            <w:r>
              <w:rPr>
                <w:rFonts w:ascii="宋体" w:eastAsia="宋体" w:hAnsi="宋体" w:hint="eastAsia"/>
                <w:sz w:val="18"/>
                <w:szCs w:val="18"/>
              </w:rPr>
              <w:t>云高＜</w:t>
            </w:r>
            <w:r>
              <w:rPr>
                <w:rFonts w:ascii="宋体" w:eastAsia="宋体" w:hAnsi="宋体" w:hint="eastAsia"/>
                <w:sz w:val="18"/>
                <w:szCs w:val="18"/>
              </w:rPr>
              <w:t>1000m</w:t>
            </w:r>
            <w:r>
              <w:rPr>
                <w:rFonts w:ascii="宋体" w:eastAsia="宋体" w:hAnsi="宋体" w:hint="eastAsia"/>
                <w:sz w:val="18"/>
                <w:szCs w:val="18"/>
              </w:rPr>
              <w:t>时，±</w:t>
            </w:r>
            <w:r>
              <w:rPr>
                <w:rFonts w:ascii="宋体" w:eastAsia="宋体" w:hAnsi="宋体" w:hint="eastAsia"/>
                <w:sz w:val="18"/>
                <w:szCs w:val="18"/>
              </w:rPr>
              <w:t>100m</w:t>
            </w:r>
            <w:r>
              <w:rPr>
                <w:rFonts w:ascii="宋体" w:eastAsia="宋体" w:hAnsi="宋体" w:hint="eastAsia"/>
                <w:sz w:val="18"/>
                <w:szCs w:val="18"/>
              </w:rPr>
              <w:t>；云高≥</w:t>
            </w:r>
            <w:r>
              <w:rPr>
                <w:rFonts w:ascii="宋体" w:eastAsia="宋体" w:hAnsi="宋体" w:hint="eastAsia"/>
                <w:sz w:val="18"/>
                <w:szCs w:val="18"/>
              </w:rPr>
              <w:t>1000m</w:t>
            </w:r>
            <w:r>
              <w:rPr>
                <w:rFonts w:ascii="宋体" w:eastAsia="宋体" w:hAnsi="宋体" w:hint="eastAsia"/>
                <w:sz w:val="18"/>
                <w:szCs w:val="18"/>
              </w:rPr>
              <w:t>时，±</w:t>
            </w:r>
            <w:r>
              <w:rPr>
                <w:rFonts w:ascii="宋体" w:eastAsia="宋体" w:hAnsi="宋体" w:hint="eastAsia"/>
                <w:sz w:val="18"/>
                <w:szCs w:val="18"/>
              </w:rPr>
              <w:t>10%</w:t>
            </w:r>
          </w:p>
        </w:tc>
      </w:tr>
      <w:tr>
        <w:tblPrEx>
          <w:tblW w:w="8580" w:type="dxa"/>
          <w:jc w:val="center"/>
          <w:tblLayout w:type="fixed"/>
          <w:tblLook w:val="04A0"/>
        </w:tblPrEx>
        <w:trPr>
          <w:trHeight w:val="187"/>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云顶高度</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rPr>
                <w:rFonts w:ascii="宋体" w:eastAsia="宋体" w:hAnsi="宋体"/>
                <w:sz w:val="18"/>
                <w:szCs w:val="18"/>
              </w:rPr>
            </w:pPr>
            <w:r>
              <w:rPr>
                <w:rFonts w:ascii="宋体" w:eastAsia="宋体" w:hAnsi="宋体" w:hint="eastAsia"/>
                <w:sz w:val="18"/>
                <w:szCs w:val="18"/>
              </w:rPr>
              <w:t>云高＜</w:t>
            </w:r>
            <w:r>
              <w:rPr>
                <w:rFonts w:ascii="宋体" w:eastAsia="宋体" w:hAnsi="宋体" w:hint="eastAsia"/>
                <w:sz w:val="18"/>
                <w:szCs w:val="18"/>
              </w:rPr>
              <w:t>1000m</w:t>
            </w:r>
            <w:r>
              <w:rPr>
                <w:rFonts w:ascii="宋体" w:eastAsia="宋体" w:hAnsi="宋体" w:hint="eastAsia"/>
                <w:sz w:val="18"/>
                <w:szCs w:val="18"/>
              </w:rPr>
              <w:t>时，±</w:t>
            </w:r>
            <w:r>
              <w:rPr>
                <w:rFonts w:ascii="宋体" w:eastAsia="宋体" w:hAnsi="宋体" w:hint="eastAsia"/>
                <w:sz w:val="18"/>
                <w:szCs w:val="18"/>
              </w:rPr>
              <w:t>100m</w:t>
            </w:r>
            <w:r>
              <w:rPr>
                <w:rFonts w:ascii="宋体" w:eastAsia="宋体" w:hAnsi="宋体" w:hint="eastAsia"/>
                <w:sz w:val="18"/>
                <w:szCs w:val="18"/>
              </w:rPr>
              <w:t>；云高≥</w:t>
            </w:r>
            <w:r>
              <w:rPr>
                <w:rFonts w:ascii="宋体" w:eastAsia="宋体" w:hAnsi="宋体" w:hint="eastAsia"/>
                <w:sz w:val="18"/>
                <w:szCs w:val="18"/>
              </w:rPr>
              <w:t>1000m</w:t>
            </w:r>
            <w:r>
              <w:rPr>
                <w:rFonts w:ascii="宋体" w:eastAsia="宋体" w:hAnsi="宋体" w:hint="eastAsia"/>
                <w:sz w:val="18"/>
                <w:szCs w:val="18"/>
              </w:rPr>
              <w:t>时，±</w:t>
            </w:r>
            <w:r>
              <w:rPr>
                <w:rFonts w:ascii="宋体" w:eastAsia="宋体" w:hAnsi="宋体" w:hint="eastAsia"/>
                <w:sz w:val="18"/>
                <w:szCs w:val="18"/>
              </w:rPr>
              <w:t>10%</w:t>
            </w:r>
          </w:p>
        </w:tc>
      </w:tr>
      <w:tr>
        <w:tblPrEx>
          <w:tblW w:w="8580" w:type="dxa"/>
          <w:jc w:val="center"/>
          <w:tblLayout w:type="fixed"/>
          <w:tblLook w:val="04A0"/>
        </w:tblPrEx>
        <w:trPr>
          <w:trHeight w:val="250"/>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云量（扫描型）</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20%</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远距离可探测最小反射率因子（</w:t>
            </w:r>
            <w:r>
              <w:rPr>
                <w:rFonts w:ascii="宋体" w:eastAsia="宋体" w:hAnsi="宋体" w:hint="eastAsia"/>
                <w:sz w:val="18"/>
                <w:szCs w:val="18"/>
              </w:rPr>
              <w:t>256</w:t>
            </w:r>
            <w:r>
              <w:rPr>
                <w:rFonts w:ascii="宋体" w:eastAsia="宋体" w:hAnsi="宋体" w:hint="eastAsia"/>
                <w:sz w:val="18"/>
                <w:szCs w:val="18"/>
              </w:rPr>
              <w:t>点</w:t>
            </w:r>
            <w:r>
              <w:rPr>
                <w:rFonts w:ascii="宋体" w:eastAsia="宋体" w:hAnsi="宋体" w:hint="eastAsia"/>
                <w:sz w:val="18"/>
                <w:szCs w:val="18"/>
              </w:rPr>
              <w:t>FFT</w:t>
            </w:r>
            <w:r>
              <w:rPr>
                <w:rFonts w:ascii="宋体" w:eastAsia="宋体" w:hAnsi="宋体" w:hint="eastAsia"/>
                <w:sz w:val="18"/>
                <w:szCs w:val="18"/>
              </w:rPr>
              <w:t>处理情况下）（不计大气衰减）</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-30dBZ@10km</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系统相位噪声</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0.4</w:t>
            </w:r>
            <w:r>
              <w:rPr>
                <w:rFonts w:ascii="宋体" w:eastAsia="宋体" w:hAnsi="宋体" w:hint="eastAsia"/>
                <w:sz w:val="18"/>
                <w:szCs w:val="18"/>
              </w:rPr>
              <w:t>°</w:t>
            </w:r>
            <w:r>
              <w:rPr>
                <w:rFonts w:ascii="宋体" w:eastAsia="宋体" w:hAnsi="宋体" w:hint="eastAsia"/>
                <w:sz w:val="18"/>
                <w:szCs w:val="18"/>
              </w:rPr>
              <w:t xml:space="preserve"> </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地物杂波抑制比</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 xml:space="preserve">42dB  </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电源要求</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单相</w:t>
            </w:r>
            <w:r>
              <w:rPr>
                <w:rFonts w:ascii="宋体" w:eastAsia="宋体" w:hAnsi="宋体" w:hint="eastAsia"/>
                <w:sz w:val="18"/>
                <w:szCs w:val="18"/>
              </w:rPr>
              <w:t>AC220V</w:t>
            </w:r>
            <w:r>
              <w:rPr>
                <w:rFonts w:ascii="宋体" w:eastAsia="宋体" w:hAnsi="宋体" w:hint="eastAsia"/>
                <w:sz w:val="18"/>
                <w:szCs w:val="18"/>
              </w:rPr>
              <w:t>±</w:t>
            </w:r>
            <w:r>
              <w:rPr>
                <w:rFonts w:ascii="宋体" w:eastAsia="宋体" w:hAnsi="宋体" w:hint="eastAsia"/>
                <w:sz w:val="18"/>
                <w:szCs w:val="18"/>
              </w:rPr>
              <w:t>10%</w:t>
            </w:r>
            <w:r>
              <w:rPr>
                <w:rFonts w:ascii="宋体" w:eastAsia="宋体" w:hAnsi="宋体" w:hint="eastAsia"/>
                <w:sz w:val="18"/>
                <w:szCs w:val="18"/>
              </w:rPr>
              <w:t>，</w:t>
            </w:r>
            <w:r>
              <w:rPr>
                <w:rFonts w:ascii="宋体" w:eastAsia="宋体" w:hAnsi="宋体" w:hint="eastAsia"/>
                <w:sz w:val="18"/>
                <w:szCs w:val="18"/>
              </w:rPr>
              <w:t>50Hz</w:t>
            </w:r>
            <w:r>
              <w:rPr>
                <w:rFonts w:ascii="宋体" w:eastAsia="宋体" w:hAnsi="宋体" w:hint="eastAsia"/>
                <w:sz w:val="18"/>
                <w:szCs w:val="18"/>
              </w:rPr>
              <w:t>±</w:t>
            </w:r>
            <w:r>
              <w:rPr>
                <w:rFonts w:ascii="宋体" w:eastAsia="宋体" w:hAnsi="宋体" w:hint="eastAsia"/>
                <w:sz w:val="18"/>
                <w:szCs w:val="18"/>
              </w:rPr>
              <w:t>5%</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重量（标准配置，参考值）</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2000Kg</w:t>
            </w:r>
            <w:r>
              <w:rPr>
                <w:rFonts w:ascii="宋体" w:eastAsia="宋体" w:hAnsi="宋体" w:hint="eastAsia"/>
                <w:sz w:val="18"/>
                <w:szCs w:val="18"/>
              </w:rPr>
              <w:t>（不包括天线罩）</w:t>
            </w:r>
          </w:p>
        </w:tc>
      </w:tr>
      <w:tr>
        <w:tblPrEx>
          <w:tblW w:w="8580" w:type="dxa"/>
          <w:jc w:val="center"/>
          <w:tblLayout w:type="fixed"/>
          <w:tblLook w:val="04A0"/>
        </w:tblPrEx>
        <w:trPr>
          <w:trHeight w:val="90"/>
          <w:jc w:val="center"/>
        </w:trPr>
        <w:tc>
          <w:tcPr>
            <w:tcW w:w="1982" w:type="dxa"/>
            <w:vMerge w:val="restart"/>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环境要求</w:t>
            </w: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工作温度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室外装置：</w:t>
            </w:r>
            <w:r>
              <w:rPr>
                <w:rFonts w:ascii="宋体" w:eastAsia="宋体" w:hAnsi="宋体" w:hint="eastAsia"/>
                <w:sz w:val="18"/>
                <w:szCs w:val="18"/>
              </w:rPr>
              <w:t>-40</w:t>
            </w:r>
            <w:r>
              <w:rPr>
                <w:rFonts w:ascii="宋体" w:eastAsia="宋体" w:hAnsi="宋体" w:hint="eastAsia"/>
                <w:sz w:val="18"/>
                <w:szCs w:val="18"/>
              </w:rPr>
              <w:t>～</w:t>
            </w:r>
            <w:r>
              <w:rPr>
                <w:rFonts w:ascii="宋体" w:eastAsia="宋体" w:hAnsi="宋体" w:hint="eastAsia"/>
                <w:sz w:val="18"/>
                <w:szCs w:val="18"/>
              </w:rPr>
              <w:t>+50</w:t>
            </w:r>
            <w:r>
              <w:rPr>
                <w:rFonts w:ascii="宋体" w:eastAsia="宋体" w:hAnsi="宋体" w:cs="宋体" w:hint="eastAsia"/>
                <w:sz w:val="18"/>
                <w:szCs w:val="18"/>
              </w:rPr>
              <w:t>℃</w:t>
            </w:r>
            <w:r>
              <w:rPr>
                <w:rFonts w:ascii="宋体" w:eastAsia="宋体" w:hAnsi="宋体" w:hint="eastAsia"/>
                <w:sz w:val="18"/>
                <w:szCs w:val="18"/>
              </w:rPr>
              <w:t>，室内装置：</w:t>
            </w:r>
            <w:r>
              <w:rPr>
                <w:rFonts w:ascii="宋体" w:eastAsia="宋体" w:hAnsi="宋体" w:hint="eastAsia"/>
                <w:sz w:val="18"/>
                <w:szCs w:val="18"/>
              </w:rPr>
              <w:t>0</w:t>
            </w:r>
            <w:r>
              <w:rPr>
                <w:rFonts w:ascii="宋体" w:eastAsia="宋体" w:hAnsi="宋体" w:hint="eastAsia"/>
                <w:sz w:val="18"/>
                <w:szCs w:val="18"/>
              </w:rPr>
              <w:t>～</w:t>
            </w:r>
            <w:r>
              <w:rPr>
                <w:rFonts w:ascii="宋体" w:eastAsia="宋体" w:hAnsi="宋体" w:hint="eastAsia"/>
                <w:sz w:val="18"/>
                <w:szCs w:val="18"/>
              </w:rPr>
              <w:t>+40</w:t>
            </w:r>
            <w:r>
              <w:rPr>
                <w:rFonts w:ascii="宋体" w:eastAsia="宋体" w:hAnsi="宋体" w:cs="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贮存温度</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-50</w:t>
            </w:r>
            <w:r>
              <w:rPr>
                <w:rFonts w:ascii="宋体" w:eastAsia="宋体" w:hAnsi="宋体" w:hint="eastAsia"/>
                <w:sz w:val="18"/>
                <w:szCs w:val="18"/>
              </w:rPr>
              <w:t>～</w:t>
            </w:r>
            <w:r>
              <w:rPr>
                <w:rFonts w:ascii="宋体" w:eastAsia="宋体" w:hAnsi="宋体" w:hint="eastAsia"/>
                <w:sz w:val="18"/>
                <w:szCs w:val="18"/>
              </w:rPr>
              <w:t>+60</w:t>
            </w:r>
            <w:r>
              <w:rPr>
                <w:rFonts w:ascii="宋体" w:eastAsia="宋体" w:hAnsi="宋体" w:cs="宋体" w:hint="eastAsia"/>
                <w:sz w:val="18"/>
                <w:szCs w:val="18"/>
              </w:rPr>
              <w:t>℃</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最大湿度（</w:t>
            </w:r>
            <w:r>
              <w:rPr>
                <w:rFonts w:ascii="宋体" w:eastAsia="宋体" w:hAnsi="宋体" w:hint="eastAsia"/>
                <w:sz w:val="18"/>
                <w:szCs w:val="18"/>
              </w:rPr>
              <w:t>+30</w:t>
            </w:r>
            <w:r>
              <w:rPr>
                <w:rFonts w:ascii="宋体" w:eastAsia="宋体" w:hAnsi="宋体" w:cs="宋体" w:hint="eastAsia"/>
                <w:sz w:val="18"/>
                <w:szCs w:val="18"/>
              </w:rPr>
              <w:t>℃</w:t>
            </w:r>
            <w:r>
              <w:rPr>
                <w:rFonts w:ascii="宋体" w:eastAsia="宋体" w:hAnsi="宋体" w:hint="eastAsia"/>
                <w:sz w:val="18"/>
                <w:szCs w:val="18"/>
              </w:rPr>
              <w:t>）</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室外装置：≤</w:t>
            </w:r>
            <w:r>
              <w:rPr>
                <w:rFonts w:ascii="宋体" w:eastAsia="宋体" w:hAnsi="宋体" w:hint="eastAsia"/>
                <w:sz w:val="18"/>
                <w:szCs w:val="18"/>
              </w:rPr>
              <w:t>95%</w:t>
            </w:r>
            <w:r>
              <w:rPr>
                <w:rFonts w:ascii="宋体" w:eastAsia="宋体" w:hAnsi="宋体" w:hint="eastAsia"/>
                <w:sz w:val="18"/>
                <w:szCs w:val="18"/>
              </w:rPr>
              <w:t>，室内装置：≤</w:t>
            </w:r>
            <w:r>
              <w:rPr>
                <w:rFonts w:ascii="宋体" w:eastAsia="宋体" w:hAnsi="宋体" w:hint="eastAsia"/>
                <w:sz w:val="18"/>
                <w:szCs w:val="18"/>
              </w:rPr>
              <w:t>90%</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抗阵风能力</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60m/s</w:t>
            </w:r>
            <w:r>
              <w:rPr>
                <w:rFonts w:ascii="宋体" w:eastAsia="宋体" w:hAnsi="宋体" w:hint="eastAsia"/>
                <w:sz w:val="18"/>
                <w:szCs w:val="18"/>
              </w:rPr>
              <w:t>不损坏（球形天线罩），</w:t>
            </w:r>
            <w:r>
              <w:rPr>
                <w:rFonts w:ascii="宋体" w:eastAsia="宋体" w:hAnsi="宋体" w:hint="eastAsia"/>
                <w:sz w:val="18"/>
                <w:szCs w:val="18"/>
              </w:rPr>
              <w:t>30m/s</w:t>
            </w:r>
            <w:r>
              <w:rPr>
                <w:rFonts w:ascii="宋体" w:eastAsia="宋体" w:hAnsi="宋体" w:hint="eastAsia"/>
                <w:sz w:val="18"/>
                <w:szCs w:val="18"/>
              </w:rPr>
              <w:t>不损坏（锥形天线罩）</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淋雨</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最大降水强度：</w:t>
            </w:r>
            <w:r>
              <w:rPr>
                <w:rFonts w:ascii="宋体" w:eastAsia="宋体" w:hAnsi="宋体" w:hint="eastAsia"/>
                <w:sz w:val="18"/>
                <w:szCs w:val="18"/>
              </w:rPr>
              <w:t>6mm/min</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抗干扰</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抗电源干扰、电磁干扰、无线电频率干扰等</w:t>
            </w:r>
          </w:p>
        </w:tc>
      </w:tr>
      <w:tr>
        <w:tblPrEx>
          <w:tblW w:w="8580" w:type="dxa"/>
          <w:jc w:val="center"/>
          <w:tblLayout w:type="fixed"/>
          <w:tblLook w:val="04A0"/>
        </w:tblPrEx>
        <w:trPr>
          <w:jc w:val="center"/>
        </w:trPr>
        <w:tc>
          <w:tcPr>
            <w:tcW w:w="1982" w:type="dxa"/>
            <w:vMerge/>
            <w:tcBorders>
              <w:top w:val="single" w:sz="4" w:space="0" w:color="auto"/>
              <w:left w:val="single" w:sz="4" w:space="0" w:color="auto"/>
              <w:bottom w:val="single" w:sz="4" w:space="0" w:color="auto"/>
              <w:right w:val="single" w:sz="4" w:space="0" w:color="auto"/>
            </w:tcBorders>
            <w:vAlign w:val="center"/>
          </w:tcPr>
          <w:p w:rsidR="00253CAB">
            <w:pPr>
              <w:widowControl/>
              <w:jc w:val="left"/>
              <w:rPr>
                <w:rFonts w:ascii="宋体" w:eastAsia="宋体" w:hAnsi="宋体"/>
                <w:sz w:val="18"/>
                <w:szCs w:val="18"/>
              </w:rPr>
            </w:pPr>
          </w:p>
        </w:tc>
        <w:tc>
          <w:tcPr>
            <w:tcW w:w="1563"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其它</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防水、防盐雾</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整机功耗（峰值）</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3kW</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平均无故障时间（</w:t>
            </w:r>
            <w:r>
              <w:rPr>
                <w:rFonts w:ascii="宋体" w:eastAsia="宋体" w:hAnsi="宋体" w:hint="eastAsia"/>
                <w:sz w:val="18"/>
                <w:szCs w:val="18"/>
              </w:rPr>
              <w:t>MTBF</w:t>
            </w:r>
            <w:r>
              <w:rPr>
                <w:rFonts w:ascii="宋体" w:eastAsia="宋体" w:hAnsi="宋体" w:hint="eastAsia"/>
                <w:sz w:val="18"/>
                <w:szCs w:val="18"/>
              </w:rPr>
              <w:t>）</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2000h</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平均故障修复时间（</w:t>
            </w:r>
            <w:r>
              <w:rPr>
                <w:rFonts w:ascii="宋体" w:eastAsia="宋体" w:hAnsi="宋体" w:hint="eastAsia"/>
                <w:sz w:val="18"/>
                <w:szCs w:val="18"/>
              </w:rPr>
              <w:t>MTTR</w:t>
            </w:r>
            <w:r>
              <w:rPr>
                <w:rFonts w:ascii="宋体" w:eastAsia="宋体" w:hAnsi="宋体" w:hint="eastAsia"/>
                <w:sz w:val="18"/>
                <w:szCs w:val="18"/>
              </w:rPr>
              <w:t>）</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0.5h</w:t>
            </w:r>
          </w:p>
        </w:tc>
      </w:tr>
      <w:tr>
        <w:tblPrEx>
          <w:tblW w:w="8580" w:type="dxa"/>
          <w:jc w:val="center"/>
          <w:tblLayout w:type="fixed"/>
          <w:tblLook w:val="04A0"/>
        </w:tblPrEx>
        <w:trPr>
          <w:trHeight w:val="90"/>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架设方式</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可固定架设也可移动式</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微波辐射安全性</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雷达微波漏能功率密度应符合</w:t>
            </w:r>
            <w:r>
              <w:rPr>
                <w:rFonts w:ascii="宋体" w:eastAsia="宋体" w:hAnsi="宋体" w:hint="eastAsia"/>
                <w:sz w:val="18"/>
                <w:szCs w:val="18"/>
              </w:rPr>
              <w:t>GJB5313-2004</w:t>
            </w:r>
            <w:r>
              <w:rPr>
                <w:rFonts w:ascii="宋体" w:eastAsia="宋体" w:hAnsi="宋体" w:hint="eastAsia"/>
                <w:sz w:val="18"/>
                <w:szCs w:val="18"/>
              </w:rPr>
              <w:t>的要求</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安全标识</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rPr>
                <w:rFonts w:ascii="宋体" w:eastAsia="宋体" w:hAnsi="宋体"/>
                <w:sz w:val="18"/>
                <w:szCs w:val="18"/>
              </w:rPr>
            </w:pPr>
            <w:r>
              <w:rPr>
                <w:rFonts w:ascii="宋体" w:eastAsia="宋体" w:hAnsi="宋体" w:hint="eastAsia"/>
                <w:sz w:val="18"/>
                <w:szCs w:val="18"/>
              </w:rPr>
              <w:t>微波泄漏部位、机械转动部位、危险电压部位等应有清晰、醒目的安全警示标记</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互换性</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雷达备份零件、部件、组件和功能单元均能在现场更换，无需调整即可正常工作</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电磁兼容性</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雷达具有市电滤波和防电磁干扰的能力，设置静电屏蔽、电磁屏蔽，模拟地线、数字地线和安全地线严格分开，油机地线和避雷地线要单独接地</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安全性</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雷达应有安全性设计，确保雷达按规定条件进行制造、安装、运输、贮存、使用和维护时的人身安全和设备安全</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防雷要求</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接地电阻应不大于</w:t>
            </w:r>
            <w:r>
              <w:rPr>
                <w:rFonts w:ascii="宋体" w:eastAsia="宋体" w:hAnsi="宋体" w:hint="eastAsia"/>
                <w:sz w:val="18"/>
                <w:szCs w:val="18"/>
              </w:rPr>
              <w:t>4</w:t>
            </w:r>
            <w:r>
              <w:rPr>
                <w:rFonts w:ascii="宋体" w:eastAsia="宋体" w:hAnsi="宋体" w:hint="eastAsia"/>
                <w:sz w:val="18"/>
                <w:szCs w:val="18"/>
              </w:rPr>
              <w:t>Ω，雷达电源线</w:t>
            </w:r>
            <w:r>
              <w:rPr>
                <w:rFonts w:ascii="宋体" w:eastAsia="宋体" w:hAnsi="宋体" w:hint="eastAsia"/>
                <w:sz w:val="18"/>
                <w:szCs w:val="18"/>
              </w:rPr>
              <w:t>输入端应加装</w:t>
            </w:r>
            <w:r>
              <w:rPr>
                <w:rFonts w:ascii="宋体" w:eastAsia="宋体" w:hAnsi="宋体" w:hint="eastAsia"/>
                <w:sz w:val="18"/>
                <w:szCs w:val="18"/>
              </w:rPr>
              <w:t>防雷滤波器，室外电缆一律采用屏蔽电缆或光缆</w:t>
            </w:r>
          </w:p>
        </w:tc>
      </w:tr>
      <w:tr>
        <w:tblPrEx>
          <w:tblW w:w="8580" w:type="dxa"/>
          <w:jc w:val="center"/>
          <w:tblLayout w:type="fixed"/>
          <w:tblLook w:val="04A0"/>
        </w:tblPrEx>
        <w:trPr>
          <w:trHeight w:val="90"/>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绝缘性</w:t>
            </w:r>
          </w:p>
        </w:tc>
        <w:tc>
          <w:tcPr>
            <w:tcW w:w="5035" w:type="dxa"/>
            <w:tcBorders>
              <w:top w:val="single" w:sz="4" w:space="0" w:color="auto"/>
              <w:left w:val="single" w:sz="4" w:space="0" w:color="auto"/>
              <w:bottom w:val="single" w:sz="4" w:space="0" w:color="auto"/>
              <w:right w:val="single" w:sz="4" w:space="0" w:color="auto"/>
            </w:tcBorders>
          </w:tcPr>
          <w:p w:rsidR="00253CAB">
            <w:pPr>
              <w:adjustRightInd w:val="0"/>
              <w:snapToGrid w:val="0"/>
              <w:rPr>
                <w:rFonts w:ascii="宋体" w:eastAsia="宋体" w:hAnsi="宋体"/>
                <w:sz w:val="18"/>
                <w:szCs w:val="18"/>
              </w:rPr>
            </w:pPr>
            <w:r>
              <w:rPr>
                <w:rFonts w:ascii="宋体" w:eastAsia="宋体" w:hAnsi="宋体" w:hint="eastAsia"/>
                <w:sz w:val="18"/>
                <w:szCs w:val="18"/>
              </w:rPr>
              <w:t>雷达各初级电源与大地间绝缘电阻应大于</w:t>
            </w:r>
            <w:r>
              <w:rPr>
                <w:rFonts w:ascii="宋体" w:eastAsia="宋体" w:hAnsi="宋体" w:hint="eastAsia"/>
                <w:sz w:val="18"/>
                <w:szCs w:val="18"/>
              </w:rPr>
              <w:t>1M</w:t>
            </w:r>
            <w:r>
              <w:rPr>
                <w:rFonts w:ascii="宋体" w:eastAsia="宋体" w:hAnsi="宋体" w:hint="eastAsia"/>
                <w:sz w:val="18"/>
                <w:szCs w:val="18"/>
              </w:rPr>
              <w:t>Ω</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外观质量</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雷达整体形象应协调一致，外表面应无凹痕、碰伤、裂痕和变形等缺陷；</w:t>
            </w:r>
            <w:r>
              <w:rPr>
                <w:rFonts w:ascii="宋体" w:eastAsia="宋体" w:hAnsi="宋体" w:hint="eastAsia"/>
                <w:sz w:val="18"/>
                <w:szCs w:val="18"/>
              </w:rPr>
              <w:t>镀</w:t>
            </w:r>
            <w:r>
              <w:rPr>
                <w:rFonts w:ascii="宋体" w:eastAsia="宋体" w:hAnsi="宋体" w:hint="eastAsia"/>
                <w:sz w:val="18"/>
                <w:szCs w:val="18"/>
              </w:rPr>
              <w:t>涂层</w:t>
            </w:r>
            <w:r>
              <w:rPr>
                <w:rFonts w:ascii="宋体" w:eastAsia="宋体" w:hAnsi="宋体" w:hint="eastAsia"/>
                <w:sz w:val="18"/>
                <w:szCs w:val="18"/>
              </w:rPr>
              <w:t>不</w:t>
            </w:r>
            <w:r>
              <w:rPr>
                <w:rFonts w:ascii="宋体" w:eastAsia="宋体" w:hAnsi="宋体" w:hint="eastAsia"/>
                <w:sz w:val="18"/>
                <w:szCs w:val="18"/>
              </w:rPr>
              <w:t>起泡、龟裂和脱落；金属零件无锈蚀、毛刺及其它机械损伤</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标记与代号</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机箱、插件和线缆等应有统一的编号和标记，符合国家标准；印制板、主要元器件等应在相应位置印有与电路图中项目代号相符的标记；</w:t>
            </w:r>
          </w:p>
          <w:p w:rsidR="00253CAB">
            <w:pPr>
              <w:adjustRightInd w:val="0"/>
              <w:snapToGrid w:val="0"/>
              <w:rPr>
                <w:rFonts w:ascii="宋体" w:eastAsia="宋体" w:hAnsi="宋体"/>
                <w:sz w:val="18"/>
                <w:szCs w:val="18"/>
              </w:rPr>
            </w:pPr>
            <w:r>
              <w:rPr>
                <w:rFonts w:ascii="宋体" w:eastAsia="宋体" w:hAnsi="宋体" w:hint="eastAsia"/>
                <w:sz w:val="18"/>
                <w:szCs w:val="18"/>
              </w:rPr>
              <w:t>标记的文字、字母和符号应完整、规范、清晰和牢固，且便于识读</w:t>
            </w:r>
          </w:p>
        </w:tc>
      </w:tr>
      <w:tr>
        <w:tblPrEx>
          <w:tblW w:w="8580" w:type="dxa"/>
          <w:jc w:val="center"/>
          <w:tblLayout w:type="fixed"/>
          <w:tblLook w:val="04A0"/>
        </w:tblPrEx>
        <w:trPr>
          <w:jc w:val="center"/>
        </w:trPr>
        <w:tc>
          <w:tcPr>
            <w:tcW w:w="3545"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铭牌内容</w:t>
            </w:r>
          </w:p>
        </w:tc>
        <w:tc>
          <w:tcPr>
            <w:tcW w:w="5035"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雷达的名称、型号（代号）；出厂编号；出厂年月；制造厂商标</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bCs/>
          <w:szCs w:val="21"/>
        </w:rPr>
        <w:t>天线技术性能指标表</w:t>
      </w:r>
    </w:p>
    <w:tbl>
      <w:tblPr>
        <w:tblStyle w:val="TableNormal"/>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87"/>
        <w:gridCol w:w="1787"/>
        <w:gridCol w:w="4981"/>
      </w:tblGrid>
      <w:tr>
        <w:tblPrEx>
          <w:tblW w:w="8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52"/>
          <w:jc w:val="center"/>
        </w:trPr>
        <w:tc>
          <w:tcPr>
            <w:tcW w:w="3574" w:type="dxa"/>
            <w:gridSpan w:val="2"/>
            <w:vAlign w:val="center"/>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4981" w:type="dxa"/>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天线形式</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卡塞格伦天线</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频率</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3</w:t>
            </w:r>
            <w:r>
              <w:rPr>
                <w:rFonts w:ascii="宋体" w:eastAsia="宋体" w:hAnsi="宋体" w:hint="eastAsia"/>
                <w:sz w:val="18"/>
                <w:szCs w:val="18"/>
              </w:rPr>
              <w:t>4.5</w:t>
            </w:r>
            <w:r>
              <w:rPr>
                <w:rFonts w:ascii="宋体" w:eastAsia="宋体" w:hAnsi="宋体"/>
                <w:sz w:val="18"/>
                <w:szCs w:val="18"/>
              </w:rPr>
              <w:t>GHz</w:t>
            </w:r>
            <w:r>
              <w:rPr>
                <w:rFonts w:ascii="宋体" w:eastAsia="宋体" w:hAnsi="宋体" w:hint="eastAsia"/>
                <w:sz w:val="18"/>
                <w:szCs w:val="18"/>
              </w:rPr>
              <w:t>～</w:t>
            </w:r>
            <w:r>
              <w:rPr>
                <w:rFonts w:ascii="宋体" w:eastAsia="宋体" w:hAnsi="宋体"/>
                <w:sz w:val="18"/>
                <w:szCs w:val="18"/>
              </w:rPr>
              <w:t>3</w:t>
            </w:r>
            <w:r>
              <w:rPr>
                <w:rFonts w:ascii="宋体" w:eastAsia="宋体" w:hAnsi="宋体" w:hint="eastAsia"/>
                <w:sz w:val="18"/>
                <w:szCs w:val="18"/>
              </w:rPr>
              <w:t>5.5</w:t>
            </w:r>
            <w:r>
              <w:rPr>
                <w:rFonts w:ascii="宋体" w:eastAsia="宋体" w:hAnsi="宋体"/>
                <w:sz w:val="18"/>
                <w:szCs w:val="18"/>
              </w:rPr>
              <w:t>GHz</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极化方式</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线性水平、垂直极化</w:t>
            </w:r>
          </w:p>
        </w:tc>
      </w:tr>
      <w:tr>
        <w:tblPrEx>
          <w:tblW w:w="8555" w:type="dxa"/>
          <w:jc w:val="center"/>
          <w:tblLayout w:type="fixed"/>
          <w:tblLook w:val="04A0"/>
        </w:tblPrEx>
        <w:trPr>
          <w:trHeight w:val="255"/>
          <w:jc w:val="center"/>
        </w:trPr>
        <w:tc>
          <w:tcPr>
            <w:tcW w:w="3574" w:type="dxa"/>
            <w:gridSpan w:val="2"/>
            <w:tcBorders>
              <w:top w:val="single" w:sz="4" w:space="0" w:color="auto"/>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天线有效口径</w:t>
            </w:r>
          </w:p>
        </w:tc>
        <w:tc>
          <w:tcPr>
            <w:tcW w:w="4981" w:type="dxa"/>
            <w:tcBorders>
              <w:top w:val="single" w:sz="4" w:space="0" w:color="auto"/>
              <w:left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1.</w:t>
            </w:r>
            <w:r>
              <w:rPr>
                <w:rFonts w:ascii="宋体" w:eastAsia="宋体" w:hAnsi="宋体" w:hint="eastAsia"/>
                <w:sz w:val="18"/>
                <w:szCs w:val="18"/>
              </w:rPr>
              <w:t>8</w:t>
            </w:r>
            <w:r>
              <w:rPr>
                <w:rFonts w:ascii="宋体" w:eastAsia="宋体" w:hAnsi="宋体"/>
                <w:sz w:val="18"/>
                <w:szCs w:val="18"/>
              </w:rPr>
              <w:t>m</w:t>
            </w:r>
          </w:p>
        </w:tc>
      </w:tr>
      <w:tr>
        <w:tblPrEx>
          <w:tblW w:w="8555" w:type="dxa"/>
          <w:jc w:val="center"/>
          <w:tblLayout w:type="fixed"/>
          <w:tblLook w:val="04A0"/>
        </w:tblPrEx>
        <w:trPr>
          <w:trHeight w:val="275"/>
          <w:jc w:val="center"/>
        </w:trPr>
        <w:tc>
          <w:tcPr>
            <w:tcW w:w="3574" w:type="dxa"/>
            <w:gridSpan w:val="2"/>
            <w:tcBorders>
              <w:top w:val="single" w:sz="4" w:space="0" w:color="auto"/>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水平波束宽度（</w:t>
            </w:r>
            <w:r>
              <w:rPr>
                <w:rFonts w:ascii="宋体" w:eastAsia="宋体" w:hAnsi="宋体"/>
                <w:sz w:val="18"/>
                <w:szCs w:val="18"/>
              </w:rPr>
              <w:t>3dB</w:t>
            </w:r>
            <w:r>
              <w:rPr>
                <w:rFonts w:ascii="宋体" w:eastAsia="宋体" w:hAnsi="宋体"/>
                <w:sz w:val="18"/>
                <w:szCs w:val="18"/>
              </w:rPr>
              <w:t>）</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≤0.</w:t>
            </w:r>
            <w:r>
              <w:rPr>
                <w:rFonts w:ascii="宋体" w:eastAsia="宋体" w:hAnsi="宋体" w:hint="eastAsia"/>
                <w:sz w:val="18"/>
                <w:szCs w:val="18"/>
              </w:rPr>
              <w:t>4</w:t>
            </w:r>
            <w:r>
              <w:rPr>
                <w:rFonts w:ascii="宋体" w:eastAsia="宋体" w:hAnsi="宋体"/>
                <w:sz w:val="18"/>
                <w:szCs w:val="18"/>
              </w:rPr>
              <w:t>°</w:t>
            </w:r>
          </w:p>
        </w:tc>
      </w:tr>
      <w:tr>
        <w:tblPrEx>
          <w:tblW w:w="8555" w:type="dxa"/>
          <w:jc w:val="center"/>
          <w:tblLayout w:type="fixed"/>
          <w:tblLook w:val="04A0"/>
        </w:tblPrEx>
        <w:trPr>
          <w:jc w:val="center"/>
        </w:trPr>
        <w:tc>
          <w:tcPr>
            <w:tcW w:w="3574" w:type="dxa"/>
            <w:gridSpan w:val="2"/>
            <w:tcBorders>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垂直波束宽度（</w:t>
            </w:r>
            <w:r>
              <w:rPr>
                <w:rFonts w:ascii="宋体" w:eastAsia="宋体" w:hAnsi="宋体"/>
                <w:sz w:val="18"/>
                <w:szCs w:val="18"/>
              </w:rPr>
              <w:t>3dB</w:t>
            </w:r>
            <w:r>
              <w:rPr>
                <w:rFonts w:ascii="宋体" w:eastAsia="宋体" w:hAnsi="宋体"/>
                <w:sz w:val="18"/>
                <w:szCs w:val="18"/>
              </w:rPr>
              <w:t>）</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≤0.</w:t>
            </w:r>
            <w:r>
              <w:rPr>
                <w:rFonts w:ascii="宋体" w:eastAsia="宋体" w:hAnsi="宋体" w:hint="eastAsia"/>
                <w:sz w:val="18"/>
                <w:szCs w:val="18"/>
              </w:rPr>
              <w:t>4</w:t>
            </w:r>
            <w:r>
              <w:rPr>
                <w:rFonts w:ascii="宋体" w:eastAsia="宋体" w:hAnsi="宋体"/>
                <w:sz w:val="18"/>
                <w:szCs w:val="18"/>
              </w:rPr>
              <w:t>°</w:t>
            </w:r>
          </w:p>
        </w:tc>
      </w:tr>
      <w:tr>
        <w:tblPrEx>
          <w:tblW w:w="8555" w:type="dxa"/>
          <w:jc w:val="center"/>
          <w:tblLayout w:type="fixed"/>
          <w:tblLook w:val="04A0"/>
        </w:tblPrEx>
        <w:trPr>
          <w:jc w:val="center"/>
        </w:trPr>
        <w:tc>
          <w:tcPr>
            <w:tcW w:w="3574" w:type="dxa"/>
            <w:gridSpan w:val="2"/>
            <w:tcBorders>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3dB</w:t>
            </w:r>
            <w:r>
              <w:rPr>
                <w:rFonts w:ascii="宋体" w:eastAsia="宋体" w:hAnsi="宋体"/>
                <w:sz w:val="18"/>
                <w:szCs w:val="18"/>
              </w:rPr>
              <w:t>波束宽度差</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≤0.0</w:t>
            </w:r>
            <w:r>
              <w:rPr>
                <w:rFonts w:ascii="宋体" w:eastAsia="宋体" w:hAnsi="宋体" w:hint="eastAsia"/>
                <w:sz w:val="18"/>
                <w:szCs w:val="18"/>
              </w:rPr>
              <w:t>5</w:t>
            </w:r>
            <w:r>
              <w:rPr>
                <w:rFonts w:ascii="宋体" w:eastAsia="宋体" w:hAnsi="宋体"/>
                <w:sz w:val="18"/>
                <w:szCs w:val="18"/>
              </w:rPr>
              <w:t>°</w:t>
            </w:r>
          </w:p>
        </w:tc>
      </w:tr>
      <w:tr>
        <w:tblPrEx>
          <w:tblW w:w="8555" w:type="dxa"/>
          <w:jc w:val="center"/>
          <w:tblLayout w:type="fixed"/>
          <w:tblLook w:val="04A0"/>
        </w:tblPrEx>
        <w:trPr>
          <w:jc w:val="center"/>
        </w:trPr>
        <w:tc>
          <w:tcPr>
            <w:tcW w:w="3574" w:type="dxa"/>
            <w:gridSpan w:val="2"/>
            <w:tcBorders>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波束（电轴）指向方向差</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≤0.0</w:t>
            </w:r>
            <w:r>
              <w:rPr>
                <w:rFonts w:ascii="宋体" w:eastAsia="宋体" w:hAnsi="宋体" w:hint="eastAsia"/>
                <w:sz w:val="18"/>
                <w:szCs w:val="18"/>
              </w:rPr>
              <w:t>5</w:t>
            </w:r>
            <w:r>
              <w:rPr>
                <w:rFonts w:ascii="宋体" w:eastAsia="宋体" w:hAnsi="宋体"/>
                <w:sz w:val="18"/>
                <w:szCs w:val="18"/>
              </w:rPr>
              <w:t>°</w:t>
            </w:r>
          </w:p>
        </w:tc>
      </w:tr>
      <w:tr>
        <w:tblPrEx>
          <w:tblW w:w="8555" w:type="dxa"/>
          <w:jc w:val="center"/>
          <w:tblLayout w:type="fixed"/>
          <w:tblLook w:val="04A0"/>
        </w:tblPrEx>
        <w:trPr>
          <w:jc w:val="center"/>
        </w:trPr>
        <w:tc>
          <w:tcPr>
            <w:tcW w:w="1787" w:type="dxa"/>
            <w:vMerge w:val="restart"/>
            <w:tcBorders>
              <w:left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增益</w:t>
            </w:r>
          </w:p>
        </w:tc>
        <w:tc>
          <w:tcPr>
            <w:tcW w:w="1787"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水平</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≥5</w:t>
            </w:r>
            <w:r>
              <w:rPr>
                <w:rFonts w:ascii="宋体" w:eastAsia="宋体" w:hAnsi="宋体" w:hint="eastAsia"/>
                <w:sz w:val="18"/>
                <w:szCs w:val="18"/>
              </w:rPr>
              <w:t>2</w:t>
            </w:r>
            <w:r>
              <w:rPr>
                <w:rFonts w:ascii="宋体" w:eastAsia="宋体" w:hAnsi="宋体"/>
                <w:sz w:val="18"/>
                <w:szCs w:val="18"/>
              </w:rPr>
              <w:t>dB</w:t>
            </w:r>
          </w:p>
        </w:tc>
      </w:tr>
      <w:tr>
        <w:tblPrEx>
          <w:tblW w:w="8555" w:type="dxa"/>
          <w:jc w:val="center"/>
          <w:tblLayout w:type="fixed"/>
          <w:tblLook w:val="04A0"/>
        </w:tblPrEx>
        <w:trPr>
          <w:trHeight w:val="242"/>
          <w:jc w:val="center"/>
        </w:trPr>
        <w:tc>
          <w:tcPr>
            <w:tcW w:w="1787" w:type="dxa"/>
            <w:vMerge/>
            <w:tcBorders>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p>
        </w:tc>
        <w:tc>
          <w:tcPr>
            <w:tcW w:w="1787"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垂直</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≥5</w:t>
            </w:r>
            <w:r>
              <w:rPr>
                <w:rFonts w:ascii="宋体" w:eastAsia="宋体" w:hAnsi="宋体" w:hint="eastAsia"/>
                <w:sz w:val="18"/>
                <w:szCs w:val="18"/>
              </w:rPr>
              <w:t>2</w:t>
            </w:r>
            <w:r>
              <w:rPr>
                <w:rFonts w:ascii="宋体" w:eastAsia="宋体" w:hAnsi="宋体"/>
                <w:sz w:val="18"/>
                <w:szCs w:val="18"/>
              </w:rPr>
              <w:t>dB</w:t>
            </w:r>
          </w:p>
        </w:tc>
      </w:tr>
      <w:tr>
        <w:tblPrEx>
          <w:tblW w:w="8555" w:type="dxa"/>
          <w:jc w:val="center"/>
          <w:tblLayout w:type="fixed"/>
          <w:tblLook w:val="04A0"/>
        </w:tblPrEx>
        <w:trPr>
          <w:jc w:val="center"/>
        </w:trPr>
        <w:tc>
          <w:tcPr>
            <w:tcW w:w="3574" w:type="dxa"/>
            <w:gridSpan w:val="2"/>
            <w:tcBorders>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天线增益差</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≤0.</w:t>
            </w:r>
            <w:r>
              <w:rPr>
                <w:rFonts w:ascii="宋体" w:eastAsia="宋体" w:hAnsi="宋体" w:hint="eastAsia"/>
                <w:sz w:val="18"/>
                <w:szCs w:val="18"/>
              </w:rPr>
              <w:t>3</w:t>
            </w:r>
            <w:r>
              <w:rPr>
                <w:rFonts w:ascii="宋体" w:eastAsia="宋体" w:hAnsi="宋体"/>
                <w:sz w:val="18"/>
                <w:szCs w:val="18"/>
              </w:rPr>
              <w:t>dB</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第一副瓣电平</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≤-2</w:t>
            </w:r>
            <w:r>
              <w:rPr>
                <w:rFonts w:ascii="宋体" w:eastAsia="宋体" w:hAnsi="宋体" w:hint="eastAsia"/>
                <w:sz w:val="18"/>
                <w:szCs w:val="18"/>
              </w:rPr>
              <w:t>3</w:t>
            </w:r>
            <w:r>
              <w:rPr>
                <w:rFonts w:ascii="宋体" w:eastAsia="宋体" w:hAnsi="宋体"/>
                <w:sz w:val="18"/>
                <w:szCs w:val="18"/>
              </w:rPr>
              <w:t>dB</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远端副瓣电平（</w:t>
            </w:r>
            <w:r>
              <w:rPr>
                <w:rFonts w:ascii="宋体" w:eastAsia="宋体" w:hAnsi="宋体"/>
                <w:sz w:val="18"/>
                <w:szCs w:val="18"/>
              </w:rPr>
              <w:t>±10°</w:t>
            </w:r>
            <w:r>
              <w:rPr>
                <w:rFonts w:ascii="宋体" w:eastAsia="宋体" w:hAnsi="宋体"/>
                <w:sz w:val="18"/>
                <w:szCs w:val="18"/>
              </w:rPr>
              <w:t>以外）</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≤-40dB</w:t>
            </w:r>
          </w:p>
        </w:tc>
      </w:tr>
      <w:tr>
        <w:tblPrEx>
          <w:tblW w:w="8555" w:type="dxa"/>
          <w:jc w:val="center"/>
          <w:tblLayout w:type="fixed"/>
          <w:tblLook w:val="04A0"/>
        </w:tblPrEx>
        <w:trPr>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交叉极化隔离度</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≥30dB</w:t>
            </w:r>
          </w:p>
        </w:tc>
      </w:tr>
      <w:tr>
        <w:tblPrEx>
          <w:tblW w:w="8555" w:type="dxa"/>
          <w:jc w:val="center"/>
          <w:tblLayout w:type="fixed"/>
          <w:tblLook w:val="04A0"/>
        </w:tblPrEx>
        <w:trPr>
          <w:trHeight w:val="211"/>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驻波比</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≤1.5</w:t>
            </w:r>
          </w:p>
        </w:tc>
      </w:tr>
      <w:tr>
        <w:tblPrEx>
          <w:tblW w:w="8555" w:type="dxa"/>
          <w:jc w:val="center"/>
          <w:tblLayout w:type="fixed"/>
          <w:tblLook w:val="04A0"/>
        </w:tblPrEx>
        <w:trPr>
          <w:trHeight w:val="102"/>
          <w:jc w:val="center"/>
        </w:trPr>
        <w:tc>
          <w:tcPr>
            <w:tcW w:w="3574" w:type="dxa"/>
            <w:gridSpan w:val="2"/>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天线罩双程损耗</w:t>
            </w:r>
          </w:p>
        </w:tc>
        <w:tc>
          <w:tcPr>
            <w:tcW w:w="498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jc w:val="left"/>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2</w:t>
            </w:r>
            <w:r>
              <w:rPr>
                <w:rFonts w:ascii="宋体" w:eastAsia="宋体" w:hAnsi="宋体"/>
                <w:sz w:val="18"/>
                <w:szCs w:val="18"/>
              </w:rPr>
              <w:t>dB</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hint="eastAsia"/>
          <w:bCs/>
          <w:szCs w:val="21"/>
        </w:rPr>
        <w:t>馈线</w:t>
      </w:r>
      <w:r>
        <w:rPr>
          <w:rFonts w:eastAsia="黑体"/>
          <w:bCs/>
          <w:szCs w:val="21"/>
        </w:rPr>
        <w:t>技术性能指标表</w:t>
      </w:r>
    </w:p>
    <w:tbl>
      <w:tblPr>
        <w:tblStyle w:val="TableNormal"/>
        <w:tblW w:w="8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546"/>
        <w:gridCol w:w="5048"/>
      </w:tblGrid>
      <w:tr>
        <w:tblPrEx>
          <w:tblW w:w="85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26"/>
          <w:jc w:val="center"/>
        </w:trPr>
        <w:tc>
          <w:tcPr>
            <w:tcW w:w="3546" w:type="dxa"/>
            <w:vAlign w:val="center"/>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5048" w:type="dxa"/>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8594" w:type="dxa"/>
          <w:jc w:val="center"/>
          <w:tblLayout w:type="fixed"/>
          <w:tblLook w:val="04A0"/>
        </w:tblPrEx>
        <w:trPr>
          <w:jc w:val="center"/>
        </w:trPr>
        <w:tc>
          <w:tcPr>
            <w:tcW w:w="3546"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水平</w:t>
            </w:r>
            <w:r>
              <w:rPr>
                <w:rFonts w:ascii="宋体" w:eastAsia="宋体" w:hAnsi="宋体" w:hint="eastAsia"/>
                <w:sz w:val="18"/>
                <w:szCs w:val="18"/>
              </w:rPr>
              <w:t>/</w:t>
            </w:r>
            <w:r>
              <w:rPr>
                <w:rFonts w:ascii="宋体" w:eastAsia="宋体" w:hAnsi="宋体" w:hint="eastAsia"/>
                <w:sz w:val="18"/>
                <w:szCs w:val="18"/>
              </w:rPr>
              <w:t>垂直支路系统损耗</w:t>
            </w:r>
          </w:p>
        </w:tc>
        <w:tc>
          <w:tcPr>
            <w:tcW w:w="5048"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3</w:t>
            </w:r>
            <w:r>
              <w:rPr>
                <w:rFonts w:ascii="宋体" w:eastAsia="宋体" w:hAnsi="宋体" w:hint="eastAsia"/>
                <w:sz w:val="18"/>
                <w:szCs w:val="18"/>
              </w:rPr>
              <w:t>dB</w:t>
            </w:r>
          </w:p>
        </w:tc>
      </w:tr>
      <w:tr>
        <w:tblPrEx>
          <w:tblW w:w="8594" w:type="dxa"/>
          <w:jc w:val="center"/>
          <w:tblLayout w:type="fixed"/>
          <w:tblLook w:val="04A0"/>
        </w:tblPrEx>
        <w:trPr>
          <w:jc w:val="center"/>
        </w:trPr>
        <w:tc>
          <w:tcPr>
            <w:tcW w:w="3546"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双通道馈线损耗差</w:t>
            </w:r>
          </w:p>
        </w:tc>
        <w:tc>
          <w:tcPr>
            <w:tcW w:w="5048"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0.5</w:t>
            </w:r>
            <w:r>
              <w:rPr>
                <w:rFonts w:ascii="宋体" w:eastAsia="宋体" w:hAnsi="宋体" w:hint="eastAsia"/>
                <w:sz w:val="18"/>
                <w:szCs w:val="18"/>
              </w:rPr>
              <w:t>dB</w:t>
            </w:r>
          </w:p>
        </w:tc>
      </w:tr>
      <w:tr>
        <w:tblPrEx>
          <w:tblW w:w="8594" w:type="dxa"/>
          <w:jc w:val="center"/>
          <w:tblLayout w:type="fixed"/>
          <w:tblLook w:val="04A0"/>
        </w:tblPrEx>
        <w:trPr>
          <w:jc w:val="center"/>
        </w:trPr>
        <w:tc>
          <w:tcPr>
            <w:tcW w:w="3546"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驻波比</w:t>
            </w:r>
          </w:p>
        </w:tc>
        <w:tc>
          <w:tcPr>
            <w:tcW w:w="5048"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1.5</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bCs/>
          <w:szCs w:val="21"/>
        </w:rPr>
        <w:t>伺服</w:t>
      </w:r>
      <w:r>
        <w:rPr>
          <w:rFonts w:eastAsia="黑体" w:hint="eastAsia"/>
          <w:bCs/>
          <w:szCs w:val="21"/>
        </w:rPr>
        <w:t>转台</w:t>
      </w:r>
      <w:r>
        <w:rPr>
          <w:rFonts w:eastAsia="黑体"/>
          <w:bCs/>
          <w:szCs w:val="21"/>
        </w:rPr>
        <w:t>系统技术性能指标表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96"/>
        <w:gridCol w:w="708"/>
        <w:gridCol w:w="617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160"/>
          <w:jc w:val="center"/>
        </w:trPr>
        <w:tc>
          <w:tcPr>
            <w:tcW w:w="2404" w:type="dxa"/>
            <w:gridSpan w:val="2"/>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6173" w:type="dxa"/>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0" w:type="auto"/>
          <w:jc w:val="center"/>
          <w:tblLayout w:type="fixed"/>
          <w:tblLook w:val="04A0"/>
        </w:tblPrEx>
        <w:trPr>
          <w:trHeight w:val="160"/>
          <w:jc w:val="center"/>
        </w:trPr>
        <w:tc>
          <w:tcPr>
            <w:tcW w:w="2404" w:type="dxa"/>
            <w:gridSpan w:val="2"/>
            <w:vAlign w:val="center"/>
          </w:tcPr>
          <w:p w:rsidR="00253CAB">
            <w:pPr>
              <w:adjustRightInd w:val="0"/>
              <w:snapToGrid w:val="0"/>
              <w:rPr>
                <w:rFonts w:ascii="宋体" w:eastAsia="宋体" w:hAnsi="宋体"/>
                <w:sz w:val="18"/>
                <w:szCs w:val="18"/>
              </w:rPr>
            </w:pPr>
            <w:r>
              <w:rPr>
                <w:rFonts w:ascii="宋体" w:eastAsia="宋体" w:hAnsi="宋体"/>
                <w:sz w:val="18"/>
                <w:szCs w:val="18"/>
              </w:rPr>
              <w:t>天线扫描方式</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PPI</w:t>
            </w:r>
            <w:r>
              <w:rPr>
                <w:rFonts w:ascii="宋体" w:eastAsia="宋体" w:hAnsi="宋体" w:hint="eastAsia"/>
                <w:sz w:val="18"/>
                <w:szCs w:val="18"/>
              </w:rPr>
              <w:t>、</w:t>
            </w:r>
            <w:r>
              <w:rPr>
                <w:rFonts w:ascii="宋体" w:eastAsia="宋体" w:hAnsi="宋体" w:hint="eastAsia"/>
                <w:sz w:val="18"/>
                <w:szCs w:val="18"/>
              </w:rPr>
              <w:t>RPI</w:t>
            </w:r>
            <w:r>
              <w:rPr>
                <w:rFonts w:ascii="宋体" w:eastAsia="宋体" w:hAnsi="宋体" w:hint="eastAsia"/>
                <w:sz w:val="18"/>
                <w:szCs w:val="18"/>
              </w:rPr>
              <w:t>、</w:t>
            </w:r>
            <w:r>
              <w:rPr>
                <w:rFonts w:ascii="宋体" w:eastAsia="宋体" w:hAnsi="宋体"/>
                <w:sz w:val="18"/>
                <w:szCs w:val="18"/>
              </w:rPr>
              <w:t>RHI</w:t>
            </w:r>
            <w:r>
              <w:rPr>
                <w:rFonts w:ascii="宋体" w:eastAsia="宋体" w:hAnsi="宋体"/>
                <w:sz w:val="18"/>
                <w:szCs w:val="18"/>
              </w:rPr>
              <w:t>、</w:t>
            </w:r>
            <w:r>
              <w:rPr>
                <w:rFonts w:ascii="宋体" w:eastAsia="宋体" w:hAnsi="宋体" w:hint="eastAsia"/>
                <w:sz w:val="18"/>
                <w:szCs w:val="18"/>
              </w:rPr>
              <w:t>THI</w:t>
            </w:r>
            <w:r>
              <w:rPr>
                <w:rFonts w:ascii="宋体" w:eastAsia="宋体" w:hAnsi="宋体" w:hint="eastAsia"/>
                <w:sz w:val="18"/>
                <w:szCs w:val="18"/>
              </w:rPr>
              <w:t>、</w:t>
            </w:r>
            <w:r>
              <w:rPr>
                <w:rFonts w:ascii="宋体" w:eastAsia="宋体" w:hAnsi="宋体" w:hint="eastAsia"/>
                <w:sz w:val="18"/>
                <w:szCs w:val="18"/>
              </w:rPr>
              <w:t>VOL</w:t>
            </w:r>
            <w:r>
              <w:rPr>
                <w:rFonts w:ascii="宋体" w:eastAsia="宋体" w:hAnsi="宋体" w:hint="eastAsia"/>
                <w:sz w:val="18"/>
                <w:szCs w:val="18"/>
              </w:rPr>
              <w:t>、任意指向</w:t>
            </w:r>
          </w:p>
        </w:tc>
      </w:tr>
      <w:tr>
        <w:tblPrEx>
          <w:tblW w:w="0" w:type="auto"/>
          <w:jc w:val="center"/>
          <w:tblLayout w:type="fixed"/>
          <w:tblLook w:val="04A0"/>
        </w:tblPrEx>
        <w:trPr>
          <w:trHeight w:val="160"/>
          <w:jc w:val="center"/>
        </w:trPr>
        <w:tc>
          <w:tcPr>
            <w:tcW w:w="1696" w:type="dxa"/>
            <w:vMerge w:val="restart"/>
            <w:vAlign w:val="center"/>
          </w:tcPr>
          <w:p w:rsidR="00253CAB">
            <w:pPr>
              <w:adjustRightInd w:val="0"/>
              <w:snapToGrid w:val="0"/>
              <w:rPr>
                <w:rFonts w:ascii="宋体" w:eastAsia="宋体" w:hAnsi="宋体"/>
                <w:sz w:val="18"/>
                <w:szCs w:val="18"/>
              </w:rPr>
            </w:pPr>
            <w:r>
              <w:rPr>
                <w:rFonts w:ascii="宋体" w:eastAsia="宋体" w:hAnsi="宋体"/>
                <w:sz w:val="18"/>
                <w:szCs w:val="18"/>
              </w:rPr>
              <w:t>天线扫描范围</w:t>
            </w: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方位</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w:t>
            </w:r>
            <w:r>
              <w:rPr>
                <w:rFonts w:ascii="宋体" w:eastAsia="宋体" w:hAnsi="宋体"/>
                <w:sz w:val="18"/>
                <w:szCs w:val="18"/>
              </w:rPr>
              <w:t>～</w:t>
            </w:r>
            <w:r>
              <w:rPr>
                <w:rFonts w:ascii="宋体" w:eastAsia="宋体" w:hAnsi="宋体"/>
                <w:sz w:val="18"/>
                <w:szCs w:val="18"/>
              </w:rPr>
              <w:t>360°</w:t>
            </w:r>
            <w:r>
              <w:rPr>
                <w:rFonts w:ascii="宋体" w:eastAsia="宋体" w:hAnsi="宋体"/>
                <w:sz w:val="18"/>
                <w:szCs w:val="18"/>
              </w:rPr>
              <w:t>连续扫描</w:t>
            </w:r>
          </w:p>
        </w:tc>
      </w:tr>
      <w:tr>
        <w:tblPrEx>
          <w:tblW w:w="0" w:type="auto"/>
          <w:jc w:val="center"/>
          <w:tblLayout w:type="fixed"/>
          <w:tblLook w:val="04A0"/>
        </w:tblPrEx>
        <w:trPr>
          <w:trHeight w:val="160"/>
          <w:jc w:val="center"/>
        </w:trPr>
        <w:tc>
          <w:tcPr>
            <w:tcW w:w="1696" w:type="dxa"/>
            <w:vMerge/>
            <w:vAlign w:val="center"/>
          </w:tcPr>
          <w:p w:rsidR="00253CAB">
            <w:pPr>
              <w:adjustRightInd w:val="0"/>
              <w:snapToGrid w:val="0"/>
              <w:rPr>
                <w:rFonts w:ascii="宋体" w:eastAsia="宋体" w:hAnsi="宋体"/>
                <w:sz w:val="18"/>
                <w:szCs w:val="18"/>
              </w:rPr>
            </w:pP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俯仰</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-2</w:t>
            </w:r>
            <w:r>
              <w:rPr>
                <w:rFonts w:ascii="宋体" w:eastAsia="宋体" w:hAnsi="宋体" w:hint="eastAsia"/>
                <w:sz w:val="18"/>
                <w:szCs w:val="18"/>
              </w:rPr>
              <w:t>～</w:t>
            </w:r>
            <w:r>
              <w:rPr>
                <w:rFonts w:ascii="宋体" w:eastAsia="宋体" w:hAnsi="宋体"/>
                <w:sz w:val="18"/>
                <w:szCs w:val="18"/>
              </w:rPr>
              <w:t>18</w:t>
            </w:r>
            <w:r>
              <w:rPr>
                <w:rFonts w:ascii="宋体" w:eastAsia="宋体" w:hAnsi="宋体" w:hint="eastAsia"/>
                <w:sz w:val="18"/>
                <w:szCs w:val="18"/>
              </w:rPr>
              <w:t>2</w:t>
            </w:r>
            <w:r>
              <w:rPr>
                <w:rFonts w:ascii="宋体" w:eastAsia="宋体" w:hAnsi="宋体"/>
                <w:sz w:val="18"/>
                <w:szCs w:val="18"/>
              </w:rPr>
              <w:t>°</w:t>
            </w:r>
            <w:r>
              <w:rPr>
                <w:rFonts w:ascii="宋体" w:eastAsia="宋体" w:hAnsi="宋体"/>
                <w:sz w:val="18"/>
                <w:szCs w:val="18"/>
              </w:rPr>
              <w:t>往返扫描</w:t>
            </w:r>
          </w:p>
        </w:tc>
      </w:tr>
      <w:tr>
        <w:tblPrEx>
          <w:tblW w:w="0" w:type="auto"/>
          <w:jc w:val="center"/>
          <w:tblLayout w:type="fixed"/>
          <w:tblLook w:val="04A0"/>
        </w:tblPrEx>
        <w:trPr>
          <w:trHeight w:val="315"/>
          <w:jc w:val="center"/>
        </w:trPr>
        <w:tc>
          <w:tcPr>
            <w:tcW w:w="1696" w:type="dxa"/>
            <w:vMerge w:val="restart"/>
            <w:vAlign w:val="center"/>
          </w:tcPr>
          <w:p w:rsidR="00253CAB">
            <w:pPr>
              <w:adjustRightInd w:val="0"/>
              <w:snapToGrid w:val="0"/>
              <w:rPr>
                <w:rFonts w:ascii="宋体" w:eastAsia="宋体" w:hAnsi="宋体"/>
                <w:sz w:val="18"/>
                <w:szCs w:val="18"/>
              </w:rPr>
            </w:pPr>
            <w:r>
              <w:rPr>
                <w:rFonts w:ascii="宋体" w:eastAsia="宋体" w:hAnsi="宋体"/>
                <w:sz w:val="18"/>
                <w:szCs w:val="18"/>
              </w:rPr>
              <w:t>天线扫描速度</w:t>
            </w: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方位</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w:t>
            </w:r>
            <w:r>
              <w:rPr>
                <w:rFonts w:ascii="宋体" w:eastAsia="宋体" w:hAnsi="宋体"/>
                <w:sz w:val="18"/>
                <w:szCs w:val="18"/>
              </w:rPr>
              <w:t>～</w:t>
            </w:r>
            <w:r>
              <w:rPr>
                <w:rFonts w:ascii="宋体" w:eastAsia="宋体" w:hAnsi="宋体" w:hint="eastAsia"/>
                <w:sz w:val="18"/>
                <w:szCs w:val="18"/>
              </w:rPr>
              <w:t>24</w:t>
            </w:r>
            <w:r>
              <w:rPr>
                <w:rFonts w:ascii="宋体" w:eastAsia="宋体" w:hAnsi="宋体"/>
                <w:sz w:val="18"/>
                <w:szCs w:val="18"/>
              </w:rPr>
              <w:t>°/s</w:t>
            </w:r>
            <w:r>
              <w:rPr>
                <w:rFonts w:ascii="宋体" w:eastAsia="宋体" w:hAnsi="宋体"/>
                <w:sz w:val="18"/>
                <w:szCs w:val="18"/>
              </w:rPr>
              <w:t>，误差不大于</w:t>
            </w:r>
            <w:r>
              <w:rPr>
                <w:rFonts w:ascii="宋体" w:eastAsia="宋体" w:hAnsi="宋体"/>
                <w:sz w:val="18"/>
                <w:szCs w:val="18"/>
              </w:rPr>
              <w:t>5%</w:t>
            </w:r>
          </w:p>
        </w:tc>
      </w:tr>
      <w:tr>
        <w:tblPrEx>
          <w:tblW w:w="0" w:type="auto"/>
          <w:jc w:val="center"/>
          <w:tblLayout w:type="fixed"/>
          <w:tblLook w:val="04A0"/>
        </w:tblPrEx>
        <w:trPr>
          <w:trHeight w:val="315"/>
          <w:jc w:val="center"/>
        </w:trPr>
        <w:tc>
          <w:tcPr>
            <w:tcW w:w="1696" w:type="dxa"/>
            <w:vMerge/>
            <w:vAlign w:val="center"/>
          </w:tcPr>
          <w:p w:rsidR="00253CAB">
            <w:pPr>
              <w:adjustRightInd w:val="0"/>
              <w:snapToGrid w:val="0"/>
              <w:rPr>
                <w:rFonts w:ascii="宋体" w:eastAsia="宋体" w:hAnsi="宋体"/>
                <w:sz w:val="18"/>
                <w:szCs w:val="18"/>
              </w:rPr>
            </w:pP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俯仰</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w:t>
            </w:r>
            <w:r>
              <w:rPr>
                <w:rFonts w:ascii="宋体" w:eastAsia="宋体" w:hAnsi="宋体"/>
                <w:sz w:val="18"/>
                <w:szCs w:val="18"/>
              </w:rPr>
              <w:t>～</w:t>
            </w:r>
            <w:r>
              <w:rPr>
                <w:rFonts w:ascii="宋体" w:eastAsia="宋体" w:hAnsi="宋体"/>
                <w:sz w:val="18"/>
                <w:szCs w:val="18"/>
              </w:rPr>
              <w:t>12°/s</w:t>
            </w:r>
            <w:r>
              <w:rPr>
                <w:rFonts w:ascii="宋体" w:eastAsia="宋体" w:hAnsi="宋体"/>
                <w:sz w:val="18"/>
                <w:szCs w:val="18"/>
              </w:rPr>
              <w:t>，误差不大于</w:t>
            </w:r>
            <w:r>
              <w:rPr>
                <w:rFonts w:ascii="宋体" w:eastAsia="宋体" w:hAnsi="宋体"/>
                <w:sz w:val="18"/>
                <w:szCs w:val="18"/>
              </w:rPr>
              <w:t>5%</w:t>
            </w:r>
          </w:p>
        </w:tc>
      </w:tr>
      <w:tr>
        <w:tblPrEx>
          <w:tblW w:w="0" w:type="auto"/>
          <w:jc w:val="center"/>
          <w:tblLayout w:type="fixed"/>
          <w:tblLook w:val="04A0"/>
        </w:tblPrEx>
        <w:trPr>
          <w:trHeight w:val="160"/>
          <w:jc w:val="center"/>
        </w:trPr>
        <w:tc>
          <w:tcPr>
            <w:tcW w:w="2404" w:type="dxa"/>
            <w:gridSpan w:val="2"/>
            <w:vAlign w:val="center"/>
          </w:tcPr>
          <w:p w:rsidR="00253CAB">
            <w:pPr>
              <w:adjustRightInd w:val="0"/>
              <w:snapToGrid w:val="0"/>
              <w:rPr>
                <w:rFonts w:ascii="宋体" w:eastAsia="宋体" w:hAnsi="宋体"/>
                <w:sz w:val="18"/>
                <w:szCs w:val="18"/>
              </w:rPr>
            </w:pPr>
            <w:r>
              <w:rPr>
                <w:rFonts w:ascii="宋体" w:eastAsia="宋体" w:hAnsi="宋体"/>
                <w:sz w:val="18"/>
                <w:szCs w:val="18"/>
              </w:rPr>
              <w:t>天线控制方式</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预置全自动、人工干预自动</w:t>
            </w:r>
            <w:r>
              <w:rPr>
                <w:rFonts w:ascii="宋体" w:eastAsia="宋体" w:hAnsi="宋体"/>
                <w:sz w:val="18"/>
                <w:szCs w:val="18"/>
              </w:rPr>
              <w:t>/</w:t>
            </w:r>
            <w:r>
              <w:rPr>
                <w:rFonts w:ascii="宋体" w:eastAsia="宋体" w:hAnsi="宋体"/>
                <w:sz w:val="18"/>
                <w:szCs w:val="18"/>
              </w:rPr>
              <w:t>手动控制</w:t>
            </w:r>
          </w:p>
        </w:tc>
      </w:tr>
      <w:tr>
        <w:tblPrEx>
          <w:tblW w:w="0" w:type="auto"/>
          <w:jc w:val="center"/>
          <w:tblLayout w:type="fixed"/>
          <w:tblLook w:val="04A0"/>
        </w:tblPrEx>
        <w:trPr>
          <w:trHeight w:val="305"/>
          <w:jc w:val="center"/>
        </w:trPr>
        <w:tc>
          <w:tcPr>
            <w:tcW w:w="1696" w:type="dxa"/>
            <w:vMerge w:val="restart"/>
            <w:vAlign w:val="center"/>
          </w:tcPr>
          <w:p w:rsidR="00253CAB">
            <w:pPr>
              <w:adjustRightInd w:val="0"/>
              <w:snapToGrid w:val="0"/>
              <w:rPr>
                <w:rFonts w:ascii="宋体" w:eastAsia="宋体" w:hAnsi="宋体"/>
                <w:sz w:val="18"/>
                <w:szCs w:val="18"/>
              </w:rPr>
            </w:pPr>
            <w:r>
              <w:rPr>
                <w:rFonts w:ascii="宋体" w:eastAsia="宋体" w:hAnsi="宋体"/>
                <w:sz w:val="18"/>
                <w:szCs w:val="18"/>
              </w:rPr>
              <w:t>天线定位精度</w:t>
            </w: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方位</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≤0.1°</w:t>
            </w:r>
          </w:p>
        </w:tc>
      </w:tr>
      <w:tr>
        <w:tblPrEx>
          <w:tblW w:w="0" w:type="auto"/>
          <w:jc w:val="center"/>
          <w:tblLayout w:type="fixed"/>
          <w:tblLook w:val="04A0"/>
        </w:tblPrEx>
        <w:trPr>
          <w:trHeight w:val="256"/>
          <w:jc w:val="center"/>
        </w:trPr>
        <w:tc>
          <w:tcPr>
            <w:tcW w:w="1696" w:type="dxa"/>
            <w:vMerge/>
            <w:vAlign w:val="center"/>
          </w:tcPr>
          <w:p w:rsidR="00253CAB">
            <w:pPr>
              <w:adjustRightInd w:val="0"/>
              <w:snapToGrid w:val="0"/>
              <w:rPr>
                <w:rFonts w:ascii="宋体" w:eastAsia="宋体" w:hAnsi="宋体"/>
                <w:sz w:val="18"/>
                <w:szCs w:val="18"/>
              </w:rPr>
            </w:pP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俯仰</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≤0.1°</w:t>
            </w:r>
          </w:p>
        </w:tc>
      </w:tr>
      <w:tr>
        <w:tblPrEx>
          <w:tblW w:w="0" w:type="auto"/>
          <w:jc w:val="center"/>
          <w:tblLayout w:type="fixed"/>
          <w:tblLook w:val="04A0"/>
        </w:tblPrEx>
        <w:trPr>
          <w:trHeight w:val="288"/>
          <w:jc w:val="center"/>
        </w:trPr>
        <w:tc>
          <w:tcPr>
            <w:tcW w:w="1696" w:type="dxa"/>
            <w:vMerge w:val="restart"/>
            <w:vAlign w:val="center"/>
          </w:tcPr>
          <w:p w:rsidR="00253CAB">
            <w:pPr>
              <w:adjustRightInd w:val="0"/>
              <w:snapToGrid w:val="0"/>
              <w:rPr>
                <w:rFonts w:ascii="宋体" w:eastAsia="宋体" w:hAnsi="宋体"/>
                <w:sz w:val="18"/>
                <w:szCs w:val="18"/>
              </w:rPr>
            </w:pPr>
            <w:r>
              <w:rPr>
                <w:rFonts w:ascii="宋体" w:eastAsia="宋体" w:hAnsi="宋体"/>
                <w:sz w:val="18"/>
                <w:szCs w:val="18"/>
              </w:rPr>
              <w:t>天线控制精度</w:t>
            </w: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方位</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≤0.1°</w:t>
            </w:r>
          </w:p>
        </w:tc>
      </w:tr>
      <w:tr>
        <w:tblPrEx>
          <w:tblW w:w="0" w:type="auto"/>
          <w:jc w:val="center"/>
          <w:tblLayout w:type="fixed"/>
          <w:tblLook w:val="04A0"/>
        </w:tblPrEx>
        <w:trPr>
          <w:trHeight w:val="291"/>
          <w:jc w:val="center"/>
        </w:trPr>
        <w:tc>
          <w:tcPr>
            <w:tcW w:w="1696" w:type="dxa"/>
            <w:vMerge/>
            <w:vAlign w:val="center"/>
          </w:tcPr>
          <w:p w:rsidR="00253CAB">
            <w:pPr>
              <w:adjustRightInd w:val="0"/>
              <w:snapToGrid w:val="0"/>
              <w:rPr>
                <w:rFonts w:ascii="宋体" w:eastAsia="宋体" w:hAnsi="宋体"/>
                <w:sz w:val="18"/>
                <w:szCs w:val="18"/>
              </w:rPr>
            </w:pPr>
          </w:p>
        </w:tc>
        <w:tc>
          <w:tcPr>
            <w:tcW w:w="708" w:type="dxa"/>
            <w:vAlign w:val="center"/>
          </w:tcPr>
          <w:p w:rsidR="00253CAB">
            <w:pPr>
              <w:adjustRightInd w:val="0"/>
              <w:snapToGrid w:val="0"/>
              <w:rPr>
                <w:rFonts w:ascii="宋体" w:eastAsia="宋体" w:hAnsi="宋体"/>
                <w:sz w:val="18"/>
                <w:szCs w:val="18"/>
              </w:rPr>
            </w:pPr>
            <w:r>
              <w:rPr>
                <w:rFonts w:ascii="宋体" w:eastAsia="宋体" w:hAnsi="宋体"/>
                <w:sz w:val="18"/>
                <w:szCs w:val="18"/>
              </w:rPr>
              <w:t>俯仰</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≤0.1°</w:t>
            </w:r>
          </w:p>
        </w:tc>
      </w:tr>
      <w:tr>
        <w:tblPrEx>
          <w:tblW w:w="0" w:type="auto"/>
          <w:jc w:val="center"/>
          <w:tblLayout w:type="fixed"/>
          <w:tblLook w:val="04A0"/>
        </w:tblPrEx>
        <w:trPr>
          <w:trHeight w:val="160"/>
          <w:jc w:val="center"/>
        </w:trPr>
        <w:tc>
          <w:tcPr>
            <w:tcW w:w="2404" w:type="dxa"/>
            <w:gridSpan w:val="2"/>
            <w:vAlign w:val="center"/>
          </w:tcPr>
          <w:p w:rsidR="00253CAB">
            <w:pPr>
              <w:adjustRightInd w:val="0"/>
              <w:snapToGrid w:val="0"/>
              <w:rPr>
                <w:rFonts w:ascii="宋体" w:eastAsia="宋体" w:hAnsi="宋体"/>
                <w:sz w:val="18"/>
                <w:szCs w:val="18"/>
              </w:rPr>
            </w:pPr>
            <w:r>
              <w:rPr>
                <w:rFonts w:ascii="宋体" w:eastAsia="宋体" w:hAnsi="宋体"/>
                <w:sz w:val="18"/>
                <w:szCs w:val="18"/>
              </w:rPr>
              <w:t>角度编码器字长</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≥14</w:t>
            </w:r>
            <w:r>
              <w:rPr>
                <w:rFonts w:ascii="宋体" w:eastAsia="宋体" w:hAnsi="宋体"/>
                <w:sz w:val="18"/>
                <w:szCs w:val="18"/>
              </w:rPr>
              <w:t>位</w:t>
            </w:r>
          </w:p>
        </w:tc>
      </w:tr>
      <w:tr>
        <w:tblPrEx>
          <w:tblW w:w="0" w:type="auto"/>
          <w:jc w:val="center"/>
          <w:tblLayout w:type="fixed"/>
          <w:tblLook w:val="04A0"/>
        </w:tblPrEx>
        <w:trPr>
          <w:trHeight w:val="160"/>
          <w:jc w:val="center"/>
        </w:trPr>
        <w:tc>
          <w:tcPr>
            <w:tcW w:w="2404" w:type="dxa"/>
            <w:gridSpan w:val="2"/>
            <w:vAlign w:val="center"/>
          </w:tcPr>
          <w:p w:rsidR="00253CAB">
            <w:pPr>
              <w:adjustRightInd w:val="0"/>
              <w:snapToGrid w:val="0"/>
              <w:rPr>
                <w:rFonts w:ascii="宋体" w:eastAsia="宋体" w:hAnsi="宋体"/>
                <w:sz w:val="18"/>
                <w:szCs w:val="18"/>
              </w:rPr>
            </w:pPr>
            <w:r>
              <w:rPr>
                <w:rFonts w:ascii="宋体" w:eastAsia="宋体" w:hAnsi="宋体"/>
                <w:sz w:val="18"/>
                <w:szCs w:val="18"/>
              </w:rPr>
              <w:t>安全与保护</w:t>
            </w:r>
          </w:p>
        </w:tc>
        <w:tc>
          <w:tcPr>
            <w:tcW w:w="6173" w:type="dxa"/>
            <w:vAlign w:val="center"/>
          </w:tcPr>
          <w:p w:rsidR="00253CAB">
            <w:pPr>
              <w:adjustRightInd w:val="0"/>
              <w:snapToGrid w:val="0"/>
              <w:rPr>
                <w:rFonts w:ascii="宋体" w:eastAsia="宋体" w:hAnsi="宋体"/>
                <w:sz w:val="18"/>
                <w:szCs w:val="18"/>
              </w:rPr>
            </w:pPr>
            <w:r>
              <w:rPr>
                <w:rFonts w:ascii="宋体" w:eastAsia="宋体" w:hAnsi="宋体"/>
                <w:sz w:val="18"/>
                <w:szCs w:val="18"/>
              </w:rPr>
              <w:t>天线在方位、俯仰机构上应有电气、机械安全设施</w:t>
            </w:r>
            <w:r>
              <w:rPr>
                <w:rFonts w:ascii="宋体" w:eastAsia="宋体" w:hAnsi="宋体" w:hint="eastAsia"/>
                <w:sz w:val="18"/>
                <w:szCs w:val="18"/>
              </w:rPr>
              <w:t>，具有电源开关和维护开关</w:t>
            </w:r>
            <w:r>
              <w:rPr>
                <w:rFonts w:ascii="宋体" w:eastAsia="宋体" w:hAnsi="宋体"/>
                <w:sz w:val="18"/>
                <w:szCs w:val="18"/>
              </w:rPr>
              <w:t>，以保护天线在工作</w:t>
            </w:r>
            <w:r>
              <w:rPr>
                <w:rFonts w:ascii="宋体" w:eastAsia="宋体" w:hAnsi="宋体" w:hint="eastAsia"/>
                <w:sz w:val="18"/>
                <w:szCs w:val="18"/>
              </w:rPr>
              <w:t>、维护及</w:t>
            </w:r>
            <w:r>
              <w:rPr>
                <w:rFonts w:ascii="宋体" w:eastAsia="宋体" w:hAnsi="宋体"/>
                <w:sz w:val="18"/>
                <w:szCs w:val="18"/>
              </w:rPr>
              <w:t>运输过程中的安全；方位、俯仰控制应有保护电路；天线在俯仰角最低处应有机械安全</w:t>
            </w:r>
            <w:r>
              <w:rPr>
                <w:rFonts w:ascii="宋体" w:eastAsia="宋体" w:hAnsi="宋体" w:hint="eastAsia"/>
                <w:sz w:val="18"/>
                <w:szCs w:val="18"/>
              </w:rPr>
              <w:t>装置</w:t>
            </w:r>
            <w:r>
              <w:rPr>
                <w:rFonts w:ascii="宋体" w:eastAsia="宋体" w:hAnsi="宋体"/>
                <w:sz w:val="18"/>
                <w:szCs w:val="18"/>
              </w:rPr>
              <w:t>，保证天线下俯不低于最低限位；具有俯仰电源、方位电源故障监测以及</w:t>
            </w:r>
            <w:r>
              <w:rPr>
                <w:rFonts w:ascii="宋体" w:eastAsia="宋体" w:hAnsi="宋体" w:hint="eastAsia"/>
                <w:sz w:val="18"/>
                <w:szCs w:val="18"/>
              </w:rPr>
              <w:t>伺服</w:t>
            </w:r>
            <w:r>
              <w:rPr>
                <w:rFonts w:ascii="宋体" w:eastAsia="宋体" w:hAnsi="宋体"/>
                <w:sz w:val="18"/>
                <w:szCs w:val="18"/>
              </w:rPr>
              <w:t>状态监测等。</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bCs/>
          <w:szCs w:val="21"/>
        </w:rPr>
        <w:t>发射机技术性能指标表</w:t>
      </w:r>
    </w:p>
    <w:tbl>
      <w:tblPr>
        <w:tblStyle w:val="TableNormal"/>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70"/>
        <w:gridCol w:w="4486"/>
      </w:tblGrid>
      <w:tr>
        <w:tblPrEx>
          <w:tblW w:w="8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4070" w:type="dxa"/>
            <w:vAlign w:val="center"/>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4486" w:type="dxa"/>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发射机形式</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全固态功率合成</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工作频率</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34.</w:t>
            </w:r>
            <w:r>
              <w:rPr>
                <w:rFonts w:ascii="宋体" w:eastAsia="宋体" w:hAnsi="宋体" w:hint="eastAsia"/>
                <w:sz w:val="18"/>
                <w:szCs w:val="18"/>
              </w:rPr>
              <w:t>7</w:t>
            </w:r>
            <w:r>
              <w:rPr>
                <w:rFonts w:ascii="宋体" w:eastAsia="宋体" w:hAnsi="宋体" w:hint="eastAsia"/>
                <w:sz w:val="18"/>
                <w:szCs w:val="18"/>
              </w:rPr>
              <w:t>5GHz</w:t>
            </w:r>
            <w:r>
              <w:rPr>
                <w:rFonts w:ascii="宋体" w:eastAsia="宋体" w:hAnsi="宋体" w:hint="eastAsia"/>
                <w:sz w:val="18"/>
                <w:szCs w:val="18"/>
              </w:rPr>
              <w:t>～</w:t>
            </w:r>
            <w:r>
              <w:rPr>
                <w:rFonts w:ascii="宋体" w:eastAsia="宋体" w:hAnsi="宋体" w:hint="eastAsia"/>
                <w:sz w:val="18"/>
                <w:szCs w:val="18"/>
              </w:rPr>
              <w:t>35.</w:t>
            </w:r>
            <w:r>
              <w:rPr>
                <w:rFonts w:ascii="宋体" w:eastAsia="宋体" w:hAnsi="宋体" w:hint="eastAsia"/>
                <w:sz w:val="18"/>
                <w:szCs w:val="18"/>
              </w:rPr>
              <w:t>2</w:t>
            </w:r>
            <w:r>
              <w:rPr>
                <w:rFonts w:ascii="宋体" w:eastAsia="宋体" w:hAnsi="宋体" w:hint="eastAsia"/>
                <w:sz w:val="18"/>
                <w:szCs w:val="18"/>
              </w:rPr>
              <w:t>5GHz</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脉冲峰值功率</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10</w:t>
            </w:r>
            <w:r>
              <w:rPr>
                <w:rFonts w:ascii="宋体" w:eastAsia="宋体" w:hAnsi="宋体"/>
                <w:sz w:val="18"/>
                <w:szCs w:val="18"/>
              </w:rPr>
              <w:t>0W</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脉冲重复频率</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1000Hz</w:t>
            </w:r>
            <w:r>
              <w:rPr>
                <w:rFonts w:ascii="宋体" w:eastAsia="宋体" w:hAnsi="宋体"/>
                <w:sz w:val="18"/>
                <w:szCs w:val="18"/>
              </w:rPr>
              <w:t>～</w:t>
            </w:r>
            <w:r>
              <w:rPr>
                <w:rFonts w:ascii="宋体" w:eastAsia="宋体" w:hAnsi="宋体"/>
                <w:sz w:val="18"/>
                <w:szCs w:val="18"/>
              </w:rPr>
              <w:t>10000Hz</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机内功率检测波动</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≤0.2dB</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脉冲宽度</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0.2</w:t>
            </w:r>
            <w:r>
              <w:rPr>
                <w:rFonts w:ascii="宋体" w:eastAsia="宋体" w:hAnsi="宋体"/>
                <w:sz w:val="18"/>
                <w:szCs w:val="18"/>
              </w:rPr>
              <w:t>μs</w:t>
            </w:r>
            <w:r>
              <w:rPr>
                <w:rFonts w:ascii="宋体" w:eastAsia="宋体" w:hAnsi="宋体"/>
                <w:sz w:val="18"/>
                <w:szCs w:val="18"/>
              </w:rPr>
              <w:t>～</w:t>
            </w:r>
            <w:r>
              <w:rPr>
                <w:rFonts w:ascii="宋体" w:eastAsia="宋体" w:hAnsi="宋体"/>
                <w:sz w:val="18"/>
                <w:szCs w:val="18"/>
              </w:rPr>
              <w:t>40μs</w:t>
            </w:r>
            <w:r>
              <w:rPr>
                <w:rFonts w:ascii="宋体" w:eastAsia="宋体" w:hAnsi="宋体"/>
                <w:sz w:val="18"/>
                <w:szCs w:val="18"/>
              </w:rPr>
              <w:t>（可</w:t>
            </w:r>
            <w:r>
              <w:rPr>
                <w:rFonts w:ascii="宋体" w:eastAsia="宋体" w:hAnsi="宋体" w:hint="eastAsia"/>
                <w:sz w:val="18"/>
                <w:szCs w:val="18"/>
              </w:rPr>
              <w:t>调</w:t>
            </w:r>
            <w:r>
              <w:rPr>
                <w:rFonts w:ascii="宋体" w:eastAsia="宋体" w:hAnsi="宋体"/>
                <w:sz w:val="18"/>
                <w:szCs w:val="18"/>
              </w:rPr>
              <w:t>）</w:t>
            </w:r>
            <w:r>
              <w:rPr>
                <w:rFonts w:ascii="宋体" w:eastAsia="宋体" w:hAnsi="宋体" w:hint="eastAsia"/>
                <w:sz w:val="18"/>
                <w:szCs w:val="18"/>
              </w:rPr>
              <w:t>，</w:t>
            </w:r>
            <w:r>
              <w:rPr>
                <w:rFonts w:ascii="宋体" w:eastAsia="宋体" w:hAnsi="宋体" w:hint="eastAsia"/>
                <w:sz w:val="18"/>
                <w:szCs w:val="18"/>
              </w:rPr>
              <w:t>0.2</w:t>
            </w:r>
            <w:r>
              <w:rPr>
                <w:rFonts w:ascii="宋体" w:eastAsia="宋体" w:hAnsi="宋体"/>
                <w:sz w:val="18"/>
                <w:szCs w:val="18"/>
              </w:rPr>
              <w:t>μs</w:t>
            </w:r>
            <w:r>
              <w:rPr>
                <w:rFonts w:ascii="宋体" w:eastAsia="宋体" w:hAnsi="宋体" w:hint="eastAsia"/>
                <w:sz w:val="18"/>
                <w:szCs w:val="18"/>
              </w:rPr>
              <w:t>必选</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sz w:val="18"/>
                <w:szCs w:val="18"/>
              </w:rPr>
              <w:t>谐波和杂散抑制</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≥40dB</w:t>
            </w:r>
          </w:p>
        </w:tc>
      </w:tr>
      <w:tr>
        <w:tblPrEx>
          <w:tblW w:w="8556" w:type="dxa"/>
          <w:jc w:val="center"/>
          <w:tblLayout w:type="fixed"/>
          <w:tblLook w:val="04A0"/>
        </w:tblPrEx>
        <w:trPr>
          <w:jc w:val="center"/>
        </w:trPr>
        <w:tc>
          <w:tcPr>
            <w:tcW w:w="4070"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hint="eastAsia"/>
                <w:sz w:val="18"/>
                <w:szCs w:val="18"/>
              </w:rPr>
              <w:t>极限</w:t>
            </w:r>
            <w:r>
              <w:rPr>
                <w:rFonts w:ascii="宋体" w:eastAsia="宋体" w:hAnsi="宋体"/>
                <w:sz w:val="18"/>
                <w:szCs w:val="18"/>
              </w:rPr>
              <w:t>改善因子</w:t>
            </w:r>
          </w:p>
        </w:tc>
        <w:tc>
          <w:tcPr>
            <w:tcW w:w="4486" w:type="dxa"/>
            <w:vAlign w:val="center"/>
          </w:tcPr>
          <w:p w:rsidR="00253CAB">
            <w:pPr>
              <w:adjustRightInd w:val="0"/>
              <w:snapToGrid w:val="0"/>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4</w:t>
            </w:r>
            <w:r>
              <w:rPr>
                <w:rFonts w:ascii="宋体" w:eastAsia="宋体" w:hAnsi="宋体"/>
                <w:sz w:val="18"/>
                <w:szCs w:val="18"/>
              </w:rPr>
              <w:t>0dB</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bCs/>
          <w:szCs w:val="21"/>
        </w:rPr>
        <w:t>接收机技术性能指标表</w:t>
      </w:r>
    </w:p>
    <w:tbl>
      <w:tblPr>
        <w:tblStyle w:val="TableNormal"/>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86"/>
        <w:gridCol w:w="4701"/>
      </w:tblGrid>
      <w:tr>
        <w:tblPrEx>
          <w:tblW w:w="8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27"/>
          <w:jc w:val="center"/>
        </w:trPr>
        <w:tc>
          <w:tcPr>
            <w:tcW w:w="3886" w:type="dxa"/>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4701" w:type="dxa"/>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8587" w:type="dxa"/>
          <w:jc w:val="center"/>
          <w:tblLayout w:type="fixed"/>
          <w:tblLook w:val="04A0"/>
        </w:tblPrEx>
        <w:trPr>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sz w:val="18"/>
                <w:szCs w:val="18"/>
              </w:rPr>
              <w:t>工作频率</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34.5GHz</w:t>
            </w:r>
            <w:r>
              <w:rPr>
                <w:rFonts w:ascii="宋体" w:eastAsia="宋体" w:hAnsi="宋体" w:hint="eastAsia"/>
                <w:sz w:val="18"/>
                <w:szCs w:val="18"/>
              </w:rPr>
              <w:t>～</w:t>
            </w:r>
            <w:r>
              <w:rPr>
                <w:rFonts w:ascii="宋体" w:eastAsia="宋体" w:hAnsi="宋体" w:hint="eastAsia"/>
                <w:sz w:val="18"/>
                <w:szCs w:val="18"/>
              </w:rPr>
              <w:t>35.5GHz</w:t>
            </w:r>
          </w:p>
        </w:tc>
      </w:tr>
      <w:tr>
        <w:tblPrEx>
          <w:tblW w:w="8587" w:type="dxa"/>
          <w:jc w:val="center"/>
          <w:tblLayout w:type="fixed"/>
          <w:tblLook w:val="04A0"/>
        </w:tblPrEx>
        <w:trPr>
          <w:trHeight w:val="90"/>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噪声系数</w:t>
            </w:r>
            <w:r>
              <w:rPr>
                <w:rFonts w:ascii="宋体" w:eastAsia="宋体" w:hAnsi="宋体" w:hint="eastAsia"/>
                <w:sz w:val="18"/>
                <w:szCs w:val="18"/>
              </w:rPr>
              <w:t>（不含环形器和限幅器）</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5</w:t>
            </w:r>
            <w:r>
              <w:rPr>
                <w:rFonts w:ascii="宋体" w:eastAsia="宋体" w:hAnsi="宋体"/>
                <w:sz w:val="18"/>
                <w:szCs w:val="18"/>
              </w:rPr>
              <w:t>dB</w:t>
            </w:r>
          </w:p>
        </w:tc>
      </w:tr>
      <w:tr>
        <w:tblPrEx>
          <w:tblW w:w="8587" w:type="dxa"/>
          <w:jc w:val="center"/>
          <w:tblLayout w:type="fixed"/>
          <w:tblLook w:val="04A0"/>
        </w:tblPrEx>
        <w:trPr>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线性动态范围</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8</w:t>
            </w:r>
            <w:r>
              <w:rPr>
                <w:rFonts w:ascii="宋体" w:eastAsia="宋体" w:hAnsi="宋体"/>
                <w:sz w:val="18"/>
                <w:szCs w:val="18"/>
              </w:rPr>
              <w:t>0dB</w:t>
            </w:r>
            <w:r>
              <w:rPr>
                <w:rFonts w:ascii="宋体" w:eastAsia="宋体" w:hAnsi="宋体"/>
                <w:sz w:val="18"/>
                <w:szCs w:val="18"/>
              </w:rPr>
              <w:t>（带宽</w:t>
            </w:r>
            <w:r>
              <w:rPr>
                <w:rFonts w:ascii="宋体" w:eastAsia="宋体" w:hAnsi="宋体" w:hint="eastAsia"/>
                <w:sz w:val="18"/>
                <w:szCs w:val="18"/>
              </w:rPr>
              <w:t>1</w:t>
            </w:r>
            <w:r>
              <w:rPr>
                <w:rFonts w:ascii="宋体" w:eastAsia="宋体" w:hAnsi="宋体"/>
                <w:sz w:val="18"/>
                <w:szCs w:val="18"/>
              </w:rPr>
              <w:t>MHz</w:t>
            </w:r>
            <w:r>
              <w:rPr>
                <w:rFonts w:ascii="宋体" w:eastAsia="宋体" w:hAnsi="宋体"/>
                <w:sz w:val="18"/>
                <w:szCs w:val="18"/>
              </w:rPr>
              <w:t>）</w:t>
            </w:r>
          </w:p>
        </w:tc>
      </w:tr>
      <w:tr>
        <w:tblPrEx>
          <w:tblW w:w="8587" w:type="dxa"/>
          <w:jc w:val="center"/>
          <w:tblLayout w:type="fixed"/>
          <w:tblLook w:val="04A0"/>
        </w:tblPrEx>
        <w:trPr>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最小可测功率（灵敏度）</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sz w:val="18"/>
                <w:szCs w:val="18"/>
              </w:rPr>
              <w:t>≤-100dBm</w:t>
            </w:r>
            <w:r>
              <w:rPr>
                <w:rFonts w:ascii="宋体" w:eastAsia="宋体" w:hAnsi="宋体"/>
                <w:sz w:val="18"/>
                <w:szCs w:val="18"/>
              </w:rPr>
              <w:t>（带宽</w:t>
            </w:r>
            <w:r>
              <w:rPr>
                <w:rFonts w:ascii="宋体" w:eastAsia="宋体" w:hAnsi="宋体"/>
                <w:sz w:val="18"/>
                <w:szCs w:val="18"/>
              </w:rPr>
              <w:t>5MHz</w:t>
            </w:r>
            <w:r>
              <w:rPr>
                <w:rFonts w:ascii="宋体" w:eastAsia="宋体" w:hAnsi="宋体"/>
                <w:sz w:val="18"/>
                <w:szCs w:val="18"/>
              </w:rPr>
              <w:t>）</w:t>
            </w:r>
          </w:p>
        </w:tc>
      </w:tr>
      <w:tr>
        <w:tblPrEx>
          <w:tblW w:w="8587" w:type="dxa"/>
          <w:jc w:val="center"/>
          <w:tblLayout w:type="fixed"/>
          <w:tblLook w:val="04A0"/>
        </w:tblPrEx>
        <w:trPr>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sz w:val="18"/>
                <w:szCs w:val="18"/>
              </w:rPr>
              <w:t>镜频抑制</w:t>
            </w:r>
            <w:r>
              <w:rPr>
                <w:rFonts w:ascii="宋体" w:eastAsia="宋体" w:hAnsi="宋体"/>
                <w:sz w:val="18"/>
                <w:szCs w:val="18"/>
              </w:rPr>
              <w:t>度</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sz w:val="18"/>
                <w:szCs w:val="18"/>
              </w:rPr>
              <w:t>≥60dB</w:t>
            </w:r>
          </w:p>
        </w:tc>
      </w:tr>
      <w:tr>
        <w:tblPrEx>
          <w:tblW w:w="8587" w:type="dxa"/>
          <w:jc w:val="center"/>
          <w:tblLayout w:type="fixed"/>
          <w:tblLook w:val="04A0"/>
        </w:tblPrEx>
        <w:trPr>
          <w:jc w:val="center"/>
        </w:trPr>
        <w:tc>
          <w:tcPr>
            <w:tcW w:w="3886" w:type="dxa"/>
            <w:vAlign w:val="center"/>
          </w:tcPr>
          <w:p w:rsidR="00253CAB">
            <w:pPr>
              <w:adjustRightInd w:val="0"/>
              <w:snapToGrid w:val="0"/>
              <w:rPr>
                <w:rFonts w:ascii="宋体" w:eastAsia="宋体" w:hAnsi="宋体"/>
                <w:sz w:val="18"/>
                <w:szCs w:val="18"/>
              </w:rPr>
            </w:pPr>
            <w:r>
              <w:rPr>
                <w:rFonts w:ascii="宋体" w:eastAsia="宋体" w:hAnsi="宋体"/>
                <w:sz w:val="18"/>
                <w:szCs w:val="18"/>
              </w:rPr>
              <w:t>中频输出杂散</w:t>
            </w:r>
          </w:p>
        </w:tc>
        <w:tc>
          <w:tcPr>
            <w:tcW w:w="4701" w:type="dxa"/>
            <w:vAlign w:val="center"/>
          </w:tcPr>
          <w:p w:rsidR="00253CAB">
            <w:pPr>
              <w:adjustRightInd w:val="0"/>
              <w:snapToGrid w:val="0"/>
              <w:rPr>
                <w:rFonts w:ascii="宋体" w:eastAsia="宋体" w:hAnsi="宋体"/>
                <w:sz w:val="18"/>
                <w:szCs w:val="18"/>
              </w:rPr>
            </w:pPr>
            <w:r>
              <w:rPr>
                <w:rFonts w:ascii="宋体" w:eastAsia="宋体" w:hAnsi="宋体"/>
                <w:sz w:val="18"/>
                <w:szCs w:val="18"/>
              </w:rPr>
              <w:t>≤-60dBc</w:t>
            </w:r>
          </w:p>
        </w:tc>
      </w:tr>
      <w:tr>
        <w:tblPrEx>
          <w:tblW w:w="8587" w:type="dxa"/>
          <w:jc w:val="center"/>
          <w:tblLayout w:type="fixed"/>
          <w:tblLook w:val="04A0"/>
        </w:tblPrEx>
        <w:trPr>
          <w:jc w:val="center"/>
        </w:trPr>
        <w:tc>
          <w:tcPr>
            <w:tcW w:w="3886"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谐波和杂散抑制</w:t>
            </w:r>
          </w:p>
        </w:tc>
        <w:tc>
          <w:tcPr>
            <w:tcW w:w="470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≥60dB</w:t>
            </w:r>
          </w:p>
        </w:tc>
      </w:tr>
      <w:tr>
        <w:tblPrEx>
          <w:tblW w:w="8587" w:type="dxa"/>
          <w:jc w:val="center"/>
          <w:tblLayout w:type="fixed"/>
          <w:tblLook w:val="04A0"/>
        </w:tblPrEx>
        <w:trPr>
          <w:jc w:val="center"/>
        </w:trPr>
        <w:tc>
          <w:tcPr>
            <w:tcW w:w="3886"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数字中频</w:t>
            </w:r>
            <w:r>
              <w:rPr>
                <w:rFonts w:ascii="宋体" w:eastAsia="宋体" w:hAnsi="宋体"/>
                <w:sz w:val="18"/>
                <w:szCs w:val="18"/>
              </w:rPr>
              <w:t>A/D</w:t>
            </w:r>
            <w:r>
              <w:rPr>
                <w:rFonts w:ascii="宋体" w:eastAsia="宋体" w:hAnsi="宋体"/>
                <w:sz w:val="18"/>
                <w:szCs w:val="18"/>
              </w:rPr>
              <w:t>位数</w:t>
            </w:r>
          </w:p>
        </w:tc>
        <w:tc>
          <w:tcPr>
            <w:tcW w:w="4701" w:type="dxa"/>
            <w:tcBorders>
              <w:top w:val="single" w:sz="4" w:space="0" w:color="auto"/>
              <w:left w:val="single" w:sz="4" w:space="0" w:color="auto"/>
              <w:bottom w:val="single" w:sz="4" w:space="0" w:color="auto"/>
              <w:right w:val="single" w:sz="4" w:space="0" w:color="auto"/>
            </w:tcBorders>
            <w:vAlign w:val="center"/>
          </w:tcPr>
          <w:p w:rsidR="00253CAB">
            <w:pPr>
              <w:adjustRightInd w:val="0"/>
              <w:snapToGrid w:val="0"/>
              <w:rPr>
                <w:rFonts w:ascii="宋体" w:eastAsia="宋体" w:hAnsi="宋体"/>
                <w:sz w:val="18"/>
                <w:szCs w:val="18"/>
              </w:rPr>
            </w:pPr>
            <w:r>
              <w:rPr>
                <w:rFonts w:ascii="宋体" w:eastAsia="宋体" w:hAnsi="宋体"/>
                <w:sz w:val="18"/>
                <w:szCs w:val="18"/>
              </w:rPr>
              <w:t>≥16</w:t>
            </w:r>
            <w:r>
              <w:rPr>
                <w:rFonts w:ascii="宋体" w:eastAsia="宋体" w:hAnsi="宋体"/>
                <w:sz w:val="18"/>
                <w:szCs w:val="18"/>
              </w:rPr>
              <w:t>位</w:t>
            </w:r>
          </w:p>
        </w:tc>
      </w:tr>
    </w:tbl>
    <w:p w:rsidR="00253CAB">
      <w:pPr>
        <w:adjustRightInd w:val="0"/>
        <w:snapToGrid w:val="0"/>
        <w:spacing w:line="360" w:lineRule="auto"/>
        <w:jc w:val="center"/>
        <w:rPr>
          <w:rFonts w:eastAsia="黑体"/>
          <w:bCs/>
          <w:szCs w:val="21"/>
        </w:rPr>
      </w:pPr>
    </w:p>
    <w:p w:rsidR="00253CAB">
      <w:pPr>
        <w:adjustRightInd w:val="0"/>
        <w:snapToGrid w:val="0"/>
        <w:spacing w:line="360" w:lineRule="auto"/>
        <w:jc w:val="center"/>
        <w:rPr>
          <w:rFonts w:eastAsia="黑体"/>
          <w:bCs/>
          <w:szCs w:val="21"/>
        </w:rPr>
      </w:pPr>
      <w:r>
        <w:rPr>
          <w:rFonts w:eastAsia="黑体"/>
          <w:bCs/>
          <w:szCs w:val="21"/>
        </w:rPr>
        <w:t>信号处理</w:t>
      </w:r>
      <w:r>
        <w:rPr>
          <w:rFonts w:eastAsia="黑体" w:hint="eastAsia"/>
          <w:bCs/>
          <w:szCs w:val="21"/>
        </w:rPr>
        <w:t>器</w:t>
      </w:r>
      <w:r>
        <w:rPr>
          <w:rFonts w:eastAsia="黑体"/>
          <w:bCs/>
          <w:szCs w:val="21"/>
        </w:rPr>
        <w:t>性能指标表</w:t>
      </w:r>
    </w:p>
    <w:tbl>
      <w:tblPr>
        <w:tblStyle w:val="TableNormal"/>
        <w:tblW w:w="8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26"/>
        <w:gridCol w:w="4765"/>
      </w:tblGrid>
      <w:tr>
        <w:tblPrEx>
          <w:tblW w:w="85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44"/>
          <w:jc w:val="center"/>
        </w:trPr>
        <w:tc>
          <w:tcPr>
            <w:tcW w:w="3826" w:type="dxa"/>
            <w:vAlign w:val="center"/>
          </w:tcPr>
          <w:p w:rsidR="00253CAB">
            <w:pPr>
              <w:adjustRightInd w:val="0"/>
              <w:snapToGrid w:val="0"/>
              <w:jc w:val="center"/>
              <w:rPr>
                <w:rFonts w:ascii="宋体" w:eastAsia="宋体" w:hAnsi="宋体"/>
                <w:sz w:val="18"/>
                <w:szCs w:val="18"/>
              </w:rPr>
            </w:pPr>
            <w:r>
              <w:rPr>
                <w:rFonts w:ascii="宋体" w:eastAsia="宋体" w:hAnsi="宋体"/>
                <w:sz w:val="18"/>
                <w:szCs w:val="18"/>
              </w:rPr>
              <w:t>项目</w:t>
            </w:r>
          </w:p>
        </w:tc>
        <w:tc>
          <w:tcPr>
            <w:tcW w:w="4765" w:type="dxa"/>
            <w:vAlign w:val="center"/>
          </w:tcPr>
          <w:p w:rsidR="00253CAB">
            <w:pPr>
              <w:adjustRightInd w:val="0"/>
              <w:snapToGrid w:val="0"/>
              <w:jc w:val="center"/>
              <w:rPr>
                <w:rFonts w:ascii="宋体" w:eastAsia="宋体" w:hAnsi="宋体"/>
                <w:sz w:val="18"/>
                <w:szCs w:val="18"/>
              </w:rPr>
            </w:pPr>
            <w:r>
              <w:rPr>
                <w:rFonts w:ascii="宋体" w:eastAsia="宋体" w:hAnsi="宋体"/>
                <w:sz w:val="18"/>
                <w:szCs w:val="18"/>
              </w:rPr>
              <w:t>性能指标</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脉冲压缩主副瓣比</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≥40dB</w:t>
            </w:r>
            <w:r>
              <w:rPr>
                <w:rFonts w:ascii="宋体" w:eastAsia="宋体" w:hAnsi="宋体"/>
                <w:sz w:val="18"/>
                <w:szCs w:val="18"/>
              </w:rPr>
              <w:t>（脉压比</w:t>
            </w:r>
            <w:r>
              <w:rPr>
                <w:rFonts w:ascii="宋体" w:eastAsia="宋体" w:hAnsi="宋体"/>
                <w:sz w:val="18"/>
                <w:szCs w:val="18"/>
              </w:rPr>
              <w:t>≥100</w:t>
            </w:r>
            <w:r>
              <w:rPr>
                <w:rFonts w:ascii="宋体" w:eastAsia="宋体" w:hAnsi="宋体"/>
                <w:sz w:val="18"/>
                <w:szCs w:val="18"/>
              </w:rPr>
              <w:t>）</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距离库长度</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30m</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距离库数</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w:t>
            </w:r>
            <w:r>
              <w:rPr>
                <w:rFonts w:ascii="宋体" w:eastAsia="宋体" w:hAnsi="宋体" w:hint="eastAsia"/>
                <w:sz w:val="18"/>
                <w:szCs w:val="18"/>
              </w:rPr>
              <w:t>1</w:t>
            </w:r>
            <w:r>
              <w:rPr>
                <w:rFonts w:ascii="宋体" w:eastAsia="宋体" w:hAnsi="宋体"/>
                <w:sz w:val="18"/>
                <w:szCs w:val="18"/>
              </w:rPr>
              <w:t>000</w:t>
            </w:r>
            <w:r>
              <w:rPr>
                <w:rFonts w:ascii="宋体" w:eastAsia="宋体" w:hAnsi="宋体"/>
                <w:sz w:val="18"/>
                <w:szCs w:val="18"/>
              </w:rPr>
              <w:t>个</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处理方式</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FFT</w:t>
            </w:r>
            <w:r>
              <w:rPr>
                <w:rFonts w:ascii="宋体" w:eastAsia="宋体" w:hAnsi="宋体" w:hint="eastAsia"/>
                <w:sz w:val="18"/>
                <w:szCs w:val="18"/>
              </w:rPr>
              <w:t>（</w:t>
            </w:r>
            <w:r>
              <w:rPr>
                <w:rFonts w:ascii="宋体" w:eastAsia="宋体" w:hAnsi="宋体" w:hint="eastAsia"/>
                <w:sz w:val="18"/>
                <w:szCs w:val="18"/>
              </w:rPr>
              <w:t>FFT</w:t>
            </w:r>
            <w:r>
              <w:rPr>
                <w:rFonts w:ascii="宋体" w:eastAsia="宋体" w:hAnsi="宋体" w:hint="eastAsia"/>
                <w:sz w:val="18"/>
                <w:szCs w:val="18"/>
              </w:rPr>
              <w:t>点数：</w:t>
            </w:r>
            <w:r>
              <w:rPr>
                <w:rFonts w:ascii="宋体" w:eastAsia="宋体" w:hAnsi="宋体"/>
                <w:sz w:val="18"/>
                <w:szCs w:val="18"/>
              </w:rPr>
              <w:t>32</w:t>
            </w:r>
            <w:r>
              <w:rPr>
                <w:rFonts w:ascii="宋体" w:eastAsia="宋体" w:hAnsi="宋体" w:hint="eastAsia"/>
                <w:sz w:val="18"/>
                <w:szCs w:val="18"/>
              </w:rPr>
              <w:t>～</w:t>
            </w:r>
            <w:r>
              <w:rPr>
                <w:rFonts w:ascii="宋体" w:eastAsia="宋体" w:hAnsi="宋体"/>
                <w:sz w:val="18"/>
                <w:szCs w:val="18"/>
              </w:rPr>
              <w:t>1024</w:t>
            </w:r>
            <w:r>
              <w:rPr>
                <w:rFonts w:ascii="宋体" w:eastAsia="宋体" w:hAnsi="宋体" w:hint="eastAsia"/>
                <w:sz w:val="18"/>
                <w:szCs w:val="18"/>
              </w:rPr>
              <w:t>）</w:t>
            </w:r>
            <w:r>
              <w:rPr>
                <w:rFonts w:ascii="宋体" w:eastAsia="宋体" w:hAnsi="宋体"/>
                <w:sz w:val="18"/>
                <w:szCs w:val="18"/>
              </w:rPr>
              <w:t>/PPP</w:t>
            </w:r>
            <w:r>
              <w:rPr>
                <w:rFonts w:ascii="宋体" w:eastAsia="宋体" w:hAnsi="宋体" w:hint="eastAsia"/>
                <w:sz w:val="18"/>
                <w:szCs w:val="18"/>
              </w:rPr>
              <w:t>（</w:t>
            </w:r>
            <w:r>
              <w:rPr>
                <w:rFonts w:ascii="宋体" w:eastAsia="宋体" w:hAnsi="宋体"/>
                <w:sz w:val="18"/>
                <w:szCs w:val="18"/>
              </w:rPr>
              <w:t>处理对数</w:t>
            </w:r>
            <w:r>
              <w:rPr>
                <w:rFonts w:ascii="宋体" w:eastAsia="宋体" w:hAnsi="宋体" w:hint="eastAsia"/>
                <w:sz w:val="18"/>
                <w:szCs w:val="18"/>
              </w:rPr>
              <w:t>：</w:t>
            </w:r>
            <w:r>
              <w:rPr>
                <w:rFonts w:ascii="宋体" w:eastAsia="宋体" w:hAnsi="宋体"/>
                <w:sz w:val="18"/>
                <w:szCs w:val="18"/>
              </w:rPr>
              <w:t>16</w:t>
            </w:r>
            <w:r>
              <w:rPr>
                <w:rFonts w:ascii="宋体" w:eastAsia="宋体" w:hAnsi="宋体" w:hint="eastAsia"/>
                <w:sz w:val="18"/>
                <w:szCs w:val="18"/>
              </w:rPr>
              <w:t>～</w:t>
            </w:r>
            <w:r>
              <w:rPr>
                <w:rFonts w:ascii="宋体" w:eastAsia="宋体" w:hAnsi="宋体" w:hint="eastAsia"/>
                <w:sz w:val="18"/>
                <w:szCs w:val="18"/>
              </w:rPr>
              <w:t>1024</w:t>
            </w:r>
            <w:r>
              <w:rPr>
                <w:rFonts w:ascii="宋体" w:eastAsia="宋体" w:hAnsi="宋体" w:hint="eastAsia"/>
                <w:sz w:val="18"/>
                <w:szCs w:val="18"/>
              </w:rPr>
              <w:t>）</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相关系数处理方式</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一</w:t>
            </w:r>
            <w:r>
              <w:rPr>
                <w:rFonts w:ascii="宋体" w:eastAsia="宋体" w:hAnsi="宋体"/>
                <w:sz w:val="18"/>
                <w:szCs w:val="18"/>
              </w:rPr>
              <w:t>阶相关</w:t>
            </w:r>
            <w:r>
              <w:rPr>
                <w:rFonts w:ascii="宋体" w:eastAsia="宋体" w:hAnsi="宋体"/>
                <w:sz w:val="18"/>
                <w:szCs w:val="18"/>
              </w:rPr>
              <w:t>或多</w:t>
            </w:r>
            <w:r>
              <w:rPr>
                <w:rFonts w:ascii="宋体" w:eastAsia="宋体" w:hAnsi="宋体"/>
                <w:sz w:val="18"/>
                <w:szCs w:val="18"/>
              </w:rPr>
              <w:t>阶相关</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w:t>
            </w:r>
            <w:r>
              <w:rPr>
                <w:rFonts w:ascii="宋体" w:eastAsia="宋体" w:hAnsi="宋体"/>
                <w:sz w:val="18"/>
                <w:szCs w:val="18"/>
              </w:rPr>
              <w:t>地物杂波抑制比</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≥4</w:t>
            </w:r>
            <w:r>
              <w:rPr>
                <w:rFonts w:ascii="宋体" w:eastAsia="宋体" w:hAnsi="宋体" w:hint="eastAsia"/>
                <w:sz w:val="18"/>
                <w:szCs w:val="18"/>
              </w:rPr>
              <w:t>2</w:t>
            </w:r>
            <w:r>
              <w:rPr>
                <w:rFonts w:ascii="宋体" w:eastAsia="宋体" w:hAnsi="宋体"/>
                <w:sz w:val="18"/>
                <w:szCs w:val="18"/>
              </w:rPr>
              <w:t>dB</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bookmarkStart w:id="60" w:name="_Hlk523994884"/>
            <w:r>
              <w:rPr>
                <w:rFonts w:ascii="宋体" w:eastAsia="宋体" w:hAnsi="宋体"/>
                <w:sz w:val="18"/>
                <w:szCs w:val="18"/>
              </w:rPr>
              <w:t>距离退</w:t>
            </w:r>
            <w:r>
              <w:rPr>
                <w:rFonts w:ascii="宋体" w:eastAsia="宋体" w:hAnsi="宋体" w:hint="eastAsia"/>
                <w:sz w:val="18"/>
                <w:szCs w:val="18"/>
              </w:rPr>
              <w:t>折叠</w:t>
            </w:r>
            <w:r>
              <w:rPr>
                <w:rFonts w:ascii="宋体" w:eastAsia="宋体" w:hAnsi="宋体"/>
                <w:sz w:val="18"/>
                <w:szCs w:val="18"/>
              </w:rPr>
              <w:t>方法</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相位编码或其他等效方法</w:t>
            </w:r>
          </w:p>
        </w:tc>
      </w:tr>
      <w:tr>
        <w:tblPrEx>
          <w:tblW w:w="8591" w:type="dxa"/>
          <w:jc w:val="center"/>
          <w:tblLayout w:type="fixed"/>
          <w:tblLook w:val="04A0"/>
        </w:tblPrEx>
        <w:trPr>
          <w:jc w:val="center"/>
        </w:trPr>
        <w:tc>
          <w:tcPr>
            <w:tcW w:w="3826" w:type="dxa"/>
            <w:vAlign w:val="center"/>
          </w:tcPr>
          <w:p w:rsidR="00253CAB">
            <w:pPr>
              <w:adjustRightInd w:val="0"/>
              <w:snapToGrid w:val="0"/>
              <w:rPr>
                <w:rFonts w:ascii="宋体" w:eastAsia="宋体" w:hAnsi="宋体"/>
                <w:sz w:val="18"/>
                <w:szCs w:val="18"/>
              </w:rPr>
            </w:pPr>
            <w:r>
              <w:rPr>
                <w:rFonts w:ascii="宋体" w:eastAsia="宋体" w:hAnsi="宋体"/>
                <w:sz w:val="18"/>
                <w:szCs w:val="18"/>
              </w:rPr>
              <w:t>速度退模糊方法</w:t>
            </w:r>
          </w:p>
        </w:tc>
        <w:tc>
          <w:tcPr>
            <w:tcW w:w="4765" w:type="dxa"/>
            <w:vAlign w:val="center"/>
          </w:tcPr>
          <w:p w:rsidR="00253CAB">
            <w:pPr>
              <w:adjustRightInd w:val="0"/>
              <w:snapToGrid w:val="0"/>
              <w:rPr>
                <w:rFonts w:ascii="宋体" w:eastAsia="宋体" w:hAnsi="宋体"/>
                <w:sz w:val="18"/>
                <w:szCs w:val="18"/>
              </w:rPr>
            </w:pPr>
            <w:r>
              <w:rPr>
                <w:rFonts w:ascii="宋体" w:eastAsia="宋体" w:hAnsi="宋体"/>
                <w:sz w:val="18"/>
                <w:szCs w:val="18"/>
              </w:rPr>
              <w:t>双</w:t>
            </w:r>
            <w:r>
              <w:rPr>
                <w:rFonts w:ascii="宋体" w:eastAsia="宋体" w:hAnsi="宋体" w:hint="eastAsia"/>
                <w:sz w:val="18"/>
                <w:szCs w:val="18"/>
              </w:rPr>
              <w:t>重频</w:t>
            </w:r>
            <w:r>
              <w:rPr>
                <w:rFonts w:ascii="宋体" w:eastAsia="宋体" w:hAnsi="宋体"/>
                <w:sz w:val="18"/>
                <w:szCs w:val="18"/>
              </w:rPr>
              <w:t>或其他等效方法</w:t>
            </w:r>
          </w:p>
        </w:tc>
      </w:tr>
      <w:bookmarkEnd w:id="60"/>
    </w:tbl>
    <w:p w:rsidR="00253CAB">
      <w:pPr>
        <w:spacing w:line="360" w:lineRule="auto"/>
        <w:rPr>
          <w:rFonts w:ascii="宋体" w:hAnsi="宋体"/>
          <w:szCs w:val="21"/>
        </w:rPr>
      </w:pPr>
    </w:p>
    <w:p w:rsidR="00253CAB">
      <w:pPr>
        <w:adjustRightInd w:val="0"/>
        <w:snapToGrid w:val="0"/>
        <w:spacing w:line="360" w:lineRule="auto"/>
        <w:jc w:val="center"/>
        <w:rPr>
          <w:rFonts w:eastAsia="黑体"/>
          <w:bCs/>
          <w:szCs w:val="21"/>
        </w:rPr>
      </w:pPr>
      <w:r>
        <w:rPr>
          <w:rFonts w:eastAsia="黑体" w:hint="eastAsia"/>
          <w:bCs/>
          <w:szCs w:val="21"/>
        </w:rPr>
        <w:t>气象产品要求</w:t>
      </w:r>
      <w:r>
        <w:rPr>
          <w:rFonts w:eastAsia="黑体"/>
          <w:bCs/>
          <w:szCs w:val="21"/>
        </w:rPr>
        <w:t>表</w:t>
      </w:r>
    </w:p>
    <w:tbl>
      <w:tblPr>
        <w:tblStyle w:val="TableNormal"/>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841"/>
        <w:gridCol w:w="4774"/>
      </w:tblGrid>
      <w:tr>
        <w:tblPrEx>
          <w:tblW w:w="86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85"/>
          <w:jc w:val="center"/>
        </w:trPr>
        <w:tc>
          <w:tcPr>
            <w:tcW w:w="3841" w:type="dxa"/>
            <w:vAlign w:val="center"/>
          </w:tcPr>
          <w:p w:rsidR="00253CAB">
            <w:pPr>
              <w:adjustRightInd w:val="0"/>
              <w:snapToGrid w:val="0"/>
              <w:jc w:val="center"/>
              <w:rPr>
                <w:rFonts w:ascii="宋体" w:eastAsia="宋体" w:hAnsi="宋体"/>
                <w:sz w:val="18"/>
                <w:szCs w:val="18"/>
              </w:rPr>
            </w:pPr>
            <w:r>
              <w:rPr>
                <w:rFonts w:ascii="宋体" w:eastAsia="宋体" w:hAnsi="宋体" w:hint="eastAsia"/>
                <w:sz w:val="18"/>
                <w:szCs w:val="18"/>
              </w:rPr>
              <w:t>产品类型</w:t>
            </w:r>
          </w:p>
        </w:tc>
        <w:tc>
          <w:tcPr>
            <w:tcW w:w="4774" w:type="dxa"/>
            <w:vAlign w:val="center"/>
          </w:tcPr>
          <w:p w:rsidR="00253CAB">
            <w:pPr>
              <w:adjustRightInd w:val="0"/>
              <w:snapToGrid w:val="0"/>
              <w:jc w:val="center"/>
              <w:rPr>
                <w:rFonts w:ascii="宋体" w:eastAsia="宋体" w:hAnsi="宋体"/>
                <w:sz w:val="18"/>
                <w:szCs w:val="18"/>
              </w:rPr>
            </w:pPr>
            <w:r>
              <w:rPr>
                <w:rFonts w:ascii="宋体" w:eastAsia="宋体" w:hAnsi="宋体" w:hint="eastAsia"/>
                <w:sz w:val="18"/>
                <w:szCs w:val="18"/>
              </w:rPr>
              <w:t>产品名称</w:t>
            </w:r>
          </w:p>
        </w:tc>
      </w:tr>
      <w:tr>
        <w:tblPrEx>
          <w:tblW w:w="8615" w:type="dxa"/>
          <w:jc w:val="center"/>
          <w:tblLayout w:type="fixed"/>
          <w:tblLook w:val="04A0"/>
        </w:tblPrEx>
        <w:trPr>
          <w:jc w:val="center"/>
        </w:trPr>
        <w:tc>
          <w:tcPr>
            <w:tcW w:w="3841"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原始数据产品</w:t>
            </w:r>
          </w:p>
        </w:tc>
        <w:tc>
          <w:tcPr>
            <w:tcW w:w="4774"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功率谱（</w:t>
            </w:r>
            <w:r>
              <w:rPr>
                <w:rFonts w:ascii="宋体" w:eastAsia="宋体" w:hAnsi="宋体" w:hint="eastAsia"/>
                <w:sz w:val="18"/>
                <w:szCs w:val="18"/>
              </w:rPr>
              <w:t>FFT</w:t>
            </w:r>
            <w:r>
              <w:rPr>
                <w:rFonts w:ascii="宋体" w:eastAsia="宋体" w:hAnsi="宋体" w:hint="eastAsia"/>
                <w:sz w:val="18"/>
                <w:szCs w:val="18"/>
              </w:rPr>
              <w:t>）</w:t>
            </w:r>
          </w:p>
        </w:tc>
      </w:tr>
      <w:tr>
        <w:tblPrEx>
          <w:tblW w:w="8615" w:type="dxa"/>
          <w:jc w:val="center"/>
          <w:tblLayout w:type="fixed"/>
          <w:tblLook w:val="04A0"/>
        </w:tblPrEx>
        <w:trPr>
          <w:jc w:val="center"/>
        </w:trPr>
        <w:tc>
          <w:tcPr>
            <w:tcW w:w="3841"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基数</w:t>
            </w:r>
            <w:r>
              <w:rPr>
                <w:rFonts w:ascii="宋体" w:eastAsia="宋体" w:hAnsi="宋体" w:hint="eastAsia"/>
                <w:sz w:val="18"/>
                <w:szCs w:val="18"/>
              </w:rPr>
              <w:t>据产品</w:t>
            </w:r>
          </w:p>
        </w:tc>
        <w:tc>
          <w:tcPr>
            <w:tcW w:w="4774"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反射率因子（</w:t>
            </w:r>
            <w:r>
              <w:rPr>
                <w:rFonts w:ascii="宋体" w:eastAsia="宋体" w:hAnsi="宋体" w:hint="eastAsia"/>
                <w:sz w:val="18"/>
                <w:szCs w:val="18"/>
              </w:rPr>
              <w:t>Z</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径向速度（</w:t>
            </w:r>
            <w:r>
              <w:rPr>
                <w:rFonts w:ascii="宋体" w:eastAsia="宋体" w:hAnsi="宋体"/>
                <w:sz w:val="18"/>
                <w:szCs w:val="18"/>
              </w:rPr>
              <w:t>V</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速度谱宽（</w:t>
            </w:r>
            <w:r>
              <w:rPr>
                <w:rFonts w:ascii="宋体" w:eastAsia="宋体" w:hAnsi="宋体" w:hint="eastAsia"/>
                <w:sz w:val="18"/>
                <w:szCs w:val="18"/>
              </w:rPr>
              <w:t>W</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信噪比（</w:t>
            </w:r>
            <w:r>
              <w:rPr>
                <w:rFonts w:ascii="宋体" w:eastAsia="宋体" w:hAnsi="宋体" w:hint="eastAsia"/>
                <w:sz w:val="18"/>
                <w:szCs w:val="18"/>
              </w:rPr>
              <w:t>SNR</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退偏振比（</w:t>
            </w:r>
            <w:r>
              <w:rPr>
                <w:rFonts w:ascii="宋体" w:eastAsia="宋体" w:hAnsi="宋体"/>
                <w:sz w:val="18"/>
                <w:szCs w:val="18"/>
              </w:rPr>
              <w:t>LDR</w:t>
            </w:r>
            <w:r>
              <w:rPr>
                <w:rFonts w:ascii="宋体" w:eastAsia="宋体" w:hAnsi="宋体" w:hint="eastAsia"/>
                <w:sz w:val="18"/>
                <w:szCs w:val="18"/>
              </w:rPr>
              <w:t>）（单发双收偏振模式）</w:t>
            </w:r>
          </w:p>
          <w:p w:rsidR="00253CAB">
            <w:pPr>
              <w:adjustRightInd w:val="0"/>
              <w:snapToGrid w:val="0"/>
              <w:rPr>
                <w:rFonts w:ascii="宋体" w:eastAsia="宋体" w:hAnsi="宋体"/>
                <w:sz w:val="18"/>
                <w:szCs w:val="18"/>
              </w:rPr>
            </w:pPr>
            <w:r>
              <w:rPr>
                <w:rFonts w:ascii="宋体" w:eastAsia="宋体" w:hAnsi="宋体" w:hint="eastAsia"/>
                <w:sz w:val="18"/>
                <w:szCs w:val="18"/>
              </w:rPr>
              <w:t>差分反射率因子（</w:t>
            </w:r>
            <w:r>
              <w:rPr>
                <w:rFonts w:ascii="宋体" w:eastAsia="宋体" w:hAnsi="宋体" w:hint="eastAsia"/>
                <w:sz w:val="18"/>
                <w:szCs w:val="18"/>
              </w:rPr>
              <w:t>ZDR</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差分传播相移（Φ</w:t>
            </w:r>
            <w:r>
              <w:rPr>
                <w:rFonts w:ascii="宋体" w:eastAsia="宋体" w:hAnsi="宋体" w:hint="eastAsia"/>
                <w:sz w:val="18"/>
                <w:szCs w:val="18"/>
              </w:rPr>
              <w:t>DP</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差分传播相移率（</w:t>
            </w:r>
            <w:r>
              <w:rPr>
                <w:rFonts w:ascii="宋体" w:eastAsia="宋体" w:hAnsi="宋体"/>
                <w:sz w:val="18"/>
                <w:szCs w:val="18"/>
              </w:rPr>
              <w:t>KDP</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相关系数（ρ</w:t>
            </w:r>
            <w:r>
              <w:rPr>
                <w:rFonts w:ascii="宋体" w:eastAsia="宋体" w:hAnsi="宋体" w:hint="eastAsia"/>
                <w:sz w:val="18"/>
                <w:szCs w:val="18"/>
              </w:rPr>
              <w:t>HV</w:t>
            </w:r>
            <w:r>
              <w:rPr>
                <w:rFonts w:ascii="宋体" w:eastAsia="宋体" w:hAnsi="宋体" w:hint="eastAsia"/>
                <w:sz w:val="18"/>
                <w:szCs w:val="18"/>
              </w:rPr>
              <w:t>）</w:t>
            </w:r>
          </w:p>
        </w:tc>
      </w:tr>
      <w:tr>
        <w:tblPrEx>
          <w:tblW w:w="8615" w:type="dxa"/>
          <w:jc w:val="center"/>
          <w:tblLayout w:type="fixed"/>
          <w:tblLook w:val="04A0"/>
        </w:tblPrEx>
        <w:trPr>
          <w:jc w:val="center"/>
        </w:trPr>
        <w:tc>
          <w:tcPr>
            <w:tcW w:w="3841"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物理量产品</w:t>
            </w:r>
          </w:p>
        </w:tc>
        <w:tc>
          <w:tcPr>
            <w:tcW w:w="4774" w:type="dxa"/>
            <w:vAlign w:val="center"/>
          </w:tcPr>
          <w:p w:rsidR="00253CAB">
            <w:pPr>
              <w:adjustRightInd w:val="0"/>
              <w:snapToGrid w:val="0"/>
              <w:rPr>
                <w:rFonts w:ascii="宋体" w:eastAsia="宋体" w:hAnsi="宋体"/>
                <w:sz w:val="18"/>
                <w:szCs w:val="18"/>
              </w:rPr>
            </w:pPr>
            <w:r>
              <w:rPr>
                <w:rFonts w:ascii="宋体" w:eastAsia="宋体" w:hAnsi="宋体" w:hint="eastAsia"/>
                <w:sz w:val="18"/>
                <w:szCs w:val="18"/>
              </w:rPr>
              <w:t>云顶高度（</w:t>
            </w:r>
            <w:r>
              <w:rPr>
                <w:rFonts w:ascii="宋体" w:eastAsia="宋体" w:hAnsi="宋体" w:hint="eastAsia"/>
                <w:sz w:val="18"/>
                <w:szCs w:val="18"/>
              </w:rPr>
              <w:t>CT</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云底高度（</w:t>
            </w:r>
            <w:r>
              <w:rPr>
                <w:rFonts w:ascii="宋体" w:eastAsia="宋体" w:hAnsi="宋体" w:hint="eastAsia"/>
                <w:sz w:val="18"/>
                <w:szCs w:val="18"/>
              </w:rPr>
              <w:t>CB</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云量（</w:t>
            </w:r>
            <w:r>
              <w:rPr>
                <w:rFonts w:ascii="宋体" w:eastAsia="宋体" w:hAnsi="宋体" w:hint="eastAsia"/>
                <w:sz w:val="18"/>
                <w:szCs w:val="18"/>
              </w:rPr>
              <w:t>C</w:t>
            </w:r>
            <w:r>
              <w:rPr>
                <w:rFonts w:ascii="宋体" w:eastAsia="宋体" w:hAnsi="宋体"/>
                <w:sz w:val="18"/>
                <w:szCs w:val="18"/>
              </w:rPr>
              <w:t>C</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云粒子相态（</w:t>
            </w:r>
            <w:r>
              <w:rPr>
                <w:rFonts w:ascii="宋体" w:eastAsia="宋体" w:hAnsi="宋体"/>
                <w:sz w:val="18"/>
                <w:szCs w:val="18"/>
              </w:rPr>
              <w:t>CHCL</w:t>
            </w:r>
            <w:r>
              <w:rPr>
                <w:rFonts w:ascii="宋体" w:eastAsia="宋体" w:hAnsi="宋体" w:hint="eastAsia"/>
                <w:sz w:val="18"/>
                <w:szCs w:val="18"/>
              </w:rPr>
              <w:t>）</w:t>
            </w:r>
          </w:p>
          <w:p w:rsidR="00253CAB">
            <w:pPr>
              <w:adjustRightInd w:val="0"/>
              <w:snapToGrid w:val="0"/>
              <w:rPr>
                <w:rFonts w:ascii="宋体" w:eastAsia="宋体" w:hAnsi="宋体"/>
                <w:sz w:val="18"/>
                <w:szCs w:val="18"/>
              </w:rPr>
            </w:pPr>
            <w:r>
              <w:rPr>
                <w:rFonts w:ascii="宋体" w:eastAsia="宋体" w:hAnsi="宋体" w:hint="eastAsia"/>
                <w:sz w:val="18"/>
                <w:szCs w:val="18"/>
              </w:rPr>
              <w:t>零度层高度（</w:t>
            </w:r>
            <w:r>
              <w:rPr>
                <w:rFonts w:ascii="宋体" w:eastAsia="宋体" w:hAnsi="宋体" w:hint="eastAsia"/>
                <w:sz w:val="18"/>
                <w:szCs w:val="18"/>
              </w:rPr>
              <w:t>BB</w:t>
            </w:r>
            <w:r>
              <w:rPr>
                <w:rFonts w:ascii="宋体" w:eastAsia="宋体" w:hAnsi="宋体" w:hint="eastAsia"/>
                <w:sz w:val="18"/>
                <w:szCs w:val="18"/>
              </w:rPr>
              <w:t>）</w:t>
            </w:r>
          </w:p>
        </w:tc>
      </w:tr>
    </w:tbl>
    <w:p w:rsidR="00253CAB">
      <w:pPr>
        <w:spacing w:line="360" w:lineRule="auto"/>
        <w:rPr>
          <w:rFonts w:ascii="宋体" w:hAnsi="宋体"/>
          <w:szCs w:val="21"/>
        </w:rPr>
      </w:pPr>
    </w:p>
    <w:p w:rsidR="00253CAB">
      <w:pPr>
        <w:spacing w:line="360" w:lineRule="auto"/>
        <w:ind w:firstLine="420" w:firstLineChars="200"/>
        <w:rPr>
          <w:rFonts w:ascii="宋体" w:hAnsi="宋体"/>
          <w:szCs w:val="21"/>
        </w:rPr>
      </w:pPr>
      <w:r>
        <w:rPr>
          <w:rFonts w:ascii="宋体" w:hAnsi="宋体" w:hint="eastAsia"/>
          <w:szCs w:val="21"/>
        </w:rPr>
        <w:t>四、检验考核要求</w:t>
      </w:r>
    </w:p>
    <w:p w:rsidR="00253CAB">
      <w:pPr>
        <w:spacing w:line="360" w:lineRule="auto"/>
        <w:ind w:firstLine="420" w:firstLineChars="200"/>
        <w:rPr>
          <w:rFonts w:ascii="宋体" w:hAnsi="宋体"/>
          <w:szCs w:val="21"/>
        </w:rPr>
      </w:pPr>
      <w:r>
        <w:rPr>
          <w:rFonts w:ascii="宋体" w:hAnsi="宋体" w:hint="eastAsia"/>
          <w:szCs w:val="21"/>
        </w:rPr>
        <w:t>（一）质量标准</w:t>
      </w:r>
    </w:p>
    <w:p w:rsidR="00253CAB">
      <w:pPr>
        <w:spacing w:line="360" w:lineRule="auto"/>
        <w:ind w:firstLine="420" w:firstLineChars="200"/>
        <w:rPr>
          <w:rFonts w:ascii="宋体" w:hAnsi="宋体"/>
          <w:szCs w:val="21"/>
        </w:rPr>
      </w:pPr>
      <w:r>
        <w:rPr>
          <w:rFonts w:ascii="宋体" w:hAnsi="宋体" w:hint="eastAsia"/>
          <w:szCs w:val="21"/>
        </w:rPr>
        <w:t>投标人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合法进货渠道证明及海关完税证明。</w:t>
      </w:r>
    </w:p>
    <w:p w:rsidR="00253CAB">
      <w:pPr>
        <w:spacing w:line="360" w:lineRule="auto"/>
        <w:ind w:firstLine="420" w:firstLineChars="200"/>
        <w:rPr>
          <w:rFonts w:ascii="宋体" w:hAnsi="宋体"/>
          <w:szCs w:val="21"/>
        </w:rPr>
      </w:pPr>
      <w:r>
        <w:rPr>
          <w:rFonts w:ascii="宋体" w:hAnsi="宋体" w:hint="eastAsia"/>
          <w:szCs w:val="21"/>
        </w:rPr>
        <w:t>（二）验收组织</w:t>
      </w:r>
    </w:p>
    <w:p w:rsidR="00253CAB">
      <w:pPr>
        <w:widowControl/>
        <w:spacing w:line="360" w:lineRule="auto"/>
        <w:ind w:firstLine="420" w:firstLineChars="200"/>
        <w:rPr>
          <w:rFonts w:ascii="宋体" w:hAnsi="宋体"/>
          <w:szCs w:val="21"/>
        </w:rPr>
      </w:pPr>
      <w:r>
        <w:rPr>
          <w:rFonts w:ascii="宋体" w:eastAsia="宋体" w:hAnsi="宋体" w:cs="Times New Roman" w:hint="eastAsia"/>
          <w:szCs w:val="21"/>
        </w:rPr>
        <w:t>1.</w:t>
      </w:r>
      <w:r>
        <w:rPr>
          <w:rFonts w:ascii="宋体" w:eastAsia="宋体" w:hAnsi="宋体" w:cs="Times New Roman" w:hint="eastAsia"/>
          <w:szCs w:val="21"/>
        </w:rPr>
        <w:t>出厂验收</w:t>
      </w:r>
    </w:p>
    <w:p w:rsidR="00253CA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w:t>
      </w:r>
      <w:r>
        <w:rPr>
          <w:rFonts w:ascii="宋体" w:eastAsia="宋体" w:hAnsi="宋体" w:cs="Times New Roman" w:hint="eastAsia"/>
          <w:szCs w:val="21"/>
          <w:lang w:bidi="ar"/>
        </w:rPr>
        <w:t>试，提交全套资质文件、技术资料、校准及检测报告。采购人派员参与验收，验收合格并签署出厂验收报告后方可发货，未通过出厂验收严禁出厂。</w:t>
      </w:r>
    </w:p>
    <w:p w:rsidR="00253CAB">
      <w:pPr>
        <w:widowControl/>
        <w:spacing w:line="360" w:lineRule="auto"/>
        <w:ind w:firstLine="420" w:firstLineChars="200"/>
        <w:rPr>
          <w:rFonts w:ascii="宋体" w:hAnsi="宋体"/>
          <w:szCs w:val="21"/>
        </w:rPr>
      </w:pPr>
      <w:r>
        <w:rPr>
          <w:rFonts w:ascii="宋体" w:eastAsia="宋体" w:hAnsi="宋体" w:cs="Times New Roman" w:hint="eastAsia"/>
          <w:szCs w:val="21"/>
        </w:rPr>
        <w:t xml:space="preserve">2 </w:t>
      </w:r>
      <w:r>
        <w:rPr>
          <w:rFonts w:ascii="宋体" w:eastAsia="宋体" w:hAnsi="宋体" w:cs="Times New Roman" w:hint="eastAsia"/>
          <w:szCs w:val="21"/>
        </w:rPr>
        <w:t>现场安装验收</w:t>
      </w:r>
    </w:p>
    <w:p w:rsidR="00253CA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rsidR="00253CAB">
      <w:pPr>
        <w:widowControl/>
        <w:spacing w:line="360" w:lineRule="auto"/>
        <w:ind w:firstLine="420" w:firstLineChars="200"/>
        <w:rPr>
          <w:rFonts w:ascii="宋体" w:hAnsi="宋体"/>
          <w:szCs w:val="21"/>
        </w:rPr>
      </w:pPr>
      <w:r>
        <w:rPr>
          <w:rFonts w:ascii="宋体" w:eastAsia="宋体" w:hAnsi="宋体" w:cs="Times New Roman" w:hint="eastAsia"/>
          <w:szCs w:val="21"/>
        </w:rPr>
        <w:t>3.</w:t>
      </w:r>
      <w:r>
        <w:rPr>
          <w:rFonts w:ascii="宋体" w:eastAsia="宋体" w:hAnsi="宋体" w:cs="Times New Roman" w:hint="eastAsia"/>
          <w:szCs w:val="21"/>
        </w:rPr>
        <w:t>试运行验收</w:t>
      </w:r>
    </w:p>
    <w:p w:rsidR="00253CA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地面观测设备现场调试合格后进入试运行期，试运行周期不少于</w:t>
      </w:r>
      <w:r>
        <w:rPr>
          <w:rFonts w:ascii="宋体" w:eastAsia="宋体" w:hAnsi="宋体" w:cs="Times New Roman" w:hint="eastAsia"/>
          <w:szCs w:val="21"/>
          <w:lang w:bidi="ar"/>
        </w:rPr>
        <w:t xml:space="preserve"> 90 </w:t>
      </w:r>
      <w:r>
        <w:rPr>
          <w:rFonts w:ascii="宋体" w:eastAsia="宋体" w:hAnsi="宋体" w:cs="Times New Roman" w:hint="eastAsia"/>
          <w:szCs w:val="21"/>
          <w:lang w:bidi="ar"/>
        </w:rPr>
        <w:t>天</w:t>
      </w:r>
      <w:r>
        <w:rPr>
          <w:rFonts w:ascii="宋体" w:eastAsia="宋体" w:hAnsi="宋体" w:cs="Times New Roman" w:hint="eastAsia"/>
          <w:szCs w:val="21"/>
          <w:lang w:bidi="ar"/>
        </w:rPr>
        <w:t>。试运行期间设备应连续稳定运行，无重大故障停机，观测数据完整率、运行稳定性、产品精度均满足气象业务运行要求。中标人做好运行值守、故障处置、</w:t>
      </w:r>
      <w:r>
        <w:rPr>
          <w:rFonts w:ascii="宋体" w:eastAsia="宋体" w:hAnsi="宋体" w:cs="Times New Roman" w:hint="eastAsia"/>
          <w:szCs w:val="21"/>
          <w:lang w:bidi="ar"/>
        </w:rPr>
        <w:t>运行台</w:t>
      </w:r>
      <w:r>
        <w:rPr>
          <w:rFonts w:ascii="宋体" w:eastAsia="宋体" w:hAnsi="宋体" w:cs="Times New Roman" w:hint="eastAsia"/>
          <w:szCs w:val="21"/>
          <w:lang w:bidi="ar"/>
        </w:rPr>
        <w:t>账记录，并完成现场操作及维护培训。</w:t>
      </w:r>
    </w:p>
    <w:p w:rsidR="00253CAB">
      <w:pPr>
        <w:widowControl/>
        <w:spacing w:line="360" w:lineRule="auto"/>
        <w:ind w:firstLine="420" w:firstLineChars="200"/>
        <w:jc w:val="left"/>
        <w:rPr>
          <w:rFonts w:ascii="宋体" w:hAnsi="宋体"/>
          <w:szCs w:val="21"/>
          <w:lang w:bidi="ar"/>
        </w:rPr>
      </w:pPr>
      <w:r>
        <w:rPr>
          <w:rFonts w:ascii="宋体" w:eastAsia="宋体" w:hAnsi="宋体" w:cs="Times New Roman" w:hint="eastAsia"/>
          <w:szCs w:val="21"/>
          <w:lang w:bidi="ar"/>
        </w:rPr>
        <w:t>试运行期满组织专项验收，验收合格后方可申请最终</w:t>
      </w:r>
      <w:r>
        <w:rPr>
          <w:rFonts w:ascii="宋体" w:hAnsi="宋体" w:cs="Times New Roman" w:hint="eastAsia"/>
          <w:szCs w:val="21"/>
          <w:lang w:bidi="ar"/>
        </w:rPr>
        <w:t>合同</w:t>
      </w:r>
      <w:r>
        <w:rPr>
          <w:rFonts w:ascii="宋体" w:eastAsia="宋体" w:hAnsi="宋体" w:cs="Times New Roman" w:hint="eastAsia"/>
          <w:szCs w:val="21"/>
          <w:lang w:bidi="ar"/>
        </w:rPr>
        <w:t>验收。</w:t>
      </w:r>
    </w:p>
    <w:p w:rsidR="00253CAB">
      <w:pPr>
        <w:widowControl/>
        <w:spacing w:line="360" w:lineRule="auto"/>
        <w:ind w:firstLine="420" w:firstLineChars="200"/>
        <w:rPr>
          <w:rFonts w:ascii="宋体" w:hAnsi="宋体"/>
          <w:szCs w:val="21"/>
        </w:rPr>
      </w:pPr>
      <w:r>
        <w:rPr>
          <w:rFonts w:ascii="宋体" w:eastAsia="宋体" w:hAnsi="宋体" w:cs="Times New Roman" w:hint="eastAsia"/>
          <w:szCs w:val="21"/>
        </w:rPr>
        <w:t>4.</w:t>
      </w:r>
      <w:r>
        <w:rPr>
          <w:rFonts w:ascii="宋体" w:eastAsia="宋体" w:hAnsi="宋体" w:cs="Times New Roman" w:hint="eastAsia"/>
          <w:szCs w:val="21"/>
        </w:rPr>
        <w:t>合同验收</w:t>
      </w:r>
    </w:p>
    <w:p w:rsidR="00253CAB">
      <w:pPr>
        <w:spacing w:line="360" w:lineRule="auto"/>
        <w:ind w:firstLine="420" w:firstLineChars="200"/>
        <w:rPr>
          <w:rFonts w:ascii="宋体" w:hAnsi="宋体"/>
          <w:szCs w:val="21"/>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w:t>
      </w:r>
      <w:r>
        <w:rPr>
          <w:rFonts w:ascii="宋体" w:eastAsia="宋体" w:hAnsi="宋体" w:cs="Times New Roman" w:hint="eastAsia"/>
          <w:szCs w:val="21"/>
          <w:lang w:bidi="ar"/>
        </w:rPr>
        <w:t>保承诺</w:t>
      </w:r>
      <w:r>
        <w:rPr>
          <w:rFonts w:ascii="宋体" w:eastAsia="宋体" w:hAnsi="宋体" w:cs="Times New Roman" w:hint="eastAsia"/>
          <w:szCs w:val="21"/>
          <w:lang w:bidi="ar"/>
        </w:rPr>
        <w:t>等全部合同内容，对照技术参数、行业标准及业务应用要求综合评审，全部满足要求后签署最终验收证书，正式交付投入业务运行，进入质保期</w:t>
      </w:r>
      <w:r>
        <w:rPr>
          <w:rFonts w:ascii="宋体" w:eastAsia="宋体" w:hAnsi="宋体" w:cs="Times New Roman" w:hint="eastAsia"/>
          <w:szCs w:val="21"/>
          <w:lang w:bidi="ar"/>
        </w:rPr>
        <w:t>。若最终</w:t>
      </w:r>
      <w:r>
        <w:rPr>
          <w:rFonts w:ascii="宋体" w:eastAsia="宋体" w:hAnsi="宋体" w:cs="Times New Roman" w:hint="eastAsia"/>
          <w:szCs w:val="21"/>
          <w:lang w:bidi="ar"/>
        </w:rPr>
        <w:t>验收仍</w:t>
      </w:r>
      <w:r>
        <w:rPr>
          <w:rFonts w:ascii="宋体" w:eastAsia="宋体" w:hAnsi="宋体" w:cs="Times New Roman" w:hint="eastAsia"/>
          <w:szCs w:val="21"/>
          <w:lang w:bidi="ar"/>
        </w:rPr>
        <w:t>存在缺项、指标不达标、资料不全等问题，不予通过验收，中标人须限期完成补齐、整改、完善，直至终审合格，相关费用及责任由中标人自行承担。</w:t>
      </w:r>
    </w:p>
    <w:p w:rsidR="00253CAB">
      <w:pPr>
        <w:spacing w:line="360" w:lineRule="auto"/>
        <w:ind w:firstLine="420" w:firstLineChars="200"/>
        <w:rPr>
          <w:rFonts w:ascii="宋体" w:hAnsi="宋体"/>
          <w:szCs w:val="21"/>
        </w:rPr>
      </w:pPr>
      <w:r>
        <w:rPr>
          <w:rFonts w:ascii="宋体" w:hAnsi="宋体" w:hint="eastAsia"/>
          <w:szCs w:val="21"/>
        </w:rPr>
        <w:t>五、技术服务和</w:t>
      </w:r>
      <w:r>
        <w:rPr>
          <w:rFonts w:ascii="宋体" w:hAnsi="宋体" w:hint="eastAsia"/>
          <w:szCs w:val="21"/>
        </w:rPr>
        <w:t>质保期</w:t>
      </w:r>
      <w:r>
        <w:rPr>
          <w:rFonts w:ascii="宋体" w:hAnsi="宋体" w:hint="eastAsia"/>
          <w:szCs w:val="21"/>
        </w:rPr>
        <w:t>服务要求</w:t>
      </w:r>
    </w:p>
    <w:p w:rsidR="00253CAB">
      <w:pPr>
        <w:spacing w:line="360" w:lineRule="auto"/>
        <w:ind w:firstLine="420" w:firstLineChars="200"/>
        <w:rPr>
          <w:rFonts w:ascii="宋体" w:hAnsi="宋体"/>
          <w:szCs w:val="21"/>
        </w:rPr>
      </w:pPr>
      <w:r>
        <w:rPr>
          <w:rFonts w:ascii="宋体" w:hAnsi="宋体" w:hint="eastAsia"/>
          <w:szCs w:val="21"/>
        </w:rPr>
        <w:t>（一）技术服务</w:t>
      </w:r>
    </w:p>
    <w:p w:rsidR="00253CA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中标人需提供详细技术方案，包括但不限于</w:t>
      </w:r>
      <w:r>
        <w:rPr>
          <w:rFonts w:ascii="宋体" w:hAnsi="宋体" w:hint="eastAsia"/>
          <w:szCs w:val="21"/>
        </w:rPr>
        <w:t>:</w:t>
      </w:r>
      <w:r>
        <w:rPr>
          <w:rFonts w:ascii="宋体" w:hAnsi="宋体" w:hint="eastAsia"/>
          <w:szCs w:val="21"/>
        </w:rPr>
        <w:t>设备安装建设规范、设备工作原理、设备部件结构组成、设备操作手册、设备运行维护手册、设备软件使用手册、相关产品算法说明文档等。</w:t>
      </w:r>
    </w:p>
    <w:p w:rsidR="00253CAB">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中标人需提供详细售后服务方案，包括设备售后服务组织机构、人员组成、技术支持文档等。其中，售后服务组织机构设置合理，人员技术能力强，技术文档内容全</w:t>
      </w:r>
      <w:r>
        <w:rPr>
          <w:rFonts w:ascii="宋体" w:hAnsi="宋体" w:hint="eastAsia"/>
          <w:szCs w:val="21"/>
        </w:rPr>
        <w:t>面。</w:t>
      </w:r>
    </w:p>
    <w:p w:rsidR="00253CAB">
      <w:pPr>
        <w:widowControl/>
        <w:spacing w:line="360" w:lineRule="auto"/>
        <w:ind w:firstLine="420" w:firstLineChars="200"/>
        <w:jc w:val="left"/>
        <w:rPr>
          <w:rFonts w:ascii="宋体" w:hAnsi="宋体"/>
          <w:szCs w:val="21"/>
        </w:rPr>
      </w:pPr>
      <w:r>
        <w:rPr>
          <w:rFonts w:ascii="宋体" w:hAnsi="宋体" w:hint="eastAsia"/>
          <w:szCs w:val="21"/>
        </w:rPr>
        <w:t>3.</w:t>
      </w:r>
      <w:r>
        <w:rPr>
          <w:rFonts w:ascii="宋体" w:hAnsi="宋体" w:hint="eastAsia"/>
          <w:szCs w:val="21"/>
        </w:rPr>
        <w:t>中标人需提供详细培训方案，包括设备使用、日常维护、观测原理及产品应用等理论培训及现场培训，培训时间及地点双方协商确定，确保使用方参训人员熟练掌握设备操作、日常维护及业务应用技能。</w:t>
      </w:r>
    </w:p>
    <w:p w:rsidR="00253CAB">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4.</w:t>
      </w:r>
      <w:r>
        <w:rPr>
          <w:rFonts w:ascii="宋体" w:eastAsia="宋体" w:hAnsi="宋体" w:cs="Times New Roman" w:hint="eastAsia"/>
          <w:szCs w:val="21"/>
        </w:rPr>
        <w:t>采购人有重大活动或应急保障时，可要求中标人提供现场保障服务。</w:t>
      </w:r>
    </w:p>
    <w:p w:rsidR="00253CAB">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5.</w:t>
      </w:r>
      <w:r>
        <w:rPr>
          <w:rFonts w:ascii="宋体" w:eastAsia="宋体" w:hAnsi="宋体" w:cs="Times New Roman" w:hint="eastAsia"/>
          <w:szCs w:val="21"/>
        </w:rPr>
        <w:t>中标人协助采购人完成本项目设备安装站点的无线电电磁环境检测及电磁兼容性分析工作，确保站点选址符合《无线电管理条例》及相关技术标准要求。</w:t>
      </w:r>
    </w:p>
    <w:p w:rsidR="00253CAB">
      <w:pPr>
        <w:spacing w:line="360" w:lineRule="auto"/>
        <w:ind w:firstLine="420" w:firstLineChars="200"/>
        <w:rPr>
          <w:rFonts w:ascii="宋体" w:hAnsi="宋体"/>
          <w:szCs w:val="21"/>
        </w:rPr>
      </w:pPr>
      <w:r>
        <w:rPr>
          <w:rFonts w:ascii="宋体" w:hAnsi="宋体" w:hint="eastAsia"/>
          <w:szCs w:val="21"/>
        </w:rPr>
        <w:t>（二）质保期服务</w:t>
      </w:r>
    </w:p>
    <w:p w:rsidR="00253CA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保修期：</w:t>
      </w:r>
      <w:r w:rsidRPr="001A55D3">
        <w:rPr>
          <w:rFonts w:ascii="宋体" w:hAnsi="宋体" w:hint="eastAsia"/>
          <w:szCs w:val="21"/>
          <w:highlight w:val="yellow"/>
        </w:rPr>
        <w:t>设备通过最终合同验收后计算，设备质保期至少为</w:t>
      </w:r>
      <w:r w:rsidRPr="001A55D3">
        <w:rPr>
          <w:rFonts w:ascii="宋体" w:hAnsi="宋体" w:hint="eastAsia"/>
          <w:szCs w:val="21"/>
          <w:highlight w:val="yellow"/>
        </w:rPr>
        <w:t>8</w:t>
      </w:r>
      <w:r w:rsidRPr="001A55D3">
        <w:rPr>
          <w:rFonts w:ascii="宋体" w:hAnsi="宋体" w:hint="eastAsia"/>
          <w:szCs w:val="21"/>
          <w:highlight w:val="yellow"/>
        </w:rPr>
        <w:t>年</w:t>
      </w:r>
      <w:r>
        <w:rPr>
          <w:rFonts w:ascii="宋体" w:hAnsi="宋体" w:hint="eastAsia"/>
          <w:szCs w:val="21"/>
          <w:highlight w:val="yellow"/>
        </w:rPr>
        <w:t>*</w:t>
      </w:r>
      <w:r w:rsidRPr="001A55D3">
        <w:rPr>
          <w:rFonts w:ascii="宋体" w:hAnsi="宋体" w:hint="eastAsia"/>
          <w:szCs w:val="21"/>
          <w:highlight w:val="yellow"/>
        </w:rPr>
        <w:t>，</w:t>
      </w:r>
      <w:r>
        <w:rPr>
          <w:rFonts w:ascii="宋体" w:hAnsi="宋体" w:hint="eastAsia"/>
          <w:szCs w:val="21"/>
        </w:rPr>
        <w:t>质保期内因设备设计、质量出现问题，均</w:t>
      </w:r>
      <w:r>
        <w:rPr>
          <w:rFonts w:ascii="宋体" w:hAnsi="宋体" w:hint="eastAsia"/>
          <w:szCs w:val="21"/>
        </w:rPr>
        <w:t>由中标人即时无偿解决</w:t>
      </w:r>
      <w:r>
        <w:rPr>
          <w:rFonts w:ascii="宋体" w:hAnsi="宋体" w:hint="eastAsia"/>
          <w:szCs w:val="21"/>
        </w:rPr>
        <w:t>(</w:t>
      </w:r>
      <w:r>
        <w:rPr>
          <w:rFonts w:ascii="宋体" w:hAnsi="宋体" w:hint="eastAsia"/>
          <w:szCs w:val="21"/>
        </w:rPr>
        <w:t>包括更换器件</w:t>
      </w:r>
      <w:r>
        <w:rPr>
          <w:rFonts w:ascii="宋体" w:hAnsi="宋体" w:hint="eastAsia"/>
          <w:szCs w:val="21"/>
        </w:rPr>
        <w:t>)</w:t>
      </w:r>
      <w:r>
        <w:rPr>
          <w:rFonts w:ascii="宋体" w:hAnsi="宋体" w:hint="eastAsia"/>
          <w:szCs w:val="21"/>
        </w:rPr>
        <w:t>，如因自身故障致设备停用时间累计超过</w:t>
      </w:r>
      <w:r>
        <w:rPr>
          <w:rFonts w:ascii="宋体" w:hAnsi="宋体" w:hint="eastAsia"/>
          <w:szCs w:val="21"/>
        </w:rPr>
        <w:t>20</w:t>
      </w:r>
      <w:r>
        <w:rPr>
          <w:rFonts w:ascii="宋体" w:hAnsi="宋体" w:hint="eastAsia"/>
          <w:szCs w:val="21"/>
        </w:rPr>
        <w:t>天时，则质保期在状态恢复正常时重新计算。质保期内，经中标人累计</w:t>
      </w:r>
      <w:r>
        <w:rPr>
          <w:rFonts w:ascii="宋体" w:hAnsi="宋体" w:hint="eastAsia"/>
          <w:szCs w:val="21"/>
        </w:rPr>
        <w:t>5</w:t>
      </w:r>
      <w:r>
        <w:rPr>
          <w:rFonts w:ascii="宋体" w:hAnsi="宋体" w:hint="eastAsia"/>
          <w:szCs w:val="21"/>
        </w:rPr>
        <w:t>次维修仍无法正常使用或达不到相关质量标准的，视作设备存在严重质量问题，应支付赔偿金并退还已付全部款项。</w:t>
      </w:r>
    </w:p>
    <w:p w:rsidR="00253CAB">
      <w:pPr>
        <w:widowControl/>
        <w:snapToGrid w:val="0"/>
        <w:spacing w:line="360" w:lineRule="auto"/>
        <w:ind w:firstLine="420" w:firstLineChars="200"/>
        <w:jc w:val="left"/>
        <w:rPr>
          <w:rFonts w:ascii="宋体" w:hAnsi="宋体"/>
          <w:szCs w:val="21"/>
        </w:rPr>
      </w:pPr>
      <w:r>
        <w:rPr>
          <w:rFonts w:ascii="宋体" w:hAnsi="宋体" w:hint="eastAsia"/>
          <w:szCs w:val="21"/>
        </w:rPr>
        <w:t>2.</w:t>
      </w:r>
      <w:r>
        <w:rPr>
          <w:rFonts w:ascii="宋体" w:hAnsi="宋体" w:hint="eastAsia"/>
          <w:szCs w:val="21"/>
        </w:rPr>
        <w:t>质保期内中标人应对投标产品每年提供</w:t>
      </w:r>
      <w:r>
        <w:rPr>
          <w:rFonts w:ascii="宋体" w:hAnsi="宋体" w:hint="eastAsia"/>
          <w:szCs w:val="21"/>
        </w:rPr>
        <w:t>2</w:t>
      </w:r>
      <w:r>
        <w:rPr>
          <w:rFonts w:ascii="宋体" w:hAnsi="宋体" w:hint="eastAsia"/>
          <w:szCs w:val="21"/>
        </w:rPr>
        <w:t>次巡检服务及定标服务，具体时间及地点根据设备安装地点双方协商确定。质保期内为免费用户提供</w:t>
      </w:r>
      <w:r>
        <w:rPr>
          <w:rFonts w:ascii="宋体" w:hAnsi="宋体" w:hint="eastAsia"/>
          <w:szCs w:val="21"/>
        </w:rPr>
        <w:t>1</w:t>
      </w:r>
      <w:r>
        <w:rPr>
          <w:rFonts w:ascii="Times New Roman" w:hAnsi="Times New Roman" w:cs="Times New Roman"/>
          <w:szCs w:val="21"/>
        </w:rPr>
        <w:t>~</w:t>
      </w:r>
      <w:r>
        <w:rPr>
          <w:rFonts w:ascii="宋体" w:hAnsi="宋体" w:hint="eastAsia"/>
          <w:szCs w:val="21"/>
        </w:rPr>
        <w:t>2</w:t>
      </w:r>
      <w:r>
        <w:rPr>
          <w:rFonts w:ascii="宋体" w:hAnsi="宋体" w:hint="eastAsia"/>
          <w:szCs w:val="21"/>
        </w:rPr>
        <w:t>次搬移服务。</w:t>
      </w:r>
    </w:p>
    <w:p w:rsidR="00253CAB">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在质保期满之前，要对设备进行一次整体全面的维护和检查；</w:t>
      </w:r>
    </w:p>
    <w:p w:rsidR="00253CAB">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无论是保质期内还是质保期外发现的技术、质量问题，及时予以解决，要做到在接到设备故障通知后</w:t>
      </w:r>
      <w:r>
        <w:rPr>
          <w:rFonts w:ascii="宋体" w:hAnsi="宋体" w:hint="eastAsia"/>
          <w:szCs w:val="21"/>
        </w:rPr>
        <w:t>4</w:t>
      </w:r>
      <w:r>
        <w:rPr>
          <w:rFonts w:ascii="宋体" w:hAnsi="宋体" w:hint="eastAsia"/>
          <w:szCs w:val="21"/>
        </w:rPr>
        <w:t>小时内做出响应，及时提供维修配件，</w:t>
      </w:r>
      <w:r>
        <w:rPr>
          <w:rFonts w:ascii="宋体" w:hAnsi="宋体" w:hint="eastAsia"/>
          <w:szCs w:val="21"/>
        </w:rPr>
        <w:t>2</w:t>
      </w:r>
      <w:r>
        <w:rPr>
          <w:rFonts w:ascii="宋体" w:hAnsi="宋体" w:hint="eastAsia"/>
          <w:szCs w:val="21"/>
        </w:rPr>
        <w:t>个工作日内工程师到达用户现场进行维修服务，未尽事宜协商解决；</w:t>
      </w:r>
    </w:p>
    <w:p w:rsidR="00253CAB">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需要提供设备使用手册，并进行必要的理论和实操培训，包含日常操作和故障排查等内容。</w:t>
      </w:r>
    </w:p>
    <w:p w:rsidR="00253CAB">
      <w:pPr>
        <w:spacing w:line="360" w:lineRule="auto"/>
        <w:ind w:firstLine="420" w:firstLineChars="200"/>
        <w:rPr>
          <w:rFonts w:ascii="宋体" w:hAnsi="宋体"/>
          <w:szCs w:val="21"/>
        </w:rPr>
      </w:pPr>
      <w:r>
        <w:rPr>
          <w:rFonts w:ascii="宋体" w:eastAsia="宋体" w:hAnsi="宋体" w:cs="Times New Roman" w:hint="eastAsia"/>
          <w:szCs w:val="21"/>
        </w:rPr>
        <w:t>6</w:t>
      </w:r>
      <w:r>
        <w:rPr>
          <w:rFonts w:ascii="宋体" w:hAnsi="宋体" w:hint="eastAsia"/>
          <w:szCs w:val="21"/>
        </w:rPr>
        <w:t>.</w:t>
      </w:r>
      <w:r>
        <w:rPr>
          <w:rFonts w:ascii="宋体" w:hAnsi="宋体" w:hint="eastAsia"/>
          <w:szCs w:val="21"/>
        </w:rPr>
        <w:t>提供投标产品软件免费升级服务，</w:t>
      </w:r>
      <w:r>
        <w:rPr>
          <w:rFonts w:ascii="宋体" w:eastAsia="宋体" w:hAnsi="宋体" w:cs="Times New Roman" w:hint="eastAsia"/>
          <w:szCs w:val="21"/>
        </w:rPr>
        <w:t>所提供观测设备观测数据能接入采购人现有气象数据平台。</w:t>
      </w:r>
    </w:p>
    <w:p w:rsidR="00253CAB">
      <w:pPr>
        <w:spacing w:line="360" w:lineRule="auto"/>
        <w:ind w:firstLine="420" w:firstLineChars="200"/>
        <w:rPr>
          <w:rFonts w:ascii="宋体" w:hAnsi="宋体"/>
          <w:szCs w:val="21"/>
        </w:rPr>
      </w:pPr>
      <w:r>
        <w:rPr>
          <w:rFonts w:ascii="宋体" w:hAnsi="宋体" w:hint="eastAsia"/>
          <w:szCs w:val="21"/>
        </w:rPr>
        <w:t>（三）培训要求</w:t>
      </w:r>
    </w:p>
    <w:p w:rsidR="00253CAB">
      <w:pPr>
        <w:spacing w:line="360" w:lineRule="auto"/>
        <w:ind w:firstLine="420" w:firstLineChars="200"/>
        <w:rPr>
          <w:rFonts w:ascii="宋体" w:hAnsi="宋体"/>
          <w:szCs w:val="21"/>
        </w:rPr>
      </w:pPr>
      <w:r>
        <w:rPr>
          <w:rFonts w:ascii="宋体" w:hAnsi="宋体" w:hint="eastAsia"/>
          <w:szCs w:val="21"/>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升级、应用所需的知识和技能。书面承诺每种设备的培训讲师具有中级以上职称或从事该设备技术工作至少</w:t>
      </w:r>
      <w:r>
        <w:rPr>
          <w:rFonts w:ascii="宋体" w:hAnsi="宋体" w:hint="eastAsia"/>
          <w:szCs w:val="21"/>
        </w:rPr>
        <w:t>2</w:t>
      </w:r>
      <w:r>
        <w:rPr>
          <w:rFonts w:ascii="宋体" w:hAnsi="宋体" w:hint="eastAsia"/>
          <w:szCs w:val="21"/>
        </w:rPr>
        <w:t>年；</w:t>
      </w:r>
    </w:p>
    <w:p w:rsidR="00253CAB">
      <w:pPr>
        <w:spacing w:line="360" w:lineRule="auto"/>
        <w:ind w:firstLine="420" w:firstLineChars="200"/>
        <w:rPr>
          <w:rFonts w:ascii="宋体" w:hAnsi="宋体"/>
          <w:szCs w:val="21"/>
        </w:rPr>
      </w:pPr>
      <w:r>
        <w:rPr>
          <w:rFonts w:ascii="宋体" w:hAnsi="宋体" w:hint="eastAsia"/>
          <w:szCs w:val="21"/>
        </w:rPr>
        <w:t>设备供应商对每套投标产品提供至少</w:t>
      </w:r>
      <w:r>
        <w:rPr>
          <w:rFonts w:ascii="宋体" w:hAnsi="宋体" w:hint="eastAsia"/>
          <w:szCs w:val="21"/>
        </w:rPr>
        <w:t>5</w:t>
      </w:r>
      <w:r>
        <w:rPr>
          <w:rFonts w:ascii="宋体" w:hAnsi="宋体" w:hint="eastAsia"/>
          <w:szCs w:val="21"/>
        </w:rPr>
        <w:t>次技术培训，培训人数不少于</w:t>
      </w:r>
      <w:r>
        <w:rPr>
          <w:rFonts w:ascii="宋体" w:hAnsi="宋体" w:hint="eastAsia"/>
          <w:szCs w:val="21"/>
        </w:rPr>
        <w:t>20</w:t>
      </w:r>
      <w:r>
        <w:rPr>
          <w:rFonts w:ascii="宋体" w:hAnsi="宋体" w:hint="eastAsia"/>
          <w:szCs w:val="21"/>
        </w:rPr>
        <w:t>人。培训内容包括设备安装、使用、日常维护、观测原理及产品应用，培训时间及地点双方协商确定。</w:t>
      </w:r>
    </w:p>
    <w:p w:rsidR="00253CAB">
      <w:pPr>
        <w:spacing w:line="360" w:lineRule="auto"/>
        <w:ind w:firstLine="420" w:firstLineChars="200"/>
        <w:rPr>
          <w:rFonts w:ascii="宋体" w:eastAsia="宋体" w:hAnsi="宋体" w:cs="Times New Roman"/>
          <w:szCs w:val="21"/>
        </w:rPr>
      </w:pPr>
    </w:p>
    <w:p w:rsidR="00253CAB">
      <w:pPr>
        <w:spacing w:line="360" w:lineRule="auto"/>
        <w:rPr>
          <w:rFonts w:ascii="宋体" w:eastAsia="宋体" w:hAnsi="宋体" w:cs="Times New Roman"/>
          <w:szCs w:val="21"/>
        </w:rPr>
      </w:pPr>
      <w:r>
        <w:rPr>
          <w:rFonts w:ascii="宋体" w:eastAsia="宋体" w:hAnsi="宋体" w:cs="Times New Roman" w:hint="eastAsia"/>
          <w:szCs w:val="21"/>
        </w:rPr>
        <w:t>第七章</w:t>
      </w:r>
      <w:r>
        <w:rPr>
          <w:rFonts w:ascii="宋体" w:eastAsia="宋体" w:hAnsi="宋体" w:cs="Times New Roman" w:hint="eastAsia"/>
          <w:szCs w:val="21"/>
        </w:rPr>
        <w:t xml:space="preserve"> </w:t>
      </w:r>
      <w:r>
        <w:rPr>
          <w:rFonts w:ascii="宋体" w:eastAsia="宋体" w:hAnsi="宋体" w:cs="Times New Roman" w:hint="eastAsia"/>
          <w:szCs w:val="21"/>
        </w:rPr>
        <w:t>采购需求</w:t>
      </w:r>
      <w:r>
        <w:rPr>
          <w:rFonts w:ascii="宋体" w:eastAsia="宋体" w:hAnsi="宋体" w:cs="Times New Roman" w:hint="eastAsia"/>
          <w:szCs w:val="21"/>
        </w:rPr>
        <w:t xml:space="preserve"> </w:t>
      </w:r>
      <w:r>
        <w:rPr>
          <w:rFonts w:ascii="宋体" w:eastAsia="宋体" w:hAnsi="宋体" w:cs="Times New Roman" w:hint="eastAsia"/>
          <w:szCs w:val="21"/>
        </w:rPr>
        <w:t>附表</w:t>
      </w:r>
    </w:p>
    <w:p w:rsidR="00253CAB">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3"/>
        <w:gridCol w:w="1488"/>
        <w:gridCol w:w="629"/>
        <w:gridCol w:w="874"/>
        <w:gridCol w:w="997"/>
        <w:gridCol w:w="3819"/>
        <w:gridCol w:w="371"/>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毫米波云雷达（移动式）</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3,020,000.00</w:t>
            </w:r>
          </w:p>
        </w:tc>
        <w:tc>
          <w:tcPr/>
          <w:p>
            <w:pPr>
              <w:autoSpaceDE w:val="0"/>
              <w:jc w:val="center"/>
              <w:rPr>
                <w:rFonts w:asciiTheme="minorEastAsia" w:hAnsiTheme="minorEastAsia" w:cstheme="minorEastAsia" w:hint="eastAsia"/>
                <w:kern w:val="0"/>
                <w:szCs w:val="21"/>
              </w:rPr>
            </w:pPr>
            <w:r>
              <w:t>合同签订后150天内交货，180天内完成安装调试并具备现场测试条件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3,020,000.00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29"/>
        <w:gridCol w:w="1800"/>
        <w:gridCol w:w="2054"/>
        <w:gridCol w:w="529"/>
        <w:gridCol w:w="1207"/>
        <w:gridCol w:w="1006"/>
        <w:gridCol w:w="868"/>
        <w:gridCol w:w="52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气候中心(001015012)</w:t>
            </w:r>
          </w:p>
        </w:tc>
        <w:tc>
          <w:tcPr/>
          <w:p>
            <w:r>
              <w:t>毫米波云雷达（移动式）</w:t>
            </w:r>
          </w:p>
        </w:tc>
        <w:tc>
          <w:tcPr/>
          <w:p>
            <w:r>
              <w:t>1</w:t>
            </w:r>
          </w:p>
        </w:tc>
        <w:tc>
          <w:tcPr/>
          <w:p>
            <w:r>
              <w:t>3020000.00</w:t>
            </w:r>
          </w:p>
        </w:tc>
        <w:tc>
          <w:tcPr/>
          <w:p>
            <w:r>
              <w:t xml:space="preserve">3020000.00  </w:t>
            </w:r>
          </w:p>
        </w:tc>
        <w:tc>
          <w:tcP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253CAB">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hint="eastAsia"/>
                <w:sz w:val="18"/>
                <w:szCs w:val="18"/>
              </w:rPr>
            </w:pPr>
          </w:p>
        </w:tc>
        <w:tc>
          <w:tcPr>
            <w:tcW w:w="898" w:type="dxa"/>
            <w:vAlign w:val="center"/>
          </w:tcPr>
          <w:p>
            <w:pPr>
              <w:jc w:val="center"/>
              <w:rPr>
                <w:rFonts w:ascii="宋体" w:hAnsi="宋体" w:hint="default"/>
                <w:sz w:val="18"/>
                <w:szCs w:val="18"/>
              </w:rPr>
            </w:pPr>
            <w:r>
              <w:rPr>
                <w:rFonts w:ascii="宋体" w:hAnsi="宋体" w:hint="eastAsia"/>
                <w:sz w:val="18"/>
                <w:szCs w:val="18"/>
                <w:lang w:val="en-US" w:eastAsia="zh-CN"/>
              </w:rPr>
              <w:t>5.7</w:t>
            </w:r>
          </w:p>
        </w:tc>
        <w:tc>
          <w:tcPr>
            <w:tcW w:w="7347" w:type="dxa"/>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lang w:val="en-US" w:eastAsia="zh-CN"/>
              </w:rPr>
              <w:t>对于以下投标的货物，</w:t>
            </w:r>
            <w:r>
              <w:rPr>
                <w:rFonts w:ascii="宋体" w:hAnsi="宋体" w:cs="微软雅黑" w:hint="eastAsia"/>
                <w:b/>
                <w:color w:val="0000FF"/>
                <w:kern w:val="0"/>
                <w:sz w:val="18"/>
                <w:szCs w:val="18"/>
              </w:rPr>
              <w:t>需要提供至投标截止日仍有效的《气象专用技术装备使用许可证》：全固态Ka波段双偏振云雷达</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hint="eastAsia"/>
                <w:sz w:val="18"/>
                <w:szCs w:val="18"/>
              </w:rPr>
            </w:pPr>
          </w:p>
        </w:tc>
        <w:tc>
          <w:tcPr>
            <w:tcW w:w="898" w:type="dxa"/>
            <w:vAlign w:val="center"/>
          </w:tcPr>
          <w:p>
            <w:pPr>
              <w:jc w:val="center"/>
              <w:rPr>
                <w:rFonts w:ascii="宋体" w:hAnsi="宋体" w:hint="eastAsia"/>
                <w:sz w:val="18"/>
                <w:szCs w:val="18"/>
              </w:rPr>
            </w:pPr>
            <w:r>
              <w:rPr>
                <w:rFonts w:ascii="宋体" w:hAnsi="宋体" w:hint="eastAsia"/>
                <w:sz w:val="18"/>
                <w:szCs w:val="18"/>
              </w:rPr>
              <w:t>第七章“技术服务和质保期服务要求”</w:t>
            </w:r>
          </w:p>
        </w:tc>
        <w:tc>
          <w:tcPr>
            <w:tcW w:w="7347" w:type="dxa"/>
            <w:vAlign w:val="center"/>
          </w:tcPr>
          <w:p>
            <w:pPr>
              <w:tabs>
                <w:tab w:val="left" w:pos="709"/>
              </w:tabs>
              <w:spacing w:line="360" w:lineRule="auto"/>
              <w:jc w:val="left"/>
              <w:rPr>
                <w:rFonts w:ascii="宋体" w:hAnsi="宋体" w:hint="eastAsia"/>
                <w:sz w:val="18"/>
                <w:szCs w:val="18"/>
              </w:rPr>
            </w:pPr>
            <w:r>
              <w:rPr>
                <w:rFonts w:cs="微软雅黑" w:hint="eastAsia"/>
                <w:b/>
                <w:color w:val="0000FF"/>
                <w:kern w:val="0"/>
                <w:sz w:val="18"/>
                <w:szCs w:val="18"/>
              </w:rPr>
              <w:t>设备供应商提供自验收合格后8年的质保服务，需提供加盖公章的设备质保承诺函原件（格式自拟）。</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C65F32">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C65F32">
      <w:pPr>
        <w:spacing w:line="360" w:lineRule="auto"/>
        <w:ind w:left="1680" w:firstLine="420"/>
        <w:jc w:val="left"/>
        <w:rPr>
          <w:b/>
          <w:bCs/>
          <w:szCs w:val="21"/>
        </w:rPr>
      </w:pPr>
      <w:r>
        <w:rPr>
          <w:rFonts w:hint="eastAsia"/>
          <w:b/>
          <w:bCs/>
          <w:szCs w:val="21"/>
        </w:rPr>
        <w:t>必须明确合同金额支付条件及支付比例</w:t>
      </w:r>
    </w:p>
    <w:p w:rsidR="00C65F32">
      <w:pPr>
        <w:pStyle w:val="BodyText"/>
        <w:spacing w:after="0"/>
        <w:jc w:val="center"/>
        <w:rPr>
          <w:rFonts w:ascii="宋体" w:hAnsi="宋体" w:cs="宋体" w:hint="eastAsia"/>
          <w:b/>
          <w:bCs/>
          <w:spacing w:val="-20"/>
          <w:kern w:val="44"/>
          <w:sz w:val="48"/>
          <w:szCs w:val="48"/>
        </w:rPr>
      </w:pPr>
      <w:r>
        <w:rPr>
          <w:b/>
          <w:bCs/>
          <w:szCs w:val="21"/>
        </w:rPr>
        <w:br w:type="page"/>
      </w:r>
      <w:bookmarkStart w:id="71" w:name="_Toc3995"/>
    </w:p>
    <w:p w:rsidR="00C65F32">
      <w:pPr>
        <w:pStyle w:val="BodyText"/>
        <w:spacing w:after="0"/>
        <w:jc w:val="center"/>
        <w:rPr>
          <w:rFonts w:ascii="宋体" w:hAnsi="宋体" w:cs="宋体" w:hint="eastAsia"/>
          <w:b/>
          <w:bCs/>
          <w:spacing w:val="-20"/>
          <w:kern w:val="44"/>
          <w:sz w:val="48"/>
          <w:szCs w:val="48"/>
        </w:rPr>
      </w:pPr>
    </w:p>
    <w:p w:rsidR="00C65F32">
      <w:pPr>
        <w:pStyle w:val="BodyText"/>
        <w:spacing w:after="0"/>
        <w:jc w:val="center"/>
        <w:rPr>
          <w:rFonts w:ascii="宋体" w:hAnsi="宋体" w:cs="宋体" w:hint="eastAsia"/>
          <w:b/>
          <w:bCs/>
          <w:spacing w:val="-20"/>
          <w:kern w:val="44"/>
          <w:sz w:val="48"/>
          <w:szCs w:val="48"/>
        </w:rPr>
      </w:pPr>
    </w:p>
    <w:p w:rsidR="00C65F32">
      <w:pPr>
        <w:pStyle w:val="BodyText"/>
        <w:spacing w:after="0"/>
        <w:jc w:val="center"/>
        <w:rPr>
          <w:rFonts w:ascii="宋体" w:hAnsi="宋体" w:cs="宋体" w:hint="eastAsia"/>
          <w:b/>
          <w:bCs/>
          <w:spacing w:val="-20"/>
          <w:kern w:val="44"/>
          <w:sz w:val="48"/>
          <w:szCs w:val="48"/>
        </w:rPr>
      </w:pPr>
    </w:p>
    <w:p w:rsidR="00C65F32">
      <w:pPr>
        <w:pStyle w:val="BodyText"/>
        <w:spacing w:after="0"/>
        <w:jc w:val="center"/>
        <w:rPr>
          <w:rFonts w:ascii="宋体" w:hAnsi="宋体" w:cs="宋体" w:hint="eastAsia"/>
          <w:b/>
          <w:bCs/>
          <w:spacing w:val="-20"/>
          <w:kern w:val="44"/>
          <w:sz w:val="48"/>
          <w:szCs w:val="48"/>
        </w:rPr>
      </w:pPr>
    </w:p>
    <w:p w:rsidR="00C65F3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政府采购货物买卖合同</w:t>
      </w:r>
    </w:p>
    <w:p w:rsidR="00C65F32">
      <w:pPr>
        <w:pStyle w:val="BodyText"/>
        <w:spacing w:after="0"/>
        <w:jc w:val="center"/>
        <w:rPr>
          <w:rFonts w:ascii="宋体" w:hAnsi="宋体" w:cs="宋体" w:hint="eastAsia"/>
          <w:b/>
          <w:bCs/>
          <w:spacing w:val="-20"/>
          <w:kern w:val="44"/>
          <w:sz w:val="48"/>
          <w:szCs w:val="48"/>
        </w:rPr>
      </w:pPr>
      <w:r>
        <w:rPr>
          <w:rFonts w:ascii="宋体" w:hAnsi="宋体" w:cs="宋体" w:hint="eastAsia"/>
          <w:b/>
          <w:bCs/>
          <w:spacing w:val="-20"/>
          <w:kern w:val="44"/>
          <w:sz w:val="48"/>
          <w:szCs w:val="48"/>
        </w:rPr>
        <w:t>（试行）</w:t>
      </w:r>
    </w:p>
    <w:p w:rsidR="00C65F32">
      <w:pPr>
        <w:rPr>
          <w:rFonts w:ascii="宋体" w:hAnsi="宋体" w:cs="宋体" w:hint="eastAsia"/>
          <w:b/>
          <w:bCs/>
          <w:spacing w:val="-20"/>
          <w:kern w:val="44"/>
          <w:sz w:val="40"/>
          <w:szCs w:val="40"/>
        </w:rPr>
      </w:pPr>
    </w:p>
    <w:p w:rsidR="00C65F32">
      <w:pPr>
        <w:rPr>
          <w:rFonts w:ascii="宋体" w:hAnsi="宋体" w:cs="宋体" w:hint="eastAsia"/>
          <w:b/>
          <w:bCs/>
          <w:spacing w:val="-20"/>
          <w:kern w:val="44"/>
          <w:sz w:val="40"/>
          <w:szCs w:val="40"/>
        </w:rPr>
      </w:pPr>
    </w:p>
    <w:p w:rsidR="00C65F32">
      <w:pPr>
        <w:rPr>
          <w:rFonts w:ascii="宋体" w:hAnsi="宋体" w:cs="宋体" w:hint="eastAsia"/>
          <w:b/>
          <w:bCs/>
          <w:spacing w:val="-20"/>
          <w:kern w:val="44"/>
          <w:sz w:val="40"/>
          <w:szCs w:val="40"/>
        </w:rPr>
      </w:pPr>
    </w:p>
    <w:p w:rsidR="00C65F32">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C65F32">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C65F32">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C65F32">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C65F32">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C65F32"/>
    <w:p w:rsidR="00C65F32">
      <w:pPr>
        <w:rPr>
          <w:rFonts w:eastAsia="黑体"/>
          <w:sz w:val="44"/>
          <w:szCs w:val="44"/>
        </w:rPr>
      </w:pPr>
      <w:r>
        <w:rPr>
          <w:rFonts w:eastAsia="黑体"/>
          <w:sz w:val="44"/>
          <w:szCs w:val="44"/>
        </w:rPr>
        <w:br w:type="page"/>
      </w:r>
    </w:p>
    <w:p w:rsidR="00C65F32">
      <w:pPr>
        <w:rPr>
          <w:rFonts w:eastAsia="黑体"/>
          <w:sz w:val="44"/>
          <w:szCs w:val="44"/>
        </w:rPr>
      </w:pPr>
    </w:p>
    <w:p w:rsidR="00C65F32">
      <w:pPr>
        <w:rPr>
          <w:rFonts w:eastAsia="黑体"/>
          <w:sz w:val="44"/>
          <w:szCs w:val="44"/>
        </w:rPr>
      </w:pPr>
    </w:p>
    <w:p w:rsidR="00C65F32">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C65F32">
      <w:pPr>
        <w:ind w:firstLine="640" w:firstLineChars="200"/>
        <w:rPr>
          <w:rFonts w:ascii="仿宋_GB2312" w:eastAsia="仿宋_GB2312" w:hAnsi="仿宋_GB2312" w:cs="仿宋_GB2312" w:hint="eastAsia"/>
          <w:sz w:val="32"/>
          <w:szCs w:val="32"/>
        </w:rPr>
      </w:pPr>
    </w:p>
    <w:p w:rsidR="00C65F3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C65F32">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C65F32">
      <w:pPr>
        <w:ind w:firstLine="640" w:firstLineChars="20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C65F32">
      <w:pPr>
        <w:rPr>
          <w:rFonts w:eastAsia="黑体"/>
          <w:sz w:val="44"/>
          <w:szCs w:val="44"/>
        </w:rPr>
        <w:sectPr>
          <w:pgSz w:w="11906" w:h="16838"/>
          <w:pgMar w:top="1440" w:right="1800" w:bottom="1440" w:left="1800" w:header="851" w:footer="992" w:gutter="0"/>
          <w:cols w:space="425"/>
          <w:docGrid w:type="lines" w:linePitch="312"/>
        </w:sectPr>
      </w:pPr>
    </w:p>
    <w:p w:rsidR="00C65F32">
      <w:pPr>
        <w:pStyle w:val="Heading2"/>
        <w:numPr>
          <w:ilvl w:val="0"/>
          <w:numId w:val="0"/>
        </w:numPr>
        <w:adjustRightInd w:val="0"/>
        <w:snapToGrid w:val="0"/>
        <w:spacing w:line="400" w:lineRule="exact"/>
        <w:jc w:val="center"/>
        <w:rPr>
          <w:rFonts w:ascii="黑体" w:hAnsi="华文中宋" w:hint="eastAsia"/>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C65F32">
      <w:pPr>
        <w:adjustRightInd w:val="0"/>
        <w:snapToGrid w:val="0"/>
        <w:spacing w:line="400" w:lineRule="exact"/>
        <w:rPr>
          <w:rFonts w:ascii="宋体" w:hAnsi="宋体" w:hint="eastAsia"/>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C65F32">
      <w:pPr>
        <w:adjustRightInd w:val="0"/>
        <w:snapToGrid w:val="0"/>
        <w:spacing w:line="400" w:lineRule="exact"/>
        <w:rPr>
          <w:rFonts w:ascii="宋体" w:hAnsi="宋体" w:hint="eastAsia"/>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C65F32">
      <w:pPr>
        <w:adjustRightInd w:val="0"/>
        <w:snapToGrid w:val="0"/>
        <w:spacing w:line="400" w:lineRule="exact"/>
        <w:rPr>
          <w:rFonts w:ascii="宋体" w:hAnsi="宋体" w:hint="eastAsia"/>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C65F32">
      <w:pPr>
        <w:adjustRightInd w:val="0"/>
        <w:snapToGrid w:val="0"/>
        <w:spacing w:line="400" w:lineRule="exact"/>
        <w:rPr>
          <w:rFonts w:ascii="宋体" w:hAnsi="宋体" w:hint="eastAsia"/>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C65F32">
      <w:pPr>
        <w:spacing w:line="400" w:lineRule="exact"/>
      </w:pPr>
    </w:p>
    <w:p w:rsidR="00C65F3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项目信息</w:t>
      </w:r>
    </w:p>
    <w:p w:rsidR="00C65F32">
      <w:pPr>
        <w:pStyle w:val="BodyTextIndent"/>
        <w:numPr>
          <w:ilvl w:val="0"/>
          <w:numId w:val="7"/>
        </w:numPr>
        <w:adjustRightInd w:val="0"/>
        <w:snapToGrid w:val="0"/>
        <w:spacing w:after="0" w:line="400" w:lineRule="exact"/>
        <w:ind w:left="0" w:firstLine="420" w:leftChars="0" w:firstLineChars="200"/>
        <w:rPr>
          <w:rFonts w:ascii="宋体" w:hAnsi="宋体" w:hint="eastAsia"/>
          <w:szCs w:val="21"/>
          <w:u w:val="single"/>
        </w:rPr>
      </w:pPr>
      <w:r>
        <w:rPr>
          <w:rFonts w:ascii="宋体" w:hAnsi="宋体" w:hint="eastAsia"/>
          <w:szCs w:val="21"/>
        </w:rPr>
        <w:t>采购项目名称：</w:t>
      </w:r>
      <w:r>
        <w:rPr>
          <w:rFonts w:ascii="宋体" w:hAnsi="宋体"/>
          <w:szCs w:val="21"/>
          <w:u w:val="single"/>
        </w:rPr>
        <w:t xml:space="preserve">                                          </w:t>
      </w:r>
    </w:p>
    <w:p w:rsidR="00C65F32">
      <w:pPr>
        <w:pStyle w:val="BodyTextIndent"/>
        <w:tabs>
          <w:tab w:val="left" w:pos="999"/>
        </w:tabs>
        <w:adjustRightInd w:val="0"/>
        <w:snapToGrid w:val="0"/>
        <w:spacing w:after="0" w:line="400" w:lineRule="exact"/>
        <w:ind w:left="0" w:leftChars="0"/>
        <w:rPr>
          <w:rFonts w:ascii="宋体" w:hAnsi="宋体" w:hint="eastAsia"/>
          <w:szCs w:val="21"/>
        </w:rPr>
      </w:pPr>
      <w:r>
        <w:rPr>
          <w:rFonts w:ascii="宋体" w:hAnsi="宋体" w:hint="eastAsia"/>
          <w:szCs w:val="21"/>
        </w:rPr>
        <w:t xml:space="preserve">         采购项目编号：</w:t>
      </w:r>
      <w:r>
        <w:rPr>
          <w:rFonts w:ascii="宋体" w:hAnsi="宋体"/>
          <w:szCs w:val="21"/>
          <w:u w:val="single"/>
        </w:rPr>
        <w:t xml:space="preserve">                                          </w:t>
      </w:r>
    </w:p>
    <w:p w:rsidR="00C65F32">
      <w:pPr>
        <w:pStyle w:val="BodyTextIndent"/>
        <w:adjustRightInd w:val="0"/>
        <w:snapToGrid w:val="0"/>
        <w:spacing w:after="0" w:line="400" w:lineRule="exact"/>
        <w:ind w:left="0" w:firstLine="420" w:leftChars="0" w:firstLineChars="200"/>
        <w:rPr>
          <w:rFonts w:ascii="宋体" w:hAnsi="宋体" w:hint="eastAsia"/>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（3）项目内容：</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C65F32">
      <w:pPr>
        <w:adjustRightInd w:val="0"/>
        <w:snapToGrid w:val="0"/>
        <w:spacing w:line="400" w:lineRule="exact"/>
        <w:ind w:firstLine="420" w:firstLineChars="200"/>
        <w:rPr>
          <w:rFonts w:ascii="宋体" w:hAnsi="宋体" w:cs="宋体" w:hint="eastAsia"/>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C65F32">
      <w:pPr>
        <w:adjustRightInd w:val="0"/>
        <w:snapToGrid w:val="0"/>
        <w:spacing w:line="400" w:lineRule="exact"/>
        <w:ind w:firstLine="945" w:firstLineChars="450"/>
        <w:rPr>
          <w:rFonts w:ascii="宋体" w:hAnsi="宋体" w:hint="eastAsia"/>
          <w:szCs w:val="21"/>
          <w:u w:val="single"/>
        </w:rPr>
      </w:pPr>
      <w:r>
        <w:rPr>
          <w:rFonts w:ascii="宋体" w:hAnsi="宋体" w:hint="eastAsia"/>
          <w:szCs w:val="21"/>
        </w:rPr>
        <w:t>采购标的的技术要求、商务要求具体见附件。</w:t>
      </w:r>
    </w:p>
    <w:p w:rsidR="00C65F32">
      <w:pPr>
        <w:adjustRightInd w:val="0"/>
        <w:snapToGrid w:val="0"/>
        <w:spacing w:line="400" w:lineRule="exact"/>
        <w:ind w:firstLine="945" w:firstLineChars="450"/>
        <w:rPr>
          <w:rFonts w:ascii="宋体" w:hAnsi="宋体" w:cs="宋体" w:hint="eastAsia"/>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C65F32">
      <w:pPr>
        <w:adjustRightInd w:val="0"/>
        <w:snapToGrid w:val="0"/>
        <w:spacing w:line="400" w:lineRule="exact"/>
        <w:ind w:firstLine="420" w:firstLineChars="200"/>
        <w:rPr>
          <w:rFonts w:ascii="宋体" w:hAnsi="宋体" w:cs="宋体" w:hint="eastAsia"/>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C65F3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C65F32">
      <w:pPr>
        <w:pStyle w:val="AONormal"/>
        <w:ind w:firstLine="42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C65F32">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C65F3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C65F3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C65F3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C65F3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C65F32">
      <w:pPr>
        <w:pStyle w:val="AONormal"/>
        <w:snapToGrid w:val="0"/>
        <w:ind w:firstLine="0" w:firstLineChars="0"/>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C65F3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C65F32">
      <w:pPr>
        <w:pStyle w:val="AONormal"/>
        <w:snapToGrid w:val="0"/>
        <w:ind w:firstLine="420" w:firstLineChars="0"/>
        <w:rPr>
          <w:rFonts w:ascii="宋体" w:eastAsia="宋体" w:hAnsi="宋体" w:cs="宋体" w:hint="eastAsia"/>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C65F32">
      <w:pPr>
        <w:pStyle w:val="AONormal"/>
        <w:snapToGrid w:val="0"/>
        <w:ind w:firstLine="420" w:firstLineChars="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rsidR="00C65F32">
      <w:pPr>
        <w:pStyle w:val="AONormal"/>
        <w:snapToGrid w:val="0"/>
        <w:ind w:firstLine="220" w:firstLineChars="100"/>
        <w:rPr>
          <w:rFonts w:ascii="宋体" w:eastAsia="宋体" w:hAnsi="宋体" w:cs="Times New Roman" w:hint="eastAsia"/>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C65F32">
      <w:pPr>
        <w:adjustRightInd w:val="0"/>
        <w:snapToGrid w:val="0"/>
        <w:spacing w:line="400" w:lineRule="exact"/>
        <w:rPr>
          <w:rFonts w:ascii="宋体" w:hAnsi="宋体" w:hint="eastAsia"/>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C65F32">
      <w:pPr>
        <w:adjustRightInd w:val="0"/>
        <w:snapToGrid w:val="0"/>
        <w:spacing w:line="400" w:lineRule="exact"/>
        <w:rPr>
          <w:rFonts w:ascii="宋体" w:hAnsi="宋体" w:hint="eastAsia"/>
          <w:iCs/>
          <w:szCs w:val="21"/>
        </w:rPr>
      </w:pPr>
      <w:r>
        <w:rPr>
          <w:rFonts w:hint="eastAsia"/>
        </w:rPr>
        <w:t xml:space="preserve">         </w:t>
      </w:r>
      <w:r>
        <w:rPr>
          <w:rFonts w:hint="eastAsia"/>
        </w:rPr>
        <w:t>若本项目不专门面向中小企业采购，是否给予小微企业评审优惠：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C65F32">
      <w:pPr>
        <w:adjustRightInd w:val="0"/>
        <w:snapToGrid w:val="0"/>
        <w:spacing w:line="400" w:lineRule="exact"/>
        <w:rPr>
          <w:rFonts w:ascii="宋体" w:hAnsi="宋体" w:hint="eastAsia"/>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C65F32">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C65F3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C65F3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分包供应商/制造商名称（如供应商和制造商不同，请分别填写）：</w:t>
      </w:r>
    </w:p>
    <w:p w:rsidR="00C65F32">
      <w:pPr>
        <w:adjustRightInd w:val="0"/>
        <w:snapToGrid w:val="0"/>
        <w:spacing w:line="400" w:lineRule="exact"/>
        <w:ind w:firstLine="840" w:firstLineChars="400"/>
        <w:rPr>
          <w:rFonts w:ascii="宋体" w:hAnsi="宋体" w:hint="eastAsia"/>
          <w:szCs w:val="21"/>
          <w:u w:val="single"/>
        </w:rPr>
      </w:pPr>
      <w:r>
        <w:rPr>
          <w:rFonts w:ascii="宋体" w:hAnsi="宋体" w:hint="eastAsia"/>
          <w:szCs w:val="21"/>
        </w:rPr>
        <w:t xml:space="preserve"> </w:t>
      </w:r>
      <w:r>
        <w:rPr>
          <w:rFonts w:ascii="宋体" w:hAnsi="宋体" w:hint="eastAsia"/>
          <w:szCs w:val="21"/>
          <w:u w:val="single"/>
        </w:rPr>
        <w:t xml:space="preserve">                                                          </w:t>
      </w:r>
    </w:p>
    <w:p w:rsidR="00C65F3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分包供应商/制造商类型（如果供应商和制造商不同，只填写制造商类型）：</w:t>
      </w:r>
    </w:p>
    <w:p w:rsidR="00C65F32">
      <w:pPr>
        <w:adjustRightInd w:val="0"/>
        <w:snapToGrid w:val="0"/>
        <w:spacing w:line="400" w:lineRule="exact"/>
        <w:ind w:firstLine="840" w:firstLineChars="400"/>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C65F32">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C65F32">
      <w:pPr>
        <w:adjustRightInd w:val="0"/>
        <w:snapToGrid w:val="0"/>
        <w:spacing w:line="400" w:lineRule="exact"/>
        <w:rPr>
          <w:rFonts w:ascii="宋体" w:hAnsi="宋体" w:cs="宋体" w:hint="eastAsia"/>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C65F32">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C65F3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C65F32">
      <w:pPr>
        <w:adjustRightInd w:val="0"/>
        <w:snapToGrid w:val="0"/>
        <w:spacing w:line="400" w:lineRule="exact"/>
        <w:ind w:firstLine="840" w:firstLineChars="400"/>
        <w:rPr>
          <w:rFonts w:ascii="宋体" w:hAnsi="宋体" w:cs="宋体" w:hint="eastAsia"/>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是，《政府采购品目分类目录》底级品目名称：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C65F32">
      <w:pPr>
        <w:adjustRightInd w:val="0"/>
        <w:snapToGrid w:val="0"/>
        <w:spacing w:line="400" w:lineRule="exact"/>
        <w:ind w:firstLine="840" w:firstLineChars="400"/>
        <w:rPr>
          <w:rFonts w:ascii="宋体" w:hAnsi="宋体" w:hint="eastAsia"/>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C65F32">
      <w:pPr>
        <w:adjustRightInd w:val="0"/>
        <w:snapToGrid w:val="0"/>
        <w:spacing w:line="400" w:lineRule="exact"/>
        <w:ind w:firstLine="840" w:firstLineChars="400"/>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C65F3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C65F32">
      <w:pPr>
        <w:tabs>
          <w:tab w:val="left" w:pos="740"/>
        </w:tabs>
        <w:adjustRightInd w:val="0"/>
        <w:snapToGrid w:val="0"/>
        <w:spacing w:line="400" w:lineRule="exact"/>
        <w:rPr>
          <w:rFonts w:ascii="宋体" w:hAnsi="宋体" w:hint="eastAsia"/>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C65F3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C65F3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C65F3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是否涉及环境标志产品：</w:t>
      </w:r>
    </w:p>
    <w:p w:rsidR="00C65F32">
      <w:pPr>
        <w:tabs>
          <w:tab w:val="left" w:pos="740"/>
        </w:tabs>
        <w:adjustRightInd w:val="0"/>
        <w:snapToGrid w:val="0"/>
        <w:spacing w:line="400" w:lineRule="exact"/>
        <w:rPr>
          <w:rFonts w:ascii="宋体" w:hAnsi="宋体" w:hint="eastAsia"/>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是，《环境标志产品政府采购品目清单》的底级品目名称：</w:t>
      </w:r>
      <w:r>
        <w:rPr>
          <w:rFonts w:ascii="宋体" w:hAnsi="宋体" w:hint="eastAsia"/>
          <w:szCs w:val="21"/>
          <w:u w:val="single"/>
        </w:rPr>
        <w:t xml:space="preserve">         </w:t>
      </w:r>
      <w:r>
        <w:rPr>
          <w:rFonts w:ascii="宋体" w:hAnsi="宋体" w:hint="eastAsia"/>
          <w:iCs/>
          <w:szCs w:val="21"/>
        </w:rPr>
        <w:t xml:space="preserve"> </w:t>
      </w:r>
    </w:p>
    <w:p w:rsidR="00C65F3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C65F32">
      <w:pPr>
        <w:tabs>
          <w:tab w:val="left" w:pos="740"/>
        </w:tabs>
        <w:adjustRightInd w:val="0"/>
        <w:snapToGrid w:val="0"/>
        <w:spacing w:line="400" w:lineRule="exact"/>
        <w:rPr>
          <w:rFonts w:ascii="宋体" w:hAnsi="宋体" w:hint="eastAsia"/>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C65F32">
      <w:pPr>
        <w:pStyle w:val="AONormal"/>
        <w:snapToGrid w:val="0"/>
        <w:ind w:firstLine="0" w:firstLineChars="0"/>
        <w:rPr>
          <w:rFonts w:ascii="宋体" w:eastAsia="宋体" w:hAnsi="宋体" w:cs="Times New Roman" w:hint="eastAsia"/>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C65F32">
      <w:pPr>
        <w:pStyle w:val="AONormal"/>
        <w:ind w:firstLine="420" w:firstLineChars="0"/>
        <w:rPr>
          <w:rFonts w:ascii="宋体" w:eastAsia="宋体" w:hAnsi="宋体" w:hint="eastAsia"/>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是，绿色产品政府采购相关政策确定的底级品目名称：</w:t>
      </w:r>
      <w:r>
        <w:rPr>
          <w:rFonts w:ascii="宋体" w:eastAsia="宋体" w:hAnsi="宋体" w:hint="eastAsia"/>
          <w:u w:val="single"/>
        </w:rPr>
        <w:t xml:space="preserve">         </w:t>
      </w:r>
    </w:p>
    <w:p w:rsidR="00C65F32">
      <w:pPr>
        <w:tabs>
          <w:tab w:val="left" w:pos="740"/>
        </w:tabs>
        <w:adjustRightInd w:val="0"/>
        <w:snapToGrid w:val="0"/>
        <w:spacing w:line="400" w:lineRule="exact"/>
        <w:rPr>
          <w:rFonts w:ascii="宋体" w:hAnsi="宋体" w:hint="eastAsia"/>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C65F32">
      <w:pPr>
        <w:pStyle w:val="AONormal"/>
        <w:ind w:firstLine="420" w:firstLineChars="0"/>
        <w:rPr>
          <w:rFonts w:ascii="宋体" w:hAnsi="宋体" w:hint="eastAsia"/>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C65F32">
      <w:pPr>
        <w:adjustRightInd w:val="0"/>
        <w:snapToGrid w:val="0"/>
        <w:spacing w:line="400" w:lineRule="exact"/>
        <w:rPr>
          <w:rFonts w:ascii="宋体" w:hAnsi="宋体" w:hint="eastAsia"/>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C65F32">
      <w:pPr>
        <w:adjustRightInd w:val="0"/>
        <w:snapToGrid w:val="0"/>
        <w:spacing w:line="400" w:lineRule="exact"/>
        <w:ind w:firstLine="840" w:firstLineChars="400"/>
        <w:rPr>
          <w:rFonts w:ascii="宋体" w:hAnsi="宋体" w:hint="eastAsia"/>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合同金额</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（1）合同金额小写：</w:t>
      </w:r>
      <w:r>
        <w:rPr>
          <w:rFonts w:ascii="宋体" w:hAnsi="宋体" w:hint="eastAsia"/>
          <w:szCs w:val="21"/>
          <w:u w:val="single"/>
        </w:rPr>
        <w:t xml:space="preserve">                           </w:t>
      </w:r>
    </w:p>
    <w:p w:rsidR="00C65F3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C65F32">
      <w:pPr>
        <w:adjustRightInd w:val="0"/>
        <w:snapToGrid w:val="0"/>
        <w:spacing w:line="400" w:lineRule="exact"/>
        <w:rPr>
          <w:rFonts w:ascii="宋体" w:hAnsi="宋体" w:hint="eastAsia"/>
          <w:szCs w:val="21"/>
        </w:rPr>
      </w:pPr>
      <w:r>
        <w:rPr>
          <w:rFonts w:ascii="宋体" w:hAnsi="宋体" w:hint="eastAsia"/>
          <w:szCs w:val="21"/>
        </w:rPr>
        <w:t xml:space="preserve">         分包金额（如有）小写：</w:t>
      </w:r>
      <w:r>
        <w:rPr>
          <w:rFonts w:ascii="宋体" w:hAnsi="宋体" w:hint="eastAsia"/>
          <w:szCs w:val="21"/>
          <w:u w:val="single"/>
        </w:rPr>
        <w:t xml:space="preserve">                   </w:t>
      </w:r>
    </w:p>
    <w:p w:rsidR="00C65F32">
      <w:pPr>
        <w:adjustRightInd w:val="0"/>
        <w:snapToGrid w:val="0"/>
        <w:spacing w:line="400" w:lineRule="exact"/>
        <w:rPr>
          <w:rFonts w:ascii="宋体" w:hAnsi="宋体" w:hint="eastAsia"/>
          <w:szCs w:val="21"/>
          <w:u w:val="single"/>
        </w:rPr>
      </w:pPr>
      <w:r>
        <w:rPr>
          <w:rFonts w:ascii="宋体" w:hAnsi="宋体" w:hint="eastAsia"/>
          <w:szCs w:val="21"/>
        </w:rPr>
        <w:t xml:space="preserve">                     大写：</w:t>
      </w:r>
      <w:r>
        <w:rPr>
          <w:rFonts w:ascii="宋体" w:hAnsi="宋体" w:hint="eastAsia"/>
          <w:szCs w:val="21"/>
          <w:u w:val="single"/>
        </w:rPr>
        <w:t xml:space="preserve">                       </w:t>
      </w:r>
    </w:p>
    <w:p w:rsidR="00C65F32">
      <w:pPr>
        <w:adjustRightInd w:val="0"/>
        <w:snapToGrid w:val="0"/>
        <w:spacing w:line="400" w:lineRule="exact"/>
        <w:rPr>
          <w:rFonts w:ascii="宋体" w:hAnsi="宋体" w:hint="eastAsia"/>
          <w:szCs w:val="21"/>
        </w:rPr>
      </w:pPr>
      <w:r>
        <w:rPr>
          <w:rFonts w:ascii="宋体" w:hAnsi="宋体" w:hint="eastAsia"/>
          <w:szCs w:val="21"/>
        </w:rPr>
        <w:t xml:space="preserve">    （注：固定单价合同应填写单价和最高限价）</w:t>
      </w:r>
    </w:p>
    <w:p w:rsidR="00C65F32">
      <w:pPr>
        <w:adjustRightInd w:val="0"/>
        <w:snapToGrid w:val="0"/>
        <w:spacing w:line="400" w:lineRule="exact"/>
        <w:rPr>
          <w:rFonts w:ascii="宋体" w:hAnsi="宋体" w:hint="eastAsia"/>
          <w:szCs w:val="21"/>
        </w:rPr>
      </w:pPr>
      <w:r>
        <w:rPr>
          <w:rFonts w:ascii="宋体" w:hAnsi="宋体" w:hint="eastAsia"/>
          <w:szCs w:val="21"/>
        </w:rPr>
        <w:t xml:space="preserve">    （2）合同定价方式（采用组合定价方式的，可以勾选多项）：</w:t>
      </w:r>
    </w:p>
    <w:p w:rsidR="00C65F32">
      <w:pPr>
        <w:adjustRightInd w:val="0"/>
        <w:snapToGrid w:val="0"/>
        <w:spacing w:line="400" w:lineRule="exact"/>
        <w:ind w:firstLine="420" w:firstLineChars="200"/>
        <w:rPr>
          <w:rFonts w:ascii="宋体" w:hAnsi="宋体" w:hint="eastAsia"/>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C65F32">
      <w:pPr>
        <w:pStyle w:val="12"/>
        <w:spacing w:line="400" w:lineRule="exact"/>
      </w:pPr>
      <w:r>
        <w:rPr>
          <w:rFonts w:ascii="宋体" w:hAnsi="宋体" w:hint="eastAsia"/>
        </w:rPr>
        <w:t>（3）付款方式（按项目实际勾选填写）：</w:t>
      </w:r>
    </w:p>
    <w:p w:rsidR="00C65F3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65F32">
      <w:pPr>
        <w:snapToGrid w:val="0"/>
        <w:spacing w:line="400" w:lineRule="exact"/>
        <w:ind w:firstLine="630" w:firstLineChars="300"/>
      </w:pPr>
      <w:r>
        <w:rPr>
          <w:rFonts w:ascii="Wingdings" w:hAnsi="Wingdings"/>
          <w:szCs w:val="21"/>
        </w:rPr>
        <w:sym w:font="Wingdings" w:char="F0A8"/>
      </w:r>
      <w:r>
        <w:rPr>
          <w:rFonts w:ascii="宋体" w:hAnsi="宋体" w:hint="eastAsia"/>
          <w:szCs w:val="21"/>
        </w:rPr>
        <w:t>分期付款：</w:t>
      </w:r>
      <w:r>
        <w:rPr>
          <w:rFonts w:ascii="宋体" w:hAnsi="宋体" w:hint="eastAsia"/>
          <w:szCs w:val="21"/>
          <w:u w:val="single"/>
        </w:rPr>
        <w:t xml:space="preserve">  </w:t>
      </w:r>
      <w:r w:rsidRPr="005163A6" w:rsidR="005163A6">
        <w:rPr>
          <w:rFonts w:ascii="宋体" w:hAnsi="宋体" w:hint="eastAsia"/>
          <w:szCs w:val="21"/>
          <w:u w:val="single"/>
        </w:rPr>
        <w:t>合同签订后30日内支付合同金额的30%，用于</w:t>
      </w:r>
      <w:r w:rsidRPr="005163A6" w:rsidR="005163A6">
        <w:rPr>
          <w:rFonts w:ascii="宋体" w:hAnsi="宋体"/>
          <w:szCs w:val="21"/>
          <w:u w:val="single"/>
        </w:rPr>
        <w:t>移动式毫米波测云雷达</w:t>
      </w:r>
      <w:r w:rsidRPr="005163A6" w:rsidR="005163A6">
        <w:rPr>
          <w:rFonts w:ascii="宋体" w:hAnsi="宋体" w:hint="eastAsia"/>
          <w:szCs w:val="21"/>
          <w:u w:val="single"/>
        </w:rPr>
        <w:t>的生产；设备完成出厂验收后，</w:t>
      </w:r>
      <w:r w:rsidRPr="005163A6" w:rsidR="005163A6">
        <w:rPr>
          <w:rFonts w:ascii="宋体" w:hAnsi="宋体"/>
          <w:szCs w:val="21"/>
          <w:u w:val="single"/>
        </w:rPr>
        <w:t>支付</w:t>
      </w:r>
      <w:r w:rsidRPr="005163A6" w:rsidR="005163A6">
        <w:rPr>
          <w:rFonts w:ascii="宋体" w:hAnsi="宋体" w:hint="eastAsia"/>
          <w:szCs w:val="21"/>
          <w:u w:val="single"/>
        </w:rPr>
        <w:t>合同金额的30%；设备到达现场，安装调试完毕，现场验收合格后，支付合同金额的30%；合同验收意见签署完成后支付合同金额的10%。</w:t>
      </w:r>
      <w:r>
        <w:rPr>
          <w:rFonts w:ascii="宋体" w:hAnsi="宋体" w:hint="eastAsia"/>
          <w:szCs w:val="21"/>
          <w:u w:val="single"/>
        </w:rPr>
        <w:t xml:space="preserve"> </w:t>
      </w:r>
    </w:p>
    <w:p w:rsidR="00C65F32">
      <w:pPr>
        <w:adjustRightInd w:val="0"/>
        <w:snapToGrid w:val="0"/>
        <w:spacing w:line="400" w:lineRule="exact"/>
        <w:ind w:firstLine="630" w:firstLineChars="300"/>
        <w:rPr>
          <w:rFonts w:ascii="宋体" w:hAnsi="宋体" w:hint="eastAsia"/>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C65F32">
      <w:pPr>
        <w:adjustRightInd w:val="0"/>
        <w:snapToGrid w:val="0"/>
        <w:spacing w:line="400" w:lineRule="exact"/>
        <w:ind w:firstLine="630" w:firstLineChars="300"/>
        <w:rPr>
          <w:rFonts w:ascii="宋体" w:hAnsi="宋体" w:hint="eastAsia"/>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C65F32">
      <w:pPr>
        <w:numPr>
          <w:ilvl w:val="0"/>
          <w:numId w:val="6"/>
        </w:numPr>
        <w:adjustRightInd w:val="0"/>
        <w:snapToGrid w:val="0"/>
        <w:spacing w:line="400" w:lineRule="exact"/>
        <w:ind w:firstLine="420" w:firstLineChars="200"/>
        <w:rPr>
          <w:rFonts w:ascii="宋体" w:hAnsi="宋体" w:hint="eastAsia"/>
          <w:b/>
          <w:szCs w:val="21"/>
          <w:u w:val="single"/>
        </w:rPr>
      </w:pPr>
      <w:r>
        <w:rPr>
          <w:rFonts w:ascii="宋体" w:hAnsi="宋体" w:hint="eastAsia"/>
          <w:b/>
          <w:szCs w:val="21"/>
        </w:rPr>
        <w:t>合同履行</w:t>
      </w:r>
    </w:p>
    <w:p w:rsidR="00C65F32">
      <w:pPr>
        <w:adjustRightInd w:val="0"/>
        <w:snapToGrid w:val="0"/>
        <w:spacing w:line="400" w:lineRule="exact"/>
        <w:ind w:firstLine="420" w:firstLineChars="200"/>
        <w:rPr>
          <w:rFonts w:ascii="宋体" w:hAnsi="宋体" w:cs="宋体" w:hint="eastAsia"/>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C65F3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C65F32">
      <w:pPr>
        <w:adjustRightInd w:val="0"/>
        <w:snapToGrid w:val="0"/>
        <w:spacing w:line="400" w:lineRule="exact"/>
        <w:ind w:firstLine="420" w:firstLineChars="200"/>
        <w:rPr>
          <w:rFonts w:ascii="宋体" w:hAnsi="宋体" w:cs="宋体" w:hint="eastAsia"/>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5163A6" w:rsidP="005163A6">
      <w:pPr>
        <w:spacing w:line="360" w:lineRule="auto"/>
        <w:ind w:firstLine="420" w:firstLineChars="200"/>
        <w:rPr>
          <w:rFonts w:ascii="宋体" w:hAnsi="宋体" w:hint="eastAsia"/>
          <w:szCs w:val="21"/>
        </w:rPr>
      </w:pPr>
      <w:r>
        <w:rPr>
          <w:rFonts w:ascii="宋体" w:hAnsi="宋体" w:cs="宋体" w:hint="eastAsia"/>
          <w:bCs/>
        </w:rPr>
        <w:t xml:space="preserve">  </w:t>
      </w:r>
      <w:r>
        <w:rPr>
          <w:rFonts w:ascii="宋体" w:eastAsia="宋体" w:hAnsi="宋体" w:cs="宋体" w:hint="eastAsia"/>
        </w:rPr>
        <w:t xml:space="preserve">  收取履约保证金形式：</w:t>
      </w:r>
      <w:r>
        <w:rPr>
          <w:rFonts w:ascii="宋体" w:eastAsia="宋体" w:hAnsi="宋体" w:cs="宋体" w:hint="eastAsia"/>
          <w:bCs/>
          <w:u w:val="single"/>
        </w:rPr>
        <w:t xml:space="preserve"> </w:t>
      </w:r>
      <w:r w:rsidRPr="005163A6">
        <w:rPr>
          <w:rFonts w:ascii="宋体" w:hAnsi="宋体"/>
          <w:szCs w:val="21"/>
          <w:u w:val="single"/>
        </w:rPr>
        <w:t>合同签订</w:t>
      </w:r>
      <w:r w:rsidRPr="005163A6">
        <w:rPr>
          <w:rFonts w:ascii="宋体" w:hAnsi="宋体" w:hint="eastAsia"/>
          <w:szCs w:val="21"/>
          <w:u w:val="single"/>
        </w:rPr>
        <w:t>后</w:t>
      </w:r>
      <w:r w:rsidRPr="005163A6">
        <w:rPr>
          <w:rFonts w:ascii="宋体" w:hAnsi="宋体"/>
          <w:szCs w:val="21"/>
          <w:u w:val="single"/>
        </w:rPr>
        <w:t>，乙方向甲方提供合同总金额5%的</w:t>
      </w:r>
      <w:r w:rsidRPr="005163A6">
        <w:rPr>
          <w:rFonts w:ascii="宋体" w:hAnsi="宋体" w:hint="eastAsia"/>
          <w:szCs w:val="21"/>
          <w:u w:val="single"/>
        </w:rPr>
        <w:t>银行履约保函</w:t>
      </w:r>
      <w:r w:rsidRPr="005163A6">
        <w:rPr>
          <w:rFonts w:ascii="宋体" w:hAnsi="宋体"/>
          <w:szCs w:val="21"/>
          <w:u w:val="single"/>
        </w:rPr>
        <w:t>，设备验收合格一年后，甲方将</w:t>
      </w:r>
      <w:r w:rsidRPr="005163A6">
        <w:rPr>
          <w:rFonts w:ascii="宋体" w:hAnsi="宋体" w:hint="eastAsia"/>
          <w:szCs w:val="21"/>
          <w:u w:val="single"/>
        </w:rPr>
        <w:t>银行履约保函</w:t>
      </w:r>
      <w:r w:rsidRPr="005163A6">
        <w:rPr>
          <w:rFonts w:ascii="宋体" w:hAnsi="宋体"/>
          <w:szCs w:val="21"/>
          <w:u w:val="single"/>
        </w:rPr>
        <w:t>退还乙方。</w:t>
      </w:r>
    </w:p>
    <w:p w:rsidR="00C65F32">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r w:rsidRPr="005163A6" w:rsidR="005163A6">
        <w:rPr>
          <w:rFonts w:ascii="宋体" w:hAnsi="宋体"/>
          <w:u w:val="single"/>
        </w:rPr>
        <w:t>合同总金额</w:t>
      </w:r>
      <w:r w:rsidRPr="005163A6" w:rsidR="005163A6">
        <w:rPr>
          <w:rFonts w:ascii="宋体" w:hAnsi="宋体"/>
          <w:u w:val="single"/>
        </w:rPr>
        <w:t>5%</w:t>
      </w:r>
      <w:r>
        <w:rPr>
          <w:rFonts w:ascii="宋体" w:eastAsia="宋体" w:hAnsi="宋体" w:cs="宋体" w:hint="eastAsia"/>
          <w:bCs/>
          <w:sz w:val="21"/>
          <w:u w:val="single"/>
        </w:rPr>
        <w:t xml:space="preserve">           </w:t>
      </w:r>
    </w:p>
    <w:p w:rsidR="00C65F32">
      <w:pPr>
        <w:snapToGrid w:val="0"/>
        <w:spacing w:line="400" w:lineRule="exact"/>
        <w:ind w:firstLine="420" w:firstLineChars="200"/>
        <w:rPr>
          <w:rFonts w:ascii="宋体" w:hAnsi="宋体" w:cs="宋体" w:hint="eastAsia"/>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C65F32">
      <w:pPr>
        <w:adjustRightInd w:val="0"/>
        <w:snapToGrid w:val="0"/>
        <w:spacing w:line="400" w:lineRule="exact"/>
        <w:ind w:firstLine="420" w:firstLineChars="200"/>
        <w:rPr>
          <w:rFonts w:ascii="宋体" w:hAnsi="宋体" w:cs="宋体" w:hint="eastAsia"/>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C65F32">
      <w:pPr>
        <w:adjustRightInd w:val="0"/>
        <w:snapToGrid w:val="0"/>
        <w:spacing w:line="400" w:lineRule="exact"/>
        <w:ind w:firstLine="420" w:firstLineChars="200"/>
        <w:rPr>
          <w:rFonts w:ascii="宋体" w:hAnsi="宋体" w:cs="宋体" w:hint="eastAsia"/>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合同验收</w:t>
      </w:r>
    </w:p>
    <w:p w:rsidR="00C65F32">
      <w:pPr>
        <w:numPr>
          <w:ilvl w:val="0"/>
          <w:numId w:val="8"/>
        </w:numPr>
        <w:adjustRightInd w:val="0"/>
        <w:snapToGrid w:val="0"/>
        <w:spacing w:line="400" w:lineRule="exact"/>
        <w:ind w:firstLine="420" w:firstLineChars="200"/>
        <w:rPr>
          <w:rFonts w:ascii="宋体" w:hAnsi="宋体" w:hint="eastAsia"/>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C65F32">
      <w:pPr>
        <w:adjustRightInd w:val="0"/>
        <w:snapToGrid w:val="0"/>
        <w:spacing w:line="400" w:lineRule="exact"/>
        <w:rPr>
          <w:rFonts w:ascii="宋体" w:hAnsi="宋体" w:hint="eastAsia"/>
          <w:bCs/>
          <w:szCs w:val="21"/>
        </w:rPr>
      </w:pPr>
      <w:r>
        <w:rPr>
          <w:rFonts w:ascii="宋体" w:hAnsi="宋体" w:hint="eastAsia"/>
          <w:bCs/>
          <w:szCs w:val="21"/>
        </w:rPr>
        <w:t xml:space="preserve">         验收主体：</w:t>
      </w:r>
      <w:r>
        <w:rPr>
          <w:rFonts w:ascii="宋体" w:hAnsi="宋体" w:hint="eastAsia"/>
          <w:bCs/>
          <w:szCs w:val="21"/>
          <w:u w:val="single"/>
        </w:rPr>
        <w:t xml:space="preserve">                  </w:t>
      </w:r>
    </w:p>
    <w:p w:rsidR="00C65F32">
      <w:pPr>
        <w:adjustRightInd w:val="0"/>
        <w:snapToGrid w:val="0"/>
        <w:spacing w:line="400" w:lineRule="exact"/>
        <w:rPr>
          <w:rFonts w:ascii="宋体" w:hAnsi="宋体" w:hint="eastAsia"/>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C65F32">
      <w:pPr>
        <w:adjustRightInd w:val="0"/>
        <w:snapToGrid w:val="0"/>
        <w:spacing w:line="400" w:lineRule="exact"/>
        <w:ind w:firstLine="840" w:firstLineChars="400"/>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C65F32">
      <w:pPr>
        <w:adjustRightInd w:val="0"/>
        <w:snapToGrid w:val="0"/>
        <w:spacing w:line="400" w:lineRule="exact"/>
        <w:ind w:firstLine="840" w:firstLineChars="400"/>
        <w:rPr>
          <w:rFonts w:ascii="宋体" w:hAnsi="宋体" w:hint="eastAsia"/>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C65F3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C65F3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C65F32">
      <w:pPr>
        <w:adjustRightInd w:val="0"/>
        <w:snapToGrid w:val="0"/>
        <w:spacing w:line="400" w:lineRule="exact"/>
        <w:rPr>
          <w:rFonts w:ascii="宋体" w:hAnsi="宋体" w:hint="eastAsia"/>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C65F32">
      <w:pPr>
        <w:adjustRightInd w:val="0"/>
        <w:snapToGrid w:val="0"/>
        <w:spacing w:line="400" w:lineRule="exact"/>
        <w:ind w:firstLine="420" w:firstLineChars="200"/>
        <w:rPr>
          <w:rFonts w:ascii="宋体" w:hAnsi="宋体" w:hint="eastAsia"/>
          <w:bCs/>
          <w:szCs w:val="21"/>
        </w:rPr>
      </w:pPr>
      <w:r>
        <w:rPr>
          <w:rFonts w:ascii="宋体" w:hAnsi="宋体" w:hint="eastAsia"/>
          <w:bCs/>
          <w:szCs w:val="21"/>
        </w:rPr>
        <w:t>（4）履约验收程序：</w:t>
      </w:r>
      <w:r>
        <w:rPr>
          <w:rFonts w:ascii="宋体" w:hAnsi="宋体" w:hint="eastAsia"/>
          <w:bCs/>
          <w:szCs w:val="21"/>
          <w:u w:val="single"/>
        </w:rPr>
        <w:t xml:space="preserve">                                         </w:t>
      </w:r>
    </w:p>
    <w:p w:rsidR="00C65F3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C65F32">
      <w:pPr>
        <w:adjustRightInd w:val="0"/>
        <w:snapToGrid w:val="0"/>
        <w:spacing w:line="400" w:lineRule="exact"/>
        <w:ind w:firstLine="420" w:firstLineChars="200"/>
        <w:rPr>
          <w:rFonts w:ascii="宋体" w:hAnsi="宋体" w:hint="eastAsia"/>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C65F32">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C65F32">
      <w:pPr>
        <w:adjustRightInd w:val="0"/>
        <w:snapToGrid w:val="0"/>
        <w:spacing w:line="400" w:lineRule="exact"/>
        <w:ind w:firstLine="420" w:firstLineChars="200"/>
        <w:rPr>
          <w:rFonts w:ascii="宋体" w:hAnsi="宋体" w:cs="宋体" w:hint="eastAsia"/>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组成合同的文件</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本协议书与下列文件一起构成合同文件，如下述文件之间有任何抵触、矛盾或歧义，应按以下顺序解释：</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（1）政府采购合同协议书及其变更、补充协议</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（2）政府采购合同专用条款</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（3）政府采购合同通用条款</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（4）中标（成交）通知书</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（5）投标（响应）文件</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（6）采购文件</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（7）有关技术文件，图纸</w:t>
      </w:r>
    </w:p>
    <w:p w:rsidR="00C65F32">
      <w:pPr>
        <w:pStyle w:val="AONormal"/>
        <w:ind w:firstLine="420"/>
        <w:rPr>
          <w:rFonts w:ascii="宋体" w:eastAsia="宋体" w:hAnsi="宋体" w:cs="宋体" w:hint="eastAsia"/>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合同生效</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C65F32">
      <w:pPr>
        <w:numPr>
          <w:ilvl w:val="0"/>
          <w:numId w:val="6"/>
        </w:numPr>
        <w:adjustRightInd w:val="0"/>
        <w:snapToGrid w:val="0"/>
        <w:spacing w:line="400" w:lineRule="exact"/>
        <w:ind w:firstLine="420" w:firstLineChars="200"/>
        <w:rPr>
          <w:rFonts w:ascii="宋体" w:hAnsi="宋体" w:hint="eastAsia"/>
          <w:b/>
          <w:szCs w:val="21"/>
        </w:rPr>
      </w:pPr>
      <w:r>
        <w:rPr>
          <w:rFonts w:ascii="宋体" w:hAnsi="宋体" w:hint="eastAsia"/>
          <w:b/>
          <w:szCs w:val="21"/>
        </w:rPr>
        <w:t>合同份数</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C65F32">
      <w:pPr>
        <w:adjustRightInd w:val="0"/>
        <w:snapToGrid w:val="0"/>
        <w:spacing w:line="400" w:lineRule="exact"/>
        <w:ind w:firstLine="420" w:firstLineChars="200"/>
        <w:rPr>
          <w:rFonts w:ascii="宋体" w:hAnsi="宋体" w:hint="eastAsia"/>
          <w:szCs w:val="21"/>
        </w:rPr>
      </w:pPr>
      <w:r>
        <w:rPr>
          <w:rFonts w:ascii="宋体" w:hAnsi="宋体" w:hint="eastAsia"/>
          <w:szCs w:val="21"/>
        </w:rPr>
        <w:t>合同订立地点：</w:t>
      </w:r>
      <w:r>
        <w:rPr>
          <w:rFonts w:ascii="宋体" w:hAnsi="宋体" w:hint="eastAsia"/>
          <w:szCs w:val="21"/>
          <w:u w:val="single"/>
        </w:rPr>
        <w:t xml:space="preserve">                           </w:t>
      </w:r>
    </w:p>
    <w:p w:rsidR="00C65F32">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C65F32">
      <w:r>
        <w:rPr>
          <w:rFonts w:hint="eastAsia"/>
        </w:rPr>
        <w:br w:type="page"/>
      </w:r>
    </w:p>
    <w:p w:rsidR="00C65F32">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891"/>
        <w:gridCol w:w="2412"/>
        <w:gridCol w:w="1978"/>
        <w:gridCol w:w="2117"/>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C65F32">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C65F32">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法定代表人</w:t>
            </w:r>
          </w:p>
          <w:p w:rsidR="00C65F32">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法定代表人</w:t>
            </w:r>
          </w:p>
          <w:p w:rsidR="00C65F32">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C65F32">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C65F32">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C65F32">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C65F32">
      <w:pPr>
        <w:pStyle w:val="Heading2"/>
        <w:numPr>
          <w:ilvl w:val="0"/>
          <w:numId w:val="0"/>
        </w:numPr>
        <w:adjustRightInd w:val="0"/>
        <w:snapToGrid w:val="0"/>
        <w:spacing w:before="156" w:beforeLines="50"/>
        <w:jc w:val="center"/>
        <w:rPr>
          <w:rFonts w:ascii="黑体" w:hAnsi="黑体" w:hint="eastAsia"/>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C65F32">
      <w:pPr>
        <w:tabs>
          <w:tab w:val="left" w:pos="8820"/>
          <w:tab w:val="left" w:pos="9345"/>
          <w:tab w:val="left" w:pos="9765"/>
        </w:tabs>
        <w:adjustRightInd w:val="0"/>
        <w:snapToGrid w:val="0"/>
        <w:spacing w:line="400" w:lineRule="exact"/>
        <w:jc w:val="left"/>
        <w:rPr>
          <w:rFonts w:ascii="宋体" w:hAnsi="宋体" w:hint="eastAsia"/>
          <w:b/>
          <w:bCs/>
        </w:rPr>
      </w:pPr>
      <w:r>
        <w:rPr>
          <w:rFonts w:ascii="宋体" w:hAnsi="宋体" w:hint="eastAsia"/>
          <w:b/>
          <w:sz w:val="24"/>
        </w:rPr>
        <w:t xml:space="preserve">1. </w:t>
      </w:r>
      <w:r>
        <w:rPr>
          <w:rFonts w:ascii="宋体" w:hAnsi="宋体" w:hint="eastAsia"/>
          <w:b/>
          <w:bCs/>
          <w:sz w:val="24"/>
        </w:rPr>
        <w:t>定义</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1.1合同当事人</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（1）采购人（以下称甲方）是指使用财政性资金，通过政府采购方式向供应商购买货物及其相关服务的国家机关、事业单位、团体组织。</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C65F3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1.2本合同下列术语应解释为：</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C65F32">
      <w:pPr>
        <w:tabs>
          <w:tab w:val="left" w:pos="570"/>
          <w:tab w:val="left" w:pos="9240"/>
          <w:tab w:val="left" w:pos="9555"/>
        </w:tabs>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（2）“合同价款”系指根据本合同规定乙方在全面履行合同义务后甲方应支付给乙方的价款。</w:t>
      </w:r>
    </w:p>
    <w:p w:rsidR="00C65F3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C65F3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C65F3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（5）“分包”系指中标（成交）供应商按采购文件、投标（响应）文件的规定，根据分包意向协议，将中标（成交）项目中的部分履约内容，分给具有相应资质条件的供应商履行合同的行为。</w:t>
      </w:r>
    </w:p>
    <w:p w:rsidR="00C65F3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C65F32">
      <w:pPr>
        <w:tabs>
          <w:tab w:val="left" w:pos="570"/>
          <w:tab w:val="left" w:pos="9240"/>
          <w:tab w:val="left" w:pos="9555"/>
        </w:tabs>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C65F32">
      <w:pPr>
        <w:numPr>
          <w:ilvl w:val="0"/>
          <w:numId w:val="9"/>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color w:val="000000"/>
          <w:sz w:val="24"/>
        </w:rPr>
        <w:t>合同标的及金额</w:t>
      </w:r>
    </w:p>
    <w:p w:rsidR="00C65F32">
      <w:pPr>
        <w:autoSpaceDE w:val="0"/>
        <w:autoSpaceDN w:val="0"/>
        <w:adjustRightInd w:val="0"/>
        <w:snapToGrid w:val="0"/>
        <w:spacing w:line="400" w:lineRule="exact"/>
        <w:ind w:firstLine="420" w:firstLineChars="200"/>
        <w:jc w:val="left"/>
        <w:rPr>
          <w:rFonts w:ascii="宋体" w:hAnsi="宋体" w:hint="eastAsia"/>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C65F32">
      <w:pPr>
        <w:adjustRightInd w:val="0"/>
        <w:snapToGrid w:val="0"/>
        <w:spacing w:line="400" w:lineRule="exact"/>
        <w:jc w:val="left"/>
        <w:rPr>
          <w:rFonts w:ascii="宋体" w:hAnsi="宋体" w:hint="eastAsia"/>
          <w:b/>
          <w:color w:val="000000"/>
        </w:rPr>
      </w:pPr>
      <w:r>
        <w:rPr>
          <w:rFonts w:ascii="宋体" w:hAnsi="宋体" w:hint="eastAsia"/>
          <w:b/>
          <w:color w:val="000000"/>
          <w:sz w:val="24"/>
        </w:rPr>
        <w:t>3. 履行合同的时间、地点和方式</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C65F3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4. 甲方的权利和义务</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C65F32">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约定的期限内对乙方履约提出任何异议或者向乙方作出任何说明的，</w:t>
      </w:r>
      <w:r>
        <w:rPr>
          <w:rFonts w:ascii="宋体" w:hAnsi="宋体" w:hint="eastAsia"/>
          <w:color w:val="000000"/>
          <w:szCs w:val="21"/>
        </w:rPr>
        <w:t>视为验收通过。</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C65F3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5. 乙方的权利和义务</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C65F3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C65F32">
      <w:pPr>
        <w:pStyle w:val="BodyText"/>
        <w:spacing w:after="0" w:line="400" w:lineRule="exact"/>
        <w:ind w:firstLine="370" w:firstLineChars="176"/>
        <w:rPr>
          <w:rFonts w:ascii="宋体" w:hAnsi="宋体" w:cs="宋体" w:hint="eastAsia"/>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C65F32">
      <w:pPr>
        <w:numPr>
          <w:ilvl w:val="0"/>
          <w:numId w:val="10"/>
        </w:num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合同履行</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C65F32">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C65F32">
      <w:pPr>
        <w:adjustRightInd w:val="0"/>
        <w:snapToGrid w:val="0"/>
        <w:spacing w:line="400" w:lineRule="exact"/>
        <w:jc w:val="left"/>
        <w:rPr>
          <w:rFonts w:ascii="宋体" w:hAnsi="宋体" w:hint="eastAsia"/>
          <w:b/>
          <w:bCs/>
          <w:color w:val="000000"/>
        </w:rPr>
      </w:pPr>
      <w:r>
        <w:rPr>
          <w:rFonts w:ascii="宋体" w:hAnsi="宋体" w:hint="eastAsia"/>
          <w:b/>
          <w:bCs/>
          <w:color w:val="000000"/>
          <w:sz w:val="24"/>
        </w:rPr>
        <w:t>7. 货物包装、运输、保险和交付要求</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C65F3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C65F32">
      <w:pPr>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w:t>
      </w:r>
      <w:r>
        <w:rPr>
          <w:rFonts w:ascii="宋体" w:hAnsi="宋体" w:hint="eastAsia"/>
          <w:color w:val="000000"/>
          <w:szCs w:val="21"/>
        </w:rPr>
        <w:t>报告。</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C65F32">
      <w:pPr>
        <w:pStyle w:val="AONormal"/>
        <w:ind w:firstLine="420"/>
        <w:rPr>
          <w:rFonts w:hint="eastAsia"/>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C65F32">
      <w:pPr>
        <w:adjustRightInd w:val="0"/>
        <w:snapToGrid w:val="0"/>
        <w:spacing w:line="400" w:lineRule="exact"/>
        <w:jc w:val="left"/>
        <w:rPr>
          <w:rFonts w:ascii="宋体" w:hAnsi="宋体" w:hint="eastAsia"/>
          <w:b/>
        </w:rPr>
      </w:pPr>
      <w:r>
        <w:rPr>
          <w:rFonts w:ascii="宋体" w:hAnsi="宋体" w:hint="eastAsia"/>
          <w:b/>
          <w:color w:val="000000"/>
          <w:sz w:val="24"/>
        </w:rPr>
        <w:t xml:space="preserve">8. </w:t>
      </w:r>
      <w:r>
        <w:rPr>
          <w:rFonts w:ascii="宋体" w:hAnsi="宋体" w:hint="eastAsia"/>
          <w:b/>
          <w:sz w:val="24"/>
        </w:rPr>
        <w:t>质量标准和保证</w:t>
      </w:r>
    </w:p>
    <w:p w:rsidR="00C65F32">
      <w:pPr>
        <w:pStyle w:val="PlainText"/>
        <w:adjustRightInd w:val="0"/>
        <w:snapToGrid w:val="0"/>
        <w:spacing w:line="400" w:lineRule="exact"/>
        <w:ind w:firstLine="420" w:firstLineChars="200"/>
        <w:jc w:val="left"/>
        <w:rPr>
          <w:rFonts w:hAnsi="宋体" w:hint="eastAsia"/>
          <w:b/>
        </w:rPr>
      </w:pPr>
      <w:r>
        <w:rPr>
          <w:rFonts w:hAnsi="宋体" w:hint="eastAsia"/>
        </w:rPr>
        <w:t>8.1 质量标准</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C65F32">
      <w:pPr>
        <w:pStyle w:val="PlainText"/>
        <w:adjustRightInd w:val="0"/>
        <w:snapToGrid w:val="0"/>
        <w:spacing w:line="400" w:lineRule="exact"/>
        <w:ind w:firstLine="420" w:firstLineChars="200"/>
        <w:jc w:val="left"/>
        <w:rPr>
          <w:rFonts w:hAnsi="宋体" w:hint="eastAsia"/>
        </w:rPr>
      </w:pPr>
      <w:r>
        <w:rPr>
          <w:rFonts w:hAnsi="宋体" w:hint="eastAsia"/>
        </w:rPr>
        <w:t>（2）采用中华人民共和国法定计量单位。</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（3）乙方所提供的货物应符合国家有关安全、环保、卫生的规定。</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（4）乙方应向甲方提交所提供货物的技术文件，包括相应的中文技术文件，如：产品目录、图纸、操作手册、使用说明、维护手册或服务指南等。上述文件应包装好随货物一同发运。</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8.2 保证</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规定或乙方书面承诺（两者以较长的为准）的质量保证期内，本保证保持有效。</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（2）在质量保证期内所发现的缺陷，甲方应尽快以书面形式通知乙方。</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C65F32">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C65F32">
      <w:pPr>
        <w:adjustRightInd w:val="0"/>
        <w:snapToGrid w:val="0"/>
        <w:spacing w:line="400" w:lineRule="exact"/>
        <w:jc w:val="left"/>
        <w:rPr>
          <w:rFonts w:ascii="宋体" w:hAnsi="宋体" w:hint="eastAsia"/>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9.1 乙方保证对其出售的货物享有合法的权利。</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C65F32">
      <w:pPr>
        <w:autoSpaceDE w:val="0"/>
        <w:autoSpaceDN w:val="0"/>
        <w:adjustRightInd w:val="0"/>
        <w:snapToGrid w:val="0"/>
        <w:spacing w:line="400" w:lineRule="exact"/>
        <w:ind w:firstLine="420" w:firstLineChars="200"/>
        <w:jc w:val="left"/>
        <w:rPr>
          <w:rFonts w:ascii="宋体" w:hAnsi="宋体" w:hint="eastAsia"/>
          <w:color w:val="000000"/>
          <w:szCs w:val="21"/>
        </w:rPr>
      </w:pPr>
      <w:r>
        <w:rPr>
          <w:rFonts w:ascii="宋体" w:hAnsi="宋体" w:hint="eastAsia"/>
          <w:color w:val="000000"/>
          <w:szCs w:val="21"/>
        </w:rPr>
        <w:t>9.3 如甲方使用上述货物构成对第三人侵权的，则由乙方承担全部责任。</w:t>
      </w:r>
    </w:p>
    <w:p w:rsidR="00C65F32">
      <w:pPr>
        <w:autoSpaceDE w:val="0"/>
        <w:autoSpaceDN w:val="0"/>
        <w:adjustRightInd w:val="0"/>
        <w:snapToGrid w:val="0"/>
        <w:spacing w:line="400" w:lineRule="exact"/>
        <w:jc w:val="left"/>
        <w:rPr>
          <w:rFonts w:ascii="宋体" w:hAnsi="宋体" w:hint="eastAsia"/>
          <w:b/>
          <w:bCs/>
          <w:color w:val="000000"/>
        </w:rPr>
      </w:pPr>
      <w:r>
        <w:rPr>
          <w:rFonts w:ascii="宋体" w:hAnsi="宋体" w:hint="eastAsia"/>
          <w:b/>
          <w:bCs/>
          <w:color w:val="000000"/>
          <w:sz w:val="24"/>
        </w:rPr>
        <w:t>10. 知识产权保护</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w:t>
      </w:r>
      <w:r>
        <w:rPr>
          <w:rFonts w:ascii="宋体" w:hAnsi="宋体" w:cs="宋体" w:hint="eastAsia"/>
          <w:szCs w:val="15"/>
        </w:rPr>
        <w:t>任；甲方依法向第三人赔偿后，有权向乙方追偿。甲方有其他损失的，乙方应当赔偿</w:t>
      </w:r>
      <w:bookmarkEnd w:id="74"/>
      <w:r>
        <w:rPr>
          <w:rFonts w:ascii="宋体" w:hAnsi="宋体" w:hint="eastAsia"/>
          <w:szCs w:val="21"/>
        </w:rPr>
        <w:t>。</w:t>
      </w:r>
    </w:p>
    <w:p w:rsidR="00C65F3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11. 保密义务</w:t>
      </w:r>
    </w:p>
    <w:p w:rsidR="00C65F32">
      <w:pPr>
        <w:autoSpaceDE w:val="0"/>
        <w:autoSpaceDN w:val="0"/>
        <w:adjustRightInd w:val="0"/>
        <w:snapToGrid w:val="0"/>
        <w:spacing w:line="400" w:lineRule="exact"/>
        <w:ind w:firstLine="420" w:firstLineChars="20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C65F3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12. 合同价款支付</w:t>
      </w:r>
    </w:p>
    <w:p w:rsidR="00C65F32">
      <w:pPr>
        <w:numPr>
          <w:ilvl w:val="1"/>
          <w:numId w:val="11"/>
        </w:numPr>
        <w:adjustRightInd w:val="0"/>
        <w:snapToGrid w:val="0"/>
        <w:spacing w:line="400" w:lineRule="exact"/>
        <w:jc w:val="left"/>
        <w:rPr>
          <w:rFonts w:ascii="宋体" w:hAnsi="宋体" w:hint="eastAsia"/>
          <w:szCs w:val="21"/>
        </w:rPr>
      </w:pPr>
      <w:r>
        <w:rPr>
          <w:rFonts w:ascii="宋体" w:hAnsi="宋体" w:hint="eastAsia"/>
          <w:szCs w:val="21"/>
        </w:rPr>
        <w:t>合同价款支付按照国库集中支付制度及财政管理相关规定执行。</w:t>
      </w:r>
    </w:p>
    <w:p w:rsidR="00C65F32">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C65F32">
      <w:pPr>
        <w:pStyle w:val="BodyText"/>
        <w:spacing w:after="0" w:line="400" w:lineRule="exact"/>
        <w:rPr>
          <w:rFonts w:ascii="宋体" w:hAnsi="宋体" w:hint="eastAsia"/>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C65F32">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C65F32">
      <w:pPr>
        <w:autoSpaceDE w:val="0"/>
        <w:autoSpaceDN w:val="0"/>
        <w:adjustRightInd w:val="0"/>
        <w:snapToGrid w:val="0"/>
        <w:spacing w:line="400" w:lineRule="exact"/>
        <w:jc w:val="left"/>
        <w:rPr>
          <w:rFonts w:ascii="宋体" w:hAnsi="宋体" w:hint="eastAsia"/>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14.1 除项目不涉及或采购活动中明确约定无须承担外，乙方还应提供下列服务：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（1）货物的现场移动、安装、调试、启动监督及技术支持；</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（2）提供货物组装和维修所需的专用工具和辅助材料；</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C65F32">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14.2 乙方提供的售后服务的费用已包含在合同价款中，甲方不再另行支付。</w:t>
      </w:r>
    </w:p>
    <w:p w:rsidR="00C65F32">
      <w:pPr>
        <w:adjustRightInd w:val="0"/>
        <w:snapToGrid w:val="0"/>
        <w:spacing w:line="400" w:lineRule="exact"/>
        <w:jc w:val="left"/>
        <w:rPr>
          <w:rFonts w:ascii="宋体" w:hAnsi="宋体" w:hint="eastAsia"/>
          <w:b/>
          <w:bCs/>
        </w:rPr>
      </w:pPr>
      <w:r>
        <w:rPr>
          <w:rFonts w:ascii="宋体" w:hAnsi="宋体" w:hint="eastAsia"/>
          <w:b/>
          <w:bCs/>
          <w:sz w:val="24"/>
        </w:rPr>
        <w:t>15. 违约责任</w:t>
      </w:r>
    </w:p>
    <w:p w:rsidR="00C65F3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15.1质量瑕疵的违约责任</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C65F32">
      <w:pPr>
        <w:autoSpaceDE w:val="0"/>
        <w:autoSpaceDN w:val="0"/>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15.2 迟延交货的违约责任</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15.3 迟延支付的违约责任</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C65F32">
      <w:pPr>
        <w:numPr>
          <w:ilvl w:val="0"/>
          <w:numId w:val="12"/>
        </w:numPr>
        <w:autoSpaceDE w:val="0"/>
        <w:autoSpaceDN w:val="0"/>
        <w:adjustRightInd w:val="0"/>
        <w:snapToGrid w:val="0"/>
        <w:spacing w:line="400" w:lineRule="exact"/>
        <w:jc w:val="left"/>
        <w:rPr>
          <w:rFonts w:ascii="宋体" w:hAnsi="宋体" w:hint="eastAsia"/>
          <w:b/>
        </w:rPr>
      </w:pPr>
      <w:r>
        <w:rPr>
          <w:rFonts w:ascii="宋体" w:hAnsi="宋体" w:hint="eastAsia"/>
          <w:b/>
          <w:sz w:val="24"/>
        </w:rPr>
        <w:t>合同变更、中止与终止</w:t>
      </w:r>
    </w:p>
    <w:p w:rsidR="00C65F32">
      <w:pPr>
        <w:adjustRightInd w:val="0"/>
        <w:snapToGrid w:val="0"/>
        <w:spacing w:line="400" w:lineRule="exact"/>
        <w:jc w:val="left"/>
        <w:rPr>
          <w:rFonts w:ascii="宋体" w:hAnsi="宋体" w:hint="eastAsia"/>
          <w:szCs w:val="21"/>
        </w:rPr>
      </w:pPr>
      <w:r>
        <w:rPr>
          <w:rFonts w:ascii="宋体" w:hAnsi="宋体" w:hint="eastAsia"/>
          <w:szCs w:val="21"/>
        </w:rPr>
        <w:t xml:space="preserve">    16.1合同的变更</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16.2合同的中止</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（1）合同履行过程中因供应商就采购文件、采购过程或结果提起投诉的，甲方认为有必要的，可以中止合同的履行。</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C65F32">
      <w:pPr>
        <w:pStyle w:val="AONormal"/>
        <w:ind w:firstLine="420"/>
        <w:jc w:val="both"/>
        <w:rPr>
          <w:rFonts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C65F32">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16.3合同的终止</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（1）合同因有效期限届满而终止；</w:t>
      </w:r>
    </w:p>
    <w:p w:rsidR="00C65F32">
      <w:pPr>
        <w:snapToGrid w:val="0"/>
        <w:spacing w:line="400" w:lineRule="exact"/>
        <w:ind w:firstLine="420" w:firstLineChars="200"/>
        <w:rPr>
          <w:rFonts w:ascii="宋体" w:hAnsi="宋体" w:cs="宋体" w:hint="eastAsia"/>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C65F32">
      <w:pPr>
        <w:pStyle w:val="AONormal"/>
        <w:rPr>
          <w:rFonts w:ascii="宋体" w:hAnsi="宋体" w:hint="eastAsia"/>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C65F32">
      <w:pPr>
        <w:pStyle w:val="AONormal"/>
        <w:ind w:firstLine="420"/>
        <w:jc w:val="both"/>
        <w:rPr>
          <w:rFonts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C65F3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17. 合同分包</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17.1 乙方不得将合同转包给其他供应商。涉及合同分包的，乙方应根据采购文件和投标（响应）文件规定进行合同分包。</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C65F3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18. 不可抗力</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18.1 不可抗力是指合同双方不能预见、不能避免且不能克服的客观情况。</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18.2 任何一方对由于不可抗力造成的部分或全部不能履行合同不承担违约责任。但迟延履行后发生不可抗力的，不能免除责任。</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C65F32">
      <w:pPr>
        <w:autoSpaceDE w:val="0"/>
        <w:autoSpaceDN w:val="0"/>
        <w:adjustRightInd w:val="0"/>
        <w:snapToGrid w:val="0"/>
        <w:spacing w:line="400" w:lineRule="exact"/>
        <w:jc w:val="left"/>
        <w:rPr>
          <w:rFonts w:ascii="宋体" w:hAnsi="宋体" w:hint="eastAsia"/>
          <w:b/>
          <w:bCs/>
        </w:rPr>
      </w:pPr>
      <w:r>
        <w:rPr>
          <w:rFonts w:ascii="宋体" w:hAnsi="宋体" w:hint="eastAsia"/>
          <w:b/>
          <w:bCs/>
          <w:sz w:val="24"/>
        </w:rPr>
        <w:t>19. 解决争议的方法</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rsidR="00C65F32">
      <w:pPr>
        <w:autoSpaceDE w:val="0"/>
        <w:autoSpaceDN w:val="0"/>
        <w:adjustRightInd w:val="0"/>
        <w:snapToGrid w:val="0"/>
        <w:spacing w:line="400" w:lineRule="exact"/>
        <w:jc w:val="left"/>
        <w:rPr>
          <w:rFonts w:ascii="宋体" w:hAnsi="宋体" w:hint="eastAsia"/>
        </w:rPr>
      </w:pPr>
      <w:r>
        <w:rPr>
          <w:rFonts w:ascii="宋体" w:hAnsi="宋体" w:hint="eastAsia"/>
          <w:b/>
          <w:sz w:val="24"/>
        </w:rPr>
        <w:t>20. 政府采购政策</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C65F32">
      <w:pPr>
        <w:autoSpaceDE w:val="0"/>
        <w:autoSpaceDN w:val="0"/>
        <w:adjustRightInd w:val="0"/>
        <w:snapToGrid w:val="0"/>
        <w:spacing w:line="400" w:lineRule="exact"/>
        <w:ind w:firstLine="420" w:firstLineChars="200"/>
        <w:jc w:val="left"/>
        <w:rPr>
          <w:rFonts w:ascii="宋体" w:hAnsi="宋体" w:hint="eastAsia"/>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C65F32">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rsidR="00C65F32">
      <w:pPr>
        <w:autoSpaceDE w:val="0"/>
        <w:autoSpaceDN w:val="0"/>
        <w:adjustRightInd w:val="0"/>
        <w:snapToGrid w:val="0"/>
        <w:spacing w:line="400" w:lineRule="exact"/>
        <w:jc w:val="left"/>
        <w:rPr>
          <w:rFonts w:ascii="宋体" w:hAnsi="宋体" w:hint="eastAsia"/>
          <w:b/>
        </w:rPr>
      </w:pPr>
      <w:r>
        <w:rPr>
          <w:rFonts w:ascii="宋体" w:hAnsi="宋体" w:hint="eastAsia"/>
          <w:b/>
          <w:sz w:val="24"/>
        </w:rPr>
        <w:t>21. 法律适用</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C65F32">
      <w:pPr>
        <w:autoSpaceDE w:val="0"/>
        <w:autoSpaceDN w:val="0"/>
        <w:adjustRightInd w:val="0"/>
        <w:snapToGrid w:val="0"/>
        <w:spacing w:line="400" w:lineRule="exact"/>
        <w:jc w:val="left"/>
        <w:rPr>
          <w:rFonts w:ascii="宋体" w:hAnsi="宋体" w:hint="eastAsia"/>
          <w:b/>
        </w:rPr>
      </w:pPr>
      <w:r>
        <w:rPr>
          <w:rFonts w:ascii="宋体" w:hAnsi="宋体" w:hint="eastAsia"/>
          <w:b/>
          <w:sz w:val="24"/>
        </w:rPr>
        <w:t>22. 通知</w:t>
      </w:r>
    </w:p>
    <w:p w:rsidR="00C65F32">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rsidR="00C65F32">
      <w:pPr>
        <w:pStyle w:val="AONormal"/>
        <w:ind w:firstLine="0" w:firstLineChars="0"/>
        <w:jc w:val="both"/>
        <w:rPr>
          <w:rFonts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22.3本合同一方给另一方的通知均应采用书面形式，传真或快递送到本合同中规定的对方的地址和办理签收手续。</w:t>
      </w:r>
    </w:p>
    <w:p w:rsidR="00C65F32">
      <w:pPr>
        <w:adjustRightInd w:val="0"/>
        <w:snapToGrid w:val="0"/>
        <w:spacing w:line="400" w:lineRule="exact"/>
        <w:ind w:firstLine="420" w:firstLineChars="200"/>
        <w:jc w:val="left"/>
        <w:rPr>
          <w:rFonts w:ascii="宋体" w:hAnsi="宋体" w:hint="eastAsia"/>
          <w:szCs w:val="21"/>
        </w:rPr>
      </w:pPr>
      <w:r>
        <w:rPr>
          <w:rFonts w:ascii="宋体" w:hAnsi="宋体" w:hint="eastAsia"/>
          <w:szCs w:val="21"/>
        </w:rPr>
        <w:t>22.4通知以送达之日或通知书中规定的生效之日起生效，两者中以较迟之日为准。</w:t>
      </w:r>
    </w:p>
    <w:p w:rsidR="00C65F32">
      <w:pPr>
        <w:numPr>
          <w:ilvl w:val="0"/>
          <w:numId w:val="13"/>
        </w:numPr>
        <w:adjustRightInd w:val="0"/>
        <w:snapToGrid w:val="0"/>
        <w:spacing w:line="400" w:lineRule="exact"/>
        <w:jc w:val="left"/>
        <w:rPr>
          <w:rFonts w:ascii="宋体" w:hAnsi="宋体" w:hint="eastAsia"/>
          <w:b/>
          <w:bCs/>
        </w:rPr>
      </w:pPr>
      <w:r>
        <w:rPr>
          <w:rFonts w:ascii="宋体" w:hAnsi="宋体" w:hint="eastAsia"/>
          <w:b/>
          <w:bCs/>
          <w:sz w:val="24"/>
        </w:rPr>
        <w:t>合同未尽事项</w:t>
      </w:r>
    </w:p>
    <w:p w:rsidR="00C65F32">
      <w:pPr>
        <w:adjustRightInd w:val="0"/>
        <w:snapToGrid w:val="0"/>
        <w:spacing w:line="400" w:lineRule="exact"/>
        <w:ind w:firstLine="420" w:firstLineChars="200"/>
        <w:jc w:val="left"/>
        <w:rPr>
          <w:rFonts w:ascii="宋体" w:hAnsi="宋体" w:hint="eastAsia"/>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C65F32">
      <w:pPr>
        <w:adjustRightInd w:val="0"/>
        <w:snapToGrid w:val="0"/>
        <w:spacing w:line="400" w:lineRule="exact"/>
        <w:jc w:val="left"/>
        <w:rPr>
          <w:rFonts w:ascii="黑体" w:eastAsia="黑体" w:hAnsi="华文中宋" w:hint="eastAsia"/>
          <w:sz w:val="28"/>
          <w:szCs w:val="28"/>
        </w:rPr>
      </w:pPr>
      <w:r>
        <w:rPr>
          <w:rFonts w:ascii="宋体" w:hAnsi="宋体" w:hint="eastAsia"/>
          <w:bCs/>
          <w:szCs w:val="21"/>
        </w:rPr>
        <w:t xml:space="preserve">    23.2 合同附件与合同正文具有同等的法律效力。</w:t>
      </w:r>
      <w:bookmarkStart w:id="75" w:name="_Toc20313"/>
    </w:p>
    <w:p w:rsidR="00C65F32">
      <w:pPr>
        <w:adjustRightInd w:val="0"/>
        <w:snapToGrid w:val="0"/>
        <w:jc w:val="center"/>
        <w:rPr>
          <w:rFonts w:ascii="黑体" w:eastAsia="黑体" w:hAnsi="华文中宋" w:hint="eastAsia"/>
          <w:sz w:val="28"/>
          <w:szCs w:val="28"/>
        </w:rPr>
      </w:pPr>
      <w:r>
        <w:rPr>
          <w:rFonts w:ascii="黑体" w:eastAsia="黑体" w:hAnsi="华文中宋" w:hint="eastAsia"/>
          <w:sz w:val="28"/>
          <w:szCs w:val="28"/>
        </w:rPr>
        <w:br w:type="page"/>
      </w:r>
    </w:p>
    <w:p w:rsidR="00C65F32">
      <w:pPr>
        <w:pStyle w:val="Heading2"/>
        <w:numPr>
          <w:ilvl w:val="0"/>
          <w:numId w:val="0"/>
        </w:numPr>
        <w:adjustRightInd w:val="0"/>
        <w:snapToGrid w:val="0"/>
        <w:jc w:val="center"/>
        <w:rPr>
          <w:rFonts w:ascii="黑体" w:hAnsi="华文中宋" w:hint="eastAsia"/>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第1.2（6）项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联合体具体要求</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604"/>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第1.2（7）项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其他术语解释</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第4.4款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履约验收中甲方提出异议或作出说明的期限</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第4.6款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约定甲方承担的其他义务和责任</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snapToGrid w:val="0"/>
              <w:jc w:val="center"/>
            </w:pPr>
            <w:r>
              <w:rPr>
                <w:rFonts w:ascii="宋体" w:hAnsi="宋体" w:hint="eastAsia"/>
                <w:szCs w:val="21"/>
              </w:rPr>
              <w:t>第5.4款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约定乙方承担的其他义务和责任</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snapToGrid w:val="0"/>
              <w:jc w:val="center"/>
              <w:rPr>
                <w:rFonts w:ascii="宋体" w:hAnsi="宋体" w:hint="eastAsia"/>
                <w:szCs w:val="21"/>
              </w:rPr>
            </w:pPr>
            <w:r>
              <w:rPr>
                <w:rFonts w:ascii="宋体" w:hAnsi="宋体" w:hint="eastAsia"/>
                <w:szCs w:val="21"/>
              </w:rPr>
              <w:t>第6.1款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履行合同义务的顺序</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667"/>
        </w:trPr>
        <w:tc>
          <w:tcPr>
            <w:tcW w:w="1607" w:type="dxa"/>
            <w:vMerge w:val="restart"/>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第7.1款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包装特殊要求</w:t>
            </w:r>
          </w:p>
        </w:tc>
        <w:tc>
          <w:tcPr>
            <w:tcW w:w="5170" w:type="dxa"/>
            <w:vAlign w:val="center"/>
          </w:tcPr>
          <w:p w:rsidR="00C65F32"/>
        </w:tc>
      </w:tr>
      <w:tr>
        <w:tblPrEx>
          <w:tblW w:w="8519" w:type="dxa"/>
          <w:tblInd w:w="108" w:type="dxa"/>
          <w:tblLayout w:type="fixed"/>
          <w:tblLook w:val="04A0"/>
        </w:tblPrEx>
        <w:trPr>
          <w:trHeight w:val="667"/>
        </w:trPr>
        <w:tc>
          <w:tcPr>
            <w:tcW w:w="1607" w:type="dxa"/>
            <w:vMerge/>
            <w:vAlign w:val="center"/>
          </w:tcPr>
          <w:p w:rsidR="00C65F32">
            <w:pPr>
              <w:adjustRightInd w:val="0"/>
              <w:snapToGrid w:val="0"/>
              <w:jc w:val="center"/>
              <w:rPr>
                <w:rFonts w:ascii="宋体" w:hAnsi="宋体" w:hint="eastAsia"/>
                <w:szCs w:val="21"/>
              </w:rPr>
            </w:pP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指定现场</w:t>
            </w:r>
          </w:p>
        </w:tc>
        <w:tc>
          <w:tcPr>
            <w:tcW w:w="5170" w:type="dxa"/>
            <w:vAlign w:val="center"/>
          </w:tcPr>
          <w:p w:rsidR="00C65F32"/>
        </w:tc>
      </w:tr>
      <w:tr>
        <w:tblPrEx>
          <w:tblW w:w="8519" w:type="dxa"/>
          <w:tblInd w:w="108" w:type="dxa"/>
          <w:tblLayout w:type="fixed"/>
          <w:tblLook w:val="04A0"/>
        </w:tblPrEx>
        <w:trPr>
          <w:trHeight w:val="772"/>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第7.2款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运输特殊要求</w:t>
            </w:r>
          </w:p>
        </w:tc>
        <w:tc>
          <w:tcPr>
            <w:tcW w:w="5170" w:type="dxa"/>
            <w:vAlign w:val="center"/>
          </w:tcPr>
          <w:p w:rsidR="00C65F32"/>
        </w:tc>
      </w:tr>
      <w:tr>
        <w:tblPrEx>
          <w:tblW w:w="8519" w:type="dxa"/>
          <w:tblInd w:w="108" w:type="dxa"/>
          <w:tblLayout w:type="fixed"/>
          <w:tblLook w:val="04A0"/>
        </w:tblPrEx>
        <w:trPr>
          <w:trHeight w:val="667"/>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第7.3款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保险要求</w:t>
            </w:r>
          </w:p>
        </w:tc>
        <w:tc>
          <w:tcPr>
            <w:tcW w:w="5170" w:type="dxa"/>
            <w:vAlign w:val="center"/>
          </w:tcPr>
          <w:p w:rsidR="00C65F32"/>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第8.2（1）项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质量保证期</w:t>
            </w:r>
          </w:p>
        </w:tc>
        <w:tc>
          <w:tcPr>
            <w:tcW w:w="5170" w:type="dxa"/>
            <w:vAlign w:val="center"/>
          </w:tcPr>
          <w:p w:rsidR="00C65F32">
            <w:pPr>
              <w:autoSpaceDE w:val="0"/>
              <w:autoSpaceDN w:val="0"/>
              <w:adjustRightInd w:val="0"/>
              <w:snapToGrid w:val="0"/>
              <w:ind w:firstLine="420" w:firstLineChars="20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第8.2（3）项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货物质量缺陷</w:t>
            </w:r>
          </w:p>
          <w:p w:rsidR="00C65F32">
            <w:pPr>
              <w:adjustRightInd w:val="0"/>
              <w:snapToGrid w:val="0"/>
              <w:jc w:val="left"/>
              <w:rPr>
                <w:rFonts w:ascii="宋体" w:hAnsi="宋体" w:hint="eastAsia"/>
                <w:szCs w:val="21"/>
              </w:rPr>
            </w:pPr>
            <w:r>
              <w:rPr>
                <w:rFonts w:ascii="宋体" w:hAnsi="宋体" w:hint="eastAsia"/>
                <w:szCs w:val="21"/>
              </w:rPr>
              <w:t>响应时间</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snapToGrid w:val="0"/>
              <w:jc w:val="center"/>
              <w:rPr>
                <w:rFonts w:ascii="宋体" w:hAnsi="宋体" w:cs="宋体" w:hint="eastAsia"/>
                <w:szCs w:val="21"/>
              </w:rPr>
            </w:pPr>
            <w:r>
              <w:rPr>
                <w:rFonts w:ascii="宋体" w:hAnsi="宋体" w:cs="宋体" w:hint="eastAsia"/>
                <w:szCs w:val="21"/>
              </w:rPr>
              <w:t>第二节</w:t>
            </w:r>
          </w:p>
          <w:p w:rsidR="00C65F32">
            <w:pPr>
              <w:pStyle w:val="AONormal"/>
              <w:ind w:firstLine="0" w:firstLineChars="0"/>
              <w:jc w:val="center"/>
              <w:rPr>
                <w:rFonts w:hint="eastAsia"/>
              </w:rPr>
            </w:pPr>
            <w:r>
              <w:rPr>
                <w:rFonts w:ascii="宋体" w:eastAsia="宋体" w:hAnsi="宋体" w:cs="宋体" w:hint="eastAsia"/>
              </w:rPr>
              <w:t>第11.1款</w:t>
            </w:r>
          </w:p>
        </w:tc>
        <w:tc>
          <w:tcPr>
            <w:tcW w:w="1742" w:type="dxa"/>
            <w:vAlign w:val="center"/>
          </w:tcPr>
          <w:p w:rsidR="00C65F32">
            <w:pPr>
              <w:adjustRightInd w:val="0"/>
              <w:snapToGrid w:val="0"/>
              <w:rPr>
                <w:rFonts w:ascii="宋体" w:hAnsi="宋体" w:hint="eastAsia"/>
                <w:szCs w:val="21"/>
              </w:rPr>
            </w:pPr>
            <w:r>
              <w:rPr>
                <w:rFonts w:ascii="宋体" w:hAnsi="宋体" w:hint="eastAsia"/>
                <w:szCs w:val="21"/>
              </w:rPr>
              <w:t>其他应当保密的信息</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第12.2款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合同价款支付时间</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697"/>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第13.2款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履约保证金不予退还的情形</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第13.3款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履约保证金退还时间及逾期退还的违约金</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第14.1（3）项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运行监督、维修期限</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84"/>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第14.1（5）项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货物回收的约定</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第14.1（6）项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乙方提供的其他服务</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第15.1款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修理、重作、更换相关具体规定</w:t>
            </w:r>
          </w:p>
        </w:tc>
        <w:tc>
          <w:tcPr>
            <w:tcW w:w="5170" w:type="dxa"/>
            <w:vAlign w:val="center"/>
          </w:tcPr>
          <w:p w:rsidR="00C65F32">
            <w:pPr>
              <w:adjustRightInd w:val="0"/>
              <w:snapToGrid w:val="0"/>
              <w:jc w:val="left"/>
              <w:rPr>
                <w:rFonts w:ascii="宋体" w:hAnsi="宋体" w:hint="eastAsia"/>
                <w:szCs w:val="21"/>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第15.2（2）项</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迟延交货赔偿费</w:t>
            </w:r>
          </w:p>
        </w:tc>
        <w:tc>
          <w:tcPr>
            <w:tcW w:w="5170" w:type="dxa"/>
            <w:vAlign w:val="center"/>
          </w:tcPr>
          <w:p w:rsidR="00C65F3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736"/>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第15.3款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szCs w:val="21"/>
              </w:rPr>
              <w:t>逾期付款利息</w:t>
            </w:r>
          </w:p>
        </w:tc>
        <w:tc>
          <w:tcPr>
            <w:tcW w:w="5170" w:type="dxa"/>
            <w:vAlign w:val="center"/>
          </w:tcPr>
          <w:p w:rsidR="00C65F3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C65F32">
            <w:pPr>
              <w:adjustRightInd w:val="0"/>
              <w:snapToGrid w:val="0"/>
              <w:jc w:val="left"/>
              <w:rPr>
                <w:rFonts w:ascii="宋体" w:hAnsi="宋体" w:hint="eastAsia"/>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C65F32">
            <w:pPr>
              <w:adjustRightInd w:val="0"/>
              <w:snapToGrid w:val="0"/>
              <w:jc w:val="left"/>
              <w:rPr>
                <w:rFonts w:ascii="宋体" w:hAnsi="宋体" w:hint="eastAsia"/>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C65F32">
            <w:pPr>
              <w:adjustRightInd w:val="0"/>
              <w:snapToGrid w:val="0"/>
              <w:jc w:val="left"/>
              <w:rPr>
                <w:rFonts w:ascii="宋体" w:hAnsi="宋体" w:hint="eastAsia"/>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C65F3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C65F32">
            <w:pPr>
              <w:autoSpaceDE w:val="0"/>
              <w:autoSpaceDN w:val="0"/>
              <w:adjustRightInd w:val="0"/>
              <w:snapToGrid w:val="0"/>
              <w:spacing w:line="400" w:lineRule="exact"/>
              <w:jc w:val="left"/>
              <w:rPr>
                <w:rFonts w:ascii="宋体" w:hAnsi="宋体" w:cs="宋体" w:hint="eastAsia"/>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C65F32">
            <w:pPr>
              <w:adjustRightInd w:val="0"/>
              <w:snapToGrid w:val="0"/>
              <w:jc w:val="left"/>
              <w:rPr>
                <w:rFonts w:ascii="宋体" w:hAnsi="宋体" w:hint="eastAsia"/>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C65F32">
            <w:pPr>
              <w:adjustRightInd w:val="0"/>
              <w:snapToGrid w:val="0"/>
              <w:jc w:val="center"/>
              <w:rPr>
                <w:rFonts w:ascii="宋体" w:hAnsi="宋体" w:hint="eastAsia"/>
                <w:szCs w:val="21"/>
              </w:rPr>
            </w:pPr>
            <w:r>
              <w:rPr>
                <w:rFonts w:ascii="宋体" w:hAnsi="宋体" w:hint="eastAsia"/>
                <w:szCs w:val="21"/>
              </w:rPr>
              <w:t>第二节</w:t>
            </w:r>
          </w:p>
          <w:p w:rsidR="00C65F32">
            <w:pPr>
              <w:adjustRightInd w:val="0"/>
              <w:snapToGrid w:val="0"/>
              <w:jc w:val="center"/>
              <w:rPr>
                <w:rFonts w:ascii="宋体" w:hAnsi="宋体" w:hint="eastAsia"/>
                <w:szCs w:val="21"/>
              </w:rPr>
            </w:pPr>
            <w:r>
              <w:rPr>
                <w:rFonts w:ascii="宋体" w:hAnsi="宋体" w:hint="eastAsia"/>
                <w:szCs w:val="21"/>
              </w:rPr>
              <w:t>第23.1款</w:t>
            </w:r>
          </w:p>
        </w:tc>
        <w:tc>
          <w:tcPr>
            <w:tcW w:w="1742" w:type="dxa"/>
            <w:vAlign w:val="center"/>
          </w:tcPr>
          <w:p w:rsidR="00C65F32">
            <w:pPr>
              <w:adjustRightInd w:val="0"/>
              <w:snapToGrid w:val="0"/>
              <w:jc w:val="left"/>
              <w:rPr>
                <w:rFonts w:ascii="宋体" w:hAnsi="宋体" w:hint="eastAsia"/>
                <w:szCs w:val="21"/>
              </w:rPr>
            </w:pPr>
            <w:r>
              <w:rPr>
                <w:rFonts w:ascii="宋体" w:hAnsi="宋体" w:hint="eastAsia"/>
                <w:bCs/>
                <w:szCs w:val="21"/>
              </w:rPr>
              <w:t>其他专用条款</w:t>
            </w:r>
          </w:p>
        </w:tc>
        <w:tc>
          <w:tcPr>
            <w:tcW w:w="5170" w:type="dxa"/>
            <w:vAlign w:val="center"/>
          </w:tcPr>
          <w:p w:rsidR="00C65F32">
            <w:pPr>
              <w:adjustRightInd w:val="0"/>
              <w:snapToGrid w:val="0"/>
              <w:jc w:val="left"/>
              <w:rPr>
                <w:rFonts w:ascii="宋体" w:hAnsi="宋体" w:hint="eastAsia"/>
                <w:szCs w:val="21"/>
              </w:rPr>
            </w:pPr>
          </w:p>
        </w:tc>
      </w:tr>
    </w:tbl>
    <w:p w:rsidR="00C65F32"/>
    <w:p w:rsidR="00C65F32">
      <w:pPr>
        <w:rPr>
          <w:b/>
          <w:bCs/>
          <w:sz w:val="44"/>
          <w:szCs w:val="44"/>
        </w:rPr>
      </w:pPr>
    </w:p>
    <w:p w:rsidR="00C65F32"/>
    <w:p w:rsidR="00A77B3E"/>
    <w:p w:rsidR="00C65F32">
      <w:pPr>
        <w:numPr>
          <w:ilvl w:val="0"/>
          <w:numId w:val="5"/>
        </w:numPr>
        <w:spacing w:line="360" w:lineRule="auto"/>
        <w:ind w:firstLine="3066" w:firstLineChars="1460"/>
        <w:jc w:val="left"/>
        <w:rPr>
          <w:b/>
          <w:bCs/>
          <w:szCs w:val="21"/>
        </w:rPr>
      </w:pPr>
      <w:bookmarkEnd w:id="70"/>
    </w:p>
    <w:sectPr>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abstractNum w:abstractNumId="13">
    <w:nsid w:val="7A4C0ED9"/>
    <w:multiLevelType w:val="singleLevel"/>
    <w:tmpl w:val="7A4C0ED9"/>
    <w:lvl w:ilvl="0">
      <w:start w:val="3"/>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11"/>
  </w:num>
  <w:num w:numId="6">
    <w:abstractNumId w:val="12"/>
  </w:num>
  <w:num w:numId="7">
    <w:abstractNumId w:val="1"/>
  </w:num>
  <w:num w:numId="8">
    <w:abstractNumId w:val="5"/>
  </w:num>
  <w:num w:numId="9">
    <w:abstractNumId w:val="3"/>
  </w:num>
  <w:num w:numId="10">
    <w:abstractNumId w:val="2"/>
  </w:num>
  <w:num w:numId="11">
    <w:abstractNumId w:val="10"/>
  </w:num>
  <w:num w:numId="12">
    <w:abstractNumId w:val="0"/>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55D3"/>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CA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63A6"/>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5F32"/>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Caption">
    <w:name w:val="caption"/>
    <w:basedOn w:val="Normal"/>
    <w:next w:val="Normal"/>
    <w:uiPriority w:val="35"/>
    <w:unhideWhenUsed/>
    <w:qFormat/>
    <w:pPr>
      <w:jc w:val="center"/>
    </w:pPr>
    <w:rPr>
      <w:rFonts w:ascii="Arial" w:eastAsia="黑体" w:hAnsi="Arial" w:cs="Arial"/>
      <w:sz w:val="20"/>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