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2026年气象专用技术装备使用许可技术审查项目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ZQCD-26131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中国气象局综合观测司</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2026年气象专用技术装备使用许可技术审查项目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ZQCD-26131</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自合同签订之日起1年内受理的项目审查完成止</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申请检测和审查所在地</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2026年07月08日 00:00:00</w:t>
      </w:r>
      <w:bookmarkEnd w:id="26"/>
      <w:r>
        <w:rPr>
          <w:rFonts w:ascii="宋体" w:hint="eastAsia"/>
          <w:szCs w:val="21"/>
          <w:highlight w:val="none"/>
        </w:rPr>
        <w:t>至</w:t>
      </w:r>
      <w:bookmarkStart w:id="27" w:name="项目公告_signUpLastTime"/>
      <w:r>
        <w:rPr>
          <w:rFonts w:ascii="宋体" w:hint="eastAsia"/>
          <w:szCs w:val="21"/>
          <w:highlight w:val="none"/>
        </w:rPr>
        <w:t>2026年07月15日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中国气象局综合观测司</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权浩然</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010-68407362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中国气象局综合观测司</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国家法定授权的气象计量资质或国家认证认可的检测资质。需提供证书复印件，证书复印件需加盖投标人公章。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5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（1）标的：气象专用技术装备使用许可技术审查  ，属于  其他未列明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是，代理服务费：4.7万元。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500.000000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500.000000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1、投标人不能是气象专用技术装备生产厂商，不能与气象专用技术装备生产厂商具有关联关系，否则投标将被拒绝；2、根据本项目实际情况，招标文件1.27.3第1项至第3项启动异常低价投标审查的数值标准为65%。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4"/>
        <w:gridCol w:w="301"/>
        <w:gridCol w:w="948"/>
        <w:gridCol w:w="301"/>
        <w:gridCol w:w="7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(2)</w:t>
            </w:r>
          </w:p>
        </w:tc>
        <w:tc>
          <w:tcPr/>
          <w:p>
            <w:r>
              <w:t>评审标准：</w:t>
            </w:r>
          </w:p>
          <w:p>
            <w:r>
              <w:t>投标人具有 ISO9000系列或GJB9001质量管理体系认证</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每提供1份合同得1分，最多得5分</w:t>
            </w:r>
          </w:p>
          <w:p>
            <w:r>
              <w:t>评审标准说明：</w:t>
            </w:r>
          </w:p>
          <w:p>
            <w:r>
              <w:t>1、需提供投标人的与本项目类似的服务项目合同（必须包括合同首页、金额页、标的页、签字盖章页）复印件并加盖投标人公章。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勾选打分</w:t>
            </w:r>
            <w:r>
              <w:t>(4)</w:t>
            </w:r>
          </w:p>
        </w:tc>
        <w:tc>
          <w:tcPr/>
          <w:p>
            <w:r>
              <w:t>评审标准：</w:t>
            </w:r>
          </w:p>
          <w:p>
            <w:r>
              <w:t>投标人为本项目组成专门的服务团队，团队组织结构清晰，人员专业背景齐全，并设置服务团队负责人（项目经理）一名。其中，服务团队人数为5人以上（含）不满8人的得2分，8人及以上的得4分。</w:t>
            </w:r>
          </w:p>
          <w:p>
            <w:r>
              <w:t>评审标准说明：</w:t>
            </w:r>
          </w:p>
          <w:p>
            <w: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服务响应承诺（客观分）</w:t>
            </w:r>
          </w:p>
        </w:tc>
        <w:tc>
          <w:tcPr/>
          <w:p>
            <w:r>
              <w:t>勾选打分</w:t>
            </w:r>
            <w:r>
              <w:t>(4)</w:t>
            </w:r>
          </w:p>
        </w:tc>
        <w:tc>
          <w:tcPr/>
          <w:p>
            <w:r>
              <w:t>评审标准：</w:t>
            </w:r>
          </w:p>
          <w:p>
            <w:r>
              <w:t>1、承诺3个工作日内完成材料初审，受理后4个工作日内完成复审，得1分。</w:t>
              <w:cr/>
              <w:t>2、承诺申请事项受理后15个工作日完成告知被检测单位测试流程、注意事项、测试进度计划安排，30 个工作日内完成静态测试，得1分。</w:t>
              <w:cr/>
              <w:t>3、承诺静态测试结束后7个工作日内将结果告知被检测单位，静态测试通过后15个工作日内完成告知被检测单位动态测试计划安排，动态测试结束后30个工作日内完成检测报告，得1分。</w:t>
              <w:cr/>
              <w:t>4、针对被检测单位提出的问题，承诺12小时内反馈，得1分。</w:t>
            </w:r>
          </w:p>
          <w:p>
            <w:r>
              <w:t>评审标准说明：</w:t>
            </w:r>
          </w:p>
          <w:p>
            <w:r>
              <w:t>投标人应承诺完成中国气象局一体化政务服务平台受理的气象专用技术装备使用许可申请技术审查任务，包括材料内容合规性、完整性等初审任务以及受理后的静态测试、动态测试、报告编制等内容，并提供服务响应的书面承诺，加盖投标人公章。</w:t>
            </w:r>
          </w:p>
          <w:p/>
        </w:tc>
      </w:tr>
      <w:tr>
        <w:tblPrEx>
          <w:tblW w:w="5000" w:type="pct"/>
          <w:tblCellMar>
            <w:left w:w="108" w:type="dxa"/>
            <w:right w:w="108" w:type="dxa"/>
          </w:tblCellMar>
        </w:tblPrEx>
        <w:tc>
          <w:tcPr/>
          <w:p>
            <w:r>
              <w:t>7</w:t>
            </w:r>
          </w:p>
        </w:tc>
        <w:tc>
          <w:tcPr>
            <w:vMerge/>
          </w:tcPr>
          <w:p>
            <w:r>
              <w:t>服务部分</w:t>
            </w:r>
          </w:p>
        </w:tc>
        <w:tc>
          <w:tcPr/>
          <w:p>
            <w:r>
              <w:t>项目需求理解（主观分）</w:t>
            </w:r>
          </w:p>
        </w:tc>
        <w:tc>
          <w:tcPr/>
          <w:p>
            <w:r>
              <w:t>勾选打分</w:t>
            </w:r>
            <w:r>
              <w:t>(4)</w:t>
            </w:r>
          </w:p>
        </w:tc>
        <w:tc>
          <w:tcPr/>
          <w:p>
            <w:r>
              <w:t>评审标准：</w:t>
            </w:r>
          </w:p>
          <w:p>
            <w:r>
              <w:t>一档0分</w:t>
              <w:cr/>
              <w:t>二档1分</w:t>
              <w:cr/>
              <w:t>三档2分</w:t>
              <w:cr/>
              <w:t>四档4分</w:t>
            </w:r>
          </w:p>
          <w:p>
            <w:r>
              <w:t>评审标准说明：</w:t>
            </w:r>
          </w:p>
          <w:p>
            <w:r>
              <w:t>结合项目需求、背景、现状情况等对项目进行需求分析理解。</w:t>
              <w:cr/>
              <w:t>一档：未提供或需求理解不合理。</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8</w:t>
            </w:r>
          </w:p>
        </w:tc>
        <w:tc>
          <w:tcPr>
            <w:vMerge/>
          </w:tcPr>
          <w:p>
            <w:r>
              <w:t>服务部分</w:t>
            </w:r>
          </w:p>
        </w:tc>
        <w:tc>
          <w:tcPr/>
          <w:p>
            <w:r>
              <w:t>技术解决方案（主观分）</w:t>
            </w:r>
          </w:p>
        </w:tc>
        <w:tc>
          <w:tcPr/>
          <w:p>
            <w:r>
              <w:t>勾选打分</w:t>
            </w:r>
            <w:r>
              <w:t>(4)</w:t>
            </w:r>
          </w:p>
        </w:tc>
        <w:tc>
          <w:tcPr/>
          <w:p>
            <w:r>
              <w:t>评审标准：</w:t>
            </w:r>
          </w:p>
          <w:p>
            <w:r>
              <w:t>一档0分</w:t>
              <w:cr/>
              <w:t>二档1分</w:t>
              <w:cr/>
              <w:t>三档2分</w:t>
              <w:cr/>
              <w:t>四档4分</w:t>
            </w:r>
          </w:p>
          <w:p>
            <w:r>
              <w:t>评审标准说明：</w:t>
            </w:r>
          </w:p>
          <w:p>
            <w:r>
              <w:t>根据投标人提供总体服务方案进行评分。具体评分标准如下：</w:t>
              <w:cr/>
              <w:t>一档：未提供方案或不合理。</w:t>
              <w:cr/>
              <w:t>二档：对项目背景和现状针对性技术解决方案描述片面，未能抓住重点、难点、关键技术。</w:t>
              <w:cr/>
              <w:t>三档：对项目背景和现状针对性技术解决方案描述全面，重点、 难点、关键技术未突出。</w:t>
              <w:cr/>
              <w:t>四档：对项目背景和现状针对性技术解决方案描述透彻，重点、难点、关键技术分析到位，每一项都按招标要求提供解决方案。</w:t>
            </w:r>
          </w:p>
          <w:p/>
        </w:tc>
      </w:tr>
      <w:tr>
        <w:tblPrEx>
          <w:tblW w:w="5000" w:type="pct"/>
          <w:tblCellMar>
            <w:left w:w="108" w:type="dxa"/>
            <w:right w:w="108" w:type="dxa"/>
          </w:tblCellMar>
        </w:tblPrEx>
        <w:tc>
          <w:tcPr/>
          <w:p>
            <w:r>
              <w:t>9</w:t>
            </w:r>
          </w:p>
        </w:tc>
        <w:tc>
          <w:tcPr>
            <w:vMerge/>
          </w:tcPr>
          <w:p>
            <w:r>
              <w:t>服务部分</w:t>
            </w:r>
          </w:p>
        </w:tc>
        <w:tc>
          <w:tcPr/>
          <w:p>
            <w:r>
              <w:t>检测方案（主观分）</w:t>
            </w:r>
          </w:p>
        </w:tc>
        <w:tc>
          <w:tcPr/>
          <w:p>
            <w:r>
              <w:t>勾选打分</w:t>
            </w:r>
            <w:r>
              <w:t>(20)</w:t>
            </w:r>
          </w:p>
        </w:tc>
        <w:tc>
          <w:tcPr/>
          <w:p>
            <w:r>
              <w:t>评审标准：</w:t>
            </w:r>
          </w:p>
          <w:p>
            <w:r>
              <w:t>每提供一种完备、可行的气象专用技术装备检测方案得2分，最多得 20分，不提供不得分。</w:t>
            </w:r>
          </w:p>
          <w:p>
            <w:r>
              <w:t>评审标准说明：</w:t>
            </w:r>
          </w:p>
          <w:p>
            <w:r>
              <w:t>需依据中国气象局发布的气象专用技术装备技术要求，提供气象专用技术装备检测方案。</w:t>
            </w:r>
          </w:p>
          <w:p/>
        </w:tc>
      </w:tr>
      <w:tr>
        <w:tblPrEx>
          <w:tblW w:w="5000" w:type="pct"/>
          <w:tblCellMar>
            <w:left w:w="108" w:type="dxa"/>
            <w:right w:w="108" w:type="dxa"/>
          </w:tblCellMar>
        </w:tblPrEx>
        <w:tc>
          <w:tcPr/>
          <w:p>
            <w:r>
              <w:t>10</w:t>
            </w:r>
          </w:p>
        </w:tc>
        <w:tc>
          <w:tcPr>
            <w:vMerge/>
          </w:tcPr>
          <w:p>
            <w:r>
              <w:t>服务部分</w:t>
            </w:r>
          </w:p>
        </w:tc>
        <w:tc>
          <w:tcPr/>
          <w:p>
            <w:r>
              <w:t>实验室和环境试验设备（客观分）</w:t>
            </w:r>
          </w:p>
        </w:tc>
        <w:tc>
          <w:tcPr/>
          <w:p>
            <w:r>
              <w:t>勾选打分</w:t>
            </w:r>
            <w:r>
              <w:t>(6)</w:t>
            </w:r>
          </w:p>
        </w:tc>
        <w:tc>
          <w:tcPr/>
          <w:p>
            <w:r>
              <w:t>评审标准：</w:t>
            </w:r>
          </w:p>
          <w:p>
            <w:r>
              <w:t>具备实验室和环境试验设备（包括高温试验、低温试验、恒定湿热试验、振动试验、冲击试验、盐雾试验等环境试验设备），每包含一项得1分，最多得6分。</w:t>
            </w:r>
          </w:p>
          <w:p>
            <w:r>
              <w:t>评审标准说明：</w:t>
            </w:r>
          </w:p>
          <w:p>
            <w:r>
              <w:t>需提供相应证明材料。</w:t>
            </w:r>
          </w:p>
          <w:p/>
        </w:tc>
      </w:tr>
      <w:tr>
        <w:tblPrEx>
          <w:tblW w:w="5000" w:type="pct"/>
          <w:tblCellMar>
            <w:left w:w="108" w:type="dxa"/>
            <w:right w:w="108" w:type="dxa"/>
          </w:tblCellMar>
        </w:tblPrEx>
        <w:tc>
          <w:tcPr/>
          <w:p>
            <w:r>
              <w:t>11</w:t>
            </w:r>
          </w:p>
        </w:tc>
        <w:tc>
          <w:tcPr>
            <w:vMerge/>
          </w:tcPr>
          <w:p>
            <w:r>
              <w:t>服务部分</w:t>
            </w:r>
          </w:p>
        </w:tc>
        <w:tc>
          <w:tcPr/>
          <w:p>
            <w:r>
              <w:t>售后服务方案（主观分）</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12</w:t>
            </w:r>
          </w:p>
        </w:tc>
        <w:tc>
          <w:tcPr>
            <w:vMerge/>
          </w:tcPr>
          <w:p>
            <w:r>
              <w:t>服务部分</w:t>
            </w:r>
          </w:p>
        </w:tc>
        <w:tc>
          <w:tcPr/>
          <w:p>
            <w:r>
              <w:t>信息公开方案（客观分）</w:t>
            </w:r>
          </w:p>
        </w:tc>
        <w:tc>
          <w:tcPr/>
          <w:p>
            <w:r>
              <w:t>勾选打分</w:t>
            </w:r>
            <w:r>
              <w:t>(4)</w:t>
            </w:r>
          </w:p>
        </w:tc>
        <w:tc>
          <w:tcPr/>
          <w:p>
            <w:r>
              <w:t>评审标准：</w:t>
            </w:r>
          </w:p>
          <w:p>
            <w:r>
              <w:t>1、投标人提供的信息公开方案包括切实可行的装备审查服务工作流程、进度、事项等内容的举措，提供被检测单位可查询了解的渠道，得2分。</w:t>
              <w:cr/>
              <w:t>2、投标人承诺每个月向被检测方公开目进展情况，得2分。</w:t>
            </w:r>
          </w:p>
          <w:p>
            <w:r>
              <w:t>评审标准说明：</w:t>
            </w:r>
          </w:p>
          <w:p>
            <w:r>
              <w:t>需提供信息公开方案及书面承诺并加盖投标人公章。</w:t>
            </w:r>
          </w:p>
          <w:p/>
        </w:tc>
      </w:tr>
      <w:tr>
        <w:tblPrEx>
          <w:tblW w:w="5000" w:type="pct"/>
          <w:tblCellMar>
            <w:left w:w="108" w:type="dxa"/>
            <w:right w:w="108" w:type="dxa"/>
          </w:tblCellMar>
        </w:tblPrEx>
        <w:tc>
          <w:tcPr/>
          <w:p>
            <w:r>
              <w:t>13</w:t>
            </w:r>
          </w:p>
        </w:tc>
        <w:tc>
          <w:tcPr>
            <w:vMerge/>
          </w:tcPr>
          <w:p>
            <w:r>
              <w:t>服务部分</w:t>
            </w:r>
          </w:p>
        </w:tc>
        <w:tc>
          <w:tcPr/>
          <w:p>
            <w:r>
              <w:t>工作量承诺（主观分）</w:t>
            </w:r>
          </w:p>
        </w:tc>
        <w:tc>
          <w:tcPr/>
          <w:p>
            <w:r>
              <w:t>勾选打分</w:t>
            </w:r>
            <w:r>
              <w:t>(7)</w:t>
            </w:r>
          </w:p>
        </w:tc>
        <w:tc>
          <w:tcPr/>
          <w:p>
            <w:r>
              <w:t>评审标准：</w:t>
            </w:r>
          </w:p>
          <w:p>
            <w:r>
              <w:t>投标人应当承诺完成不低于 160项气象专用技术装备技术审查服务（包括气象专用技术装备首次申请技术审查服务和延续申请技术审查服务），否则投标将被拒绝。在上述基础上，承诺增加完成1-9项的，得1分；承诺增加完成10-14项的，得3分；承诺增加完成15-19项的，得5分；承诺增加完成20项及以上的，得7分。</w:t>
            </w:r>
          </w:p>
          <w:p>
            <w:r>
              <w:t>评审标准说明：</w:t>
            </w:r>
          </w:p>
          <w:p>
            <w:r>
              <w:t>需提供书面承诺函并加盖投标人公章</w:t>
            </w:r>
          </w:p>
          <w:p/>
        </w:tc>
      </w:tr>
    </w:tbl>
    <w:p w:rsidR="00A77B3E">
      <w:r>
        <w:t xml:space="preserve">      </w:t>
      </w:r>
    </w:p>
    <w:p w:rsidR="00A77B3E"/>
    <w:p w:rsidR="00A77B3E">
      <w:bookmarkEnd w:id="57"/>
    </w:p>
    <w:p w:rsidR="002514DD">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2514DD">
      <w:pPr>
        <w:jc w:val="left"/>
        <w:rPr>
          <w:rFonts w:ascii="Times New Roman" w:eastAsia="宋体" w:hAnsi="Times New Roman" w:cs="Times New Roman"/>
          <w:b/>
          <w:szCs w:val="21"/>
        </w:rPr>
      </w:pPr>
    </w:p>
    <w:p w:rsidR="002514DD">
      <w:pPr>
        <w:pStyle w:val="BodyText"/>
        <w:widowControl w:val="0"/>
        <w:numPr>
          <w:ilvl w:val="0"/>
          <w:numId w:val="4"/>
        </w:numPr>
        <w:spacing w:before="72" w:line="500" w:lineRule="exact"/>
        <w:rPr>
          <w:b/>
          <w:bCs/>
          <w:sz w:val="24"/>
          <w:szCs w:val="24"/>
        </w:rPr>
      </w:pPr>
      <w:r>
        <w:rPr>
          <w:b/>
          <w:bCs/>
          <w:sz w:val="24"/>
          <w:szCs w:val="24"/>
        </w:rPr>
        <w:t>采购背景</w:t>
      </w:r>
    </w:p>
    <w:p w:rsidR="002514DD">
      <w:pPr>
        <w:pStyle w:val="BodyText"/>
        <w:widowControl w:val="0"/>
        <w:spacing w:after="0" w:line="500" w:lineRule="exact"/>
        <w:ind w:firstLine="420" w:firstLineChars="200"/>
        <w:rPr>
          <w:spacing w:val="-8"/>
          <w:lang w:val="en-US"/>
        </w:rPr>
      </w:pPr>
      <w:r>
        <w:rPr>
          <w:rFonts w:ascii="Calibri" w:eastAsia="宋体" w:hAnsi="Calibri"/>
          <w:spacing w:val="-8"/>
          <w:kern w:val="2"/>
          <w:lang w:val="en-US"/>
        </w:rPr>
        <w:t>为保证气象专用技术装备质量，满足气象业务和气象灾害防御的使用要求，根据《中华人民共和国行政许可法》（主席令第七号）、《气象专用技术装备使用许可管理办法》（中国气象局令</w:t>
      </w:r>
      <w:r>
        <w:rPr>
          <w:rFonts w:ascii="Calibri" w:eastAsia="宋体" w:hAnsi="Calibri"/>
          <w:spacing w:val="-8"/>
          <w:kern w:val="2"/>
          <w:lang w:val="en-US"/>
        </w:rPr>
        <w:t xml:space="preserve"> </w:t>
      </w:r>
      <w:r>
        <w:rPr>
          <w:rFonts w:ascii="Calibri" w:eastAsia="宋体" w:hAnsi="Calibri"/>
          <w:spacing w:val="-8"/>
          <w:kern w:val="2"/>
          <w:lang w:val="en-US"/>
        </w:rPr>
        <w:t>第</w:t>
      </w:r>
      <w:r>
        <w:rPr>
          <w:rFonts w:ascii="Calibri" w:eastAsia="宋体" w:hAnsi="Calibri"/>
          <w:spacing w:val="-8"/>
          <w:kern w:val="2"/>
          <w:lang w:val="en-US"/>
        </w:rPr>
        <w:t xml:space="preserve"> 28 </w:t>
      </w:r>
      <w:r>
        <w:rPr>
          <w:rFonts w:ascii="Calibri" w:eastAsia="宋体" w:hAnsi="Calibri"/>
          <w:spacing w:val="-8"/>
          <w:kern w:val="2"/>
          <w:lang w:val="en-US"/>
        </w:rPr>
        <w:t>号）的有关规定，针对用于气象探测、预报、服务等气象业务的设备、仪器、仪表及消耗器材及相应软件系统等专用技术装备的使用许可申请，开展业务技术审查工作。</w:t>
      </w:r>
    </w:p>
    <w:p w:rsidR="002514DD">
      <w:pPr>
        <w:pStyle w:val="BodyText"/>
        <w:widowControl w:val="0"/>
        <w:numPr>
          <w:ilvl w:val="0"/>
          <w:numId w:val="4"/>
        </w:numPr>
        <w:spacing w:before="72" w:line="500" w:lineRule="exact"/>
        <w:rPr>
          <w:b/>
          <w:bCs/>
          <w:sz w:val="24"/>
          <w:szCs w:val="24"/>
        </w:rPr>
      </w:pPr>
      <w:r>
        <w:rPr>
          <w:b/>
          <w:bCs/>
          <w:sz w:val="24"/>
          <w:szCs w:val="24"/>
        </w:rPr>
        <w:t>采购内容</w:t>
      </w:r>
    </w:p>
    <w:p w:rsidR="002514DD">
      <w:pPr>
        <w:pStyle w:val="ListParagraph"/>
        <w:widowControl w:val="0"/>
        <w:numPr>
          <w:ilvl w:val="1"/>
          <w:numId w:val="5"/>
        </w:numPr>
        <w:tabs>
          <w:tab w:val="left" w:pos="1065"/>
        </w:tabs>
        <w:spacing w:line="500" w:lineRule="exact"/>
        <w:ind w:left="0" w:firstLine="388"/>
        <w:jc w:val="both"/>
        <w:rPr>
          <w:rFonts w:ascii="Calibri" w:eastAsia="宋体" w:hAnsi="Calibri" w:cs="Times New Roman"/>
          <w:color w:val="595959"/>
          <w:spacing w:val="-8"/>
          <w:kern w:val="2"/>
          <w:lang w:val="en-US"/>
        </w:rPr>
      </w:pPr>
      <w:r>
        <w:rPr>
          <w:rFonts w:ascii="Calibri" w:eastAsia="宋体" w:hAnsi="Calibri" w:cs="Times New Roman"/>
          <w:color w:val="595959"/>
          <w:spacing w:val="-8"/>
          <w:kern w:val="2"/>
          <w:lang w:val="en-US"/>
        </w:rPr>
        <w:t>供应商需按照《气象专用技术装备使用许可管理办法》（中国气象局令</w:t>
      </w:r>
      <w:r>
        <w:rPr>
          <w:rFonts w:ascii="Calibri" w:eastAsia="宋体" w:hAnsi="Calibri" w:cs="Times New Roman"/>
          <w:color w:val="595959"/>
          <w:spacing w:val="-8"/>
          <w:kern w:val="2"/>
          <w:lang w:val="en-US"/>
        </w:rPr>
        <w:t xml:space="preserve"> </w:t>
      </w:r>
      <w:r>
        <w:rPr>
          <w:rFonts w:ascii="Calibri" w:eastAsia="宋体" w:hAnsi="Calibri" w:cs="Times New Roman"/>
          <w:color w:val="595959"/>
          <w:spacing w:val="-8"/>
          <w:kern w:val="2"/>
          <w:lang w:val="en-US"/>
        </w:rPr>
        <w:t>第</w:t>
      </w:r>
      <w:r>
        <w:rPr>
          <w:rFonts w:ascii="Calibri" w:eastAsia="宋体" w:hAnsi="Calibri" w:cs="Times New Roman"/>
          <w:color w:val="595959"/>
          <w:spacing w:val="-8"/>
          <w:kern w:val="2"/>
          <w:lang w:val="en-US"/>
        </w:rPr>
        <w:t xml:space="preserve"> 28 </w:t>
      </w:r>
      <w:r>
        <w:rPr>
          <w:rFonts w:ascii="Calibri" w:eastAsia="宋体" w:hAnsi="Calibri" w:cs="Times New Roman"/>
          <w:color w:val="595959"/>
          <w:spacing w:val="-8"/>
          <w:kern w:val="2"/>
          <w:lang w:val="en-US"/>
        </w:rPr>
        <w:t>号），公平、公正的开展气象专用技术装备使用许可技术审查服务，技术审查服务包含但不限于开展资料审查、现场踏勘、检定检测（含环境试验）、审查报告编制，其中检定检测（含环境试验）</w:t>
      </w:r>
      <w:r>
        <w:rPr>
          <w:rFonts w:ascii="Calibri" w:eastAsia="宋体" w:hAnsi="Calibri" w:cs="Times New Roman"/>
          <w:color w:val="595959"/>
          <w:spacing w:val="-8"/>
          <w:kern w:val="2"/>
          <w:lang w:val="en-US"/>
        </w:rPr>
        <w:t xml:space="preserve"> </w:t>
      </w:r>
      <w:r>
        <w:rPr>
          <w:rFonts w:ascii="Calibri" w:eastAsia="宋体" w:hAnsi="Calibri" w:cs="Times New Roman"/>
          <w:color w:val="595959"/>
          <w:spacing w:val="-8"/>
          <w:kern w:val="2"/>
          <w:lang w:val="en-US"/>
        </w:rPr>
        <w:t>指待测装备到达待测地点，进入待测状态后开展的相关工作。</w:t>
      </w:r>
    </w:p>
    <w:p w:rsidR="002514DD">
      <w:pPr>
        <w:pStyle w:val="ListParagraph"/>
        <w:widowControl w:val="0"/>
        <w:numPr>
          <w:ilvl w:val="1"/>
          <w:numId w:val="5"/>
        </w:numPr>
        <w:tabs>
          <w:tab w:val="left" w:pos="1065"/>
        </w:tabs>
        <w:spacing w:line="500" w:lineRule="exact"/>
        <w:ind w:left="0" w:firstLine="388"/>
        <w:jc w:val="both"/>
        <w:rPr>
          <w:rFonts w:ascii="Calibri" w:eastAsia="宋体" w:hAnsi="Calibri" w:cs="Times New Roman"/>
          <w:color w:val="595959"/>
          <w:spacing w:val="-8"/>
          <w:kern w:val="2"/>
          <w:lang w:val="en-US"/>
        </w:rPr>
      </w:pPr>
      <w:r>
        <w:rPr>
          <w:rFonts w:ascii="Calibri" w:eastAsia="宋体" w:hAnsi="Calibri" w:cs="Times New Roman" w:hint="eastAsia"/>
          <w:color w:val="595959"/>
          <w:spacing w:val="-8"/>
          <w:kern w:val="2"/>
          <w:lang w:val="en-US"/>
        </w:rPr>
        <w:t>*</w:t>
      </w:r>
      <w:r>
        <w:rPr>
          <w:rFonts w:ascii="Calibri" w:eastAsia="宋体" w:hAnsi="Calibri" w:cs="Times New Roman"/>
          <w:color w:val="595959"/>
          <w:spacing w:val="-8"/>
          <w:kern w:val="2"/>
          <w:lang w:val="en-US"/>
        </w:rPr>
        <w:t>投标人应当承诺完成不低于</w:t>
      </w:r>
      <w:r>
        <w:rPr>
          <w:rFonts w:ascii="Calibri" w:eastAsia="宋体" w:hAnsi="Calibri" w:cs="Times New Roman"/>
          <w:color w:val="595959"/>
          <w:spacing w:val="-8"/>
          <w:kern w:val="2"/>
          <w:lang w:val="en-US"/>
        </w:rPr>
        <w:t xml:space="preserve"> 1</w:t>
      </w:r>
      <w:r>
        <w:rPr>
          <w:rFonts w:ascii="Calibri" w:eastAsia="宋体" w:hAnsi="Calibri" w:cs="Times New Roman" w:hint="eastAsia"/>
          <w:color w:val="595959"/>
          <w:spacing w:val="-8"/>
          <w:kern w:val="2"/>
          <w:lang w:val="en-US"/>
        </w:rPr>
        <w:t>60</w:t>
      </w:r>
      <w:r>
        <w:rPr>
          <w:rFonts w:ascii="Calibri" w:eastAsia="宋体" w:hAnsi="Calibri" w:cs="Times New Roman"/>
          <w:color w:val="595959"/>
          <w:spacing w:val="-8"/>
          <w:kern w:val="2"/>
          <w:lang w:val="en-US"/>
        </w:rPr>
        <w:t>项气象专用技术装备</w:t>
      </w:r>
      <w:r>
        <w:rPr>
          <w:rFonts w:ascii="Calibri" w:eastAsia="宋体" w:hAnsi="Calibri" w:cs="Times New Roman" w:hint="eastAsia"/>
          <w:color w:val="595959"/>
          <w:spacing w:val="-8"/>
          <w:kern w:val="2"/>
          <w:lang w:val="en-US"/>
        </w:rPr>
        <w:t>技术审查服务，包括</w:t>
      </w:r>
      <w:r>
        <w:rPr>
          <w:rFonts w:ascii="Calibri" w:eastAsia="宋体" w:hAnsi="Calibri" w:cs="Times New Roman"/>
          <w:color w:val="595959"/>
          <w:spacing w:val="-8"/>
          <w:kern w:val="2"/>
          <w:lang w:val="en-US"/>
        </w:rPr>
        <w:t>气象专用技术装备首次申请技术审查服务</w:t>
      </w:r>
      <w:r>
        <w:rPr>
          <w:rFonts w:ascii="Calibri" w:eastAsia="宋体" w:hAnsi="Calibri" w:cs="Times New Roman" w:hint="eastAsia"/>
          <w:color w:val="595959"/>
          <w:spacing w:val="-8"/>
          <w:kern w:val="2"/>
          <w:lang w:val="en-US"/>
        </w:rPr>
        <w:t>和</w:t>
      </w:r>
      <w:r>
        <w:rPr>
          <w:rFonts w:ascii="Calibri" w:eastAsia="宋体" w:hAnsi="Calibri" w:cs="Times New Roman"/>
          <w:color w:val="595959"/>
          <w:spacing w:val="-8"/>
          <w:kern w:val="2"/>
          <w:lang w:val="en-US"/>
        </w:rPr>
        <w:t>延续申请技术审查服务，否则投标将被拒绝。</w:t>
      </w:r>
    </w:p>
    <w:p w:rsidR="002514DD">
      <w:pPr>
        <w:pStyle w:val="ListParagraph"/>
        <w:widowControl w:val="0"/>
        <w:numPr>
          <w:ilvl w:val="1"/>
          <w:numId w:val="5"/>
        </w:numPr>
        <w:tabs>
          <w:tab w:val="left" w:pos="1065"/>
        </w:tabs>
        <w:spacing w:line="500" w:lineRule="exact"/>
        <w:ind w:left="0" w:firstLine="388"/>
        <w:jc w:val="both"/>
        <w:rPr>
          <w:rFonts w:ascii="Calibri" w:eastAsia="宋体" w:hAnsi="Calibri" w:cs="Times New Roman"/>
          <w:color w:val="595959"/>
          <w:spacing w:val="-8"/>
          <w:kern w:val="2"/>
          <w:lang w:val="en-US"/>
        </w:rPr>
      </w:pPr>
      <w:r>
        <w:rPr>
          <w:rFonts w:ascii="Calibri" w:eastAsia="宋体" w:hAnsi="Calibri" w:cs="Times New Roman" w:hint="eastAsia"/>
          <w:color w:val="595959"/>
          <w:spacing w:val="-8"/>
          <w:kern w:val="2"/>
          <w:lang w:val="en-US"/>
        </w:rPr>
        <w:t>供应商应完成合同签订之日起自合同签订之日起</w:t>
      </w:r>
      <w:r>
        <w:rPr>
          <w:rFonts w:ascii="Calibri" w:eastAsia="宋体" w:hAnsi="Calibri" w:cs="Times New Roman" w:hint="eastAsia"/>
          <w:color w:val="595959"/>
          <w:spacing w:val="-8"/>
          <w:kern w:val="2"/>
          <w:lang w:val="en-US"/>
        </w:rPr>
        <w:t>1</w:t>
      </w:r>
      <w:r>
        <w:rPr>
          <w:rFonts w:ascii="Calibri" w:eastAsia="宋体" w:hAnsi="Calibri" w:cs="Times New Roman" w:hint="eastAsia"/>
          <w:color w:val="595959"/>
          <w:spacing w:val="-8"/>
          <w:kern w:val="2"/>
          <w:lang w:val="en-US"/>
        </w:rPr>
        <w:t>年内通过中国气象局一体化政务服务平台受理的气象专用技术装备使用许可申请技术审查任务。任务</w:t>
      </w:r>
      <w:r>
        <w:rPr>
          <w:rFonts w:ascii="Calibri" w:eastAsia="宋体" w:hAnsi="Calibri" w:cs="Times New Roman" w:hint="eastAsia"/>
          <w:color w:val="595959"/>
          <w:spacing w:val="-8"/>
          <w:kern w:val="2"/>
          <w:lang w:val="en-US"/>
        </w:rPr>
        <w:t>的持续时间由具体审查项目的测试要求决定。</w:t>
      </w:r>
    </w:p>
    <w:p w:rsidR="002514DD">
      <w:pPr>
        <w:pStyle w:val="BodyText"/>
        <w:widowControl w:val="0"/>
        <w:numPr>
          <w:ilvl w:val="0"/>
          <w:numId w:val="4"/>
        </w:numPr>
        <w:spacing w:before="72" w:line="500" w:lineRule="exact"/>
        <w:rPr>
          <w:b/>
          <w:bCs/>
          <w:sz w:val="24"/>
          <w:szCs w:val="24"/>
        </w:rPr>
      </w:pPr>
      <w:r>
        <w:rPr>
          <w:b/>
          <w:bCs/>
          <w:sz w:val="24"/>
          <w:szCs w:val="24"/>
        </w:rPr>
        <w:t>商务要求</w:t>
      </w:r>
    </w:p>
    <w:p w:rsidR="002514DD">
      <w:pPr>
        <w:pStyle w:val="ListParagraph"/>
        <w:widowControl w:val="0"/>
        <w:numPr>
          <w:ilvl w:val="1"/>
          <w:numId w:val="6"/>
        </w:numPr>
        <w:tabs>
          <w:tab w:val="left" w:pos="1065"/>
        </w:tabs>
        <w:spacing w:line="500" w:lineRule="exact"/>
        <w:ind w:left="0" w:firstLine="388"/>
        <w:rPr>
          <w:rFonts w:ascii="宋体" w:eastAsia="宋体" w:hAnsi="宋体" w:cs="宋体"/>
          <w:spacing w:val="-3"/>
        </w:rPr>
      </w:pPr>
      <w:r>
        <w:rPr>
          <w:rFonts w:ascii="Calibri" w:eastAsia="宋体" w:hAnsi="Calibri" w:cs="Times New Roman" w:hint="eastAsia"/>
          <w:color w:val="595959"/>
          <w:spacing w:val="-8"/>
          <w:kern w:val="2"/>
        </w:rPr>
        <w:t>投标人必须符合政府采购法及其配套法规规定的供应商基本条件；</w:t>
      </w:r>
    </w:p>
    <w:p w:rsidR="002514DD">
      <w:pPr>
        <w:pStyle w:val="ListParagraph"/>
        <w:widowControl w:val="0"/>
        <w:numPr>
          <w:ilvl w:val="1"/>
          <w:numId w:val="6"/>
        </w:numPr>
        <w:tabs>
          <w:tab w:val="left" w:pos="1065"/>
        </w:tabs>
        <w:spacing w:line="500" w:lineRule="exact"/>
        <w:ind w:left="0" w:firstLine="388"/>
        <w:rPr>
          <w:rFonts w:ascii="Calibri" w:eastAsia="宋体" w:hAnsi="Calibri" w:cs="Times New Roman"/>
          <w:color w:val="595959"/>
          <w:spacing w:val="-8"/>
          <w:kern w:val="2"/>
        </w:rPr>
      </w:pPr>
      <w:r>
        <w:rPr>
          <w:rFonts w:ascii="Calibri" w:eastAsia="宋体" w:hAnsi="Calibri" w:cs="Times New Roman" w:hint="eastAsia"/>
          <w:color w:val="595959"/>
          <w:spacing w:val="-8"/>
          <w:kern w:val="2"/>
        </w:rPr>
        <w:t>投标人具有国家法定授权的气象计量资质或国家认证认可的检测资质；</w:t>
      </w:r>
    </w:p>
    <w:p w:rsidR="002514DD">
      <w:pPr>
        <w:pStyle w:val="ListParagraph"/>
        <w:widowControl w:val="0"/>
        <w:numPr>
          <w:ilvl w:val="1"/>
          <w:numId w:val="6"/>
        </w:numPr>
        <w:tabs>
          <w:tab w:val="left" w:pos="1065"/>
        </w:tabs>
        <w:spacing w:line="500" w:lineRule="exact"/>
        <w:ind w:left="0" w:firstLine="388"/>
        <w:rPr>
          <w:rFonts w:ascii="Calibri" w:eastAsia="宋体" w:hAnsi="Calibri" w:cs="Times New Roman"/>
          <w:color w:val="595959"/>
          <w:spacing w:val="-8"/>
          <w:kern w:val="2"/>
        </w:rPr>
      </w:pPr>
      <w:r>
        <w:rPr>
          <w:rFonts w:ascii="Calibri" w:eastAsia="宋体" w:hAnsi="Calibri" w:cs="Times New Roman" w:hint="eastAsia"/>
          <w:color w:val="595959"/>
          <w:spacing w:val="-8"/>
          <w:kern w:val="2"/>
        </w:rPr>
        <w:t>投标人具有履行合同所需的设备和技术能力；</w:t>
      </w:r>
    </w:p>
    <w:p w:rsidR="00F74553" w:rsidRPr="00F74553">
      <w:pPr>
        <w:pStyle w:val="ListParagraph"/>
        <w:widowControl w:val="0"/>
        <w:numPr>
          <w:ilvl w:val="1"/>
          <w:numId w:val="6"/>
        </w:numPr>
        <w:tabs>
          <w:tab w:val="left" w:pos="1065"/>
        </w:tabs>
        <w:spacing w:line="500" w:lineRule="exact"/>
        <w:ind w:left="0" w:firstLine="420"/>
        <w:rPr>
          <w:rFonts w:ascii="Calibri" w:eastAsia="宋体" w:hAnsi="Calibri" w:cs="Times New Roman"/>
          <w:color w:val="595959"/>
          <w:spacing w:val="-8"/>
          <w:kern w:val="2"/>
          <w:highlight w:val="yellow"/>
        </w:rPr>
      </w:pPr>
      <w:r w:rsidRPr="00F74553">
        <w:rPr>
          <w:rFonts w:ascii="宋体" w:hAnsi="宋体" w:eastAsiaTheme="minorEastAsia" w:hint="eastAsia"/>
          <w:szCs w:val="21"/>
          <w:highlight w:val="yellow"/>
        </w:rPr>
        <w:t>投标人不能是气象专用技术装备生产厂商</w:t>
      </w:r>
      <w:r w:rsidRPr="00F74553">
        <w:rPr>
          <w:rFonts w:ascii="宋体" w:hAnsi="宋体" w:eastAsiaTheme="minorEastAsia" w:hint="eastAsia"/>
          <w:szCs w:val="21"/>
          <w:highlight w:val="yellow"/>
        </w:rPr>
        <w:t>，</w:t>
      </w:r>
      <w:r w:rsidRPr="00F74553">
        <w:rPr>
          <w:rFonts w:ascii="宋体" w:hAnsi="宋体" w:eastAsiaTheme="minorEastAsia" w:hint="eastAsia"/>
          <w:szCs w:val="21"/>
          <w:highlight w:val="yellow"/>
        </w:rPr>
        <w:t>不能与气象专用技术装备生产厂商具有关联关系</w:t>
      </w:r>
      <w:r w:rsidRPr="00F74553">
        <w:rPr>
          <w:rFonts w:ascii="Calibri" w:eastAsia="宋体" w:hAnsi="Calibri" w:cs="Times New Roman" w:hint="eastAsia"/>
          <w:color w:val="595959"/>
          <w:spacing w:val="-8"/>
          <w:kern w:val="2"/>
          <w:highlight w:val="yellow"/>
        </w:rPr>
        <w:t>。</w:t>
      </w:r>
    </w:p>
    <w:p w:rsidR="002514DD">
      <w:pPr>
        <w:pStyle w:val="BodyText"/>
        <w:widowControl w:val="0"/>
        <w:numPr>
          <w:ilvl w:val="0"/>
          <w:numId w:val="4"/>
        </w:numPr>
        <w:spacing w:before="72" w:line="500" w:lineRule="exact"/>
        <w:rPr>
          <w:b/>
          <w:bCs/>
          <w:sz w:val="24"/>
          <w:szCs w:val="24"/>
        </w:rPr>
      </w:pPr>
      <w:r>
        <w:rPr>
          <w:b/>
          <w:bCs/>
          <w:sz w:val="24"/>
          <w:szCs w:val="24"/>
        </w:rPr>
        <w:t>技术和服务要求</w:t>
      </w:r>
    </w:p>
    <w:p w:rsidR="002514DD">
      <w:pPr>
        <w:pStyle w:val="BodyText"/>
        <w:widowControl w:val="0"/>
        <w:spacing w:line="500" w:lineRule="exact"/>
        <w:ind w:firstLine="420" w:firstLineChars="200"/>
        <w:jc w:val="both"/>
        <w:rPr>
          <w:rFonts w:ascii="宋体" w:hAnsi="宋体" w:cs="宋体"/>
          <w:spacing w:val="-3"/>
        </w:rPr>
      </w:pPr>
      <w:r>
        <w:rPr>
          <w:rFonts w:ascii="宋体" w:eastAsia="宋体" w:hAnsi="宋体" w:cs="宋体" w:hint="eastAsia"/>
          <w:spacing w:val="-3"/>
          <w:lang w:val="en-US"/>
        </w:rPr>
        <w:t>4.1</w:t>
      </w:r>
      <w:r>
        <w:rPr>
          <w:rFonts w:ascii="宋体" w:hAnsi="宋体" w:cs="宋体" w:hint="eastAsia"/>
          <w:spacing w:val="-3"/>
          <w:lang w:val="en-US"/>
        </w:rPr>
        <w:t xml:space="preserve">  </w:t>
      </w:r>
      <w:r>
        <w:rPr>
          <w:rFonts w:ascii="宋体" w:eastAsia="宋体" w:hAnsi="宋体" w:cs="宋体" w:hint="eastAsia"/>
          <w:spacing w:val="-3"/>
        </w:rPr>
        <w:t>供应商依据中国气象局发布的气象专用技术装备技术要求（见</w:t>
      </w:r>
    </w:p>
    <w:p w:rsidR="002514DD">
      <w:pPr>
        <w:pStyle w:val="BodyText"/>
        <w:widowControl w:val="0"/>
        <w:spacing w:line="500" w:lineRule="exact"/>
        <w:ind w:firstLine="420" w:firstLineChars="200"/>
        <w:jc w:val="both"/>
        <w:rPr>
          <w:rFonts w:ascii="宋体" w:hAnsi="宋体" w:cs="宋体"/>
          <w:spacing w:val="-3"/>
        </w:rPr>
      </w:pPr>
      <w:r>
        <w:rPr>
          <w:rFonts w:ascii="宋体" w:eastAsia="宋体" w:hAnsi="宋体" w:cs="宋体" w:hint="eastAsia"/>
          <w:spacing w:val="-3"/>
        </w:rPr>
        <w:t>https://zwfw.cma.gov.cn/spring/xzsp/xxfb/initShowList?modelId=XZSP_XZZQ</w:t>
      </w:r>
      <w:r>
        <w:rPr>
          <w:rFonts w:ascii="宋体" w:eastAsia="宋体" w:hAnsi="宋体" w:cs="宋体" w:hint="eastAsia"/>
          <w:spacing w:val="-3"/>
        </w:rPr>
        <w:t>）、</w:t>
      </w:r>
      <w:r>
        <w:rPr>
          <w:rFonts w:ascii="宋体" w:eastAsia="宋体" w:hAnsi="宋体" w:cs="宋体" w:hint="eastAsia"/>
          <w:spacing w:val="-3"/>
        </w:rPr>
        <w:t xml:space="preserve">QX/T 526-2019 </w:t>
      </w:r>
      <w:r>
        <w:rPr>
          <w:rFonts w:ascii="宋体" w:eastAsia="宋体" w:hAnsi="宋体" w:cs="宋体" w:hint="eastAsia"/>
          <w:spacing w:val="-3"/>
        </w:rPr>
        <w:t>气象观测专用技术装备测试规范</w:t>
      </w:r>
      <w:r>
        <w:rPr>
          <w:rFonts w:ascii="宋体" w:eastAsia="宋体" w:hAnsi="宋体" w:cs="宋体" w:hint="eastAsia"/>
          <w:spacing w:val="-3"/>
        </w:rPr>
        <w:t xml:space="preserve"> </w:t>
      </w:r>
      <w:r>
        <w:rPr>
          <w:rFonts w:ascii="宋体" w:eastAsia="宋体" w:hAnsi="宋体" w:cs="宋体" w:hint="eastAsia"/>
          <w:spacing w:val="-3"/>
        </w:rPr>
        <w:t>通用要求，及各类装备测试方法开展服务。</w:t>
      </w:r>
    </w:p>
    <w:p w:rsidR="002514DD">
      <w:pPr>
        <w:pStyle w:val="BodyText"/>
        <w:widowControl w:val="0"/>
        <w:spacing w:line="500" w:lineRule="exact"/>
        <w:ind w:firstLine="420" w:firstLineChars="200"/>
        <w:jc w:val="both"/>
        <w:rPr>
          <w:rFonts w:ascii="宋体" w:hAnsi="宋体" w:cs="宋体"/>
          <w:spacing w:val="-3"/>
        </w:rPr>
      </w:pPr>
      <w:r>
        <w:rPr>
          <w:rFonts w:ascii="宋体" w:eastAsia="宋体" w:hAnsi="宋体" w:cs="宋体" w:hint="eastAsia"/>
          <w:spacing w:val="-3"/>
          <w:lang w:val="en-US"/>
        </w:rPr>
        <w:t>4.2</w:t>
      </w:r>
      <w:r>
        <w:rPr>
          <w:rFonts w:ascii="宋体" w:hAnsi="宋体" w:cs="宋体" w:hint="eastAsia"/>
          <w:spacing w:val="-3"/>
          <w:lang w:val="en-US"/>
        </w:rPr>
        <w:t xml:space="preserve">  </w:t>
      </w:r>
      <w:r>
        <w:rPr>
          <w:rFonts w:ascii="宋体" w:eastAsia="宋体" w:hAnsi="宋体" w:cs="宋体" w:hint="eastAsia"/>
          <w:spacing w:val="-3"/>
        </w:rPr>
        <w:t>环境试验要在国家或行业部门认可的实验室进行。</w:t>
      </w:r>
    </w:p>
    <w:p w:rsidR="002514DD">
      <w:pPr>
        <w:pStyle w:val="BodyText"/>
        <w:widowControl w:val="0"/>
        <w:spacing w:line="500" w:lineRule="exact"/>
        <w:ind w:firstLine="420" w:firstLineChars="200"/>
        <w:jc w:val="both"/>
        <w:rPr>
          <w:rFonts w:ascii="宋体" w:hAnsi="宋体" w:cs="宋体"/>
          <w:spacing w:val="-3"/>
        </w:rPr>
      </w:pPr>
      <w:r>
        <w:rPr>
          <w:rFonts w:ascii="宋体" w:eastAsia="宋体" w:hAnsi="宋体" w:cs="宋体" w:hint="eastAsia"/>
          <w:spacing w:val="-3"/>
          <w:lang w:val="en-US"/>
        </w:rPr>
        <w:t>4.3</w:t>
      </w:r>
      <w:r>
        <w:rPr>
          <w:rFonts w:ascii="宋体" w:hAnsi="宋体" w:cs="宋体" w:hint="eastAsia"/>
          <w:spacing w:val="-3"/>
          <w:lang w:val="en-US"/>
        </w:rPr>
        <w:t xml:space="preserve">  </w:t>
      </w:r>
      <w:r>
        <w:rPr>
          <w:rFonts w:ascii="宋体" w:eastAsia="宋体" w:hAnsi="宋体" w:cs="宋体" w:hint="eastAsia"/>
          <w:spacing w:val="-3"/>
        </w:rPr>
        <w:t>从事技术审查的工作人员不少于</w:t>
      </w:r>
      <w:r>
        <w:rPr>
          <w:rFonts w:ascii="宋体" w:eastAsia="宋体" w:hAnsi="宋体" w:cs="宋体" w:hint="eastAsia"/>
          <w:spacing w:val="-3"/>
        </w:rPr>
        <w:t xml:space="preserve"> 5 </w:t>
      </w:r>
      <w:r>
        <w:rPr>
          <w:rFonts w:ascii="宋体" w:eastAsia="宋体" w:hAnsi="宋体" w:cs="宋体" w:hint="eastAsia"/>
          <w:spacing w:val="-3"/>
        </w:rPr>
        <w:t>名。</w:t>
      </w:r>
    </w:p>
    <w:p w:rsidR="002514DD">
      <w:pPr>
        <w:pStyle w:val="BodyText"/>
        <w:widowControl w:val="0"/>
        <w:spacing w:line="500" w:lineRule="exact"/>
        <w:ind w:firstLine="420" w:firstLineChars="200"/>
        <w:jc w:val="both"/>
        <w:rPr>
          <w:rFonts w:ascii="宋体" w:hAnsi="宋体" w:cs="宋体"/>
          <w:spacing w:val="-3"/>
        </w:rPr>
      </w:pPr>
      <w:r>
        <w:rPr>
          <w:rFonts w:ascii="宋体" w:eastAsia="宋体" w:hAnsi="宋体" w:cs="宋体" w:hint="eastAsia"/>
          <w:spacing w:val="-3"/>
          <w:lang w:val="en-US"/>
        </w:rPr>
        <w:t>4.4</w:t>
      </w:r>
      <w:r>
        <w:rPr>
          <w:rFonts w:ascii="宋体" w:hAnsi="宋体" w:cs="宋体" w:hint="eastAsia"/>
          <w:spacing w:val="-3"/>
          <w:lang w:val="en-US"/>
        </w:rPr>
        <w:t xml:space="preserve">  </w:t>
      </w:r>
      <w:r>
        <w:rPr>
          <w:rFonts w:ascii="宋体" w:eastAsia="宋体" w:hAnsi="宋体" w:cs="宋体" w:hint="eastAsia"/>
          <w:spacing w:val="-3"/>
          <w:lang w:val="en-US"/>
        </w:rPr>
        <w:t>供应商</w:t>
      </w:r>
      <w:r>
        <w:rPr>
          <w:rFonts w:ascii="宋体" w:eastAsia="宋体" w:hAnsi="宋体" w:cs="宋体" w:hint="eastAsia"/>
          <w:spacing w:val="-3"/>
          <w:lang w:val="en-US"/>
        </w:rPr>
        <w:t>应按要求在</w:t>
      </w:r>
      <w:r>
        <w:rPr>
          <w:rFonts w:ascii="宋体" w:eastAsia="宋体" w:hAnsi="宋体" w:cs="宋体" w:hint="eastAsia"/>
          <w:spacing w:val="-3"/>
          <w:lang w:val="en-US"/>
        </w:rPr>
        <w:t>4</w:t>
      </w:r>
      <w:r>
        <w:rPr>
          <w:rFonts w:ascii="宋体" w:eastAsia="宋体" w:hAnsi="宋体" w:cs="宋体" w:hint="eastAsia"/>
          <w:spacing w:val="-3"/>
          <w:lang w:val="en-US"/>
        </w:rPr>
        <w:t>个工作日内完成材料初审，受理后</w:t>
      </w:r>
      <w:r>
        <w:rPr>
          <w:rFonts w:ascii="宋体" w:eastAsia="宋体" w:hAnsi="宋体" w:cs="宋体" w:hint="eastAsia"/>
          <w:spacing w:val="-3"/>
          <w:lang w:val="en-US"/>
        </w:rPr>
        <w:t>5</w:t>
      </w:r>
      <w:r>
        <w:rPr>
          <w:rFonts w:ascii="宋体" w:eastAsia="宋体" w:hAnsi="宋体" w:cs="宋体" w:hint="eastAsia"/>
          <w:spacing w:val="-3"/>
          <w:lang w:val="en-US"/>
        </w:rPr>
        <w:t>个工作日内完成复审</w:t>
      </w:r>
      <w:r>
        <w:rPr>
          <w:rFonts w:ascii="宋体" w:eastAsia="宋体" w:hAnsi="宋体" w:cs="宋体" w:hint="eastAsia"/>
          <w:spacing w:val="-3"/>
          <w:lang w:val="en-US"/>
        </w:rPr>
        <w:t>；并按有关规定</w:t>
      </w:r>
      <w:r>
        <w:rPr>
          <w:rFonts w:ascii="宋体" w:eastAsia="宋体" w:hAnsi="宋体" w:cs="宋体" w:hint="eastAsia"/>
          <w:spacing w:val="-3"/>
          <w:lang w:val="en-US"/>
        </w:rPr>
        <w:t>完成</w:t>
      </w:r>
      <w:r>
        <w:rPr>
          <w:rFonts w:ascii="宋体" w:eastAsia="宋体" w:hAnsi="宋体" w:cs="宋体" w:hint="eastAsia"/>
          <w:spacing w:val="-3"/>
          <w:lang w:val="en-US"/>
        </w:rPr>
        <w:t>静态测试、动态测试、检测报告、情况反馈等服务</w:t>
      </w:r>
      <w:r>
        <w:rPr>
          <w:rFonts w:ascii="宋体" w:eastAsia="宋体" w:hAnsi="宋体" w:cs="宋体" w:hint="eastAsia"/>
          <w:spacing w:val="-3"/>
          <w:lang w:val="en-US"/>
        </w:rPr>
        <w:t>工作</w:t>
      </w:r>
      <w:r>
        <w:rPr>
          <w:rFonts w:ascii="宋体" w:eastAsia="宋体" w:hAnsi="宋体" w:cs="宋体" w:hint="eastAsia"/>
          <w:spacing w:val="-3"/>
          <w:lang w:val="en-US"/>
        </w:rPr>
        <w:t>。</w:t>
      </w:r>
    </w:p>
    <w:p w:rsidR="002514DD">
      <w:pPr>
        <w:pStyle w:val="BodyText"/>
        <w:widowControl w:val="0"/>
        <w:numPr>
          <w:ilvl w:val="0"/>
          <w:numId w:val="4"/>
        </w:numPr>
        <w:spacing w:before="72" w:line="500" w:lineRule="exact"/>
        <w:rPr>
          <w:b/>
          <w:bCs/>
          <w:sz w:val="24"/>
          <w:szCs w:val="24"/>
        </w:rPr>
      </w:pPr>
      <w:r>
        <w:rPr>
          <w:rFonts w:hint="eastAsia"/>
          <w:b/>
          <w:bCs/>
          <w:sz w:val="24"/>
          <w:szCs w:val="24"/>
        </w:rPr>
        <w:t>验收要求</w:t>
      </w:r>
    </w:p>
    <w:p w:rsidR="002514DD">
      <w:pPr>
        <w:pStyle w:val="BodyText"/>
        <w:widowControl w:val="0"/>
        <w:spacing w:line="500" w:lineRule="exact"/>
        <w:ind w:firstLine="420" w:firstLineChars="200"/>
        <w:jc w:val="both"/>
        <w:rPr>
          <w:rFonts w:ascii="宋体" w:hAnsi="宋体" w:cs="宋体"/>
          <w:spacing w:val="-3"/>
          <w:lang w:val="en-US"/>
        </w:rPr>
      </w:pPr>
      <w:r>
        <w:rPr>
          <w:rFonts w:ascii="宋体" w:eastAsia="宋体" w:hAnsi="宋体" w:cs="宋体" w:hint="eastAsia"/>
          <w:spacing w:val="-3"/>
          <w:lang w:val="en-US"/>
        </w:rPr>
        <w:t>供应商检测、测试完成后</w:t>
      </w:r>
      <w:r>
        <w:rPr>
          <w:rFonts w:ascii="宋体" w:eastAsia="宋体" w:hAnsi="宋体" w:cs="宋体" w:hint="eastAsia"/>
          <w:spacing w:val="-3"/>
          <w:lang w:val="en-US"/>
        </w:rPr>
        <w:t xml:space="preserve"> 5 </w:t>
      </w:r>
      <w:r>
        <w:rPr>
          <w:rFonts w:ascii="宋体" w:eastAsia="宋体" w:hAnsi="宋体" w:cs="宋体" w:hint="eastAsia"/>
          <w:spacing w:val="-3"/>
          <w:lang w:val="en-US"/>
        </w:rPr>
        <w:t>至</w:t>
      </w:r>
      <w:r>
        <w:rPr>
          <w:rFonts w:ascii="宋体" w:eastAsia="宋体" w:hAnsi="宋体" w:cs="宋体" w:hint="eastAsia"/>
          <w:spacing w:val="-3"/>
          <w:lang w:val="en-US"/>
        </w:rPr>
        <w:t xml:space="preserve"> 10 </w:t>
      </w:r>
      <w:r>
        <w:rPr>
          <w:rFonts w:ascii="宋体" w:eastAsia="宋体" w:hAnsi="宋体" w:cs="宋体" w:hint="eastAsia"/>
          <w:spacing w:val="-3"/>
          <w:lang w:val="en-US"/>
        </w:rPr>
        <w:t>个</w:t>
      </w:r>
      <w:r>
        <w:rPr>
          <w:rFonts w:ascii="宋体" w:eastAsia="宋体" w:hAnsi="宋体" w:cs="宋体" w:hint="eastAsia"/>
          <w:spacing w:val="-3"/>
          <w:lang w:val="en-US"/>
        </w:rPr>
        <w:t>工作日内提供审查报告的及时率不得低于</w:t>
      </w:r>
      <w:r>
        <w:rPr>
          <w:rFonts w:ascii="宋体" w:eastAsia="宋体" w:hAnsi="宋体" w:cs="宋体" w:hint="eastAsia"/>
          <w:spacing w:val="-3"/>
          <w:lang w:val="en-US"/>
        </w:rPr>
        <w:t xml:space="preserve"> 95%</w:t>
      </w:r>
      <w:r>
        <w:rPr>
          <w:rFonts w:ascii="宋体" w:eastAsia="宋体" w:hAnsi="宋体" w:cs="宋体" w:hint="eastAsia"/>
          <w:spacing w:val="-3"/>
          <w:lang w:val="en-US"/>
        </w:rPr>
        <w:t>；审查报告结论正确率</w:t>
      </w:r>
      <w:r>
        <w:rPr>
          <w:rFonts w:ascii="宋体" w:eastAsia="宋体" w:hAnsi="宋体" w:cs="宋体" w:hint="eastAsia"/>
          <w:spacing w:val="-3"/>
          <w:lang w:val="en-US"/>
        </w:rPr>
        <w:t xml:space="preserve"> 100%</w:t>
      </w:r>
      <w:r>
        <w:rPr>
          <w:rFonts w:ascii="宋体" w:eastAsia="宋体" w:hAnsi="宋体" w:cs="宋体" w:hint="eastAsia"/>
          <w:spacing w:val="-3"/>
          <w:lang w:val="en-US"/>
        </w:rPr>
        <w:t>；对供应商提供的审查报告形式检查合格率不得低于</w:t>
      </w:r>
      <w:r>
        <w:rPr>
          <w:rFonts w:ascii="宋体" w:eastAsia="宋体" w:hAnsi="宋体" w:cs="宋体" w:hint="eastAsia"/>
          <w:spacing w:val="-3"/>
          <w:lang w:val="en-US"/>
        </w:rPr>
        <w:t xml:space="preserve"> 95%</w:t>
      </w:r>
      <w:r>
        <w:rPr>
          <w:rFonts w:ascii="宋体" w:eastAsia="宋体" w:hAnsi="宋体" w:cs="宋体" w:hint="eastAsia"/>
          <w:spacing w:val="-3"/>
          <w:lang w:val="en-US"/>
        </w:rPr>
        <w:t>。</w:t>
      </w:r>
    </w:p>
    <w:p w:rsidR="002514DD">
      <w:pPr>
        <w:pStyle w:val="BodyText"/>
        <w:widowControl w:val="0"/>
        <w:numPr>
          <w:ilvl w:val="0"/>
          <w:numId w:val="4"/>
        </w:numPr>
        <w:spacing w:before="72" w:line="500" w:lineRule="exact"/>
        <w:rPr>
          <w:b/>
          <w:bCs/>
          <w:sz w:val="24"/>
          <w:szCs w:val="24"/>
        </w:rPr>
      </w:pPr>
      <w:r>
        <w:rPr>
          <w:rFonts w:hint="eastAsia"/>
          <w:b/>
          <w:bCs/>
          <w:sz w:val="24"/>
          <w:szCs w:val="24"/>
        </w:rPr>
        <w:t>罚则</w:t>
      </w:r>
    </w:p>
    <w:p w:rsidR="002514DD">
      <w:pPr>
        <w:pStyle w:val="BodyText"/>
        <w:widowControl w:val="0"/>
        <w:spacing w:line="500" w:lineRule="exact"/>
        <w:ind w:firstLine="420" w:firstLineChars="200"/>
        <w:jc w:val="both"/>
        <w:rPr>
          <w:rFonts w:ascii="宋体" w:hAnsi="宋体" w:cs="宋体"/>
          <w:spacing w:val="-3"/>
          <w:lang w:val="en-US"/>
        </w:rPr>
      </w:pPr>
      <w:r>
        <w:rPr>
          <w:rFonts w:ascii="宋体" w:eastAsia="宋体" w:hAnsi="宋体" w:cs="宋体" w:hint="eastAsia"/>
          <w:spacing w:val="-3"/>
          <w:lang w:val="en-US"/>
        </w:rPr>
        <w:t xml:space="preserve">6.1 </w:t>
      </w:r>
      <w:r>
        <w:rPr>
          <w:rFonts w:ascii="宋体" w:eastAsia="宋体" w:hAnsi="宋体" w:cs="宋体" w:hint="eastAsia"/>
          <w:spacing w:val="-3"/>
          <w:lang w:val="en-US"/>
        </w:rPr>
        <w:t>自接到甲方安排的气象专用技术装备技术审查任务起，供应商应逐项在六个月内完成技审查，并提交审查报告，如未在规定时间内完成技术审查和提交审查报告，出现一项扣减合同款的</w:t>
      </w:r>
      <w:r>
        <w:rPr>
          <w:rFonts w:ascii="宋体" w:eastAsia="宋体" w:hAnsi="宋体" w:cs="宋体" w:hint="eastAsia"/>
          <w:spacing w:val="-3"/>
          <w:lang w:val="en-US"/>
        </w:rPr>
        <w:t xml:space="preserve"> 1%</w:t>
      </w:r>
      <w:r>
        <w:rPr>
          <w:rFonts w:ascii="宋体" w:eastAsia="宋体" w:hAnsi="宋体" w:cs="宋体" w:hint="eastAsia"/>
          <w:spacing w:val="-3"/>
          <w:lang w:val="en-US"/>
        </w:rPr>
        <w:t>；如遇特殊情况或不可抗力等因素，双方协商后另行约定。</w:t>
      </w:r>
    </w:p>
    <w:p w:rsidR="002514DD">
      <w:pPr>
        <w:pStyle w:val="BodyText"/>
        <w:widowControl w:val="0"/>
        <w:spacing w:line="500" w:lineRule="exact"/>
        <w:ind w:firstLine="420" w:firstLineChars="200"/>
        <w:jc w:val="both"/>
        <w:rPr>
          <w:rFonts w:ascii="宋体" w:hAnsi="宋体" w:cs="宋体"/>
          <w:spacing w:val="-3"/>
          <w:lang w:val="en-US"/>
        </w:rPr>
      </w:pPr>
      <w:r>
        <w:rPr>
          <w:rFonts w:ascii="宋体" w:eastAsia="宋体" w:hAnsi="宋体" w:cs="宋体" w:hint="eastAsia"/>
          <w:spacing w:val="-3"/>
          <w:lang w:val="en-US"/>
        </w:rPr>
        <w:t xml:space="preserve">6.2 </w:t>
      </w:r>
      <w:r>
        <w:rPr>
          <w:rFonts w:ascii="宋体" w:eastAsia="宋体" w:hAnsi="宋体" w:cs="宋体" w:hint="eastAsia"/>
          <w:spacing w:val="-3"/>
          <w:lang w:val="en-US"/>
        </w:rPr>
        <w:t>开展气象专用技术装备技术审查期间，供应商要严守法律法规，恪守职业道德，坚持公正公平，坚持诚实信用，不得接受企业安排的旅游接待、各种方式的宴请，不得接受企业以任何名义和形式赠送的货币性礼品、纪念品、土特产等，不得接受企业安排的娱乐性活动以及与测试无关的活动，</w:t>
      </w:r>
      <w:r>
        <w:rPr>
          <w:rFonts w:ascii="宋体" w:eastAsia="宋体" w:hAnsi="宋体" w:cs="宋体" w:hint="eastAsia"/>
          <w:spacing w:val="-3"/>
          <w:lang w:val="en-US"/>
        </w:rPr>
        <w:t>如接到</w:t>
      </w:r>
      <w:r>
        <w:rPr>
          <w:rFonts w:ascii="宋体" w:eastAsia="宋体" w:hAnsi="宋体" w:cs="宋体" w:hint="eastAsia"/>
          <w:spacing w:val="-3"/>
          <w:lang w:val="en-US"/>
        </w:rPr>
        <w:t>企业举报经核实，确实</w:t>
      </w:r>
      <w:r>
        <w:rPr>
          <w:rFonts w:ascii="宋体" w:eastAsia="宋体" w:hAnsi="宋体" w:cs="宋体" w:hint="eastAsia"/>
          <w:spacing w:val="-3"/>
          <w:lang w:val="en-US"/>
        </w:rPr>
        <w:t>出现一次扣减合同款的</w:t>
      </w:r>
      <w:r>
        <w:rPr>
          <w:rFonts w:ascii="宋体" w:eastAsia="宋体" w:hAnsi="宋体" w:cs="宋体" w:hint="eastAsia"/>
          <w:spacing w:val="-3"/>
          <w:lang w:val="en-US"/>
        </w:rPr>
        <w:t>1%</w:t>
      </w:r>
      <w:r>
        <w:rPr>
          <w:rFonts w:ascii="宋体" w:eastAsia="宋体" w:hAnsi="宋体" w:cs="宋体" w:hint="eastAsia"/>
          <w:spacing w:val="-3"/>
          <w:lang w:val="en-US"/>
        </w:rPr>
        <w:t>。</w:t>
      </w:r>
    </w:p>
    <w:p w:rsidR="002514DD">
      <w:pPr>
        <w:pStyle w:val="BodyText"/>
        <w:widowControl w:val="0"/>
        <w:numPr>
          <w:ilvl w:val="0"/>
          <w:numId w:val="4"/>
        </w:numPr>
        <w:spacing w:before="72" w:line="500" w:lineRule="exact"/>
        <w:rPr>
          <w:b/>
          <w:bCs/>
          <w:sz w:val="24"/>
          <w:szCs w:val="24"/>
        </w:rPr>
      </w:pPr>
      <w:r>
        <w:rPr>
          <w:rFonts w:hint="eastAsia"/>
          <w:b/>
          <w:bCs/>
          <w:sz w:val="24"/>
          <w:szCs w:val="24"/>
        </w:rPr>
        <w:t>其他</w:t>
      </w:r>
    </w:p>
    <w:p w:rsidR="002514DD">
      <w:pPr>
        <w:pStyle w:val="BodyText"/>
        <w:spacing w:line="417" w:lineRule="auto"/>
        <w:ind w:left="221" w:right="566" w:firstLine="420"/>
        <w:jc w:val="both"/>
        <w:rPr>
          <w:rFonts w:ascii="宋体" w:hAnsi="宋体" w:cs="宋体"/>
          <w:spacing w:val="-3"/>
          <w:lang w:val="en-US"/>
        </w:rPr>
      </w:pPr>
      <w:r>
        <w:rPr>
          <w:rFonts w:ascii="宋体" w:eastAsia="宋体" w:hAnsi="宋体" w:cs="宋体" w:hint="eastAsia"/>
          <w:spacing w:val="-3"/>
          <w:lang w:val="en-US"/>
        </w:rPr>
        <w:t>1、</w:t>
      </w:r>
      <w:r>
        <w:rPr>
          <w:rFonts w:ascii="宋体" w:eastAsia="宋体" w:hAnsi="宋体" w:cs="宋体" w:hint="eastAsia"/>
          <w:spacing w:val="-3"/>
          <w:lang w:val="en-US"/>
        </w:rPr>
        <w:t>供应商承诺对已提交的审查报告，进行持续技术服务，并负责回答被审查方的质疑，必要时提供复检。</w:t>
      </w:r>
    </w:p>
    <w:p w:rsidR="002514DD" w:rsidRPr="00F74553">
      <w:pPr>
        <w:spacing w:line="360" w:lineRule="auto"/>
        <w:ind w:firstLine="420" w:firstLineChars="200"/>
        <w:rPr>
          <w:rFonts w:ascii="宋体" w:eastAsia="宋体" w:hAnsi="宋体" w:cs="Times New Roman" w:hint="eastAsia"/>
          <w:szCs w:val="21"/>
        </w:rPr>
      </w:pPr>
      <w:r>
        <w:rPr>
          <w:rFonts w:ascii="宋体" w:eastAsia="宋体" w:hAnsi="宋体" w:cs="Times New Roman"/>
          <w:szCs w:val="21"/>
        </w:rPr>
        <w:t xml:space="preserve"> </w:t>
      </w:r>
      <w:r w:rsidRPr="00F74553">
        <w:rPr>
          <w:rFonts w:ascii="宋体" w:eastAsia="宋体" w:hAnsi="宋体" w:cs="Times New Roman"/>
          <w:szCs w:val="21"/>
        </w:rPr>
        <w:t xml:space="preserve"> </w:t>
      </w:r>
      <w:r w:rsidRPr="00F74553">
        <w:rPr>
          <w:rFonts w:ascii="宋体" w:eastAsia="宋体" w:hAnsi="宋体" w:cs="Times New Roman"/>
          <w:szCs w:val="21"/>
          <w:highlight w:val="yellow"/>
        </w:rPr>
        <w:t>2</w:t>
      </w:r>
      <w:r w:rsidRPr="00F74553">
        <w:rPr>
          <w:rFonts w:ascii="宋体" w:eastAsia="宋体" w:hAnsi="宋体" w:cs="Times New Roman" w:hint="eastAsia"/>
          <w:szCs w:val="21"/>
          <w:highlight w:val="yellow"/>
        </w:rPr>
        <w:t>、履约期</w:t>
      </w:r>
      <w:r w:rsidRPr="00F74553">
        <w:rPr>
          <w:rFonts w:ascii="宋体" w:eastAsia="宋体" w:hAnsi="宋体" w:cs="Times New Roman"/>
          <w:szCs w:val="21"/>
          <w:highlight w:val="yellow"/>
        </w:rPr>
        <w:t>：</w:t>
      </w:r>
      <w:bookmarkStart w:id="59" w:name="合同履约期限_contractPerformancePeriod_0"/>
      <w:r w:rsidRPr="00F74553">
        <w:rPr>
          <w:rFonts w:ascii="宋体" w:hAnsi="宋体" w:cs="微软雅黑" w:hint="eastAsia"/>
          <w:kern w:val="0"/>
          <w:szCs w:val="21"/>
          <w:highlight w:val="yellow"/>
        </w:rPr>
        <w:t>自合同签订之日起1年内受理的项目审查完成止</w:t>
      </w:r>
      <w:bookmarkEnd w:id="59"/>
      <w:r w:rsidRPr="00F74553">
        <w:rPr>
          <w:rFonts w:ascii="宋体" w:hAnsi="宋体" w:cs="微软雅黑" w:hint="eastAsia"/>
          <w:kern w:val="0"/>
          <w:szCs w:val="21"/>
          <w:highlight w:val="yellow"/>
        </w:rPr>
        <w:t>。</w:t>
      </w:r>
    </w:p>
    <w:p w:rsidR="00A77B3E"/>
    <w:p w:rsidR="002514DD">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rsidR="00FB47D9">
      <w:pPr>
        <w:spacing w:before="156" w:beforeLines="50" w:line="360" w:lineRule="auto"/>
        <w:jc w:val="center"/>
        <w:outlineLvl w:val="1"/>
        <w:rPr>
          <w:rFonts w:ascii="宋体" w:hAnsi="宋体"/>
          <w:b/>
          <w:sz w:val="30"/>
          <w:szCs w:val="30"/>
        </w:rPr>
      </w:pPr>
      <w:bookmarkStart w:id="60" w:name="投标被拒绝条款专用部分_JJTK"/>
      <w:r>
        <w:rPr>
          <w:rFonts w:ascii="宋体" w:hAnsi="宋体" w:hint="eastAsia"/>
          <w:b/>
          <w:sz w:val="30"/>
          <w:szCs w:val="30"/>
        </w:rPr>
        <w:t>第八章  投标被拒绝条款专用部分</w:t>
      </w:r>
    </w:p>
    <w:p w:rsidR="00FB47D9">
      <w:pPr>
        <w:adjustRightInd w:val="0"/>
        <w:snapToGrid w:val="0"/>
        <w:spacing w:before="156" w:beforeLines="50" w:line="360" w:lineRule="auto"/>
        <w:rPr>
          <w:rFonts w:ascii="宋体" w:hAnsi="宋体"/>
          <w:szCs w:val="21"/>
        </w:rPr>
      </w:pPr>
    </w:p>
    <w:p w:rsidR="00FB47D9">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FB47D9">
            <w:pPr>
              <w:rPr>
                <w:sz w:val="18"/>
                <w:szCs w:val="18"/>
              </w:rPr>
            </w:pPr>
            <w:r>
              <w:rPr>
                <w:rFonts w:hint="eastAsia"/>
                <w:sz w:val="18"/>
                <w:szCs w:val="18"/>
              </w:rPr>
              <w:t>序号</w:t>
            </w:r>
          </w:p>
        </w:tc>
        <w:tc>
          <w:tcPr>
            <w:tcW w:w="898" w:type="dxa"/>
            <w:vAlign w:val="center"/>
          </w:tcPr>
          <w:p w:rsidR="00FB47D9">
            <w:pPr>
              <w:jc w:val="center"/>
              <w:rPr>
                <w:sz w:val="18"/>
                <w:szCs w:val="18"/>
              </w:rPr>
            </w:pPr>
            <w:r>
              <w:rPr>
                <w:rFonts w:hint="eastAsia"/>
                <w:sz w:val="18"/>
                <w:szCs w:val="18"/>
              </w:rPr>
              <w:t>对应</w:t>
            </w:r>
          </w:p>
          <w:p w:rsidR="00FB47D9">
            <w:pPr>
              <w:jc w:val="center"/>
              <w:rPr>
                <w:sz w:val="18"/>
                <w:szCs w:val="18"/>
              </w:rPr>
            </w:pPr>
            <w:r>
              <w:rPr>
                <w:rFonts w:hint="eastAsia"/>
                <w:sz w:val="18"/>
                <w:szCs w:val="18"/>
              </w:rPr>
              <w:t>条款号</w:t>
            </w:r>
          </w:p>
        </w:tc>
        <w:tc>
          <w:tcPr>
            <w:tcW w:w="7347" w:type="dxa"/>
            <w:vAlign w:val="center"/>
          </w:tcPr>
          <w:p w:rsidR="00FB47D9">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FB47D9">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Height w:val="472"/>
        </w:trPr>
        <w:tc>
          <w:tcPr>
            <w:tcW w:w="544" w:type="dxa"/>
            <w:vAlign w:val="center"/>
          </w:tcPr>
          <w:p w:rsidR="00FB47D9">
            <w:pPr>
              <w:numPr>
                <w:ilvl w:val="0"/>
                <w:numId w:val="10"/>
              </w:numPr>
              <w:rPr>
                <w:rFonts w:ascii="宋体" w:hAnsi="宋体"/>
                <w:sz w:val="18"/>
                <w:szCs w:val="18"/>
              </w:rPr>
            </w:pPr>
          </w:p>
        </w:tc>
        <w:tc>
          <w:tcPr>
            <w:tcW w:w="898" w:type="dxa"/>
            <w:vAlign w:val="center"/>
          </w:tcPr>
          <w:p w:rsidR="00FB47D9">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FB47D9">
            <w:pPr>
              <w:tabs>
                <w:tab w:val="left" w:pos="709"/>
              </w:tabs>
              <w:spacing w:line="360" w:lineRule="auto"/>
              <w:jc w:val="left"/>
              <w:rPr>
                <w:rFonts w:ascii="Calibri" w:hAnsi="Calibri" w:cs="微软雅黑"/>
                <w:kern w:val="0"/>
                <w:szCs w:val="21"/>
              </w:rPr>
            </w:pPr>
            <w:r>
              <w:rPr>
                <w:rFonts w:ascii="Calibri" w:hAnsi="Calibri" w:cs="微软雅黑" w:hint="eastAsia"/>
                <w:kern w:val="0"/>
                <w:szCs w:val="21"/>
              </w:rPr>
              <w:t>投标人应具有以下有效期超过投标截止日的资质：</w:t>
            </w:r>
          </w:p>
          <w:p w:rsidR="00FB47D9">
            <w:pPr>
              <w:tabs>
                <w:tab w:val="left" w:pos="709"/>
              </w:tabs>
              <w:spacing w:line="360" w:lineRule="auto"/>
              <w:jc w:val="left"/>
              <w:rPr>
                <w:rFonts w:ascii="宋体" w:hAnsi="宋体"/>
                <w:sz w:val="18"/>
                <w:szCs w:val="18"/>
              </w:rPr>
            </w:pPr>
            <w:r>
              <w:rPr>
                <w:rFonts w:ascii="宋体" w:hAnsi="宋体" w:cs="微软雅黑" w:hint="eastAsia"/>
                <w:kern w:val="0"/>
                <w:szCs w:val="21"/>
              </w:rPr>
              <w:t>国家法定授权的气象计量资质或国家认证认可的检测资质。需提供证书复印件，证书复印件需加盖投标人公章。</w:t>
            </w:r>
          </w:p>
        </w:tc>
      </w:tr>
      <w:tr>
        <w:tblPrEx>
          <w:tblW w:w="8789" w:type="dxa"/>
          <w:tblLayout w:type="fixed"/>
          <w:tblLook w:val="04A0"/>
        </w:tblPrEx>
        <w:trPr>
          <w:cantSplit/>
          <w:trHeight w:val="472"/>
        </w:trPr>
        <w:tc>
          <w:tcPr>
            <w:tcW w:w="544" w:type="dxa"/>
            <w:vAlign w:val="center"/>
          </w:tcPr>
          <w:p w:rsidR="0004671F">
            <w:pPr>
              <w:numPr>
                <w:ilvl w:val="0"/>
                <w:numId w:val="10"/>
              </w:numPr>
              <w:rPr>
                <w:rFonts w:ascii="宋体" w:hAnsi="宋体"/>
                <w:sz w:val="18"/>
                <w:szCs w:val="18"/>
              </w:rPr>
            </w:pPr>
          </w:p>
        </w:tc>
        <w:tc>
          <w:tcPr>
            <w:tcW w:w="898" w:type="dxa"/>
            <w:vAlign w:val="center"/>
          </w:tcPr>
          <w:p w:rsidR="0004671F">
            <w:pPr>
              <w:jc w:val="center"/>
              <w:rPr>
                <w:rFonts w:ascii="宋体" w:hAnsi="宋体"/>
                <w:sz w:val="18"/>
                <w:szCs w:val="18"/>
              </w:rPr>
            </w:pPr>
            <w:r>
              <w:rPr>
                <w:rFonts w:ascii="宋体" w:hAnsi="宋体" w:hint="eastAsia"/>
                <w:sz w:val="18"/>
                <w:szCs w:val="18"/>
              </w:rPr>
              <w:t>5.20</w:t>
            </w:r>
          </w:p>
        </w:tc>
        <w:tc>
          <w:tcPr>
            <w:tcW w:w="7347" w:type="dxa"/>
          </w:tcPr>
          <w:p w:rsidR="0004671F" w:rsidP="00BC37D6">
            <w:pPr>
              <w:tabs>
                <w:tab w:val="left" w:pos="709"/>
              </w:tabs>
              <w:spacing w:line="360" w:lineRule="auto"/>
              <w:jc w:val="left"/>
              <w:rPr>
                <w:rFonts w:ascii="Calibri" w:hAnsi="Calibri" w:cs="微软雅黑"/>
                <w:kern w:val="0"/>
                <w:szCs w:val="21"/>
              </w:rPr>
            </w:pPr>
            <w:r>
              <w:rPr>
                <w:rFonts w:ascii="宋体" w:hAnsi="宋体" w:eastAsiaTheme="minorEastAsia" w:cstheme="minorBidi" w:hint="eastAsia"/>
                <w:szCs w:val="21"/>
              </w:rPr>
              <w:t>投标人不能是气象专用技术装备生产厂商</w:t>
            </w:r>
            <w:r w:rsidR="00BC37D6">
              <w:rPr>
                <w:rFonts w:ascii="宋体" w:hAnsi="宋体" w:eastAsiaTheme="minorEastAsia" w:cstheme="minorBidi" w:hint="eastAsia"/>
                <w:szCs w:val="21"/>
              </w:rPr>
              <w:t>,</w:t>
            </w:r>
            <w:r>
              <w:rPr>
                <w:rFonts w:ascii="宋体" w:hAnsi="宋体" w:eastAsiaTheme="minorEastAsia" w:cstheme="minorBidi" w:hint="eastAsia"/>
                <w:szCs w:val="21"/>
              </w:rPr>
              <w:t>不能与气象专用技术装备生产厂商具有关联关系，否则投标将被拒绝</w:t>
            </w:r>
            <w:r w:rsidR="00BC37D6">
              <w:rPr>
                <w:rFonts w:ascii="宋体" w:hAnsi="宋体" w:eastAsiaTheme="minorEastAsia" w:cstheme="minorBidi" w:hint="eastAsia"/>
                <w:szCs w:val="21"/>
              </w:rPr>
              <w:t>。</w:t>
            </w:r>
            <w:r w:rsidR="00BC37D6">
              <w:rPr>
                <w:rFonts w:ascii="宋体" w:hAnsi="宋体" w:eastAsiaTheme="minorEastAsia" w:cstheme="minorBidi" w:hint="eastAsia"/>
                <w:szCs w:val="21"/>
              </w:rPr>
              <w:t>（需提供承诺书，格式自理）</w:t>
            </w:r>
          </w:p>
        </w:tc>
      </w:tr>
      <w:tr>
        <w:tblPrEx>
          <w:tblW w:w="8789" w:type="dxa"/>
          <w:tblLayout w:type="fixed"/>
          <w:tblLook w:val="04A0"/>
        </w:tblPrEx>
        <w:trPr>
          <w:cantSplit/>
        </w:trPr>
        <w:tc>
          <w:tcPr>
            <w:tcW w:w="8789" w:type="dxa"/>
            <w:gridSpan w:val="3"/>
            <w:vAlign w:val="center"/>
          </w:tcPr>
          <w:p w:rsidR="00FB47D9">
            <w:pPr>
              <w:jc w:val="center"/>
              <w:rPr>
                <w:sz w:val="18"/>
                <w:szCs w:val="18"/>
              </w:rPr>
            </w:pPr>
            <w:r>
              <w:rPr>
                <w:rFonts w:hint="eastAsia"/>
                <w:b/>
                <w:sz w:val="18"/>
                <w:szCs w:val="18"/>
              </w:rPr>
              <w:t>第</w:t>
            </w:r>
            <w:r>
              <w:rPr>
                <w:rFonts w:hint="eastAsia"/>
                <w:b/>
                <w:sz w:val="18"/>
                <w:szCs w:val="18"/>
              </w:rPr>
              <w:t>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FB47D9">
            <w:pPr>
              <w:numPr>
                <w:ilvl w:val="0"/>
                <w:numId w:val="10"/>
              </w:numPr>
              <w:rPr>
                <w:rFonts w:ascii="宋体" w:hAnsi="宋体"/>
                <w:sz w:val="18"/>
                <w:szCs w:val="18"/>
              </w:rPr>
            </w:pPr>
          </w:p>
        </w:tc>
        <w:tc>
          <w:tcPr>
            <w:tcW w:w="898" w:type="dxa"/>
            <w:vAlign w:val="center"/>
          </w:tcPr>
          <w:p w:rsidR="00FB47D9" w:rsidP="0004671F">
            <w:pPr>
              <w:rPr>
                <w:rFonts w:ascii="宋体" w:hAnsi="宋体"/>
                <w:sz w:val="18"/>
                <w:szCs w:val="18"/>
              </w:rPr>
            </w:pPr>
          </w:p>
        </w:tc>
        <w:tc>
          <w:tcPr>
            <w:tcW w:w="7347" w:type="dxa"/>
            <w:vAlign w:val="center"/>
          </w:tcPr>
          <w:p w:rsidR="00FB47D9">
            <w:pPr>
              <w:pStyle w:val="ListParagraph"/>
              <w:widowControl w:val="0"/>
              <w:tabs>
                <w:tab w:val="left" w:pos="1069"/>
              </w:tabs>
              <w:spacing w:line="500" w:lineRule="exact"/>
              <w:ind w:left="105" w:right="105" w:firstLine="0" w:leftChars="50" w:rightChars="50" w:firstLineChars="0"/>
              <w:rPr>
                <w:color w:val="auto"/>
              </w:rPr>
            </w:pPr>
            <w:r>
              <w:rPr>
                <w:rFonts w:hint="eastAsia"/>
                <w:spacing w:val="3"/>
              </w:rPr>
              <w:t>二、采购内容</w:t>
            </w:r>
          </w:p>
          <w:p w:rsidR="00FB47D9">
            <w:pPr>
              <w:pStyle w:val="ListParagraph"/>
              <w:widowControl w:val="0"/>
              <w:tabs>
                <w:tab w:val="left" w:pos="1069"/>
              </w:tabs>
              <w:spacing w:line="500" w:lineRule="exact"/>
              <w:ind w:left="105" w:right="105" w:firstLine="0" w:leftChars="50" w:rightChars="50" w:firstLineChars="0"/>
              <w:rPr>
                <w:rFonts w:ascii="宋体" w:hAnsi="宋体"/>
                <w:sz w:val="18"/>
                <w:szCs w:val="18"/>
              </w:rPr>
            </w:pPr>
            <w:r>
              <w:rPr>
                <w:rFonts w:ascii="宋体" w:eastAsia="宋体" w:hAnsi="宋体" w:cs="微软雅黑" w:hint="eastAsia"/>
                <w:color w:val="auto"/>
                <w:kern w:val="0"/>
                <w:szCs w:val="21"/>
                <w:lang w:val="en-US"/>
              </w:rPr>
              <w:t>2.2 *投标人应当承诺完成不低于 160项气象专用技术装备技术审查服务，包括气象专用技术装备首次申请技术审查服务和延续申请技术审查服务，否则投标将被拒绝。</w:t>
            </w:r>
          </w:p>
        </w:tc>
      </w:tr>
    </w:tbl>
    <w:p w:rsidR="00FB47D9">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FB47D9">
      <w:pPr>
        <w:spacing w:before="156" w:beforeLines="50" w:line="360" w:lineRule="auto"/>
        <w:ind w:firstLine="420"/>
      </w:pPr>
    </w:p>
    <w:p w:rsidR="00A77B3E"/>
    <w:p w:rsidR="00FB47D9">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ascii="Times New Roman" w:eastAsia="宋体" w:hAnsi="Times New Roman" w:cs="Times New Roman" w:hint="eastAsia"/>
          <w:b/>
          <w:bCs/>
          <w:szCs w:val="21"/>
          <w:highlight w:val="none"/>
        </w:rPr>
      </w:pPr>
      <w:bookmarkStart w:id="61"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8"/>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8"/>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8"/>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（一）付款</w:t>
      </w:r>
    </w:p>
    <w:p>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1、合同总金额为人民币</w:t>
      </w:r>
      <w:r>
        <w:rPr>
          <w:rFonts w:ascii="宋体" w:hAnsi="宋体" w:hint="eastAsia"/>
          <w:szCs w:val="21"/>
          <w:highlight w:val="none"/>
          <w:u w:val="single"/>
        </w:rPr>
        <w:t xml:space="preserve">                  </w:t>
      </w:r>
      <w:r>
        <w:rPr>
          <w:rFonts w:ascii="宋体" w:hAnsi="宋体" w:hint="eastAsia"/>
          <w:szCs w:val="21"/>
          <w:highlight w:val="none"/>
        </w:rPr>
        <w:t>元（大写）：</w:t>
      </w:r>
      <w:r>
        <w:rPr>
          <w:rFonts w:ascii="宋体" w:hAnsi="宋体" w:hint="eastAsia"/>
          <w:szCs w:val="21"/>
          <w:highlight w:val="none"/>
          <w:u w:val="single"/>
        </w:rPr>
        <w:t xml:space="preserve">          </w:t>
      </w:r>
      <w:r>
        <w:rPr>
          <w:rFonts w:ascii="宋体" w:hAnsi="宋体" w:hint="eastAsia"/>
          <w:szCs w:val="21"/>
          <w:highlight w:val="none"/>
        </w:rPr>
        <w:t>元（小写）。</w:t>
      </w:r>
    </w:p>
    <w:p>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2、合同生效后付款：双方签署合同后7个工作日内，甲方向乙方支付合同总金额的</w:t>
      </w:r>
      <w:r>
        <w:rPr>
          <w:rFonts w:ascii="宋体" w:hAnsi="宋体" w:cs="微软雅黑" w:hint="eastAsia"/>
          <w:b/>
          <w:color w:val="0000FF"/>
          <w:kern w:val="0"/>
          <w:szCs w:val="21"/>
          <w:highlight w:val="none"/>
        </w:rPr>
        <w:t>40%</w:t>
      </w:r>
      <w:r>
        <w:rPr>
          <w:rFonts w:ascii="宋体" w:hAnsi="宋体" w:hint="eastAsia"/>
          <w:szCs w:val="21"/>
          <w:highlight w:val="none"/>
        </w:rPr>
        <w:t>，即人民币</w:t>
      </w:r>
      <w:r>
        <w:rPr>
          <w:rFonts w:ascii="宋体" w:hAnsi="宋体" w:hint="eastAsia"/>
          <w:szCs w:val="21"/>
          <w:highlight w:val="none"/>
          <w:u w:val="single"/>
        </w:rPr>
        <w:t xml:space="preserve">                  </w:t>
      </w:r>
      <w:r>
        <w:rPr>
          <w:rFonts w:ascii="宋体" w:hAnsi="宋体" w:hint="eastAsia"/>
          <w:szCs w:val="21"/>
          <w:highlight w:val="none"/>
        </w:rPr>
        <w:t>元（大写）：</w:t>
      </w:r>
      <w:r>
        <w:rPr>
          <w:rFonts w:ascii="宋体" w:hAnsi="宋体" w:hint="eastAsia"/>
          <w:szCs w:val="21"/>
          <w:highlight w:val="none"/>
          <w:u w:val="single"/>
        </w:rPr>
        <w:t xml:space="preserve">          </w:t>
      </w:r>
      <w:r>
        <w:rPr>
          <w:rFonts w:ascii="宋体" w:hAnsi="宋体" w:hint="eastAsia"/>
          <w:szCs w:val="21"/>
          <w:highlight w:val="none"/>
        </w:rPr>
        <w:t>元（小写）；</w:t>
      </w:r>
    </w:p>
    <w:p>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3、双方签署合同后30个工作日内，乙方提供合同总金额</w:t>
      </w:r>
      <w:r>
        <w:rPr>
          <w:rFonts w:ascii="宋体" w:hAnsi="宋体" w:cs="微软雅黑" w:hint="eastAsia"/>
          <w:b/>
          <w:color w:val="0000FF"/>
          <w:kern w:val="0"/>
          <w:szCs w:val="21"/>
          <w:highlight w:val="none"/>
        </w:rPr>
        <w:t>60%</w:t>
      </w:r>
      <w:r>
        <w:rPr>
          <w:rFonts w:ascii="宋体" w:hAnsi="宋体" w:hint="eastAsia"/>
          <w:szCs w:val="21"/>
          <w:highlight w:val="none"/>
        </w:rPr>
        <w:t>的预付款保函，甲方向乙方支付合同总金额的</w:t>
      </w:r>
      <w:r>
        <w:rPr>
          <w:rFonts w:ascii="宋体" w:hAnsi="宋体" w:cs="微软雅黑" w:hint="eastAsia"/>
          <w:b/>
          <w:color w:val="0000FF"/>
          <w:kern w:val="0"/>
          <w:szCs w:val="21"/>
          <w:highlight w:val="none"/>
        </w:rPr>
        <w:t>60%</w:t>
      </w:r>
      <w:r>
        <w:rPr>
          <w:rFonts w:ascii="宋体" w:hAnsi="宋体" w:cs="微软雅黑" w:hint="eastAsia"/>
          <w:b/>
          <w:kern w:val="0"/>
          <w:szCs w:val="21"/>
          <w:highlight w:val="none"/>
        </w:rPr>
        <w:t>，</w:t>
      </w:r>
      <w:r>
        <w:rPr>
          <w:rFonts w:ascii="宋体" w:hAnsi="宋体" w:hint="eastAsia"/>
          <w:szCs w:val="21"/>
          <w:highlight w:val="none"/>
        </w:rPr>
        <w:t>即人民币</w:t>
      </w:r>
      <w:r>
        <w:rPr>
          <w:rFonts w:ascii="宋体" w:hAnsi="宋体" w:hint="eastAsia"/>
          <w:szCs w:val="21"/>
          <w:highlight w:val="none"/>
          <w:u w:val="single"/>
        </w:rPr>
        <w:t xml:space="preserve">                  </w:t>
      </w:r>
      <w:r>
        <w:rPr>
          <w:rFonts w:ascii="宋体" w:hAnsi="宋体" w:hint="eastAsia"/>
          <w:szCs w:val="21"/>
          <w:highlight w:val="none"/>
        </w:rPr>
        <w:t xml:space="preserve"> 元（大写）：</w:t>
      </w:r>
      <w:r>
        <w:rPr>
          <w:rFonts w:ascii="宋体" w:hAnsi="宋体" w:hint="eastAsia"/>
          <w:szCs w:val="21"/>
          <w:highlight w:val="none"/>
          <w:u w:val="single"/>
        </w:rPr>
        <w:t xml:space="preserve">                </w:t>
      </w:r>
      <w:r>
        <w:rPr>
          <w:rFonts w:ascii="宋体" w:hAnsi="宋体" w:hint="eastAsia"/>
          <w:szCs w:val="21"/>
          <w:highlight w:val="none"/>
        </w:rPr>
        <w:t xml:space="preserve"> 元（小写）。  </w:t>
      </w:r>
    </w:p>
    <w:p>
      <w:pPr>
        <w:pStyle w:val="NormalIndent"/>
        <w:rPr>
          <w:rFonts w:ascii="宋体" w:hAnsi="宋体"/>
          <w:szCs w:val="21"/>
          <w:highlight w:val="none"/>
        </w:rPr>
      </w:pPr>
      <w:r>
        <w:rPr>
          <w:rFonts w:ascii="宋体" w:hAnsi="宋体" w:hint="eastAsia"/>
          <w:szCs w:val="21"/>
          <w:highlight w:val="none"/>
        </w:rPr>
        <w:t>（二）预付款保函解付</w:t>
      </w:r>
    </w:p>
    <w:p>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1、完成三分之二的技术审查</w:t>
      </w:r>
      <w:r>
        <w:rPr>
          <w:rFonts w:ascii="宋体" w:hAnsi="宋体" w:hint="eastAsia"/>
          <w:szCs w:val="21"/>
          <w:highlight w:val="none"/>
        </w:rPr>
        <w:t>工作并提交合格报告后7个工作日内，预付款保函解付合同总金额</w:t>
      </w:r>
      <w:r>
        <w:rPr>
          <w:rFonts w:ascii="宋体" w:hAnsi="宋体" w:cs="微软雅黑" w:hint="eastAsia"/>
          <w:b/>
          <w:color w:val="0000FF"/>
          <w:kern w:val="0"/>
          <w:szCs w:val="21"/>
          <w:highlight w:val="none"/>
        </w:rPr>
        <w:t>30%</w:t>
      </w:r>
      <w:r>
        <w:rPr>
          <w:rFonts w:ascii="宋体" w:hAnsi="宋体" w:hint="eastAsia"/>
          <w:szCs w:val="21"/>
          <w:highlight w:val="none"/>
        </w:rPr>
        <w:t>；</w:t>
      </w:r>
    </w:p>
    <w:p>
      <w:pPr>
        <w:tabs>
          <w:tab w:val="left" w:pos="1573"/>
        </w:tabs>
        <w:adjustRightInd w:val="0"/>
        <w:snapToGrid w:val="0"/>
        <w:spacing w:line="360" w:lineRule="auto"/>
        <w:ind w:firstLine="420" w:firstLineChars="200"/>
        <w:jc w:val="left"/>
        <w:rPr>
          <w:rFonts w:ascii="宋体" w:hAnsi="宋体"/>
          <w:szCs w:val="21"/>
          <w:highlight w:val="none"/>
        </w:rPr>
      </w:pPr>
      <w:r>
        <w:rPr>
          <w:rFonts w:ascii="宋体" w:hAnsi="宋体" w:hint="eastAsia"/>
          <w:szCs w:val="21"/>
          <w:highlight w:val="none"/>
        </w:rPr>
        <w:t>2、全部完成技术审查工作并提交合格报告后7个工作日内，预付款保函解付合同总金额</w:t>
      </w:r>
      <w:r>
        <w:rPr>
          <w:rFonts w:ascii="宋体" w:hAnsi="宋体" w:cs="微软雅黑" w:hint="eastAsia"/>
          <w:b/>
          <w:color w:val="0000FF"/>
          <w:kern w:val="0"/>
          <w:szCs w:val="21"/>
          <w:highlight w:val="none"/>
        </w:rPr>
        <w:t>30%</w:t>
      </w:r>
      <w:r>
        <w:rPr>
          <w:rFonts w:ascii="宋体" w:hAnsi="宋体" w:hint="eastAsia"/>
          <w:szCs w:val="21"/>
          <w:highlight w:val="none"/>
        </w:rPr>
        <w:t>（全部解付）。</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8"/>
          <w:highlight w:val="none"/>
        </w:rPr>
        <w:t>1、</w:t>
      </w:r>
      <w:r>
        <w:rPr>
          <w:rFonts w:ascii="宋体" w:eastAsia="宋体" w:hAnsi="宋体" w:cs="Times New Roman" w:hint="eastAsia"/>
          <w:szCs w:val="21"/>
          <w:highlight w:val="none"/>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的比例向对方支付违约金，但该违约金累计不得超过合同总金额的</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%；上述逾期超过</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2、其它违约责任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违约方应就每一单项违约向对方支付合同总金额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%的违约金。</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9"/>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7"/>
        </w:numPr>
        <w:spacing w:line="360" w:lineRule="auto"/>
        <w:ind w:firstLine="3066" w:firstLineChars="1460"/>
        <w:jc w:val="left"/>
        <w:rPr>
          <w:rFonts w:ascii="Times New Roman" w:eastAsia="宋体" w:hAnsi="Times New Roman" w:cs="Times New Roman" w:hint="eastAsia"/>
          <w:b/>
          <w:bCs/>
          <w:szCs w:val="21"/>
          <w:highlight w:val="none"/>
        </w:rPr>
      </w:pPr>
      <w:bookmarkEnd w:id="61"/>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2000019F" w:csb1="00000000"/>
  </w:font>
  <w:font w:name="微软雅黑">
    <w:altName w:val="黑体"/>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DejaVu Sans"/>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DejaVu Sans">
    <w:panose1 w:val="020B0603030804020204"/>
    <w:charset w:val="00"/>
    <w:family w:val="auto"/>
    <w:pitch w:val="default"/>
    <w:sig w:usb0="E7006EFF" w:usb1="D200FDFF" w:usb2="0A246029" w:usb3="0400200C" w:csb0="600001FF" w:csb1="DFFF0000"/>
  </w:font>
  <w:font w:name="Noto Sans Syriac Eastern">
    <w:panose1 w:val="02040503050306020203"/>
    <w:charset w:val="86"/>
    <w:family w:val="auto"/>
    <w:pitch w:val="default"/>
    <w:sig w:usb0="00000000" w:usb1="00000000" w:usb2="00000080" w:usb3="00000000" w:csb0="203E0161" w:csb1="D7FF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BEE43162"/>
    <w:multiLevelType w:val="singleLevel"/>
    <w:tmpl w:val="BEE43162"/>
    <w:lvl w:ilvl="0">
      <w:start w:val="1"/>
      <w:numFmt w:val="chineseCounting"/>
      <w:suff w:val="nothing"/>
      <w:lvlText w:val="%1、"/>
      <w:lvlJc w:val="left"/>
      <w:rPr>
        <w:rFonts w:hint="eastAsia"/>
      </w:rPr>
    </w:lvl>
  </w:abstractNum>
  <w:abstractNum w:abstractNumId="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F7F6358"/>
    <w:multiLevelType w:val="multilevel"/>
    <w:tmpl w:val="2F7F6358"/>
    <w:lvl w:ilvl="0">
      <w:start w:val="3"/>
      <w:numFmt w:val="decimal"/>
      <w:lvlText w:val="%1"/>
      <w:lvlJc w:val="left"/>
      <w:pPr>
        <w:ind w:left="221" w:hanging="423"/>
      </w:pPr>
      <w:rPr>
        <w:rFonts w:hint="default"/>
      </w:rPr>
    </w:lvl>
    <w:lvl w:ilvl="1">
      <w:start w:val="1"/>
      <w:numFmt w:val="decimal"/>
      <w:lvlText w:val="%1.%2"/>
      <w:lvlJc w:val="left"/>
      <w:pPr>
        <w:ind w:left="221" w:hanging="423"/>
      </w:pPr>
      <w:rPr>
        <w:rFonts w:ascii="宋体" w:eastAsia="宋体" w:hAnsi="宋体" w:cs="宋体" w:hint="default"/>
        <w:w w:val="100"/>
        <w:sz w:val="21"/>
        <w:szCs w:val="21"/>
      </w:rPr>
    </w:lvl>
    <w:lvl w:ilvl="2">
      <w:start w:val="0"/>
      <w:numFmt w:val="bullet"/>
      <w:lvlText w:val="•"/>
      <w:lvlJc w:val="left"/>
      <w:pPr>
        <w:ind w:left="2057" w:hanging="423"/>
      </w:pPr>
      <w:rPr>
        <w:rFonts w:hint="default"/>
      </w:rPr>
    </w:lvl>
    <w:lvl w:ilvl="3">
      <w:start w:val="0"/>
      <w:numFmt w:val="bullet"/>
      <w:lvlText w:val="•"/>
      <w:lvlJc w:val="left"/>
      <w:pPr>
        <w:ind w:left="2975" w:hanging="423"/>
      </w:pPr>
      <w:rPr>
        <w:rFonts w:hint="default"/>
      </w:rPr>
    </w:lvl>
    <w:lvl w:ilvl="4">
      <w:start w:val="0"/>
      <w:numFmt w:val="bullet"/>
      <w:lvlText w:val="•"/>
      <w:lvlJc w:val="left"/>
      <w:pPr>
        <w:ind w:left="3894" w:hanging="423"/>
      </w:pPr>
      <w:rPr>
        <w:rFonts w:hint="default"/>
      </w:rPr>
    </w:lvl>
    <w:lvl w:ilvl="5">
      <w:start w:val="0"/>
      <w:numFmt w:val="bullet"/>
      <w:lvlText w:val="•"/>
      <w:lvlJc w:val="left"/>
      <w:pPr>
        <w:ind w:left="4813" w:hanging="423"/>
      </w:pPr>
      <w:rPr>
        <w:rFonts w:hint="default"/>
      </w:rPr>
    </w:lvl>
    <w:lvl w:ilvl="6">
      <w:start w:val="0"/>
      <w:numFmt w:val="bullet"/>
      <w:lvlText w:val="•"/>
      <w:lvlJc w:val="left"/>
      <w:pPr>
        <w:ind w:left="5731" w:hanging="423"/>
      </w:pPr>
      <w:rPr>
        <w:rFonts w:hint="default"/>
      </w:rPr>
    </w:lvl>
    <w:lvl w:ilvl="7">
      <w:start w:val="0"/>
      <w:numFmt w:val="bullet"/>
      <w:lvlText w:val="•"/>
      <w:lvlJc w:val="left"/>
      <w:pPr>
        <w:ind w:left="6650" w:hanging="423"/>
      </w:pPr>
      <w:rPr>
        <w:rFonts w:hint="default"/>
      </w:rPr>
    </w:lvl>
    <w:lvl w:ilvl="8">
      <w:start w:val="0"/>
      <w:numFmt w:val="bullet"/>
      <w:lvlText w:val="•"/>
      <w:lvlJc w:val="left"/>
      <w:pPr>
        <w:ind w:left="7569" w:hanging="423"/>
      </w:pPr>
      <w:rPr>
        <w:rFonts w:hint="default"/>
      </w:rPr>
    </w:lvl>
  </w:abstractNum>
  <w:abstractNum w:abstractNumId="9">
    <w:nsid w:val="7CB6129D"/>
    <w:multiLevelType w:val="multilevel"/>
    <w:tmpl w:val="7CB6129D"/>
    <w:lvl w:ilvl="0">
      <w:start w:val="2"/>
      <w:numFmt w:val="decimal"/>
      <w:lvlText w:val="%1"/>
      <w:lvlJc w:val="left"/>
      <w:pPr>
        <w:ind w:left="221" w:hanging="423"/>
      </w:pPr>
      <w:rPr>
        <w:rFonts w:hint="default"/>
      </w:rPr>
    </w:lvl>
    <w:lvl w:ilvl="1">
      <w:start w:val="1"/>
      <w:numFmt w:val="decimal"/>
      <w:lvlText w:val="%1.%2"/>
      <w:lvlJc w:val="left"/>
      <w:pPr>
        <w:ind w:left="221" w:hanging="423"/>
      </w:pPr>
      <w:rPr>
        <w:rFonts w:ascii="宋体" w:eastAsia="宋体" w:hAnsi="宋体" w:cs="宋体" w:hint="default"/>
        <w:w w:val="100"/>
        <w:sz w:val="21"/>
        <w:szCs w:val="21"/>
      </w:rPr>
    </w:lvl>
    <w:lvl w:ilvl="2">
      <w:start w:val="0"/>
      <w:numFmt w:val="bullet"/>
      <w:lvlText w:val="•"/>
      <w:lvlJc w:val="left"/>
      <w:pPr>
        <w:ind w:left="2057" w:hanging="423"/>
      </w:pPr>
      <w:rPr>
        <w:rFonts w:hint="default"/>
      </w:rPr>
    </w:lvl>
    <w:lvl w:ilvl="3">
      <w:start w:val="0"/>
      <w:numFmt w:val="bullet"/>
      <w:lvlText w:val="•"/>
      <w:lvlJc w:val="left"/>
      <w:pPr>
        <w:ind w:left="2975" w:hanging="423"/>
      </w:pPr>
      <w:rPr>
        <w:rFonts w:hint="default"/>
      </w:rPr>
    </w:lvl>
    <w:lvl w:ilvl="4">
      <w:start w:val="0"/>
      <w:numFmt w:val="bullet"/>
      <w:lvlText w:val="•"/>
      <w:lvlJc w:val="left"/>
      <w:pPr>
        <w:ind w:left="3894" w:hanging="423"/>
      </w:pPr>
      <w:rPr>
        <w:rFonts w:hint="default"/>
      </w:rPr>
    </w:lvl>
    <w:lvl w:ilvl="5">
      <w:start w:val="0"/>
      <w:numFmt w:val="bullet"/>
      <w:lvlText w:val="•"/>
      <w:lvlJc w:val="left"/>
      <w:pPr>
        <w:ind w:left="4813" w:hanging="423"/>
      </w:pPr>
      <w:rPr>
        <w:rFonts w:hint="default"/>
      </w:rPr>
    </w:lvl>
    <w:lvl w:ilvl="6">
      <w:start w:val="0"/>
      <w:numFmt w:val="bullet"/>
      <w:lvlText w:val="•"/>
      <w:lvlJc w:val="left"/>
      <w:pPr>
        <w:ind w:left="5731" w:hanging="423"/>
      </w:pPr>
      <w:rPr>
        <w:rFonts w:hint="default"/>
      </w:rPr>
    </w:lvl>
    <w:lvl w:ilvl="7">
      <w:start w:val="0"/>
      <w:numFmt w:val="bullet"/>
      <w:lvlText w:val="•"/>
      <w:lvlJc w:val="left"/>
      <w:pPr>
        <w:ind w:left="6650" w:hanging="423"/>
      </w:pPr>
      <w:rPr>
        <w:rFonts w:hint="default"/>
      </w:rPr>
    </w:lvl>
    <w:lvl w:ilvl="8">
      <w:start w:val="0"/>
      <w:numFmt w:val="bullet"/>
      <w:lvlText w:val="•"/>
      <w:lvlJc w:val="left"/>
      <w:pPr>
        <w:ind w:left="7569" w:hanging="423"/>
      </w:pPr>
      <w:rPr>
        <w:rFonts w:hint="default"/>
      </w:rPr>
    </w:lvl>
  </w:abstractNum>
  <w:num w:numId="1">
    <w:abstractNumId w:val="4"/>
  </w:num>
  <w:num w:numId="2">
    <w:abstractNumId w:val="3"/>
  </w:num>
  <w:num w:numId="3">
    <w:abstractNumId w:val="5"/>
  </w:num>
  <w:num w:numId="4">
    <w:abstractNumId w:val="2"/>
  </w:num>
  <w:num w:numId="5">
    <w:abstractNumId w:val="9"/>
  </w:num>
  <w:num w:numId="6">
    <w:abstractNumId w:val="8"/>
  </w:num>
  <w:num w:numId="7">
    <w:abstractNumId w:val="1"/>
  </w:num>
  <w:num w:numId="8">
    <w:abstractNumId w:val="0"/>
  </w:num>
  <w:num w:numId="9">
    <w:abstractNumId w:val="6"/>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671F"/>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14DD"/>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D6"/>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553"/>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D9"/>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next w:val="Normal"/>
    <w:uiPriority w:val="99"/>
    <w:unhideWhenUsed/>
    <w:qFormat/>
    <w:pPr>
      <w:ind w:firstLine="420"/>
    </w:pPr>
    <w:rPr>
      <w:rFonts w:ascii="Calibri" w:hAnsi="Calibri" w:eastAsiaTheme="minorEastAsia" w:cstheme="minorBidi"/>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