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福建省南平市人工影响天气业务增雨防雹火箭弹采购项目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ZQCD-25239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福建省南平市气象局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福建省南平市人工影响天气业务增雨防雹火箭弹采购项目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ZQCD-25239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福建省南平市 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2025年08月15日 10:00:00</w:t>
      </w:r>
      <w:bookmarkEnd w:id="26"/>
      <w:r>
        <w:rPr>
          <w:rFonts w:ascii="宋体" w:hint="eastAsia"/>
          <w:szCs w:val="21"/>
          <w:highlight w:val="none"/>
        </w:rPr>
        <w:t>至</w:t>
      </w:r>
      <w:bookmarkStart w:id="27" w:name="项目公告_signUpLastTime"/>
      <w:r>
        <w:rPr>
          <w:rFonts w:ascii="宋体" w:hint="eastAsia"/>
          <w:szCs w:val="21"/>
          <w:highlight w:val="none"/>
        </w:rPr>
        <w:t>2025年08月22日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2025年09月10日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福建省南平市气象局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唐刚</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0599-8822121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福建省南平市建阳区建平大道899号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福建省南平市气象局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允许（仅针对以下产品：增雨防雹火箭弹允许代理商投标）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增雨防雹火箭弹，属于工业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392.000000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392.000000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78"/>
        <w:gridCol w:w="292"/>
        <w:gridCol w:w="1203"/>
        <w:gridCol w:w="292"/>
        <w:gridCol w:w="703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(2)</w:t>
            </w:r>
          </w:p>
        </w:tc>
        <w:tc>
          <w:tcPr/>
          <w:p>
            <w:r>
              <w:t>评审标准：</w:t>
            </w:r>
          </w:p>
          <w:p>
            <w:r>
              <w:t>投标人具有 ISO9000系列或GJB9001B质量管理体系认证，得2分。否则不得分。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(8)</w:t>
            </w:r>
          </w:p>
        </w:tc>
        <w:tc>
          <w:tcPr/>
          <w:p>
            <w:r>
              <w:t>评审标准：</w:t>
            </w:r>
          </w:p>
          <w:p>
            <w:r>
              <w:t>销售合同必须包括增雨防雹火箭弹，每提供1份合同得2分，最多得8分。否则不得分。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w:t>
            </w:r>
          </w:p>
        </w:tc>
        <w:tc>
          <w:tcPr/>
          <w:p>
            <w:r>
              <w:t>勾选打分</w:t>
            </w:r>
            <w:r>
              <w:t>(3)</w:t>
            </w:r>
          </w:p>
        </w:tc>
        <w:tc>
          <w:tcPr/>
          <w:p>
            <w:r>
              <w:t>评审标准：</w:t>
            </w:r>
          </w:p>
          <w:p>
            <w:r>
              <w:t>一档0分</w:t>
              <w:cr/>
              <w:t>二档1分</w:t>
              <w:cr/>
              <w:t>三档2分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w:t>
            </w:r>
          </w:p>
        </w:tc>
        <w:tc>
          <w:tcPr/>
          <w:p>
            <w:r>
              <w:t>勾选打分</w:t>
            </w:r>
            <w:r>
              <w:t>(3)</w:t>
            </w:r>
          </w:p>
        </w:tc>
        <w:tc>
          <w:tcPr/>
          <w:p>
            <w:r>
              <w:t>评审标准：</w:t>
            </w:r>
          </w:p>
          <w:p>
            <w:r>
              <w:t>一档0分</w:t>
              <w:cr/>
              <w:t>二档1分</w:t>
              <w:cr/>
              <w:t>三档2分</w:t>
              <w:cr/>
              <w:t>四档3分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w:t>
            </w:r>
          </w:p>
        </w:tc>
        <w:tc>
          <w:tcPr/>
          <w:p>
            <w:r>
              <w:t>勾选打分</w:t>
            </w:r>
            <w:r>
              <w:t>(2)</w:t>
            </w:r>
          </w:p>
        </w:tc>
        <w:tc>
          <w:tcPr/>
          <w:p>
            <w:r>
              <w:t>评审标准：</w:t>
            </w:r>
          </w:p>
          <w:p>
            <w:r>
              <w:t>一档0分</w:t>
              <w:cr/>
              <w:t>二档1分</w:t>
              <w:cr/>
              <w:t>三档2分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二档：同时提供承诺和培训方案，培训方案完整，但课程设计重点不突出或针对性不强，基本满足采购文件需求；</w:t>
              <w:cr/>
              <w:t>三档：同时提供承诺和培训方案，培训方案完整，课程设计重点突出、针对性强，完全满足采购文件需求。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w:t>
            </w:r>
          </w:p>
        </w:tc>
        <w:tc>
          <w:tcPr/>
          <w:p>
            <w:r>
              <w:t>勾选打分</w:t>
            </w:r>
            <w:r>
              <w:t>(6)</w:t>
            </w:r>
          </w:p>
        </w:tc>
        <w:tc>
          <w:tcPr/>
          <w:p>
            <w:r>
              <w:t>评审标准：</w:t>
            </w:r>
          </w:p>
          <w:p>
            <w:r>
              <w:t>针对本项目采购的增雨防雹火箭弹，承诺每提前10天交货的得2分，最多得6分。否则不得分。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w:t>
            </w:r>
          </w:p>
        </w:tc>
        <w:tc>
          <w:tcPr/>
          <w:p>
            <w:r>
              <w:t>勾选打分</w:t>
            </w:r>
            <w:r>
              <w:t>(6)</w:t>
            </w:r>
          </w:p>
        </w:tc>
        <w:tc>
          <w:tcPr/>
          <w:p>
            <w:r>
              <w:t>评审标准：</w:t>
            </w:r>
          </w:p>
          <w:p>
            <w:r>
              <w:t>针对增雨防雹火箭弹，每提供 1份用户证明材料得2 分，最多得6分。否则不得分。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w:t>
            </w:r>
          </w:p>
        </w:tc>
        <w:tc>
          <w:tcPr/>
          <w:p>
            <w:r>
              <w:t>区间打分</w:t>
            </w:r>
            <w:r>
              <w:t>(6)</w:t>
            </w:r>
          </w:p>
        </w:tc>
        <w:tc>
          <w:tcPr/>
          <w:p>
            <w:r>
              <w:t>评审标准：</w:t>
            </w:r>
          </w:p>
          <w:p>
            <w:r>
              <w:t xml:space="preserve">1、投标人为本项目拟派的服务团队中项目经理应具有3年以上相关工作经验的得3分； </w:t>
              <w:cr/>
              <w:t>2、除项目经理外至少5人具有2年及以上相关工作经验的，得3分；为本项目派出的技术人员至少4人具有1年及以上相关工作经验的，得2分；其他不得分。</w:t>
            </w:r>
          </w:p>
          <w:p>
            <w:r>
              <w:t>评审标准说明：</w:t>
            </w:r>
          </w:p>
          <w:p>
            <w:r>
              <w:t xml:space="preserve"> 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投标产品技术性能</w:t>
            </w:r>
          </w:p>
        </w:tc>
        <w:tc>
          <w:tcPr/>
          <w:p>
            <w:r>
              <w:t>区间打分</w:t>
            </w:r>
            <w:r>
              <w:t>(32)</w:t>
            </w:r>
          </w:p>
        </w:tc>
        <w:tc>
          <w:tcPr/>
          <w:p>
            <w:r>
              <w:t>评审标准：</w:t>
            </w:r>
          </w:p>
          <w:p>
            <w:r>
              <w:t>标注#的重要指标共5项，每满足1项（如有多个下级指标，则每个下级指标均应满足）得4分，最多得20分。无标识的4项一般性技术参数，每满足1项（如有多个下级指标，则每个下级指标均应满足）得3分，最多得12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实施方案</w:t>
            </w:r>
          </w:p>
        </w:tc>
        <w:tc>
          <w:tcPr/>
          <w:p>
            <w:r>
              <w:t>勾选打分</w:t>
            </w:r>
            <w:r>
              <w:t>(2)</w:t>
            </w:r>
          </w:p>
        </w:tc>
        <w:tc>
          <w:tcPr/>
          <w:p>
            <w:r>
              <w:t>评审标准：</w:t>
            </w:r>
          </w:p>
          <w:p>
            <w:r>
              <w:t>一档0分</w:t>
              <w:cr/>
              <w:t>二档0.5分</w:t>
              <w:cr/>
              <w:t>三档1分</w:t>
              <w:cr/>
              <w:t>四档2分</w:t>
            </w:r>
          </w:p>
          <w:p>
            <w:r>
              <w:t>评审标准说明：</w:t>
            </w:r>
          </w:p>
          <w:p>
            <w:r>
              <w:t xml:space="preserve"> 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D069B6" w:rsidP="004251D2">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D069B6">
      <w:pPr>
        <w:spacing w:line="360" w:lineRule="auto"/>
        <w:ind w:firstLine="420" w:firstLineChars="200"/>
        <w:rPr>
          <w:rFonts w:ascii="宋体" w:hAnsi="宋体"/>
          <w:szCs w:val="21"/>
        </w:rPr>
      </w:pPr>
      <w:r>
        <w:rPr>
          <w:rFonts w:ascii="宋体" w:hAnsi="宋体" w:hint="eastAsia"/>
          <w:szCs w:val="21"/>
        </w:rPr>
        <w:t>一、项目概况及总体要求</w:t>
      </w:r>
    </w:p>
    <w:p w:rsidR="00D069B6">
      <w:pPr>
        <w:spacing w:line="360" w:lineRule="auto"/>
        <w:ind w:firstLine="420" w:firstLineChars="200"/>
        <w:rPr>
          <w:rFonts w:ascii="宋体" w:hAnsi="宋体"/>
          <w:szCs w:val="21"/>
        </w:rPr>
      </w:pPr>
      <w:r>
        <w:rPr>
          <w:rFonts w:ascii="宋体" w:hAnsi="宋体" w:cs="宋体" w:hint="eastAsia"/>
          <w:color w:val="000000"/>
          <w:szCs w:val="21"/>
        </w:rPr>
        <w:t>本项目所招产品为我市人工增雨防雹用火箭，根据中国气象局关于人工影响天气作业的安全管理要求，结合近年来各地出现的相关人影作业事故案例，本项目所招产品必须完全满足配套我市现有火箭发射系统使用条件，以保证火箭作业的稳定性、安全性，出现事故后能够及时解决。</w:t>
      </w:r>
    </w:p>
    <w:p w:rsidR="00D069B6">
      <w:pPr>
        <w:spacing w:line="360" w:lineRule="auto"/>
        <w:ind w:firstLine="420" w:firstLineChars="200"/>
        <w:rPr>
          <w:rFonts w:ascii="宋体" w:hAnsi="宋体"/>
          <w:szCs w:val="21"/>
        </w:rPr>
      </w:pPr>
      <w:r>
        <w:rPr>
          <w:rFonts w:ascii="宋体" w:hAnsi="宋体" w:hint="eastAsia"/>
          <w:szCs w:val="21"/>
        </w:rPr>
        <w:t>二、设备需求一览表</w:t>
      </w:r>
      <w:r w:rsidR="00FE21EA">
        <w:rPr>
          <w:rFonts w:ascii="宋体" w:hAnsi="宋体" w:hint="eastAsia"/>
          <w:szCs w:val="21"/>
        </w:rPr>
        <w:t>（详见</w:t>
      </w:r>
      <w:r w:rsidRPr="00E449A6" w:rsidR="00E449A6">
        <w:rPr>
          <w:rFonts w:ascii="宋体" w:hAnsi="宋体" w:hint="eastAsia"/>
          <w:szCs w:val="21"/>
        </w:rPr>
        <w:t>设备需求明细表</w:t>
      </w:r>
      <w:r w:rsidR="00FE21EA">
        <w:rPr>
          <w:rFonts w:ascii="宋体" w:hAnsi="宋体" w:hint="eastAsia"/>
          <w:szCs w:val="21"/>
        </w:rPr>
        <w:t>）</w:t>
      </w:r>
    </w:p>
    <w:p w:rsidR="00D069B6">
      <w:pPr>
        <w:spacing w:line="360" w:lineRule="auto"/>
        <w:ind w:firstLine="420" w:firstLineChars="200"/>
        <w:rPr>
          <w:rFonts w:ascii="宋体" w:hAnsi="宋体"/>
          <w:szCs w:val="21"/>
        </w:rPr>
      </w:pPr>
      <w:r>
        <w:rPr>
          <w:rFonts w:ascii="宋体" w:hAnsi="宋体" w:hint="eastAsia"/>
          <w:szCs w:val="21"/>
        </w:rPr>
        <w:t>三、技术性能指标</w:t>
      </w:r>
    </w:p>
    <w:tbl>
      <w:tblPr>
        <w:tblStyle w:val="TableNormal"/>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838"/>
        <w:gridCol w:w="3259"/>
      </w:tblGrid>
      <w:tr>
        <w:tblPrEx>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ind w:right="903"/>
              <w:jc w:val="center"/>
              <w:rPr>
                <w:color w:val="000000"/>
                <w:szCs w:val="21"/>
              </w:rPr>
            </w:pPr>
            <w:r>
              <w:rPr>
                <w:rFonts w:hint="eastAsia"/>
                <w:color w:val="000000"/>
                <w:szCs w:val="21"/>
              </w:rPr>
              <w:t xml:space="preserve">          项目</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jc w:val="center"/>
              <w:rPr>
                <w:color w:val="000000"/>
                <w:szCs w:val="21"/>
              </w:rPr>
            </w:pPr>
            <w:r>
              <w:rPr>
                <w:rFonts w:hint="eastAsia"/>
                <w:color w:val="000000"/>
                <w:szCs w:val="21"/>
              </w:rPr>
              <w:t>性能参数描述</w:t>
            </w:r>
          </w:p>
        </w:tc>
      </w:tr>
      <w:tr>
        <w:tblPrEx>
          <w:tblW w:w="6097" w:type="dxa"/>
          <w:jc w:val="center"/>
          <w:tblLayout w:type="fixed"/>
          <w:tblCellMar>
            <w:left w:w="0" w:type="dxa"/>
            <w:right w:w="0" w:type="dxa"/>
          </w:tblCellMar>
          <w:tblLook w:val="04A0"/>
        </w:tblPrEx>
        <w:trPr>
          <w:trHeight w:hRule="exact" w:val="1653"/>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5"/>
              <w:jc w:val="center"/>
              <w:rPr>
                <w:color w:val="000000"/>
                <w:szCs w:val="21"/>
              </w:rPr>
            </w:pPr>
          </w:p>
          <w:p w:rsidR="00D069B6">
            <w:pPr>
              <w:pStyle w:val="TableParagraph"/>
              <w:jc w:val="center"/>
              <w:rPr>
                <w:color w:val="000000"/>
                <w:szCs w:val="21"/>
              </w:rPr>
            </w:pPr>
            <w:r>
              <w:rPr>
                <w:rFonts w:hint="eastAsia"/>
                <w:color w:val="000000"/>
                <w:szCs w:val="21"/>
              </w:rPr>
              <w:t>配套类型</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6"/>
              <w:ind w:right="136"/>
              <w:jc w:val="center"/>
              <w:rPr>
                <w:color w:val="000000"/>
                <w:szCs w:val="21"/>
              </w:rPr>
            </w:pPr>
            <w:r>
              <w:rPr>
                <w:rFonts w:hint="eastAsia"/>
                <w:color w:val="000000"/>
                <w:szCs w:val="21"/>
              </w:rPr>
              <w:t>适用于火箭发射架</w:t>
            </w:r>
            <w:r w:rsidR="004251D2">
              <w:rPr>
                <w:rFonts w:hint="eastAsia"/>
                <w:color w:val="000000"/>
                <w:szCs w:val="21"/>
              </w:rPr>
              <w:t>（</w:t>
            </w:r>
            <w:r w:rsidRPr="004251D2" w:rsidR="004251D2">
              <w:rPr>
                <w:rFonts w:hint="eastAsia"/>
                <w:color w:val="000000"/>
                <w:szCs w:val="21"/>
              </w:rPr>
              <w:t>BFJCS8-1和BFJCT8-1两种类型</w:t>
            </w:r>
            <w:r w:rsidR="004251D2">
              <w:rPr>
                <w:rFonts w:hint="eastAsia"/>
                <w:color w:val="000000"/>
                <w:szCs w:val="21"/>
              </w:rPr>
              <w:t>）</w:t>
            </w:r>
            <w:r>
              <w:rPr>
                <w:rFonts w:hint="eastAsia"/>
                <w:color w:val="000000"/>
                <w:szCs w:val="21"/>
              </w:rPr>
              <w:t>，</w:t>
            </w:r>
          </w:p>
          <w:p w:rsidR="00D069B6">
            <w:pPr>
              <w:pStyle w:val="TableParagraph"/>
              <w:spacing w:before="86"/>
              <w:ind w:right="136"/>
              <w:jc w:val="center"/>
              <w:rPr>
                <w:color w:val="000000"/>
                <w:szCs w:val="21"/>
              </w:rPr>
            </w:pPr>
            <w:r>
              <w:rPr>
                <w:rFonts w:hint="eastAsia"/>
                <w:color w:val="000000"/>
                <w:szCs w:val="21"/>
              </w:rPr>
              <w:t>安全有保障</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jc w:val="center"/>
              <w:rPr>
                <w:color w:val="000000"/>
                <w:szCs w:val="21"/>
              </w:rPr>
            </w:pPr>
            <w:r>
              <w:rPr>
                <w:rFonts w:hint="eastAsia"/>
                <w:color w:val="FF0000"/>
                <w:spacing w:val="-5"/>
                <w:w w:val="101"/>
                <w:sz w:val="18"/>
                <w:szCs w:val="22"/>
              </w:rPr>
              <w:t>#</w:t>
            </w:r>
            <w:r w:rsidRPr="004251D2" w:rsidR="004251D2">
              <w:rPr>
                <w:rFonts w:hint="eastAsia"/>
                <w:color w:val="000000"/>
                <w:szCs w:val="21"/>
              </w:rPr>
              <w:t>点火系统阻值</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jc w:val="center"/>
              <w:rPr>
                <w:color w:val="000000"/>
                <w:szCs w:val="21"/>
              </w:rPr>
            </w:pPr>
            <w:r>
              <w:rPr>
                <w:color w:val="000000"/>
                <w:szCs w:val="21"/>
              </w:rPr>
              <w:t>0.55</w:t>
            </w:r>
            <w:r>
              <w:rPr>
                <w:rFonts w:hint="eastAsia"/>
                <w:color w:val="000000"/>
                <w:szCs w:val="21"/>
              </w:rPr>
              <w:t>~</w:t>
            </w:r>
            <w:r w:rsidRPr="004251D2">
              <w:rPr>
                <w:color w:val="000000"/>
                <w:szCs w:val="21"/>
              </w:rPr>
              <w:t>1Ω</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6"/>
              <w:jc w:val="center"/>
              <w:rPr>
                <w:color w:val="000000"/>
                <w:szCs w:val="21"/>
              </w:rPr>
            </w:pPr>
            <w:r>
              <w:rPr>
                <w:rFonts w:hint="eastAsia"/>
                <w:color w:val="FF0000"/>
                <w:spacing w:val="-5"/>
                <w:w w:val="101"/>
                <w:sz w:val="18"/>
                <w:szCs w:val="22"/>
              </w:rPr>
              <w:t>#</w:t>
            </w:r>
            <w:r>
              <w:rPr>
                <w:rFonts w:hint="eastAsia"/>
                <w:color w:val="000000"/>
                <w:szCs w:val="21"/>
              </w:rPr>
              <w:t>弹径</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6"/>
              <w:ind w:right="136"/>
              <w:jc w:val="center"/>
              <w:rPr>
                <w:color w:val="000000"/>
                <w:szCs w:val="21"/>
              </w:rPr>
            </w:pPr>
            <w:r>
              <w:rPr>
                <w:rFonts w:hint="eastAsia"/>
                <w:color w:val="000000"/>
                <w:szCs w:val="21"/>
              </w:rPr>
              <w:t>56mm</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ind w:right="1044"/>
              <w:jc w:val="center"/>
              <w:rPr>
                <w:color w:val="000000"/>
                <w:szCs w:val="21"/>
              </w:rPr>
            </w:pPr>
            <w:r>
              <w:rPr>
                <w:rFonts w:hint="eastAsia"/>
                <w:color w:val="FF0000"/>
                <w:spacing w:val="-5"/>
                <w:w w:val="101"/>
                <w:sz w:val="18"/>
                <w:szCs w:val="22"/>
              </w:rPr>
              <w:t>#</w:t>
            </w:r>
            <w:r>
              <w:rPr>
                <w:rFonts w:hint="eastAsia"/>
                <w:color w:val="000000"/>
                <w:szCs w:val="21"/>
              </w:rPr>
              <w:t>箭长</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jc w:val="center"/>
              <w:rPr>
                <w:color w:val="000000"/>
                <w:szCs w:val="21"/>
              </w:rPr>
            </w:pPr>
            <w:r>
              <w:rPr>
                <w:rFonts w:hint="eastAsia"/>
                <w:color w:val="000000"/>
                <w:szCs w:val="21"/>
              </w:rPr>
              <w:t>789±3mm</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jc w:val="center"/>
              <w:rPr>
                <w:color w:val="000000"/>
                <w:szCs w:val="21"/>
              </w:rPr>
            </w:pPr>
            <w:r>
              <w:rPr>
                <w:rFonts w:hint="eastAsia"/>
                <w:color w:val="000000"/>
                <w:szCs w:val="21"/>
              </w:rPr>
              <w:t>最大射高（85°）</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jc w:val="center"/>
              <w:rPr>
                <w:color w:val="000000"/>
                <w:szCs w:val="21"/>
              </w:rPr>
            </w:pPr>
            <w:r>
              <w:rPr>
                <w:rFonts w:hint="eastAsia"/>
                <w:color w:val="000000"/>
                <w:szCs w:val="21"/>
              </w:rPr>
              <w:t>7.0±0.35km</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6"/>
              <w:jc w:val="center"/>
              <w:rPr>
                <w:color w:val="000000"/>
                <w:szCs w:val="21"/>
              </w:rPr>
            </w:pPr>
            <w:r>
              <w:rPr>
                <w:rFonts w:hint="eastAsia"/>
                <w:color w:val="000000"/>
                <w:szCs w:val="21"/>
              </w:rPr>
              <w:t>火箭催化剂质量</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6"/>
              <w:jc w:val="center"/>
              <w:rPr>
                <w:color w:val="000000"/>
                <w:szCs w:val="21"/>
              </w:rPr>
            </w:pPr>
            <w:r>
              <w:rPr>
                <w:rFonts w:ascii="Times New Roman" w:hAnsi="Times New Roman"/>
                <w:color w:val="000000"/>
                <w:szCs w:val="21"/>
              </w:rPr>
              <w:t>180</w:t>
            </w:r>
            <w:r>
              <w:rPr>
                <w:rFonts w:ascii="Times New Roman" w:eastAsia="Times New Roman" w:hAnsi="Times New Roman"/>
                <w:color w:val="000000"/>
                <w:szCs w:val="21"/>
              </w:rPr>
              <w:t>g/</w:t>
            </w:r>
            <w:r>
              <w:rPr>
                <w:rFonts w:hint="eastAsia"/>
                <w:color w:val="000000"/>
                <w:szCs w:val="21"/>
              </w:rPr>
              <w:t>枚</w:t>
            </w:r>
          </w:p>
        </w:tc>
      </w:tr>
      <w:tr>
        <w:tblPrEx>
          <w:tblW w:w="6097" w:type="dxa"/>
          <w:jc w:val="center"/>
          <w:tblLayout w:type="fixed"/>
          <w:tblCellMar>
            <w:left w:w="0" w:type="dxa"/>
            <w:right w:w="0" w:type="dxa"/>
          </w:tblCellMar>
          <w:tblLook w:val="04A0"/>
        </w:tblPrEx>
        <w:trPr>
          <w:trHeight w:hRule="exact" w:val="998"/>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jc w:val="center"/>
              <w:rPr>
                <w:color w:val="000000"/>
                <w:szCs w:val="21"/>
              </w:rPr>
            </w:pPr>
            <w:r>
              <w:rPr>
                <w:rFonts w:hint="eastAsia"/>
                <w:color w:val="000000"/>
                <w:szCs w:val="21"/>
              </w:rPr>
              <w:t>碘化银含量：</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line="282" w:lineRule="exact"/>
              <w:jc w:val="center"/>
              <w:rPr>
                <w:color w:val="000000"/>
                <w:szCs w:val="21"/>
              </w:rPr>
            </w:pPr>
            <w:r>
              <w:rPr>
                <w:rFonts w:ascii="Times New Roman" w:hAnsi="Times New Roman"/>
                <w:color w:val="000000"/>
                <w:szCs w:val="21"/>
              </w:rPr>
              <w:t>10.8g</w:t>
            </w:r>
            <w:r>
              <w:rPr>
                <w:rFonts w:ascii="Times New Roman" w:eastAsia="Times New Roman" w:hAnsi="Times New Roman"/>
                <w:color w:val="000000"/>
                <w:szCs w:val="21"/>
              </w:rPr>
              <w:t>/</w:t>
            </w:r>
            <w:r>
              <w:rPr>
                <w:rFonts w:hint="eastAsia"/>
                <w:color w:val="000000"/>
                <w:szCs w:val="21"/>
              </w:rPr>
              <w:t>枚</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jc w:val="center"/>
              <w:rPr>
                <w:color w:val="000000"/>
                <w:szCs w:val="21"/>
              </w:rPr>
            </w:pPr>
            <w:r>
              <w:rPr>
                <w:rFonts w:hint="eastAsia"/>
                <w:color w:val="FF0000"/>
                <w:spacing w:val="-5"/>
                <w:w w:val="101"/>
                <w:sz w:val="18"/>
                <w:szCs w:val="22"/>
              </w:rPr>
              <w:t>#</w:t>
            </w:r>
            <w:r>
              <w:rPr>
                <w:rFonts w:hint="eastAsia"/>
                <w:color w:val="000000"/>
                <w:szCs w:val="21"/>
              </w:rPr>
              <w:t>降落方式</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5"/>
              <w:ind w:right="136"/>
              <w:jc w:val="center"/>
              <w:rPr>
                <w:color w:val="000000"/>
                <w:szCs w:val="21"/>
              </w:rPr>
            </w:pPr>
            <w:r>
              <w:rPr>
                <w:rFonts w:hint="eastAsia"/>
                <w:color w:val="000000"/>
                <w:szCs w:val="21"/>
              </w:rPr>
              <w:t>自毁</w:t>
            </w:r>
          </w:p>
        </w:tc>
      </w:tr>
      <w:tr>
        <w:tblPrEx>
          <w:tblW w:w="6097" w:type="dxa"/>
          <w:jc w:val="center"/>
          <w:tblLayout w:type="fixed"/>
          <w:tblCellMar>
            <w:left w:w="0" w:type="dxa"/>
            <w:right w:w="0" w:type="dxa"/>
          </w:tblCellMar>
          <w:tblLook w:val="04A0"/>
        </w:tblPrEx>
        <w:trPr>
          <w:trHeight w:hRule="exact" w:val="639"/>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86"/>
              <w:jc w:val="center"/>
              <w:rPr>
                <w:color w:val="000000"/>
                <w:szCs w:val="21"/>
              </w:rPr>
            </w:pPr>
            <w:r>
              <w:rPr>
                <w:rFonts w:hint="eastAsia"/>
                <w:color w:val="FF0000"/>
                <w:spacing w:val="-5"/>
                <w:w w:val="101"/>
                <w:sz w:val="18"/>
                <w:szCs w:val="22"/>
              </w:rPr>
              <w:t>#</w:t>
            </w:r>
            <w:r>
              <w:rPr>
                <w:rFonts w:hint="eastAsia"/>
                <w:color w:val="000000"/>
                <w:szCs w:val="21"/>
              </w:rPr>
              <w:t>最大残骸质量</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pPr>
              <w:pStyle w:val="TableParagraph"/>
              <w:spacing w:before="55"/>
              <w:ind w:right="136"/>
              <w:jc w:val="center"/>
              <w:rPr>
                <w:rFonts w:ascii="Times New Roman" w:hAnsi="Times New Roman"/>
                <w:color w:val="000000"/>
                <w:szCs w:val="21"/>
              </w:rPr>
            </w:pPr>
            <w:r>
              <w:rPr>
                <w:rFonts w:ascii="微软雅黑" w:hAnsi="微软雅黑" w:hint="eastAsia"/>
                <w:color w:val="000000"/>
                <w:szCs w:val="21"/>
              </w:rPr>
              <w:t>≤</w:t>
            </w:r>
            <w:r>
              <w:rPr>
                <w:rFonts w:ascii="Times New Roman" w:hAnsi="Times New Roman"/>
                <w:color w:val="000000"/>
                <w:szCs w:val="21"/>
              </w:rPr>
              <w:t>100g/</w:t>
            </w:r>
            <w:r>
              <w:rPr>
                <w:rFonts w:ascii="Times New Roman" w:hAnsi="Times New Roman" w:hint="eastAsia"/>
                <w:color w:val="000000"/>
                <w:szCs w:val="21"/>
              </w:rPr>
              <w:t>枚</w:t>
            </w:r>
          </w:p>
        </w:tc>
      </w:tr>
    </w:tbl>
    <w:p w:rsidR="00D069B6">
      <w:pPr>
        <w:pStyle w:val="BodyText"/>
        <w:spacing w:before="66"/>
        <w:ind w:left="542"/>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 xml:space="preserve">四、验收 </w:t>
      </w:r>
    </w:p>
    <w:p w:rsidR="00D069B6">
      <w:pPr>
        <w:adjustRightInd w:val="0"/>
        <w:snapToGrid w:val="0"/>
        <w:spacing w:line="360" w:lineRule="auto"/>
        <w:ind w:firstLine="630" w:firstLineChars="300"/>
        <w:rPr>
          <w:rFonts w:ascii="宋体" w:eastAsia="宋体" w:hAnsi="宋体" w:cs="宋体"/>
          <w:color w:val="000000"/>
          <w:szCs w:val="21"/>
        </w:rPr>
      </w:pPr>
      <w:r>
        <w:rPr>
          <w:rFonts w:ascii="宋体" w:hAnsi="宋体" w:cs="宋体" w:hint="eastAsia"/>
          <w:color w:val="000000"/>
          <w:szCs w:val="21"/>
        </w:rPr>
        <w:t>1、合同签订后60天内交货；验收依据相关的内容和要求，产品质量达到设计要求。</w:t>
      </w:r>
    </w:p>
    <w:p w:rsidR="00D069B6">
      <w:pPr>
        <w:adjustRightInd w:val="0"/>
        <w:snapToGrid w:val="0"/>
        <w:spacing w:line="360" w:lineRule="auto"/>
        <w:ind w:firstLine="630" w:firstLineChars="300"/>
        <w:rPr>
          <w:rFonts w:ascii="宋体" w:hAnsi="宋体" w:cs="宋体"/>
          <w:color w:val="000000"/>
          <w:szCs w:val="21"/>
        </w:rPr>
      </w:pPr>
      <w:r>
        <w:rPr>
          <w:rFonts w:ascii="宋体" w:hAnsi="宋体" w:cs="宋体" w:hint="eastAsia"/>
          <w:color w:val="000000"/>
          <w:szCs w:val="21"/>
        </w:rPr>
        <w:t xml:space="preserve">2、到货验收。到货后用户检查包装并核对货物品种、数量以及完好性。未通过验收的货物，将不予接受。 </w:t>
      </w:r>
    </w:p>
    <w:p w:rsidR="00D069B6">
      <w:pPr>
        <w:pStyle w:val="BodyText"/>
        <w:ind w:firstLine="420" w:firstLineChars="200"/>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 xml:space="preserve">五、包装和运输 </w:t>
      </w:r>
    </w:p>
    <w:p w:rsidR="00D069B6">
      <w:pPr>
        <w:pStyle w:val="BodyText"/>
        <w:spacing w:after="0" w:line="360" w:lineRule="auto"/>
        <w:ind w:left="542"/>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1、包装 </w:t>
      </w:r>
    </w:p>
    <w:p w:rsidR="00D069B6">
      <w:pPr>
        <w:pStyle w:val="BodyText"/>
        <w:spacing w:after="0" w:line="360" w:lineRule="auto"/>
        <w:ind w:left="542"/>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应按相关包装规范或者其他相关规定进行包装。 </w:t>
      </w:r>
    </w:p>
    <w:p w:rsidR="00D069B6">
      <w:pPr>
        <w:pStyle w:val="BodyText"/>
        <w:spacing w:after="0" w:line="360" w:lineRule="auto"/>
        <w:ind w:left="542"/>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2、运输 </w:t>
      </w:r>
    </w:p>
    <w:p w:rsidR="00D069B6" w:rsidP="004251D2">
      <w:pPr>
        <w:pStyle w:val="BodyText"/>
        <w:spacing w:after="0" w:line="360" w:lineRule="auto"/>
        <w:ind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出厂验收合格后，中标供应商负责用专用车辆将产品运输到用户指定的地点，运输过程应当遵守国家有关管理的法律、法规</w:t>
      </w:r>
      <w:r>
        <w:rPr>
          <w:rFonts w:ascii="宋体" w:eastAsia="宋体" w:hAnsi="宋体" w:cs="宋体" w:hint="eastAsia"/>
          <w:color w:val="auto"/>
          <w:kern w:val="2"/>
          <w:szCs w:val="21"/>
          <w:lang w:val="en-US"/>
        </w:rPr>
        <w:t>，</w:t>
      </w:r>
      <w:r>
        <w:rPr>
          <w:rFonts w:ascii="宋体" w:eastAsia="宋体" w:hAnsi="宋体" w:cs="宋体" w:hint="eastAsia"/>
          <w:color w:val="auto"/>
        </w:rPr>
        <w:t>运输费用由中标供应商承担</w:t>
      </w:r>
      <w:r>
        <w:rPr>
          <w:rFonts w:ascii="宋体" w:eastAsia="宋体" w:hAnsi="宋体" w:cs="宋体" w:hint="eastAsia"/>
          <w:color w:val="auto"/>
          <w:kern w:val="2"/>
          <w:szCs w:val="21"/>
          <w:lang w:val="en-US"/>
        </w:rPr>
        <w:t>。</w:t>
      </w:r>
    </w:p>
    <w:p w:rsidR="00D069B6">
      <w:pPr>
        <w:pStyle w:val="BodyText"/>
        <w:ind w:firstLine="420" w:firstLineChars="200"/>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六、技术服务和</w:t>
      </w:r>
      <w:r>
        <w:rPr>
          <w:rFonts w:ascii="宋体" w:eastAsia="宋体" w:hAnsi="宋体" w:cs="宋体" w:hint="eastAsia"/>
          <w:b/>
          <w:bCs/>
          <w:color w:val="000000"/>
          <w:kern w:val="2"/>
          <w:szCs w:val="21"/>
          <w:lang w:val="en-US"/>
        </w:rPr>
        <w:t>质保期</w:t>
      </w:r>
      <w:r>
        <w:rPr>
          <w:rFonts w:ascii="宋体" w:eastAsia="宋体" w:hAnsi="宋体" w:cs="宋体" w:hint="eastAsia"/>
          <w:b/>
          <w:bCs/>
          <w:color w:val="000000"/>
          <w:kern w:val="2"/>
          <w:szCs w:val="21"/>
          <w:lang w:val="en-US"/>
        </w:rPr>
        <w:t>服务要求</w:t>
      </w:r>
    </w:p>
    <w:p w:rsidR="00D069B6">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1、技术支持 </w:t>
      </w:r>
    </w:p>
    <w:p w:rsidR="00D069B6" w:rsidP="004251D2">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中标供应商提供服务电话、保障服务货物收发联系部门及人员的名称和联系方式。产品的更换按照采购单位要求在约定时间内完成。 </w:t>
      </w:r>
    </w:p>
    <w:p w:rsidR="00D069B6">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2、技术资料 </w:t>
      </w:r>
    </w:p>
    <w:p w:rsidR="00D069B6" w:rsidP="004251D2">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提供完整的技术资料，包括：性能参数、存储、运输、使用等安全保障手册；使用说明书及合同中要求的其他文件资料。 </w:t>
      </w:r>
    </w:p>
    <w:p w:rsidR="00D069B6">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3、质保期内服务内容 </w:t>
      </w:r>
    </w:p>
    <w:p w:rsidR="00D069B6">
      <w:pPr>
        <w:pStyle w:val="BodyText"/>
        <w:spacing w:after="0" w:line="360" w:lineRule="auto"/>
        <w:ind w:left="544"/>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（1）质保期为出厂验收后 3 年；</w:t>
      </w:r>
    </w:p>
    <w:p w:rsidR="00D069B6" w:rsidP="004251D2">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（2）因产品质量问题所造成的直接或间接损失由中标供应商负责，并且中标供应商应负责免费更换合格品；</w:t>
      </w:r>
    </w:p>
    <w:p w:rsidR="00D069B6" w:rsidP="004251D2">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rsidR="00D069B6">
      <w:pPr>
        <w:pStyle w:val="BodyText"/>
        <w:ind w:firstLine="420" w:firstLineChars="200"/>
        <w:rPr>
          <w:rFonts w:ascii="宋体" w:eastAsia="宋体" w:hAnsi="宋体" w:cs="宋体"/>
          <w:b/>
          <w:bCs/>
          <w:color w:val="000000"/>
          <w:kern w:val="2"/>
          <w:szCs w:val="21"/>
          <w:lang w:val="en-US"/>
        </w:rPr>
      </w:pPr>
      <w:r>
        <w:rPr>
          <w:rFonts w:ascii="宋体" w:eastAsia="宋体" w:hAnsi="宋体" w:cs="宋体" w:hint="eastAsia"/>
          <w:b/>
          <w:bCs/>
          <w:color w:val="000000"/>
          <w:kern w:val="2"/>
          <w:szCs w:val="21"/>
          <w:lang w:val="en-US"/>
        </w:rPr>
        <w:t>七、对服务团队和培训要求</w:t>
      </w:r>
    </w:p>
    <w:p w:rsidR="00D069B6">
      <w:pPr>
        <w:spacing w:line="360" w:lineRule="auto"/>
        <w:ind w:firstLine="420" w:firstLineChars="200"/>
        <w:rPr>
          <w:rFonts w:ascii="宋体" w:eastAsia="宋体" w:hAnsi="宋体" w:cs="宋体"/>
          <w:color w:val="000000"/>
          <w:szCs w:val="21"/>
        </w:rPr>
      </w:pPr>
      <w:r>
        <w:rPr>
          <w:rFonts w:ascii="宋体" w:eastAsia="宋体" w:hAnsi="宋体" w:cs="宋体" w:hint="eastAsia"/>
          <w:color w:val="000000"/>
          <w:szCs w:val="21"/>
        </w:rPr>
        <w:t>1、服务团队</w:t>
      </w:r>
    </w:p>
    <w:p w:rsidR="00D069B6">
      <w:pPr>
        <w:spacing w:line="360" w:lineRule="auto"/>
        <w:ind w:firstLine="420" w:firstLineChars="200"/>
        <w:rPr>
          <w:rFonts w:ascii="宋体" w:eastAsia="宋体" w:hAnsi="宋体" w:cs="宋体"/>
          <w:color w:val="000000"/>
          <w:szCs w:val="21"/>
        </w:rPr>
      </w:pPr>
      <w:r>
        <w:rPr>
          <w:rFonts w:ascii="宋体" w:eastAsia="宋体" w:hAnsi="宋体" w:cs="宋体" w:hint="eastAsia"/>
          <w:color w:val="000000"/>
          <w:szCs w:val="21"/>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rsidR="00D069B6">
      <w:pPr>
        <w:numPr>
          <w:ilvl w:val="0"/>
          <w:numId w:val="4"/>
        </w:numPr>
        <w:spacing w:line="360" w:lineRule="auto"/>
        <w:ind w:firstLine="420" w:firstLineChars="200"/>
        <w:rPr>
          <w:rFonts w:ascii="宋体" w:eastAsia="宋体" w:hAnsi="宋体" w:cs="宋体"/>
          <w:color w:val="000000"/>
          <w:szCs w:val="21"/>
        </w:rPr>
      </w:pPr>
      <w:r>
        <w:rPr>
          <w:rFonts w:ascii="宋体" w:eastAsia="宋体" w:hAnsi="宋体" w:cs="宋体" w:hint="eastAsia"/>
          <w:color w:val="000000"/>
          <w:szCs w:val="21"/>
        </w:rPr>
        <w:t>培训要求</w:t>
      </w:r>
    </w:p>
    <w:p w:rsidR="00D069B6">
      <w:pPr>
        <w:spacing w:line="360" w:lineRule="auto"/>
        <w:ind w:firstLine="420"/>
        <w:rPr>
          <w:rFonts w:ascii="宋体" w:eastAsia="宋体" w:hAnsi="宋体" w:cs="宋体"/>
          <w:color w:val="000000"/>
          <w:szCs w:val="21"/>
        </w:rPr>
      </w:pPr>
      <w:r>
        <w:rPr>
          <w:rFonts w:ascii="宋体" w:eastAsia="宋体" w:hAnsi="宋体" w:cs="宋体" w:hint="eastAsia"/>
          <w:color w:val="000000"/>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w:t>
      </w:r>
      <w:r>
        <w:rPr>
          <w:rFonts w:ascii="宋体" w:eastAsia="宋体" w:hAnsi="宋体" w:cs="宋体" w:hint="eastAsia"/>
          <w:color w:val="000000"/>
          <w:szCs w:val="21"/>
        </w:rPr>
        <w:t>至少2年；</w:t>
      </w:r>
    </w:p>
    <w:p w:rsidR="00D069B6">
      <w:pPr>
        <w:spacing w:line="360" w:lineRule="auto"/>
        <w:ind w:firstLine="420"/>
        <w:rPr>
          <w:rFonts w:ascii="宋体" w:eastAsia="宋体" w:hAnsi="宋体" w:cs="宋体"/>
          <w:color w:val="000000"/>
          <w:szCs w:val="21"/>
        </w:rPr>
      </w:pPr>
      <w:r>
        <w:rPr>
          <w:rFonts w:ascii="宋体" w:eastAsia="宋体" w:hAnsi="宋体" w:cs="宋体" w:hint="eastAsia"/>
          <w:color w:val="000000"/>
          <w:szCs w:val="21"/>
        </w:rPr>
        <w:t>设备供应商对每套招标产品提供至少2次技术培训，培训课时不少于10个课时，培训人数不少于10人。培训内容包括设备安装、使用、日常维护、观测原理及产品应用，培训时间及地点双方协商确定。</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2800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3,920,000.00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3,920,000.00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29"/>
        <w:gridCol w:w="1714"/>
        <w:gridCol w:w="1206"/>
        <w:gridCol w:w="534"/>
        <w:gridCol w:w="1206"/>
        <w:gridCol w:w="1005"/>
        <w:gridCol w:w="1206"/>
        <w:gridCol w:w="112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福建省南平市气象局</w:t>
            </w:r>
          </w:p>
        </w:tc>
        <w:tc>
          <w:tcPr/>
          <w:p>
            <w:r>
              <w:t>增雨防雹火箭</w:t>
            </w:r>
          </w:p>
        </w:tc>
        <w:tc>
          <w:tcPr/>
          <w:p>
            <w:r>
              <w:t>2800</w:t>
            </w:r>
          </w:p>
        </w:tc>
        <w:tc>
          <w:tcPr/>
          <w:p>
            <w:r>
              <w:t>3920000.00</w:t>
            </w:r>
          </w:p>
        </w:tc>
        <w:tc>
          <w:tcPr/>
          <w:p>
            <w:r>
              <w:t xml:space="preserve">3920000.00  </w:t>
            </w:r>
          </w:p>
        </w:tc>
        <w:tc>
          <w:tcPr/>
          <w:p>
            <w:r>
              <w:t>福建省南平市 甲方指定地点</w:t>
            </w:r>
          </w:p>
        </w:tc>
        <w:tc>
          <w:tcPr/>
          <w:p>
            <w:r>
              <w:t>唐刚 13559857536</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2826E0">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2826E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BB18C4">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2826E0">
            <w:pPr>
              <w:rPr>
                <w:sz w:val="18"/>
                <w:szCs w:val="18"/>
              </w:rPr>
            </w:pPr>
            <w:r>
              <w:rPr>
                <w:rFonts w:hint="eastAsia"/>
                <w:sz w:val="18"/>
                <w:szCs w:val="18"/>
              </w:rPr>
              <w:t>序号</w:t>
            </w:r>
          </w:p>
        </w:tc>
        <w:tc>
          <w:tcPr>
            <w:tcW w:w="898" w:type="dxa"/>
            <w:vAlign w:val="center"/>
          </w:tcPr>
          <w:p w:rsidR="002826E0">
            <w:pPr>
              <w:jc w:val="center"/>
              <w:rPr>
                <w:sz w:val="18"/>
                <w:szCs w:val="18"/>
              </w:rPr>
            </w:pPr>
            <w:r>
              <w:rPr>
                <w:rFonts w:hint="eastAsia"/>
                <w:sz w:val="18"/>
                <w:szCs w:val="18"/>
              </w:rPr>
              <w:t>对应</w:t>
            </w:r>
          </w:p>
          <w:p w:rsidR="002826E0">
            <w:pPr>
              <w:jc w:val="center"/>
              <w:rPr>
                <w:sz w:val="18"/>
                <w:szCs w:val="18"/>
              </w:rPr>
            </w:pPr>
            <w:r>
              <w:rPr>
                <w:rFonts w:hint="eastAsia"/>
                <w:sz w:val="18"/>
                <w:szCs w:val="18"/>
              </w:rPr>
              <w:t>条款号</w:t>
            </w:r>
          </w:p>
        </w:tc>
        <w:tc>
          <w:tcPr>
            <w:tcW w:w="7347" w:type="dxa"/>
            <w:vAlign w:val="center"/>
          </w:tcPr>
          <w:p w:rsidR="002826E0">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BB18C4">
        <w:tblPrEx>
          <w:tblW w:w="8789" w:type="dxa"/>
          <w:tblLayout w:type="fixed"/>
          <w:tblLook w:val="04A0"/>
        </w:tblPrEx>
        <w:trPr>
          <w:cantSplit/>
        </w:trPr>
        <w:tc>
          <w:tcPr>
            <w:tcW w:w="8789" w:type="dxa"/>
            <w:gridSpan w:val="3"/>
            <w:vAlign w:val="center"/>
          </w:tcPr>
          <w:p w:rsidR="002826E0">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BB18C4">
        <w:tblPrEx>
          <w:tblW w:w="8789" w:type="dxa"/>
          <w:tblLayout w:type="fixed"/>
          <w:tblLook w:val="04A0"/>
        </w:tblPrEx>
        <w:trPr>
          <w:cantSplit/>
        </w:trPr>
        <w:tc>
          <w:tcPr>
            <w:tcW w:w="544" w:type="dxa"/>
            <w:vAlign w:val="center"/>
          </w:tcPr>
          <w:p w:rsidR="002826E0">
            <w:pPr>
              <w:numPr>
                <w:ilvl w:val="0"/>
                <w:numId w:val="14"/>
              </w:numPr>
              <w:rPr>
                <w:rFonts w:ascii="宋体" w:hAnsi="宋体"/>
                <w:sz w:val="18"/>
                <w:szCs w:val="18"/>
              </w:rPr>
            </w:pPr>
          </w:p>
        </w:tc>
        <w:tc>
          <w:tcPr>
            <w:tcW w:w="898" w:type="dxa"/>
            <w:vAlign w:val="center"/>
          </w:tcPr>
          <w:p w:rsidR="002826E0">
            <w:pPr>
              <w:jc w:val="center"/>
              <w:rPr>
                <w:rFonts w:ascii="宋体" w:hAnsi="宋体"/>
                <w:sz w:val="18"/>
                <w:szCs w:val="18"/>
              </w:rPr>
            </w:pPr>
          </w:p>
        </w:tc>
        <w:tc>
          <w:tcPr>
            <w:tcW w:w="7347" w:type="dxa"/>
          </w:tcPr>
          <w:p w:rsidR="002826E0">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无</w:t>
            </w:r>
          </w:p>
        </w:tc>
      </w:tr>
      <w:tr w:rsidTr="00BB18C4">
        <w:tblPrEx>
          <w:tblW w:w="8789" w:type="dxa"/>
          <w:tblLayout w:type="fixed"/>
          <w:tblLook w:val="04A0"/>
        </w:tblPrEx>
        <w:trPr>
          <w:cantSplit/>
        </w:trPr>
        <w:tc>
          <w:tcPr>
            <w:tcW w:w="8789" w:type="dxa"/>
            <w:gridSpan w:val="3"/>
            <w:vAlign w:val="center"/>
          </w:tcPr>
          <w:p w:rsidR="002826E0">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BB18C4">
        <w:tblPrEx>
          <w:tblW w:w="8789" w:type="dxa"/>
          <w:tblLayout w:type="fixed"/>
          <w:tblLook w:val="04A0"/>
        </w:tblPrEx>
        <w:trPr>
          <w:cantSplit/>
        </w:trPr>
        <w:tc>
          <w:tcPr>
            <w:tcW w:w="544" w:type="dxa"/>
            <w:vAlign w:val="center"/>
          </w:tcPr>
          <w:p w:rsidR="002826E0">
            <w:pPr>
              <w:numPr>
                <w:ilvl w:val="0"/>
                <w:numId w:val="14"/>
              </w:numPr>
              <w:rPr>
                <w:rFonts w:ascii="宋体" w:hAnsi="宋体"/>
                <w:sz w:val="18"/>
                <w:szCs w:val="18"/>
              </w:rPr>
            </w:pPr>
          </w:p>
        </w:tc>
        <w:tc>
          <w:tcPr>
            <w:tcW w:w="898" w:type="dxa"/>
            <w:vAlign w:val="center"/>
          </w:tcPr>
          <w:p w:rsidR="002826E0">
            <w:pPr>
              <w:jc w:val="center"/>
              <w:rPr>
                <w:rFonts w:ascii="宋体" w:hAnsi="宋体"/>
                <w:sz w:val="18"/>
                <w:szCs w:val="18"/>
              </w:rPr>
            </w:pPr>
          </w:p>
        </w:tc>
        <w:tc>
          <w:tcPr>
            <w:tcW w:w="7347" w:type="dxa"/>
            <w:vAlign w:val="center"/>
          </w:tcPr>
          <w:p w:rsidR="002826E0">
            <w:pPr>
              <w:tabs>
                <w:tab w:val="left" w:pos="709"/>
              </w:tabs>
              <w:spacing w:line="360" w:lineRule="auto"/>
              <w:jc w:val="left"/>
              <w:rPr>
                <w:rFonts w:ascii="宋体" w:hAnsi="宋体"/>
                <w:sz w:val="18"/>
                <w:szCs w:val="18"/>
              </w:rPr>
            </w:pPr>
            <w:r>
              <w:rPr>
                <w:rFonts w:ascii="宋体" w:hAnsi="宋体" w:cs="微软雅黑"/>
                <w:b/>
                <w:color w:val="0000FF"/>
                <w:kern w:val="0"/>
                <w:sz w:val="18"/>
                <w:szCs w:val="18"/>
              </w:rPr>
              <w:t>无</w:t>
            </w:r>
          </w:p>
        </w:tc>
      </w:tr>
    </w:tbl>
    <w:p w:rsidR="002826E0">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1"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1"/>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adjustRightInd w:val="0"/>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甲方收到乙方提供的全部产品后需支付合同总价</w:t>
      </w:r>
      <w:r>
        <w:rPr>
          <w:rFonts w:ascii="宋体" w:hAnsi="宋体" w:hint="eastAsia"/>
          <w:szCs w:val="21"/>
          <w:highlight w:val="none"/>
          <w:u w:val="single"/>
          <w:lang w:val="en-US" w:eastAsia="zh-CN"/>
        </w:rPr>
        <w:t>75%，达到付款条件起15日，支付合同金额的75%，甲方使用乙方提供的火箭弹后支付合同总金额的25%</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2" w:name="_Toc27624"/>
      <w:r>
        <w:rPr>
          <w:rFonts w:ascii="黑体" w:hAnsi="黑体" w:hint="eastAsia"/>
          <w:b w:val="0"/>
          <w:bCs w:val="0"/>
          <w:sz w:val="28"/>
          <w:szCs w:val="28"/>
          <w:highlight w:val="none"/>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3"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4"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69"/>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26E63D"/>
    <w:multiLevelType w:val="singleLevel"/>
    <w:tmpl w:val="A026E63D"/>
    <w:lvl w:ilvl="0">
      <w:start w:val="2"/>
      <w:numFmt w:val="decimal"/>
      <w:suff w:val="nothing"/>
      <w:lvlText w:val="%1、"/>
      <w:lvlJc w:val="left"/>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26E0"/>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1D2"/>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069B6"/>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49A6"/>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21EA"/>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uiPriority w:val="1"/>
    <w:qFormat/>
    <w:rPr>
      <w:rFonts w:ascii="宋体" w:hAnsi="宋体" w:cs="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