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中国气象局气象超算中心（和林格尔）机房场地环境系统运维服务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ZQCD-26197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中国气象局气象超算中心（和林格尔）机房场地环境系统运维服务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ZQCD-26197</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合同签订起1年</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内蒙古自治区呼和浩特市和林格尔新区中国气象局气象超算中心（和林格尔）</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2026年09月04日 00:00:00</w:t>
      </w:r>
      <w:bookmarkEnd w:id="26"/>
      <w:r>
        <w:rPr>
          <w:rFonts w:ascii="宋体" w:hint="eastAsia"/>
          <w:szCs w:val="21"/>
          <w:highlight w:val="none"/>
        </w:rPr>
        <w:t>至</w:t>
      </w:r>
      <w:bookmarkStart w:id="27" w:name="项目公告_signUpLastTime"/>
      <w:r>
        <w:rPr>
          <w:rFonts w:ascii="宋体" w:hint="eastAsia"/>
          <w:szCs w:val="21"/>
          <w:highlight w:val="none"/>
        </w:rPr>
        <w:t>2026年09月11日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孔令军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010-68408624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1、承装（修、试）电力设施许可证三级及以上；2、在社会消防技术服务信息系统备案且备案内容至少包含消防设施维护保养检测</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11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10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软件和信息技术服务业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是，代理服务费：2.6万元。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是（时间：2026-09-15 14:00:00 地点：内蒙古自治区呼和浩特市和林格尔新区中国气象局气象超算中心（和林格尔） 联系人：孔令军 联系方式：13651132091）</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242.688000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242.688000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投标人具有环境管理体系认证证书、职业健康安全管理体系认证证书、ISO9001质量管理体系认证证书和安全生产许可证。每提供1个得1分，最高得4分。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投标人提供电力设施、消防设施运行维护服务项目业绩。</w:t>
              <w:cr/>
              <w:t>1、每提供1份电力设施运行维护服务项目的合同得1分，最多得5分。</w:t>
              <w:cr/>
              <w:t>2、每提供1份消防设施运行维护服务项目的合同得1分，最多得5分。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(4)</w:t>
            </w:r>
          </w:p>
        </w:tc>
        <w:tc>
          <w:tcPr/>
          <w:p>
            <w:r>
              <w:t>评审标准：</w:t>
            </w:r>
          </w:p>
          <w:p>
            <w:r>
              <w:t>投标人同时提供电力设施、消防设施运维服务项目用户满意度证明。</w:t>
              <w:cr/>
              <w:t>1、每提供1份电力设施维护服务项目的用户满意度证明得1分，最多得2分。</w:t>
              <w:cr/>
              <w:t>2、每提供1份消防设施运行维护服务项目的用户满意度证明得1分，最多得2分。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(26)</w:t>
            </w:r>
          </w:p>
        </w:tc>
        <w:tc>
          <w:tcPr/>
          <w:p>
            <w:r>
              <w:t>评审标准：</w:t>
            </w:r>
          </w:p>
          <w:p>
            <w:r>
              <w:t>投标人应组成本项目服务团队，服务团队包括管理团队、值守团队和运维团队三类。管理团队包括项目经理和技术负责人各1人，值守团队人员数量应能够满足消防中控室、低压电气设施维护维修、暖通设施维护维修和保安24小时值守相关要求。服务团队组织结构清晰，所有人员均为投标人自有员工，提供自有员工承诺函（格式自定）和相关证书，具体如下：</w:t>
              <w:cr/>
              <w:t>1、管理团队项目经理和技术负责人均具有电力设施或消防设施运维服务工作背景，得4分；拥有5年以上同类项目工作经验，得4分。本项共计8分。</w:t>
              <w:cr/>
              <w:t>2、值守团队应包括消防设施操作员中级及以上，以及低压电工、暖通两类特种作业证人员，每具备一个专业得2分，最多得6分；</w:t>
              <w:cr/>
              <w:t>3、值守团队成员中，至少1人有3年以上消防中控室值守工作经历得1分，至少1人有3年以上低压电气设施维护维修工作经历得1分，至少1人有3年以上暖通设施维护维修工作经历得1分，至少1人有1年以上保安值守工作经历得1分，最多得4分。</w:t>
              <w:cr/>
              <w:t>4、运维团队成员涵盖电气、暖通、弱电、消防专业技术人员，每具备一个专业得1分，最高得4分。</w:t>
              <w:cr/>
              <w:t>5、运维团队人员具有电气、暖通、弱电、消防专业运维经验，每具有一个专业运维经验得1分，最高得4分。</w:t>
              <w:cr/>
              <w:t>对于以上2-5项，同一人具有多个专业技术资质、工作经历/运维经验的，按1人不重复计算。</w:t>
            </w:r>
          </w:p>
          <w:p>
            <w:r>
              <w:t>评审标准说明：</w:t>
            </w:r>
          </w:p>
          <w:p>
            <w:r>
              <w:t>须提供团队人员名单及相关证明材料（证书复印件、技术能力证书、从业及相关专业运维经验证明材料等），同时提供投标截止日前6个月内任意1个月团队人员在投标人所在公司的社保缴纳证明（投标人为新成立公司，可提供劳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(4)</w:t>
            </w:r>
          </w:p>
        </w:tc>
        <w:tc>
          <w:tcPr/>
          <w:p>
            <w:r>
              <w:t>评审标准：</w:t>
            </w:r>
          </w:p>
          <w:p>
            <w:r>
              <w:t xml:space="preserve">一档0分 </w:t>
              <w:cr/>
              <w:t>二档1分</w:t>
              <w:cr/>
              <w:t>三档2分</w:t>
              <w:cr/>
              <w:t>四档4分</w:t>
            </w:r>
          </w:p>
          <w:p>
            <w:r>
              <w:t>评审标准说明：</w:t>
            </w:r>
          </w:p>
          <w:p>
            <w:r>
              <w:t>提供质量保障与实施方案，提出合理的项目全过程质量保证措施，过程检查有明确依据，质量保证工作量化。</w:t>
              <w:cr/>
              <w:t xml:space="preserve">一档：未提供方案。 </w:t>
              <w:cr/>
              <w:t xml:space="preserve">二档：方案内容不全（指未完全覆盖采购需求全部专业）；或者无针对性，合理性、可行性差。 </w:t>
              <w:cr/>
              <w:t xml:space="preserve">三档：方案内容完整，详细程度一般，进度控制保证措施针对性、合理性、可行性一般。 </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总体服务方案</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 xml:space="preserve">一档：未提供方案。 </w:t>
              <w:cr/>
              <w:t>二档：方案不完整（指未全部涵盖服务内容）；或者无针对性，合理性、可行性差。</w:t>
              <w:cr/>
              <w:t xml:space="preserve">三档：方案完整，详细程度一般，依据招标人提供的服务标准约束条件，提出的服务方法和服务措施合理性、可行性、针对性一般，基本满足招标文件需求。 </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具体服务方案（主观分）</w:t>
            </w:r>
          </w:p>
        </w:tc>
        <w:tc>
          <w:tcPr/>
          <w:p>
            <w:r>
              <w:t>区间打分</w:t>
            </w:r>
            <w:r>
              <w:t>(24)</w:t>
            </w:r>
          </w:p>
        </w:tc>
        <w:tc>
          <w:tcPr/>
          <w:p>
            <w:r>
              <w:t>评审标准：</w:t>
            </w:r>
          </w:p>
          <w:p>
            <w:r>
              <w:t>针对以下每项服务内容提交具体服务方案：</w:t>
              <w:cr/>
              <w:t>1、24小时现场值守人员排班计划；</w:t>
              <w:cr/>
              <w:t>2、24小时现场值守巡检服务（至少包括巡检内容、巡检频次、巡检记录表等）；</w:t>
              <w:cr/>
              <w:t>3、重大故障处置（至少包括包括响应方式、响应时间及技术支持队伍等）；</w:t>
              <w:cr/>
              <w:t>4、重大气象服务期间应急服务保障；</w:t>
              <w:cr/>
              <w:t>5、备品备件清单及提供方式（现场、集中备品备件库等）；</w:t>
              <w:cr/>
              <w:t>6、周、月服务报告、故障报告等模板</w:t>
              <w:cr/>
              <w:t>以上每项服务内容：</w:t>
              <w:cr/>
              <w:t>一档0分</w:t>
              <w:cr/>
              <w:t>二档1分</w:t>
              <w:cr/>
              <w:t>三档2分</w:t>
              <w:cr/>
              <w:t>四档4分</w:t>
              <w:cr/>
              <w:t>以上共计6项服务内容，满分24分。</w:t>
            </w:r>
          </w:p>
          <w:p>
            <w:r>
              <w:t>评审标准说明：</w:t>
            </w:r>
          </w:p>
          <w:p>
            <w:r>
              <w:t>根据投标人提供具体服务方案进行评分。具体评分标准如下：</w:t>
              <w:cr/>
              <w:t>一档：未提供方案。</w:t>
              <w:cr/>
              <w:t>二档：方案不完整（指未全部涵盖对应采购需求）；或者无针对性，合理性、可行性差，不能满足招标文件要求。</w:t>
              <w:cr/>
              <w:t xml:space="preserve">三档：方案完整但简单，合理性、针对性一般，基本满足招标文件要求。 </w:t>
              <w:cr/>
              <w:t>四档：方案完整详细具体，合理性、针对性强，完全满足招标文件要求。</w:t>
            </w:r>
          </w:p>
          <w:p/>
        </w:tc>
      </w:tr>
      <w:tr>
        <w:tblPrEx>
          <w:tblW w:w="5000" w:type="pct"/>
          <w:tblCellMar>
            <w:left w:w="108" w:type="dxa"/>
            <w:right w:w="108" w:type="dxa"/>
          </w:tblCellMar>
        </w:tblPrEx>
        <w:tc>
          <w:tcPr/>
          <w:p>
            <w:r>
              <w:t>9</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每提供一条合理化建议得1分，最高得2分。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符合项目实际需要可采纳于后续工作中（不包含响应方案中已描述的建议和意见）。</w:t>
            </w:r>
          </w:p>
          <w:p/>
        </w:tc>
      </w:tr>
      <w:tr>
        <w:tblPrEx>
          <w:tblW w:w="5000" w:type="pct"/>
          <w:tblCellMar>
            <w:left w:w="108" w:type="dxa"/>
            <w:right w:w="108" w:type="dxa"/>
          </w:tblCellMar>
        </w:tblPrEx>
        <w:tc>
          <w:tcPr/>
          <w:p>
            <w:r>
              <w:t>10</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 xml:space="preserve">对项目重点难点问题及可能存在的风险进行针对性分析，并针对性提出解决方案。 </w:t>
              <w:cr/>
              <w:t>一档：未提供方案。</w:t>
              <w:cr/>
              <w:t>二档：方案简单，无针对性。</w:t>
              <w:cr/>
              <w:t xml:space="preserve">三档：重点难点问题及风险分析比较全面，解决方案内容不全，详细程度一般，措施针对性可行性一般。 </w:t>
              <w:cr/>
              <w:t>四档：重点难点问题及风险分析全面，解决方案详细合理、措施针对性强，切实可行。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0"/>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一、项目概况</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项目名称：</w:t>
      </w:r>
      <w:r>
        <w:rPr>
          <w:rFonts w:ascii="宋体" w:eastAsia="宋体" w:hAnsi="宋体" w:cs="宋体" w:hint="eastAsia"/>
          <w:sz w:val="24"/>
          <w:szCs w:val="24"/>
        </w:rPr>
        <w:t>中国气象局气象超算中心（和林格尔）机房场地环境系统运维服务</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项目地点：</w:t>
      </w:r>
      <w:r>
        <w:rPr>
          <w:rFonts w:ascii="宋体" w:eastAsia="宋体" w:hAnsi="宋体" w:cs="宋体" w:hint="eastAsia"/>
          <w:sz w:val="24"/>
          <w:szCs w:val="24"/>
        </w:rPr>
        <w:t>内蒙古呼和浩特市和林格尔新区中国气象局气象数据中心（和林格尔）</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主要服务内容：</w:t>
      </w:r>
      <w:r>
        <w:rPr>
          <w:rFonts w:ascii="宋体" w:eastAsia="宋体" w:hAnsi="宋体" w:cs="宋体" w:hint="eastAsia"/>
          <w:sz w:val="24"/>
          <w:szCs w:val="24"/>
        </w:rPr>
        <w:t>中国气象局气象超算中心（和林格尔）所属相关大楼、园区环境、办公区空调、办公区电气、物业服务、消防、门禁、视频安防监控、动力环境监控等设施，以及机房场地、机房电气（不含超算配套列头柜、PDU及相关电缆等电气设施）、机房暖通空调（不含超算配套暖通设施）等机房设施的24小时现场值守、日常巡检、日常维护、应急处置、故障维修、性能试验等。</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服务方式：</w:t>
      </w:r>
      <w:r>
        <w:rPr>
          <w:rFonts w:ascii="宋体" w:eastAsia="宋体" w:hAnsi="宋体" w:cs="宋体" w:hint="eastAsia"/>
          <w:sz w:val="24"/>
          <w:szCs w:val="24"/>
        </w:rPr>
        <w:t>现场服务。</w:t>
      </w:r>
    </w:p>
    <w:p>
      <w:pPr>
        <w:numPr>
          <w:ilvl w:val="0"/>
          <w:numId w:val="4"/>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b/>
          <w:bCs/>
          <w:sz w:val="24"/>
          <w:szCs w:val="24"/>
        </w:rPr>
        <w:t>服务周期：</w:t>
      </w:r>
      <w:r>
        <w:rPr>
          <w:rFonts w:ascii="宋体" w:eastAsia="宋体" w:hAnsi="宋体" w:cs="宋体" w:hint="eastAsia"/>
          <w:sz w:val="24"/>
          <w:szCs w:val="24"/>
        </w:rPr>
        <w:t>自合同签订之</w:t>
      </w:r>
      <w:r>
        <w:rPr>
          <w:rFonts w:ascii="宋体" w:eastAsia="宋体" w:hAnsi="宋体" w:cs="宋体" w:hint="eastAsia"/>
          <w:sz w:val="24"/>
          <w:szCs w:val="24"/>
        </w:rPr>
        <w:t>日起1年。其中，合同签订后</w:t>
      </w:r>
      <w:r>
        <w:rPr>
          <w:rFonts w:ascii="宋体" w:eastAsia="宋体" w:hAnsi="宋体" w:cs="宋体" w:hint="eastAsia"/>
          <w:sz w:val="24"/>
          <w:szCs w:val="24"/>
          <w:lang w:val="en-US" w:eastAsia="zh-CN"/>
        </w:rPr>
        <w:t>2</w:t>
      </w:r>
      <w:r>
        <w:rPr>
          <w:rFonts w:ascii="宋体" w:eastAsia="宋体" w:hAnsi="宋体" w:cs="宋体" w:hint="eastAsia"/>
          <w:sz w:val="24"/>
          <w:szCs w:val="24"/>
        </w:rPr>
        <w:t>个月为试用期，试用期满后招标人对投标人进行考核，如考核合格合同正式生效，如考核不合格合同自动解除。</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二、服务标准</w:t>
      </w:r>
    </w:p>
    <w:p>
      <w:pPr>
        <w:snapToGrid w:val="0"/>
        <w:spacing w:line="360" w:lineRule="auto"/>
        <w:ind w:firstLine="480" w:firstLineChars="200"/>
        <w:jc w:val="left"/>
        <w:rPr>
          <w:rFonts w:ascii="楷体_GB2312" w:eastAsia="楷体_GB2312" w:hAnsi="楷体_GB2312" w:cs="楷体_GB2312"/>
        </w:rPr>
      </w:pPr>
      <w:r>
        <w:rPr>
          <w:rFonts w:ascii="楷体_GB2312" w:eastAsia="楷体_GB2312" w:hAnsi="楷体_GB2312" w:cs="楷体_GB2312" w:hint="eastAsia"/>
          <w:sz w:val="24"/>
          <w:szCs w:val="24"/>
        </w:rPr>
        <w:t>（一）遵循标准</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本项目运维服务应符合以下标准：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数据中心设计规范                      GB 50174-2017</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数据中心基础设施运维标准              GB/T 51314-2018</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建筑消防设施的维护管理                GB 25201-2010</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社会消防技术服务管理规定              应急管理部令第7号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承装（修、试）电力设施许可证管理办法  国家发改委令第30号</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数据中心运维管理人才标准              CIET-2019-0504</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建筑消防设施维护保养技术规范          DB11/T 3035—2023</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《电梯维护保养规则》                   TSG T5002-2017</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以上标准，如有版本更新应以最新版本为准。</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其它与履行本项目服务相关的电气、暖通、消防、弱电、智能化、物业等相关规范。</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三、服务范围</w:t>
      </w:r>
    </w:p>
    <w:p>
      <w:pPr>
        <w:snapToGrid w:val="0"/>
        <w:spacing w:line="360" w:lineRule="auto"/>
        <w:ind w:firstLine="480" w:firstLineChars="200"/>
        <w:rPr>
          <w:rFonts w:ascii="宋体" w:eastAsia="宋体" w:hAnsi="宋体" w:cs="宋体"/>
        </w:rPr>
      </w:pPr>
      <w:r>
        <w:rPr>
          <w:rFonts w:ascii="宋体" w:eastAsia="宋体" w:hAnsi="宋体" w:cs="宋体" w:hint="eastAsia"/>
          <w:sz w:val="24"/>
          <w:szCs w:val="24"/>
        </w:rPr>
        <w:t>本项目提供服务的范围为中国气象局气象超算中心（和林格尔）所属相关大楼及园区环境、机房场地设施、电气设施（包括机房及办公区，不含超算配套列头柜、PDU及相关电缆等电气设施）、暖通设施（包括机房及办公区空调、新风、VRV空调等，不含超算配套暖通设施）、电梯、消防、门禁、视频安防监控、动力环境监控等设施，以及园区物业服务，具体如下：</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（一）大楼及园区环境</w:t>
      </w:r>
    </w:p>
    <w:p>
      <w:pPr>
        <w:snapToGrid w:val="0"/>
        <w:spacing w:line="360" w:lineRule="auto"/>
        <w:ind w:firstLine="480" w:firstLineChars="200"/>
        <w:rPr>
          <w:rFonts w:ascii="宋体" w:eastAsia="宋体" w:hAnsi="宋体" w:cs="宋体"/>
        </w:rPr>
      </w:pPr>
      <w:r>
        <w:rPr>
          <w:rFonts w:ascii="宋体" w:eastAsia="宋体" w:hAnsi="宋体" w:cs="宋体" w:hint="eastAsia"/>
          <w:sz w:val="24"/>
          <w:szCs w:val="24"/>
        </w:rPr>
        <w:t>本项目中的大楼及园区环境是指园区绿化、大门、道路、停车设施、大楼结构及公共区域内外装修等。</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（二）机房场地设施</w:t>
      </w:r>
    </w:p>
    <w:p>
      <w:pPr>
        <w:snapToGrid w:val="0"/>
        <w:spacing w:line="360" w:lineRule="auto"/>
        <w:ind w:firstLine="480" w:firstLineChars="200"/>
        <w:rPr>
          <w:rFonts w:ascii="宋体" w:eastAsia="宋体" w:hAnsi="宋体" w:cs="宋体"/>
        </w:rPr>
      </w:pPr>
      <w:r>
        <w:rPr>
          <w:rFonts w:ascii="宋体" w:eastAsia="宋体" w:hAnsi="宋体" w:cs="宋体" w:hint="eastAsia"/>
          <w:sz w:val="24"/>
          <w:szCs w:val="24"/>
        </w:rPr>
        <w:t>本项目中的机房场地是指中国气象局气象超算中心（和林格尔）所属机房区、辅助机房区内的地面、墙壁、吊顶、门、照明、插座、应急照明、防雷接地、线槽等设施，具体明细如下：</w:t>
      </w:r>
    </w:p>
    <w:p>
      <w:pPr>
        <w:snapToGrid w:val="0"/>
        <w:spacing w:line="360" w:lineRule="auto"/>
        <w:jc w:val="center"/>
        <w:rPr>
          <w:rFonts w:ascii="宋体" w:eastAsia="宋体" w:hAnsi="宋体" w:cs="宋体"/>
          <w:szCs w:val="21"/>
        </w:rPr>
      </w:pPr>
      <w:r>
        <w:rPr>
          <w:rFonts w:ascii="宋体" w:eastAsia="宋体" w:hAnsi="宋体" w:cs="宋体" w:hint="eastAsia"/>
          <w:szCs w:val="21"/>
        </w:rPr>
        <w:t xml:space="preserve">表3-1 </w:t>
      </w:r>
      <w:r>
        <w:rPr>
          <w:rFonts w:ascii="宋体" w:eastAsia="宋体" w:hAnsi="宋体" w:cs="宋体" w:hint="eastAsia"/>
          <w:sz w:val="24"/>
          <w:szCs w:val="24"/>
        </w:rPr>
        <w:t>中国气象局气象超算中心（和林格尔）机房</w:t>
      </w:r>
      <w:r>
        <w:rPr>
          <w:rFonts w:ascii="宋体" w:eastAsia="宋体" w:hAnsi="宋体" w:cs="宋体" w:hint="eastAsia"/>
          <w:szCs w:val="21"/>
        </w:rPr>
        <w:t>场地设施明细表</w:t>
      </w:r>
    </w:p>
    <w:tbl>
      <w:tblPr>
        <w:tblStyle w:val="TableGrid"/>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57"/>
        <w:gridCol w:w="1770"/>
        <w:gridCol w:w="810"/>
        <w:gridCol w:w="930"/>
        <w:gridCol w:w="415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4"/>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编号</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机房地点</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单位</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数量</w:t>
            </w:r>
          </w:p>
        </w:tc>
        <w:tc>
          <w:tcPr>
            <w:tcW w:w="4155"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设施明细</w:t>
            </w:r>
          </w:p>
        </w:tc>
      </w:tr>
      <w:tr>
        <w:tblPrEx>
          <w:tblW w:w="0" w:type="auto"/>
          <w:jc w:val="center"/>
          <w:tblCellMar>
            <w:top w:w="0" w:type="dxa"/>
            <w:left w:w="108" w:type="dxa"/>
            <w:bottom w:w="0" w:type="dxa"/>
            <w:right w:w="108" w:type="dxa"/>
          </w:tblCellMar>
        </w:tblPrEx>
        <w:trPr>
          <w:trHeight w:val="908"/>
          <w:jc w:val="center"/>
        </w:trPr>
        <w:tc>
          <w:tcPr>
            <w:tcW w:w="857"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1</w:t>
            </w:r>
          </w:p>
        </w:tc>
        <w:tc>
          <w:tcPr>
            <w:tcW w:w="177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中国气象局气象超算中心（和林格尔）</w:t>
            </w:r>
          </w:p>
        </w:tc>
        <w:tc>
          <w:tcPr>
            <w:tcW w:w="81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m</w:t>
            </w:r>
            <w:r>
              <w:rPr>
                <w:rFonts w:ascii="宋体" w:eastAsia="宋体" w:hAnsi="宋体" w:cs="宋体" w:hint="eastAsia"/>
                <w:szCs w:val="21"/>
                <w:vertAlign w:val="superscript"/>
              </w:rPr>
              <w:t>2</w:t>
            </w:r>
          </w:p>
        </w:tc>
        <w:tc>
          <w:tcPr>
            <w:tcW w:w="930" w:type="dxa"/>
            <w:vAlign w:val="center"/>
          </w:tcPr>
          <w:p>
            <w:pPr>
              <w:adjustRightInd w:val="0"/>
              <w:snapToGrid w:val="0"/>
              <w:jc w:val="center"/>
              <w:rPr>
                <w:rFonts w:ascii="宋体" w:eastAsia="宋体" w:hAnsi="宋体" w:cs="宋体"/>
                <w:szCs w:val="21"/>
              </w:rPr>
            </w:pPr>
            <w:r>
              <w:rPr>
                <w:rFonts w:ascii="宋体" w:eastAsia="宋体" w:hAnsi="宋体" w:cs="宋体" w:hint="eastAsia"/>
                <w:szCs w:val="21"/>
              </w:rPr>
              <w:t>5955</w:t>
            </w:r>
          </w:p>
        </w:tc>
        <w:tc>
          <w:tcPr>
            <w:tcW w:w="4155" w:type="dxa"/>
            <w:vAlign w:val="center"/>
          </w:tcPr>
          <w:p>
            <w:pPr>
              <w:adjustRightInd w:val="0"/>
              <w:snapToGrid w:val="0"/>
              <w:jc w:val="left"/>
              <w:rPr>
                <w:rFonts w:ascii="宋体" w:eastAsia="宋体" w:hAnsi="宋体" w:cs="宋体"/>
                <w:szCs w:val="21"/>
              </w:rPr>
            </w:pPr>
            <w:r>
              <w:rPr>
                <w:rFonts w:ascii="宋体" w:eastAsia="宋体" w:hAnsi="宋体" w:cs="宋体" w:hint="eastAsia"/>
                <w:szCs w:val="21"/>
              </w:rPr>
              <w:t>地面、墙壁、吊顶、门、照明、插座、应急照明、防雷接地、线槽、等</w:t>
            </w:r>
          </w:p>
        </w:tc>
      </w:tr>
    </w:tbl>
    <w:p>
      <w:pPr>
        <w:snapToGrid w:val="0"/>
        <w:spacing w:line="360" w:lineRule="auto"/>
        <w:jc w:val="left"/>
        <w:rPr>
          <w:rFonts w:ascii="宋体" w:eastAsia="宋体" w:hAnsi="宋体" w:cs="宋体"/>
        </w:rPr>
      </w:pP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（二）电气设施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本项目中的电气设施包括但不限于中国气象局气象超算中心（和林格尔）所属高压配电系统、低压配电系统、UPS、蓄电池、电线电缆，以及各楼层办公用电气设施，具体包括：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整体业务、办公电气设施。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本项目服务范围不包括超算配套电气设施，分界点为超算配套列头柜。</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（三）暖通设施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本项目中的暖通设施是中国气象局气象超算中心（和林格尔）机房空调、VRV空调、新风、办公区空调等设施，具体包括：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一楼大厅VRV空调；</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二层办公室及三层值班室空调；</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新风系统；</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二层超算机房西北侧机柜模块空调。</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（四）电梯</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本项目中的电梯是中国气象局气象超算中心（和林格尔）所属大楼西侧的一部专用电梯。</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（五）消防设施</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本项目中的消防设施是指中国气象局气象超算中心（和林格尔）楼内所属的消防自动报警、气体灭火、消防水系统、消防电系统等设施，具体包括：</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中国气象局气象超算中心（和林格尔）楼整体消防设施。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（六）门禁设施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本项目中的门禁设施是指中国气象局气象数据中心（和林格尔）大楼及园区内所属的门禁系统主机、控制器、读卡器，人脸识别系统主机、终端，以及配套线缆、交换机等设施。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（六）视频安防监控设施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本项目中的视频安防监控设施是指中国气象局气象数据中心（和林格尔）大楼及园区内所属的视频监控主机、视频监控终端、网络硬盘录像机、视频摄像机及配套网络设施。</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snapToGrid w:val="0"/>
        <w:spacing w:line="360" w:lineRule="auto"/>
        <w:ind w:left="420"/>
        <w:jc w:val="left"/>
        <w:outlineLvl w:val="2"/>
        <w:rPr>
          <w:rFonts w:ascii="楷体_GB2312" w:eastAsia="楷体_GB2312" w:hAnsi="楷体_GB2312" w:cs="楷体_GB2312"/>
        </w:rPr>
      </w:pPr>
      <w:r>
        <w:rPr>
          <w:rFonts w:ascii="楷体_GB2312" w:eastAsia="楷体_GB2312" w:hAnsi="楷体_GB2312" w:cs="楷体_GB2312" w:hint="eastAsia"/>
          <w:sz w:val="24"/>
          <w:szCs w:val="24"/>
        </w:rPr>
        <w:t>（七）动力环境监控设施</w:t>
      </w:r>
    </w:p>
    <w:p>
      <w:pPr>
        <w:numPr>
          <w:ilvl w:val="0"/>
          <w:numId w:val="5"/>
        </w:numPr>
        <w:snapToGrid w:val="0"/>
        <w:spacing w:line="360" w:lineRule="auto"/>
        <w:ind w:left="0" w:firstLine="480" w:firstLineChars="200"/>
        <w:jc w:val="left"/>
        <w:rPr>
          <w:rFonts w:ascii="宋体" w:eastAsia="宋体" w:hAnsi="宋体" w:cs="宋体"/>
        </w:rPr>
      </w:pPr>
      <w:r>
        <w:rPr>
          <w:rFonts w:ascii="宋体" w:eastAsia="宋体" w:hAnsi="宋体" w:cs="宋体" w:hint="eastAsia"/>
          <w:sz w:val="24"/>
          <w:szCs w:val="24"/>
        </w:rPr>
        <w:t>本项目中的动力环境监控设施是指中国气象局气象数据中心（和林格尔）大楼及园区内所属的动环监控主机、动环监控终端、串口服务器、嵌入式服务器、前端采集装置及配套网络设施等。</w:t>
      </w:r>
    </w:p>
    <w:p>
      <w:pPr>
        <w:snapToGrid w:val="0"/>
        <w:spacing w:line="360" w:lineRule="auto"/>
        <w:ind w:left="420" w:leftChars="200"/>
        <w:jc w:val="left"/>
        <w:rPr>
          <w:rFonts w:ascii="宋体" w:eastAsia="宋体" w:hAnsi="宋体" w:cs="宋体"/>
        </w:rPr>
      </w:pPr>
      <w:r>
        <w:rPr>
          <w:rFonts w:ascii="宋体" w:eastAsia="宋体" w:hAnsi="宋体" w:cs="宋体" w:hint="eastAsia"/>
          <w:sz w:val="24"/>
          <w:szCs w:val="24"/>
        </w:rPr>
        <w:t>最终设施明细以现场勘查情况为准。</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四、组织要求</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（一）总体要求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1.投标人应为具备独立法人的机构</w:t>
      </w:r>
      <w:r>
        <w:rPr>
          <w:rFonts w:ascii="宋体" w:hAnsi="宋体" w:cs="宋体" w:hint="eastAsia"/>
          <w:sz w:val="24"/>
          <w:szCs w:val="24"/>
          <w:lang w:eastAsia="zh-CN"/>
        </w:rPr>
        <w:t>，投标人或组成投标人的联合体应具备从事电力设施、消防设施及物业服务的能力</w:t>
      </w:r>
      <w:r>
        <w:rPr>
          <w:rFonts w:ascii="宋体" w:eastAsia="宋体" w:hAnsi="宋体" w:cs="宋体" w:hint="eastAsia"/>
          <w:sz w:val="24"/>
          <w:szCs w:val="24"/>
        </w:rPr>
        <w:t>。</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2.投标人应按照招标人要求组建本项目服务团队，负责服务范围内中国气象局气象超算中心（和林格尔）所属相关大楼、园区环境、办公区空调、消防、门禁、视频安防监控等园区设施，机房场地、机房电气（不含超算配套列头柜、PDU及相关电缆等电气设施）、机房暖通空调（不含超算配套暖通设施）、动力环境监控等机房场地环境设施，以及园区物业服务的24小时现场值守、日常巡检、应急处置、日常维护、故障维修、性能试验等运维服务，按照工作职责分别划分为管理团队、值守团队和运维团队，分别标定人员资质要求和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（二）管理团队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管理团队包括本项目专职的项目经理以及具有丰富机房场地环境设施运维服务能力和经验的技术负责人，具体人员资质和岗位要求如下：</w:t>
      </w:r>
    </w:p>
    <w:p>
      <w:pPr>
        <w:numPr>
          <w:ilvl w:val="12"/>
          <w:numId w:val="0"/>
        </w:num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1.项目经理</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（1）具有项目经理资质证书；</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（2）负责值守团队和运维团队的日常组织管理、与采购人的沟通协调、运行维护服务统计总结及服务报告编制等工作。</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（3）工作时间内常驻现场，非工作时间根据现场实际需要到岗。</w:t>
      </w:r>
    </w:p>
    <w:p>
      <w:pPr>
        <w:snapToGrid w:val="0"/>
        <w:spacing w:line="360" w:lineRule="auto"/>
        <w:ind w:firstLine="480" w:firstLineChars="200"/>
        <w:jc w:val="left"/>
        <w:outlineLvl w:val="3"/>
        <w:rPr>
          <w:rFonts w:ascii="宋体" w:eastAsia="宋体" w:hAnsi="宋体" w:cs="宋体"/>
        </w:rPr>
      </w:pPr>
      <w:r>
        <w:rPr>
          <w:rFonts w:ascii="宋体" w:eastAsia="宋体" w:hAnsi="宋体" w:cs="宋体" w:hint="eastAsia"/>
          <w:sz w:val="24"/>
          <w:szCs w:val="24"/>
        </w:rPr>
        <w:t>2.技术负责人</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（1）具有电气、暖通等专业高级工程师及以上职称。</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（2）负责巡检制度、运维规程、操作手册、应急预案等文档的编制和修订，负责突发情况的应急处置指挥调度，负责重大故障的分析排查。</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（3）根据现场实际需要到岗。</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（二）值守团队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职的值守团队。值守团队主要负责园区设施、机房场地环境设施、物业服务的24小时现场值守及突发状况的应急处置工作。值守团队人员应具有电气、暖通、消防等设施的值守操作等</w:t>
      </w:r>
      <w:r>
        <w:rPr>
          <w:rFonts w:ascii="宋体" w:eastAsia="宋体" w:hAnsi="宋体" w:cs="宋体" w:hint="eastAsia"/>
          <w:sz w:val="24"/>
          <w:szCs w:val="24"/>
          <w:lang w:eastAsia="zh-CN"/>
        </w:rPr>
        <w:t>资格</w:t>
      </w:r>
      <w:r>
        <w:rPr>
          <w:rFonts w:ascii="宋体" w:eastAsia="宋体" w:hAnsi="宋体" w:cs="宋体" w:hint="eastAsia"/>
          <w:sz w:val="24"/>
          <w:szCs w:val="24"/>
        </w:rPr>
        <w:t>，具体要求如下：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（1）消防值守：具有消防设施操作员证书（中级及以上）（消防证）。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（2）电气值守：具有低压电工作业特种作业操作证（低压证）。</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（3）暖通值守：具有制冷与空调作业特种作业操作证（暖通证）。</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投标人应按照运维服务内容安排符合资质要求的人员现场值守，其中：</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同时在岗值守人员中，具有消防证人员不少于2人，具有低压证人员不少于2人，具有暖通证人员不少于1人。</w:t>
      </w:r>
    </w:p>
    <w:p>
      <w:pPr>
        <w:numPr>
          <w:ilvl w:val="0"/>
          <w:numId w:val="6"/>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如一人同时具有消防、电气、暖通等多个资质证书，值守时可以按照多个岗位重复计算，但同时在岗值守人员不应少于4人，且满足消防证2人、低压证2人、暖通证1人的在岗值守人员岗位要求。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（三）运维团队</w:t>
      </w:r>
    </w:p>
    <w:p>
      <w:pPr>
        <w:numPr>
          <w:ilvl w:val="12"/>
          <w:numId w:val="0"/>
        </w:num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本项目服务要求组建专业的运维团队。运维团队主要负责机房场地环境系统的日常维护、故障维修、性能试验等工作，根据招标人采购需求及国家相关标准规范要求，定期到现场开展大楼、办公区空调、消防、门禁、视频安防监控等园区设施，机房场地、机房电气（不含超算配套列头柜、PDU及相关电缆等电气设施）、机房暖通空调（不含超算配套暖通设施）、动力环境监控等机房场地环境设施，以及园区、大楼、室内环境等定期/不定期保洁、维护保养、故障排查修复及性能试验服务。运维团队人员应具有电气、暖通、消防、弱电等设施的维护、操作、检测等相关资质，具体要求如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1.资质要求</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消防运维：具有开展消防设施维护服务检测</w:t>
      </w:r>
      <w:r>
        <w:rPr>
          <w:rFonts w:ascii="宋体" w:eastAsia="宋体" w:hAnsi="宋体" w:cs="宋体" w:hint="eastAsia"/>
          <w:sz w:val="24"/>
          <w:szCs w:val="24"/>
          <w:lang w:eastAsia="zh-CN"/>
        </w:rPr>
        <w:t>的</w:t>
      </w:r>
      <w:r>
        <w:rPr>
          <w:rFonts w:ascii="宋体" w:eastAsia="宋体" w:hAnsi="宋体" w:cs="宋体" w:hint="eastAsia"/>
          <w:sz w:val="24"/>
          <w:szCs w:val="24"/>
        </w:rPr>
        <w:t>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电气运维：具有开展高压配电系统、低压配电系统、UPS、蓄电池等电气设施维护服务检测的</w:t>
      </w:r>
      <w:r>
        <w:rPr>
          <w:rFonts w:ascii="宋体" w:eastAsia="宋体" w:hAnsi="宋体" w:cs="宋体" w:hint="eastAsia"/>
          <w:sz w:val="24"/>
          <w:szCs w:val="24"/>
          <w:lang w:eastAsia="zh-CN"/>
        </w:rPr>
        <w:t>的资质和</w:t>
      </w:r>
      <w:r>
        <w:rPr>
          <w:rFonts w:ascii="宋体" w:eastAsia="宋体" w:hAnsi="宋体" w:cs="宋体" w:hint="eastAsia"/>
          <w:sz w:val="24"/>
          <w:szCs w:val="24"/>
        </w:rPr>
        <w:t>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暖通运维：具有开展机房机房空调、新风机组、VRV空调等暖通设施维护服务检测</w:t>
      </w:r>
      <w:r>
        <w:rPr>
          <w:rFonts w:ascii="宋体" w:eastAsia="宋体" w:hAnsi="宋体" w:cs="宋体" w:hint="eastAsia"/>
          <w:sz w:val="24"/>
          <w:szCs w:val="24"/>
          <w:lang w:eastAsia="zh-CN"/>
        </w:rPr>
        <w:t>的</w:t>
      </w:r>
      <w:r>
        <w:rPr>
          <w:rFonts w:ascii="宋体" w:eastAsia="宋体" w:hAnsi="宋体" w:cs="宋体" w:hint="eastAsia"/>
          <w:sz w:val="24"/>
          <w:szCs w:val="24"/>
        </w:rPr>
        <w:t>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物业服务：具有承担园区、大楼、电梯及室内环境绿化保洁的能力。</w:t>
      </w:r>
    </w:p>
    <w:p>
      <w:pPr>
        <w:numPr>
          <w:ilvl w:val="0"/>
          <w:numId w:val="7"/>
        </w:numPr>
        <w:adjustRightInd w:val="0"/>
        <w:snapToGrid w:val="0"/>
        <w:spacing w:line="360" w:lineRule="auto"/>
        <w:ind w:firstLine="480" w:firstLineChars="200"/>
        <w:rPr>
          <w:rFonts w:ascii="宋体" w:eastAsia="宋体" w:hAnsi="宋体" w:cs="宋体"/>
        </w:rPr>
      </w:pPr>
      <w:r>
        <w:rPr>
          <w:rFonts w:ascii="宋体" w:eastAsia="宋体" w:hAnsi="宋体" w:cs="宋体" w:hint="eastAsia"/>
          <w:sz w:val="24"/>
          <w:szCs w:val="24"/>
        </w:rPr>
        <w:t>门禁、视频安防监控、动力环境监控等设施运维：具有开展弱电设施维护服务检测</w:t>
      </w:r>
      <w:r>
        <w:rPr>
          <w:rFonts w:ascii="宋体" w:eastAsia="宋体" w:hAnsi="宋体" w:cs="宋体" w:hint="eastAsia"/>
          <w:sz w:val="24"/>
          <w:szCs w:val="24"/>
          <w:lang w:eastAsia="zh-CN"/>
        </w:rPr>
        <w:t>的</w:t>
      </w:r>
      <w:r>
        <w:rPr>
          <w:rFonts w:ascii="宋体" w:eastAsia="宋体" w:hAnsi="宋体" w:cs="宋体" w:hint="eastAsia"/>
          <w:sz w:val="24"/>
          <w:szCs w:val="24"/>
        </w:rPr>
        <w:t>能力。</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2.岗位要求</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投标人应按照运维服务内容安排符合资质要求的人员组成运维团队，定期或根据实际需求到现场对相关园区设施、机房场地环境设施进行维护保养、故障排查修复及性能试验工作，具体工作内容间服务要求部分。</w:t>
      </w:r>
    </w:p>
    <w:p>
      <w:pPr>
        <w:numPr>
          <w:ilvl w:val="0"/>
          <w:numId w:val="8"/>
        </w:numPr>
        <w:adjustRightInd w:val="0"/>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运维团队人员具有电气、暖通、弱电、消防等设施以及保洁、园区绿化的维护、维修、检测等操作资质、技术能力和运维经验。</w:t>
      </w:r>
    </w:p>
    <w:p>
      <w:pPr>
        <w:adjustRightInd w:val="0"/>
        <w:snapToGrid w:val="0"/>
        <w:spacing w:line="360" w:lineRule="auto"/>
        <w:ind w:firstLine="480" w:firstLineChars="200"/>
        <w:jc w:val="left"/>
        <w:outlineLvl w:val="2"/>
        <w:rPr>
          <w:rFonts w:ascii="楷体_GB2312" w:eastAsia="楷体_GB2312" w:hAnsi="楷体_GB2312" w:cs="楷体_GB2312"/>
        </w:rPr>
      </w:pPr>
      <w:r>
        <w:rPr>
          <w:rFonts w:ascii="楷体_GB2312" w:eastAsia="楷体_GB2312" w:hAnsi="楷体_GB2312" w:cs="楷体_GB2312" w:hint="eastAsia"/>
          <w:sz w:val="24"/>
          <w:szCs w:val="24"/>
        </w:rPr>
        <w:t>（四）其它要求</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1.投标人应根据招标人机房场地环境设施实际情况合理制定运行值班、日常巡检、应急处置、故障维修、性能试验等方案计划并严格执行，招标人同步监督、管理投标人执行情况并定期考核。</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2.投标人严格按《保障农民工工资支付条例》（中华人民共和国国务院令第724号）执行，投标人不得拖欠维护人员的工资及劳动报酬。投标人违反此约定的，自行承担全部责任。</w:t>
      </w:r>
    </w:p>
    <w:p>
      <w:pPr>
        <w:snapToGrid w:val="0"/>
        <w:spacing w:line="360" w:lineRule="auto"/>
        <w:ind w:firstLine="480" w:firstLineChars="200"/>
        <w:jc w:val="left"/>
        <w:rPr>
          <w:rFonts w:ascii="宋体" w:eastAsia="宋体" w:hAnsi="宋体" w:cs="宋体"/>
        </w:rPr>
      </w:pPr>
      <w:r>
        <w:rPr>
          <w:rFonts w:ascii="宋体" w:eastAsia="宋体" w:hAnsi="宋体" w:cs="宋体" w:hint="eastAsia"/>
          <w:sz w:val="24"/>
          <w:szCs w:val="24"/>
        </w:rPr>
        <w:t>3.投标人与维护人员发生工资及劳动报酬争议或纠纷时，投标人应负责约束其维护人员，不得向招标人索取，也不得做出干扰招标人工作秩序的其他行为；招标人不直接对投标人的人员承担工资及劳动报酬方面的责任或义务。</w:t>
      </w:r>
    </w:p>
    <w:p>
      <w:pPr>
        <w:adjustRightInd w:val="0"/>
        <w:snapToGrid w:val="0"/>
        <w:spacing w:line="360" w:lineRule="auto"/>
        <w:ind w:firstLine="480" w:firstLineChars="200"/>
        <w:outlineLvl w:val="1"/>
        <w:rPr>
          <w:rFonts w:ascii="黑体" w:eastAsia="黑体" w:hAnsi="黑体" w:cs="黑体"/>
        </w:rPr>
      </w:pPr>
      <w:r>
        <w:rPr>
          <w:rFonts w:ascii="黑体" w:eastAsia="黑体" w:hAnsi="黑体" w:cs="黑体" w:hint="eastAsia"/>
          <w:sz w:val="24"/>
          <w:szCs w:val="24"/>
        </w:rPr>
        <w:t>五、服务要求</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（一）24小时值守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每班次至少配置2名消防值班岗人员，并按照国家和地方相关规定履行相应的工作职责。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2个电气值班岗位人员，负责通过动力环境监控系统实时监视电气设施运行情况，每天四次巡视电气设施，重点检查低压配电、UPS、蓄电池、机房配电、电缆、PDU等运行情况，按照要求填写巡视记录本，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1个暖通值班岗位人员，负责通过动力环境监控系统实时监视暖通空调设施运行情况，每天四次巡视暖通设施运行情况，重点检查机房空调、新风、辅助机房区VRV空调等运行情况以及各机房区温湿度，按照要求填写巡视记录本，如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班次至少配置1个保安岗位人员，负责园区大楼大门的安全管理，每天四次巡视园区及大楼环境情况，重点检查室外、楼顶等区域与大楼公共区域运行情况，按照要求填写巡视记录本，如发现异常立即上报并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各岗位值班人员均应熟悉所负责相关系统（消防、电气、暖通、弱电、园区物业等）的设施现状、操作规程、应急预案等要求。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现场值班人员同时负责门禁、视频安防监控等设施值守。</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值守期间，如发生机房场地环境设施报警信息，值守人员应按照国家、地方相关法律法规及招标人相关管理规定进行处置，包括但不限于第一时间到达现场查看情况、按照相关流程上报、按照相关应急预案第一时间采取应急处置措施、配合招标人及运维团队进行故障排查维修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如招标人与重大事件需要加强现场值守，投标人应按照招标人要求在增加运维团队人员在现场24小时值守，具体情况招标人根据实际需求提前通知投标人。</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（二）日常维护</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1.园区设施</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投标人应定期安排技术人员对所属园区及大楼环境（另：外立面清洁）进行一次全面维护，维护内容包括园区设施运行情况检查、绿化存活率情况、公共设施完整性等，对发现的问题及时尽心维护维修。</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投标人应每年对大楼外立面进行2次整体清洁。</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投标人应每月对电梯运行情况进行检查。</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投标人应委托专业机构每年对电梯进行合格性检测。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2.机房场地设施</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Times New Roman" w:hint="eastAsia"/>
          <w:sz w:val="24"/>
          <w:szCs w:val="24"/>
        </w:rPr>
        <w:t>投标人应每年安排技术人员对所属机房场地设施进行一次全面维护，维护内容包括地板平整度检查及调整、门及把手牢固度等。</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3.电气设施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投标人应安排技术人员定期对电气设施进行专项维护，维护内容包括：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（1）低压配电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每月对低压配电系统进行红外检测，重点检测开关接线端子、母排、电缆接头等；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每年对低压配电系统仪表进行校核；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每年对低压配电柜进行在线清洁；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每年对低压配电系统绝缘情况进行检测。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（2）UPS</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每月对UPS进行外观检查；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每月对UPS进风口进行在线清洁；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每年对UPS主机进行电脑检查，确认各部件运行状况良好；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每年对UPS主机进行停机深度检查，重点检查风扇、电容等。</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（3）蓄电池</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每月清扫蓄电池组表面灰尘；</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每季度对蓄电池进行内阻专项检测；</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每季度对所有蓄电池组进行在线放电测试；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每年对蓄电池进行深度放电测试。</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（4）列头柜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每月对列头柜进行红外检测，重点检测开关接线端子、母排、电缆接头等；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每年对列头柜仪表进行校核；</w:t>
      </w:r>
    </w:p>
    <w:p>
      <w:pPr>
        <w:numPr>
          <w:ilvl w:val="0"/>
          <w:numId w:val="9"/>
        </w:numPr>
        <w:adjustRightInd w:val="0"/>
        <w:snapToGrid w:val="0"/>
        <w:spacing w:line="360" w:lineRule="auto"/>
        <w:ind w:left="0" w:firstLine="480" w:firstLineChars="200"/>
        <w:rPr>
          <w:rFonts w:ascii="宋体" w:eastAsia="宋体" w:hAnsi="宋体" w:cs="Times New Roman"/>
        </w:rPr>
      </w:pPr>
      <w:r>
        <w:rPr>
          <w:rFonts w:ascii="宋体" w:eastAsia="宋体" w:hAnsi="宋体" w:cs="宋体" w:hint="eastAsia"/>
          <w:sz w:val="24"/>
          <w:szCs w:val="24"/>
        </w:rPr>
        <w:t>每年对列头柜进行在线清洁。</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（5）PDU</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每月对PDU进行红外检测。</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（6）电线电缆</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每年对电缆进行红外温度检测，每根电缆检测位置至少包括两端及中间位置。</w:t>
      </w:r>
    </w:p>
    <w:p>
      <w:pPr>
        <w:adjustRightInd w:val="0"/>
        <w:snapToGrid w:val="0"/>
        <w:spacing w:line="360" w:lineRule="auto"/>
        <w:ind w:left="420" w:leftChars="200"/>
        <w:rPr>
          <w:rFonts w:ascii="宋体" w:eastAsia="宋体" w:hAnsi="宋体" w:cs="宋体"/>
        </w:rPr>
      </w:pPr>
      <w:r>
        <w:rPr>
          <w:rFonts w:ascii="宋体" w:eastAsia="宋体" w:hAnsi="宋体" w:cs="宋体" w:hint="eastAsia"/>
          <w:sz w:val="24"/>
          <w:szCs w:val="24"/>
        </w:rPr>
        <w:t>（7）办公配电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每季度检查办公配电设施运行情况；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每年清扫相关办公配电设施；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每年对办公配电设施进行红外检测。</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3.暖通设施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投标人应安排技术人员定期对相关暖通设施进行专项维护，维护内容包括：</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（1）机房空调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每季度更换所有空调过滤器；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每季度更换空调室内风机皮带；</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每半年对所有空调进行全方位检查并出具检查报告；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每半年对空调冷凝器进行一次停机深度清洁；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每半年检查一次空调冷凝水管道，确保畅通；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每半年更换一次空调加湿罐；</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（2）VRV空调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每月清洁空调送风口；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（3）新风</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每月更换新风过滤器；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每年对新风系统进行全方位检查；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根据实际需求不定期冲洗新风冷凝器。</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（4）办公区空调</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每月清洁空调送风口；</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每年对空调进行全方位检查；</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根据实际需求不定期冲洗空调冷凝器。</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4.消防设施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投标人应安排技术人员定期对消防设施进行专项维护，维护内容包括：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按照国家及省、市有关消防维保法规、规范性文件要求制定维护方案，按照方案进行消防设备设施周、月、季、年度维护工作；</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5.门禁设施</w:t>
      </w:r>
    </w:p>
    <w:p>
      <w:pPr>
        <w:snapToGrid w:val="0"/>
        <w:spacing w:line="360" w:lineRule="auto"/>
        <w:ind w:left="420"/>
        <w:jc w:val="left"/>
        <w:rPr>
          <w:rFonts w:ascii="宋体" w:eastAsia="宋体" w:hAnsi="宋体" w:cs="Times New Roman"/>
        </w:rPr>
      </w:pPr>
      <w:r>
        <w:rPr>
          <w:rFonts w:ascii="宋体" w:eastAsia="宋体" w:hAnsi="宋体" w:cs="Times New Roman" w:hint="eastAsia"/>
          <w:sz w:val="24"/>
          <w:szCs w:val="24"/>
        </w:rPr>
        <w:t>投标人应安排技术人员定期对门禁设施进行专项维护，维护内容包括：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负责门禁系统日常授权并做好授权记录；</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每月检查一次门禁读卡器运行状态；</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每季度对门禁授权数据进行备份；</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每半年对门禁授权情况进行梳理统计并报招标人核实确认；</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每年对门禁系统进行一次全方位检查并出具检查报告；</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不定期对门禁控制系统进行软件升级及漏洞修复，满足招标人的各项安全要求。</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6.视频安防监控设施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投标人应安排技术人员定期对视频安防监控设施进行专项维护，维护内容包括：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每月检查一次视频安防监控设施运行情况；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每季度对室外视频安防监控设施运行情况进行专项检查，重点检查管路密闭、线路老化、设施防水等；</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不定期对视频安防监控系统进行软件升级和漏洞修复，满足招标人的各项安全要求。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每年对视频安防监控系统进行一次全方位检查并出具检查报告。</w:t>
      </w:r>
    </w:p>
    <w:p>
      <w:pPr>
        <w:adjustRightInd w:val="0"/>
        <w:snapToGrid w:val="0"/>
        <w:spacing w:line="360" w:lineRule="auto"/>
        <w:ind w:firstLine="480" w:firstLineChars="200"/>
        <w:outlineLvl w:val="3"/>
        <w:rPr>
          <w:rFonts w:ascii="楷体_GB2312" w:eastAsia="楷体_GB2312" w:hAnsi="楷体_GB2312" w:cs="楷体_GB2312"/>
        </w:rPr>
      </w:pPr>
      <w:r>
        <w:rPr>
          <w:rFonts w:ascii="楷体_GB2312" w:eastAsia="楷体_GB2312" w:hAnsi="楷体_GB2312" w:cs="楷体_GB2312" w:hint="eastAsia"/>
          <w:sz w:val="24"/>
          <w:szCs w:val="24"/>
        </w:rPr>
        <w:t>7.动力环境监控设施</w:t>
      </w:r>
    </w:p>
    <w:p>
      <w:pPr>
        <w:snapToGrid w:val="0"/>
        <w:spacing w:line="360" w:lineRule="auto"/>
        <w:ind w:firstLine="480" w:firstLineChars="200"/>
        <w:jc w:val="left"/>
        <w:rPr>
          <w:rFonts w:ascii="宋体" w:eastAsia="宋体" w:hAnsi="宋体" w:cs="Times New Roman"/>
        </w:rPr>
      </w:pPr>
      <w:r>
        <w:rPr>
          <w:rFonts w:ascii="宋体" w:eastAsia="宋体" w:hAnsi="宋体" w:cs="Times New Roman" w:hint="eastAsia"/>
          <w:sz w:val="24"/>
          <w:szCs w:val="24"/>
        </w:rPr>
        <w:t>投标人应安排技术人员定期对动力环境监控设施进行专项维护，维护内容包括：</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每月检查一次动力环境监控设施运行情况；</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每月对动力环境监控系统报警功能进行抽检；</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每月对能耗、能效等指标进行梳理统计；</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每半年对动力环境监控设施进行精度校核；</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不定期对动力环境监控系统进行软件升级和漏洞修复，满足招标人的各项安全要求。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每年对动力环境监控系统进行一次全方位检查并出具检查报告。</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（三）应急处置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投标人负责服务范围内所有设施突发紧急情况时的应急处置工作，包括但不限于应急操作、故障排查、故障分析、故障修复等工作，故障处置流程应符合国地方及招标人相关规定。</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24小时值班人员具备突发紧急情况的处置资质和能力，可以直接按照相关规定和流程开展各类突发情况的应急处置工作；如24小时值守人员无法满足突发紧急情况的处置要求或能力，投标人应第一时间安排技术力量到现场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突发紧急情况采取分级管理模式，分为一级、二级、三级。三级为1天内不会影响招标人实时业务系统正常运行的突发紧急情况，投标人应及时向招标人报备，并合理安排人员和物资尽快处置；二级为30分钟内不会影响招标人实时业务系统正常运行的突发紧急情况，投标人应第一时间通知招标人并在招标人确认后开展处置工作；一级为30分钟内或已经影响实时业务系统正常运行的突发紧急情况，投标人应第一时间通知招标人并立即开展处置工作。</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如突发紧急情况短时间内即会影响招标人实时业务系统正常运行，投标人应在第一时间组织人员和物资进行突发紧急情况处置。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投标人应确保服务范围内所有机房场地环境设施的100%可用性，以不应影响招标人实时业务系统正常运行作为评判标准。</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（四）故障维修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投标人负责服务范围内所有设施故障维修工作，包括各类易耗品（包括但不限于</w:t>
      </w:r>
      <w:r>
        <w:rPr>
          <w:rFonts w:ascii="宋体" w:eastAsia="宋体" w:hAnsi="宋体" w:cs="宋体"/>
          <w:sz w:val="24"/>
          <w:szCs w:val="24"/>
        </w:rPr>
        <w:t>物业相关消耗品、</w:t>
      </w:r>
      <w:r>
        <w:rPr>
          <w:rFonts w:ascii="宋体" w:eastAsia="宋体" w:hAnsi="宋体" w:cs="宋体" w:hint="eastAsia"/>
          <w:sz w:val="24"/>
          <w:szCs w:val="24"/>
        </w:rPr>
        <w:t>空调过滤器、U</w:t>
      </w:r>
      <w:r>
        <w:rPr>
          <w:rFonts w:ascii="宋体" w:eastAsia="宋体" w:hAnsi="宋体" w:cs="宋体"/>
          <w:sz w:val="24"/>
          <w:szCs w:val="24"/>
        </w:rPr>
        <w:t>PS滤网、</w:t>
      </w:r>
      <w:r>
        <w:rPr>
          <w:rFonts w:ascii="宋体" w:eastAsia="宋体" w:hAnsi="宋体" w:cs="宋体" w:hint="eastAsia"/>
          <w:sz w:val="24"/>
          <w:szCs w:val="24"/>
        </w:rPr>
        <w:t>空调加湿罐、维护保养消耗品等）、备品备件、技术服务、更换设备/部件更换等全部费用。投标人承担的高压配电、低压配电、UPS、蓄电池、机房空调、新风机组、VRV空调等故障部件硬件费用不超过设备价格（以招标人采购价格为准）的20%，超过部分招标人承担相关费用。其它设施投标人承担全部软硬件费用。</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服务范围内设施发生故障后，投标人应在30分钟完成故障应急处置，24小时内完成维修。</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投标人应根据服务范围内设施情况在现场提前配置各类易耗品和备品备件，易耗品及备品备件明细在投标文件中提供清单。</w:t>
      </w:r>
    </w:p>
    <w:p>
      <w:pPr>
        <w:adjustRightInd w:val="0"/>
        <w:snapToGrid w:val="0"/>
        <w:spacing w:line="360" w:lineRule="auto"/>
        <w:ind w:firstLine="480" w:firstLineChars="200"/>
        <w:outlineLvl w:val="2"/>
        <w:rPr>
          <w:rFonts w:ascii="楷体_GB2312" w:eastAsia="楷体_GB2312" w:hAnsi="楷体_GB2312" w:cs="楷体_GB2312"/>
        </w:rPr>
      </w:pPr>
      <w:r>
        <w:rPr>
          <w:rFonts w:ascii="楷体_GB2312" w:eastAsia="楷体_GB2312" w:hAnsi="楷体_GB2312" w:cs="楷体_GB2312" w:hint="eastAsia"/>
          <w:sz w:val="24"/>
          <w:szCs w:val="24"/>
        </w:rPr>
        <w:t>（五）其它要求</w:t>
      </w:r>
    </w:p>
    <w:p>
      <w:pPr>
        <w:numPr>
          <w:ilvl w:val="0"/>
          <w:numId w:val="9"/>
        </w:numPr>
        <w:adjustRightInd w:val="0"/>
        <w:snapToGrid w:val="0"/>
        <w:spacing w:line="360" w:lineRule="auto"/>
        <w:ind w:left="0" w:firstLine="480" w:firstLineChars="200"/>
        <w:rPr>
          <w:rFonts w:ascii="宋体" w:eastAsia="宋体" w:hAnsi="宋体" w:cs="宋体"/>
        </w:rPr>
      </w:pPr>
      <w:r>
        <w:rPr>
          <w:rFonts w:ascii="宋体" w:eastAsia="宋体" w:hAnsi="宋体" w:cs="宋体" w:hint="eastAsia"/>
          <w:sz w:val="24"/>
          <w:szCs w:val="24"/>
        </w:rPr>
        <w:t>运行维护服务过程中，如有其它未尽事宜，投标人应按照招标人要求实施并承担相关费用。如因此产生额外费用，费用总额未超过投标报价总额的10%投标人承担相关费用；如费用总额超过投标报价总额的10%，超出部分由招标人承担相关费用。</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rsidR="00332AB0">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332AB0">
      <w:pPr>
        <w:adjustRightInd w:val="0"/>
        <w:snapToGrid w:val="0"/>
        <w:spacing w:before="156" w:beforeLines="50" w:line="360" w:lineRule="auto"/>
        <w:rPr>
          <w:rFonts w:ascii="宋体" w:hAnsi="宋体"/>
          <w:szCs w:val="21"/>
        </w:rPr>
      </w:pPr>
    </w:p>
    <w:p w:rsidR="00332AB0">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332AB0">
            <w:pPr>
              <w:rPr>
                <w:sz w:val="18"/>
                <w:szCs w:val="18"/>
              </w:rPr>
            </w:pPr>
            <w:r>
              <w:rPr>
                <w:rFonts w:hint="eastAsia"/>
                <w:sz w:val="18"/>
                <w:szCs w:val="18"/>
              </w:rPr>
              <w:t>序号</w:t>
            </w:r>
          </w:p>
        </w:tc>
        <w:tc>
          <w:tcPr>
            <w:tcW w:w="898" w:type="dxa"/>
            <w:vAlign w:val="center"/>
          </w:tcPr>
          <w:p w:rsidR="00332AB0">
            <w:pPr>
              <w:jc w:val="center"/>
              <w:rPr>
                <w:sz w:val="18"/>
                <w:szCs w:val="18"/>
              </w:rPr>
            </w:pPr>
            <w:r>
              <w:rPr>
                <w:rFonts w:hint="eastAsia"/>
                <w:sz w:val="18"/>
                <w:szCs w:val="18"/>
              </w:rPr>
              <w:t>对应</w:t>
            </w:r>
          </w:p>
          <w:p w:rsidR="00332AB0">
            <w:pPr>
              <w:jc w:val="center"/>
              <w:rPr>
                <w:sz w:val="18"/>
                <w:szCs w:val="18"/>
              </w:rPr>
            </w:pPr>
            <w:r>
              <w:rPr>
                <w:rFonts w:hint="eastAsia"/>
                <w:sz w:val="18"/>
                <w:szCs w:val="18"/>
              </w:rPr>
              <w:t>条款号</w:t>
            </w:r>
          </w:p>
        </w:tc>
        <w:tc>
          <w:tcPr>
            <w:tcW w:w="7347" w:type="dxa"/>
            <w:vAlign w:val="center"/>
          </w:tcPr>
          <w:p w:rsidR="00332AB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332AB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332AB0">
            <w:pPr>
              <w:numPr>
                <w:ilvl w:val="0"/>
                <w:numId w:val="12"/>
              </w:numPr>
              <w:rPr>
                <w:rFonts w:ascii="宋体" w:hAnsi="宋体"/>
                <w:sz w:val="18"/>
                <w:szCs w:val="18"/>
              </w:rPr>
            </w:pPr>
          </w:p>
        </w:tc>
        <w:tc>
          <w:tcPr>
            <w:tcW w:w="898" w:type="dxa"/>
            <w:vAlign w:val="center"/>
          </w:tcPr>
          <w:p w:rsidR="00332AB0">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8D7145" w:rsidP="008D7145">
            <w:pPr>
              <w:tabs>
                <w:tab w:val="left" w:pos="709"/>
              </w:tabs>
              <w:spacing w:line="360" w:lineRule="auto"/>
              <w:jc w:val="left"/>
              <w:rPr>
                <w:rFonts w:ascii="Calibri" w:hAnsi="Calibri" w:cs="微软雅黑"/>
                <w:kern w:val="0"/>
                <w:szCs w:val="21"/>
              </w:rPr>
            </w:pPr>
            <w:r>
              <w:rPr>
                <w:rFonts w:ascii="Calibri" w:hAnsi="Calibri" w:cs="微软雅黑" w:hint="eastAsia"/>
                <w:kern w:val="0"/>
                <w:szCs w:val="21"/>
              </w:rPr>
              <w:t>投标人应具有以下有效期超过投标截止日的资质：</w:t>
            </w:r>
          </w:p>
          <w:p w:rsidR="008D7145" w:rsidP="008D7145">
            <w:pPr>
              <w:tabs>
                <w:tab w:val="left" w:pos="709"/>
              </w:tabs>
              <w:spacing w:line="360" w:lineRule="auto"/>
              <w:jc w:val="left"/>
              <w:rPr>
                <w:rFonts w:ascii="宋体" w:hAnsi="宋体" w:cs="微软雅黑"/>
                <w:kern w:val="0"/>
                <w:szCs w:val="21"/>
              </w:rPr>
            </w:pPr>
            <w:r>
              <w:rPr>
                <w:rFonts w:ascii="宋体" w:hAnsi="宋体" w:cs="微软雅黑" w:hint="eastAsia"/>
                <w:kern w:val="0"/>
                <w:szCs w:val="21"/>
              </w:rPr>
              <w:t>1、承装（修、试）电力设施许可证三级及以上；</w:t>
            </w:r>
          </w:p>
          <w:p w:rsidR="008D7145" w:rsidP="008D7145">
            <w:pPr>
              <w:tabs>
                <w:tab w:val="left" w:pos="709"/>
              </w:tabs>
              <w:spacing w:line="360" w:lineRule="auto"/>
              <w:jc w:val="left"/>
              <w:rPr>
                <w:rFonts w:ascii="宋体" w:hAnsi="宋体" w:hint="eastAsia"/>
                <w:sz w:val="18"/>
                <w:szCs w:val="18"/>
              </w:rPr>
            </w:pPr>
            <w:r>
              <w:rPr>
                <w:rFonts w:ascii="宋体" w:hAnsi="宋体" w:cs="微软雅黑" w:hint="eastAsia"/>
                <w:kern w:val="0"/>
                <w:szCs w:val="21"/>
              </w:rPr>
              <w:t>2、在社会消防技术服务信息系统备案且备案内容至少包含消防设施维护保养检测。</w:t>
            </w:r>
          </w:p>
        </w:tc>
      </w:tr>
    </w:tbl>
    <w:p w:rsidR="00332AB0">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332AB0">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napToGrid w:val="0"/>
        <w:spacing w:line="360" w:lineRule="auto"/>
        <w:ind w:right="560"/>
        <w:jc w:val="left"/>
        <w:rPr>
          <w:rFonts w:hint="eastAsia"/>
          <w:b/>
          <w:color w:val="BFBFBF" w:themeColor="background1" w:themeShade="BF"/>
          <w:sz w:val="28"/>
          <w:szCs w:val="28"/>
        </w:rPr>
      </w:pPr>
      <w:bookmarkStart w:id="60" w:name="采购公告合同部分_ZBGGHT"/>
    </w:p>
    <w:p>
      <w:pPr>
        <w:snapToGrid w:val="0"/>
        <w:spacing w:line="360" w:lineRule="auto"/>
        <w:jc w:val="left"/>
        <w:rPr>
          <w:b/>
          <w:color w:val="BFBFBF" w:themeColor="background1" w:themeShade="BF"/>
          <w:sz w:val="28"/>
          <w:szCs w:val="28"/>
        </w:rPr>
      </w:pPr>
    </w:p>
    <w:p>
      <w:pPr>
        <w:snapToGrid w:val="0"/>
        <w:spacing w:line="360" w:lineRule="auto"/>
        <w:jc w:val="center"/>
        <w:rPr>
          <w:b/>
          <w:sz w:val="28"/>
          <w:szCs w:val="28"/>
        </w:rPr>
      </w:pPr>
    </w:p>
    <w:p>
      <w:pPr>
        <w:snapToGrid w:val="0"/>
        <w:spacing w:line="360" w:lineRule="auto"/>
        <w:jc w:val="center"/>
        <w:rPr>
          <w:b/>
          <w:bCs/>
          <w:sz w:val="30"/>
          <w:szCs w:val="30"/>
        </w:rPr>
      </w:pPr>
    </w:p>
    <w:p>
      <w:pPr>
        <w:snapToGrid w:val="0"/>
        <w:spacing w:line="360" w:lineRule="auto"/>
        <w:jc w:val="center"/>
        <w:rPr>
          <w:b/>
          <w:bCs/>
          <w:sz w:val="30"/>
          <w:szCs w:val="30"/>
        </w:rPr>
      </w:pPr>
    </w:p>
    <w:p>
      <w:pPr>
        <w:snapToGrid w:val="0"/>
        <w:spacing w:line="360" w:lineRule="auto"/>
        <w:jc w:val="center"/>
        <w:rPr>
          <w:b/>
          <w:bCs/>
          <w:sz w:val="30"/>
          <w:szCs w:val="30"/>
        </w:rPr>
      </w:pPr>
    </w:p>
    <w:p>
      <w:pPr>
        <w:snapToGrid w:val="0"/>
        <w:spacing w:line="360" w:lineRule="auto"/>
        <w:jc w:val="center"/>
        <w:rPr>
          <w:b/>
          <w:bCs/>
          <w:sz w:val="36"/>
          <w:szCs w:val="36"/>
        </w:rPr>
      </w:pPr>
      <w:r>
        <w:rPr>
          <w:rFonts w:hint="eastAsia"/>
          <w:b/>
          <w:bCs/>
          <w:sz w:val="36"/>
          <w:szCs w:val="36"/>
        </w:rPr>
        <w:t>合同协议书</w:t>
      </w:r>
    </w:p>
    <w:p>
      <w:pPr>
        <w:snapToGrid w:val="0"/>
        <w:spacing w:line="360" w:lineRule="auto"/>
        <w:rPr>
          <w:sz w:val="28"/>
          <w:szCs w:val="28"/>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snapToGrid w:val="0"/>
        <w:spacing w:line="360" w:lineRule="auto"/>
        <w:rPr>
          <w:szCs w:val="21"/>
        </w:rPr>
      </w:pPr>
    </w:p>
    <w:p>
      <w:pPr>
        <w:snapToGrid w:val="0"/>
        <w:spacing w:line="360" w:lineRule="auto"/>
        <w:rPr>
          <w:sz w:val="28"/>
          <w:szCs w:val="28"/>
        </w:rPr>
      </w:pPr>
      <w:r>
        <w:rPr>
          <w:rFonts w:hint="eastAsia"/>
          <w:sz w:val="28"/>
          <w:szCs w:val="28"/>
        </w:rPr>
        <w:t>项目名称：________________________________________</w:t>
      </w:r>
    </w:p>
    <w:p>
      <w:pPr>
        <w:snapToGrid w:val="0"/>
        <w:spacing w:line="360" w:lineRule="auto"/>
        <w:rPr>
          <w:sz w:val="28"/>
          <w:szCs w:val="28"/>
        </w:rPr>
      </w:pPr>
      <w:r>
        <w:rPr>
          <w:rFonts w:hint="eastAsia"/>
          <w:sz w:val="28"/>
          <w:szCs w:val="28"/>
        </w:rPr>
        <w:t>项目编号：________________________________________</w:t>
      </w:r>
    </w:p>
    <w:p>
      <w:pPr>
        <w:snapToGrid w:val="0"/>
        <w:spacing w:line="360" w:lineRule="auto"/>
        <w:rPr>
          <w:sz w:val="28"/>
          <w:szCs w:val="28"/>
        </w:rPr>
      </w:pPr>
      <w:r>
        <w:rPr>
          <w:rFonts w:hint="eastAsia"/>
          <w:sz w:val="28"/>
          <w:szCs w:val="28"/>
        </w:rPr>
        <w:t>合同编号：________________________________________</w:t>
      </w:r>
    </w:p>
    <w:p>
      <w:pPr>
        <w:snapToGrid w:val="0"/>
        <w:spacing w:line="360" w:lineRule="auto"/>
        <w:rPr>
          <w:szCs w:val="21"/>
        </w:rPr>
      </w:pPr>
      <w:r>
        <w:rPr>
          <w:szCs w:val="21"/>
        </w:rPr>
        <w:t xml:space="preserve">    </w:t>
      </w:r>
    </w:p>
    <w:p>
      <w:pPr>
        <w:snapToGrid w:val="0"/>
        <w:spacing w:line="360" w:lineRule="auto"/>
        <w:rPr>
          <w:szCs w:val="21"/>
        </w:rPr>
      </w:pPr>
    </w:p>
    <w:p>
      <w:pPr>
        <w:snapToGrid w:val="0"/>
        <w:spacing w:line="360" w:lineRule="auto"/>
        <w:rPr>
          <w:sz w:val="28"/>
          <w:szCs w:val="28"/>
        </w:rPr>
      </w:pPr>
      <w:r>
        <w:rPr>
          <w:rFonts w:hint="eastAsia"/>
          <w:sz w:val="28"/>
          <w:szCs w:val="28"/>
        </w:rPr>
        <w:t>甲方：_</w:t>
      </w:r>
      <w:r>
        <w:rPr>
          <w:rFonts w:hint="eastAsia"/>
          <w:sz w:val="28"/>
          <w:szCs w:val="28"/>
          <w:u w:val="single"/>
        </w:rPr>
        <w:t>国家气象信息</w:t>
      </w:r>
      <w:r>
        <w:rPr>
          <w:sz w:val="28"/>
          <w:szCs w:val="28"/>
          <w:u w:val="single"/>
        </w:rPr>
        <w:t>中心</w:t>
      </w:r>
      <w:r>
        <w:rPr>
          <w:rFonts w:hint="eastAsia"/>
          <w:sz w:val="28"/>
          <w:szCs w:val="28"/>
        </w:rPr>
        <w:t>_________________</w:t>
      </w:r>
    </w:p>
    <w:p>
      <w:pPr>
        <w:snapToGrid w:val="0"/>
        <w:spacing w:line="360" w:lineRule="auto"/>
        <w:rPr>
          <w:sz w:val="28"/>
          <w:szCs w:val="28"/>
        </w:rPr>
      </w:pPr>
      <w:r>
        <w:rPr>
          <w:rFonts w:hint="eastAsia"/>
          <w:sz w:val="28"/>
          <w:szCs w:val="28"/>
        </w:rPr>
        <w:t>乙方：______________________________________</w:t>
      </w:r>
    </w:p>
    <w:p>
      <w:pPr>
        <w:snapToGrid w:val="0"/>
        <w:spacing w:line="360" w:lineRule="auto"/>
        <w:jc w:val="center"/>
        <w:outlineLvl w:val="2"/>
        <w:rPr>
          <w:rFonts w:ascii="宋体" w:hAnsi="宋体"/>
          <w:szCs w:val="21"/>
        </w:rPr>
      </w:pPr>
      <w:r>
        <w:rPr>
          <w:b/>
          <w:sz w:val="28"/>
          <w:szCs w:val="28"/>
        </w:rPr>
        <w:br w:type="page"/>
      </w:r>
    </w:p>
    <w:p>
      <w:pPr>
        <w:tabs>
          <w:tab w:val="left" w:pos="1573"/>
        </w:tabs>
        <w:snapToGrid w:val="0"/>
        <w:spacing w:line="360" w:lineRule="auto"/>
        <w:jc w:val="center"/>
        <w:rPr>
          <w:rFonts w:ascii="宋体" w:hAnsi="宋体"/>
          <w:szCs w:val="21"/>
        </w:rPr>
      </w:pPr>
      <w:r>
        <w:rPr>
          <w:rFonts w:ascii="宋体" w:hAnsi="宋体" w:hint="eastAsia"/>
          <w:b/>
          <w:sz w:val="28"/>
          <w:szCs w:val="28"/>
        </w:rPr>
        <w:t xml:space="preserve"> </w:t>
      </w:r>
    </w:p>
    <w:p>
      <w:pPr>
        <w:tabs>
          <w:tab w:val="left" w:pos="1573"/>
        </w:tabs>
        <w:adjustRightInd w:val="0"/>
        <w:snapToGrid w:val="0"/>
        <w:spacing w:line="360" w:lineRule="auto"/>
        <w:rPr>
          <w:rFonts w:ascii="宋体" w:hAnsi="宋体"/>
          <w:szCs w:val="21"/>
        </w:rPr>
      </w:pP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____(以下简称“甲方”)在本项目中所需货物和服务由</w:t>
      </w:r>
      <w:r>
        <w:rPr>
          <w:rFonts w:ascii="宋体" w:hAnsi="宋体" w:hint="eastAsia"/>
          <w:szCs w:val="21"/>
          <w:u w:val="single"/>
        </w:rPr>
        <w:t>中国气象局政府采购中心</w:t>
      </w:r>
      <w:r>
        <w:rPr>
          <w:rFonts w:ascii="宋体" w:hAnsi="宋体" w:hint="eastAsia"/>
          <w:szCs w:val="21"/>
        </w:rPr>
        <w:t>在境内进行公开招标，经评审委员会评定，确定________________________(以下简称“乙方”)为中标人。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甲乙双方</w:t>
      </w:r>
      <w:r>
        <w:rPr>
          <w:rFonts w:hint="eastAsia"/>
          <w:szCs w:val="21"/>
        </w:rPr>
        <w:t>根据《中华人民共和国民法典》、《中华人民共和国政府采购法》、和《中华人民共和国招标投标法》等相关法律法规以及本项目招标文件的规定，经平等协商，</w:t>
      </w:r>
      <w:r>
        <w:rPr>
          <w:rFonts w:ascii="宋体" w:hAnsi="宋体" w:hint="eastAsia"/>
          <w:szCs w:val="21"/>
        </w:rPr>
        <w:t>同意按下述条款和条件签署________________________ 采购合同(以下简称“合同”)。</w:t>
      </w:r>
    </w:p>
    <w:p>
      <w:pPr>
        <w:pStyle w:val="NormalIndent"/>
        <w:adjustRightInd w:val="0"/>
        <w:snapToGrid w:val="0"/>
        <w:spacing w:line="360" w:lineRule="auto"/>
        <w:outlineLvl w:val="0"/>
        <w:rPr>
          <w:rFonts w:ascii="宋体" w:hAnsi="宋体"/>
          <w:b/>
          <w:szCs w:val="21"/>
        </w:rPr>
      </w:pPr>
      <w:r>
        <w:rPr>
          <w:rFonts w:ascii="宋体" w:hAnsi="宋体" w:hint="eastAsia"/>
          <w:b/>
          <w:szCs w:val="21"/>
        </w:rPr>
        <w:t>一、定义</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pPr>
        <w:adjustRightInd w:val="0"/>
        <w:snapToGrid w:val="0"/>
        <w:spacing w:line="360" w:lineRule="auto"/>
        <w:ind w:firstLine="420" w:firstLineChars="200"/>
        <w:rPr>
          <w:rFonts w:ascii="宋体" w:hAnsi="宋体"/>
          <w:szCs w:val="21"/>
        </w:rPr>
      </w:pPr>
      <w:r>
        <w:rPr>
          <w:rFonts w:ascii="宋体" w:hAnsi="宋体" w:hint="eastAsia"/>
          <w:kern w:val="0"/>
          <w:szCs w:val="21"/>
          <w:lang w:val="zh-CN"/>
        </w:rPr>
        <w:t>1、</w:t>
      </w:r>
      <w:r>
        <w:rPr>
          <w:rFonts w:ascii="宋体" w:hAnsi="宋体" w:hint="eastAsia"/>
          <w:kern w:val="0"/>
          <w:szCs w:val="21"/>
        </w:rPr>
        <w:t>“</w:t>
      </w:r>
      <w:r>
        <w:rPr>
          <w:rFonts w:ascii="宋体" w:hAnsi="宋体" w:hint="eastAsia"/>
          <w:szCs w:val="21"/>
        </w:rPr>
        <w:t>合同”系指甲乙双方签署的、合同格式中载明的甲乙双方所达成的协议，包括所有的附件、附录和上述文件所提到的构成合同的所有文件。</w:t>
      </w:r>
    </w:p>
    <w:p>
      <w:pPr>
        <w:adjustRightInd w:val="0"/>
        <w:snapToGrid w:val="0"/>
        <w:spacing w:line="360" w:lineRule="auto"/>
        <w:ind w:firstLine="420" w:firstLineChars="200"/>
        <w:rPr>
          <w:rFonts w:ascii="宋体" w:hAnsi="宋体"/>
          <w:szCs w:val="21"/>
        </w:rPr>
      </w:pPr>
      <w:r>
        <w:rPr>
          <w:rFonts w:ascii="宋体" w:hAnsi="宋体" w:hint="eastAsia"/>
          <w:szCs w:val="21"/>
        </w:rPr>
        <w:t>2、“合同价”系指根据合同规定乙方在正确地完全履行合同义务后甲方应支付给乙方的价格。</w:t>
      </w:r>
    </w:p>
    <w:p>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、“合同条款”是指本合同条款。</w:t>
      </w:r>
    </w:p>
    <w:p>
      <w:pPr>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、“服务”系指如数据分析等技术文件中所描述的活动。服务亦包括技术文件中特别描述的其它形式的服务。</w:t>
      </w:r>
    </w:p>
    <w:p>
      <w:pPr>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、“资料”系指依据合同规定，由乙方提供数据、报告、图表等资料。</w:t>
      </w:r>
    </w:p>
    <w:p>
      <w:pPr>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、“天”指日历天数。</w:t>
      </w:r>
    </w:p>
    <w:p>
      <w:pPr>
        <w:adjustRightInd w:val="0"/>
        <w:snapToGrid w:val="0"/>
        <w:spacing w:line="360" w:lineRule="auto"/>
        <w:ind w:firstLine="420" w:firstLineChars="200"/>
        <w:rPr>
          <w:rFonts w:ascii="宋体" w:hAnsi="宋体"/>
          <w:szCs w:val="21"/>
        </w:rPr>
      </w:pPr>
      <w:r>
        <w:rPr>
          <w:rFonts w:ascii="宋体" w:hAnsi="宋体"/>
          <w:szCs w:val="21"/>
        </w:rPr>
        <w:t>7</w:t>
      </w:r>
      <w:r>
        <w:rPr>
          <w:rFonts w:ascii="宋体" w:hAnsi="宋体" w:hint="eastAsia"/>
          <w:szCs w:val="21"/>
        </w:rPr>
        <w:t>、“附件”是指与本合同的订立、履行有关的，经甲乙双方认可的，对本合同约定的内容进行细化、补充、修改、变更的文件、图纸、音像制品等资料。</w:t>
      </w:r>
    </w:p>
    <w:p>
      <w:pPr>
        <w:adjustRightInd w:val="0"/>
        <w:snapToGrid w:val="0"/>
        <w:spacing w:line="360" w:lineRule="auto"/>
        <w:ind w:firstLine="420" w:firstLineChars="200"/>
        <w:rPr>
          <w:rFonts w:ascii="宋体" w:hAnsi="宋体"/>
          <w:szCs w:val="21"/>
        </w:rPr>
      </w:pPr>
      <w:r>
        <w:rPr>
          <w:rFonts w:ascii="宋体" w:hAnsi="宋体"/>
          <w:szCs w:val="21"/>
        </w:rPr>
        <w:t>8</w:t>
      </w:r>
      <w:r>
        <w:rPr>
          <w:rFonts w:ascii="宋体" w:hAnsi="宋体" w:hint="eastAsia"/>
          <w:szCs w:val="21"/>
        </w:rPr>
        <w:t>、“第三人”是指本合同双方以外的任何中国境内、外的自然人、法人或其他经济组织。</w:t>
      </w:r>
    </w:p>
    <w:p>
      <w:pPr>
        <w:adjustRightInd w:val="0"/>
        <w:snapToGrid w:val="0"/>
        <w:spacing w:line="360" w:lineRule="auto"/>
        <w:ind w:firstLine="420" w:firstLineChars="200"/>
        <w:rPr>
          <w:rFonts w:ascii="宋体" w:hAnsi="宋体"/>
          <w:szCs w:val="21"/>
        </w:rPr>
      </w:pPr>
      <w:r>
        <w:rPr>
          <w:rFonts w:ascii="宋体" w:hAnsi="宋体"/>
          <w:szCs w:val="21"/>
        </w:rPr>
        <w:t>9</w:t>
      </w:r>
      <w:r>
        <w:rPr>
          <w:rFonts w:ascii="宋体" w:hAnsi="宋体" w:hint="eastAsia"/>
          <w:szCs w:val="21"/>
        </w:rPr>
        <w:t>、“法律、法规”是指由中国有关部门制定的法律、行政法规、地方性法规、规章及其他规范性文件以及经全国人民代表大会常务委员会批准的中国缔结、参加的国际条（公）约的有关规定。</w:t>
      </w:r>
    </w:p>
    <w:p>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0</w:t>
      </w:r>
      <w:r>
        <w:rPr>
          <w:rFonts w:ascii="宋体" w:hAnsi="宋体" w:hint="eastAsia"/>
          <w:szCs w:val="21"/>
        </w:rPr>
        <w:t>、“合同标的”甲方同意从乙方购买，乙方同意向甲方出售合同货物清单（同投标文件中供货清单）中所列未曾销售并未曾使用过的、 未曾返修过且新下线的、崭新的、正品合格品货物及相关服务。</w:t>
      </w:r>
    </w:p>
    <w:p>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、“招标文件”指采购机构发布的本项目招标文件。</w:t>
      </w:r>
    </w:p>
    <w:p>
      <w:pPr>
        <w:adjustRightInd w:val="0"/>
        <w:snapToGrid w:val="0"/>
        <w:spacing w:line="360" w:lineRule="auto"/>
        <w:ind w:firstLine="420" w:firstLineChars="200"/>
        <w:rPr>
          <w:rFonts w:ascii="宋体" w:hAnsi="宋体"/>
          <w:szCs w:val="21"/>
        </w:rPr>
      </w:pPr>
      <w:r>
        <w:rPr>
          <w:rFonts w:ascii="宋体" w:hAnsi="宋体"/>
          <w:szCs w:val="21"/>
        </w:rPr>
        <w:t>12</w:t>
      </w:r>
      <w:r>
        <w:rPr>
          <w:rFonts w:ascii="宋体" w:hAnsi="宋体" w:hint="eastAsia"/>
          <w:szCs w:val="21"/>
        </w:rPr>
        <w:t>、“投标文件”指乙方按照采购机构发布的本项目招标文件的要求 编制和投递，并最终被采购机构接受的投标文件。</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w:t>
      </w:r>
      <w:bookmarkStart w:id="61" w:name="OLE_LINK26"/>
      <w:bookmarkStart w:id="62" w:name="OLE_LINK25"/>
      <w:r>
        <w:rPr>
          <w:rFonts w:ascii="宋体" w:hAnsi="宋体" w:hint="eastAsia"/>
          <w:szCs w:val="21"/>
        </w:rPr>
        <w:t>“履约保函”指由银行向甲方开具的履约保函，有效期截止时间不得早于合同最终验收时间。</w:t>
      </w:r>
      <w:bookmarkEnd w:id="61"/>
      <w:bookmarkEnd w:id="62"/>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14、“预付款保函”指由银行向甲方开具的预付款保函，有效期截止时间不得早于合同最终验收时间。</w:t>
      </w:r>
    </w:p>
    <w:p>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二、合同文件</w:t>
      </w:r>
    </w:p>
    <w:p>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pPr>
        <w:snapToGrid w:val="0"/>
        <w:spacing w:line="360" w:lineRule="auto"/>
        <w:ind w:firstLine="315" w:firstLineChars="150"/>
        <w:rPr>
          <w:rFonts w:ascii="宋体" w:hAnsi="宋体"/>
          <w:szCs w:val="21"/>
        </w:rPr>
      </w:pPr>
      <w:r>
        <w:rPr>
          <w:rFonts w:ascii="宋体" w:hAnsi="宋体" w:hint="eastAsia"/>
          <w:szCs w:val="21"/>
        </w:rPr>
        <w:t>（三）服务产品质量及报价表</w:t>
      </w:r>
    </w:p>
    <w:p>
      <w:pPr>
        <w:snapToGrid w:val="0"/>
        <w:spacing w:line="360" w:lineRule="auto"/>
        <w:ind w:firstLine="315" w:firstLineChars="150"/>
        <w:rPr>
          <w:rFonts w:ascii="宋体" w:hAnsi="宋体"/>
          <w:szCs w:val="21"/>
        </w:rPr>
      </w:pPr>
      <w:r>
        <w:rPr>
          <w:rFonts w:ascii="宋体" w:hAnsi="宋体" w:hint="eastAsia"/>
          <w:szCs w:val="21"/>
        </w:rPr>
        <w:t>（四）项目实施方案</w:t>
      </w:r>
    </w:p>
    <w:p>
      <w:pPr>
        <w:snapToGrid w:val="0"/>
        <w:spacing w:line="360" w:lineRule="auto"/>
        <w:ind w:firstLine="315" w:firstLineChars="150"/>
        <w:rPr>
          <w:rFonts w:ascii="宋体" w:hAnsi="宋体"/>
          <w:szCs w:val="21"/>
        </w:rPr>
      </w:pPr>
      <w:r>
        <w:rPr>
          <w:rFonts w:ascii="宋体" w:hAnsi="宋体" w:hint="eastAsia"/>
          <w:szCs w:val="21"/>
        </w:rPr>
        <w:t>（五）验收办法</w:t>
      </w:r>
    </w:p>
    <w:p>
      <w:pPr>
        <w:snapToGrid w:val="0"/>
        <w:spacing w:line="360" w:lineRule="auto"/>
        <w:ind w:firstLine="315" w:firstLineChars="150"/>
        <w:rPr>
          <w:rFonts w:ascii="宋体" w:hAnsi="宋体"/>
          <w:szCs w:val="21"/>
        </w:rPr>
      </w:pPr>
      <w:r>
        <w:rPr>
          <w:rFonts w:ascii="宋体" w:hAnsi="宋体" w:hint="eastAsia"/>
          <w:szCs w:val="21"/>
        </w:rPr>
        <w:t>（六）中标通知书</w:t>
      </w:r>
    </w:p>
    <w:p>
      <w:pPr>
        <w:snapToGrid w:val="0"/>
        <w:spacing w:line="360" w:lineRule="auto"/>
        <w:ind w:firstLine="315" w:firstLineChars="150"/>
        <w:rPr>
          <w:rFonts w:ascii="宋体" w:hAnsi="宋体"/>
          <w:szCs w:val="21"/>
        </w:rPr>
      </w:pPr>
      <w:r>
        <w:rPr>
          <w:rFonts w:ascii="宋体" w:hAnsi="宋体" w:hint="eastAsia"/>
          <w:szCs w:val="21"/>
        </w:rPr>
        <w:t>（七）服务产品提供方式</w:t>
      </w:r>
    </w:p>
    <w:p>
      <w:pPr>
        <w:pStyle w:val="NormalIndent"/>
        <w:adjustRightInd w:val="0"/>
        <w:snapToGrid w:val="0"/>
        <w:spacing w:line="360" w:lineRule="auto"/>
        <w:outlineLvl w:val="0"/>
        <w:rPr>
          <w:rFonts w:ascii="宋体" w:hAnsi="宋体"/>
          <w:b/>
          <w:szCs w:val="21"/>
        </w:rPr>
      </w:pPr>
      <w:r>
        <w:rPr>
          <w:rFonts w:ascii="宋体" w:hAnsi="宋体" w:hint="eastAsia"/>
          <w:b/>
          <w:szCs w:val="21"/>
        </w:rPr>
        <w:t>三、合同范围和条件</w:t>
      </w:r>
    </w:p>
    <w:p>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pPr>
        <w:pStyle w:val="NormalIndent"/>
        <w:adjustRightInd w:val="0"/>
        <w:snapToGrid w:val="0"/>
        <w:spacing w:line="360" w:lineRule="auto"/>
        <w:outlineLvl w:val="0"/>
        <w:rPr>
          <w:rFonts w:ascii="宋体" w:hAnsi="宋体"/>
          <w:b/>
          <w:szCs w:val="21"/>
        </w:rPr>
      </w:pPr>
      <w:r>
        <w:rPr>
          <w:rFonts w:ascii="宋体" w:hAnsi="宋体" w:hint="eastAsia"/>
          <w:b/>
          <w:szCs w:val="21"/>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价格（元）</w:t>
            </w:r>
          </w:p>
        </w:tc>
        <w:tc>
          <w:tcPr>
            <w:tcW w:w="1275" w:type="dxa"/>
            <w:vAlign w:val="center"/>
          </w:tcPr>
          <w:p>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合同最终验收时间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bl>
    <w:p>
      <w:pPr>
        <w:tabs>
          <w:tab w:val="left" w:pos="1480"/>
        </w:tabs>
        <w:adjustRightInd w:val="0"/>
        <w:snapToGrid w:val="0"/>
        <w:spacing w:line="360" w:lineRule="auto"/>
        <w:ind w:firstLine="420" w:firstLineChars="200"/>
        <w:jc w:val="left"/>
        <w:rPr>
          <w:rFonts w:ascii="宋体" w:hAnsi="宋体"/>
          <w:szCs w:val="21"/>
        </w:rPr>
      </w:pPr>
    </w:p>
    <w:p>
      <w:pPr>
        <w:tabs>
          <w:tab w:val="left" w:pos="1480"/>
        </w:tabs>
        <w:adjustRightInd w:val="0"/>
        <w:snapToGrid w:val="0"/>
        <w:spacing w:line="360" w:lineRule="auto"/>
        <w:ind w:firstLine="420" w:firstLineChars="200"/>
        <w:jc w:val="left"/>
        <w:rPr>
          <w:rFonts w:ascii="宋体" w:hAnsi="宋体"/>
          <w:szCs w:val="21"/>
        </w:rPr>
      </w:pPr>
      <w:r>
        <w:rPr>
          <w:rFonts w:ascii="宋体" w:hAnsi="宋体" w:hint="eastAsia"/>
          <w:szCs w:val="21"/>
        </w:rPr>
        <w:t>交付地点：</w:t>
      </w:r>
      <w:r>
        <w:rPr>
          <w:rFonts w:ascii="宋体" w:hAnsi="宋体" w:hint="eastAsia"/>
          <w:szCs w:val="21"/>
          <w:u w:val="single"/>
        </w:rPr>
        <w:t xml:space="preserve">                                                    </w:t>
      </w:r>
    </w:p>
    <w:p>
      <w:pPr>
        <w:pStyle w:val="NormalIndent"/>
        <w:adjustRightInd w:val="0"/>
        <w:snapToGrid w:val="0"/>
        <w:spacing w:line="360" w:lineRule="auto"/>
        <w:outlineLvl w:val="0"/>
        <w:rPr>
          <w:rFonts w:ascii="宋体" w:hAnsi="宋体"/>
          <w:b/>
          <w:szCs w:val="21"/>
        </w:rPr>
      </w:pPr>
      <w:bookmarkStart w:id="63" w:name="OLE_LINK2"/>
      <w:bookmarkStart w:id="64" w:name="OLE_LINK1"/>
      <w:r>
        <w:rPr>
          <w:rFonts w:ascii="宋体" w:hAnsi="宋体" w:hint="eastAsia"/>
          <w:b/>
          <w:szCs w:val="21"/>
        </w:rPr>
        <w:t>五、</w:t>
      </w:r>
      <w:bookmarkStart w:id="65" w:name="_Toc86202595"/>
      <w:r>
        <w:rPr>
          <w:rFonts w:ascii="宋体" w:hAnsi="宋体" w:hint="eastAsia"/>
          <w:b/>
          <w:szCs w:val="21"/>
        </w:rPr>
        <w:t>合同</w:t>
      </w:r>
      <w:bookmarkEnd w:id="65"/>
      <w:r>
        <w:rPr>
          <w:rFonts w:ascii="宋体" w:hAnsi="宋体" w:hint="eastAsia"/>
          <w:b/>
          <w:szCs w:val="21"/>
        </w:rPr>
        <w:t>金额</w:t>
      </w:r>
      <w:r>
        <w:rPr>
          <w:rFonts w:ascii="宋体" w:hAnsi="宋体"/>
          <w:b/>
          <w:szCs w:val="21"/>
        </w:rPr>
        <w:t>及付款方式</w:t>
      </w:r>
    </w:p>
    <w:p>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1、根据上述合同文件要求，合同的总金额为人民币：________元 (大写)，_______元（小写），分项价格详见合同服务产品清单。</w:t>
      </w:r>
    </w:p>
    <w:p>
      <w:pPr>
        <w:pStyle w:val="NormalWeb"/>
        <w:widowControl/>
        <w:spacing w:beforeAutospacing="0" w:afterAutospacing="0" w:line="360" w:lineRule="auto"/>
        <w:ind w:firstLine="420" w:firstLineChars="200"/>
        <w:rPr>
          <w:rFonts w:ascii="宋体" w:hAnsi="宋体" w:hint="eastAsia"/>
          <w:kern w:val="2"/>
          <w:sz w:val="21"/>
          <w:szCs w:val="21"/>
        </w:rPr>
      </w:pPr>
      <w:r>
        <w:rPr>
          <w:rFonts w:ascii="宋体" w:hAnsi="宋体" w:hint="eastAsia"/>
          <w:kern w:val="2"/>
          <w:sz w:val="21"/>
          <w:szCs w:val="21"/>
        </w:rPr>
        <w:t>2、</w:t>
      </w:r>
      <w:bookmarkStart w:id="66" w:name="OLE_LINK14"/>
      <w:bookmarkStart w:id="67" w:name="OLE_LINK13"/>
      <w:r>
        <w:rPr>
          <w:rFonts w:ascii="宋体" w:hAnsi="宋体" w:hint="eastAsia"/>
          <w:kern w:val="2"/>
          <w:sz w:val="21"/>
          <w:szCs w:val="21"/>
        </w:rPr>
        <w:t>甲乙双方签署合同后</w:t>
      </w:r>
      <w:r>
        <w:rPr>
          <w:rFonts w:ascii="宋体" w:hAnsi="宋体" w:hint="eastAsia"/>
          <w:kern w:val="2"/>
          <w:sz w:val="21"/>
          <w:szCs w:val="21"/>
          <w:u w:val="single"/>
        </w:rPr>
        <w:t>10</w:t>
      </w:r>
      <w:bookmarkStart w:id="68" w:name="OLE_LINK6"/>
      <w:bookmarkStart w:id="69" w:name="OLE_LINK5"/>
      <w:r>
        <w:rPr>
          <w:rFonts w:ascii="宋体" w:hAnsi="宋体" w:hint="eastAsia"/>
          <w:kern w:val="2"/>
          <w:sz w:val="21"/>
          <w:szCs w:val="21"/>
        </w:rPr>
        <w:t>个工作日内</w:t>
      </w:r>
      <w:bookmarkEnd w:id="68"/>
      <w:bookmarkEnd w:id="69"/>
      <w:r>
        <w:rPr>
          <w:rFonts w:ascii="宋体" w:hAnsi="宋体" w:hint="eastAsia"/>
          <w:kern w:val="2"/>
          <w:sz w:val="21"/>
          <w:szCs w:val="21"/>
        </w:rPr>
        <w:t>，</w:t>
      </w:r>
      <w:bookmarkEnd w:id="66"/>
      <w:bookmarkEnd w:id="67"/>
      <w:bookmarkStart w:id="70" w:name="OLE_LINK16"/>
      <w:bookmarkStart w:id="71" w:name="OLE_LINK15"/>
      <w:r>
        <w:rPr>
          <w:rFonts w:ascii="宋体" w:hAnsi="宋体" w:hint="eastAsia"/>
          <w:kern w:val="2"/>
          <w:sz w:val="21"/>
          <w:szCs w:val="21"/>
        </w:rPr>
        <w:t>乙方向甲方提供</w:t>
      </w:r>
      <w:bookmarkStart w:id="72" w:name="OLE_LINK24"/>
      <w:bookmarkStart w:id="73" w:name="OLE_LINK23"/>
      <w:r>
        <w:rPr>
          <w:rFonts w:ascii="宋体" w:hAnsi="宋体" w:hint="eastAsia"/>
          <w:kern w:val="2"/>
          <w:sz w:val="21"/>
          <w:szCs w:val="21"/>
        </w:rPr>
        <w:t>合同总金额</w:t>
      </w:r>
      <w:bookmarkEnd w:id="70"/>
      <w:bookmarkEnd w:id="71"/>
      <w:bookmarkStart w:id="74" w:name="OLE_LINK17"/>
      <w:bookmarkStart w:id="75" w:name="OLE_LINK18"/>
      <w:r>
        <w:rPr>
          <w:rFonts w:ascii="宋体" w:hAnsi="宋体" w:hint="eastAsia"/>
          <w:kern w:val="2"/>
          <w:sz w:val="21"/>
          <w:szCs w:val="21"/>
          <w:u w:val="single"/>
        </w:rPr>
        <w:t>10%</w:t>
      </w:r>
      <w:bookmarkEnd w:id="74"/>
      <w:bookmarkEnd w:id="75"/>
      <w:r>
        <w:rPr>
          <w:rFonts w:ascii="宋体" w:hAnsi="宋体" w:hint="eastAsia"/>
          <w:kern w:val="2"/>
          <w:sz w:val="21"/>
          <w:szCs w:val="21"/>
        </w:rPr>
        <w:t>的履约保函，</w:t>
      </w:r>
      <w:bookmarkStart w:id="76" w:name="OLE_LINK20"/>
      <w:bookmarkStart w:id="77" w:name="OLE_LINK19"/>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 xml:space="preserve"> 元（小写），有效期截止</w:t>
      </w:r>
      <w:r>
        <w:rPr>
          <w:rFonts w:ascii="宋体" w:hAnsi="宋体" w:hint="eastAsia"/>
          <w:kern w:val="2"/>
          <w:sz w:val="21"/>
          <w:szCs w:val="21"/>
          <w:u w:val="single"/>
        </w:rPr>
        <w:t xml:space="preserve">     </w:t>
      </w:r>
      <w:r>
        <w:rPr>
          <w:rFonts w:ascii="宋体" w:hAnsi="宋体" w:hint="eastAsia"/>
          <w:kern w:val="2"/>
          <w:sz w:val="21"/>
          <w:szCs w:val="21"/>
        </w:rPr>
        <w:t>年</w:t>
      </w:r>
      <w:r>
        <w:rPr>
          <w:rFonts w:ascii="宋体" w:hAnsi="宋体" w:hint="eastAsia"/>
          <w:kern w:val="2"/>
          <w:sz w:val="21"/>
          <w:szCs w:val="21"/>
          <w:u w:val="single"/>
        </w:rPr>
        <w:t xml:space="preserve">   </w:t>
      </w:r>
      <w:r>
        <w:rPr>
          <w:rFonts w:ascii="宋体" w:hAnsi="宋体" w:hint="eastAsia"/>
          <w:kern w:val="2"/>
          <w:sz w:val="21"/>
          <w:szCs w:val="21"/>
        </w:rPr>
        <w:t>月</w:t>
      </w:r>
      <w:r>
        <w:rPr>
          <w:rFonts w:ascii="宋体" w:hAnsi="宋体" w:hint="eastAsia"/>
          <w:kern w:val="2"/>
          <w:sz w:val="21"/>
          <w:szCs w:val="21"/>
          <w:u w:val="single"/>
        </w:rPr>
        <w:t xml:space="preserve">   </w:t>
      </w:r>
      <w:r>
        <w:rPr>
          <w:rFonts w:ascii="宋体" w:hAnsi="宋体" w:hint="eastAsia"/>
          <w:kern w:val="2"/>
          <w:sz w:val="21"/>
          <w:szCs w:val="21"/>
        </w:rPr>
        <w:t>日。</w:t>
      </w:r>
      <w:bookmarkEnd w:id="72"/>
      <w:bookmarkEnd w:id="73"/>
      <w:bookmarkEnd w:id="76"/>
      <w:bookmarkEnd w:id="77"/>
      <w:bookmarkStart w:id="78" w:name="OLE_LINK21"/>
      <w:bookmarkStart w:id="79" w:name="OLE_LINK22"/>
      <w:r>
        <w:rPr>
          <w:rFonts w:ascii="宋体" w:hAnsi="宋体" w:hint="eastAsia"/>
          <w:kern w:val="2"/>
          <w:sz w:val="21"/>
          <w:szCs w:val="21"/>
        </w:rPr>
        <w:t>甲方收到乙方提供的履约保函后</w:t>
      </w:r>
      <w:r>
        <w:rPr>
          <w:rFonts w:ascii="宋体" w:hAnsi="宋体" w:hint="eastAsia"/>
          <w:kern w:val="2"/>
          <w:sz w:val="21"/>
          <w:szCs w:val="21"/>
          <w:u w:val="single"/>
        </w:rPr>
        <w:t xml:space="preserve"> 10</w:t>
      </w:r>
      <w:bookmarkStart w:id="80" w:name="OLE_LINK7"/>
      <w:bookmarkStart w:id="81" w:name="OLE_LINK8"/>
      <w:r>
        <w:rPr>
          <w:rFonts w:ascii="宋体" w:hAnsi="宋体" w:hint="eastAsia"/>
          <w:sz w:val="21"/>
          <w:szCs w:val="21"/>
        </w:rPr>
        <w:t>个工作日</w:t>
      </w:r>
      <w:bookmarkEnd w:id="80"/>
      <w:bookmarkEnd w:id="81"/>
      <w:r>
        <w:rPr>
          <w:rFonts w:ascii="宋体" w:hAnsi="宋体" w:hint="eastAsia"/>
          <w:sz w:val="21"/>
          <w:szCs w:val="21"/>
        </w:rPr>
        <w:t>内，</w:t>
      </w:r>
      <w:r>
        <w:rPr>
          <w:rFonts w:ascii="宋体" w:hAnsi="宋体" w:hint="eastAsia"/>
          <w:kern w:val="2"/>
          <w:sz w:val="21"/>
          <w:szCs w:val="21"/>
        </w:rPr>
        <w:t>向乙方支付合同总金额的</w:t>
      </w:r>
      <w:r>
        <w:rPr>
          <w:rFonts w:ascii="宋体" w:hAnsi="宋体" w:hint="eastAsia"/>
          <w:kern w:val="2"/>
          <w:sz w:val="21"/>
          <w:szCs w:val="21"/>
          <w:u w:val="single"/>
        </w:rPr>
        <w:t>100%</w:t>
      </w:r>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元（小写）。</w:t>
      </w:r>
      <w:bookmarkEnd w:id="78"/>
      <w:bookmarkEnd w:id="79"/>
    </w:p>
    <w:p>
      <w:pPr>
        <w:pStyle w:val="NormalWeb"/>
        <w:widowControl/>
        <w:spacing w:beforeAutospacing="0" w:afterAutospacing="0" w:line="360" w:lineRule="auto"/>
        <w:ind w:firstLine="420" w:firstLineChars="200"/>
        <w:rPr>
          <w:rFonts w:ascii="宋体" w:hAnsi="宋体" w:hint="eastAsia"/>
          <w:i/>
          <w:kern w:val="2"/>
          <w:sz w:val="21"/>
          <w:szCs w:val="21"/>
          <w:shd w:val="pct10" w:color="auto" w:fill="FFFFFF"/>
        </w:rPr>
      </w:pPr>
      <w:r>
        <w:rPr>
          <w:rFonts w:ascii="宋体" w:hAnsi="宋体" w:hint="eastAsia"/>
          <w:kern w:val="2"/>
          <w:sz w:val="21"/>
          <w:szCs w:val="21"/>
          <w:shd w:val="pct10" w:color="auto" w:fill="FFFFFF"/>
        </w:rPr>
        <w:t>（</w:t>
      </w:r>
      <w:r>
        <w:rPr>
          <w:rFonts w:ascii="宋体" w:hAnsi="宋体" w:hint="eastAsia"/>
          <w:i/>
          <w:kern w:val="2"/>
          <w:sz w:val="21"/>
          <w:szCs w:val="21"/>
          <w:shd w:val="pct10" w:color="auto" w:fill="FFFFFF"/>
        </w:rPr>
        <w:t>如合同涉及的技术复杂，</w:t>
      </w:r>
      <w:r>
        <w:rPr>
          <w:rFonts w:ascii="宋体" w:hAnsi="宋体" w:hint="eastAsia"/>
          <w:i/>
          <w:kern w:val="2"/>
          <w:sz w:val="21"/>
          <w:szCs w:val="21"/>
          <w:shd w:val="pct10" w:color="auto" w:fill="FFFFFF"/>
          <w:lang w:val="en-US" w:eastAsia="zh-CN"/>
        </w:rPr>
        <w:t>请选择下述付款方式</w:t>
      </w:r>
      <w:r>
        <w:rPr>
          <w:rFonts w:ascii="宋体" w:hAnsi="宋体" w:hint="eastAsia"/>
          <w:i/>
          <w:kern w:val="2"/>
          <w:sz w:val="21"/>
          <w:szCs w:val="21"/>
          <w:shd w:val="pct10" w:color="auto" w:fill="FFFFFF"/>
        </w:rPr>
        <w:t>：</w:t>
      </w:r>
      <w:r>
        <w:rPr>
          <w:rFonts w:ascii="宋体" w:hAnsi="宋体" w:hint="eastAsia"/>
          <w:i/>
          <w:kern w:val="2"/>
          <w:sz w:val="21"/>
          <w:szCs w:val="21"/>
          <w:shd w:val="pct10" w:color="auto" w:fill="FFFFFF"/>
          <w:lang w:eastAsia="zh-CN"/>
        </w:rPr>
        <w:t>）</w:t>
      </w:r>
    </w:p>
    <w:p>
      <w:pPr>
        <w:pStyle w:val="NormalWeb"/>
        <w:widowControl/>
        <w:spacing w:beforeAutospacing="0" w:afterAutospacing="0" w:line="360" w:lineRule="auto"/>
        <w:ind w:firstLine="420" w:firstLineChars="200"/>
        <w:rPr>
          <w:rFonts w:ascii="宋体" w:hAnsi="宋体"/>
          <w:kern w:val="2"/>
          <w:sz w:val="21"/>
          <w:szCs w:val="21"/>
          <w:shd w:val="pct10" w:color="auto" w:fill="FFFFFF"/>
        </w:rPr>
      </w:pPr>
      <w:r>
        <w:rPr>
          <w:rFonts w:ascii="宋体" w:hAnsi="宋体" w:hint="eastAsia"/>
          <w:kern w:val="2"/>
          <w:sz w:val="21"/>
          <w:szCs w:val="21"/>
          <w:shd w:val="pct10" w:color="auto" w:fill="FFFFFF"/>
        </w:rPr>
        <w:t>甲乙双方签署合同后</w:t>
      </w:r>
      <w:r>
        <w:rPr>
          <w:rFonts w:ascii="宋体" w:hAnsi="宋体" w:hint="eastAsia"/>
          <w:kern w:val="2"/>
          <w:sz w:val="21"/>
          <w:szCs w:val="21"/>
          <w:u w:val="single"/>
          <w:shd w:val="pct10" w:color="auto" w:fill="FFFFFF"/>
        </w:rPr>
        <w:t>10</w:t>
      </w:r>
      <w:r>
        <w:rPr>
          <w:rFonts w:ascii="宋体" w:hAnsi="宋体" w:hint="eastAsia"/>
          <w:kern w:val="2"/>
          <w:sz w:val="21"/>
          <w:szCs w:val="21"/>
          <w:shd w:val="pct10" w:color="auto" w:fill="FFFFFF"/>
        </w:rPr>
        <w:t>个工作日内，乙方向甲方提供合同总金额</w:t>
      </w:r>
      <w:r>
        <w:rPr>
          <w:rFonts w:ascii="宋体" w:hAnsi="宋体" w:hint="eastAsia"/>
          <w:kern w:val="2"/>
          <w:sz w:val="21"/>
          <w:szCs w:val="21"/>
          <w:u w:val="single"/>
          <w:shd w:val="pct10" w:color="auto" w:fill="FFFFFF"/>
        </w:rPr>
        <w:t xml:space="preserve">30% </w:t>
      </w:r>
      <w:r>
        <w:rPr>
          <w:rFonts w:ascii="宋体" w:hAnsi="宋体" w:hint="eastAsia"/>
          <w:kern w:val="2"/>
          <w:sz w:val="21"/>
          <w:szCs w:val="21"/>
          <w:shd w:val="pct10" w:color="auto" w:fill="FFFFFF"/>
        </w:rPr>
        <w:t>的预付款保函，即人民币：</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元(大写)：</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 xml:space="preserve"> 元（小写），有效期截止</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年</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月</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日。甲方收到乙方提供的预付款保函后</w:t>
      </w:r>
      <w:r>
        <w:rPr>
          <w:rFonts w:ascii="宋体" w:hAnsi="宋体" w:hint="eastAsia"/>
          <w:kern w:val="2"/>
          <w:sz w:val="21"/>
          <w:szCs w:val="21"/>
          <w:u w:val="single"/>
          <w:shd w:val="pct10" w:color="auto" w:fill="FFFFFF"/>
        </w:rPr>
        <w:t xml:space="preserve"> 10</w:t>
      </w:r>
      <w:r>
        <w:rPr>
          <w:rFonts w:ascii="宋体" w:hAnsi="宋体" w:hint="eastAsia"/>
          <w:sz w:val="21"/>
          <w:szCs w:val="21"/>
          <w:shd w:val="pct10" w:color="auto" w:fill="FFFFFF"/>
        </w:rPr>
        <w:t>个工作日内，</w:t>
      </w:r>
      <w:r>
        <w:rPr>
          <w:rFonts w:ascii="宋体" w:hAnsi="宋体" w:hint="eastAsia"/>
          <w:kern w:val="2"/>
          <w:sz w:val="21"/>
          <w:szCs w:val="21"/>
          <w:shd w:val="pct10" w:color="auto" w:fill="FFFFFF"/>
        </w:rPr>
        <w:t>向乙方支付合同总金额的</w:t>
      </w:r>
      <w:r>
        <w:rPr>
          <w:rFonts w:ascii="宋体" w:hAnsi="宋体" w:hint="eastAsia"/>
          <w:kern w:val="2"/>
          <w:sz w:val="21"/>
          <w:szCs w:val="21"/>
          <w:u w:val="single"/>
          <w:shd w:val="pct10" w:color="auto" w:fill="FFFFFF"/>
        </w:rPr>
        <w:t>100%</w:t>
      </w:r>
      <w:r>
        <w:rPr>
          <w:rFonts w:ascii="宋体" w:hAnsi="宋体" w:hint="eastAsia"/>
          <w:kern w:val="2"/>
          <w:sz w:val="21"/>
          <w:szCs w:val="21"/>
          <w:shd w:val="pct10" w:color="auto" w:fill="FFFFFF"/>
        </w:rPr>
        <w:t>，即人民币</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元(大写)：</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元（小写）。甲方组织完成本服务合同履约情况评审且评审通过后，将退还乙方前述预付款保函；同时乙方向甲方提供合同总金额</w:t>
      </w:r>
      <w:r>
        <w:rPr>
          <w:rFonts w:ascii="宋体" w:hAnsi="宋体" w:hint="eastAsia"/>
          <w:kern w:val="2"/>
          <w:sz w:val="21"/>
          <w:szCs w:val="21"/>
          <w:u w:val="single"/>
          <w:shd w:val="pct10" w:color="auto" w:fill="FFFFFF"/>
        </w:rPr>
        <w:t>10%</w:t>
      </w:r>
      <w:r>
        <w:rPr>
          <w:rFonts w:ascii="宋体" w:hAnsi="宋体" w:hint="eastAsia"/>
          <w:kern w:val="2"/>
          <w:sz w:val="21"/>
          <w:szCs w:val="21"/>
          <w:shd w:val="pct10" w:color="auto" w:fill="FFFFFF"/>
        </w:rPr>
        <w:t>的履约保函，即人民币：</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元(大写)：</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 xml:space="preserve"> 元（小写），有效期截止</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年</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月</w:t>
      </w:r>
      <w:r>
        <w:rPr>
          <w:rFonts w:ascii="宋体" w:hAnsi="宋体" w:hint="eastAsia"/>
          <w:kern w:val="2"/>
          <w:sz w:val="21"/>
          <w:szCs w:val="21"/>
          <w:u w:val="single"/>
          <w:shd w:val="pct10" w:color="auto" w:fill="FFFFFF"/>
        </w:rPr>
        <w:t xml:space="preserve">   </w:t>
      </w:r>
      <w:r>
        <w:rPr>
          <w:rFonts w:ascii="宋体" w:hAnsi="宋体" w:hint="eastAsia"/>
          <w:kern w:val="2"/>
          <w:sz w:val="21"/>
          <w:szCs w:val="21"/>
          <w:shd w:val="pct10" w:color="auto" w:fill="FFFFFF"/>
        </w:rPr>
        <w:t>日。</w:t>
      </w:r>
    </w:p>
    <w:p>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3、项目终验合格且收到终验合格证明</w:t>
      </w:r>
      <w:r>
        <w:rPr>
          <w:rFonts w:ascii="宋体" w:hAnsi="宋体" w:hint="eastAsia"/>
          <w:kern w:val="2"/>
          <w:sz w:val="21"/>
          <w:szCs w:val="21"/>
          <w:u w:val="single"/>
        </w:rPr>
        <w:t>10</w:t>
      </w:r>
      <w:r>
        <w:rPr>
          <w:rFonts w:ascii="宋体" w:hAnsi="宋体" w:hint="eastAsia"/>
          <w:sz w:val="21"/>
          <w:szCs w:val="21"/>
        </w:rPr>
        <w:t>个工作</w:t>
      </w:r>
      <w:r>
        <w:rPr>
          <w:rFonts w:ascii="宋体" w:hAnsi="宋体" w:hint="eastAsia"/>
          <w:kern w:val="2"/>
          <w:sz w:val="21"/>
          <w:szCs w:val="21"/>
        </w:rPr>
        <w:t>日内，甲方退还乙方履约保函。</w:t>
      </w:r>
    </w:p>
    <w:p>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4、本合同价格包括服务产品金额，是在项目交付前、交付时所发生或引起的本合同相关的全部成本、费用等，且为完税后价格。</w:t>
      </w:r>
    </w:p>
    <w:p>
      <w:pPr>
        <w:tabs>
          <w:tab w:val="left" w:pos="1573"/>
        </w:tabs>
        <w:adjustRightInd w:val="0"/>
        <w:snapToGrid w:val="0"/>
        <w:spacing w:line="360" w:lineRule="auto"/>
        <w:ind w:firstLine="420" w:firstLineChars="200"/>
        <w:rPr>
          <w:rFonts w:asciiTheme="minorHAnsi" w:hAnsiTheme="minorHAnsi"/>
          <w:szCs w:val="21"/>
        </w:rPr>
      </w:pPr>
      <w:r>
        <w:rPr>
          <w:rFonts w:asciiTheme="minorEastAsia" w:eastAsiaTheme="minorEastAsia" w:hAnsiTheme="minorEastAsia" w:hint="eastAsia"/>
          <w:szCs w:val="21"/>
        </w:rPr>
        <w:t>5、</w:t>
      </w:r>
      <w:r>
        <w:rPr>
          <w:rFonts w:asciiTheme="minorHAnsi" w:hAnsiTheme="minorHAnsi" w:hint="eastAsia"/>
          <w:szCs w:val="21"/>
        </w:rPr>
        <w:t>如付款条件满足，但项目资金未完全下达，则付款时间延后为资金下</w:t>
      </w:r>
      <w:r>
        <w:rPr>
          <w:rFonts w:asciiTheme="minorEastAsia" w:eastAsiaTheme="minorEastAsia" w:hAnsiTheme="minorEastAsia" w:hint="eastAsia"/>
          <w:szCs w:val="21"/>
        </w:rPr>
        <w:t>达后</w:t>
      </w:r>
      <w:r>
        <w:rPr>
          <w:rFonts w:asciiTheme="minorEastAsia" w:eastAsiaTheme="minorEastAsia" w:hAnsiTheme="minorEastAsia" w:hint="eastAsia"/>
          <w:szCs w:val="21"/>
          <w:u w:val="single"/>
        </w:rPr>
        <w:t xml:space="preserve"> 15</w:t>
      </w:r>
      <w:r>
        <w:rPr>
          <w:rFonts w:asciiTheme="minorEastAsia" w:eastAsiaTheme="minorEastAsia" w:hAnsiTheme="minorEastAsia" w:hint="eastAsia"/>
          <w:szCs w:val="21"/>
        </w:rPr>
        <w:t>个工</w:t>
      </w:r>
      <w:r>
        <w:rPr>
          <w:rFonts w:asciiTheme="minorHAnsi" w:hAnsiTheme="minorHAnsi" w:hint="eastAsia"/>
          <w:szCs w:val="21"/>
        </w:rPr>
        <w:t>作日内。</w:t>
      </w:r>
    </w:p>
    <w:bookmarkEnd w:id="63"/>
    <w:bookmarkEnd w:id="64"/>
    <w:p>
      <w:pPr>
        <w:pStyle w:val="NormalIndent"/>
        <w:adjustRightInd w:val="0"/>
        <w:snapToGrid w:val="0"/>
        <w:spacing w:line="360" w:lineRule="auto"/>
        <w:outlineLvl w:val="0"/>
        <w:rPr>
          <w:rFonts w:ascii="宋体" w:hAnsi="宋体"/>
          <w:b/>
          <w:szCs w:val="21"/>
        </w:rPr>
      </w:pPr>
      <w:bookmarkStart w:id="82" w:name="_Toc86202596"/>
      <w:r>
        <w:rPr>
          <w:rFonts w:ascii="宋体" w:hAnsi="宋体" w:hint="eastAsia"/>
          <w:b/>
          <w:szCs w:val="21"/>
        </w:rPr>
        <w:t>六、支付和结算方式</w:t>
      </w:r>
      <w:bookmarkEnd w:id="82"/>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w:t>
      </w:r>
      <w:bookmarkStart w:id="83" w:name="OLE_LINK12"/>
      <w:bookmarkStart w:id="84" w:name="OLE_LINK11"/>
      <w:r>
        <w:rPr>
          <w:rFonts w:ascii="宋体" w:hAnsi="宋体" w:hint="eastAsia"/>
          <w:szCs w:val="21"/>
        </w:rPr>
        <w:t>账</w:t>
      </w:r>
      <w:bookmarkEnd w:id="83"/>
      <w:bookmarkEnd w:id="84"/>
      <w:r>
        <w:rPr>
          <w:rFonts w:ascii="宋体" w:hAnsi="宋体" w:hint="eastAsia"/>
          <w:szCs w:val="21"/>
        </w:rPr>
        <w:t>户名称、开户银行及账号以本合同提供的为准。</w:t>
      </w:r>
    </w:p>
    <w:p>
      <w:pPr>
        <w:tabs>
          <w:tab w:val="left" w:pos="1573"/>
        </w:tabs>
        <w:adjustRightInd w:val="0"/>
        <w:snapToGrid w:val="0"/>
        <w:spacing w:line="360" w:lineRule="auto"/>
        <w:ind w:firstLine="420" w:firstLineChars="200"/>
        <w:rPr>
          <w:rFonts w:ascii="宋体" w:hAnsi="宋体"/>
          <w:szCs w:val="21"/>
        </w:rPr>
      </w:pPr>
      <w:bookmarkStart w:id="85" w:name="_Toc86202597"/>
      <w:r>
        <w:rPr>
          <w:rFonts w:ascii="宋体" w:hAnsi="宋体"/>
          <w:szCs w:val="21"/>
        </w:rPr>
        <w:t>3</w:t>
      </w:r>
      <w:r>
        <w:rPr>
          <w:rFonts w:ascii="宋体" w:hAnsi="宋体" w:hint="eastAsia"/>
          <w:szCs w:val="21"/>
        </w:rPr>
        <w:t>、乙方在收到甲方每一笔付款的同时，应向甲方开具相应金额的商业发票。</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pStyle w:val="NormalIndent"/>
        <w:adjustRightInd w:val="0"/>
        <w:snapToGrid w:val="0"/>
        <w:spacing w:line="360" w:lineRule="auto"/>
        <w:outlineLvl w:val="0"/>
        <w:rPr>
          <w:rFonts w:ascii="宋体" w:hAnsi="宋体"/>
          <w:b/>
          <w:szCs w:val="21"/>
        </w:rPr>
      </w:pPr>
      <w:r>
        <w:rPr>
          <w:rFonts w:ascii="宋体" w:hAnsi="宋体" w:hint="eastAsia"/>
          <w:b/>
          <w:szCs w:val="21"/>
        </w:rPr>
        <w:t>七、甲方权利</w:t>
      </w:r>
      <w:r>
        <w:rPr>
          <w:rFonts w:ascii="宋体" w:hAnsi="宋体"/>
          <w:b/>
          <w:szCs w:val="21"/>
        </w:rPr>
        <w:t>和义务</w:t>
      </w:r>
    </w:p>
    <w:p>
      <w:pPr>
        <w:pStyle w:val="NormalIndent"/>
        <w:adjustRightInd w:val="0"/>
        <w:snapToGrid w:val="0"/>
        <w:spacing w:line="360" w:lineRule="auto"/>
        <w:ind w:left="210" w:firstLine="206" w:leftChars="100" w:firstLineChars="98"/>
        <w:rPr>
          <w:rFonts w:ascii="宋体" w:hAnsi="宋体"/>
          <w:szCs w:val="21"/>
        </w:rPr>
      </w:pPr>
      <w:r>
        <w:rPr>
          <w:rFonts w:ascii="宋体" w:hAnsi="宋体"/>
          <w:szCs w:val="21"/>
        </w:rPr>
        <w:t>1</w:t>
      </w:r>
      <w:r>
        <w:rPr>
          <w:rFonts w:ascii="宋体" w:hAnsi="宋体" w:hint="eastAsia"/>
          <w:szCs w:val="21"/>
        </w:rPr>
        <w:t>、甲方可对乙方的组织实施工作进行检查。</w:t>
      </w:r>
    </w:p>
    <w:p>
      <w:pPr>
        <w:adjustRightInd w:val="0"/>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、甲方如对乙方工作有任何异议，应于服务产品提交后15日内以书面形式向乙方提出，对经乙方确认的异议，乙方应根据行业要求做出合理处理。逾期未提出书面异议，视同无异议。</w:t>
      </w:r>
    </w:p>
    <w:p>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、在履行合同过程中，甲方应给予乙方必要的配合，提供履行合同所必须的资料。</w:t>
      </w:r>
    </w:p>
    <w:p>
      <w:pPr>
        <w:adjustRightInd w:val="0"/>
        <w:snapToGrid w:val="0"/>
        <w:spacing w:line="360" w:lineRule="auto"/>
        <w:ind w:firstLine="420" w:firstLineChars="200"/>
        <w:rPr>
          <w:rFonts w:ascii="宋体" w:hAnsi="宋体"/>
          <w:szCs w:val="21"/>
        </w:rPr>
      </w:pPr>
      <w:r>
        <w:rPr>
          <w:rFonts w:ascii="宋体" w:hAnsi="宋体" w:hint="eastAsia"/>
          <w:szCs w:val="21"/>
        </w:rPr>
        <w:t>4.……</w:t>
      </w:r>
    </w:p>
    <w:p>
      <w:pPr>
        <w:adjustRightInd w:val="0"/>
        <w:snapToGrid w:val="0"/>
        <w:spacing w:line="360" w:lineRule="auto"/>
        <w:ind w:firstLine="420" w:firstLineChars="200"/>
        <w:rPr>
          <w:rFonts w:ascii="宋体" w:hAnsi="宋体"/>
          <w:szCs w:val="21"/>
        </w:rPr>
      </w:pP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八</w:t>
      </w:r>
      <w:r>
        <w:rPr>
          <w:rFonts w:ascii="宋体" w:hAnsi="宋体"/>
          <w:b/>
          <w:szCs w:val="21"/>
        </w:rPr>
        <w:t>、</w:t>
      </w:r>
      <w:r>
        <w:rPr>
          <w:rFonts w:ascii="宋体" w:hAnsi="宋体" w:hint="eastAsia"/>
          <w:b/>
          <w:szCs w:val="21"/>
        </w:rPr>
        <w:t>乙方权利</w:t>
      </w:r>
      <w:r>
        <w:rPr>
          <w:rFonts w:ascii="宋体" w:hAnsi="宋体"/>
          <w:b/>
          <w:szCs w:val="21"/>
        </w:rPr>
        <w:t>和义务</w:t>
      </w:r>
    </w:p>
    <w:p>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3、合同签订生效后，乙方应按实施方案完成有关任务，按照合同约定的时间向甲方提供服务产品，满足甲方在技术需求和业务需求中的要求。项目实施各阶段评审发生的评审费、文档印刷费等费用由乙方承担。</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未经甲方书面同意，乙方不得单方面要求升级、更换产品或服务，不得因甲方拒绝升级而降低服务质量或中断服务。如涉及增加或改进安全性的软件升级问题，乙方应当在其刚开始应用该等软件时的第一时间内告知甲方，经甲方同意后应立即主动地、无条件地给与免费更新并调试完好。</w:t>
      </w:r>
    </w:p>
    <w:p>
      <w:pPr>
        <w:adjustRightInd w:val="0"/>
        <w:snapToGrid w:val="0"/>
        <w:spacing w:line="360" w:lineRule="auto"/>
        <w:ind w:firstLine="420" w:firstLineChars="200"/>
        <w:rPr>
          <w:rFonts w:ascii="宋体" w:hAnsi="宋体"/>
          <w:szCs w:val="21"/>
        </w:rPr>
      </w:pPr>
      <w:r>
        <w:rPr>
          <w:rFonts w:ascii="宋体" w:hAnsi="宋体" w:hint="eastAsia"/>
          <w:szCs w:val="21"/>
        </w:rPr>
        <w:t>5、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九、质量标准和检验方式</w:t>
      </w:r>
    </w:p>
    <w:p>
      <w:pPr>
        <w:pStyle w:val="NormalIndent"/>
        <w:numPr>
          <w:ilvl w:val="6"/>
          <w:numId w:val="0"/>
        </w:numPr>
        <w:adjustRightInd w:val="0"/>
        <w:snapToGrid w:val="0"/>
        <w:spacing w:line="360" w:lineRule="auto"/>
        <w:ind w:firstLine="420" w:firstLineChars="200"/>
        <w:rPr>
          <w:rFonts w:ascii="宋体" w:hAnsi="宋体"/>
          <w:szCs w:val="21"/>
          <w:lang w:val="en-US"/>
        </w:rPr>
      </w:pPr>
    </w:p>
    <w:p>
      <w:pPr>
        <w:pStyle w:val="NormalIndent"/>
        <w:adjustRightInd w:val="0"/>
        <w:snapToGrid w:val="0"/>
        <w:spacing w:line="360" w:lineRule="auto"/>
        <w:outlineLvl w:val="0"/>
        <w:rPr>
          <w:rFonts w:ascii="宋体" w:hAnsi="宋体"/>
          <w:b/>
          <w:szCs w:val="21"/>
        </w:rPr>
      </w:pPr>
      <w:r>
        <w:rPr>
          <w:rFonts w:ascii="宋体" w:hAnsi="宋体" w:hint="eastAsia"/>
          <w:b/>
          <w:szCs w:val="21"/>
        </w:rPr>
        <w:t>十、资料的使用</w:t>
      </w:r>
    </w:p>
    <w:p>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pPr>
        <w:adjustRightInd w:val="0"/>
        <w:snapToGrid w:val="0"/>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p>
    <w:p>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甲方提供该乙方履行合同所需的资料清单如下</w:t>
      </w:r>
      <w:r>
        <w:rPr>
          <w:rFonts w:ascii="宋体" w:hAnsi="宋体"/>
          <w:szCs w:val="21"/>
        </w:rPr>
        <w:t>：</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hint="eastAsia"/>
          <w:szCs w:val="21"/>
        </w:rPr>
        <w:t>1）</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2</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3</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4</w:t>
      </w:r>
      <w:r>
        <w:rPr>
          <w:rFonts w:ascii="宋体" w:hAnsi="宋体" w:hint="eastAsia"/>
          <w:szCs w:val="21"/>
        </w:rPr>
        <w:t>）</w:t>
      </w:r>
      <w:r>
        <w:rPr>
          <w:rFonts w:ascii="宋体" w:hAnsi="宋体" w:hint="eastAsia"/>
          <w:szCs w:val="21"/>
          <w:u w:val="single"/>
        </w:rPr>
        <w:t xml:space="preserve">                      </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十一、知识产权</w:t>
      </w:r>
    </w:p>
    <w:p>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十二、进度要求</w:t>
      </w:r>
    </w:p>
    <w:bookmarkEnd w:id="85"/>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Pr>
          <w:rFonts w:ascii="宋体" w:hAnsi="宋体" w:hint="eastAsia"/>
          <w:szCs w:val="21"/>
          <w:u w:val="single"/>
        </w:rPr>
        <w:tab/>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3、服务期：</w:t>
      </w:r>
      <w:r>
        <w:rPr>
          <w:rFonts w:ascii="宋体" w:hAnsi="宋体" w:hint="eastAsia"/>
          <w:szCs w:val="21"/>
          <w:u w:val="single"/>
        </w:rPr>
        <w:tab/>
      </w:r>
      <w:r>
        <w:rPr>
          <w:rFonts w:ascii="宋体" w:hAnsi="宋体"/>
          <w:szCs w:val="21"/>
          <w:u w:val="single"/>
        </w:rPr>
        <w:t xml:space="preserve">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4、其他约定事项：</w:t>
      </w:r>
      <w:r>
        <w:rPr>
          <w:rFonts w:ascii="宋体" w:hAnsi="宋体" w:hint="eastAsia"/>
          <w:szCs w:val="21"/>
          <w:u w:val="single"/>
        </w:rPr>
        <w:t xml:space="preserve">     </w:t>
      </w:r>
      <w:r>
        <w:rPr>
          <w:rFonts w:ascii="宋体" w:hAnsi="宋体" w:hint="eastAsia"/>
          <w:szCs w:val="21"/>
        </w:rPr>
        <w:t>。</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十三、</w:t>
      </w:r>
      <w:bookmarkStart w:id="86" w:name="_Toc86202602"/>
      <w:r>
        <w:rPr>
          <w:rFonts w:ascii="宋体" w:hAnsi="宋体" w:hint="eastAsia"/>
          <w:b/>
          <w:szCs w:val="21"/>
        </w:rPr>
        <w:t>预付款保函及履约保函</w:t>
      </w:r>
    </w:p>
    <w:p>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pPr>
        <w:pStyle w:val="NormalIndent"/>
        <w:adjustRightInd w:val="0"/>
        <w:snapToGrid w:val="0"/>
        <w:spacing w:line="360" w:lineRule="auto"/>
        <w:outlineLvl w:val="0"/>
        <w:rPr>
          <w:rFonts w:ascii="宋体" w:hAnsi="宋体"/>
          <w:b/>
          <w:szCs w:val="21"/>
        </w:rPr>
      </w:pPr>
      <w:r>
        <w:rPr>
          <w:rFonts w:ascii="宋体" w:hAnsi="宋体" w:hint="eastAsia"/>
          <w:b/>
          <w:szCs w:val="21"/>
        </w:rPr>
        <w:t>十四、审计及检查</w:t>
      </w:r>
    </w:p>
    <w:p>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w:t>
      </w:r>
      <w:r>
        <w:rPr>
          <w:rFonts w:ascii="宋体" w:hAnsi="宋体" w:hint="eastAsia"/>
          <w:szCs w:val="21"/>
        </w:rPr>
        <w:t>账</w:t>
      </w:r>
      <w:r>
        <w:rPr>
          <w:rFonts w:ascii="宋体" w:hAnsi="宋体" w:hint="eastAsia"/>
          <w:bCs/>
          <w:szCs w:val="21"/>
        </w:rPr>
        <w:t>户和记录，并由甲方</w:t>
      </w:r>
      <w:r>
        <w:rPr>
          <w:rFonts w:ascii="宋体" w:hAnsi="宋体"/>
          <w:bCs/>
          <w:szCs w:val="21"/>
        </w:rPr>
        <w:t>或</w:t>
      </w:r>
      <w:r>
        <w:rPr>
          <w:rFonts w:ascii="宋体" w:hAnsi="宋体" w:hint="eastAsia"/>
          <w:bCs/>
          <w:szCs w:val="21"/>
        </w:rPr>
        <w:t>采购人指定的审计人员对其进行审计。</w:t>
      </w:r>
    </w:p>
    <w:p>
      <w:pPr>
        <w:pStyle w:val="NormalIndent"/>
        <w:adjustRightInd w:val="0"/>
        <w:snapToGrid w:val="0"/>
        <w:spacing w:line="360" w:lineRule="auto"/>
        <w:outlineLvl w:val="0"/>
        <w:rPr>
          <w:rFonts w:ascii="宋体" w:hAnsi="宋体"/>
          <w:b/>
          <w:szCs w:val="21"/>
        </w:rPr>
      </w:pPr>
      <w:r>
        <w:rPr>
          <w:rFonts w:ascii="宋体" w:hAnsi="宋体" w:hint="eastAsia"/>
          <w:b/>
          <w:szCs w:val="21"/>
        </w:rPr>
        <w:t>十五、违约责任</w:t>
      </w:r>
      <w:bookmarkEnd w:id="86"/>
    </w:p>
    <w:p>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hAnsi="宋体"/>
          <w:szCs w:val="21"/>
        </w:rPr>
      </w:pPr>
      <w:r>
        <w:rPr>
          <w:rFonts w:ascii="宋体" w:hAnsi="宋体" w:hint="eastAsia"/>
          <w:szCs w:val="21"/>
        </w:rPr>
        <w:t>4、延期交付或延期付款的违约责任：如乙方延期交付或甲方延期付款，每逾期一天，违约方应按延期交货所折合的金额</w:t>
      </w:r>
      <w:r>
        <w:rPr>
          <w:rFonts w:ascii="宋体" w:hAnsi="宋体" w:hint="eastAsia"/>
          <w:szCs w:val="21"/>
          <w:u w:val="single"/>
        </w:rPr>
        <w:t xml:space="preserve">    </w:t>
      </w:r>
      <w:r>
        <w:rPr>
          <w:rFonts w:ascii="宋体" w:hAnsi="宋体" w:hint="eastAsia"/>
          <w:szCs w:val="21"/>
        </w:rPr>
        <w:t>%或延期付款金额每天</w:t>
      </w:r>
      <w:r>
        <w:rPr>
          <w:rFonts w:ascii="宋体" w:hAnsi="宋体"/>
          <w:szCs w:val="21"/>
          <w:u w:val="single"/>
        </w:rPr>
        <w:t xml:space="preserve">       </w:t>
      </w:r>
      <w:r>
        <w:rPr>
          <w:rFonts w:ascii="宋体" w:hAnsi="宋体" w:hint="eastAsia"/>
          <w:szCs w:val="21"/>
        </w:rPr>
        <w:t>‰ 的比例向对方支付违约金。上述逾期超过</w:t>
      </w:r>
      <w:r>
        <w:rPr>
          <w:rFonts w:ascii="宋体" w:hAnsi="宋体" w:hint="eastAsia"/>
          <w:szCs w:val="21"/>
          <w:u w:val="single"/>
        </w:rPr>
        <w:t xml:space="preserve">      天</w:t>
      </w:r>
      <w:r>
        <w:rPr>
          <w:rFonts w:ascii="宋体" w:hAnsi="宋体" w:hint="eastAsia"/>
          <w:szCs w:val="21"/>
        </w:rPr>
        <w:t>，守约方有权解除合同，违约方应按本合同总金额的20%向守约方支付违约金，如违约金不足以弥补损失的，应赔偿由此造成的所有损失。</w:t>
      </w:r>
    </w:p>
    <w:p>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bookmarkStart w:id="87" w:name="_Toc86202603"/>
    </w:p>
    <w:p>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lang w:val="en-US"/>
        </w:rPr>
        <w:t>（</w:t>
      </w:r>
      <w:r>
        <w:rPr>
          <w:rFonts w:ascii="宋体" w:hAnsi="宋体" w:hint="eastAsia"/>
          <w:sz w:val="21"/>
          <w:szCs w:val="21"/>
        </w:rPr>
        <w:t>2）未经甲方许可使用项目资料的；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（3）项目完成后，乙方未经甲方许可保留项目资料的；</w:t>
      </w:r>
    </w:p>
    <w:p>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（4）对项目资料保管不当，造成数据全部或者部分丢失、被窃的。</w:t>
      </w:r>
    </w:p>
    <w:p>
      <w:pPr>
        <w:pStyle w:val="20"/>
        <w:adjustRightInd w:val="0"/>
        <w:snapToGrid w:val="0"/>
        <w:spacing w:before="0" w:after="0"/>
        <w:ind w:left="0" w:firstLine="424" w:leftChars="0" w:firstLineChars="202"/>
        <w:rPr>
          <w:rFonts w:ascii="宋体" w:hAnsi="宋体"/>
          <w:sz w:val="21"/>
          <w:szCs w:val="21"/>
        </w:rPr>
      </w:pPr>
      <w:r>
        <w:rPr>
          <w:rFonts w:ascii="宋体" w:hAnsi="宋体" w:hint="eastAsia"/>
          <w:sz w:val="21"/>
          <w:szCs w:val="21"/>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bookmarkEnd w:id="87"/>
    <w:p>
      <w:pPr>
        <w:pStyle w:val="NormalIndent"/>
        <w:adjustRightInd w:val="0"/>
        <w:snapToGrid w:val="0"/>
        <w:spacing w:line="360" w:lineRule="auto"/>
        <w:outlineLvl w:val="0"/>
        <w:rPr>
          <w:rFonts w:ascii="宋体" w:hAnsi="宋体"/>
          <w:b/>
          <w:szCs w:val="21"/>
        </w:rPr>
      </w:pPr>
      <w:r>
        <w:rPr>
          <w:rFonts w:ascii="宋体" w:hAnsi="宋体" w:hint="eastAsia"/>
          <w:b/>
          <w:szCs w:val="21"/>
        </w:rPr>
        <w:t>十六、</w:t>
      </w:r>
      <w:bookmarkStart w:id="88" w:name="_Toc86202604"/>
      <w:r>
        <w:rPr>
          <w:rFonts w:ascii="宋体" w:hAnsi="宋体" w:hint="eastAsia"/>
          <w:b/>
          <w:szCs w:val="21"/>
        </w:rPr>
        <w:t>联系方式</w:t>
      </w:r>
      <w:bookmarkEnd w:id="88"/>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1573"/>
        </w:tabs>
        <w:adjustRightInd w:val="0"/>
        <w:snapToGrid w:val="0"/>
        <w:spacing w:line="360" w:lineRule="auto"/>
        <w:jc w:val="left"/>
        <w:rPr>
          <w:rFonts w:ascii="宋体" w:hAnsi="宋体"/>
          <w:szCs w:val="21"/>
        </w:rPr>
      </w:pP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pPr>
        <w:tabs>
          <w:tab w:val="left" w:pos="1573"/>
        </w:tabs>
        <w:adjustRightInd w:val="0"/>
        <w:snapToGrid w:val="0"/>
        <w:spacing w:line="360" w:lineRule="auto"/>
        <w:jc w:val="left"/>
        <w:rPr>
          <w:rFonts w:ascii="宋体" w:hAnsi="宋体"/>
          <w:szCs w:val="21"/>
        </w:rPr>
      </w:pPr>
      <w:r>
        <w:rPr>
          <w:rFonts w:ascii="宋体" w:hAnsi="宋体" w:hint="eastAsia"/>
          <w:szCs w:val="21"/>
        </w:rPr>
        <w:t xml:space="preserve">            </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2、合同双方发出的与本合同有关的通知或回复均应发至上述通讯地址，付款或收款应使用上述账号，一方变更通讯地址或账号，应自变更之日起三个工作日内，将变更后的地址和</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pPr>
        <w:pStyle w:val="NormalIndent"/>
        <w:adjustRightInd w:val="0"/>
        <w:snapToGrid w:val="0"/>
        <w:spacing w:line="360" w:lineRule="auto"/>
        <w:outlineLvl w:val="0"/>
        <w:rPr>
          <w:rFonts w:ascii="宋体" w:hAnsi="宋体"/>
          <w:b/>
          <w:szCs w:val="21"/>
        </w:rPr>
      </w:pPr>
      <w:bookmarkStart w:id="89" w:name="_Toc86202606"/>
      <w:r>
        <w:rPr>
          <w:rFonts w:ascii="宋体" w:hAnsi="宋体" w:hint="eastAsia"/>
          <w:b/>
          <w:szCs w:val="21"/>
        </w:rPr>
        <w:t>十七、保密条款</w:t>
      </w:r>
    </w:p>
    <w:p>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firstLine="420" w:firstLineChars="200"/>
        <w:rPr>
          <w:rFonts w:ascii="宋体" w:hAnsi="宋体"/>
          <w:szCs w:val="21"/>
        </w:rPr>
      </w:pPr>
      <w:r>
        <w:rPr>
          <w:rFonts w:ascii="宋体" w:hAnsi="宋体" w:hint="eastAsia"/>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pPr>
        <w:pStyle w:val="NormalIndent"/>
        <w:adjustRightInd w:val="0"/>
        <w:snapToGrid w:val="0"/>
        <w:spacing w:line="360" w:lineRule="auto"/>
        <w:outlineLvl w:val="0"/>
        <w:rPr>
          <w:rFonts w:ascii="宋体" w:hAnsi="宋体"/>
          <w:b/>
          <w:szCs w:val="21"/>
        </w:rPr>
      </w:pPr>
      <w:r>
        <w:rPr>
          <w:rFonts w:ascii="宋体" w:hAnsi="宋体" w:hint="eastAsia"/>
          <w:b/>
          <w:szCs w:val="21"/>
        </w:rPr>
        <w:t>十八、合同的解释和法律适用</w:t>
      </w:r>
      <w:bookmarkEnd w:id="89"/>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3、对本合同的任何解释均应以书面作出。</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pPr>
        <w:pStyle w:val="NormalIndent"/>
        <w:adjustRightInd w:val="0"/>
        <w:snapToGrid w:val="0"/>
        <w:spacing w:line="360" w:lineRule="auto"/>
        <w:outlineLvl w:val="0"/>
        <w:rPr>
          <w:rFonts w:ascii="宋体" w:hAnsi="宋体"/>
          <w:b/>
          <w:szCs w:val="21"/>
        </w:rPr>
      </w:pPr>
      <w:bookmarkStart w:id="90" w:name="_Toc86202608"/>
      <w:r>
        <w:rPr>
          <w:rFonts w:ascii="宋体" w:hAnsi="宋体" w:hint="eastAsia"/>
          <w:b/>
          <w:szCs w:val="21"/>
        </w:rPr>
        <w:t>十九、权利的保留</w:t>
      </w:r>
      <w:bookmarkEnd w:id="90"/>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二十、不可抗力</w:t>
      </w:r>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二十一、</w:t>
      </w:r>
      <w:bookmarkStart w:id="91" w:name="_Toc86202609"/>
      <w:r>
        <w:rPr>
          <w:rFonts w:ascii="宋体" w:hAnsi="宋体" w:hint="eastAsia"/>
          <w:b/>
          <w:szCs w:val="21"/>
        </w:rPr>
        <w:t>争议的解决</w:t>
      </w:r>
      <w:bookmarkEnd w:id="91"/>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4、任何一方违约，守约方依据本合同第二十一条通过司法途径解决争端的，违约方应向守约方因此支付的仲裁费、鉴定费、评估费、保全费、公证费、复印费、差旅费、律师费等实现权利的所有费用。</w:t>
      </w:r>
    </w:p>
    <w:p>
      <w:pPr>
        <w:pStyle w:val="NormalIndent"/>
        <w:adjustRightInd w:val="0"/>
        <w:snapToGrid w:val="0"/>
        <w:spacing w:line="360" w:lineRule="auto"/>
        <w:outlineLvl w:val="0"/>
        <w:rPr>
          <w:rFonts w:ascii="宋体" w:hAnsi="宋体"/>
          <w:b/>
          <w:szCs w:val="21"/>
        </w:rPr>
      </w:pPr>
      <w:bookmarkStart w:id="92" w:name="_Toc86202611"/>
      <w:r>
        <w:rPr>
          <w:rFonts w:ascii="宋体" w:hAnsi="宋体" w:hint="eastAsia"/>
          <w:b/>
          <w:szCs w:val="21"/>
        </w:rPr>
        <w:t>二十二、合同的补充、修改和变更</w:t>
      </w:r>
    </w:p>
    <w:p>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firstLine="424" w:firstLineChars="202"/>
        <w:rPr>
          <w:rFonts w:ascii="宋体" w:hAnsi="宋体"/>
          <w:szCs w:val="21"/>
        </w:rPr>
      </w:pPr>
      <w:r>
        <w:rPr>
          <w:rFonts w:ascii="宋体" w:hAnsi="宋体" w:hint="eastAsia"/>
          <w:szCs w:val="21"/>
        </w:rPr>
        <w:t>7、任何对合同条件的变更或修改均须双方签订书面的修改书，并由乙方自签订补充合同之日起五日内报采购中心备案。</w:t>
      </w:r>
    </w:p>
    <w:p>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二十三、转包与分包</w:t>
      </w:r>
    </w:p>
    <w:p>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w:t>
      </w:r>
      <w:r>
        <w:rPr>
          <w:rFonts w:ascii="宋体" w:hAnsi="宋体" w:hint="eastAsia"/>
          <w:sz w:val="21"/>
          <w:szCs w:val="21"/>
          <w:lang w:val="en-US"/>
        </w:rPr>
        <w:t>书面</w:t>
      </w:r>
      <w:r>
        <w:rPr>
          <w:rFonts w:ascii="宋体" w:hAnsi="宋体" w:hint="eastAsia"/>
          <w:sz w:val="21"/>
          <w:szCs w:val="21"/>
        </w:rPr>
        <w:t>允许不得转包、分包或变相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pPr>
        <w:pStyle w:val="NormalIndent"/>
        <w:adjustRightInd w:val="0"/>
        <w:snapToGrid w:val="0"/>
        <w:spacing w:line="360" w:lineRule="auto"/>
        <w:outlineLvl w:val="0"/>
        <w:rPr>
          <w:rFonts w:ascii="宋体" w:hAnsi="宋体"/>
          <w:b/>
          <w:szCs w:val="21"/>
        </w:rPr>
      </w:pPr>
      <w:bookmarkStart w:id="93" w:name="_Toc86202607"/>
      <w:r>
        <w:rPr>
          <w:rFonts w:ascii="宋体" w:hAnsi="宋体" w:hint="eastAsia"/>
          <w:b/>
          <w:szCs w:val="21"/>
        </w:rPr>
        <w:t>二十四、合同的终止</w:t>
      </w:r>
      <w:bookmarkEnd w:id="93"/>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二十五、合同的生效</w:t>
      </w:r>
      <w:bookmarkEnd w:id="92"/>
    </w:p>
    <w:p>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pPr>
        <w:pStyle w:val="NormalIndent"/>
        <w:adjustRightInd w:val="0"/>
        <w:snapToGrid w:val="0"/>
        <w:spacing w:line="360" w:lineRule="auto"/>
        <w:outlineLvl w:val="0"/>
        <w:rPr>
          <w:rFonts w:ascii="宋体" w:hAnsi="宋体"/>
          <w:b/>
          <w:szCs w:val="21"/>
        </w:rPr>
      </w:pPr>
      <w:r>
        <w:rPr>
          <w:rFonts w:ascii="宋体" w:hAnsi="宋体" w:hint="eastAsia"/>
          <w:b/>
          <w:szCs w:val="21"/>
        </w:rPr>
        <w:t>二十六、</w:t>
      </w:r>
      <w:bookmarkStart w:id="94" w:name="_Toc86202612"/>
      <w:r>
        <w:rPr>
          <w:rFonts w:ascii="宋体" w:hAnsi="宋体" w:hint="eastAsia"/>
          <w:b/>
          <w:szCs w:val="21"/>
        </w:rPr>
        <w:t>其它约定事项</w:t>
      </w:r>
      <w:bookmarkEnd w:id="94"/>
    </w:p>
    <w:p>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pPr>
        <w:tabs>
          <w:tab w:val="left" w:pos="1573"/>
        </w:tabs>
        <w:adjustRightInd w:val="0"/>
        <w:snapToGrid w:val="0"/>
        <w:spacing w:line="360" w:lineRule="auto"/>
        <w:ind w:left="420" w:leftChars="200"/>
        <w:rPr>
          <w:rFonts w:ascii="宋体" w:hAnsi="宋体"/>
          <w:szCs w:val="21"/>
        </w:rPr>
      </w:pPr>
      <w:r>
        <w:rPr>
          <w:rFonts w:ascii="宋体" w:hAnsi="宋体"/>
          <w:szCs w:val="21"/>
        </w:rPr>
        <w:t>2</w:t>
      </w:r>
      <w:r>
        <w:rPr>
          <w:rFonts w:ascii="宋体" w:hAnsi="宋体" w:hint="eastAsia"/>
          <w:szCs w:val="21"/>
        </w:rPr>
        <w:t>、本合同中的附件均为本合同不可分割的部分，与本合同具有相同的法律效力。</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附件</w:t>
      </w:r>
      <w:r>
        <w:rPr>
          <w:rFonts w:ascii="宋体" w:hAnsi="宋体"/>
          <w:szCs w:val="21"/>
        </w:rPr>
        <w:t>：</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（1）合同服务产品清单</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w:t>
      </w:r>
    </w:p>
    <w:p>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、本合同正本一式四份，甲、乙双方各执两份，每份正本具有同等法律效力，副本报财政部备案。</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pPr>
        <w:tabs>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、对本合同的补充、修改或变更必须以书面形式进行，并由乙方自签订补充合同之日起五日内报采购中心备案。</w:t>
      </w:r>
    </w:p>
    <w:p>
      <w:pPr>
        <w:adjustRightInd w:val="0"/>
        <w:spacing w:line="360" w:lineRule="auto"/>
        <w:ind w:firstLine="420" w:firstLineChars="200"/>
        <w:rPr>
          <w:rFonts w:ascii="宋体" w:hAnsi="宋体"/>
          <w:b/>
          <w:szCs w:val="21"/>
        </w:rPr>
      </w:pPr>
      <w:r>
        <w:rPr>
          <w:rFonts w:ascii="宋体" w:hAnsi="宋体"/>
          <w:szCs w:val="21"/>
        </w:rPr>
        <w:t>7</w:t>
      </w:r>
      <w:r>
        <w:rPr>
          <w:rFonts w:ascii="宋体" w:hAnsi="宋体" w:hint="eastAsia"/>
          <w:szCs w:val="21"/>
        </w:rPr>
        <w:t xml:space="preserve">、双方约定本合同其他相关事项为：               </w:t>
      </w:r>
    </w:p>
    <w:p>
      <w:pPr>
        <w:tabs>
          <w:tab w:val="left" w:pos="1573"/>
        </w:tabs>
        <w:adjustRightInd w:val="0"/>
        <w:snapToGrid w:val="0"/>
        <w:spacing w:line="360" w:lineRule="auto"/>
        <w:ind w:firstLine="420" w:firstLineChars="200"/>
        <w:rPr>
          <w:rFonts w:ascii="宋体" w:hAnsi="宋体"/>
          <w:szCs w:val="21"/>
        </w:rPr>
      </w:pPr>
    </w:p>
    <w:p>
      <w:pPr>
        <w:snapToGrid w:val="0"/>
        <w:spacing w:line="360" w:lineRule="auto"/>
        <w:rPr>
          <w:rFonts w:ascii="宋体" w:hAnsi="宋体"/>
          <w:szCs w:val="21"/>
        </w:rPr>
      </w:pPr>
    </w:p>
    <w:p>
      <w:pPr>
        <w:snapToGrid w:val="0"/>
        <w:spacing w:line="360" w:lineRule="auto"/>
        <w:ind w:firstLine="309" w:firstLineChars="147"/>
        <w:rPr>
          <w:rFonts w:ascii="宋体" w:hAnsi="宋体"/>
          <w:b/>
          <w:szCs w:val="21"/>
        </w:rPr>
      </w:pPr>
      <w:bookmarkStart w:id="95" w:name="OLE_LINK9"/>
      <w:bookmarkStart w:id="96" w:name="OLE_LINK10"/>
      <w:r>
        <w:rPr>
          <w:rFonts w:ascii="宋体" w:hAnsi="宋体" w:hint="eastAsia"/>
          <w:b/>
          <w:szCs w:val="21"/>
        </w:rPr>
        <w:t>甲方：                                   乙方：</w:t>
      </w:r>
    </w:p>
    <w:p>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pPr>
        <w:snapToGrid w:val="0"/>
        <w:spacing w:line="360" w:lineRule="auto"/>
        <w:ind w:firstLine="309" w:firstLineChars="147"/>
        <w:rPr>
          <w:rFonts w:ascii="宋体" w:hAnsi="宋体"/>
          <w:b/>
          <w:szCs w:val="21"/>
        </w:rPr>
      </w:pPr>
      <w:r>
        <w:rPr>
          <w:rFonts w:ascii="宋体" w:hAnsi="宋体" w:hint="eastAsia"/>
          <w:b/>
          <w:szCs w:val="21"/>
        </w:rPr>
        <w:t>法定代表人</w:t>
      </w:r>
      <w:bookmarkStart w:id="97" w:name="OLE_LINK4"/>
      <w:bookmarkStart w:id="98" w:name="OLE_LINK3"/>
      <w:r>
        <w:rPr>
          <w:rFonts w:ascii="宋体" w:hAnsi="宋体" w:hint="eastAsia"/>
          <w:b/>
          <w:szCs w:val="21"/>
        </w:rPr>
        <w:t>/授权代表</w:t>
      </w:r>
      <w:bookmarkEnd w:id="97"/>
      <w:bookmarkEnd w:id="98"/>
      <w:r>
        <w:rPr>
          <w:rFonts w:ascii="宋体" w:hAnsi="宋体" w:hint="eastAsia"/>
          <w:b/>
          <w:szCs w:val="21"/>
        </w:rPr>
        <w:t>：                    法定代表人/授权代表：</w:t>
      </w:r>
    </w:p>
    <w:p>
      <w:pPr>
        <w:snapToGrid w:val="0"/>
        <w:spacing w:line="360" w:lineRule="auto"/>
        <w:ind w:firstLine="309" w:firstLineChars="147"/>
        <w:rPr>
          <w:rFonts w:ascii="宋体" w:hAnsi="宋体"/>
          <w:b/>
          <w:szCs w:val="21"/>
        </w:rPr>
      </w:pPr>
      <w:r>
        <w:rPr>
          <w:rFonts w:ascii="宋体" w:hAnsi="宋体" w:hint="eastAsia"/>
          <w:b/>
          <w:szCs w:val="21"/>
        </w:rPr>
        <w:t>经办人：                                 经办人：</w:t>
      </w:r>
    </w:p>
    <w:p>
      <w:pPr>
        <w:snapToGrid w:val="0"/>
        <w:spacing w:line="360" w:lineRule="auto"/>
        <w:ind w:firstLine="309" w:firstLineChars="147"/>
        <w:rPr>
          <w:rFonts w:ascii="宋体" w:hAnsi="宋体"/>
          <w:b/>
          <w:szCs w:val="21"/>
        </w:rPr>
      </w:pPr>
      <w:r>
        <w:rPr>
          <w:rFonts w:ascii="宋体" w:hAnsi="宋体" w:hint="eastAsia"/>
          <w:b/>
          <w:szCs w:val="21"/>
        </w:rPr>
        <w:t>签约日期：                               签约日期：</w:t>
      </w:r>
      <w:bookmarkEnd w:id="95"/>
      <w:bookmarkEnd w:id="96"/>
    </w:p>
    <w:p>
      <w:pPr>
        <w:snapToGrid w:val="0"/>
        <w:spacing w:line="360" w:lineRule="auto"/>
        <w:rPr>
          <w:b/>
          <w:sz w:val="28"/>
          <w:szCs w:val="28"/>
        </w:rPr>
      </w:pPr>
      <w:r>
        <w:rPr>
          <w:rFonts w:hint="eastAsia"/>
          <w:b/>
          <w:sz w:val="28"/>
          <w:szCs w:val="28"/>
        </w:rPr>
        <w:t xml:space="preserve">   </w:t>
      </w:r>
    </w:p>
    <w:p>
      <w:pPr>
        <w:tabs>
          <w:tab w:val="left" w:pos="1573"/>
        </w:tabs>
        <w:adjustRightInd w:val="0"/>
        <w:snapToGrid w:val="0"/>
        <w:spacing w:line="360" w:lineRule="auto"/>
        <w:ind w:firstLine="420" w:firstLineChars="200"/>
        <w:rPr>
          <w:rFonts w:ascii="宋体" w:hAnsi="宋体"/>
          <w:szCs w:val="21"/>
        </w:rPr>
      </w:pPr>
    </w:p>
    <w:p>
      <w:pPr>
        <w:adjustRightInd w:val="0"/>
        <w:snapToGrid w:val="0"/>
        <w:spacing w:line="360" w:lineRule="auto"/>
        <w:ind w:firstLine="420" w:firstLineChars="200"/>
        <w:rPr>
          <w:szCs w:val="21"/>
        </w:rPr>
      </w:pPr>
      <w:r>
        <w:rPr>
          <w:rFonts w:hint="eastAsia"/>
          <w:szCs w:val="21"/>
        </w:rPr>
        <w:t xml:space="preserve">                            </w:t>
      </w: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adjustRightInd w:val="0"/>
        <w:snapToGrid w:val="0"/>
        <w:spacing w:line="360" w:lineRule="auto"/>
        <w:ind w:firstLine="420" w:firstLineChars="200"/>
        <w:rPr>
          <w:szCs w:val="21"/>
        </w:rPr>
      </w:pPr>
    </w:p>
    <w:p>
      <w:pPr>
        <w:rPr>
          <w:rFonts w:ascii="黑体" w:eastAsia="黑体" w:hAnsi="黑体" w:cs="黑体" w:hint="eastAsia"/>
          <w:sz w:val="32"/>
          <w:szCs w:val="32"/>
        </w:rPr>
      </w:pPr>
      <w:r>
        <w:rPr>
          <w:rFonts w:ascii="黑体" w:eastAsia="黑体" w:hAnsi="黑体" w:cs="黑体" w:hint="eastAsia"/>
          <w:sz w:val="32"/>
          <w:szCs w:val="32"/>
        </w:rPr>
        <w:br w:type="page"/>
      </w:r>
    </w:p>
    <w:p>
      <w:pPr>
        <w:pStyle w:val="10"/>
        <w:numPr>
          <w:ilvl w:val="0"/>
          <w:numId w:val="0"/>
        </w:numPr>
        <w:tabs>
          <w:tab w:val="left" w:pos="1573"/>
        </w:tabs>
        <w:adjustRightInd w:val="0"/>
        <w:snapToGrid w:val="0"/>
        <w:spacing w:line="560" w:lineRule="exact"/>
        <w:rPr>
          <w:rFonts w:ascii="黑体" w:eastAsia="黑体" w:hAnsi="黑体" w:cs="黑体"/>
          <w:sz w:val="32"/>
          <w:szCs w:val="32"/>
        </w:rPr>
      </w:pPr>
      <w:r>
        <w:rPr>
          <w:rFonts w:ascii="黑体" w:eastAsia="黑体" w:hAnsi="黑体" w:cs="黑体" w:hint="eastAsia"/>
          <w:sz w:val="32"/>
          <w:szCs w:val="32"/>
        </w:rPr>
        <w:t>附件</w:t>
      </w:r>
    </w:p>
    <w:p>
      <w:pPr>
        <w:snapToGrid w:val="0"/>
        <w:spacing w:line="560" w:lineRule="exact"/>
        <w:jc w:val="center"/>
        <w:rPr>
          <w:b/>
          <w:sz w:val="28"/>
          <w:szCs w:val="28"/>
        </w:rPr>
      </w:pPr>
    </w:p>
    <w:p>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  洁  协  议</w:t>
      </w:r>
    </w:p>
    <w:p>
      <w:pPr>
        <w:snapToGrid w:val="0"/>
        <w:spacing w:line="560" w:lineRule="exact"/>
        <w:rPr>
          <w:szCs w:val="21"/>
        </w:rPr>
      </w:pPr>
    </w:p>
    <w:p>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（二）甲方及其工作人员不得索要或接受乙方及其工作人员的钱物(现金、有价证券、信用卡、礼金、奖金、补贴、物品等)，不得在乙方报销任何应由甲方或个人支付的费用。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pPr>
        <w:numPr>
          <w:ilvl w:val="0"/>
          <w:numId w:val="10"/>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（二）乙方不得以任何理由向甲方、甲方工作人员及其关联亲属馈赠钱物(现金、有价证券、信用卡、礼金、奖金、补贴、物品等)。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（二）由甲/乙方及所属人员违规造成对方损失的，由双方依据实际情况协调赔偿方式。</w:t>
      </w:r>
    </w:p>
    <w:p>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pPr>
        <w:widowControl/>
        <w:numPr>
          <w:ilvl w:val="0"/>
          <w:numId w:val="11"/>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1.甲方：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监督部门：国家气象信息中心纪委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 系 人：杨根录</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举报电话：010-68406214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举报邮箱：yanggl@cma.gov.cn</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2.乙方：</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联 系 人：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举报邮箱： </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3.对举报人的资料，双方应予以保密。</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pPr>
        <w:adjustRightInd w:val="0"/>
        <w:snapToGrid w:val="0"/>
        <w:spacing w:line="360" w:lineRule="auto"/>
        <w:ind w:firstLine="420" w:firstLineChars="200"/>
        <w:rPr>
          <w:szCs w:val="21"/>
        </w:rPr>
      </w:pPr>
    </w:p>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altName w:val="黑体"/>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altName w:val="DejaVu Sans"/>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DejaVu Sans"/>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小标宋">
    <w:altName w:val="方正小标宋简体"/>
    <w:panose1 w:val="00000000000000000000"/>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NanumGothic">
    <w:panose1 w:val="020D0604000000000000"/>
    <w:charset w:val="81"/>
    <w:family w:val="auto"/>
    <w:pitch w:val="default"/>
    <w:sig w:usb0="900002A7" w:usb1="29D7FCFB" w:usb2="00000010"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DEEE959"/>
    <w:multiLevelType w:val="singleLevel"/>
    <w:tmpl w:val="DDEEE959"/>
    <w:lvl w:ilvl="0">
      <w:start w:val="1"/>
      <w:numFmt w:val="decimal"/>
      <w:suff w:val="nothing"/>
      <w:lvlText w:val="（%1）"/>
      <w:lvlJc w:val="left"/>
    </w:lvl>
  </w:abstractNum>
  <w:abstractNum w:abstractNumId="1">
    <w:nsid w:val="F677FC82"/>
    <w:multiLevelType w:val="singleLevel"/>
    <w:tmpl w:val="F677FC82"/>
    <w:lvl w:ilvl="0">
      <w:start w:val="1"/>
      <w:numFmt w:val="bullet"/>
      <w:lvlText w:val=""/>
      <w:lvlJc w:val="left"/>
      <w:pPr>
        <w:ind w:left="420" w:hanging="420"/>
      </w:pPr>
      <w:rPr>
        <w:rFonts w:ascii="Wingdings" w:hAnsi="Wingdings" w:hint="default"/>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5AA4E4C1"/>
    <w:multiLevelType w:val="singleLevel"/>
    <w:tmpl w:val="5AA4E4C1"/>
    <w:lvl w:ilvl="0">
      <w:start w:val="1"/>
      <w:numFmt w:val="chineseCounting"/>
      <w:suff w:val="nothing"/>
      <w:lvlText w:val="（%1）"/>
      <w:lvlJc w:val="left"/>
      <w:pPr>
        <w:ind w:left="0" w:firstLine="0"/>
      </w:pPr>
    </w:lvl>
  </w:abstractNum>
  <w:abstractNum w:abstractNumId="7">
    <w:nsid w:val="5FF24B22"/>
    <w:multiLevelType w:val="singleLevel"/>
    <w:tmpl w:val="5FF24B22"/>
    <w:lvl w:ilvl="0">
      <w:start w:val="1"/>
      <w:numFmt w:val="decimal"/>
      <w:suff w:val="nothing"/>
      <w:lvlText w:val="（%1）"/>
      <w:lvlJc w:val="left"/>
    </w:lvl>
  </w:abstractNum>
  <w:abstractNum w:abstractNumId="8">
    <w:nsid w:val="7A8FF37D"/>
    <w:multiLevelType w:val="singleLevel"/>
    <w:tmpl w:val="7A8FF37D"/>
    <w:lvl w:ilvl="0">
      <w:start w:val="1"/>
      <w:numFmt w:val="decimal"/>
      <w:lvlText w:val="(%1)"/>
      <w:lvlJc w:val="left"/>
      <w:pPr>
        <w:ind w:left="425" w:hanging="425"/>
      </w:pPr>
      <w:rPr>
        <w:rFonts w:hint="default"/>
      </w:rPr>
    </w:lvl>
  </w:abstractNum>
  <w:abstractNum w:abstractNumId="9">
    <w:nsid w:val="7DF7CD28"/>
    <w:multiLevelType w:val="singleLevel"/>
    <w:tmpl w:val="7DF7CD28"/>
    <w:lvl w:ilvl="0">
      <w:start w:val="1"/>
      <w:numFmt w:val="chineseCounting"/>
      <w:suff w:val="nothing"/>
      <w:lvlText w:val="（%1）"/>
      <w:lvlJc w:val="left"/>
      <w:pPr>
        <w:ind w:left="0" w:firstLine="0"/>
      </w:pPr>
    </w:lvl>
  </w:abstractNum>
  <w:abstractNum w:abstractNumId="10">
    <w:nsid w:val="7EB88DB4"/>
    <w:multiLevelType w:val="singleLevel"/>
    <w:tmpl w:val="7EB88DB4"/>
    <w:lvl w:ilvl="0">
      <w:start w:val="1"/>
      <w:numFmt w:val="bullet"/>
      <w:lvlText w:val=""/>
      <w:lvlJc w:val="left"/>
      <w:pPr>
        <w:ind w:left="420" w:hanging="420"/>
      </w:pPr>
      <w:rPr>
        <w:rFonts w:ascii="Wingdings" w:hAnsi="Wingdings" w:hint="default"/>
      </w:rPr>
    </w:lvl>
  </w:abstractNum>
  <w:abstractNum w:abstractNumId="11">
    <w:nsid w:val="7F7F48C5"/>
    <w:multiLevelType w:val="singleLevel"/>
    <w:tmpl w:val="7F7F48C5"/>
    <w:lvl w:ilvl="0">
      <w:start w:val="1"/>
      <w:numFmt w:val="decimal"/>
      <w:suff w:val="nothing"/>
      <w:lvlText w:val="（%1）"/>
      <w:lvlJc w:val="left"/>
    </w:lvl>
  </w:abstractNum>
  <w:num w:numId="1">
    <w:abstractNumId w:val="3"/>
  </w:num>
  <w:num w:numId="2">
    <w:abstractNumId w:val="2"/>
  </w:num>
  <w:num w:numId="3">
    <w:abstractNumId w:val="4"/>
  </w:num>
  <w:num w:numId="4">
    <w:abstractNumId w:val="8"/>
  </w:num>
  <w:num w:numId="5">
    <w:abstractNumId w:val="10"/>
  </w:num>
  <w:num w:numId="6">
    <w:abstractNumId w:val="11"/>
  </w:num>
  <w:num w:numId="7">
    <w:abstractNumId w:val="7"/>
  </w:num>
  <w:num w:numId="8">
    <w:abstractNumId w:val="0"/>
  </w:num>
  <w:num w:numId="9">
    <w:abstractNumId w:val="1"/>
  </w:num>
  <w:num w:numId="10">
    <w:abstractNumId w:val="9"/>
    <w:lvlOverride w:ilvl="0">
      <w:startOverride w:val="1"/>
    </w:lvlOverride>
  </w:num>
  <w:num w:numId="11">
    <w:abstractNumId w:val="6"/>
    <w:lvlOverride w:ilvl="0">
      <w:startOverride w:val="1"/>
    </w:lvlOverride>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2AB0"/>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D7145"/>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link w:val="Char12"/>
    <w:qFormat/>
    <w:pPr>
      <w:ind w:firstLine="420"/>
    </w:pPr>
    <w:rPr>
      <w:lang w:val="zh-CN"/>
    </w:rPr>
  </w:style>
  <w:style w:type="character" w:customStyle="1" w:styleId="Char12">
    <w:name w:val="正文缩进 Char"/>
    <w:link w:val="NormalIndent"/>
    <w:qFormat/>
    <w:rPr>
      <w:lang w:val="zh-CN" w:eastAsia="zh-CN"/>
    </w:rPr>
  </w:style>
  <w:style w:type="paragraph" w:customStyle="1" w:styleId="20">
    <w:name w:val="正文字缩2字"/>
    <w:basedOn w:val="Normal"/>
    <w:link w:val="2Char"/>
    <w:qFormat/>
    <w:pPr>
      <w:spacing w:before="60" w:after="60" w:line="360" w:lineRule="auto"/>
      <w:ind w:left="200" w:firstLine="200" w:leftChars="200" w:firstLineChars="200"/>
    </w:pPr>
    <w:rPr>
      <w:sz w:val="24"/>
      <w:szCs w:val="24"/>
      <w:lang w:val="zh-CN"/>
    </w:rPr>
  </w:style>
  <w:style w:type="character" w:customStyle="1" w:styleId="2Char">
    <w:name w:val="正文字缩2字 Char"/>
    <w:link w:val="20"/>
    <w:qFormat/>
    <w:rPr>
      <w:sz w:val="24"/>
      <w:szCs w:val="24"/>
      <w:lang w:val="zh-CN"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