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2025年广西地基遥感垂直观测系统建设项目(微波辐射计)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ZQCD-25205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广西壮族自治区气象技术装备中心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2025年广西地基遥感垂直观测系统建设项目(微波辐射计)</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ZQCD-25205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广西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2025年07月31日 00:00:00</w:t>
      </w:r>
      <w:bookmarkEnd w:id="26"/>
      <w:r>
        <w:rPr>
          <w:rFonts w:ascii="宋体" w:hint="eastAsia"/>
          <w:szCs w:val="21"/>
          <w:highlight w:val="none"/>
        </w:rPr>
        <w:t>至</w:t>
      </w:r>
      <w:bookmarkStart w:id="27" w:name="项目公告_signUpLastTime"/>
      <w:r>
        <w:rPr>
          <w:rFonts w:ascii="宋体" w:hint="eastAsia"/>
          <w:szCs w:val="21"/>
          <w:highlight w:val="none"/>
        </w:rPr>
        <w:t>2025年08月07日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2025年09月08日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广西壮族自治区气象技术装备中心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张喜鸿</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0771-5851119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广西壮族自治区南宁市新竹路30号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w:t>
      </w:r>
      <w:r>
        <w:rPr>
          <w:rFonts w:hint="eastAsia"/>
          <w:szCs w:val="21"/>
          <w:highlight w:val="none"/>
        </w:rPr>
        <w:t>第</w:t>
      </w:r>
      <w:bookmarkStart w:id="38" w:name="_GoBack"/>
      <w:bookmarkEnd w:id="38"/>
      <w:r>
        <w:rPr>
          <w:rFonts w:hint="eastAsia"/>
          <w:szCs w:val="21"/>
          <w:highlight w:val="none"/>
        </w:rPr>
        <w:t>三章、</w:t>
      </w:r>
      <w:r>
        <w:rPr>
          <w:rFonts w:hint="eastAsia"/>
          <w:szCs w:val="21"/>
          <w:highlight w:val="none"/>
        </w:rPr>
        <w:t>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9" w:name="采购人2_recorderOrgName"/>
            <w:r>
              <w:rPr>
                <w:rFonts w:ascii="宋体" w:hAnsi="宋体" w:cs="微软雅黑" w:hint="eastAsia"/>
                <w:kern w:val="0"/>
                <w:szCs w:val="21"/>
                <w:highlight w:val="none"/>
              </w:rPr>
              <w:t>广西壮族自治区气象技术装备中心</w:t>
            </w:r>
            <w:bookmarkEnd w:id="39"/>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地基微波辐射计气象专用技术装备使用许可证</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1" w:name="代理商投标_agentFlagText"/>
            <w:r>
              <w:rPr>
                <w:rFonts w:asciiTheme="minorEastAsia" w:eastAsiaTheme="minorEastAsia" w:hAnsiTheme="minorEastAsia" w:cstheme="minorEastAsia" w:hint="eastAsia"/>
                <w:kern w:val="0"/>
                <w:szCs w:val="21"/>
                <w:highlight w:val="none"/>
              </w:rPr>
              <w:t>不允许（仅针对以下产品：地基微波辐射计不允许代理商投标）</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w:t>
            </w:r>
            <w:r>
              <w:rPr>
                <w:rFonts w:hint="eastAsia"/>
                <w:szCs w:val="21"/>
                <w:highlight w:val="none"/>
              </w:rPr>
              <w:t>代理商应提交资料</w:t>
            </w:r>
          </w:p>
        </w:tc>
        <w:tc>
          <w:tcPr>
            <w:tcW w:w="5209" w:type="dxa"/>
            <w:noWrap w:val="0"/>
            <w:vAlign w:val="center"/>
          </w:tcPr>
          <w:p>
            <w:pPr>
              <w:rPr>
                <w:rFonts w:ascii="宋体" w:hAnsi="宋体" w:cs="微软雅黑"/>
                <w:kern w:val="0"/>
                <w:szCs w:val="21"/>
                <w:highlight w:val="none"/>
              </w:rPr>
            </w:pPr>
            <w:r>
              <w:rPr>
                <w:rFonts w:ascii="宋体" w:hAnsi="宋体" w:cs="微软雅黑" w:hint="eastAsia"/>
                <w:kern w:val="0"/>
                <w:szCs w:val="21"/>
                <w:highlight w:val="none"/>
              </w:rPr>
              <w:t>进口产品制造商授权书</w:t>
            </w:r>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w:t>
            </w:r>
            <w:r>
              <w:rPr>
                <w:rFonts w:hint="eastAsia"/>
                <w:szCs w:val="21"/>
                <w:highlight w:val="none"/>
              </w:rPr>
              <w:t>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必须，以下产品需要提供至投标截止日仍有效的《气象专用技术装备使用许可证》：地基微波辐射计</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标的：地基微波辐射计，属于 工业设备行业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w:t>
            </w:r>
            <w:r>
              <w:rPr>
                <w:rFonts w:hint="eastAsia"/>
                <w:szCs w:val="21"/>
                <w:highlight w:val="none"/>
              </w:rPr>
              <w:t>需要</w:t>
            </w:r>
            <w:r>
              <w:rPr>
                <w:rFonts w:hint="eastAsia"/>
                <w:szCs w:val="21"/>
                <w:highlight w:val="none"/>
              </w:rPr>
              <w:t>交纳</w:t>
            </w:r>
            <w:r>
              <w:rPr>
                <w:rFonts w:hint="eastAsia"/>
                <w:szCs w:val="21"/>
                <w:highlight w:val="none"/>
              </w:rPr>
              <w:t>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680.000000</w:t>
            </w:r>
            <w:bookmarkEnd w:id="51"/>
            <w:r>
              <w:rPr>
                <w:rFonts w:ascii="宋体" w:hAnsi="宋体" w:cs="微软雅黑" w:hint="eastAsia"/>
                <w:kern w:val="0"/>
                <w:szCs w:val="21"/>
                <w:highlight w:val="none"/>
              </w:rPr>
              <w:t>万元</w:t>
            </w:r>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highlight w:val="none"/>
              </w:rPr>
              <w:t>5.18</w:t>
            </w:r>
          </w:p>
        </w:tc>
        <w:tc>
          <w:tcPr>
            <w:tcW w:w="1418" w:type="dxa"/>
            <w:noWrap w:val="0"/>
            <w:vAlign w:val="center"/>
          </w:tcPr>
          <w:p>
            <w:pPr>
              <w:rPr>
                <w:rFonts w:hint="eastAsia"/>
                <w:szCs w:val="21"/>
                <w:highlight w:val="none"/>
              </w:rPr>
            </w:pPr>
            <w:r>
              <w:rPr>
                <w:rFonts w:hint="eastAsia"/>
                <w:szCs w:val="21"/>
                <w:highlight w:val="none"/>
              </w:rPr>
              <w:t>1.22.1、1.22.2</w:t>
            </w:r>
          </w:p>
        </w:tc>
        <w:tc>
          <w:tcPr>
            <w:tcW w:w="1701" w:type="dxa"/>
            <w:noWrap w:val="0"/>
            <w:vAlign w:val="center"/>
          </w:tcPr>
          <w:p>
            <w:pPr>
              <w:rPr>
                <w:rFonts w:hint="eastAsia"/>
                <w:szCs w:val="21"/>
                <w:highlight w:val="none"/>
              </w:rPr>
            </w:pPr>
            <w:r>
              <w:rPr>
                <w:rFonts w:hint="eastAsia"/>
                <w:szCs w:val="21"/>
                <w:highlight w:val="none"/>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highlight w:val="none"/>
              </w:rPr>
              <w:t>除通过系统</w:t>
            </w:r>
            <w:r>
              <w:rPr>
                <w:rFonts w:ascii="宋体" w:cs="微软雅黑" w:hint="eastAsia"/>
                <w:szCs w:val="21"/>
                <w:highlight w:val="none"/>
              </w:rPr>
              <w:t>上传加密的电子投标文件外，同时在线下提供</w:t>
            </w:r>
            <w:r>
              <w:rPr>
                <w:rFonts w:ascii="宋体" w:hAnsi="宋体" w:hint="eastAsia"/>
                <w:bCs/>
                <w:szCs w:val="21"/>
                <w:highlight w:val="none"/>
              </w:rPr>
              <w:t>通过系统下载的投标文件电子版文件包（使用</w:t>
            </w:r>
            <w:r>
              <w:rPr>
                <w:rFonts w:hint="eastAsia"/>
                <w:bCs/>
                <w:highlight w:val="none"/>
              </w:rPr>
              <w:t>不可擦写的刻录光盘或其他只读存储介质）</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4" w:name="进行述标_describeStandardFlagText"/>
            <w:r>
              <w:rPr>
                <w:rFonts w:ascii="宋体" w:hAnsi="宋体" w:cs="微软雅黑" w:hint="eastAsia"/>
                <w:kern w:val="0"/>
                <w:szCs w:val="21"/>
                <w:highlight w:val="none"/>
              </w:rPr>
              <w:t>否</w:t>
            </w:r>
            <w:bookmarkEnd w:id="54"/>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5" w:name="其他事项_ottherReemarks"/>
            <w:r>
              <w:rPr>
                <w:rFonts w:ascii="宋体" w:hAnsi="宋体" w:hint="eastAsia"/>
                <w:szCs w:val="21"/>
                <w:highlight w:val="none"/>
              </w:rPr>
              <w:t>无</w:t>
            </w:r>
            <w:bookmarkEnd w:id="55"/>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6"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针对本项目采购的微波辐射计，</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针对微波辐射计设备，每提供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cr/>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针对微波辐射计设备，测试报告应涵盖环境适应性（温度、湿度、气压等）内容，每包含一项得1分，最多得3分。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6"/>
    </w:p>
    <w:p>
      <w:pPr>
        <w:adjustRightInd w:val="0"/>
        <w:snapToGrid w:val="0"/>
        <w:spacing w:line="360" w:lineRule="auto"/>
        <w:jc w:val="center"/>
        <w:outlineLvl w:val="1"/>
        <w:rPr>
          <w:rFonts w:hint="default"/>
          <w:b/>
          <w:bCs/>
          <w:sz w:val="30"/>
          <w:szCs w:val="30"/>
        </w:rPr>
      </w:pPr>
      <w:r>
        <w:rPr>
          <w:bCs/>
          <w:szCs w:val="21"/>
          <w:highlight w:val="none"/>
        </w:rPr>
        <w:br w:type="page"/>
      </w:r>
      <w:bookmarkStart w:id="57" w:name="插入_采购需求书"/>
      <w:bookmarkStart w:id="58" w:name="插入_采购需求标题"/>
      <w:r>
        <w:rPr>
          <w:rFonts w:hint="default"/>
          <w:b/>
          <w:bCs/>
          <w:sz w:val="30"/>
          <w:szCs w:val="30"/>
        </w:rPr>
        <w:t>第七章  采购需求</w:t>
      </w:r>
      <w:bookmarkEnd w:id="58"/>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29"/>
        <w:gridCol w:w="993"/>
        <w:gridCol w:w="1784"/>
        <w:gridCol w:w="2967"/>
        <w:gridCol w:w="253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90"/>
          <w:jc w:val="center"/>
        </w:trPr>
        <w:tc>
          <w:tcPr>
            <w:tcW w:w="405" w:type="pct"/>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序号</w:t>
            </w:r>
          </w:p>
        </w:tc>
        <w:tc>
          <w:tcPr>
            <w:tcW w:w="154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项目</w:t>
            </w:r>
          </w:p>
        </w:tc>
        <w:tc>
          <w:tcPr>
            <w:tcW w:w="305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技术指标</w:t>
            </w:r>
          </w:p>
        </w:tc>
      </w:tr>
      <w:tr>
        <w:tblPrEx>
          <w:tblW w:w="5000" w:type="pct"/>
          <w:jc w:val="center"/>
          <w:tblCellMar>
            <w:top w:w="0" w:type="dxa"/>
            <w:left w:w="108" w:type="dxa"/>
            <w:bottom w:w="0" w:type="dxa"/>
            <w:right w:w="108" w:type="dxa"/>
          </w:tblCellMar>
          <w:tblLook w:val="0000"/>
        </w:tblPrEx>
        <w:trPr>
          <w:cantSplit/>
          <w:trHeight w:val="1226"/>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主要功能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大气辐射亮温，大气温度廓线，边界层温度廓线，水汽密度廓线，相对湿度廓线，液态水廓线，积分水汽，积分液态水，降雨标志，云底温度和云底高度等。</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具有亮温、地面辅助观测数据和气象产品数据质量的自动检测和质量控制功能。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pPr>
              <w:pStyle w:val="NormalIndent"/>
              <w:tabs>
                <w:tab w:val="left" w:pos="3119"/>
              </w:tabs>
              <w:ind w:firstLine="0"/>
              <w:rPr>
                <w:rFonts w:ascii="仿宋" w:eastAsia="仿宋" w:hAnsi="仿宋" w:cs="仿宋" w:hint="eastAsia"/>
                <w:bCs/>
                <w:kern w:val="0"/>
                <w:sz w:val="24"/>
                <w:szCs w:val="24"/>
              </w:rPr>
            </w:pPr>
            <w:r>
              <w:rPr>
                <w:rFonts w:ascii="仿宋" w:eastAsia="仿宋" w:hAnsi="仿宋" w:cs="仿宋" w:hint="eastAsia"/>
                <w:bCs/>
                <w:kern w:val="0"/>
                <w:sz w:val="24"/>
                <w:szCs w:val="24"/>
              </w:rPr>
              <w:t>≤</w:t>
            </w:r>
            <w:r>
              <w:rPr>
                <w:rFonts w:ascii="仿宋" w:eastAsia="仿宋" w:hAnsi="仿宋" w:cs="仿宋" w:hint="eastAsia"/>
                <w:bCs/>
                <w:kern w:val="0"/>
                <w:sz w:val="24"/>
                <w:szCs w:val="24"/>
              </w:rPr>
              <w:t>2min</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探测高度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10km</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#天线半功率波束宽度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5</w:t>
            </w:r>
            <w:r>
              <w:rPr>
                <w:rFonts w:ascii="仿宋" w:eastAsia="仿宋" w:hAnsi="仿宋" w:cs="仿宋" w:hint="eastAsia"/>
                <w:bCs/>
                <w:kern w:val="0"/>
                <w:sz w:val="24"/>
              </w:rPr>
              <w:t>°</w:t>
            </w: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#天线旁瓣电平</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水汽通道＜-25 dB，温度通道＜-28dB</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0.1dB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接收单元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技术体制</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直接检波或混频检波</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工作频率</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 22～32GHz ，温度通道 51～59GHz</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通道数量</w:t>
            </w:r>
          </w:p>
        </w:tc>
        <w:tc>
          <w:tcPr>
            <w:tcW w:w="3052" w:type="pct"/>
            <w:gridSpan w:val="2"/>
            <w:vAlign w:val="center"/>
          </w:tcPr>
          <w:p>
            <w:pPr>
              <w:widowControl/>
              <w:jc w:val="left"/>
              <w:rPr>
                <w:rFonts w:hint="eastAsia"/>
              </w:rPr>
            </w:pP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ign w:val="center"/>
          </w:tcPr>
          <w:p>
            <w:pPr>
              <w:widowControl/>
              <w:jc w:val="center"/>
              <w:rPr>
                <w:rFonts w:ascii="仿宋" w:eastAsia="仿宋" w:hAnsi="仿宋" w:cs="仿宋" w:hint="eastAsia"/>
                <w:bCs/>
                <w:kern w:val="0"/>
              </w:rPr>
            </w:pP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#噪声系数</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4dB，温度通道</w:t>
            </w:r>
            <w:r>
              <w:rPr>
                <w:rFonts w:ascii="仿宋" w:eastAsia="仿宋" w:hAnsi="仿宋" w:cs="仿宋" w:hint="eastAsia"/>
                <w:bCs/>
                <w:kern w:val="0"/>
                <w:sz w:val="24"/>
              </w:rPr>
              <w:t>≤</w:t>
            </w:r>
            <w:r>
              <w:rPr>
                <w:rFonts w:ascii="仿宋" w:eastAsia="仿宋" w:hAnsi="仿宋" w:cs="仿宋" w:hint="eastAsia"/>
                <w:bCs/>
                <w:kern w:val="0"/>
                <w:sz w:val="24"/>
              </w:rPr>
              <w:t>6dB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亮温测量范围</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0K～400K</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亮温灵敏度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0.2K（1s 积分时间）</w:t>
            </w:r>
          </w:p>
          <w:p>
            <w:pPr>
              <w:widowControl/>
              <w:jc w:val="left"/>
              <w:rPr>
                <w:rFonts w:ascii="仿宋" w:eastAsia="仿宋" w:hAnsi="仿宋" w:cs="仿宋" w:hint="eastAsia"/>
                <w:bCs/>
                <w:kern w:val="0"/>
              </w:rPr>
            </w:pPr>
            <w:r>
              <w:rPr>
                <w:rFonts w:ascii="仿宋" w:eastAsia="仿宋" w:hAnsi="仿宋" w:cs="仿宋" w:hint="eastAsia"/>
                <w:bCs/>
                <w:kern w:val="0"/>
                <w:sz w:val="24"/>
              </w:rPr>
              <w:t>氧气通道</w:t>
            </w:r>
            <w:r>
              <w:rPr>
                <w:rFonts w:ascii="仿宋" w:eastAsia="仿宋" w:hAnsi="仿宋" w:cs="仿宋" w:hint="eastAsia"/>
                <w:bCs/>
                <w:kern w:val="0"/>
                <w:sz w:val="24"/>
              </w:rPr>
              <w:t>≤</w:t>
            </w:r>
            <w:r>
              <w:rPr>
                <w:rFonts w:ascii="仿宋" w:eastAsia="仿宋" w:hAnsi="仿宋" w:cs="仿宋" w:hint="eastAsia"/>
                <w:bCs/>
                <w:kern w:val="0"/>
                <w:sz w:val="24"/>
              </w:rPr>
              <w:t>0.3K（1s 积分时间）</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#亮温测量误差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1K RMS</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#检波器线性度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0.9999</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定标单元</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#内置黑体温度均匀性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0.5K</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黑体内置温度传感器误差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0.2K</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地面参数测量单元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地面温度传感器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0.2</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地面湿度传感器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测量范围：5%～100%RH；</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r>
              <w:rPr>
                <w:rFonts w:ascii="仿宋" w:eastAsia="仿宋" w:hAnsi="仿宋" w:cs="仿宋" w:hint="eastAsia"/>
                <w:bCs/>
                <w:kern w:val="0"/>
                <w:sz w:val="24"/>
              </w:rPr>
              <w:t>80%）；</w:t>
            </w:r>
            <w:r>
              <w:rPr>
                <w:rFonts w:ascii="仿宋" w:eastAsia="仿宋" w:hAnsi="仿宋" w:cs="仿宋" w:hint="eastAsia"/>
                <w:bCs/>
                <w:kern w:val="0"/>
                <w:sz w:val="24"/>
              </w:rPr>
              <w:t>≤</w:t>
            </w:r>
            <w:r>
              <w:rPr>
                <w:rFonts w:ascii="仿宋" w:eastAsia="仿宋" w:hAnsi="仿宋" w:cs="仿宋" w:hint="eastAsia"/>
                <w:bCs/>
                <w:kern w:val="0"/>
                <w:sz w:val="24"/>
              </w:rPr>
              <w:t>5%（＞80%）</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地面气压传感器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测量范围：500hPa～1060hPa；</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0.3hPa</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采集与控制单元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存储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 1 年以上基数据和产品等数据存储要求</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观测性能</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#相对湿度廓线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15%RH</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#水汽密度廓线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0.8g/m3</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#温度廓线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当高度＞2000m时，均方根误差：</w:t>
            </w:r>
            <w:r>
              <w:rPr>
                <w:rFonts w:ascii="仿宋" w:eastAsia="仿宋" w:hAnsi="仿宋" w:cs="仿宋" w:hint="eastAsia"/>
                <w:bCs/>
                <w:kern w:val="0"/>
                <w:sz w:val="24"/>
              </w:rPr>
              <w:t>≤</w:t>
            </w:r>
            <w:r>
              <w:rPr>
                <w:rFonts w:ascii="仿宋" w:eastAsia="仿宋" w:hAnsi="仿宋" w:cs="仿宋" w:hint="eastAsia"/>
                <w:bCs/>
                <w:kern w:val="0"/>
                <w:sz w:val="24"/>
              </w:rPr>
              <w:t>1.8K；</w:t>
            </w:r>
          </w:p>
          <w:p>
            <w:pPr>
              <w:widowControl/>
              <w:jc w:val="left"/>
              <w:rPr>
                <w:rFonts w:ascii="仿宋" w:eastAsia="仿宋" w:hAnsi="仿宋" w:cs="仿宋" w:hint="eastAsia"/>
                <w:bCs/>
                <w:kern w:val="0"/>
              </w:rPr>
            </w:pPr>
            <w:r>
              <w:rPr>
                <w:rFonts w:ascii="仿宋" w:eastAsia="仿宋" w:hAnsi="仿宋" w:cs="仿宋" w:hint="eastAsia"/>
                <w:bCs/>
                <w:kern w:val="0"/>
                <w:sz w:val="24"/>
              </w:rPr>
              <w:t>当高度</w:t>
            </w:r>
            <w:r>
              <w:rPr>
                <w:rFonts w:ascii="仿宋" w:eastAsia="仿宋" w:hAnsi="仿宋" w:cs="仿宋" w:hint="eastAsia"/>
                <w:bCs/>
                <w:kern w:val="0"/>
                <w:sz w:val="24"/>
              </w:rPr>
              <w:t>≤</w:t>
            </w:r>
            <w:r>
              <w:rPr>
                <w:rFonts w:ascii="仿宋" w:eastAsia="仿宋" w:hAnsi="仿宋" w:cs="仿宋" w:hint="eastAsia"/>
                <w:bCs/>
                <w:kern w:val="0"/>
                <w:sz w:val="24"/>
              </w:rPr>
              <w:t>2000m时，均方根误差：</w:t>
            </w:r>
            <w:r>
              <w:rPr>
                <w:rFonts w:ascii="仿宋" w:eastAsia="仿宋" w:hAnsi="仿宋" w:cs="仿宋" w:hint="eastAsia"/>
                <w:bCs/>
                <w:kern w:val="0"/>
                <w:sz w:val="24"/>
              </w:rPr>
              <w:t>≤</w:t>
            </w:r>
            <w:r>
              <w:rPr>
                <w:rFonts w:ascii="仿宋" w:eastAsia="仿宋" w:hAnsi="仿宋" w:cs="仿宋" w:hint="eastAsia"/>
                <w:bCs/>
                <w:kern w:val="0"/>
                <w:sz w:val="24"/>
              </w:rPr>
              <w:t>1K</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#积分水汽含量</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4mm</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220V、50Hz，电压变化－15％～10％，频率变化</w:t>
            </w:r>
            <w:r>
              <w:rPr>
                <w:rFonts w:ascii="仿宋" w:eastAsia="仿宋" w:hAnsi="仿宋" w:cs="仿宋" w:hint="eastAsia"/>
                <w:bCs/>
                <w:kern w:val="0"/>
                <w:sz w:val="24"/>
              </w:rPr>
              <w:t>±</w:t>
            </w:r>
            <w:r>
              <w:rPr>
                <w:rFonts w:ascii="仿宋" w:eastAsia="仿宋" w:hAnsi="仿宋" w:cs="仿宋" w:hint="eastAsia"/>
                <w:bCs/>
                <w:kern w:val="0"/>
                <w:sz w:val="24"/>
              </w:rPr>
              <w:t>3％时，系统能正常工作</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未开启防雾干燥系统加热模块时，整机功耗应</w:t>
            </w:r>
            <w:r>
              <w:rPr>
                <w:rFonts w:ascii="仿宋" w:eastAsia="仿宋" w:hAnsi="仿宋" w:cs="仿宋" w:hint="eastAsia"/>
                <w:bCs/>
                <w:kern w:val="0"/>
                <w:sz w:val="24"/>
              </w:rPr>
              <w:t>≤</w:t>
            </w:r>
            <w:r>
              <w:rPr>
                <w:rFonts w:ascii="仿宋" w:eastAsia="仿宋" w:hAnsi="仿宋" w:cs="仿宋" w:hint="eastAsia"/>
                <w:bCs/>
                <w:kern w:val="0"/>
                <w:sz w:val="24"/>
              </w:rPr>
              <w:t>600W；</w:t>
            </w:r>
          </w:p>
          <w:p>
            <w:pPr>
              <w:widowControl/>
              <w:jc w:val="left"/>
              <w:rPr>
                <w:rFonts w:ascii="仿宋" w:eastAsia="仿宋" w:hAnsi="仿宋" w:cs="仿宋" w:hint="eastAsia"/>
                <w:bCs/>
                <w:kern w:val="0"/>
              </w:rPr>
            </w:pPr>
            <w:r>
              <w:rPr>
                <w:rFonts w:ascii="仿宋" w:eastAsia="仿宋" w:hAnsi="仿宋" w:cs="仿宋" w:hint="eastAsia"/>
                <w:bCs/>
                <w:kern w:val="0"/>
                <w:sz w:val="24"/>
              </w:rPr>
              <w:t>最大允许功耗应</w:t>
            </w:r>
            <w:r>
              <w:rPr>
                <w:rFonts w:ascii="仿宋" w:eastAsia="仿宋" w:hAnsi="仿宋" w:cs="仿宋" w:hint="eastAsia"/>
                <w:bCs/>
                <w:kern w:val="0"/>
                <w:sz w:val="24"/>
              </w:rPr>
              <w:t>≤</w:t>
            </w:r>
            <w:r>
              <w:rPr>
                <w:rFonts w:ascii="仿宋" w:eastAsia="仿宋" w:hAnsi="仿宋" w:cs="仿宋" w:hint="eastAsia"/>
                <w:bCs/>
                <w:kern w:val="0"/>
                <w:sz w:val="24"/>
              </w:rPr>
              <w:t>2100W</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环境适应性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温度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工作温度：</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（室外设备），0</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（室内设备）；</w:t>
            </w:r>
          </w:p>
          <w:p>
            <w:pPr>
              <w:widowControl/>
              <w:jc w:val="left"/>
              <w:rPr>
                <w:rFonts w:ascii="仿宋" w:eastAsia="仿宋" w:hAnsi="仿宋" w:cs="仿宋" w:hint="eastAsia"/>
                <w:bCs/>
                <w:kern w:val="0"/>
              </w:rPr>
            </w:pPr>
            <w:r>
              <w:rPr>
                <w:rFonts w:ascii="仿宋" w:eastAsia="仿宋" w:hAnsi="仿宋" w:cs="仿宋" w:hint="eastAsia"/>
                <w:bCs/>
                <w:kern w:val="0"/>
                <w:sz w:val="24"/>
              </w:rPr>
              <w:t>贮存温度：</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～55</w:t>
            </w:r>
            <w:r>
              <w:rPr>
                <w:rFonts w:ascii="仿宋" w:eastAsia="仿宋" w:hAnsi="仿宋" w:cs="仿宋" w:hint="eastAsia"/>
                <w:bCs/>
                <w:kern w:val="0"/>
                <w:sz w:val="24"/>
              </w:rPr>
              <w:t>℃</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恒定湿热</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室外设备相对湿度95%，环境温度35</w:t>
            </w:r>
            <w:r>
              <w:rPr>
                <w:rFonts w:ascii="仿宋" w:eastAsia="仿宋" w:hAnsi="仿宋" w:cs="仿宋" w:hint="eastAsia"/>
                <w:bCs/>
                <w:kern w:val="0"/>
                <w:sz w:val="24"/>
              </w:rPr>
              <w:t>℃</w:t>
            </w:r>
            <w:r>
              <w:rPr>
                <w:rFonts w:ascii="仿宋" w:eastAsia="仿宋" w:hAnsi="仿宋" w:cs="仿宋" w:hint="eastAsia"/>
                <w:bCs/>
                <w:kern w:val="0"/>
                <w:sz w:val="24"/>
              </w:rPr>
              <w:t>，试验时间48h</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气压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500～1060hPa。</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外壳防护</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室外设备外壳防护等级应达到IP55。</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抗盐雾腐</w:t>
            </w:r>
          </w:p>
          <w:p>
            <w:pPr>
              <w:widowControl/>
              <w:jc w:val="center"/>
              <w:rPr>
                <w:rFonts w:ascii="仿宋" w:eastAsia="仿宋" w:hAnsi="仿宋" w:cs="仿宋" w:hint="eastAsia"/>
                <w:bCs/>
                <w:kern w:val="0"/>
              </w:rPr>
            </w:pPr>
            <w:r>
              <w:rPr>
                <w:rFonts w:ascii="仿宋" w:eastAsia="仿宋" w:hAnsi="仿宋" w:cs="仿宋" w:hint="eastAsia"/>
                <w:bCs/>
                <w:kern w:val="0"/>
                <w:sz w:val="24"/>
              </w:rPr>
              <w:t>蚀</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外露零件镀层耐48小时盐雾沉降试验。</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机械</w:t>
            </w:r>
          </w:p>
          <w:p>
            <w:pPr>
              <w:widowControl/>
              <w:jc w:val="center"/>
              <w:rPr>
                <w:rFonts w:ascii="仿宋" w:eastAsia="仿宋" w:hAnsi="仿宋" w:cs="仿宋" w:hint="eastAsia"/>
                <w:bCs/>
                <w:kern w:val="0"/>
              </w:rPr>
            </w:pPr>
            <w:r>
              <w:rPr>
                <w:rFonts w:ascii="仿宋" w:eastAsia="仿宋" w:hAnsi="仿宋" w:cs="仿宋" w:hint="eastAsia"/>
                <w:bCs/>
                <w:kern w:val="0"/>
                <w:sz w:val="24"/>
              </w:rPr>
              <w:t>条件</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冲击振动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在产品规定包装条件下，宽带随机振动试验应达到2M3等级（参考标准GB/T 4798.2-2008）。</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电磁兼容性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电磁抗扰度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满足GB/T17626.2-2018 静电放电抗扰度要求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满足GB/T17626.4-2018 电快速瞬变脉冲群抗扰度要求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满足GB/T17626.5-2018 浪涌（冲击）抗扰度要求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提供投标产品的电磁兼容检测报告</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其他</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天线罩性能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微波天线罩具有雨、雪、尘土等防护作用</w:t>
            </w:r>
          </w:p>
        </w:tc>
      </w:tr>
      <w:tr>
        <w:tblPrEx>
          <w:tblW w:w="5000" w:type="pct"/>
          <w:jc w:val="center"/>
          <w:tblCellMar>
            <w:top w:w="0" w:type="dxa"/>
            <w:left w:w="108" w:type="dxa"/>
            <w:bottom w:w="0" w:type="dxa"/>
            <w:right w:w="108" w:type="dxa"/>
          </w:tblCellMar>
          <w:tblLook w:val="0000"/>
        </w:tblPrEx>
        <w:trPr>
          <w:cantSplit/>
          <w:trHeight w:val="441"/>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自动观测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投标产品具备无人值守观测方式，要求投标产品具备内定标技术，实现自动定标观测能力</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17</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pPr>
        <w:spacing w:line="560" w:lineRule="exact"/>
        <w:jc w:val="center"/>
        <w:rPr>
          <w:rFonts w:ascii="仿宋_GB2312" w:eastAsia="仿宋_GB2312" w:hAnsi="仿宋_GB2312" w:cs="仿宋_GB2312" w:hint="eastAsia"/>
          <w:b/>
          <w:bCs/>
          <w:szCs w:val="21"/>
        </w:rPr>
      </w:pPr>
      <w:r>
        <w:rPr>
          <w:rFonts w:ascii="仿宋_GB2312" w:eastAsia="仿宋_GB2312" w:hAnsi="仿宋_GB2312" w:cs="仿宋_GB2312" w:hint="eastAsia"/>
          <w:b/>
          <w:bCs/>
          <w:szCs w:val="21"/>
        </w:rPr>
        <w:t>配置要求</w:t>
      </w:r>
    </w:p>
    <w:tbl>
      <w:tblPr>
        <w:tblStyle w:val="TableNormal"/>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
      <w:tblGrid>
        <w:gridCol w:w="558"/>
        <w:gridCol w:w="1846"/>
        <w:gridCol w:w="709"/>
        <w:gridCol w:w="709"/>
        <w:gridCol w:w="3823"/>
        <w:gridCol w:w="1452"/>
      </w:tblGrid>
      <w:tr>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Ex>
        <w:trPr>
          <w:trHeight w:val="503"/>
          <w:jc w:val="center"/>
        </w:trPr>
        <w:tc>
          <w:tcPr>
            <w:tcW w:w="558"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序号</w:t>
            </w:r>
          </w:p>
        </w:tc>
        <w:tc>
          <w:tcPr>
            <w:tcW w:w="1846"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设备名称</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单位</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数量</w:t>
            </w:r>
          </w:p>
        </w:tc>
        <w:tc>
          <w:tcPr>
            <w:tcW w:w="3823"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主要功能</w:t>
            </w:r>
          </w:p>
        </w:tc>
        <w:tc>
          <w:tcPr>
            <w:tcW w:w="1452"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备注</w:t>
            </w:r>
          </w:p>
        </w:tc>
      </w:tr>
      <w:tr>
        <w:tblPrEx>
          <w:tblW w:w="9097" w:type="dxa"/>
          <w:jc w:val="center"/>
          <w:tblLayout w:type="fixed"/>
          <w:tblCellMar>
            <w:top w:w="0" w:type="dxa"/>
            <w:left w:w="10" w:type="dxa"/>
            <w:bottom w:w="0" w:type="dxa"/>
            <w:right w:w="10" w:type="dxa"/>
          </w:tblCellMar>
          <w:tblLook w:val="0000"/>
        </w:tblPrEx>
        <w:trPr>
          <w:trHeight w:val="1260"/>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微波辐射计室外主机</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包含设备运输、安装、调试、验收等。</w:t>
            </w: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辅助单元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3</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辐射计管理应用软件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4</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辐射计数据质量监测单元。</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5</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室外支架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室外主机安装。</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6</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产品技术手册</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42"/>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7</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随机附件备件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随机备件一套。</w:t>
            </w:r>
          </w:p>
        </w:tc>
        <w:tc>
          <w:tcPr>
            <w:tcW w:w="1452"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随机免费提供</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4.1 设备建设</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4.2技术服务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（1）设备供应商需提供详细技术服务方案，包括但不限于：设备安装建设规范、设备工作原理、设备部件结构组成、设备操作手册、设备运行维护手册、设备软件使用手册、相关产品算法说明文档等。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（3）设备供应商对每套投标产品提供至少2次技术培训，培训内容包括设备安装、使用、日常维护、观测原理及产品应用，培训时间及地点双方协商确定。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4.3 质保期服务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参照《地基微波辐射计功能规格需求书》《地基微波辐射计测试大纲》和《地基遥感垂直观测系统测试大纲》以及中国气象局最新业务管理规定等有关文件要求开展检验考核。</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92"/>
        <w:gridCol w:w="768"/>
        <w:gridCol w:w="643"/>
        <w:gridCol w:w="893"/>
        <w:gridCol w:w="1019"/>
        <w:gridCol w:w="3652"/>
        <w:gridCol w:w="119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59" w:name="货物一览表_index"/>
            <w:r>
              <w:rPr>
                <w:rFonts w:asciiTheme="minorEastAsia" w:eastAsiaTheme="minorEastAsia" w:hAnsiTheme="minorEastAsia" w:cstheme="minorEastAsia" w:hint="eastAsia"/>
                <w:kern w:val="0"/>
                <w:szCs w:val="21"/>
              </w:rPr>
              <w:t>序号</w:t>
            </w:r>
            <w:bookmarkEnd w:id="59"/>
          </w:p>
        </w:tc>
        <w:tc>
          <w:tcPr>
            <w:tcW w:w="1135" w:type="dxa"/>
          </w:tcPr>
          <w:p>
            <w:pPr>
              <w:autoSpaceDE w:val="0"/>
              <w:jc w:val="center"/>
              <w:rPr>
                <w:rFonts w:asciiTheme="minorEastAsia" w:hAnsiTheme="minorEastAsia" w:cstheme="minorEastAsia"/>
                <w:kern w:val="0"/>
                <w:szCs w:val="21"/>
              </w:rPr>
            </w:pPr>
            <w:bookmarkStart w:id="60" w:name="货物一览表_goodsName"/>
            <w:r>
              <w:rPr>
                <w:rFonts w:asciiTheme="minorEastAsia" w:eastAsiaTheme="minorEastAsia" w:hAnsiTheme="minorEastAsia" w:cstheme="minorEastAsia" w:hint="eastAsia"/>
                <w:kern w:val="0"/>
                <w:szCs w:val="21"/>
              </w:rPr>
              <w:t>设备名称</w:t>
            </w:r>
            <w:bookmarkEnd w:id="60"/>
          </w:p>
        </w:tc>
        <w:tc>
          <w:tcPr>
            <w:tcW w:w="965" w:type="dxa"/>
          </w:tcPr>
          <w:p>
            <w:pPr>
              <w:autoSpaceDE w:val="0"/>
              <w:jc w:val="center"/>
              <w:rPr>
                <w:rFonts w:asciiTheme="minorEastAsia" w:hAnsiTheme="minorEastAsia" w:cstheme="minorEastAsia"/>
                <w:kern w:val="0"/>
                <w:szCs w:val="21"/>
              </w:rPr>
            </w:pPr>
            <w:bookmarkStart w:id="61" w:name="货物一览表_nums"/>
            <w:r>
              <w:rPr>
                <w:rFonts w:asciiTheme="minorEastAsia" w:eastAsiaTheme="minorEastAsia" w:hAnsiTheme="minorEastAsia" w:cstheme="minorEastAsia" w:hint="eastAsia"/>
                <w:kern w:val="0"/>
                <w:szCs w:val="21"/>
              </w:rPr>
              <w:t>采购数量</w:t>
            </w:r>
            <w:bookmarkEnd w:id="61"/>
          </w:p>
        </w:tc>
        <w:tc>
          <w:tcPr>
            <w:tcW w:w="1062" w:type="dxa"/>
          </w:tcPr>
          <w:p>
            <w:pPr>
              <w:autoSpaceDE w:val="0"/>
              <w:jc w:val="center"/>
              <w:rPr>
                <w:rFonts w:asciiTheme="minorEastAsia" w:hAnsiTheme="minorEastAsia" w:cstheme="minorEastAsia"/>
                <w:kern w:val="0"/>
                <w:szCs w:val="21"/>
              </w:rPr>
            </w:pPr>
            <w:bookmarkStart w:id="62" w:name="货物一览表_units"/>
            <w:r>
              <w:rPr>
                <w:rFonts w:asciiTheme="minorEastAsia" w:eastAsiaTheme="minorEastAsia" w:hAnsiTheme="minorEastAsia" w:cstheme="minorEastAsia" w:hint="eastAsia"/>
                <w:kern w:val="0"/>
                <w:szCs w:val="21"/>
              </w:rPr>
              <w:t>计量单位</w:t>
            </w:r>
            <w:bookmarkEnd w:id="62"/>
          </w:p>
        </w:tc>
        <w:tc>
          <w:tcPr>
            <w:tcW w:w="1220" w:type="dxa"/>
          </w:tcPr>
          <w:p>
            <w:pPr>
              <w:autoSpaceDE w:val="0"/>
              <w:jc w:val="center"/>
              <w:rPr>
                <w:rFonts w:asciiTheme="minorEastAsia" w:hAnsiTheme="minorEastAsia" w:cstheme="minorEastAsia"/>
                <w:kern w:val="0"/>
                <w:szCs w:val="21"/>
              </w:rPr>
            </w:pPr>
            <w:bookmarkStart w:id="63" w:name="货物一览表_procurementBudget"/>
            <w:r>
              <w:rPr>
                <w:rFonts w:asciiTheme="minorEastAsia" w:eastAsiaTheme="minorEastAsia" w:hAnsiTheme="minorEastAsia" w:cstheme="minorEastAsia" w:hint="eastAsia"/>
                <w:kern w:val="0"/>
                <w:szCs w:val="21"/>
              </w:rPr>
              <w:t>采购预算（元）</w:t>
            </w:r>
            <w:bookmarkEnd w:id="63"/>
          </w:p>
        </w:tc>
        <w:tc>
          <w:tcPr>
            <w:tcW w:w="1329" w:type="dxa"/>
          </w:tcPr>
          <w:p>
            <w:pPr>
              <w:autoSpaceDE w:val="0"/>
              <w:jc w:val="center"/>
              <w:rPr>
                <w:rFonts w:asciiTheme="minorEastAsia" w:hAnsiTheme="minorEastAsia" w:cstheme="minorEastAsia" w:hint="eastAsia"/>
                <w:kern w:val="0"/>
                <w:szCs w:val="21"/>
              </w:rPr>
            </w:pPr>
            <w:bookmarkStart w:id="64"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4"/>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5" w:name="货物一览表_remark"/>
            <w:r>
              <w:rPr>
                <w:rFonts w:asciiTheme="minorEastAsia" w:eastAsiaTheme="minorEastAsia" w:hAnsiTheme="minorEastAsia" w:cstheme="minorEastAsia" w:hint="eastAsia"/>
                <w:kern w:val="0"/>
                <w:szCs w:val="21"/>
              </w:rPr>
              <w:t>备注</w:t>
            </w:r>
            <w:bookmarkEnd w:id="65"/>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6,800,000.00</w:t>
            </w:r>
          </w:p>
        </w:tc>
        <w:tc>
          <w:tcPr/>
          <w:p>
            <w:pPr>
              <w:autoSpaceDE w:val="0"/>
              <w:jc w:val="center"/>
              <w:rPr>
                <w:rFonts w:asciiTheme="minorEastAsia" w:hAnsiTheme="minorEastAsia" w:cstheme="minorEastAsia" w:hint="eastAsia"/>
                <w:kern w:val="0"/>
                <w:szCs w:val="21"/>
              </w:rPr>
            </w:pPr>
            <w:r>
              <w:t>合同签订后120天内交货，180天内完成安装调试并具备验收条件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张喜鸿15994370121</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36"/>
        <w:gridCol w:w="766"/>
        <w:gridCol w:w="658"/>
        <w:gridCol w:w="336"/>
        <w:gridCol w:w="766"/>
        <w:gridCol w:w="638"/>
        <w:gridCol w:w="1303"/>
        <w:gridCol w:w="371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6"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装备中心</w:t>
            </w:r>
          </w:p>
        </w:tc>
        <w:tc>
          <w:tcPr/>
          <w:p>
            <w:r>
              <w:t>微波辐射计</w:t>
            </w:r>
          </w:p>
        </w:tc>
        <w:tc>
          <w:tcPr/>
          <w:p>
            <w:r>
              <w:t>4</w:t>
            </w:r>
          </w:p>
        </w:tc>
        <w:tc>
          <w:tcPr/>
          <w:p>
            <w:r>
              <w:t>6800000.00</w:t>
            </w:r>
          </w:p>
        </w:tc>
        <w:tc>
          <w:tcPr/>
          <w:p>
            <w:r>
              <w:t xml:space="preserve">6800000.00  </w:t>
            </w:r>
          </w:p>
        </w:tc>
        <w:tc>
          <w:tcPr/>
          <w:p>
            <w:r>
              <w:t>南宁、桂林、梧州、河池</w:t>
            </w:r>
          </w:p>
        </w:tc>
        <w:tc>
          <w:tcPr/>
          <w:p>
            <w:r>
              <w:t>采购人全称：广西壮族自治区气象技术装备中心，联系人张喜鸿15994370121</w:t>
            </w:r>
          </w:p>
        </w:tc>
      </w:tr>
    </w:tbl>
    <w:p w:rsidR="00A77B3E"/>
    <w:p>
      <w:pPr>
        <w:spacing w:line="360" w:lineRule="auto"/>
        <w:rPr>
          <w:rFonts w:ascii="宋体" w:hAnsi="宋体"/>
          <w:szCs w:val="21"/>
        </w:rPr>
      </w:pPr>
      <w:bookmarkEnd w:id="66"/>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3706B8">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3706B8">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3706B8">
      <w:pPr>
        <w:ind w:firstLine="560" w:firstLineChars="200"/>
        <w:rPr>
          <w:rFonts w:ascii="仿宋" w:eastAsia="仿宋" w:hAnsi="仿宋" w:cs="仿宋"/>
          <w:sz w:val="28"/>
          <w:szCs w:val="20"/>
        </w:rPr>
      </w:pPr>
      <w:r>
        <w:rPr>
          <w:rFonts w:ascii="仿宋" w:eastAsia="仿宋" w:hAnsi="仿宋" w:cs="仿宋" w:hint="eastAsia"/>
          <w:sz w:val="28"/>
          <w:szCs w:val="20"/>
        </w:rPr>
        <w:t>依据</w:t>
      </w:r>
      <w:r>
        <w:rPr>
          <w:rFonts w:ascii="仿宋" w:eastAsia="仿宋" w:hAnsi="仿宋" w:cs="仿宋" w:hint="eastAsia"/>
          <w:sz w:val="28"/>
          <w:szCs w:val="20"/>
        </w:rPr>
        <w:t>2025</w:t>
      </w:r>
      <w:r>
        <w:rPr>
          <w:rFonts w:ascii="仿宋" w:eastAsia="仿宋" w:hAnsi="仿宋" w:cs="仿宋" w:hint="eastAsia"/>
          <w:sz w:val="28"/>
          <w:szCs w:val="20"/>
        </w:rPr>
        <w:t>年</w:t>
      </w:r>
      <w:r>
        <w:rPr>
          <w:rFonts w:ascii="仿宋" w:eastAsia="仿宋" w:hAnsi="仿宋" w:cs="仿宋" w:hint="eastAsia"/>
          <w:sz w:val="28"/>
          <w:szCs w:val="20"/>
        </w:rPr>
        <w:t>广西</w:t>
      </w:r>
      <w:r>
        <w:rPr>
          <w:rFonts w:ascii="仿宋" w:eastAsia="仿宋" w:hAnsi="仿宋" w:cs="仿宋" w:hint="eastAsia"/>
          <w:sz w:val="28"/>
          <w:szCs w:val="20"/>
        </w:rPr>
        <w:t>地基遥感垂直观测系统建设项目的要求，南宁、桂林、梧州、河池等</w:t>
      </w:r>
      <w:r>
        <w:rPr>
          <w:rFonts w:ascii="仿宋" w:eastAsia="仿宋" w:hAnsi="仿宋" w:cs="仿宋" w:hint="eastAsia"/>
          <w:sz w:val="28"/>
          <w:szCs w:val="20"/>
        </w:rPr>
        <w:t>4</w:t>
      </w:r>
      <w:r>
        <w:rPr>
          <w:rFonts w:ascii="仿宋" w:eastAsia="仿宋" w:hAnsi="仿宋" w:cs="仿宋" w:hint="eastAsia"/>
          <w:sz w:val="28"/>
          <w:szCs w:val="20"/>
        </w:rPr>
        <w:t>个国家高空气象观测站目前已经建设</w:t>
      </w:r>
      <w:r>
        <w:rPr>
          <w:rFonts w:ascii="仿宋" w:eastAsia="仿宋" w:hAnsi="仿宋" w:cs="仿宋" w:hint="eastAsia"/>
          <w:sz w:val="28"/>
          <w:szCs w:val="20"/>
        </w:rPr>
        <w:t>P</w:t>
      </w:r>
      <w:r>
        <w:rPr>
          <w:rFonts w:ascii="仿宋" w:eastAsia="仿宋" w:hAnsi="仿宋" w:cs="仿宋" w:hint="eastAsia"/>
          <w:sz w:val="28"/>
          <w:szCs w:val="20"/>
        </w:rPr>
        <w:t>波段风廓线雷达，</w:t>
      </w:r>
      <w:r>
        <w:rPr>
          <w:rFonts w:ascii="仿宋" w:eastAsia="仿宋" w:hAnsi="仿宋" w:cs="仿宋" w:hint="eastAsia"/>
          <w:sz w:val="28"/>
          <w:szCs w:val="20"/>
        </w:rPr>
        <w:t>毫米波测云仪</w:t>
      </w:r>
      <w:r>
        <w:rPr>
          <w:rFonts w:ascii="仿宋" w:eastAsia="仿宋" w:hAnsi="仿宋" w:cs="仿宋" w:hint="eastAsia"/>
          <w:sz w:val="28"/>
          <w:szCs w:val="20"/>
        </w:rPr>
        <w:t>，</w:t>
      </w:r>
      <w:r>
        <w:rPr>
          <w:rFonts w:ascii="仿宋" w:eastAsia="仿宋" w:hAnsi="仿宋" w:cs="仿宋" w:hint="eastAsia"/>
          <w:sz w:val="28"/>
          <w:szCs w:val="20"/>
        </w:rPr>
        <w:t>GNSS/MET</w:t>
      </w:r>
      <w:r>
        <w:rPr>
          <w:rFonts w:ascii="仿宋" w:eastAsia="仿宋" w:hAnsi="仿宋" w:cs="仿宋" w:hint="eastAsia"/>
          <w:sz w:val="28"/>
          <w:szCs w:val="20"/>
        </w:rPr>
        <w:t>水汽监测系统和集成系统，根据中国气象局规划，</w:t>
      </w:r>
      <w:r>
        <w:rPr>
          <w:rFonts w:ascii="仿宋" w:eastAsia="仿宋" w:hAnsi="仿宋" w:cs="仿宋" w:hint="eastAsia"/>
          <w:sz w:val="28"/>
          <w:szCs w:val="20"/>
        </w:rPr>
        <w:t>探空站</w:t>
      </w:r>
      <w:r>
        <w:rPr>
          <w:rFonts w:ascii="仿宋" w:eastAsia="仿宋" w:hAnsi="仿宋" w:cs="仿宋" w:hint="eastAsia"/>
          <w:sz w:val="28"/>
          <w:szCs w:val="20"/>
        </w:rPr>
        <w:t>将建成全套地基遥感垂直观测系统，</w:t>
      </w:r>
      <w:r>
        <w:rPr>
          <w:rFonts w:ascii="仿宋" w:eastAsia="仿宋" w:hAnsi="仿宋" w:cs="仿宋" w:hint="eastAsia"/>
          <w:sz w:val="28"/>
          <w:szCs w:val="20"/>
        </w:rPr>
        <w:t>项目</w:t>
      </w:r>
      <w:r>
        <w:rPr>
          <w:rFonts w:ascii="仿宋" w:eastAsia="仿宋" w:hAnsi="仿宋" w:cs="仿宋" w:hint="eastAsia"/>
          <w:sz w:val="28"/>
          <w:szCs w:val="20"/>
        </w:rPr>
        <w:t>采购微波辐射</w:t>
      </w:r>
      <w:r>
        <w:rPr>
          <w:rFonts w:ascii="仿宋" w:eastAsia="仿宋" w:hAnsi="仿宋" w:cs="仿宋" w:hint="eastAsia"/>
          <w:sz w:val="28"/>
          <w:szCs w:val="20"/>
        </w:rPr>
        <w:t>计</w:t>
      </w:r>
      <w:r>
        <w:rPr>
          <w:rFonts w:ascii="仿宋" w:eastAsia="仿宋" w:hAnsi="仿宋" w:cs="仿宋" w:hint="eastAsia"/>
          <w:sz w:val="28"/>
          <w:szCs w:val="20"/>
        </w:rPr>
        <w:t>将能</w:t>
      </w:r>
      <w:r>
        <w:rPr>
          <w:rFonts w:ascii="仿宋" w:eastAsia="仿宋" w:hAnsi="仿宋" w:cs="仿宋" w:hint="eastAsia"/>
          <w:sz w:val="28"/>
          <w:szCs w:val="20"/>
        </w:rPr>
        <w:t>获取温度、相对湿度、水汽密度廓线等参数与其他地基遥感设备组建地基遥感垂直观测系统，形成大气温、湿、风、气溶胶和水凝物等气象要素三维立体监测网，解决当前探测系统的观测对影响中小尺度灾害性天气事件发生、发展的垂直结构观测能力薄弱的问题</w:t>
      </w:r>
      <w:r>
        <w:rPr>
          <w:rFonts w:ascii="仿宋" w:eastAsia="仿宋" w:hAnsi="仿宋" w:cs="仿宋" w:hint="eastAsia"/>
          <w:sz w:val="28"/>
          <w:szCs w:val="20"/>
        </w:rPr>
        <w:t>。</w:t>
      </w:r>
      <w:r>
        <w:rPr>
          <w:rFonts w:ascii="仿宋" w:eastAsia="仿宋" w:hAnsi="仿宋" w:cs="仿宋" w:hint="eastAsia"/>
          <w:sz w:val="28"/>
          <w:szCs w:val="20"/>
        </w:rPr>
        <w:t>通过加密布设地基遥感垂直观测系统使观测时间从十几小时提升至分钟，提高捕捉中小尺度灾害性天气过程的探测能力。设备必须取得地基微波辐射计气象专用技术装备使用许可证。</w:t>
      </w:r>
    </w:p>
    <w:p w:rsidR="003706B8">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3706B8">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w:t>
      </w:r>
      <w:r>
        <w:rPr>
          <w:rFonts w:ascii="仿宋" w:eastAsia="仿宋" w:hAnsi="仿宋" w:cs="仿宋" w:hint="eastAsia"/>
          <w:sz w:val="28"/>
          <w:szCs w:val="20"/>
        </w:rPr>
        <w:t>后服务组织机构设置合理，人员技术能力强，技术文档内容全面。</w:t>
      </w:r>
    </w:p>
    <w:p w:rsidR="003706B8">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3706B8">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w:t>
      </w:r>
      <w:r>
        <w:rPr>
          <w:rFonts w:ascii="仿宋" w:eastAsia="仿宋" w:hAnsi="仿宋" w:cs="仿宋" w:hint="eastAsia"/>
          <w:sz w:val="28"/>
          <w:szCs w:val="20"/>
        </w:rPr>
        <w:t>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3706B8">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次技术培训，培训课时</w:t>
      </w:r>
      <w:r>
        <w:rPr>
          <w:rFonts w:ascii="仿宋" w:eastAsia="仿宋" w:hAnsi="仿宋" w:cs="仿宋"/>
          <w:sz w:val="28"/>
          <w:szCs w:val="20"/>
        </w:rPr>
        <w:t>不少于</w:t>
      </w:r>
      <w:r>
        <w:rPr>
          <w:rFonts w:ascii="仿宋" w:eastAsia="仿宋" w:hAnsi="仿宋" w:cs="仿宋" w:hint="eastAsia"/>
          <w:sz w:val="28"/>
          <w:szCs w:val="20"/>
        </w:rPr>
        <w:t>24</w:t>
      </w:r>
      <w:r>
        <w:rPr>
          <w:rFonts w:ascii="仿宋" w:eastAsia="仿宋" w:hAnsi="仿宋" w:cs="仿宋" w:hint="eastAsia"/>
          <w:sz w:val="28"/>
          <w:szCs w:val="20"/>
        </w:rPr>
        <w:t>个</w:t>
      </w:r>
      <w:r>
        <w:rPr>
          <w:rFonts w:ascii="仿宋" w:eastAsia="仿宋" w:hAnsi="仿宋" w:cs="仿宋"/>
          <w:sz w:val="28"/>
          <w:szCs w:val="20"/>
        </w:rPr>
        <w:t>课时，培训人数不少于</w:t>
      </w:r>
      <w:r>
        <w:rPr>
          <w:rFonts w:ascii="仿宋" w:eastAsia="仿宋" w:hAnsi="仿宋" w:cs="仿宋" w:hint="eastAsia"/>
          <w:sz w:val="28"/>
          <w:szCs w:val="20"/>
        </w:rPr>
        <w:t>10</w:t>
      </w:r>
      <w:r>
        <w:rPr>
          <w:rFonts w:ascii="仿宋" w:eastAsia="仿宋" w:hAnsi="仿宋" w:cs="仿宋" w:hint="eastAsia"/>
          <w:sz w:val="28"/>
          <w:szCs w:val="20"/>
        </w:rPr>
        <w:t>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rsidR="003706B8">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3706B8">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rPr>
        <w:t>南宁、桂林、梧州、河池</w:t>
      </w:r>
      <w:r>
        <w:rPr>
          <w:rFonts w:ascii="仿宋" w:eastAsia="仿宋" w:hAnsi="仿宋" w:cs="仿宋" w:hint="eastAsia"/>
          <w:sz w:val="28"/>
          <w:szCs w:val="20"/>
        </w:rPr>
        <w:t>（运输相关费用由供应商负责），并负责安装调试。</w:t>
      </w:r>
    </w:p>
    <w:p w:rsidR="003706B8" w:rsidP="00601FD8">
      <w:pPr>
        <w:ind w:firstLine="560" w:firstLineChars="200"/>
        <w:rPr>
          <w:rFonts w:ascii="仿宋" w:eastAsia="仿宋" w:hAnsi="仿宋" w:cs="仿宋"/>
          <w:b/>
          <w:bCs/>
          <w:sz w:val="28"/>
          <w:szCs w:val="20"/>
        </w:rPr>
      </w:pPr>
      <w:r w:rsidRPr="00601FD8">
        <w:rPr>
          <w:rFonts w:ascii="仿宋" w:eastAsia="仿宋" w:hAnsi="仿宋" w:cs="仿宋" w:hint="eastAsia"/>
          <w:sz w:val="28"/>
          <w:szCs w:val="20"/>
        </w:rPr>
        <w:t>合同签订后120天内交货，180天内完成安装调试并具备验收条件</w:t>
      </w:r>
      <w:r w:rsidR="00650C4B">
        <w:rPr>
          <w:rFonts w:ascii="仿宋" w:eastAsia="仿宋" w:hAnsi="仿宋" w:cs="仿宋" w:hint="eastAsia"/>
          <w:sz w:val="28"/>
          <w:szCs w:val="20"/>
        </w:rPr>
        <w:t>。</w:t>
      </w:r>
      <w:r w:rsidR="00650C4B">
        <w:rPr>
          <w:rFonts w:ascii="仿宋" w:eastAsia="仿宋" w:hAnsi="仿宋" w:cs="仿宋" w:hint="eastAsia"/>
          <w:sz w:val="28"/>
          <w:szCs w:val="20"/>
        </w:rPr>
        <w:br/>
      </w:r>
      <w:r w:rsidR="00650C4B">
        <w:rPr>
          <w:rFonts w:ascii="仿宋" w:eastAsia="仿宋" w:hAnsi="仿宋" w:cs="仿宋" w:hint="eastAsia"/>
          <w:b/>
          <w:bCs/>
          <w:sz w:val="28"/>
          <w:szCs w:val="20"/>
        </w:rPr>
        <w:t>五、服务团队要求</w:t>
      </w:r>
    </w:p>
    <w:p w:rsidR="003706B8">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w:t>
      </w:r>
      <w:r>
        <w:rPr>
          <w:rFonts w:ascii="仿宋" w:eastAsia="仿宋" w:hAnsi="仿宋" w:cs="仿宋" w:hint="eastAsia"/>
          <w:sz w:val="28"/>
          <w:szCs w:val="20"/>
        </w:rPr>
        <w:t>退休人员的，可提供聘用合同）。</w:t>
      </w:r>
    </w:p>
    <w:p w:rsidR="003706B8">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3706B8">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设备软件兼容性强，设备数据传输模式、数据格式、数据通讯协议满足中国气象局下发的《地基遥感垂直气象观测业务管理规定（</w:t>
      </w:r>
      <w:r>
        <w:rPr>
          <w:rFonts w:ascii="仿宋" w:eastAsia="仿宋" w:hAnsi="仿宋" w:cs="仿宋" w:hint="eastAsia"/>
          <w:sz w:val="28"/>
          <w:szCs w:val="20"/>
        </w:rPr>
        <w:t>2024</w:t>
      </w:r>
      <w:r>
        <w:rPr>
          <w:rFonts w:ascii="仿宋" w:eastAsia="仿宋" w:hAnsi="仿宋" w:cs="仿宋" w:hint="eastAsia"/>
          <w:sz w:val="28"/>
          <w:szCs w:val="20"/>
        </w:rPr>
        <w:t>版）》（</w:t>
      </w:r>
      <w:r>
        <w:rPr>
          <w:rFonts w:ascii="仿宋" w:eastAsia="仿宋" w:hAnsi="仿宋" w:cs="仿宋" w:hint="eastAsia"/>
          <w:sz w:val="28"/>
          <w:szCs w:val="20"/>
        </w:rPr>
        <w:t>气测函〔</w:t>
      </w:r>
      <w:r>
        <w:rPr>
          <w:rFonts w:ascii="仿宋" w:eastAsia="仿宋" w:hAnsi="仿宋" w:cs="仿宋" w:hint="eastAsia"/>
          <w:sz w:val="28"/>
          <w:szCs w:val="20"/>
        </w:rPr>
        <w:t>2024</w:t>
      </w:r>
      <w:r>
        <w:rPr>
          <w:rFonts w:ascii="仿宋" w:eastAsia="仿宋" w:hAnsi="仿宋" w:cs="仿宋" w:hint="eastAsia"/>
          <w:sz w:val="28"/>
          <w:szCs w:val="20"/>
        </w:rPr>
        <w:t>〕</w:t>
      </w:r>
      <w:r>
        <w:rPr>
          <w:rFonts w:ascii="仿宋" w:eastAsia="仿宋" w:hAnsi="仿宋" w:cs="仿宋" w:hint="eastAsia"/>
          <w:sz w:val="28"/>
          <w:szCs w:val="20"/>
        </w:rPr>
        <w:t>14</w:t>
      </w:r>
      <w:r>
        <w:rPr>
          <w:rFonts w:ascii="仿宋" w:eastAsia="仿宋" w:hAnsi="仿宋" w:cs="仿宋" w:hint="eastAsia"/>
          <w:sz w:val="28"/>
          <w:szCs w:val="20"/>
        </w:rPr>
        <w:t>号），可无缝接入气象业务内网网络系统，实现与气象业务内网网络系统、天元、天</w:t>
      </w:r>
      <w:r>
        <w:rPr>
          <w:rFonts w:ascii="仿宋" w:eastAsia="仿宋" w:hAnsi="仿宋" w:cs="仿宋" w:hint="eastAsia"/>
          <w:sz w:val="28"/>
          <w:szCs w:val="20"/>
        </w:rPr>
        <w:t>衡天衍</w:t>
      </w:r>
      <w:r>
        <w:rPr>
          <w:rFonts w:ascii="仿宋" w:eastAsia="仿宋" w:hAnsi="仿宋" w:cs="仿宋" w:hint="eastAsia"/>
          <w:sz w:val="28"/>
          <w:szCs w:val="20"/>
        </w:rPr>
        <w:t>、</w:t>
      </w:r>
      <w:r>
        <w:rPr>
          <w:rFonts w:ascii="仿宋" w:eastAsia="仿宋" w:hAnsi="仿宋" w:cs="仿宋" w:hint="eastAsia"/>
          <w:sz w:val="28"/>
          <w:szCs w:val="20"/>
        </w:rPr>
        <w:t>天擎及省级</w:t>
      </w:r>
      <w:r>
        <w:rPr>
          <w:rFonts w:ascii="仿宋" w:eastAsia="仿宋" w:hAnsi="仿宋" w:cs="仿宋" w:hint="eastAsia"/>
          <w:sz w:val="28"/>
          <w:szCs w:val="20"/>
        </w:rPr>
        <w:t>业务平台无缝接入，完全符合甲方相关要求和规范，保证其系统的兼</w:t>
      </w:r>
      <w:r>
        <w:rPr>
          <w:rFonts w:ascii="仿宋" w:eastAsia="仿宋" w:hAnsi="仿宋" w:cs="仿宋" w:hint="eastAsia"/>
          <w:sz w:val="28"/>
          <w:szCs w:val="20"/>
        </w:rPr>
        <w:t>容性和功能的完整性。</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7"/>
    </w:p>
    <w:p w:rsidR="00FD682D">
      <w:pPr>
        <w:tabs>
          <w:tab w:val="left" w:pos="1573"/>
        </w:tabs>
        <w:adjustRightInd w:val="0"/>
        <w:snapToGrid w:val="0"/>
        <w:spacing w:line="360" w:lineRule="auto"/>
        <w:jc w:val="center"/>
        <w:outlineLvl w:val="1"/>
        <w:rPr>
          <w:b/>
          <w:bCs/>
          <w:sz w:val="30"/>
          <w:szCs w:val="30"/>
        </w:rPr>
      </w:pPr>
      <w:bookmarkStart w:id="67"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FD682D">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72251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FD682D">
            <w:pPr>
              <w:rPr>
                <w:sz w:val="18"/>
                <w:szCs w:val="18"/>
              </w:rPr>
            </w:pPr>
            <w:r>
              <w:rPr>
                <w:rFonts w:hint="eastAsia"/>
                <w:sz w:val="18"/>
                <w:szCs w:val="18"/>
              </w:rPr>
              <w:t>序号</w:t>
            </w:r>
          </w:p>
        </w:tc>
        <w:tc>
          <w:tcPr>
            <w:tcW w:w="898" w:type="dxa"/>
            <w:vAlign w:val="center"/>
          </w:tcPr>
          <w:p w:rsidR="00FD682D">
            <w:pPr>
              <w:jc w:val="center"/>
              <w:rPr>
                <w:sz w:val="18"/>
                <w:szCs w:val="18"/>
              </w:rPr>
            </w:pPr>
            <w:r>
              <w:rPr>
                <w:rFonts w:hint="eastAsia"/>
                <w:sz w:val="18"/>
                <w:szCs w:val="18"/>
              </w:rPr>
              <w:t>对应</w:t>
            </w:r>
          </w:p>
          <w:p w:rsidR="00FD682D">
            <w:pPr>
              <w:jc w:val="center"/>
              <w:rPr>
                <w:sz w:val="18"/>
                <w:szCs w:val="18"/>
              </w:rPr>
            </w:pPr>
            <w:r>
              <w:rPr>
                <w:rFonts w:hint="eastAsia"/>
                <w:sz w:val="18"/>
                <w:szCs w:val="18"/>
              </w:rPr>
              <w:t>条款号</w:t>
            </w:r>
          </w:p>
        </w:tc>
        <w:tc>
          <w:tcPr>
            <w:tcW w:w="7347" w:type="dxa"/>
            <w:vAlign w:val="center"/>
          </w:tcPr>
          <w:p w:rsidR="00FD682D">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722517">
        <w:tblPrEx>
          <w:tblW w:w="8789" w:type="dxa"/>
          <w:tblLayout w:type="fixed"/>
          <w:tblLook w:val="04A0"/>
        </w:tblPrEx>
        <w:trPr>
          <w:cantSplit/>
        </w:trPr>
        <w:tc>
          <w:tcPr>
            <w:tcW w:w="8789" w:type="dxa"/>
            <w:gridSpan w:val="3"/>
            <w:vAlign w:val="center"/>
          </w:tcPr>
          <w:p w:rsidR="00FD682D">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722517">
        <w:tblPrEx>
          <w:tblW w:w="8789" w:type="dxa"/>
          <w:tblLayout w:type="fixed"/>
          <w:tblLook w:val="04A0"/>
        </w:tblPrEx>
        <w:trPr>
          <w:cantSplit/>
        </w:trPr>
        <w:tc>
          <w:tcPr>
            <w:tcW w:w="544" w:type="dxa"/>
            <w:vAlign w:val="center"/>
          </w:tcPr>
          <w:p w:rsidR="00FD682D">
            <w:pPr>
              <w:numPr>
                <w:ilvl w:val="0"/>
                <w:numId w:val="12"/>
              </w:numPr>
              <w:rPr>
                <w:rFonts w:ascii="宋体" w:hAnsi="宋体"/>
                <w:sz w:val="18"/>
                <w:szCs w:val="18"/>
              </w:rPr>
            </w:pPr>
          </w:p>
        </w:tc>
        <w:tc>
          <w:tcPr>
            <w:tcW w:w="898" w:type="dxa"/>
            <w:vAlign w:val="center"/>
          </w:tcPr>
          <w:p w:rsidR="00FD682D">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FD682D">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w:t>
            </w:r>
            <w:r w:rsidRPr="00722517">
              <w:rPr>
                <w:rFonts w:ascii="宋体" w:hAnsi="宋体" w:cs="微软雅黑" w:hint="eastAsia"/>
                <w:b/>
                <w:color w:val="0000FF"/>
                <w:kern w:val="0"/>
                <w:sz w:val="18"/>
                <w:szCs w:val="18"/>
              </w:rPr>
              <w:t>地基微波辐射计</w:t>
            </w:r>
          </w:p>
        </w:tc>
      </w:tr>
      <w:tr w:rsidTr="00722517">
        <w:tblPrEx>
          <w:tblW w:w="8789" w:type="dxa"/>
          <w:tblLayout w:type="fixed"/>
          <w:tblLook w:val="04A0"/>
        </w:tblPrEx>
        <w:trPr>
          <w:cantSplit/>
        </w:trPr>
        <w:tc>
          <w:tcPr>
            <w:tcW w:w="8789" w:type="dxa"/>
            <w:gridSpan w:val="3"/>
            <w:vAlign w:val="center"/>
          </w:tcPr>
          <w:p w:rsidR="00FD682D">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722517">
        <w:tblPrEx>
          <w:tblW w:w="8789" w:type="dxa"/>
          <w:tblLayout w:type="fixed"/>
          <w:tblLook w:val="04A0"/>
        </w:tblPrEx>
        <w:trPr>
          <w:cantSplit/>
        </w:trPr>
        <w:tc>
          <w:tcPr>
            <w:tcW w:w="544" w:type="dxa"/>
            <w:vAlign w:val="center"/>
          </w:tcPr>
          <w:p w:rsidR="00FD682D">
            <w:pPr>
              <w:numPr>
                <w:ilvl w:val="0"/>
                <w:numId w:val="12"/>
              </w:numPr>
              <w:rPr>
                <w:rFonts w:ascii="宋体" w:hAnsi="宋体"/>
                <w:sz w:val="18"/>
                <w:szCs w:val="18"/>
              </w:rPr>
            </w:pPr>
          </w:p>
        </w:tc>
        <w:tc>
          <w:tcPr>
            <w:tcW w:w="898" w:type="dxa"/>
            <w:vAlign w:val="center"/>
          </w:tcPr>
          <w:p w:rsidR="00FD682D">
            <w:pPr>
              <w:jc w:val="center"/>
              <w:rPr>
                <w:rFonts w:ascii="宋体" w:hAnsi="宋体" w:hint="eastAsia"/>
                <w:sz w:val="18"/>
                <w:szCs w:val="18"/>
              </w:rPr>
            </w:pPr>
            <w:r>
              <w:rPr>
                <w:rFonts w:ascii="宋体" w:hAnsi="宋体" w:hint="eastAsia"/>
                <w:sz w:val="18"/>
                <w:szCs w:val="18"/>
              </w:rPr>
              <w:t>四</w:t>
            </w:r>
            <w:r>
              <w:rPr>
                <w:rFonts w:ascii="宋体" w:hAnsi="宋体"/>
                <w:sz w:val="18"/>
                <w:szCs w:val="18"/>
              </w:rPr>
              <w:t>、</w:t>
            </w:r>
            <w:r>
              <w:rPr>
                <w:rFonts w:ascii="宋体" w:hAnsi="宋体" w:hint="eastAsia"/>
                <w:sz w:val="18"/>
                <w:szCs w:val="18"/>
              </w:rPr>
              <w:t>4.3</w:t>
            </w:r>
          </w:p>
        </w:tc>
        <w:tc>
          <w:tcPr>
            <w:tcW w:w="7347" w:type="dxa"/>
            <w:vAlign w:val="center"/>
          </w:tcPr>
          <w:p w:rsidR="00FD682D">
            <w:pPr>
              <w:tabs>
                <w:tab w:val="left" w:pos="709"/>
              </w:tabs>
              <w:spacing w:line="360" w:lineRule="auto"/>
              <w:jc w:val="left"/>
              <w:rPr>
                <w:rFonts w:ascii="宋体" w:hAnsi="宋体"/>
                <w:sz w:val="18"/>
                <w:szCs w:val="18"/>
              </w:rPr>
            </w:pPr>
            <w:r w:rsidRPr="00722517">
              <w:rPr>
                <w:rFonts w:ascii="宋体" w:hAnsi="宋体" w:cs="微软雅黑" w:hint="eastAsia"/>
                <w:b/>
                <w:color w:val="0000FF"/>
                <w:kern w:val="0"/>
                <w:sz w:val="18"/>
                <w:szCs w:val="18"/>
              </w:rPr>
              <w:t>设备供应商对所有设备提供自验收合格后8年的免费维护维修服务*，并提供相关承诺函。</w:t>
            </w:r>
          </w:p>
        </w:tc>
      </w:tr>
    </w:tbl>
    <w:p w:rsidR="00FD682D">
      <w:pPr>
        <w:spacing w:before="156" w:beforeLines="50" w:line="360" w:lineRule="auto"/>
        <w:ind w:firstLine="420"/>
      </w:pPr>
      <w:r>
        <w:rPr>
          <w:rFonts w:ascii="宋体" w:hAnsi="宋体" w:hint="eastAsia"/>
          <w:szCs w:val="21"/>
        </w:rPr>
        <w:t>注：根据项目具体情况，对投标人有具体要求，且投标人必</w:t>
      </w:r>
      <w:r>
        <w:rPr>
          <w:rFonts w:ascii="宋体" w:hAnsi="宋体" w:hint="eastAsia"/>
          <w:szCs w:val="21"/>
        </w:rPr>
        <w:t>须遵守的，逐条列出。</w:t>
      </w:r>
    </w:p>
    <w:p w:rsidR="00A77B3E"/>
    <w:p w:rsidR="00FD682D">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b/>
          <w:bCs/>
          <w:szCs w:val="21"/>
          <w:highlight w:val="none"/>
        </w:rPr>
      </w:pPr>
      <w:bookmarkStart w:id="68" w:name="采购公告合同部分_ZBGGHT"/>
      <w:r>
        <w:rPr>
          <w:rFonts w:hint="eastAsia"/>
          <w:b/>
          <w:bCs/>
          <w:szCs w:val="21"/>
          <w:highlight w:val="none"/>
        </w:rPr>
        <w:t>第九章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69"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69"/>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0"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0"/>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5"/>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b/>
          <w:bCs/>
          <w:szCs w:val="21"/>
          <w:highlight w:val="none"/>
          <w:u w:val="single"/>
          <w:lang w:eastAsia="zh-CN"/>
        </w:rPr>
        <w:t>合同签订生效后，甲方向乙方支付首付款，合同总价的</w:t>
      </w:r>
      <w:r>
        <w:rPr>
          <w:rFonts w:ascii="宋体" w:hAnsi="宋体" w:hint="eastAsia"/>
          <w:b/>
          <w:bCs/>
          <w:szCs w:val="21"/>
          <w:highlight w:val="none"/>
          <w:u w:val="single"/>
          <w:lang w:val="en-US" w:eastAsia="zh-CN"/>
        </w:rPr>
        <w:t xml:space="preserve">80%。设备完成验收后，甲方向乙方支付尾款，即合同总价的20% </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4"/>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6"/>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1" w:name="_Toc27624"/>
      <w:r>
        <w:rPr>
          <w:rFonts w:ascii="黑体" w:hAnsi="黑体" w:hint="eastAsia"/>
          <w:b w:val="0"/>
          <w:bCs w:val="0"/>
          <w:sz w:val="28"/>
          <w:szCs w:val="28"/>
          <w:highlight w:val="none"/>
        </w:rPr>
        <w:t>第二节 政府采购合同通用条款</w:t>
      </w:r>
      <w:bookmarkEnd w:id="71"/>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7"/>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2"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2"/>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9"/>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1"/>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3"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3"/>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8"/>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
  </w:num>
  <w:num w:numId="6">
    <w:abstractNumId w:val="5"/>
  </w:num>
  <w:num w:numId="7">
    <w:abstractNumId w:val="3"/>
  </w:num>
  <w:num w:numId="8">
    <w:abstractNumId w:val="2"/>
  </w:num>
  <w:num w:numId="9">
    <w:abstractNumId w:val="10"/>
  </w:num>
  <w:num w:numId="10">
    <w:abstractNumId w:val="0"/>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6B8"/>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1FD8"/>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0C4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2517"/>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82D"/>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NormalIndent">
    <w:name w:val="Normal Indent"/>
    <w:basedOn w:val="Normal"/>
    <w:pPr>
      <w:ind w:firstLine="420"/>
    </w:pPr>
    <w:rPr>
      <w:rFonts w:eastAsia="方正仿宋"/>
      <w:sz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