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湖南省2026年人工影响天气作业火箭发射架采购项目（第三次）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湖南省气象科学研究所；长沙市气象局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湖南省2026年人工影响天气作业火箭发射架采购项目（第三次）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ZQCD-26158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湖南省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2026年07月31日 00:00:00</w:t>
      </w:r>
      <w:bookmarkEnd w:id="26"/>
      <w:r>
        <w:rPr>
          <w:rFonts w:ascii="宋体" w:hint="eastAsia"/>
          <w:szCs w:val="21"/>
          <w:highlight w:val="none"/>
        </w:rPr>
        <w:t>至</w:t>
      </w:r>
      <w:bookmarkStart w:id="27" w:name="项目公告_signUpLastTime"/>
      <w:r>
        <w:rPr>
          <w:rFonts w:ascii="宋体" w:hint="eastAsia"/>
          <w:szCs w:val="21"/>
          <w:highlight w:val="none"/>
        </w:rPr>
        <w:t>2026年08月07日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湖南省气象科学研究所；长沙市气象局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周盛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0731-86919288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湖南省长沙市天心区芙蓉南路四段196号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湖南省气象科学研究所；长沙市气象局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（1）标的：人工影响天气装备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88.200000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88.200000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(40)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销售合同必须包括增雨防雹火箭发射架，每提供1份合同得1分，最多得5分。否则不得分。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针对本项目采购的增雨防雹火箭发射架，承诺每提前15天交货的得0.5分，最多得1分。否则不得分。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针对增雨防雹火箭发射架，每提供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区间打分</w:t>
            </w:r>
            <w:r>
              <w:t>(4)</w:t>
            </w:r>
          </w:p>
        </w:tc>
        <w:tc>
          <w:tcPr/>
          <w:p>
            <w:r>
              <w:t>评审标准：</w:t>
            </w:r>
          </w:p>
          <w:p>
            <w:r>
              <w:t xml:space="preserve">1、投标人为本项目拟派的服务团队中项目经理应具有3年以上相关工作经验的得2分；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(28)</w:t>
            </w:r>
          </w:p>
        </w:tc>
        <w:tc>
          <w:tcPr/>
          <w:p>
            <w:r>
              <w:t>评审标准：</w:t>
            </w:r>
          </w:p>
          <w:p>
            <w:r>
              <w:t>标注#的重要指标共7项，每满足1项（如有多个下级指标，则每个下级指标均应满足）得4分，满分28分。</w:t>
            </w:r>
          </w:p>
          <w:p>
            <w:r>
              <w:t>评审标准说明：</w:t>
            </w:r>
          </w:p>
          <w:p>
            <w:r>
              <w:t>需提供技术文档。响应且满足招标文件第七章详细技术指标要求，标注#的重要指标需提供产品说明书、技术参数白皮书等证明材料并加盖投标人公章。</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根据湖南省人工影响天气2026年作业计划采购需求，采购增雨防雹火箭发射架。现有的火箭发射架型号（BFJCZ4-1、BFJQZ4-1型号）。</w:t>
      </w:r>
    </w:p>
    <w:p>
      <w:pPr>
        <w:spacing w:line="360" w:lineRule="auto"/>
        <w:ind w:firstLine="420" w:firstLineChars="200"/>
        <w:rPr>
          <w:rFonts w:ascii="宋体" w:hAnsi="宋体"/>
          <w:szCs w:val="21"/>
        </w:rPr>
      </w:pPr>
      <w:r>
        <w:rPr>
          <w:rFonts w:ascii="宋体" w:hAnsi="宋体" w:hint="eastAsia"/>
          <w:szCs w:val="21"/>
        </w:rPr>
        <w:t>湖南省气象科学研究所本次采购的增雨防雹火箭发射架，由中标供应商运输至采购单位指定地点，并完成交付验收。</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szCs w:val="21"/>
        </w:rPr>
      </w:pPr>
      <w:r>
        <w:rPr>
          <w:rFonts w:ascii="宋体" w:hAnsi="宋体" w:hint="eastAsia"/>
          <w:szCs w:val="21"/>
        </w:rPr>
        <w:t>1：火箭发射架</w:t>
      </w:r>
    </w:p>
    <w:p>
      <w:pPr>
        <w:spacing w:line="360" w:lineRule="auto"/>
        <w:ind w:left="420" w:leftChars="200"/>
        <w:jc w:val="left"/>
        <w:rPr>
          <w:rFonts w:ascii="宋体" w:hAnsi="宋体" w:cs="宋体"/>
          <w:kern w:val="0"/>
          <w:szCs w:val="21"/>
        </w:rPr>
      </w:pPr>
      <w:r>
        <w:rPr>
          <w:rFonts w:ascii="宋体" w:hAnsi="宋体" w:cs="宋体" w:hint="eastAsia"/>
          <w:kern w:val="0"/>
          <w:szCs w:val="21"/>
        </w:rPr>
        <w:t>满足箭架分离，自动化、信息化功能，设备数据实时对接火箭作业安全终端。</w:t>
      </w:r>
      <w:r>
        <w:rPr>
          <w:rFonts w:ascii="宋体" w:hAnsi="宋体" w:cs="宋体" w:hint="eastAsia"/>
          <w:kern w:val="0"/>
          <w:szCs w:val="21"/>
        </w:rPr>
        <w:br/>
      </w:r>
      <w:r>
        <w:rPr>
          <w:rFonts w:ascii="宋体" w:hAnsi="宋体" w:cs="宋体" w:hint="eastAsia"/>
          <w:kern w:val="0"/>
          <w:szCs w:val="21"/>
        </w:rPr>
        <w:t>满载发射自重大于或等于 12kg 的火箭弹时，能承受离架速度不小于 55m/s 且加</w:t>
      </w:r>
    </w:p>
    <w:p>
      <w:pPr>
        <w:spacing w:line="360" w:lineRule="auto"/>
        <w:ind w:left="420" w:hanging="420" w:hangingChars="200"/>
        <w:jc w:val="left"/>
        <w:rPr>
          <w:rFonts w:ascii="宋体" w:hAnsi="宋体" w:cs="宋体"/>
          <w:kern w:val="0"/>
          <w:szCs w:val="21"/>
        </w:rPr>
      </w:pPr>
      <w:r>
        <w:rPr>
          <w:rFonts w:ascii="宋体" w:hAnsi="宋体" w:cs="宋体" w:hint="eastAsia"/>
          <w:kern w:val="0"/>
          <w:szCs w:val="21"/>
        </w:rPr>
        <w:t>速度不小于 60m/s 时的火箭弹动态载荷，并能连续正常工作。</w:t>
      </w:r>
      <w:r>
        <w:rPr>
          <w:rFonts w:ascii="宋体" w:hAnsi="宋体" w:cs="宋体" w:hint="eastAsia"/>
          <w:kern w:val="0"/>
          <w:szCs w:val="21"/>
        </w:rPr>
        <w:br/>
      </w:r>
      <w:r>
        <w:rPr>
          <w:rFonts w:ascii="宋体" w:hAnsi="宋体" w:hint="eastAsia"/>
          <w:szCs w:val="21"/>
          <w:highlight w:val="yellow"/>
          <w:lang w:val="en-US" w:eastAsia="zh-CN"/>
        </w:rPr>
        <w:t>*</w:t>
      </w:r>
      <w:r>
        <w:rPr>
          <w:rFonts w:ascii="宋体" w:hAnsi="宋体" w:cs="宋体" w:hint="eastAsia"/>
          <w:kern w:val="0"/>
          <w:szCs w:val="21"/>
          <w:highlight w:val="yellow"/>
        </w:rPr>
        <w:t>在仰角 85°发射火箭弹时，重心不应偏移出安全范围；</w:t>
      </w:r>
      <w:r>
        <w:rPr>
          <w:rFonts w:ascii="宋体" w:hAnsi="宋体" w:cs="宋体" w:hint="eastAsia"/>
          <w:kern w:val="0"/>
          <w:szCs w:val="21"/>
          <w:highlight w:val="yellow"/>
        </w:rPr>
        <w:br/>
      </w:r>
      <w:r>
        <w:rPr>
          <w:rFonts w:ascii="宋体" w:hAnsi="宋体" w:cs="宋体" w:hint="eastAsia"/>
          <w:kern w:val="0"/>
          <w:szCs w:val="21"/>
        </w:rPr>
        <w:t>能认证人工影响天气作业人员的身份，根据认证结果提供相应的使用授权。具有对密钥、证书的安全信息的管理能力，具有关键存储数据防止篡改、盗取的能力。</w:t>
      </w:r>
      <w:r>
        <w:rPr>
          <w:rFonts w:ascii="宋体" w:hAnsi="宋体" w:cs="宋体" w:hint="eastAsia"/>
          <w:kern w:val="0"/>
          <w:szCs w:val="21"/>
        </w:rPr>
        <w:br/>
      </w:r>
      <w:r>
        <w:rPr>
          <w:rFonts w:ascii="宋体" w:hAnsi="宋体" w:cs="宋体" w:hint="eastAsia"/>
          <w:kern w:val="0"/>
          <w:szCs w:val="21"/>
        </w:rPr>
        <w:t>射击方位角应为 0°~360°。</w:t>
      </w:r>
      <w:r>
        <w:rPr>
          <w:rFonts w:ascii="宋体" w:hAnsi="宋体" w:cs="宋体" w:hint="eastAsia"/>
          <w:kern w:val="0"/>
          <w:szCs w:val="21"/>
        </w:rPr>
        <w:br/>
      </w:r>
      <w:r>
        <w:rPr>
          <w:rFonts w:ascii="宋体" w:hAnsi="宋体" w:cs="宋体" w:hint="eastAsia"/>
          <w:kern w:val="0"/>
          <w:szCs w:val="21"/>
        </w:rPr>
        <w:t>射击仰角应满足下列要求：</w:t>
      </w:r>
      <w:r>
        <w:rPr>
          <w:rFonts w:ascii="宋体" w:hAnsi="宋体" w:cs="宋体" w:hint="eastAsia"/>
          <w:kern w:val="0"/>
          <w:szCs w:val="21"/>
        </w:rPr>
        <w:br/>
      </w:r>
      <w:r>
        <w:rPr>
          <w:rFonts w:ascii="宋体" w:hAnsi="宋体" w:cs="宋体" w:hint="eastAsia"/>
          <w:kern w:val="0"/>
          <w:szCs w:val="21"/>
        </w:rPr>
        <w:t>1）工作状态：45°~85°；</w:t>
      </w:r>
      <w:r>
        <w:rPr>
          <w:rFonts w:ascii="宋体" w:hAnsi="宋体" w:cs="宋体" w:hint="eastAsia"/>
          <w:kern w:val="0"/>
          <w:szCs w:val="21"/>
        </w:rPr>
        <w:br/>
      </w:r>
      <w:r>
        <w:rPr>
          <w:rFonts w:ascii="宋体" w:hAnsi="宋体" w:cs="宋体" w:hint="eastAsia"/>
          <w:kern w:val="0"/>
          <w:szCs w:val="21"/>
        </w:rPr>
        <w:t>2）行车状态：不高于 30°。</w:t>
      </w:r>
      <w:r>
        <w:rPr>
          <w:rFonts w:ascii="宋体" w:hAnsi="宋体" w:cs="宋体" w:hint="eastAsia"/>
          <w:kern w:val="0"/>
          <w:szCs w:val="21"/>
        </w:rPr>
        <w:br/>
      </w:r>
      <w:r>
        <w:rPr>
          <w:rFonts w:ascii="宋体" w:hAnsi="宋体" w:cs="宋体" w:hint="eastAsia"/>
          <w:kern w:val="0"/>
          <w:szCs w:val="21"/>
        </w:rPr>
        <w:t>方位传动系统应具有手动/自动切换模式，能可靠自锁，技术参数应满足下列要求：</w:t>
      </w:r>
      <w:r>
        <w:rPr>
          <w:rFonts w:ascii="宋体" w:hAnsi="宋体" w:cs="宋体" w:hint="eastAsia"/>
          <w:kern w:val="0"/>
          <w:szCs w:val="21"/>
        </w:rPr>
        <w:br/>
      </w:r>
      <w:r>
        <w:rPr>
          <w:rFonts w:ascii="宋体" w:hAnsi="宋体" w:cs="宋体" w:hint="eastAsia"/>
          <w:kern w:val="0"/>
          <w:szCs w:val="21"/>
        </w:rPr>
        <w:t>1）转动精度：±0.5°回差不大于 1°；</w:t>
      </w:r>
      <w:r>
        <w:rPr>
          <w:rFonts w:ascii="宋体" w:hAnsi="宋体" w:cs="宋体" w:hint="eastAsia"/>
          <w:kern w:val="0"/>
          <w:szCs w:val="21"/>
        </w:rPr>
        <w:br/>
      </w:r>
      <w:r>
        <w:rPr>
          <w:rFonts w:ascii="宋体" w:hAnsi="宋体" w:cs="宋体" w:hint="eastAsia"/>
          <w:kern w:val="0"/>
          <w:szCs w:val="21"/>
        </w:rPr>
        <w:t>2）转动速度：大于或等于 5°/s。</w:t>
      </w:r>
      <w:r>
        <w:rPr>
          <w:rFonts w:ascii="宋体" w:hAnsi="宋体" w:cs="宋体" w:hint="eastAsia"/>
          <w:kern w:val="0"/>
          <w:szCs w:val="21"/>
        </w:rPr>
        <w:br/>
      </w:r>
      <w:r>
        <w:rPr>
          <w:rFonts w:ascii="宋体" w:hAnsi="宋体" w:cs="宋体" w:hint="eastAsia"/>
          <w:kern w:val="0"/>
          <w:szCs w:val="21"/>
        </w:rPr>
        <w:t>俯仰传动系统应具有手动/自动切换模式，能可靠自锁，技术参数应满足下列要求：</w:t>
      </w:r>
      <w:r>
        <w:rPr>
          <w:rFonts w:ascii="宋体" w:hAnsi="宋体" w:cs="宋体" w:hint="eastAsia"/>
          <w:kern w:val="0"/>
          <w:szCs w:val="21"/>
        </w:rPr>
        <w:br/>
      </w:r>
      <w:r>
        <w:rPr>
          <w:rFonts w:ascii="宋体" w:hAnsi="宋体" w:cs="宋体" w:hint="eastAsia"/>
          <w:kern w:val="0"/>
          <w:szCs w:val="21"/>
        </w:rPr>
        <w:t>1）转动精度：±0.5°回差不大于 1°；</w:t>
      </w:r>
      <w:r>
        <w:rPr>
          <w:rFonts w:ascii="宋体" w:hAnsi="宋体" w:cs="宋体" w:hint="eastAsia"/>
          <w:kern w:val="0"/>
          <w:szCs w:val="21"/>
        </w:rPr>
        <w:br/>
      </w:r>
      <w:r>
        <w:rPr>
          <w:rFonts w:ascii="宋体" w:hAnsi="宋体" w:cs="宋体" w:hint="eastAsia"/>
          <w:kern w:val="0"/>
          <w:szCs w:val="21"/>
        </w:rPr>
        <w:t>2）转动速度：大于或等于 5°/s。</w:t>
      </w:r>
      <w:r>
        <w:rPr>
          <w:rFonts w:ascii="宋体" w:hAnsi="宋体" w:cs="宋体" w:hint="eastAsia"/>
          <w:kern w:val="0"/>
          <w:szCs w:val="21"/>
        </w:rPr>
        <w:br/>
      </w:r>
      <w:r>
        <w:rPr>
          <w:rFonts w:ascii="宋体" w:hAnsi="宋体" w:cs="宋体" w:hint="eastAsia"/>
          <w:kern w:val="0"/>
          <w:szCs w:val="21"/>
        </w:rPr>
        <w:t>发射控制器应满足下列要求：</w:t>
      </w:r>
      <w:r>
        <w:rPr>
          <w:rFonts w:ascii="宋体" w:hAnsi="宋体" w:cs="宋体" w:hint="eastAsia"/>
          <w:kern w:val="0"/>
          <w:szCs w:val="21"/>
        </w:rPr>
        <w:br/>
      </w:r>
      <w:r>
        <w:rPr>
          <w:rFonts w:ascii="宋体" w:hAnsi="宋体" w:cs="宋体" w:hint="eastAsia"/>
          <w:kern w:val="0"/>
          <w:szCs w:val="21"/>
        </w:rPr>
        <w:t>1)电容放电点火：冲能不小于 200A2·ms；</w:t>
      </w:r>
      <w:r>
        <w:rPr>
          <w:rFonts w:ascii="宋体" w:hAnsi="宋体" w:cs="宋体" w:hint="eastAsia"/>
          <w:kern w:val="0"/>
          <w:szCs w:val="21"/>
          <w:highlight w:val="yellow"/>
        </w:rPr>
        <w:br/>
      </w:r>
      <w:r>
        <w:rPr>
          <w:rFonts w:ascii="宋体" w:hAnsi="宋体" w:cs="宋体" w:hint="eastAsia"/>
          <w:kern w:val="0"/>
          <w:szCs w:val="21"/>
          <w:highlight w:val="yellow"/>
        </w:rPr>
        <w:t>#2)恒流脉冲点火：电流不小于 2.5A，脉宽不小于 50ms；</w:t>
      </w:r>
      <w:r>
        <w:rPr>
          <w:rFonts w:ascii="宋体" w:hAnsi="宋体" w:cs="宋体" w:hint="eastAsia"/>
          <w:kern w:val="0"/>
          <w:szCs w:val="21"/>
          <w:highlight w:val="yellow"/>
        </w:rPr>
        <w:br/>
      </w:r>
      <w:r>
        <w:rPr>
          <w:rFonts w:ascii="宋体" w:hAnsi="宋体" w:cs="宋体" w:hint="eastAsia"/>
          <w:kern w:val="0"/>
          <w:szCs w:val="21"/>
          <w:highlight w:val="yellow"/>
        </w:rPr>
        <w:t>#3)检测电流：不大于 3mA；</w:t>
      </w:r>
      <w:r>
        <w:rPr>
          <w:rFonts w:ascii="宋体" w:hAnsi="宋体" w:cs="宋体" w:hint="eastAsia"/>
          <w:kern w:val="0"/>
          <w:szCs w:val="21"/>
          <w:highlight w:val="yellow"/>
        </w:rPr>
        <w:br/>
      </w:r>
      <w:r>
        <w:rPr>
          <w:rFonts w:ascii="宋体" w:hAnsi="宋体" w:cs="宋体" w:hint="eastAsia"/>
          <w:kern w:val="0"/>
          <w:szCs w:val="21"/>
          <w:highlight w:val="yellow"/>
        </w:rPr>
        <w:t>#4) 电阻检测精度：不大于 0.1Ω；</w:t>
      </w:r>
      <w:r>
        <w:rPr>
          <w:rFonts w:ascii="宋体" w:hAnsi="宋体" w:cs="宋体" w:hint="eastAsia"/>
          <w:kern w:val="0"/>
          <w:szCs w:val="21"/>
        </w:rPr>
        <w:br/>
      </w:r>
      <w:r>
        <w:rPr>
          <w:rFonts w:ascii="宋体" w:hAnsi="宋体" w:cs="宋体" w:hint="eastAsia"/>
          <w:kern w:val="0"/>
          <w:szCs w:val="21"/>
        </w:rPr>
        <w:t>5)发射通道：不小于 4 个；</w:t>
      </w:r>
      <w:r>
        <w:rPr>
          <w:rFonts w:ascii="宋体" w:hAnsi="宋体" w:cs="宋体" w:hint="eastAsia"/>
          <w:kern w:val="0"/>
          <w:szCs w:val="21"/>
        </w:rPr>
        <w:br/>
      </w:r>
      <w:r>
        <w:rPr>
          <w:rFonts w:ascii="宋体" w:hAnsi="宋体" w:cs="宋体" w:hint="eastAsia"/>
          <w:kern w:val="0"/>
          <w:szCs w:val="21"/>
        </w:rPr>
        <w:t>6)点火方式：直接点火/间接点火；</w:t>
      </w:r>
      <w:r>
        <w:rPr>
          <w:rFonts w:ascii="宋体" w:hAnsi="宋体" w:cs="宋体" w:hint="eastAsia"/>
          <w:kern w:val="0"/>
          <w:szCs w:val="21"/>
        </w:rPr>
        <w:br/>
      </w:r>
      <w:r>
        <w:rPr>
          <w:rFonts w:ascii="宋体" w:hAnsi="宋体" w:cs="宋体" w:hint="eastAsia"/>
          <w:kern w:val="0"/>
          <w:szCs w:val="21"/>
        </w:rPr>
        <w:t>7）具有发射安全保护功能；</w:t>
      </w:r>
      <w:r>
        <w:rPr>
          <w:rFonts w:ascii="宋体" w:hAnsi="宋体" w:cs="宋体" w:hint="eastAsia"/>
          <w:kern w:val="0"/>
          <w:szCs w:val="21"/>
        </w:rPr>
        <w:br/>
      </w:r>
      <w:r>
        <w:rPr>
          <w:rFonts w:ascii="宋体" w:hAnsi="宋体" w:cs="宋体" w:hint="eastAsia"/>
          <w:kern w:val="0"/>
          <w:szCs w:val="21"/>
          <w:highlight w:val="yellow"/>
          <w:lang w:val="en-US" w:eastAsia="zh-CN"/>
        </w:rPr>
        <w:t>*</w:t>
      </w:r>
      <w:r>
        <w:rPr>
          <w:rFonts w:ascii="宋体" w:hAnsi="宋体" w:cs="宋体" w:hint="eastAsia"/>
          <w:kern w:val="0"/>
          <w:szCs w:val="21"/>
          <w:highlight w:val="yellow"/>
        </w:rPr>
        <w:t>8）具有安全射界识别功能。</w:t>
      </w:r>
      <w:r>
        <w:rPr>
          <w:rFonts w:ascii="宋体" w:hAnsi="宋体" w:cs="宋体" w:hint="eastAsia"/>
          <w:kern w:val="0"/>
          <w:szCs w:val="21"/>
        </w:rPr>
        <w:br/>
      </w:r>
      <w:r>
        <w:rPr>
          <w:rFonts w:ascii="宋体" w:hAnsi="宋体" w:cs="宋体" w:hint="eastAsia"/>
          <w:kern w:val="0"/>
          <w:szCs w:val="21"/>
          <w:highlight w:val="yellow"/>
          <w:lang w:val="en-US" w:eastAsia="zh-CN"/>
        </w:rPr>
        <w:t>*</w:t>
      </w:r>
      <w:r>
        <w:rPr>
          <w:rFonts w:ascii="宋体" w:hAnsi="宋体" w:cs="宋体" w:hint="eastAsia"/>
          <w:kern w:val="0"/>
          <w:szCs w:val="21"/>
          <w:highlight w:val="yellow"/>
        </w:rPr>
        <w:t>适用温度应为-20℃~50℃，防水等级应不低于 GB/T 4208 规定的 IPX5。</w:t>
      </w:r>
    </w:p>
    <w:p>
      <w:pPr>
        <w:spacing w:line="360" w:lineRule="auto"/>
        <w:ind w:left="420" w:leftChars="200"/>
        <w:jc w:val="left"/>
        <w:rPr>
          <w:rFonts w:ascii="宋体" w:hAnsi="宋体" w:cs="宋体"/>
          <w:kern w:val="0"/>
          <w:szCs w:val="21"/>
        </w:rPr>
      </w:pPr>
      <w:r>
        <w:rPr>
          <w:rFonts w:ascii="宋体" w:hAnsi="宋体" w:cs="宋体"/>
          <w:kern w:val="0"/>
          <w:szCs w:val="21"/>
        </w:rPr>
        <w:t>具备作业指令接收、安全射界验证、三码合一、作业状态判断和作业状态上报功能，须</w:t>
      </w:r>
    </w:p>
    <w:p>
      <w:pPr>
        <w:spacing w:line="360" w:lineRule="auto"/>
        <w:ind w:left="420" w:hanging="420" w:hangingChars="200"/>
        <w:jc w:val="left"/>
        <w:rPr>
          <w:rFonts w:ascii="宋体" w:hAnsi="宋体" w:cs="宋体"/>
          <w:kern w:val="0"/>
          <w:szCs w:val="21"/>
        </w:rPr>
      </w:pPr>
      <w:r>
        <w:rPr>
          <w:rFonts w:ascii="宋体" w:hAnsi="宋体" w:cs="宋体"/>
          <w:kern w:val="0"/>
          <w:szCs w:val="21"/>
        </w:rPr>
        <w:t>与“天工”平台对接。</w:t>
      </w:r>
    </w:p>
    <w:p>
      <w:pPr>
        <w:spacing w:line="360" w:lineRule="auto"/>
        <w:ind w:left="420" w:leftChars="200"/>
        <w:jc w:val="left"/>
        <w:rPr>
          <w:rFonts w:ascii="宋体" w:hAnsi="宋体" w:cs="宋体"/>
          <w:kern w:val="0"/>
          <w:szCs w:val="21"/>
        </w:rPr>
      </w:pPr>
      <w:r>
        <w:rPr>
          <w:rFonts w:ascii="宋体" w:hAnsi="宋体" w:cs="宋体" w:hint="eastAsia"/>
          <w:kern w:val="0"/>
          <w:szCs w:val="21"/>
        </w:rPr>
        <w:t>具有</w:t>
      </w:r>
      <w:r>
        <w:rPr>
          <w:rFonts w:ascii="宋体" w:hAnsi="宋体" w:cs="宋体"/>
          <w:kern w:val="0"/>
          <w:szCs w:val="21"/>
        </w:rPr>
        <w:t>基于三码绑定的人影火箭发射安全锁控系统</w:t>
      </w:r>
    </w:p>
    <w:p>
      <w:pPr>
        <w:spacing w:line="360" w:lineRule="auto"/>
        <w:ind w:left="420" w:leftChars="200"/>
        <w:jc w:val="left"/>
        <w:rPr>
          <w:rFonts w:ascii="宋体" w:hAnsi="宋体" w:cs="宋体"/>
          <w:kern w:val="0"/>
          <w:szCs w:val="21"/>
          <w:highlight w:val="yellow"/>
        </w:rPr>
      </w:pPr>
      <w:r>
        <w:rPr>
          <w:rFonts w:ascii="宋体" w:hAnsi="宋体" w:cs="宋体" w:hint="eastAsia"/>
          <w:kern w:val="0"/>
          <w:szCs w:val="21"/>
        </w:rPr>
        <w:t>1）输入电压范围：±100V；</w:t>
      </w:r>
      <w:r>
        <w:rPr>
          <w:rFonts w:ascii="宋体" w:hAnsi="宋体" w:cs="宋体" w:hint="eastAsia"/>
          <w:kern w:val="0"/>
          <w:szCs w:val="21"/>
        </w:rPr>
        <w:br/>
      </w:r>
      <w:r>
        <w:rPr>
          <w:rFonts w:ascii="宋体" w:hAnsi="宋体" w:cs="宋体" w:hint="eastAsia"/>
          <w:kern w:val="0"/>
          <w:szCs w:val="21"/>
        </w:rPr>
        <w:t>2）额定电压：（16±5%）V；</w:t>
      </w:r>
      <w:r>
        <w:rPr>
          <w:rFonts w:ascii="宋体" w:hAnsi="宋体" w:cs="宋体" w:hint="eastAsia"/>
          <w:kern w:val="0"/>
          <w:szCs w:val="21"/>
          <w:highlight w:val="yellow"/>
        </w:rPr>
        <w:br/>
      </w:r>
      <w:r>
        <w:rPr>
          <w:rFonts w:ascii="宋体" w:hAnsi="宋体" w:cs="宋体" w:hint="eastAsia"/>
          <w:kern w:val="0"/>
          <w:szCs w:val="21"/>
          <w:highlight w:val="yellow"/>
        </w:rPr>
        <w:t>#3）最大解锁保持时间：300 秒（总线断电）；</w:t>
      </w:r>
      <w:r>
        <w:rPr>
          <w:rFonts w:ascii="宋体" w:hAnsi="宋体" w:cs="宋体" w:hint="eastAsia"/>
          <w:kern w:val="0"/>
          <w:szCs w:val="21"/>
          <w:highlight w:val="yellow"/>
        </w:rPr>
        <w:br/>
      </w:r>
      <w:r>
        <w:rPr>
          <w:rFonts w:ascii="宋体" w:hAnsi="宋体" w:cs="宋体" w:hint="eastAsia"/>
          <w:kern w:val="0"/>
          <w:szCs w:val="21"/>
          <w:highlight w:val="yellow"/>
        </w:rPr>
        <w:t>#4）插入阻抗：小于 0.5 欧姆；</w:t>
      </w:r>
      <w:r>
        <w:rPr>
          <w:rFonts w:ascii="宋体" w:hAnsi="宋体" w:cs="宋体" w:hint="eastAsia"/>
          <w:kern w:val="0"/>
          <w:szCs w:val="21"/>
          <w:highlight w:val="yellow"/>
        </w:rPr>
        <w:br/>
      </w:r>
      <w:r>
        <w:rPr>
          <w:rFonts w:ascii="宋体" w:hAnsi="宋体" w:cs="宋体" w:hint="eastAsia"/>
          <w:kern w:val="0"/>
          <w:szCs w:val="21"/>
          <w:highlight w:val="yellow"/>
        </w:rPr>
        <w:t>#5）灌入电流：&lt;5mA（灌入电压&lt;80 时）；</w:t>
      </w:r>
      <w:r>
        <w:rPr>
          <w:rFonts w:ascii="宋体" w:hAnsi="宋体" w:cs="宋体" w:hint="eastAsia"/>
          <w:kern w:val="0"/>
          <w:szCs w:val="21"/>
          <w:highlight w:val="yellow"/>
        </w:rPr>
        <w:br/>
      </w:r>
      <w:r>
        <w:rPr>
          <w:rFonts w:ascii="宋体" w:hAnsi="宋体" w:cs="宋体" w:hint="eastAsia"/>
          <w:kern w:val="0"/>
          <w:szCs w:val="21"/>
          <w:highlight w:val="yellow"/>
          <w:lang w:val="en-US" w:eastAsia="zh-CN"/>
        </w:rPr>
        <w:t>#</w:t>
      </w:r>
      <w:r>
        <w:rPr>
          <w:rFonts w:ascii="宋体" w:hAnsi="宋体" w:cs="宋体" w:hint="eastAsia"/>
          <w:kern w:val="0"/>
          <w:szCs w:val="21"/>
          <w:highlight w:val="yellow"/>
        </w:rPr>
        <w:t>6）解锁保持时间设定范围：1~300 秒；</w:t>
      </w:r>
      <w:r>
        <w:rPr>
          <w:rFonts w:ascii="宋体" w:hAnsi="宋体" w:cs="宋体" w:hint="eastAsia"/>
          <w:kern w:val="0"/>
          <w:szCs w:val="21"/>
          <w:highlight w:val="yellow"/>
        </w:rPr>
        <w:br/>
      </w:r>
      <w:r>
        <w:rPr>
          <w:rFonts w:ascii="宋体" w:hAnsi="宋体" w:cs="宋体" w:hint="eastAsia"/>
          <w:kern w:val="0"/>
          <w:szCs w:val="21"/>
          <w:highlight w:val="none"/>
        </w:rPr>
        <w:t>7）通信模式：MBUS（双向无极性）；</w:t>
      </w:r>
      <w:r>
        <w:rPr>
          <w:rFonts w:ascii="宋体" w:hAnsi="宋体" w:cs="宋体" w:hint="eastAsia"/>
          <w:kern w:val="0"/>
          <w:szCs w:val="21"/>
          <w:highlight w:val="none"/>
        </w:rPr>
        <w:br/>
      </w:r>
      <w:r>
        <w:rPr>
          <w:rFonts w:ascii="宋体" w:hAnsi="宋体" w:cs="宋体" w:hint="eastAsia"/>
          <w:kern w:val="0"/>
          <w:szCs w:val="21"/>
          <w:highlight w:val="none"/>
        </w:rPr>
        <w:t>8）通信速率：1024bps；</w:t>
      </w:r>
      <w:r>
        <w:rPr>
          <w:rFonts w:ascii="宋体" w:hAnsi="宋体" w:cs="宋体" w:hint="eastAsia"/>
          <w:kern w:val="0"/>
          <w:szCs w:val="21"/>
          <w:highlight w:val="none"/>
        </w:rPr>
        <w:br/>
      </w:r>
      <w:r>
        <w:rPr>
          <w:rFonts w:ascii="宋体" w:hAnsi="宋体" w:cs="宋体" w:hint="eastAsia"/>
          <w:kern w:val="0"/>
          <w:szCs w:val="21"/>
          <w:highlight w:val="none"/>
        </w:rPr>
        <w:t>9）校验和算法：CRC8。</w:t>
      </w:r>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b/>
          <w:szCs w:val="21"/>
        </w:rPr>
      </w:pPr>
      <w:r>
        <w:rPr>
          <w:rFonts w:ascii="宋体" w:hAnsi="宋体" w:hint="eastAsia"/>
          <w:b/>
          <w:szCs w:val="21"/>
        </w:rPr>
        <w:t>验收</w:t>
      </w:r>
    </w:p>
    <w:p>
      <w:pPr>
        <w:spacing w:line="360" w:lineRule="auto"/>
        <w:ind w:firstLine="420" w:firstLineChars="200"/>
        <w:rPr>
          <w:rFonts w:ascii="宋体" w:hAnsi="宋体"/>
          <w:szCs w:val="21"/>
        </w:rPr>
      </w:pPr>
      <w:r>
        <w:rPr>
          <w:rFonts w:ascii="宋体" w:hAnsi="宋体" w:hint="eastAsia"/>
          <w:szCs w:val="21"/>
        </w:rPr>
        <w:t>1、合同签订后120天内交货完成安装调试并具备验收条件；验收依据相关的内容和要求，产品质量达到设计要求。</w:t>
      </w:r>
    </w:p>
    <w:p>
      <w:pPr>
        <w:spacing w:line="360" w:lineRule="auto"/>
        <w:ind w:firstLine="420" w:firstLineChars="200"/>
        <w:rPr>
          <w:rFonts w:ascii="宋体" w:hAnsi="宋体"/>
          <w:szCs w:val="21"/>
        </w:rPr>
      </w:pPr>
      <w:r>
        <w:rPr>
          <w:rFonts w:ascii="宋体" w:hAnsi="宋体" w:hint="eastAsia"/>
          <w:szCs w:val="21"/>
        </w:rPr>
        <w:t>2、到货验收。到货后用户检查包装并核对货物品种、数量以及完好性。未通过验收的货物，将不予接受。</w:t>
      </w:r>
    </w:p>
    <w:p>
      <w:pPr>
        <w:spacing w:line="360" w:lineRule="auto"/>
        <w:ind w:firstLine="420" w:firstLineChars="200"/>
        <w:rPr>
          <w:rFonts w:ascii="宋体" w:hAnsi="宋体"/>
          <w:b/>
          <w:szCs w:val="21"/>
        </w:rPr>
      </w:pPr>
      <w:r>
        <w:rPr>
          <w:rFonts w:ascii="宋体" w:hAnsi="宋体" w:hint="eastAsia"/>
          <w:b/>
          <w:szCs w:val="21"/>
        </w:rPr>
        <w:t>包装和运输</w:t>
      </w:r>
    </w:p>
    <w:p>
      <w:pPr>
        <w:spacing w:line="360" w:lineRule="auto"/>
        <w:ind w:firstLine="420" w:firstLineChars="200"/>
        <w:rPr>
          <w:rFonts w:ascii="宋体" w:hAnsi="宋体"/>
          <w:szCs w:val="21"/>
        </w:rPr>
      </w:pPr>
      <w:r>
        <w:rPr>
          <w:rFonts w:ascii="宋体" w:hAnsi="宋体" w:hint="eastAsia"/>
          <w:b/>
          <w:szCs w:val="21"/>
        </w:rPr>
        <w:t xml:space="preserve"> </w:t>
      </w:r>
      <w:r>
        <w:rPr>
          <w:rFonts w:ascii="宋体" w:hAnsi="宋体" w:hint="eastAsia"/>
          <w:szCs w:val="21"/>
        </w:rPr>
        <w:t>1、包装</w:t>
      </w:r>
    </w:p>
    <w:p>
      <w:pPr>
        <w:spacing w:line="360" w:lineRule="auto"/>
        <w:ind w:firstLine="420" w:firstLineChars="200"/>
        <w:rPr>
          <w:rFonts w:ascii="宋体" w:hAnsi="宋体"/>
          <w:szCs w:val="21"/>
        </w:rPr>
      </w:pPr>
      <w:r>
        <w:rPr>
          <w:rFonts w:ascii="宋体" w:hAnsi="宋体" w:hint="eastAsia"/>
          <w:szCs w:val="21"/>
        </w:rPr>
        <w:t>应按相关包装规范或者其他相关规定进行包装。</w:t>
      </w:r>
    </w:p>
    <w:p>
      <w:pPr>
        <w:spacing w:line="360" w:lineRule="auto"/>
        <w:ind w:firstLine="420" w:firstLineChars="200"/>
        <w:rPr>
          <w:rFonts w:ascii="宋体" w:hAnsi="宋体"/>
          <w:szCs w:val="21"/>
        </w:rPr>
      </w:pPr>
      <w:r>
        <w:rPr>
          <w:rFonts w:ascii="宋体" w:hAnsi="宋体" w:hint="eastAsia"/>
          <w:szCs w:val="21"/>
        </w:rPr>
        <w:t>2、运输</w:t>
      </w:r>
    </w:p>
    <w:p>
      <w:pPr>
        <w:spacing w:line="360" w:lineRule="auto"/>
        <w:ind w:firstLine="420" w:firstLineChars="200"/>
        <w:rPr>
          <w:rFonts w:ascii="宋体" w:hAnsi="宋体"/>
          <w:szCs w:val="21"/>
        </w:rPr>
      </w:pPr>
      <w:r>
        <w:rPr>
          <w:rFonts w:ascii="宋体" w:hAnsi="宋体" w:hint="eastAsia"/>
          <w:szCs w:val="21"/>
        </w:rPr>
        <w:t>出厂验收合格后，中标供应商负责用专用车辆将产品运输到用户指定的地点，运输过程应当遵守国家有关管理的法律、法规，运输费用由中标供应商承担。</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1、培训</w:t>
      </w:r>
    </w:p>
    <w:p>
      <w:pPr>
        <w:spacing w:line="360" w:lineRule="auto"/>
        <w:ind w:firstLine="420" w:firstLineChars="200"/>
        <w:rPr>
          <w:rFonts w:ascii="宋体" w:hAnsi="宋体"/>
          <w:szCs w:val="21"/>
        </w:rPr>
      </w:pPr>
      <w:r>
        <w:rPr>
          <w:rFonts w:ascii="宋体" w:hAnsi="宋体" w:hint="eastAsia"/>
          <w:szCs w:val="21"/>
        </w:rPr>
        <w:t>中标供应商应负责对采购单位人员进行专业培训，直至能完全操作。</w:t>
      </w:r>
    </w:p>
    <w:p>
      <w:pPr>
        <w:spacing w:line="360" w:lineRule="auto"/>
        <w:ind w:firstLine="420" w:firstLineChars="200"/>
        <w:rPr>
          <w:rFonts w:ascii="宋体" w:hAnsi="宋体"/>
          <w:szCs w:val="21"/>
        </w:rPr>
      </w:pPr>
      <w:r>
        <w:rPr>
          <w:rFonts w:ascii="宋体" w:hAnsi="宋体" w:hint="eastAsia"/>
          <w:szCs w:val="21"/>
        </w:rPr>
        <w:t>2、技术支持</w:t>
      </w:r>
    </w:p>
    <w:p>
      <w:pPr>
        <w:spacing w:line="360" w:lineRule="auto"/>
        <w:ind w:firstLine="420" w:firstLineChars="200"/>
        <w:rPr>
          <w:rFonts w:ascii="宋体" w:hAnsi="宋体"/>
          <w:szCs w:val="21"/>
        </w:rPr>
      </w:pPr>
      <w:r>
        <w:rPr>
          <w:rFonts w:ascii="宋体" w:hAnsi="宋体" w:hint="eastAsia"/>
          <w:szCs w:val="21"/>
        </w:rPr>
        <w:t>中标供应商提供服务电话、保障服务货物收发联系部门及人员的名称和联系方式。产品的更换按照采购单位要求在约定时间内完成。</w:t>
      </w:r>
    </w:p>
    <w:p>
      <w:pPr>
        <w:spacing w:line="360" w:lineRule="auto"/>
        <w:ind w:firstLine="420" w:firstLineChars="200"/>
        <w:rPr>
          <w:rFonts w:ascii="宋体" w:hAnsi="宋体"/>
          <w:szCs w:val="21"/>
        </w:rPr>
      </w:pPr>
      <w:r>
        <w:rPr>
          <w:rFonts w:ascii="宋体" w:hAnsi="宋体" w:hint="eastAsia"/>
          <w:szCs w:val="21"/>
        </w:rPr>
        <w:t>3、技术资料</w:t>
      </w:r>
    </w:p>
    <w:p>
      <w:pPr>
        <w:spacing w:line="360" w:lineRule="auto"/>
        <w:ind w:firstLine="420" w:firstLineChars="200"/>
        <w:rPr>
          <w:rFonts w:ascii="宋体" w:hAnsi="宋体"/>
          <w:szCs w:val="21"/>
        </w:rPr>
      </w:pPr>
      <w:r>
        <w:rPr>
          <w:rFonts w:ascii="宋体" w:hAnsi="宋体" w:hint="eastAsia"/>
          <w:szCs w:val="21"/>
        </w:rPr>
        <w:t>提供完整的技术资料，包括：性能参数、存储、运输、使用等安全保障手册；使用说明书及合同中要求的其他文件资料。</w:t>
      </w:r>
    </w:p>
    <w:p>
      <w:pPr>
        <w:spacing w:line="360" w:lineRule="auto"/>
        <w:ind w:firstLine="420" w:firstLineChars="200"/>
        <w:rPr>
          <w:rFonts w:ascii="宋体" w:hAnsi="宋体"/>
          <w:szCs w:val="21"/>
        </w:rPr>
      </w:pPr>
      <w:r>
        <w:rPr>
          <w:rFonts w:ascii="宋体" w:hAnsi="宋体" w:hint="eastAsia"/>
          <w:szCs w:val="21"/>
        </w:rPr>
        <w:t>4、质保期内服务内容</w:t>
      </w:r>
    </w:p>
    <w:p>
      <w:pPr>
        <w:spacing w:line="360" w:lineRule="auto"/>
        <w:ind w:firstLine="420" w:firstLineChars="200"/>
        <w:rPr>
          <w:rFonts w:ascii="宋体" w:hAnsi="宋体"/>
          <w:szCs w:val="21"/>
        </w:rPr>
      </w:pPr>
      <w:r>
        <w:rPr>
          <w:rFonts w:ascii="宋体" w:hAnsi="宋体" w:hint="eastAsia"/>
          <w:szCs w:val="21"/>
        </w:rPr>
        <w:t>（1）质保期为出厂验收后 3 年；</w:t>
      </w:r>
    </w:p>
    <w:p>
      <w:pPr>
        <w:spacing w:line="360" w:lineRule="auto"/>
        <w:ind w:firstLine="420" w:firstLineChars="200"/>
        <w:rPr>
          <w:rFonts w:ascii="宋体" w:hAnsi="宋体"/>
          <w:szCs w:val="21"/>
        </w:rPr>
      </w:pPr>
      <w:r>
        <w:rPr>
          <w:rFonts w:ascii="宋体" w:hAnsi="宋体" w:hint="eastAsia"/>
          <w:szCs w:val="21"/>
        </w:rPr>
        <w:t>（2）因产品质量问题所造成的直接或间接损失由中标供应商负责，并且中标供应商应负责免费更换合格品；</w:t>
      </w:r>
    </w:p>
    <w:p>
      <w:pPr>
        <w:spacing w:line="360" w:lineRule="auto"/>
        <w:ind w:firstLine="420" w:firstLineChars="200"/>
        <w:rPr>
          <w:rFonts w:ascii="宋体" w:hAnsi="宋体"/>
          <w:szCs w:val="21"/>
        </w:rPr>
      </w:pPr>
      <w:r>
        <w:rPr>
          <w:rFonts w:ascii="宋体" w:hAnsi="宋体" w:hint="eastAsia"/>
          <w:szCs w:val="21"/>
        </w:rPr>
        <w:t>（3）因产品质量原因造成人员伤亡等事故时，中标供应商应迅速赶赴现场，协助当地有关部门分析事故原因，承担应有的责任，并将产品质量原因分析报告报国务院气象主管机构。</w:t>
      </w:r>
    </w:p>
    <w:p>
      <w:pPr>
        <w:spacing w:line="360" w:lineRule="auto"/>
        <w:ind w:firstLine="105" w:firstLineChars="50"/>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火箭发射架</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882,000.00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882,000.00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7"/>
        <w:gridCol w:w="3673"/>
        <w:gridCol w:w="895"/>
        <w:gridCol w:w="457"/>
        <w:gridCol w:w="1041"/>
        <w:gridCol w:w="794"/>
        <w:gridCol w:w="749"/>
        <w:gridCol w:w="4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湖南省气象科学研究所；长沙市气象局(001014017001)</w:t>
            </w:r>
          </w:p>
        </w:tc>
        <w:tc>
          <w:tcPr/>
          <w:p>
            <w:r>
              <w:t>火箭发射架</w:t>
            </w:r>
          </w:p>
        </w:tc>
        <w:tc>
          <w:tcPr/>
          <w:p>
            <w:r>
              <w:t>7</w:t>
            </w:r>
          </w:p>
        </w:tc>
        <w:tc>
          <w:tcPr/>
          <w:p>
            <w:r>
              <w:t>882000.00</w:t>
            </w:r>
          </w:p>
        </w:tc>
        <w:tc>
          <w:tcPr/>
          <w:p>
            <w:r>
              <w:t xml:space="preserve">882000.00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C05A8B">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05A8B">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05A8B">
            <w:pPr>
              <w:rPr>
                <w:sz w:val="18"/>
                <w:szCs w:val="18"/>
              </w:rPr>
            </w:pPr>
            <w:r>
              <w:rPr>
                <w:rFonts w:hint="eastAsia"/>
                <w:sz w:val="18"/>
                <w:szCs w:val="18"/>
              </w:rPr>
              <w:t>序号</w:t>
            </w:r>
          </w:p>
        </w:tc>
        <w:tc>
          <w:tcPr>
            <w:tcW w:w="898" w:type="dxa"/>
            <w:vAlign w:val="center"/>
          </w:tcPr>
          <w:p w:rsidR="00C05A8B">
            <w:pPr>
              <w:jc w:val="center"/>
              <w:rPr>
                <w:sz w:val="18"/>
                <w:szCs w:val="18"/>
              </w:rPr>
            </w:pPr>
            <w:r>
              <w:rPr>
                <w:rFonts w:hint="eastAsia"/>
                <w:sz w:val="18"/>
                <w:szCs w:val="18"/>
              </w:rPr>
              <w:t>对应</w:t>
            </w:r>
          </w:p>
          <w:p w:rsidR="00C05A8B">
            <w:pPr>
              <w:jc w:val="center"/>
              <w:rPr>
                <w:sz w:val="18"/>
                <w:szCs w:val="18"/>
              </w:rPr>
            </w:pPr>
            <w:r>
              <w:rPr>
                <w:rFonts w:hint="eastAsia"/>
                <w:sz w:val="18"/>
                <w:szCs w:val="18"/>
              </w:rPr>
              <w:t>条款号</w:t>
            </w:r>
          </w:p>
        </w:tc>
        <w:tc>
          <w:tcPr>
            <w:tcW w:w="7347" w:type="dxa"/>
            <w:vAlign w:val="center"/>
          </w:tcPr>
          <w:p w:rsidR="00C05A8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C05A8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C05A8B">
            <w:pPr>
              <w:numPr>
                <w:ilvl w:val="0"/>
                <w:numId w:val="12"/>
              </w:numPr>
              <w:rPr>
                <w:rFonts w:ascii="宋体" w:hAnsi="宋体"/>
                <w:sz w:val="18"/>
                <w:szCs w:val="18"/>
              </w:rPr>
            </w:pPr>
          </w:p>
        </w:tc>
        <w:tc>
          <w:tcPr>
            <w:tcW w:w="898" w:type="dxa"/>
            <w:vAlign w:val="center"/>
          </w:tcPr>
          <w:p w:rsidR="00C05A8B">
            <w:pPr>
              <w:jc w:val="center"/>
              <w:rPr>
                <w:rFonts w:ascii="宋体" w:hAnsi="宋体"/>
                <w:sz w:val="18"/>
                <w:szCs w:val="18"/>
              </w:rPr>
            </w:pPr>
          </w:p>
        </w:tc>
        <w:tc>
          <w:tcPr>
            <w:tcW w:w="7347" w:type="dxa"/>
          </w:tcPr>
          <w:p w:rsidR="00C05A8B">
            <w:pPr>
              <w:tabs>
                <w:tab w:val="left" w:pos="709"/>
              </w:tabs>
              <w:spacing w:line="360" w:lineRule="auto"/>
              <w:jc w:val="left"/>
              <w:rPr>
                <w:rFonts w:ascii="宋体" w:hAnsi="宋体" w:cs="微软雅黑"/>
                <w:b/>
                <w:color w:val="0000FF"/>
                <w:kern w:val="0"/>
                <w:sz w:val="18"/>
                <w:szCs w:val="18"/>
              </w:rPr>
            </w:pPr>
          </w:p>
        </w:tc>
      </w:tr>
      <w:tr>
        <w:tblPrEx>
          <w:tblW w:w="8789" w:type="dxa"/>
          <w:tblLayout w:type="fixed"/>
          <w:tblLook w:val="04A0"/>
        </w:tblPrEx>
        <w:trPr>
          <w:cantSplit/>
        </w:trPr>
        <w:tc>
          <w:tcPr>
            <w:tcW w:w="8789" w:type="dxa"/>
            <w:gridSpan w:val="3"/>
            <w:vAlign w:val="center"/>
          </w:tcPr>
          <w:p w:rsidR="00C05A8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C05A8B">
            <w:pPr>
              <w:numPr>
                <w:ilvl w:val="0"/>
                <w:numId w:val="12"/>
              </w:numPr>
              <w:rPr>
                <w:rFonts w:ascii="宋体" w:hAnsi="宋体"/>
                <w:sz w:val="18"/>
                <w:szCs w:val="18"/>
              </w:rPr>
            </w:pPr>
          </w:p>
        </w:tc>
        <w:tc>
          <w:tcPr>
            <w:tcW w:w="898" w:type="dxa"/>
            <w:vAlign w:val="center"/>
          </w:tcPr>
          <w:p w:rsidR="00C05A8B">
            <w:pPr>
              <w:jc w:val="center"/>
              <w:rPr>
                <w:rFonts w:ascii="宋体" w:hAnsi="宋体"/>
                <w:sz w:val="18"/>
                <w:szCs w:val="18"/>
              </w:rPr>
            </w:pPr>
            <w:r>
              <w:rPr>
                <w:rFonts w:ascii="宋体" w:hAnsi="宋体" w:hint="eastAsia"/>
                <w:sz w:val="18"/>
                <w:szCs w:val="18"/>
              </w:rPr>
              <w:t>三、技术性能指标</w:t>
            </w:r>
          </w:p>
        </w:tc>
        <w:tc>
          <w:tcPr>
            <w:tcW w:w="7347" w:type="dxa"/>
            <w:vAlign w:val="center"/>
          </w:tcPr>
          <w:p w:rsidR="00C05A8B" w:rsidRPr="002A517A">
            <w:pPr>
              <w:rPr>
                <w:rFonts w:ascii="宋体" w:hAnsi="宋体"/>
                <w:sz w:val="18"/>
                <w:szCs w:val="18"/>
              </w:rPr>
            </w:pPr>
            <w:r w:rsidRPr="002A517A">
              <w:rPr>
                <w:rFonts w:ascii="宋体" w:hAnsi="宋体" w:hint="eastAsia"/>
                <w:sz w:val="18"/>
                <w:szCs w:val="18"/>
              </w:rPr>
              <w:t>*</w:t>
            </w:r>
            <w:r w:rsidRPr="002A517A">
              <w:rPr>
                <w:rFonts w:ascii="宋体" w:hAnsi="宋体" w:hint="eastAsia"/>
                <w:sz w:val="18"/>
                <w:szCs w:val="18"/>
              </w:rPr>
              <w:t>在仰角</w:t>
            </w:r>
            <w:r w:rsidRPr="002A517A">
              <w:rPr>
                <w:rFonts w:ascii="宋体" w:hAnsi="宋体" w:hint="eastAsia"/>
                <w:sz w:val="18"/>
                <w:szCs w:val="18"/>
              </w:rPr>
              <w:t xml:space="preserve"> 85</w:t>
            </w:r>
            <w:r w:rsidRPr="002A517A">
              <w:rPr>
                <w:rFonts w:ascii="宋体" w:hAnsi="宋体" w:hint="eastAsia"/>
                <w:sz w:val="18"/>
                <w:szCs w:val="18"/>
              </w:rPr>
              <w:t>°发射火箭弹时，重心不应偏移出安全范围；</w:t>
            </w:r>
          </w:p>
          <w:p w:rsidR="002A517A" w:rsidRPr="002A517A" w:rsidP="002A517A">
            <w:pPr>
              <w:spacing w:line="360" w:lineRule="auto"/>
              <w:ind w:left="420" w:hanging="420" w:hangingChars="200"/>
              <w:jc w:val="left"/>
              <w:rPr>
                <w:rFonts w:ascii="宋体" w:hAnsi="宋体" w:cs="宋体"/>
                <w:kern w:val="0"/>
                <w:szCs w:val="21"/>
              </w:rPr>
            </w:pPr>
            <w:r w:rsidRPr="002A517A">
              <w:rPr>
                <w:rFonts w:ascii="宋体" w:hAnsi="宋体" w:cs="宋体" w:hint="eastAsia"/>
                <w:kern w:val="0"/>
                <w:szCs w:val="21"/>
              </w:rPr>
              <w:t>*具有安全射界识别功能。</w:t>
            </w:r>
          </w:p>
          <w:p w:rsidR="002A517A" w:rsidRPr="002A517A" w:rsidP="002A517A">
            <w:pPr>
              <w:spacing w:line="360" w:lineRule="auto"/>
              <w:ind w:left="420" w:hanging="420" w:hangingChars="200"/>
              <w:jc w:val="left"/>
              <w:rPr>
                <w:rFonts w:ascii="宋体" w:hAnsi="宋体" w:cs="宋体"/>
                <w:kern w:val="0"/>
                <w:szCs w:val="21"/>
              </w:rPr>
            </w:pPr>
            <w:r w:rsidRPr="002A517A">
              <w:rPr>
                <w:rFonts w:ascii="宋体" w:hAnsi="宋体" w:cs="宋体" w:hint="eastAsia"/>
                <w:kern w:val="0"/>
                <w:szCs w:val="21"/>
              </w:rPr>
              <w:t>*适用温度应为-20℃~50℃，防水等级应不低于 GB/T 4208 规定的 IPX5。</w:t>
            </w:r>
          </w:p>
          <w:p w:rsidR="002A517A" w:rsidRPr="002A517A" w:rsidP="002A517A">
            <w:pPr>
              <w:rPr>
                <w:rFonts w:ascii="宋体" w:hAnsi="宋体" w:cs="宋体"/>
                <w:kern w:val="0"/>
                <w:szCs w:val="21"/>
              </w:rPr>
            </w:pPr>
          </w:p>
          <w:p w:rsidR="002A517A" w:rsidRPr="002A517A" w:rsidP="002A517A">
            <w:pPr>
              <w:rPr>
                <w:rFonts w:ascii="宋体" w:hAnsi="宋体" w:cs="宋体" w:hint="eastAsia"/>
                <w:kern w:val="0"/>
                <w:szCs w:val="21"/>
              </w:rPr>
            </w:pPr>
            <w:r w:rsidRPr="002A517A">
              <w:rPr>
                <w:rFonts w:hint="eastAsia"/>
              </w:rPr>
              <w:t>需</w:t>
            </w:r>
            <w:r w:rsidRPr="002A517A">
              <w:t>提供产品说明书</w:t>
            </w:r>
            <w:r w:rsidRPr="002A517A">
              <w:rPr>
                <w:rFonts w:hint="eastAsia"/>
              </w:rPr>
              <w:t>或</w:t>
            </w:r>
            <w:r w:rsidRPr="002A517A">
              <w:t>技术参数白皮书</w:t>
            </w:r>
            <w:r w:rsidRPr="002A517A">
              <w:rPr>
                <w:rFonts w:hint="eastAsia"/>
              </w:rPr>
              <w:t>或</w:t>
            </w:r>
            <w:r w:rsidRPr="002A517A">
              <w:t>其他</w:t>
            </w:r>
            <w:r w:rsidRPr="002A517A">
              <w:rPr>
                <w:rFonts w:hint="eastAsia"/>
              </w:rPr>
              <w:t>能</w:t>
            </w:r>
            <w:r w:rsidRPr="002A517A">
              <w:t>证明满足上述功能</w:t>
            </w:r>
            <w:r w:rsidRPr="002A517A">
              <w:rPr>
                <w:rFonts w:hint="eastAsia"/>
              </w:rPr>
              <w:t>的</w:t>
            </w:r>
            <w:r w:rsidRPr="002A517A">
              <w:t>证明材料</w:t>
            </w:r>
          </w:p>
        </w:tc>
      </w:tr>
    </w:tbl>
    <w:p w:rsidR="00C05A8B">
      <w:pPr>
        <w:spacing w:before="156" w:beforeLines="50" w:line="360" w:lineRule="auto"/>
        <w:ind w:firstLine="420"/>
      </w:pPr>
      <w:r>
        <w:rPr>
          <w:rFonts w:ascii="宋体" w:hAnsi="宋体" w:hint="eastAsia"/>
          <w:szCs w:val="21"/>
        </w:rPr>
        <w:t>注：根据项目具体</w:t>
      </w:r>
      <w:r>
        <w:rPr>
          <w:rFonts w:ascii="宋体" w:hAnsi="宋体" w:hint="eastAsia"/>
          <w:szCs w:val="21"/>
        </w:rPr>
        <w:t>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pStyle w:val="BodyText"/>
        <w:spacing w:after="0"/>
        <w:jc w:val="center"/>
        <w:rPr>
          <w:rFonts w:ascii="宋体" w:hAnsi="宋体" w:cs="宋体"/>
          <w:b/>
          <w:bCs/>
          <w:spacing w:val="-20"/>
          <w:kern w:val="44"/>
          <w:sz w:val="48"/>
          <w:szCs w:val="48"/>
          <w:highlight w:val="none"/>
        </w:rPr>
      </w:pPr>
      <w:bookmarkStart w:id="69" w:name="采购公告合同部分_ZBGGHT"/>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湖南省气象科学研究所</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color w:val="0000FF"/>
          <w:szCs w:val="21"/>
          <w:highlight w:val="none"/>
          <w:lang w:eastAsia="zh-CN"/>
        </w:rPr>
        <w:t>签订合同即付预付款</w:t>
      </w:r>
      <w:r>
        <w:rPr>
          <w:rFonts w:ascii="宋体" w:hAnsi="宋体" w:hint="eastAsia"/>
          <w:color w:val="0000FF"/>
          <w:szCs w:val="21"/>
          <w:highlight w:val="none"/>
          <w:lang w:val="en-US" w:eastAsia="zh-CN"/>
        </w:rPr>
        <w:t>30%，合同全部标的交付、验收合格后支付尾款。</w:t>
      </w:r>
      <w:r>
        <w:rPr>
          <w:rFonts w:hint="eastAsia"/>
          <w:color w:val="0000FF"/>
          <w:highlight w:val="none"/>
        </w:rPr>
        <w:t>支付</w:t>
      </w:r>
      <w:r>
        <w:rPr>
          <w:rFonts w:hint="eastAsia"/>
          <w:color w:val="0000FF"/>
          <w:highlight w:val="none"/>
          <w:lang w:eastAsia="zh-CN"/>
        </w:rPr>
        <w:t>尾款</w:t>
      </w:r>
      <w:r>
        <w:rPr>
          <w:rFonts w:hint="eastAsia"/>
          <w:color w:val="0000FF"/>
          <w:highlight w:val="none"/>
        </w:rPr>
        <w:t>前，乙方需向甲方提供</w:t>
      </w:r>
      <w:r>
        <w:rPr>
          <w:rFonts w:hint="eastAsia"/>
          <w:color w:val="0000FF"/>
          <w:highlight w:val="none"/>
          <w:lang w:eastAsia="zh-CN"/>
        </w:rPr>
        <w:t>合同</w:t>
      </w:r>
      <w:r>
        <w:rPr>
          <w:rFonts w:hint="eastAsia"/>
          <w:color w:val="0000FF"/>
          <w:highlight w:val="none"/>
        </w:rPr>
        <w:t>金额</w:t>
      </w:r>
      <w:r>
        <w:rPr>
          <w:rFonts w:hint="eastAsia"/>
          <w:color w:val="0000FF"/>
          <w:highlight w:val="none"/>
          <w:lang w:val="en-US" w:eastAsia="zh-CN"/>
        </w:rPr>
        <w:t>3</w:t>
      </w:r>
      <w:r>
        <w:rPr>
          <w:rFonts w:hint="eastAsia"/>
          <w:color w:val="0000FF"/>
          <w:highlight w:val="none"/>
        </w:rPr>
        <w:t>%、有效期不少于3年且不可撤销的无条件支付的银行保函。</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r>
              <w:rPr>
                <w:rFonts w:ascii="宋体" w:hAnsi="宋体" w:hint="eastAsia"/>
                <w:color w:val="0000FF"/>
                <w:szCs w:val="21"/>
                <w:highlight w:val="none"/>
                <w:lang w:eastAsia="zh-CN"/>
              </w:rPr>
              <w:t>签订合同即付预付款</w:t>
            </w:r>
            <w:r>
              <w:rPr>
                <w:rFonts w:ascii="宋体" w:hAnsi="宋体" w:hint="eastAsia"/>
                <w:color w:val="0000FF"/>
                <w:szCs w:val="21"/>
                <w:highlight w:val="none"/>
                <w:lang w:val="en-US" w:eastAsia="zh-CN"/>
              </w:rPr>
              <w:t>30%，合同全部标的交付、验收合格后支付尾款。</w:t>
            </w:r>
            <w:r>
              <w:rPr>
                <w:rFonts w:hint="eastAsia"/>
                <w:color w:val="0000FF"/>
                <w:highlight w:val="none"/>
              </w:rPr>
              <w:t>支付</w:t>
            </w:r>
            <w:r>
              <w:rPr>
                <w:rFonts w:hint="eastAsia"/>
                <w:color w:val="0000FF"/>
                <w:highlight w:val="none"/>
                <w:lang w:eastAsia="zh-CN"/>
              </w:rPr>
              <w:t>尾款</w:t>
            </w:r>
            <w:r>
              <w:rPr>
                <w:rFonts w:hint="eastAsia"/>
                <w:color w:val="0000FF"/>
                <w:highlight w:val="none"/>
              </w:rPr>
              <w:t>前，乙方需向甲方提供</w:t>
            </w:r>
            <w:r>
              <w:rPr>
                <w:rFonts w:hint="eastAsia"/>
                <w:color w:val="0000FF"/>
                <w:highlight w:val="none"/>
                <w:lang w:eastAsia="zh-CN"/>
              </w:rPr>
              <w:t>合同</w:t>
            </w:r>
            <w:r>
              <w:rPr>
                <w:rFonts w:hint="eastAsia"/>
                <w:color w:val="0000FF"/>
                <w:highlight w:val="none"/>
              </w:rPr>
              <w:t>金额</w:t>
            </w:r>
            <w:r>
              <w:rPr>
                <w:rFonts w:hint="eastAsia"/>
                <w:color w:val="0000FF"/>
                <w:highlight w:val="none"/>
                <w:lang w:val="en-US" w:eastAsia="zh-CN"/>
              </w:rPr>
              <w:t>3</w:t>
            </w:r>
            <w:r>
              <w:rPr>
                <w:rFonts w:hint="eastAsia"/>
                <w:color w:val="0000FF"/>
                <w:highlight w:val="none"/>
              </w:rPr>
              <w:t>%、有效期不少于3年且不可撤销的无条件支付的银行保函。</w:t>
            </w: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DejaVu Sans"/>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altName w:val="方正楷体_GBK"/>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楷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方正书宋_GBK"/>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17A"/>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5A8B"/>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