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四川省2025年站网工程涡动梯度观测系统采购项目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ZQCD-25279</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2025年09月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四川气象探测数据中心（四川省气象技术装备中心、四川省气象档案馆）</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四川省2025年站网工程涡动梯度观测系统采购项目</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ZQCD-25279</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合同签订后180天内交货，交货后60天内完成安装调试并具备验收条件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四川省指定地点</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2025年09月12日 00:00:00</w:t>
      </w:r>
      <w:bookmarkEnd w:id="26"/>
      <w:r>
        <w:rPr>
          <w:rFonts w:ascii="宋体" w:hint="eastAsia"/>
          <w:szCs w:val="21"/>
          <w:highlight w:val="none"/>
        </w:rPr>
        <w:t>至</w:t>
      </w:r>
      <w:bookmarkStart w:id="27" w:name="项目公告_signUpLastTime"/>
      <w:r>
        <w:rPr>
          <w:rFonts w:ascii="宋体" w:hint="eastAsia"/>
          <w:szCs w:val="21"/>
          <w:highlight w:val="none"/>
        </w:rPr>
        <w:t>2025年09月19日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2025年10月10日 14:00:00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王妍</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010-68406642</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四川气象探测数据中心（四川省气象技术装备中心、四川省气象档案馆）</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胡春</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028-87341766</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成都市青羊区光华村街20号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四川气象探测数据中心（四川省气象技术装备中心、四川省气象档案馆）</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不允许（仅针对以下产品：涡动梯度观测系统不允许代理商投标）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必须，以下产品需要提供至投标截止日仍有效的《气象专用技术装备使用许可证》：通量观测仪(水、二氧化碳气体分析仪加三维超声风)气象专用技术装备使用许可证</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（1）标的：涡动梯度观测系统 ，属于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是，中标服务费：1.9万元。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147.000000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147.000000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290"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5"/>
        <w:gridCol w:w="254"/>
        <w:gridCol w:w="1296"/>
        <w:gridCol w:w="254"/>
        <w:gridCol w:w="71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销售合同必须包括涡动梯度观测系统，每提供1份合同得1分，最多得5分。否则不得分。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针对本项目采购的涡动梯度观测系统，承诺每提前10天交货的得0.5分，最多得1分。否则不得分。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针对涡动梯度观测系统设备，每提供 1份用户证明材料得1 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2、除项目经理外至少5人具有2年及以上相关工作经验的，得2分，否则不得分。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 xml:space="preserve">一档：未提供技术方案，或者投标产品综合技术性能不能满足采购文件要求。 </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针对涡动梯度观测系统、设备，测试报告应涵盖高低温、盐雾、电磁兼容等内容，每包含一项得1分，最多得3分。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三、技术性能指标</w:t>
      </w:r>
    </w:p>
    <w:p>
      <w:pPr>
        <w:spacing w:line="560" w:lineRule="exact"/>
        <w:jc w:val="center"/>
        <w:rPr>
          <w:rFonts w:ascii="仿宋" w:eastAsia="仿宋" w:hAnsi="仿宋" w:cs="仿宋" w:hint="eastAsia"/>
          <w:b/>
          <w:bCs/>
          <w:sz w:val="28"/>
          <w:szCs w:val="20"/>
        </w:rPr>
      </w:pPr>
      <w:r>
        <w:rPr>
          <w:rFonts w:ascii="仿宋" w:eastAsia="仿宋" w:hAnsi="仿宋" w:cs="仿宋" w:hint="eastAsia"/>
          <w:b/>
          <w:bCs/>
          <w:sz w:val="28"/>
          <w:szCs w:val="20"/>
        </w:rPr>
        <w:t>技术性能指标</w:t>
      </w:r>
    </w:p>
    <w:tbl>
      <w:tblPr>
        <w:tblStyle w:val="TableNormal"/>
        <w:tblW w:w="512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680"/>
        <w:gridCol w:w="712"/>
        <w:gridCol w:w="853"/>
        <w:gridCol w:w="2001"/>
        <w:gridCol w:w="1984"/>
        <w:gridCol w:w="3058"/>
      </w:tblGrid>
      <w:tr>
        <w:tblPrEx>
          <w:tblW w:w="512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blHeader/>
          <w:jc w:val="center"/>
        </w:trPr>
        <w:tc>
          <w:tcPr>
            <w:tcW w:w="366" w:type="pct"/>
            <w:vAlign w:val="center"/>
          </w:tcPr>
          <w:p>
            <w:pPr>
              <w:jc w:val="center"/>
              <w:rPr>
                <w:rFonts w:ascii="仿宋" w:eastAsia="仿宋" w:hAnsi="仿宋" w:cs="仿宋" w:hint="eastAsia"/>
                <w:b/>
                <w:bCs/>
              </w:rPr>
            </w:pPr>
            <w:r>
              <w:rPr>
                <w:rFonts w:ascii="仿宋" w:eastAsia="仿宋" w:hAnsi="仿宋" w:cs="仿宋" w:hint="eastAsia"/>
                <w:b/>
                <w:bCs/>
                <w:sz w:val="24"/>
              </w:rPr>
              <w:t>序号</w:t>
            </w:r>
          </w:p>
        </w:tc>
        <w:tc>
          <w:tcPr>
            <w:tcW w:w="1919" w:type="pct"/>
            <w:gridSpan w:val="3"/>
            <w:vAlign w:val="center"/>
          </w:tcPr>
          <w:p>
            <w:pPr>
              <w:jc w:val="center"/>
              <w:rPr>
                <w:rFonts w:ascii="仿宋" w:eastAsia="仿宋" w:hAnsi="仿宋" w:cs="仿宋" w:hint="eastAsia"/>
                <w:b/>
                <w:bCs/>
              </w:rPr>
            </w:pPr>
            <w:r>
              <w:rPr>
                <w:rFonts w:ascii="仿宋" w:eastAsia="仿宋" w:hAnsi="仿宋" w:cs="仿宋" w:hint="eastAsia"/>
                <w:b/>
                <w:bCs/>
                <w:sz w:val="24"/>
              </w:rPr>
              <w:t>名称</w:t>
            </w:r>
          </w:p>
        </w:tc>
        <w:tc>
          <w:tcPr>
            <w:tcW w:w="2714" w:type="pct"/>
            <w:gridSpan w:val="2"/>
            <w:vAlign w:val="center"/>
          </w:tcPr>
          <w:p>
            <w:pPr>
              <w:jc w:val="center"/>
              <w:rPr>
                <w:rFonts w:ascii="仿宋" w:eastAsia="仿宋" w:hAnsi="仿宋" w:cs="仿宋" w:hint="eastAsia"/>
                <w:b/>
                <w:bCs/>
              </w:rPr>
            </w:pPr>
            <w:r>
              <w:rPr>
                <w:rFonts w:ascii="仿宋" w:eastAsia="仿宋" w:hAnsi="仿宋" w:cs="仿宋" w:hint="eastAsia"/>
                <w:b/>
                <w:bCs/>
                <w:sz w:val="24"/>
              </w:rPr>
              <w:t>技术要求</w:t>
            </w:r>
          </w:p>
        </w:tc>
      </w:tr>
      <w:tr>
        <w:tblPrEx>
          <w:tblW w:w="5125" w:type="pct"/>
          <w:jc w:val="center"/>
          <w:tblLayout w:type="fixed"/>
          <w:tblCellMar>
            <w:top w:w="0" w:type="dxa"/>
            <w:left w:w="108" w:type="dxa"/>
            <w:bottom w:w="0" w:type="dxa"/>
            <w:right w:w="108" w:type="dxa"/>
          </w:tblCellMar>
          <w:tblLook w:val="0000"/>
        </w:tblPrEx>
        <w:trPr>
          <w:trHeight w:val="2280"/>
          <w:jc w:val="center"/>
        </w:trPr>
        <w:tc>
          <w:tcPr>
            <w:tcW w:w="366" w:type="pct"/>
            <w:vMerge w:val="restart"/>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restart"/>
            <w:vAlign w:val="center"/>
          </w:tcPr>
          <w:p>
            <w:pPr>
              <w:rPr>
                <w:rFonts w:ascii="仿宋" w:eastAsia="仿宋" w:hAnsi="仿宋" w:cs="仿宋" w:hint="eastAsia"/>
              </w:rPr>
            </w:pPr>
            <w:r>
              <w:rPr>
                <w:rFonts w:ascii="仿宋" w:eastAsia="仿宋" w:hAnsi="仿宋" w:cs="仿宋" w:hint="eastAsia"/>
                <w:sz w:val="24"/>
              </w:rPr>
              <w:t>涡动梯度观测系统</w:t>
            </w:r>
          </w:p>
        </w:tc>
        <w:tc>
          <w:tcPr>
            <w:tcW w:w="459" w:type="pct"/>
            <w:vMerge w:val="restart"/>
            <w:vAlign w:val="center"/>
          </w:tcPr>
          <w:p>
            <w:pPr>
              <w:rPr>
                <w:rFonts w:ascii="仿宋" w:eastAsia="仿宋" w:hAnsi="仿宋" w:cs="仿宋" w:hint="eastAsia"/>
              </w:rPr>
            </w:pPr>
            <w:r>
              <w:rPr>
                <w:rFonts w:ascii="仿宋" w:eastAsia="仿宋" w:hAnsi="仿宋" w:cs="仿宋" w:hint="eastAsia"/>
                <w:sz w:val="24"/>
              </w:rPr>
              <w:t>通量观测仪(水、二氧化碳气体分析仪加三维超声风)</w:t>
            </w:r>
          </w:p>
        </w:tc>
        <w:tc>
          <w:tcPr>
            <w:tcW w:w="1076" w:type="pct"/>
            <w:vAlign w:val="center"/>
          </w:tcPr>
          <w:p>
            <w:pPr>
              <w:rPr>
                <w:rFonts w:ascii="仿宋" w:eastAsia="仿宋" w:hAnsi="仿宋" w:cs="仿宋" w:hint="eastAsia"/>
              </w:rPr>
            </w:pPr>
            <w:r>
              <w:rPr>
                <w:rFonts w:ascii="仿宋" w:eastAsia="仿宋" w:hAnsi="仿宋" w:cs="仿宋" w:hint="eastAsia"/>
                <w:sz w:val="24"/>
              </w:rPr>
              <w:t>采集系统</w:t>
            </w:r>
          </w:p>
        </w:tc>
        <w:tc>
          <w:tcPr>
            <w:tcW w:w="2714" w:type="pct"/>
            <w:gridSpan w:val="2"/>
            <w:vAlign w:val="center"/>
          </w:tcPr>
          <w:p>
            <w:pPr>
              <w:rPr>
                <w:rFonts w:ascii="仿宋" w:eastAsia="仿宋" w:hAnsi="仿宋" w:cs="仿宋" w:hint="eastAsia"/>
              </w:rPr>
            </w:pPr>
            <w:r>
              <w:rPr>
                <w:rFonts w:ascii="仿宋" w:eastAsia="仿宋" w:hAnsi="仿宋" w:cs="仿宋" w:hint="eastAsia"/>
                <w:sz w:val="24"/>
              </w:rPr>
              <w:t>有传感器信号防雷保护模块</w:t>
            </w:r>
          </w:p>
          <w:p>
            <w:pPr>
              <w:rPr>
                <w:rFonts w:ascii="仿宋" w:eastAsia="仿宋" w:hAnsi="仿宋" w:cs="仿宋" w:hint="eastAsia"/>
              </w:rPr>
            </w:pPr>
            <w:r>
              <w:rPr>
                <w:rFonts w:ascii="仿宋" w:eastAsia="仿宋" w:hAnsi="仿宋" w:cs="仿宋" w:hint="eastAsia"/>
                <w:sz w:val="24"/>
              </w:rPr>
              <w:t>有无线传输报文功能</w:t>
            </w:r>
          </w:p>
          <w:p>
            <w:pPr>
              <w:rPr>
                <w:rFonts w:ascii="仿宋" w:eastAsia="仿宋" w:hAnsi="仿宋" w:cs="仿宋" w:hint="eastAsia"/>
              </w:rPr>
            </w:pPr>
            <w:r>
              <w:rPr>
                <w:rFonts w:ascii="仿宋" w:eastAsia="仿宋" w:hAnsi="仿宋" w:cs="仿宋" w:hint="eastAsia"/>
                <w:sz w:val="24"/>
              </w:rPr>
              <w:t>在采集器内可保存高频数据文件、通量数据文件、状态监控与下垫面图片资料、温湿度气压传感器数据和系统状态信息（太阳能充电电压电流、蓄电池供电电压电流、门开关）</w:t>
            </w:r>
          </w:p>
          <w:p>
            <w:pPr>
              <w:rPr>
                <w:rFonts w:ascii="仿宋" w:eastAsia="仿宋" w:hAnsi="仿宋" w:cs="仿宋" w:hint="eastAsia"/>
              </w:rPr>
            </w:pPr>
            <w:r>
              <w:rPr>
                <w:rFonts w:ascii="仿宋" w:eastAsia="仿宋" w:hAnsi="仿宋" w:cs="仿宋" w:hint="eastAsia"/>
                <w:sz w:val="24"/>
              </w:rPr>
              <w:t>具有生成并上传需求书XML文件与图片的功能</w:t>
            </w:r>
          </w:p>
        </w:tc>
      </w:tr>
      <w:tr>
        <w:tblPrEx>
          <w:tblW w:w="5125" w:type="pct"/>
          <w:jc w:val="center"/>
          <w:tblLayout w:type="fixed"/>
          <w:tblCellMar>
            <w:top w:w="0" w:type="dxa"/>
            <w:left w:w="108" w:type="dxa"/>
            <w:bottom w:w="0" w:type="dxa"/>
            <w:right w:w="108" w:type="dxa"/>
          </w:tblCellMar>
          <w:tblLook w:val="0000"/>
        </w:tblPrEx>
        <w:trPr>
          <w:trHeight w:val="7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Align w:val="center"/>
          </w:tcPr>
          <w:p>
            <w:pPr>
              <w:rPr>
                <w:rFonts w:ascii="仿宋" w:eastAsia="仿宋" w:hAnsi="仿宋" w:cs="仿宋" w:hint="eastAsia"/>
              </w:rPr>
            </w:pPr>
            <w:r>
              <w:rPr>
                <w:rFonts w:ascii="仿宋" w:eastAsia="仿宋" w:hAnsi="仿宋" w:cs="仿宋" w:hint="eastAsia"/>
                <w:sz w:val="24"/>
              </w:rPr>
              <w:t>传感器</w:t>
            </w:r>
          </w:p>
        </w:tc>
        <w:tc>
          <w:tcPr>
            <w:tcW w:w="2714" w:type="pct"/>
            <w:gridSpan w:val="2"/>
            <w:vAlign w:val="center"/>
          </w:tcPr>
          <w:p>
            <w:pPr>
              <w:rPr>
                <w:rFonts w:ascii="仿宋" w:eastAsia="仿宋" w:hAnsi="仿宋" w:cs="仿宋" w:hint="eastAsia"/>
              </w:rPr>
            </w:pPr>
            <w:r>
              <w:rPr>
                <w:rFonts w:ascii="仿宋" w:eastAsia="仿宋" w:hAnsi="仿宋" w:cs="仿宋" w:hint="eastAsia"/>
                <w:sz w:val="24"/>
              </w:rPr>
              <w:t>包括：三维超声波风、二氧化碳和水汽气体分析仪、空气温度、空气湿度、气压、状态监控和下垫面传感器</w:t>
            </w:r>
          </w:p>
        </w:tc>
      </w:tr>
      <w:tr>
        <w:tblPrEx>
          <w:tblW w:w="5125" w:type="pct"/>
          <w:jc w:val="center"/>
          <w:tblLayout w:type="fixed"/>
          <w:tblCellMar>
            <w:top w:w="0" w:type="dxa"/>
            <w:left w:w="108" w:type="dxa"/>
            <w:bottom w:w="0" w:type="dxa"/>
            <w:right w:w="108" w:type="dxa"/>
          </w:tblCellMar>
          <w:tblLook w:val="0000"/>
        </w:tblPrEx>
        <w:trPr>
          <w:trHeight w:val="7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Align w:val="center"/>
          </w:tcPr>
          <w:p>
            <w:pPr>
              <w:rPr>
                <w:rFonts w:ascii="仿宋" w:eastAsia="仿宋" w:hAnsi="仿宋" w:cs="仿宋" w:hint="eastAsia"/>
              </w:rPr>
            </w:pPr>
            <w:r>
              <w:rPr>
                <w:rFonts w:ascii="仿宋" w:eastAsia="仿宋" w:hAnsi="仿宋" w:cs="仿宋" w:hint="eastAsia"/>
                <w:sz w:val="24"/>
              </w:rPr>
              <w:t>供电系统</w:t>
            </w:r>
          </w:p>
        </w:tc>
        <w:tc>
          <w:tcPr>
            <w:tcW w:w="2714" w:type="pct"/>
            <w:gridSpan w:val="2"/>
            <w:vAlign w:val="center"/>
          </w:tcPr>
          <w:p>
            <w:pPr>
              <w:rPr>
                <w:rFonts w:ascii="仿宋" w:eastAsia="仿宋" w:hAnsi="仿宋" w:cs="仿宋" w:hint="eastAsia"/>
              </w:rPr>
            </w:pPr>
            <w:r>
              <w:rPr>
                <w:rFonts w:ascii="仿宋" w:eastAsia="仿宋" w:hAnsi="仿宋" w:cs="仿宋" w:hint="eastAsia"/>
                <w:sz w:val="24"/>
              </w:rPr>
              <w:t>使用蓄电池和太阳能板完成系统供电，续航14天</w:t>
            </w:r>
          </w:p>
        </w:tc>
      </w:tr>
      <w:tr>
        <w:tblPrEx>
          <w:tblW w:w="5125" w:type="pct"/>
          <w:jc w:val="center"/>
          <w:tblLayout w:type="fixed"/>
          <w:tblCellMar>
            <w:top w:w="0" w:type="dxa"/>
            <w:left w:w="108" w:type="dxa"/>
            <w:bottom w:w="0" w:type="dxa"/>
            <w:right w:w="108" w:type="dxa"/>
          </w:tblCellMar>
          <w:tblLook w:val="0000"/>
        </w:tblPrEx>
        <w:trPr>
          <w:trHeight w:val="7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Align w:val="center"/>
          </w:tcPr>
          <w:p>
            <w:pPr>
              <w:rPr>
                <w:rFonts w:ascii="仿宋" w:eastAsia="仿宋" w:hAnsi="仿宋" w:cs="仿宋" w:hint="eastAsia"/>
              </w:rPr>
            </w:pPr>
            <w:r>
              <w:rPr>
                <w:rFonts w:ascii="仿宋" w:eastAsia="仿宋" w:hAnsi="仿宋" w:cs="仿宋" w:hint="eastAsia"/>
                <w:sz w:val="24"/>
              </w:rPr>
              <w:t>安装结构</w:t>
            </w:r>
          </w:p>
        </w:tc>
        <w:tc>
          <w:tcPr>
            <w:tcW w:w="2714" w:type="pct"/>
            <w:gridSpan w:val="2"/>
            <w:vAlign w:val="center"/>
          </w:tcPr>
          <w:p>
            <w:pPr>
              <w:rPr>
                <w:rFonts w:ascii="仿宋" w:eastAsia="仿宋" w:hAnsi="仿宋" w:cs="仿宋" w:hint="eastAsia"/>
              </w:rPr>
            </w:pPr>
            <w:r>
              <w:rPr>
                <w:rFonts w:ascii="仿宋" w:eastAsia="仿宋" w:hAnsi="仿宋" w:cs="仿宋" w:hint="eastAsia"/>
                <w:sz w:val="24"/>
              </w:rPr>
              <w:t>传感器安装于同一高度、配备采集系统和供电系统机箱</w:t>
            </w:r>
          </w:p>
        </w:tc>
      </w:tr>
      <w:tr>
        <w:tblPrEx>
          <w:tblW w:w="5125" w:type="pct"/>
          <w:jc w:val="center"/>
          <w:tblLayout w:type="fixed"/>
          <w:tblCellMar>
            <w:top w:w="0" w:type="dxa"/>
            <w:left w:w="108" w:type="dxa"/>
            <w:bottom w:w="0" w:type="dxa"/>
            <w:right w:w="108" w:type="dxa"/>
          </w:tblCellMar>
          <w:tblLook w:val="0000"/>
        </w:tblPrEx>
        <w:trPr>
          <w:trHeight w:val="7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Align w:val="center"/>
          </w:tcPr>
          <w:p>
            <w:pPr>
              <w:rPr>
                <w:rFonts w:ascii="仿宋" w:eastAsia="仿宋" w:hAnsi="仿宋" w:cs="仿宋" w:hint="eastAsia"/>
              </w:rPr>
            </w:pPr>
            <w:r>
              <w:rPr>
                <w:rFonts w:ascii="仿宋" w:eastAsia="仿宋" w:hAnsi="仿宋" w:cs="仿宋" w:hint="eastAsia"/>
                <w:sz w:val="24"/>
              </w:rPr>
              <w:t>配套线缆</w:t>
            </w:r>
          </w:p>
        </w:tc>
        <w:tc>
          <w:tcPr>
            <w:tcW w:w="2714" w:type="pct"/>
            <w:gridSpan w:val="2"/>
            <w:vAlign w:val="center"/>
          </w:tcPr>
          <w:p>
            <w:pPr>
              <w:rPr>
                <w:rFonts w:ascii="仿宋" w:eastAsia="仿宋" w:hAnsi="仿宋" w:cs="仿宋" w:hint="eastAsia"/>
              </w:rPr>
            </w:pPr>
            <w:r>
              <w:rPr>
                <w:rFonts w:ascii="仿宋" w:eastAsia="仿宋" w:hAnsi="仿宋" w:cs="仿宋" w:hint="eastAsia"/>
                <w:sz w:val="24"/>
              </w:rPr>
              <w:t>传感器线缆与供电线缆</w:t>
            </w:r>
          </w:p>
        </w:tc>
      </w:tr>
      <w:tr>
        <w:tblPrEx>
          <w:tblW w:w="5125" w:type="pct"/>
          <w:jc w:val="center"/>
          <w:tblLayout w:type="fixed"/>
          <w:tblCellMar>
            <w:top w:w="0" w:type="dxa"/>
            <w:left w:w="108" w:type="dxa"/>
            <w:bottom w:w="0" w:type="dxa"/>
            <w:right w:w="108" w:type="dxa"/>
          </w:tblCellMar>
          <w:tblLook w:val="0000"/>
        </w:tblPrEx>
        <w:trPr>
          <w:trHeight w:val="228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Align w:val="center"/>
          </w:tcPr>
          <w:p>
            <w:pPr>
              <w:rPr>
                <w:rFonts w:ascii="仿宋" w:eastAsia="仿宋" w:hAnsi="仿宋" w:cs="仿宋" w:hint="eastAsia"/>
              </w:rPr>
            </w:pPr>
            <w:r>
              <w:rPr>
                <w:rFonts w:ascii="仿宋" w:eastAsia="仿宋" w:hAnsi="仿宋" w:cs="仿宋" w:hint="eastAsia"/>
                <w:sz w:val="24"/>
              </w:rPr>
              <w:t>红外CO</w:t>
            </w:r>
            <w:r>
              <w:rPr>
                <w:rFonts w:ascii="仿宋" w:eastAsia="仿宋" w:hAnsi="仿宋" w:cs="仿宋" w:hint="eastAsia"/>
                <w:sz w:val="24"/>
                <w:vertAlign w:val="subscript"/>
              </w:rPr>
              <w:t>2</w:t>
            </w:r>
            <w:r>
              <w:rPr>
                <w:rFonts w:ascii="仿宋" w:eastAsia="仿宋" w:hAnsi="仿宋" w:cs="仿宋" w:hint="eastAsia"/>
                <w:sz w:val="24"/>
              </w:rPr>
              <w:t>/H</w:t>
            </w:r>
            <w:r>
              <w:rPr>
                <w:rFonts w:ascii="仿宋" w:eastAsia="仿宋" w:hAnsi="仿宋" w:cs="仿宋" w:hint="eastAsia"/>
                <w:sz w:val="24"/>
                <w:vertAlign w:val="subscript"/>
              </w:rPr>
              <w:t>2</w:t>
            </w:r>
            <w:r>
              <w:rPr>
                <w:rFonts w:ascii="仿宋" w:eastAsia="仿宋" w:hAnsi="仿宋" w:cs="仿宋" w:hint="eastAsia"/>
                <w:sz w:val="24"/>
              </w:rPr>
              <w:t>O分析仪</w:t>
            </w:r>
          </w:p>
        </w:tc>
        <w:tc>
          <w:tcPr>
            <w:tcW w:w="2714" w:type="pct"/>
            <w:gridSpan w:val="2"/>
            <w:vAlign w:val="center"/>
          </w:tcPr>
          <w:p>
            <w:pPr>
              <w:pStyle w:val="NormalWeb"/>
              <w:shd w:val="clear" w:color="auto" w:fill="FFFFFF"/>
              <w:spacing w:before="0" w:beforeAutospacing="0" w:after="0" w:afterAutospacing="0"/>
              <w:contextualSpacing/>
              <w:rPr>
                <w:rFonts w:ascii="仿宋" w:eastAsia="仿宋" w:hAnsi="仿宋" w:cs="仿宋" w:hint="eastAsia"/>
                <w:sz w:val="24"/>
                <w:szCs w:val="24"/>
                <w:highlight w:val="yellow"/>
              </w:rPr>
            </w:pPr>
            <w:r>
              <w:rPr>
                <w:rFonts w:ascii="仿宋" w:eastAsia="仿宋" w:hAnsi="仿宋" w:cs="仿宋" w:hint="eastAsia"/>
                <w:sz w:val="24"/>
                <w:szCs w:val="24"/>
                <w:highlight w:val="yellow"/>
              </w:rPr>
              <w:t>#测量范围：</w:t>
            </w:r>
          </w:p>
          <w:p>
            <w:pPr>
              <w:pStyle w:val="NormalWeb"/>
              <w:shd w:val="clear" w:color="auto" w:fill="FFFFFF"/>
              <w:spacing w:before="0" w:beforeAutospacing="0" w:after="0" w:afterAutospacing="0"/>
              <w:contextualSpacing/>
              <w:rPr>
                <w:rFonts w:ascii="仿宋" w:eastAsia="仿宋" w:hAnsi="仿宋" w:cs="仿宋" w:hint="eastAsia"/>
                <w:sz w:val="24"/>
                <w:szCs w:val="24"/>
                <w:highlight w:val="yellow"/>
              </w:rPr>
            </w:pPr>
            <w:r>
              <w:rPr>
                <w:rFonts w:ascii="仿宋" w:eastAsia="仿宋" w:hAnsi="仿宋" w:cs="仿宋" w:hint="eastAsia"/>
                <w:sz w:val="24"/>
                <w:szCs w:val="24"/>
                <w:highlight w:val="yellow"/>
              </w:rPr>
              <w:t>CO</w:t>
            </w:r>
            <w:r>
              <w:rPr>
                <w:rFonts w:ascii="仿宋" w:eastAsia="仿宋" w:hAnsi="仿宋" w:cs="仿宋" w:hint="eastAsia"/>
                <w:sz w:val="24"/>
                <w:szCs w:val="24"/>
                <w:highlight w:val="yellow"/>
                <w:vertAlign w:val="subscript"/>
              </w:rPr>
              <w:t>2</w:t>
            </w:r>
            <w:r>
              <w:rPr>
                <w:rFonts w:ascii="仿宋" w:eastAsia="仿宋" w:hAnsi="仿宋" w:cs="仿宋" w:hint="eastAsia"/>
                <w:sz w:val="24"/>
                <w:szCs w:val="24"/>
                <w:highlight w:val="yellow"/>
              </w:rPr>
              <w:t>浓度：0～1000</w:t>
            </w:r>
            <w:r>
              <w:rPr>
                <w:rFonts w:ascii="仿宋" w:eastAsia="仿宋" w:hAnsi="仿宋" w:cs="仿宋" w:hint="eastAsia"/>
                <w:sz w:val="24"/>
                <w:szCs w:val="24"/>
                <w:highlight w:val="yellow"/>
              </w:rPr>
              <w:t>μ</w:t>
            </w:r>
            <w:r>
              <w:rPr>
                <w:rFonts w:ascii="仿宋" w:eastAsia="仿宋" w:hAnsi="仿宋" w:cs="仿宋" w:hint="eastAsia"/>
                <w:sz w:val="24"/>
                <w:szCs w:val="24"/>
                <w:highlight w:val="yellow"/>
              </w:rPr>
              <w:t>mol/mol</w:t>
            </w:r>
          </w:p>
          <w:p>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highlight w:val="yellow"/>
              </w:rPr>
              <w:t>H</w:t>
            </w:r>
            <w:r>
              <w:rPr>
                <w:rFonts w:ascii="仿宋" w:eastAsia="仿宋" w:hAnsi="仿宋" w:cs="仿宋" w:hint="eastAsia"/>
                <w:sz w:val="24"/>
                <w:szCs w:val="24"/>
                <w:highlight w:val="yellow"/>
                <w:vertAlign w:val="subscript"/>
              </w:rPr>
              <w:t>2</w:t>
            </w:r>
            <w:r>
              <w:rPr>
                <w:rFonts w:ascii="仿宋" w:eastAsia="仿宋" w:hAnsi="仿宋" w:cs="仿宋" w:hint="eastAsia"/>
                <w:sz w:val="24"/>
                <w:szCs w:val="24"/>
                <w:highlight w:val="yellow"/>
              </w:rPr>
              <w:t>O浓度：0～72mmol/mol</w:t>
            </w:r>
          </w:p>
          <w:p>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rPr>
              <w:t>分辨力：</w:t>
            </w:r>
          </w:p>
          <w:p>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rPr>
              <w:t>CO</w:t>
            </w:r>
            <w:r>
              <w:rPr>
                <w:rFonts w:ascii="仿宋" w:eastAsia="仿宋" w:hAnsi="仿宋" w:cs="仿宋" w:hint="eastAsia"/>
                <w:sz w:val="24"/>
                <w:szCs w:val="24"/>
                <w:vertAlign w:val="subscript"/>
              </w:rPr>
              <w:t>2</w:t>
            </w:r>
            <w:r>
              <w:rPr>
                <w:rFonts w:ascii="仿宋" w:eastAsia="仿宋" w:hAnsi="仿宋" w:cs="仿宋" w:hint="eastAsia"/>
                <w:sz w:val="24"/>
                <w:szCs w:val="24"/>
              </w:rPr>
              <w:t>：0.15</w:t>
            </w:r>
            <w:r>
              <w:rPr>
                <w:rFonts w:ascii="仿宋" w:eastAsia="仿宋" w:hAnsi="仿宋" w:cs="仿宋" w:hint="eastAsia"/>
                <w:sz w:val="24"/>
                <w:szCs w:val="24"/>
              </w:rPr>
              <w:t>μ</w:t>
            </w:r>
            <w:r>
              <w:rPr>
                <w:rFonts w:ascii="仿宋" w:eastAsia="仿宋" w:hAnsi="仿宋" w:cs="仿宋" w:hint="eastAsia"/>
                <w:sz w:val="24"/>
                <w:szCs w:val="24"/>
              </w:rPr>
              <w:t>mol/mol，H</w:t>
            </w:r>
            <w:r>
              <w:rPr>
                <w:rFonts w:ascii="仿宋" w:eastAsia="仿宋" w:hAnsi="仿宋" w:cs="仿宋" w:hint="eastAsia"/>
                <w:sz w:val="24"/>
                <w:szCs w:val="24"/>
                <w:vertAlign w:val="subscript"/>
              </w:rPr>
              <w:t>2</w:t>
            </w:r>
            <w:r>
              <w:rPr>
                <w:rFonts w:ascii="仿宋" w:eastAsia="仿宋" w:hAnsi="仿宋" w:cs="仿宋" w:hint="eastAsia"/>
                <w:sz w:val="24"/>
                <w:szCs w:val="24"/>
              </w:rPr>
              <w:t>O：0.006mmol/mol</w:t>
            </w:r>
          </w:p>
          <w:p>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highlight w:val="yellow"/>
              </w:rPr>
              <w:t>#最大允许误差：CO</w:t>
            </w:r>
            <w:r>
              <w:rPr>
                <w:rFonts w:ascii="仿宋" w:eastAsia="仿宋" w:hAnsi="仿宋" w:cs="仿宋" w:hint="eastAsia"/>
                <w:sz w:val="24"/>
                <w:szCs w:val="24"/>
                <w:highlight w:val="yellow"/>
                <w:vertAlign w:val="subscript"/>
              </w:rPr>
              <w:t>2</w:t>
            </w:r>
            <w:r>
              <w:rPr>
                <w:rFonts w:ascii="仿宋" w:eastAsia="仿宋" w:hAnsi="仿宋" w:cs="仿宋" w:hint="eastAsia"/>
                <w:sz w:val="24"/>
                <w:szCs w:val="24"/>
                <w:highlight w:val="yellow"/>
              </w:rPr>
              <w:t>：1%，H</w:t>
            </w:r>
            <w:r>
              <w:rPr>
                <w:rFonts w:ascii="仿宋" w:eastAsia="仿宋" w:hAnsi="仿宋" w:cs="仿宋" w:hint="eastAsia"/>
                <w:sz w:val="24"/>
                <w:szCs w:val="24"/>
                <w:highlight w:val="yellow"/>
                <w:vertAlign w:val="subscript"/>
              </w:rPr>
              <w:t>2</w:t>
            </w:r>
            <w:r>
              <w:rPr>
                <w:rFonts w:ascii="仿宋" w:eastAsia="仿宋" w:hAnsi="仿宋" w:cs="仿宋" w:hint="eastAsia"/>
                <w:sz w:val="24"/>
                <w:szCs w:val="24"/>
                <w:highlight w:val="yellow"/>
              </w:rPr>
              <w:t>O：2%</w:t>
            </w:r>
          </w:p>
          <w:p>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rPr>
              <w:t>信号输出方式：数字型传感器</w:t>
            </w:r>
          </w:p>
          <w:p>
            <w:pPr>
              <w:pStyle w:val="NormalWeb"/>
              <w:shd w:val="clear" w:color="auto" w:fill="FFFFFF"/>
              <w:spacing w:before="0" w:beforeAutospacing="0" w:after="0" w:afterAutospacing="0"/>
              <w:contextualSpacing/>
              <w:rPr>
                <w:rFonts w:ascii="仿宋" w:eastAsia="仿宋" w:hAnsi="仿宋" w:cs="仿宋" w:hint="eastAsia"/>
                <w:b/>
                <w:bCs/>
                <w:sz w:val="24"/>
                <w:szCs w:val="24"/>
                <w:highlight w:val="green"/>
              </w:rPr>
            </w:pPr>
            <w:r>
              <w:rPr>
                <w:rFonts w:ascii="仿宋" w:eastAsia="仿宋" w:hAnsi="仿宋" w:cs="仿宋" w:hint="eastAsia"/>
                <w:sz w:val="24"/>
                <w:szCs w:val="24"/>
              </w:rPr>
              <w:t>接口标准：SDM/RS485</w:t>
            </w:r>
          </w:p>
        </w:tc>
      </w:tr>
      <w:tr>
        <w:tblPrEx>
          <w:tblW w:w="5125" w:type="pct"/>
          <w:jc w:val="center"/>
          <w:tblLayout w:type="fixed"/>
          <w:tblCellMar>
            <w:top w:w="0" w:type="dxa"/>
            <w:left w:w="108" w:type="dxa"/>
            <w:bottom w:w="0" w:type="dxa"/>
            <w:right w:w="108" w:type="dxa"/>
          </w:tblCellMar>
          <w:tblLook w:val="0000"/>
        </w:tblPrEx>
        <w:trPr>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Align w:val="center"/>
          </w:tcPr>
          <w:p>
            <w:pPr>
              <w:rPr>
                <w:rFonts w:ascii="仿宋" w:eastAsia="仿宋" w:hAnsi="仿宋" w:cs="仿宋" w:hint="eastAsia"/>
              </w:rPr>
            </w:pPr>
            <w:r>
              <w:rPr>
                <w:rFonts w:ascii="仿宋" w:eastAsia="仿宋" w:hAnsi="仿宋" w:cs="仿宋" w:hint="eastAsia"/>
                <w:sz w:val="24"/>
              </w:rPr>
              <w:t>三维超声风传感器</w:t>
            </w:r>
          </w:p>
        </w:tc>
        <w:tc>
          <w:tcPr>
            <w:tcW w:w="2714" w:type="pct"/>
            <w:gridSpan w:val="2"/>
            <w:vAlign w:val="center"/>
          </w:tcPr>
          <w:p>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rPr>
              <w:t>测量范围：Ux风速：</w:t>
            </w:r>
            <w:r>
              <w:rPr>
                <w:rFonts w:ascii="仿宋" w:eastAsia="仿宋" w:hAnsi="仿宋" w:cs="仿宋" w:hint="eastAsia"/>
                <w:sz w:val="24"/>
                <w:szCs w:val="24"/>
              </w:rPr>
              <w:t>±</w:t>
            </w:r>
            <w:r>
              <w:rPr>
                <w:rFonts w:ascii="仿宋" w:eastAsia="仿宋" w:hAnsi="仿宋" w:cs="仿宋" w:hint="eastAsia"/>
                <w:sz w:val="24"/>
                <w:szCs w:val="24"/>
              </w:rPr>
              <w:t>60m/s，Uy风速：</w:t>
            </w:r>
            <w:r>
              <w:rPr>
                <w:rFonts w:ascii="仿宋" w:eastAsia="仿宋" w:hAnsi="仿宋" w:cs="仿宋" w:hint="eastAsia"/>
                <w:sz w:val="24"/>
                <w:szCs w:val="24"/>
              </w:rPr>
              <w:t>±</w:t>
            </w:r>
            <w:r>
              <w:rPr>
                <w:rFonts w:ascii="仿宋" w:eastAsia="仿宋" w:hAnsi="仿宋" w:cs="仿宋" w:hint="eastAsia"/>
                <w:sz w:val="24"/>
                <w:szCs w:val="24"/>
              </w:rPr>
              <w:t>60m/s，Uz风速：</w:t>
            </w:r>
            <w:r>
              <w:rPr>
                <w:rFonts w:ascii="仿宋" w:eastAsia="仿宋" w:hAnsi="仿宋" w:cs="仿宋" w:hint="eastAsia"/>
                <w:sz w:val="24"/>
                <w:szCs w:val="24"/>
              </w:rPr>
              <w:t>±</w:t>
            </w:r>
            <w:r>
              <w:rPr>
                <w:rFonts w:ascii="仿宋" w:eastAsia="仿宋" w:hAnsi="仿宋" w:cs="仿宋" w:hint="eastAsia"/>
                <w:sz w:val="24"/>
                <w:szCs w:val="24"/>
              </w:rPr>
              <w:t>8m/s</w:t>
            </w:r>
          </w:p>
          <w:p>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rPr>
              <w:t>分辨力：0.1m/s</w:t>
            </w:r>
          </w:p>
          <w:p>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highlight w:val="yellow"/>
              </w:rPr>
              <w:t>#最大允许误差：</w:t>
            </w:r>
            <w:r>
              <w:rPr>
                <w:rFonts w:ascii="仿宋" w:eastAsia="仿宋" w:hAnsi="仿宋" w:cs="仿宋" w:hint="eastAsia"/>
                <w:sz w:val="24"/>
                <w:szCs w:val="24"/>
                <w:highlight w:val="yellow"/>
              </w:rPr>
              <w:t>±</w:t>
            </w:r>
            <w:r>
              <w:rPr>
                <w:rFonts w:ascii="仿宋" w:eastAsia="仿宋" w:hAnsi="仿宋" w:cs="仿宋" w:hint="eastAsia"/>
                <w:sz w:val="24"/>
                <w:szCs w:val="24"/>
                <w:highlight w:val="yellow"/>
              </w:rPr>
              <w:t>3%</w:t>
            </w:r>
          </w:p>
          <w:p>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rPr>
              <w:t>信号输出方式：数字型传感器</w:t>
            </w:r>
          </w:p>
          <w:p>
            <w:pPr>
              <w:rPr>
                <w:rFonts w:ascii="仿宋" w:eastAsia="仿宋" w:hAnsi="仿宋" w:cs="仿宋" w:hint="eastAsia"/>
              </w:rPr>
            </w:pPr>
            <w:r>
              <w:rPr>
                <w:rFonts w:ascii="仿宋" w:eastAsia="仿宋" w:hAnsi="仿宋" w:cs="仿宋" w:hint="eastAsia"/>
                <w:sz w:val="24"/>
              </w:rPr>
              <w:t>接口标准：SDM/RS485</w:t>
            </w:r>
          </w:p>
        </w:tc>
      </w:tr>
      <w:tr>
        <w:tblPrEx>
          <w:tblW w:w="5125" w:type="pct"/>
          <w:jc w:val="center"/>
          <w:tblLayout w:type="fixed"/>
          <w:tblCellMar>
            <w:top w:w="0" w:type="dxa"/>
            <w:left w:w="108" w:type="dxa"/>
            <w:bottom w:w="0" w:type="dxa"/>
            <w:right w:w="108" w:type="dxa"/>
          </w:tblCellMar>
          <w:tblLook w:val="0000"/>
        </w:tblPrEx>
        <w:trPr>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Align w:val="center"/>
          </w:tcPr>
          <w:p>
            <w:pPr>
              <w:rPr>
                <w:rFonts w:ascii="仿宋" w:eastAsia="仿宋" w:hAnsi="仿宋" w:cs="仿宋" w:hint="eastAsia"/>
              </w:rPr>
            </w:pPr>
            <w:r>
              <w:rPr>
                <w:rFonts w:ascii="仿宋" w:eastAsia="仿宋" w:hAnsi="仿宋" w:cs="仿宋" w:hint="eastAsia"/>
                <w:sz w:val="24"/>
              </w:rPr>
              <w:t>气压传感器</w:t>
            </w:r>
          </w:p>
        </w:tc>
        <w:tc>
          <w:tcPr>
            <w:tcW w:w="2714" w:type="pct"/>
            <w:gridSpan w:val="2"/>
            <w:vAlign w:val="center"/>
          </w:tcPr>
          <w:p>
            <w:pPr>
              <w:rPr>
                <w:rFonts w:ascii="仿宋" w:eastAsia="仿宋" w:hAnsi="仿宋" w:cs="仿宋" w:hint="eastAsia"/>
              </w:rPr>
            </w:pPr>
            <w:r>
              <w:rPr>
                <w:rFonts w:ascii="仿宋" w:eastAsia="仿宋" w:hAnsi="仿宋" w:cs="仿宋" w:hint="eastAsia"/>
                <w:sz w:val="24"/>
              </w:rPr>
              <w:t>测量范围：500hPa～1100hPa</w:t>
            </w:r>
          </w:p>
          <w:p>
            <w:pPr>
              <w:rPr>
                <w:rFonts w:ascii="仿宋" w:eastAsia="仿宋" w:hAnsi="仿宋" w:cs="仿宋" w:hint="eastAsia"/>
                <w:highlight w:val="yellow"/>
              </w:rPr>
            </w:pPr>
            <w:r>
              <w:rPr>
                <w:rFonts w:ascii="仿宋" w:eastAsia="仿宋" w:hAnsi="仿宋" w:cs="仿宋" w:hint="eastAsia"/>
                <w:sz w:val="24"/>
              </w:rPr>
              <w:t>分辨力：0.1hP</w:t>
            </w:r>
          </w:p>
          <w:p>
            <w:pPr>
              <w:rPr>
                <w:rFonts w:ascii="仿宋" w:eastAsia="仿宋" w:hAnsi="仿宋" w:cs="仿宋" w:hint="eastAsia"/>
              </w:rPr>
            </w:pPr>
            <w:r>
              <w:rPr>
                <w:rFonts w:ascii="仿宋" w:eastAsia="仿宋" w:hAnsi="仿宋" w:cs="仿宋" w:hint="eastAsia"/>
                <w:sz w:val="24"/>
                <w:highlight w:val="yellow"/>
              </w:rPr>
              <w:t>#最大允许误差：</w:t>
            </w:r>
            <w:r>
              <w:rPr>
                <w:rFonts w:ascii="仿宋" w:eastAsia="仿宋" w:hAnsi="仿宋" w:cs="仿宋" w:hint="eastAsia"/>
                <w:sz w:val="24"/>
                <w:highlight w:val="yellow"/>
              </w:rPr>
              <w:t>±</w:t>
            </w:r>
            <w:r>
              <w:rPr>
                <w:rFonts w:ascii="仿宋" w:eastAsia="仿宋" w:hAnsi="仿宋" w:cs="仿宋" w:hint="eastAsia"/>
                <w:sz w:val="24"/>
                <w:highlight w:val="yellow"/>
              </w:rPr>
              <w:t>0.3hPa</w:t>
            </w:r>
          </w:p>
          <w:p>
            <w:pPr>
              <w:rPr>
                <w:rFonts w:ascii="仿宋" w:eastAsia="仿宋" w:hAnsi="仿宋" w:cs="仿宋" w:hint="eastAsia"/>
              </w:rPr>
            </w:pPr>
            <w:r>
              <w:rPr>
                <w:rFonts w:ascii="仿宋" w:eastAsia="仿宋" w:hAnsi="仿宋" w:cs="仿宋" w:hint="eastAsia"/>
                <w:sz w:val="24"/>
              </w:rPr>
              <w:t>信号输出方式：数字型传感器</w:t>
            </w:r>
          </w:p>
          <w:p>
            <w:pPr>
              <w:rPr>
                <w:rFonts w:ascii="仿宋" w:eastAsia="仿宋" w:hAnsi="仿宋" w:cs="仿宋" w:hint="eastAsia"/>
              </w:rPr>
            </w:pPr>
            <w:r>
              <w:rPr>
                <w:rFonts w:ascii="仿宋" w:eastAsia="仿宋" w:hAnsi="仿宋" w:cs="仿宋" w:hint="eastAsia"/>
                <w:sz w:val="24"/>
              </w:rPr>
              <w:t>接口标准：SDM/RSRS232</w:t>
            </w:r>
          </w:p>
        </w:tc>
      </w:tr>
      <w:tr>
        <w:tblPrEx>
          <w:tblW w:w="5125" w:type="pct"/>
          <w:jc w:val="center"/>
          <w:tblLayout w:type="fixed"/>
          <w:tblCellMar>
            <w:top w:w="0" w:type="dxa"/>
            <w:left w:w="108" w:type="dxa"/>
            <w:bottom w:w="0" w:type="dxa"/>
            <w:right w:w="108" w:type="dxa"/>
          </w:tblCellMar>
          <w:tblLook w:val="0000"/>
        </w:tblPrEx>
        <w:trPr>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Align w:val="center"/>
          </w:tcPr>
          <w:p>
            <w:pPr>
              <w:rPr>
                <w:rFonts w:ascii="仿宋" w:eastAsia="仿宋" w:hAnsi="仿宋" w:cs="仿宋" w:hint="eastAsia"/>
              </w:rPr>
            </w:pPr>
            <w:r>
              <w:rPr>
                <w:rFonts w:ascii="仿宋" w:eastAsia="仿宋" w:hAnsi="仿宋" w:cs="仿宋" w:hint="eastAsia"/>
                <w:sz w:val="24"/>
              </w:rPr>
              <w:t>空气温湿度传感器</w:t>
            </w:r>
          </w:p>
        </w:tc>
        <w:tc>
          <w:tcPr>
            <w:tcW w:w="2714" w:type="pct"/>
            <w:gridSpan w:val="2"/>
            <w:vAlign w:val="center"/>
          </w:tcPr>
          <w:p>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rPr>
              <w:t>测量范围：气温：－50</w:t>
            </w:r>
            <w:r>
              <w:rPr>
                <w:rFonts w:ascii="仿宋" w:eastAsia="仿宋" w:hAnsi="仿宋" w:cs="仿宋" w:hint="eastAsia"/>
                <w:sz w:val="24"/>
                <w:szCs w:val="24"/>
              </w:rPr>
              <w:t>℃</w:t>
            </w:r>
            <w:r>
              <w:rPr>
                <w:rFonts w:ascii="仿宋" w:eastAsia="仿宋" w:hAnsi="仿宋" w:cs="仿宋" w:hint="eastAsia"/>
                <w:sz w:val="24"/>
                <w:szCs w:val="24"/>
              </w:rPr>
              <w:t>～50</w:t>
            </w:r>
            <w:r>
              <w:rPr>
                <w:rFonts w:ascii="仿宋" w:eastAsia="仿宋" w:hAnsi="仿宋" w:cs="仿宋" w:hint="eastAsia"/>
                <w:sz w:val="24"/>
                <w:szCs w:val="24"/>
              </w:rPr>
              <w:t>℃</w:t>
            </w:r>
            <w:r>
              <w:rPr>
                <w:rFonts w:ascii="仿宋" w:eastAsia="仿宋" w:hAnsi="仿宋" w:cs="仿宋" w:hint="eastAsia"/>
                <w:sz w:val="24"/>
                <w:szCs w:val="24"/>
              </w:rPr>
              <w:t>，相对湿度：0%～100%</w:t>
            </w:r>
          </w:p>
          <w:p>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rPr>
              <w:t>分辨力：气温：0.1</w:t>
            </w:r>
            <w:r>
              <w:rPr>
                <w:rFonts w:ascii="仿宋" w:eastAsia="仿宋" w:hAnsi="仿宋" w:cs="仿宋" w:hint="eastAsia"/>
                <w:sz w:val="24"/>
                <w:szCs w:val="24"/>
              </w:rPr>
              <w:t>℃</w:t>
            </w:r>
            <w:r>
              <w:rPr>
                <w:rFonts w:ascii="仿宋" w:eastAsia="仿宋" w:hAnsi="仿宋" w:cs="仿宋" w:hint="eastAsia"/>
                <w:sz w:val="24"/>
                <w:szCs w:val="24"/>
              </w:rPr>
              <w:t>，相对湿度：1%</w:t>
            </w:r>
          </w:p>
          <w:p>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highlight w:val="yellow"/>
              </w:rPr>
              <w:t>#最大允许误差：气温：</w:t>
            </w:r>
            <w:r>
              <w:rPr>
                <w:rFonts w:ascii="仿宋" w:eastAsia="仿宋" w:hAnsi="仿宋" w:cs="仿宋" w:hint="eastAsia"/>
                <w:sz w:val="24"/>
                <w:szCs w:val="24"/>
                <w:highlight w:val="yellow"/>
              </w:rPr>
              <w:t>±</w:t>
            </w:r>
            <w:r>
              <w:rPr>
                <w:rFonts w:ascii="仿宋" w:eastAsia="仿宋" w:hAnsi="仿宋" w:cs="仿宋" w:hint="eastAsia"/>
                <w:sz w:val="24"/>
                <w:szCs w:val="24"/>
                <w:highlight w:val="yellow"/>
              </w:rPr>
              <w:t>0.2</w:t>
            </w:r>
            <w:r>
              <w:rPr>
                <w:rFonts w:ascii="仿宋" w:eastAsia="仿宋" w:hAnsi="仿宋" w:cs="仿宋" w:hint="eastAsia"/>
                <w:sz w:val="24"/>
                <w:szCs w:val="24"/>
                <w:highlight w:val="yellow"/>
              </w:rPr>
              <w:t>℃</w:t>
            </w:r>
            <w:r>
              <w:rPr>
                <w:rFonts w:ascii="仿宋" w:eastAsia="仿宋" w:hAnsi="仿宋" w:cs="仿宋" w:hint="eastAsia"/>
                <w:sz w:val="24"/>
                <w:szCs w:val="24"/>
                <w:highlight w:val="yellow"/>
              </w:rPr>
              <w:t>，相对湿度：</w:t>
            </w:r>
            <w:r>
              <w:rPr>
                <w:rFonts w:ascii="仿宋" w:eastAsia="仿宋" w:hAnsi="仿宋" w:cs="仿宋" w:hint="eastAsia"/>
                <w:sz w:val="24"/>
                <w:szCs w:val="24"/>
                <w:highlight w:val="yellow"/>
              </w:rPr>
              <w:t>±</w:t>
            </w:r>
            <w:r>
              <w:rPr>
                <w:rFonts w:ascii="仿宋" w:eastAsia="仿宋" w:hAnsi="仿宋" w:cs="仿宋" w:hint="eastAsia"/>
                <w:sz w:val="24"/>
                <w:szCs w:val="24"/>
                <w:highlight w:val="yellow"/>
              </w:rPr>
              <w:t>3%（</w:t>
            </w:r>
            <w:r>
              <w:rPr>
                <w:rFonts w:ascii="仿宋" w:eastAsia="仿宋" w:hAnsi="仿宋" w:cs="仿宋" w:hint="eastAsia"/>
                <w:sz w:val="24"/>
                <w:szCs w:val="24"/>
                <w:highlight w:val="yellow"/>
              </w:rPr>
              <w:t>≤</w:t>
            </w:r>
            <w:r>
              <w:rPr>
                <w:rFonts w:ascii="仿宋" w:eastAsia="仿宋" w:hAnsi="仿宋" w:cs="仿宋" w:hint="eastAsia"/>
                <w:sz w:val="24"/>
                <w:szCs w:val="24"/>
                <w:highlight w:val="yellow"/>
              </w:rPr>
              <w:t>80%）</w:t>
            </w:r>
            <w:r>
              <w:rPr>
                <w:rFonts w:ascii="仿宋" w:eastAsia="仿宋" w:hAnsi="仿宋" w:cs="仿宋" w:hint="eastAsia"/>
                <w:sz w:val="24"/>
                <w:szCs w:val="24"/>
                <w:highlight w:val="yellow"/>
              </w:rPr>
              <w:t>±</w:t>
            </w:r>
            <w:r>
              <w:rPr>
                <w:rFonts w:ascii="仿宋" w:eastAsia="仿宋" w:hAnsi="仿宋" w:cs="仿宋" w:hint="eastAsia"/>
                <w:sz w:val="24"/>
                <w:szCs w:val="24"/>
                <w:highlight w:val="yellow"/>
              </w:rPr>
              <w:t>5%（＞80%）</w:t>
            </w:r>
          </w:p>
          <w:p>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rPr>
              <w:t>信号输出方式：数字型传感器</w:t>
            </w:r>
          </w:p>
          <w:p>
            <w:pPr>
              <w:rPr>
                <w:rFonts w:ascii="仿宋" w:eastAsia="仿宋" w:hAnsi="仿宋" w:cs="仿宋" w:hint="eastAsia"/>
              </w:rPr>
            </w:pPr>
            <w:r>
              <w:rPr>
                <w:rFonts w:ascii="仿宋" w:eastAsia="仿宋" w:hAnsi="仿宋" w:cs="仿宋" w:hint="eastAsia"/>
                <w:sz w:val="24"/>
              </w:rPr>
              <w:t>接口标准：RS232/四线制电阻</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restart"/>
            <w:vAlign w:val="center"/>
          </w:tcPr>
          <w:p>
            <w:pPr>
              <w:rPr>
                <w:rFonts w:ascii="仿宋" w:eastAsia="仿宋" w:hAnsi="仿宋" w:cs="仿宋" w:hint="eastAsia"/>
              </w:rPr>
            </w:pPr>
            <w:r>
              <w:rPr>
                <w:rFonts w:ascii="仿宋" w:eastAsia="仿宋" w:hAnsi="仿宋" w:cs="仿宋" w:hint="eastAsia"/>
                <w:sz w:val="24"/>
              </w:rPr>
              <w:t>梯度气象自动观测仪</w:t>
            </w:r>
          </w:p>
        </w:tc>
        <w:tc>
          <w:tcPr>
            <w:tcW w:w="1076" w:type="pct"/>
            <w:vMerge w:val="restart"/>
            <w:vAlign w:val="center"/>
          </w:tcPr>
          <w:p>
            <w:pPr>
              <w:snapToGrid w:val="0"/>
              <w:rPr>
                <w:rFonts w:ascii="仿宋" w:eastAsia="仿宋" w:hAnsi="仿宋" w:cs="仿宋" w:hint="eastAsia"/>
              </w:rPr>
            </w:pPr>
            <w:r>
              <w:rPr>
                <w:rFonts w:ascii="仿宋" w:eastAsia="仿宋" w:hAnsi="仿宋" w:cs="仿宋" w:hint="eastAsia"/>
                <w:sz w:val="24"/>
              </w:rPr>
              <w:t>智能风测量仪</w:t>
            </w: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测量范围</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0～60m/s</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ign w:val="center"/>
          </w:tcPr>
          <w:p>
            <w:pPr>
              <w:snapToGrid w:val="0"/>
              <w:rPr>
                <w:rFonts w:ascii="仿宋" w:eastAsia="仿宋" w:hAnsi="仿宋" w:cs="仿宋" w:hint="eastAsia"/>
              </w:rPr>
            </w:pP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精度</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（0.5m/s+0.03V）</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ign w:val="center"/>
          </w:tcPr>
          <w:p>
            <w:pPr>
              <w:snapToGrid w:val="0"/>
              <w:rPr>
                <w:rFonts w:ascii="仿宋" w:eastAsia="仿宋" w:hAnsi="仿宋" w:cs="仿宋" w:hint="eastAsia"/>
              </w:rPr>
            </w:pP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测量范围</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0～360</w:t>
            </w:r>
            <w:r>
              <w:rPr>
                <w:rFonts w:ascii="仿宋" w:eastAsia="仿宋" w:hAnsi="仿宋" w:cs="仿宋" w:hint="eastAsia"/>
                <w:sz w:val="24"/>
              </w:rPr>
              <w:t>°</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ign w:val="center"/>
          </w:tcPr>
          <w:p>
            <w:pPr>
              <w:snapToGrid w:val="0"/>
              <w:rPr>
                <w:rFonts w:ascii="仿宋" w:eastAsia="仿宋" w:hAnsi="仿宋" w:cs="仿宋" w:hint="eastAsia"/>
              </w:rPr>
            </w:pP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精度</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5</w:t>
            </w:r>
            <w:r>
              <w:rPr>
                <w:rFonts w:ascii="仿宋" w:eastAsia="仿宋" w:hAnsi="仿宋" w:cs="仿宋" w:hint="eastAsia"/>
                <w:sz w:val="24"/>
              </w:rPr>
              <w:t>°</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restart"/>
            <w:vAlign w:val="center"/>
          </w:tcPr>
          <w:p>
            <w:pPr>
              <w:snapToGrid w:val="0"/>
              <w:rPr>
                <w:rFonts w:ascii="仿宋" w:eastAsia="仿宋" w:hAnsi="仿宋" w:cs="仿宋" w:hint="eastAsia"/>
              </w:rPr>
            </w:pPr>
            <w:r>
              <w:rPr>
                <w:rFonts w:ascii="仿宋" w:eastAsia="仿宋" w:hAnsi="仿宋" w:cs="仿宋" w:hint="eastAsia"/>
                <w:sz w:val="24"/>
              </w:rPr>
              <w:t>智能气温测量仪</w:t>
            </w: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温度范围</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-50～60</w:t>
            </w:r>
            <w:r>
              <w:rPr>
                <w:rFonts w:ascii="仿宋" w:eastAsia="仿宋" w:hAnsi="仿宋" w:cs="仿宋" w:hint="eastAsia"/>
                <w:sz w:val="24"/>
              </w:rPr>
              <w:t>℃</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ign w:val="center"/>
          </w:tcPr>
          <w:p>
            <w:pPr>
              <w:snapToGrid w:val="0"/>
              <w:rPr>
                <w:rFonts w:ascii="仿宋" w:eastAsia="仿宋" w:hAnsi="仿宋" w:cs="仿宋" w:hint="eastAsia"/>
              </w:rPr>
            </w:pP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精度</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0.1</w:t>
            </w:r>
            <w:r>
              <w:rPr>
                <w:rFonts w:ascii="仿宋" w:eastAsia="仿宋" w:hAnsi="仿宋" w:cs="仿宋" w:hint="eastAsia"/>
                <w:sz w:val="24"/>
              </w:rPr>
              <w:t>℃</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restart"/>
            <w:vAlign w:val="center"/>
          </w:tcPr>
          <w:p>
            <w:pPr>
              <w:snapToGrid w:val="0"/>
              <w:rPr>
                <w:rFonts w:ascii="仿宋" w:eastAsia="仿宋" w:hAnsi="仿宋" w:cs="仿宋" w:hint="eastAsia"/>
              </w:rPr>
            </w:pPr>
            <w:r>
              <w:rPr>
                <w:rFonts w:ascii="仿宋" w:eastAsia="仿宋" w:hAnsi="仿宋" w:cs="仿宋" w:hint="eastAsia"/>
                <w:sz w:val="24"/>
              </w:rPr>
              <w:t>智能湿度测量仪</w:t>
            </w: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湿度范围</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0～100% RH</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ign w:val="center"/>
          </w:tcPr>
          <w:p>
            <w:pPr>
              <w:snapToGrid w:val="0"/>
              <w:rPr>
                <w:rFonts w:ascii="仿宋" w:eastAsia="仿宋" w:hAnsi="仿宋" w:cs="仿宋" w:hint="eastAsia"/>
              </w:rPr>
            </w:pP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精度</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5%RH</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restart"/>
            <w:vAlign w:val="center"/>
          </w:tcPr>
          <w:p>
            <w:pPr>
              <w:snapToGrid w:val="0"/>
              <w:rPr>
                <w:rFonts w:ascii="仿宋" w:eastAsia="仿宋" w:hAnsi="仿宋" w:cs="仿宋" w:hint="eastAsia"/>
              </w:rPr>
            </w:pPr>
            <w:r>
              <w:rPr>
                <w:rFonts w:ascii="仿宋" w:eastAsia="仿宋" w:hAnsi="仿宋" w:cs="仿宋" w:hint="eastAsia"/>
                <w:sz w:val="24"/>
              </w:rPr>
              <w:t>智能气压测量仪</w:t>
            </w: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测量范围</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500 hPa～1100 hPa</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ign w:val="center"/>
          </w:tcPr>
          <w:p>
            <w:pPr>
              <w:snapToGrid w:val="0"/>
              <w:rPr>
                <w:rFonts w:ascii="仿宋" w:eastAsia="仿宋" w:hAnsi="仿宋" w:cs="仿宋" w:hint="eastAsia"/>
              </w:rPr>
            </w:pPr>
          </w:p>
        </w:tc>
        <w:tc>
          <w:tcPr>
            <w:tcW w:w="1068" w:type="pct"/>
            <w:vAlign w:val="bottom"/>
          </w:tcPr>
          <w:p>
            <w:pPr>
              <w:snapToGrid w:val="0"/>
              <w:rPr>
                <w:rFonts w:ascii="仿宋" w:eastAsia="仿宋" w:hAnsi="仿宋" w:cs="仿宋" w:hint="eastAsia"/>
              </w:rPr>
            </w:pPr>
            <w:r>
              <w:rPr>
                <w:rFonts w:ascii="仿宋" w:eastAsia="仿宋" w:hAnsi="仿宋" w:cs="仿宋" w:hint="eastAsia"/>
                <w:sz w:val="24"/>
              </w:rPr>
              <w:t>分辨力</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0.1 hPa</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ign w:val="center"/>
          </w:tcPr>
          <w:p>
            <w:pPr>
              <w:snapToGrid w:val="0"/>
              <w:rPr>
                <w:rFonts w:ascii="仿宋" w:eastAsia="仿宋" w:hAnsi="仿宋" w:cs="仿宋" w:hint="eastAsia"/>
              </w:rPr>
            </w:pP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准确性</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0.3 hPa</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restart"/>
            <w:vAlign w:val="center"/>
          </w:tcPr>
          <w:p>
            <w:pPr>
              <w:snapToGrid w:val="0"/>
              <w:rPr>
                <w:rFonts w:ascii="仿宋" w:eastAsia="仿宋" w:hAnsi="仿宋" w:cs="仿宋" w:hint="eastAsia"/>
              </w:rPr>
            </w:pPr>
            <w:r>
              <w:rPr>
                <w:rFonts w:ascii="仿宋" w:eastAsia="仿宋" w:hAnsi="仿宋" w:cs="仿宋" w:hint="eastAsia"/>
                <w:sz w:val="24"/>
              </w:rPr>
              <w:t>四分量-总辐射传感器</w:t>
            </w:r>
          </w:p>
        </w:tc>
        <w:tc>
          <w:tcPr>
            <w:tcW w:w="1068" w:type="pct"/>
            <w:vAlign w:val="center"/>
          </w:tcPr>
          <w:p>
            <w:pPr>
              <w:snapToGrid w:val="0"/>
              <w:rPr>
                <w:rFonts w:ascii="仿宋" w:eastAsia="仿宋" w:hAnsi="仿宋" w:cs="仿宋" w:hint="eastAsia"/>
                <w:highlight w:val="yellow"/>
              </w:rPr>
            </w:pPr>
            <w:r>
              <w:rPr>
                <w:rFonts w:ascii="仿宋" w:eastAsia="仿宋" w:hAnsi="仿宋" w:cs="仿宋" w:hint="eastAsia"/>
                <w:sz w:val="24"/>
                <w:highlight w:val="yellow"/>
              </w:rPr>
              <w:t>#响应时间</w:t>
            </w:r>
          </w:p>
        </w:tc>
        <w:tc>
          <w:tcPr>
            <w:tcW w:w="1645" w:type="pct"/>
            <w:vAlign w:val="center"/>
          </w:tcPr>
          <w:p>
            <w:pPr>
              <w:snapToGrid w:val="0"/>
              <w:rPr>
                <w:rFonts w:ascii="仿宋" w:eastAsia="仿宋" w:hAnsi="仿宋" w:cs="仿宋" w:hint="eastAsia"/>
                <w:highlight w:val="yellow"/>
              </w:rPr>
            </w:pPr>
            <w:r>
              <w:rPr>
                <w:rFonts w:ascii="仿宋" w:eastAsia="仿宋" w:hAnsi="仿宋" w:cs="仿宋" w:hint="eastAsia"/>
                <w:sz w:val="24"/>
                <w:highlight w:val="yellow"/>
              </w:rPr>
              <w:t>＜30 s</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ign w:val="center"/>
          </w:tcPr>
          <w:p>
            <w:pPr>
              <w:snapToGrid w:val="0"/>
              <w:rPr>
                <w:rFonts w:ascii="仿宋" w:eastAsia="仿宋" w:hAnsi="仿宋" w:cs="仿宋" w:hint="eastAsia"/>
              </w:rPr>
            </w:pP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温度响应</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8%</w:t>
            </w:r>
          </w:p>
        </w:tc>
      </w:tr>
      <w:tr>
        <w:tblPrEx>
          <w:tblW w:w="5125" w:type="pct"/>
          <w:jc w:val="center"/>
          <w:tblLayout w:type="fixed"/>
          <w:tblCellMar>
            <w:top w:w="0" w:type="dxa"/>
            <w:left w:w="108" w:type="dxa"/>
            <w:bottom w:w="0" w:type="dxa"/>
            <w:right w:w="108" w:type="dxa"/>
          </w:tblCellMar>
          <w:tblLook w:val="0000"/>
        </w:tblPrEx>
        <w:trPr>
          <w:trHeight w:val="7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ign w:val="center"/>
          </w:tcPr>
          <w:p>
            <w:pPr>
              <w:snapToGrid w:val="0"/>
              <w:rPr>
                <w:rFonts w:ascii="仿宋" w:eastAsia="仿宋" w:hAnsi="仿宋" w:cs="仿宋" w:hint="eastAsia"/>
              </w:rPr>
            </w:pPr>
          </w:p>
        </w:tc>
        <w:tc>
          <w:tcPr>
            <w:tcW w:w="1068" w:type="pct"/>
            <w:vAlign w:val="center"/>
          </w:tcPr>
          <w:p>
            <w:pPr>
              <w:snapToGrid w:val="0"/>
              <w:rPr>
                <w:rFonts w:ascii="仿宋" w:eastAsia="仿宋" w:hAnsi="仿宋" w:cs="仿宋" w:hint="eastAsia"/>
                <w:highlight w:val="yellow"/>
              </w:rPr>
            </w:pPr>
            <w:r>
              <w:rPr>
                <w:rFonts w:ascii="仿宋" w:eastAsia="仿宋" w:hAnsi="仿宋" w:cs="仿宋" w:hint="eastAsia"/>
                <w:sz w:val="24"/>
                <w:highlight w:val="yellow"/>
              </w:rPr>
              <w:t>#方向性相应误差</w:t>
            </w:r>
          </w:p>
        </w:tc>
        <w:tc>
          <w:tcPr>
            <w:tcW w:w="1645" w:type="pct"/>
            <w:vAlign w:val="center"/>
          </w:tcPr>
          <w:p>
            <w:pPr>
              <w:snapToGrid w:val="0"/>
              <w:rPr>
                <w:rFonts w:ascii="仿宋" w:eastAsia="仿宋" w:hAnsi="仿宋" w:cs="仿宋" w:hint="eastAsia"/>
                <w:highlight w:val="yellow"/>
              </w:rPr>
            </w:pPr>
            <w:r>
              <w:rPr>
                <w:rFonts w:ascii="仿宋" w:eastAsia="仿宋" w:hAnsi="仿宋" w:cs="仿宋" w:hint="eastAsia"/>
                <w:sz w:val="24"/>
                <w:highlight w:val="yellow"/>
              </w:rPr>
              <w:t>±</w:t>
            </w:r>
            <w:r>
              <w:rPr>
                <w:rFonts w:ascii="仿宋" w:eastAsia="仿宋" w:hAnsi="仿宋" w:cs="仿宋" w:hint="eastAsia"/>
                <w:sz w:val="24"/>
                <w:highlight w:val="yellow"/>
              </w:rPr>
              <w:t>20W/m</w:t>
            </w:r>
            <w:r>
              <w:rPr>
                <w:rFonts w:ascii="仿宋" w:eastAsia="仿宋" w:hAnsi="仿宋" w:cs="仿宋" w:hint="eastAsia"/>
                <w:sz w:val="24"/>
                <w:highlight w:val="yellow"/>
                <w:vertAlign w:val="superscript"/>
              </w:rPr>
              <w:t>2</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ign w:val="center"/>
          </w:tcPr>
          <w:p>
            <w:pPr>
              <w:snapToGrid w:val="0"/>
              <w:rPr>
                <w:rFonts w:ascii="仿宋" w:eastAsia="仿宋" w:hAnsi="仿宋" w:cs="仿宋" w:hint="eastAsia"/>
              </w:rPr>
            </w:pP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接口标准</w:t>
            </w:r>
          </w:p>
        </w:tc>
        <w:tc>
          <w:tcPr>
            <w:tcW w:w="1645" w:type="pct"/>
            <w:vAlign w:val="center"/>
          </w:tcPr>
          <w:p>
            <w:pPr>
              <w:snapToGrid w:val="0"/>
              <w:rPr>
                <w:rFonts w:ascii="仿宋" w:eastAsia="仿宋" w:hAnsi="仿宋" w:cs="仿宋"/>
              </w:rPr>
            </w:pPr>
            <w:r>
              <w:rPr>
                <w:rFonts w:ascii="仿宋" w:eastAsia="仿宋" w:hAnsi="仿宋" w:cs="仿宋" w:hint="eastAsia"/>
                <w:sz w:val="24"/>
              </w:rPr>
              <w:t>差分模拟量</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restart"/>
            <w:vAlign w:val="center"/>
          </w:tcPr>
          <w:p>
            <w:pPr>
              <w:snapToGrid w:val="0"/>
              <w:rPr>
                <w:rFonts w:ascii="仿宋" w:eastAsia="仿宋" w:hAnsi="仿宋" w:cs="仿宋" w:hint="eastAsia"/>
              </w:rPr>
            </w:pPr>
            <w:r>
              <w:rPr>
                <w:rFonts w:ascii="仿宋" w:eastAsia="仿宋" w:hAnsi="仿宋" w:cs="仿宋" w:hint="eastAsia"/>
                <w:sz w:val="24"/>
              </w:rPr>
              <w:t>四分量-长波辐射传感器</w:t>
            </w:r>
          </w:p>
        </w:tc>
        <w:tc>
          <w:tcPr>
            <w:tcW w:w="1068" w:type="pct"/>
            <w:vAlign w:val="center"/>
          </w:tcPr>
          <w:p>
            <w:pPr>
              <w:snapToGrid w:val="0"/>
              <w:rPr>
                <w:rFonts w:ascii="仿宋" w:eastAsia="仿宋" w:hAnsi="仿宋" w:cs="仿宋" w:hint="eastAsia"/>
                <w:highlight w:val="yellow"/>
              </w:rPr>
            </w:pPr>
            <w:r>
              <w:rPr>
                <w:rFonts w:ascii="仿宋" w:eastAsia="仿宋" w:hAnsi="仿宋" w:cs="仿宋" w:hint="eastAsia"/>
                <w:sz w:val="24"/>
                <w:highlight w:val="yellow"/>
              </w:rPr>
              <w:t>#响应时间</w:t>
            </w:r>
          </w:p>
        </w:tc>
        <w:tc>
          <w:tcPr>
            <w:tcW w:w="1645" w:type="pct"/>
            <w:vAlign w:val="center"/>
          </w:tcPr>
          <w:p>
            <w:pPr>
              <w:snapToGrid w:val="0"/>
              <w:rPr>
                <w:rFonts w:ascii="仿宋" w:eastAsia="仿宋" w:hAnsi="仿宋" w:cs="仿宋" w:hint="eastAsia"/>
                <w:highlight w:val="yellow"/>
              </w:rPr>
            </w:pPr>
            <w:r>
              <w:rPr>
                <w:rFonts w:ascii="仿宋" w:eastAsia="仿宋" w:hAnsi="仿宋" w:cs="仿宋" w:hint="eastAsia"/>
                <w:sz w:val="24"/>
                <w:highlight w:val="yellow"/>
              </w:rPr>
              <w:t>&lt;30 s</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ign w:val="center"/>
          </w:tcPr>
          <w:p>
            <w:pPr>
              <w:snapToGrid w:val="0"/>
              <w:rPr>
                <w:rFonts w:ascii="仿宋" w:eastAsia="仿宋" w:hAnsi="仿宋" w:cs="仿宋" w:hint="eastAsia"/>
              </w:rPr>
            </w:pP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不稳定性</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2%</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ign w:val="center"/>
          </w:tcPr>
          <w:p>
            <w:pPr>
              <w:snapToGrid w:val="0"/>
              <w:rPr>
                <w:rFonts w:ascii="仿宋" w:eastAsia="仿宋" w:hAnsi="仿宋" w:cs="仿宋" w:hint="eastAsia"/>
              </w:rPr>
            </w:pP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接口标准</w:t>
            </w:r>
          </w:p>
        </w:tc>
        <w:tc>
          <w:tcPr>
            <w:tcW w:w="1645" w:type="pct"/>
            <w:vAlign w:val="center"/>
          </w:tcPr>
          <w:p>
            <w:pPr>
              <w:snapToGrid w:val="0"/>
              <w:rPr>
                <w:rFonts w:ascii="仿宋" w:eastAsia="仿宋" w:hAnsi="仿宋" w:cs="仿宋" w:hint="eastAsia"/>
              </w:rPr>
            </w:pPr>
            <w:r>
              <w:rPr>
                <w:rFonts w:ascii="微软雅黑" w:eastAsia="微软雅黑" w:hAnsi="微软雅黑" w:cs="宋体"/>
                <w:kern w:val="0"/>
                <w:sz w:val="20"/>
                <w:szCs w:val="20"/>
              </w:rPr>
              <w:t>差分模拟量</w:t>
            </w:r>
            <w:r>
              <w:rPr>
                <w:rFonts w:ascii="仿宋" w:eastAsia="仿宋" w:hAnsi="仿宋" w:cs="仿宋" w:hint="eastAsia"/>
                <w:sz w:val="24"/>
              </w:rPr>
              <w:t xml:space="preserve"> </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restart"/>
            <w:vAlign w:val="center"/>
          </w:tcPr>
          <w:p>
            <w:pPr>
              <w:snapToGrid w:val="0"/>
              <w:rPr>
                <w:rFonts w:ascii="仿宋" w:eastAsia="仿宋" w:hAnsi="仿宋" w:cs="仿宋" w:hint="eastAsia"/>
              </w:rPr>
            </w:pPr>
            <w:r>
              <w:rPr>
                <w:rFonts w:ascii="仿宋" w:eastAsia="仿宋" w:hAnsi="仿宋" w:cs="仿宋" w:hint="eastAsia"/>
                <w:sz w:val="24"/>
              </w:rPr>
              <w:t>紫外（A+B）辐射传感器</w:t>
            </w: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光谱范围</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280～400nm（UV AB)</w:t>
            </w:r>
          </w:p>
          <w:p>
            <w:pPr>
              <w:snapToGrid w:val="0"/>
              <w:rPr>
                <w:rFonts w:ascii="仿宋" w:eastAsia="仿宋" w:hAnsi="仿宋" w:cs="仿宋" w:hint="eastAsia"/>
              </w:rPr>
            </w:pPr>
            <w:r>
              <w:rPr>
                <w:rFonts w:ascii="仿宋" w:eastAsia="仿宋" w:hAnsi="仿宋" w:cs="仿宋" w:hint="eastAsia"/>
                <w:sz w:val="24"/>
              </w:rPr>
              <w:t>315～400nm(UV A)</w:t>
            </w:r>
          </w:p>
          <w:p>
            <w:pPr>
              <w:snapToGrid w:val="0"/>
              <w:rPr>
                <w:rFonts w:ascii="仿宋" w:eastAsia="仿宋" w:hAnsi="仿宋" w:cs="仿宋" w:hint="eastAsia"/>
              </w:rPr>
            </w:pPr>
            <w:r>
              <w:rPr>
                <w:rFonts w:ascii="仿宋" w:eastAsia="仿宋" w:hAnsi="仿宋" w:cs="仿宋" w:hint="eastAsia"/>
                <w:sz w:val="24"/>
              </w:rPr>
              <w:t>280～315nm(UV B)</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ign w:val="center"/>
          </w:tcPr>
          <w:p>
            <w:pPr>
              <w:snapToGrid w:val="0"/>
              <w:rPr>
                <w:rFonts w:ascii="仿宋" w:eastAsia="仿宋" w:hAnsi="仿宋" w:cs="仿宋" w:hint="eastAsia"/>
              </w:rPr>
            </w:pP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精度</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2%</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restart"/>
            <w:vAlign w:val="center"/>
          </w:tcPr>
          <w:p>
            <w:pPr>
              <w:snapToGrid w:val="0"/>
              <w:rPr>
                <w:rFonts w:ascii="仿宋" w:eastAsia="仿宋" w:hAnsi="仿宋" w:cs="仿宋" w:hint="eastAsia"/>
              </w:rPr>
            </w:pPr>
            <w:r>
              <w:rPr>
                <w:rFonts w:ascii="仿宋" w:eastAsia="仿宋" w:hAnsi="仿宋" w:cs="仿宋" w:hint="eastAsia"/>
                <w:sz w:val="24"/>
              </w:rPr>
              <w:t>光合有效辐射传感器</w:t>
            </w: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光谱范围</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400nm-700nm</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ign w:val="center"/>
          </w:tcPr>
          <w:p>
            <w:pPr>
              <w:snapToGrid w:val="0"/>
              <w:rPr>
                <w:rFonts w:ascii="仿宋" w:eastAsia="仿宋" w:hAnsi="仿宋" w:cs="仿宋" w:hint="eastAsia"/>
              </w:rPr>
            </w:pPr>
          </w:p>
        </w:tc>
        <w:tc>
          <w:tcPr>
            <w:tcW w:w="1068" w:type="pct"/>
            <w:vAlign w:val="center"/>
          </w:tcPr>
          <w:p>
            <w:pPr>
              <w:snapToGrid w:val="0"/>
              <w:rPr>
                <w:rFonts w:ascii="仿宋" w:eastAsia="仿宋" w:hAnsi="仿宋" w:cs="仿宋" w:hint="eastAsia"/>
                <w:highlight w:val="yellow"/>
              </w:rPr>
            </w:pPr>
            <w:r>
              <w:rPr>
                <w:rFonts w:ascii="仿宋" w:eastAsia="仿宋" w:hAnsi="仿宋" w:cs="仿宋" w:hint="eastAsia"/>
                <w:sz w:val="24"/>
                <w:highlight w:val="yellow"/>
              </w:rPr>
              <w:t>#响应时间</w:t>
            </w:r>
          </w:p>
        </w:tc>
        <w:tc>
          <w:tcPr>
            <w:tcW w:w="1645" w:type="pct"/>
            <w:vAlign w:val="center"/>
          </w:tcPr>
          <w:p>
            <w:pPr>
              <w:snapToGrid w:val="0"/>
              <w:rPr>
                <w:rFonts w:ascii="仿宋" w:eastAsia="仿宋" w:hAnsi="仿宋" w:cs="仿宋" w:hint="eastAsia"/>
                <w:highlight w:val="yellow"/>
              </w:rPr>
            </w:pPr>
            <w:r>
              <w:rPr>
                <w:rFonts w:ascii="仿宋" w:eastAsia="仿宋" w:hAnsi="仿宋" w:cs="仿宋" w:hint="eastAsia"/>
                <w:sz w:val="24"/>
                <w:highlight w:val="yellow"/>
              </w:rPr>
              <w:t>≤</w:t>
            </w:r>
            <w:r>
              <w:rPr>
                <w:rFonts w:ascii="仿宋" w:eastAsia="仿宋" w:hAnsi="仿宋" w:cs="仿宋" w:hint="eastAsia"/>
                <w:sz w:val="24"/>
                <w:highlight w:val="yellow"/>
              </w:rPr>
              <w:t>1s</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ign w:val="center"/>
          </w:tcPr>
          <w:p>
            <w:pPr>
              <w:snapToGrid w:val="0"/>
              <w:rPr>
                <w:rFonts w:ascii="仿宋" w:eastAsia="仿宋" w:hAnsi="仿宋" w:cs="仿宋" w:hint="eastAsia"/>
              </w:rPr>
            </w:pP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方向性响应（天顶角80</w:t>
            </w:r>
            <w:r>
              <w:rPr>
                <w:rFonts w:ascii="仿宋" w:eastAsia="仿宋" w:hAnsi="仿宋" w:cs="仿宋" w:hint="eastAsia"/>
                <w:sz w:val="24"/>
              </w:rPr>
              <w:t>°</w:t>
            </w:r>
            <w:r>
              <w:rPr>
                <w:rFonts w:ascii="仿宋" w:eastAsia="仿宋" w:hAnsi="仿宋" w:cs="仿宋" w:hint="eastAsia"/>
                <w:sz w:val="24"/>
              </w:rPr>
              <w:t>以内）</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10%</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ign w:val="center"/>
          </w:tcPr>
          <w:p>
            <w:pPr>
              <w:snapToGrid w:val="0"/>
              <w:rPr>
                <w:rFonts w:ascii="仿宋" w:eastAsia="仿宋" w:hAnsi="仿宋" w:cs="仿宋" w:hint="eastAsia"/>
              </w:rPr>
            </w:pP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温度依存性</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0.15%/</w:t>
            </w:r>
            <w:r>
              <w:rPr>
                <w:rFonts w:ascii="仿宋" w:eastAsia="仿宋" w:hAnsi="仿宋" w:cs="仿宋" w:hint="eastAsia"/>
                <w:sz w:val="24"/>
              </w:rPr>
              <w:t>℃</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restart"/>
            <w:vAlign w:val="center"/>
          </w:tcPr>
          <w:p>
            <w:pPr>
              <w:snapToGrid w:val="0"/>
              <w:rPr>
                <w:rFonts w:ascii="仿宋" w:eastAsia="仿宋" w:hAnsi="仿宋" w:cs="仿宋" w:hint="eastAsia"/>
              </w:rPr>
            </w:pPr>
            <w:r>
              <w:rPr>
                <w:rFonts w:ascii="仿宋" w:eastAsia="仿宋" w:hAnsi="仿宋" w:cs="仿宋" w:hint="eastAsia"/>
                <w:sz w:val="24"/>
              </w:rPr>
              <w:t>智能翻斗式雨量测量仪</w:t>
            </w: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测量范围</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0mm/min～4mm/min</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ign w:val="center"/>
          </w:tcPr>
          <w:p>
            <w:pPr>
              <w:snapToGrid w:val="0"/>
              <w:rPr>
                <w:rFonts w:ascii="仿宋" w:eastAsia="仿宋" w:hAnsi="仿宋" w:cs="仿宋" w:hint="eastAsia"/>
              </w:rPr>
            </w:pP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精度</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0.4mm（</w:t>
            </w:r>
            <w:r>
              <w:rPr>
                <w:rFonts w:ascii="仿宋" w:eastAsia="仿宋" w:hAnsi="仿宋" w:cs="仿宋" w:hint="eastAsia"/>
                <w:sz w:val="24"/>
              </w:rPr>
              <w:t>≤</w:t>
            </w:r>
            <w:r>
              <w:rPr>
                <w:rFonts w:ascii="仿宋" w:eastAsia="仿宋" w:hAnsi="仿宋" w:cs="仿宋" w:hint="eastAsia"/>
                <w:sz w:val="24"/>
              </w:rPr>
              <w:t>10mm）</w:t>
            </w:r>
          </w:p>
          <w:p>
            <w:pPr>
              <w:snapToGrid w:val="0"/>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 xml:space="preserve"> 4％（＞10mm）</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Align w:val="center"/>
          </w:tcPr>
          <w:p>
            <w:pPr>
              <w:snapToGrid w:val="0"/>
              <w:rPr>
                <w:rFonts w:ascii="仿宋" w:eastAsia="仿宋" w:hAnsi="仿宋" w:cs="仿宋" w:hint="eastAsia"/>
              </w:rPr>
            </w:pPr>
            <w:r>
              <w:rPr>
                <w:rFonts w:ascii="仿宋" w:eastAsia="仿宋" w:hAnsi="仿宋" w:cs="仿宋" w:hint="eastAsia"/>
                <w:sz w:val="24"/>
              </w:rPr>
              <w:t>土壤热通量传感器</w:t>
            </w: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测量范围</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-800 W/m</w:t>
            </w:r>
            <w:r>
              <w:rPr>
                <w:rFonts w:ascii="仿宋" w:eastAsia="仿宋" w:hAnsi="仿宋" w:cs="仿宋" w:hint="eastAsia"/>
                <w:sz w:val="24"/>
                <w:vertAlign w:val="superscript"/>
              </w:rPr>
              <w:t>2</w:t>
            </w:r>
            <w:r>
              <w:rPr>
                <w:rFonts w:ascii="仿宋" w:eastAsia="仿宋" w:hAnsi="仿宋" w:cs="仿宋" w:hint="eastAsia"/>
                <w:sz w:val="24"/>
              </w:rPr>
              <w:t>~800 W/m</w:t>
            </w:r>
            <w:r>
              <w:rPr>
                <w:rFonts w:ascii="仿宋" w:eastAsia="仿宋" w:hAnsi="仿宋" w:cs="仿宋" w:hint="eastAsia"/>
                <w:sz w:val="24"/>
                <w:vertAlign w:val="superscript"/>
              </w:rPr>
              <w:t>2</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restart"/>
            <w:vAlign w:val="center"/>
          </w:tcPr>
          <w:p>
            <w:pPr>
              <w:snapToGrid w:val="0"/>
              <w:rPr>
                <w:rFonts w:ascii="仿宋" w:eastAsia="仿宋" w:hAnsi="仿宋" w:cs="仿宋" w:hint="eastAsia"/>
              </w:rPr>
            </w:pPr>
            <w:r>
              <w:rPr>
                <w:rFonts w:ascii="仿宋" w:eastAsia="仿宋" w:hAnsi="仿宋" w:cs="仿宋" w:hint="eastAsia"/>
                <w:sz w:val="24"/>
              </w:rPr>
              <w:t>红外温度传感器</w:t>
            </w: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测量范围</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-55</w:t>
            </w:r>
            <w:r>
              <w:rPr>
                <w:rFonts w:ascii="仿宋" w:eastAsia="仿宋" w:hAnsi="仿宋" w:cs="仿宋" w:hint="eastAsia"/>
                <w:sz w:val="24"/>
              </w:rPr>
              <w:t>℃</w:t>
            </w:r>
            <w:r>
              <w:rPr>
                <w:rFonts w:ascii="仿宋" w:eastAsia="仿宋" w:hAnsi="仿宋" w:cs="仿宋" w:hint="eastAsia"/>
                <w:sz w:val="24"/>
              </w:rPr>
              <w:t>～80</w:t>
            </w:r>
            <w:r>
              <w:rPr>
                <w:rFonts w:ascii="仿宋" w:eastAsia="仿宋" w:hAnsi="仿宋" w:cs="仿宋" w:hint="eastAsia"/>
                <w:sz w:val="24"/>
              </w:rPr>
              <w:t>℃</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ign w:val="center"/>
          </w:tcPr>
          <w:p>
            <w:pPr>
              <w:snapToGrid w:val="0"/>
              <w:rPr>
                <w:rFonts w:ascii="仿宋" w:eastAsia="仿宋" w:hAnsi="仿宋" w:cs="仿宋" w:hint="eastAsia"/>
              </w:rPr>
            </w:pPr>
          </w:p>
        </w:tc>
        <w:tc>
          <w:tcPr>
            <w:tcW w:w="1068" w:type="pct"/>
            <w:vAlign w:val="center"/>
          </w:tcPr>
          <w:p>
            <w:pPr>
              <w:snapToGrid w:val="0"/>
              <w:rPr>
                <w:rFonts w:ascii="仿宋" w:eastAsia="仿宋" w:hAnsi="仿宋" w:cs="仿宋" w:hint="eastAsia"/>
                <w:highlight w:val="yellow"/>
              </w:rPr>
            </w:pPr>
            <w:r>
              <w:rPr>
                <w:rFonts w:ascii="仿宋" w:eastAsia="仿宋" w:hAnsi="仿宋" w:cs="仿宋" w:hint="eastAsia"/>
                <w:sz w:val="24"/>
                <w:highlight w:val="yellow"/>
              </w:rPr>
              <w:t>#精度</w:t>
            </w:r>
          </w:p>
        </w:tc>
        <w:tc>
          <w:tcPr>
            <w:tcW w:w="1645" w:type="pct"/>
            <w:vAlign w:val="center"/>
          </w:tcPr>
          <w:p>
            <w:pPr>
              <w:snapToGrid w:val="0"/>
              <w:rPr>
                <w:rFonts w:ascii="仿宋" w:eastAsia="仿宋" w:hAnsi="仿宋" w:cs="仿宋" w:hint="eastAsia"/>
                <w:highlight w:val="yellow"/>
              </w:rPr>
            </w:pPr>
            <w:r>
              <w:rPr>
                <w:rFonts w:ascii="仿宋" w:eastAsia="仿宋" w:hAnsi="仿宋" w:cs="仿宋" w:hint="eastAsia"/>
                <w:sz w:val="24"/>
                <w:highlight w:val="yellow"/>
              </w:rPr>
              <w:t>±</w:t>
            </w:r>
            <w:r>
              <w:rPr>
                <w:rFonts w:ascii="仿宋" w:eastAsia="仿宋" w:hAnsi="仿宋" w:cs="仿宋" w:hint="eastAsia"/>
                <w:sz w:val="24"/>
                <w:highlight w:val="yellow"/>
              </w:rPr>
              <w:t>0.2</w:t>
            </w:r>
            <w:r>
              <w:rPr>
                <w:rFonts w:ascii="仿宋" w:eastAsia="仿宋" w:hAnsi="仿宋" w:cs="仿宋" w:hint="eastAsia"/>
                <w:sz w:val="24"/>
                <w:highlight w:val="yellow"/>
              </w:rPr>
              <w:t>℃</w:t>
            </w:r>
            <w:r>
              <w:rPr>
                <w:rFonts w:ascii="仿宋" w:eastAsia="仿宋" w:hAnsi="仿宋" w:cs="仿宋" w:hint="eastAsia"/>
                <w:sz w:val="24"/>
                <w:highlight w:val="yellow"/>
              </w:rPr>
              <w:t>（-10</w:t>
            </w:r>
            <w:r>
              <w:rPr>
                <w:rFonts w:ascii="仿宋" w:eastAsia="仿宋" w:hAnsi="仿宋" w:cs="仿宋" w:hint="eastAsia"/>
                <w:sz w:val="24"/>
                <w:highlight w:val="yellow"/>
              </w:rPr>
              <w:t>℃</w:t>
            </w:r>
            <w:r>
              <w:rPr>
                <w:rFonts w:ascii="仿宋" w:eastAsia="仿宋" w:hAnsi="仿宋" w:cs="仿宋" w:hint="eastAsia"/>
                <w:sz w:val="24"/>
                <w:highlight w:val="yellow"/>
              </w:rPr>
              <w:t>~65</w:t>
            </w:r>
            <w:r>
              <w:rPr>
                <w:rFonts w:ascii="仿宋" w:eastAsia="仿宋" w:hAnsi="仿宋" w:cs="仿宋" w:hint="eastAsia"/>
                <w:sz w:val="24"/>
                <w:highlight w:val="yellow"/>
              </w:rPr>
              <w:t>℃</w:t>
            </w:r>
            <w:r>
              <w:rPr>
                <w:rFonts w:ascii="仿宋" w:eastAsia="仿宋" w:hAnsi="仿宋" w:cs="仿宋" w:hint="eastAsia"/>
                <w:sz w:val="24"/>
                <w:highlight w:val="yellow"/>
              </w:rPr>
              <w:t>时）</w:t>
            </w:r>
          </w:p>
        </w:tc>
      </w:tr>
      <w:tr>
        <w:tblPrEx>
          <w:tblW w:w="5125" w:type="pct"/>
          <w:jc w:val="center"/>
          <w:tblLayout w:type="fixed"/>
          <w:tblCellMar>
            <w:top w:w="0" w:type="dxa"/>
            <w:left w:w="108" w:type="dxa"/>
            <w:bottom w:w="0" w:type="dxa"/>
            <w:right w:w="108" w:type="dxa"/>
          </w:tblCellMar>
          <w:tblLook w:val="0000"/>
        </w:tblPrEx>
        <w:trPr>
          <w:jc w:val="center"/>
        </w:trPr>
        <w:tc>
          <w:tcPr>
            <w:tcW w:w="366" w:type="pct"/>
            <w:vMerge/>
            <w:vAlign w:val="center"/>
          </w:tcPr>
          <w:p>
            <w:pPr>
              <w:pStyle w:val="ListParagraph"/>
              <w:ind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Align w:val="center"/>
          </w:tcPr>
          <w:p>
            <w:pPr>
              <w:rPr>
                <w:rFonts w:ascii="仿宋" w:eastAsia="仿宋" w:hAnsi="仿宋" w:cs="仿宋" w:hint="eastAsia"/>
              </w:rPr>
            </w:pPr>
            <w:r>
              <w:rPr>
                <w:rFonts w:ascii="仿宋" w:eastAsia="仿宋" w:hAnsi="仿宋" w:cs="仿宋" w:hint="eastAsia"/>
                <w:sz w:val="24"/>
              </w:rPr>
              <w:t>观测塔</w:t>
            </w:r>
          </w:p>
        </w:tc>
        <w:tc>
          <w:tcPr>
            <w:tcW w:w="2714" w:type="pct"/>
            <w:gridSpan w:val="2"/>
            <w:vAlign w:val="center"/>
          </w:tcPr>
          <w:p>
            <w:pPr>
              <w:pStyle w:val="W"/>
              <w:snapToGrid w:val="0"/>
              <w:spacing w:line="240" w:lineRule="auto"/>
              <w:jc w:val="left"/>
              <w:rPr>
                <w:rFonts w:ascii="仿宋" w:eastAsia="仿宋" w:hAnsi="仿宋" w:cs="仿宋" w:hint="eastAsia"/>
                <w:szCs w:val="24"/>
              </w:rPr>
            </w:pPr>
            <w:r>
              <w:rPr>
                <w:rFonts w:ascii="仿宋" w:eastAsia="仿宋" w:hAnsi="仿宋" w:cs="仿宋" w:hint="eastAsia"/>
                <w:szCs w:val="24"/>
              </w:rPr>
              <w:t>含防雷、结构件、50米观测塔、机箱、横臂、预埋以及必要的线缆。空气温湿度传感器、风速传感器安装高度分别为地上2米、4米、10米、15米、25米、35米、45米、50米，风向传感器安装在10米、50米位置，辐射观测系统地上2米。</w:t>
            </w:r>
          </w:p>
          <w:p>
            <w:pPr>
              <w:pStyle w:val="W"/>
              <w:snapToGrid w:val="0"/>
              <w:spacing w:line="240" w:lineRule="auto"/>
              <w:jc w:val="left"/>
              <w:rPr>
                <w:rFonts w:ascii="仿宋" w:eastAsia="仿宋" w:hAnsi="仿宋" w:cs="仿宋" w:hint="eastAsia"/>
                <w:szCs w:val="24"/>
              </w:rPr>
            </w:pPr>
            <w:r>
              <w:rPr>
                <w:rFonts w:ascii="仿宋" w:eastAsia="仿宋" w:hAnsi="仿宋" w:cs="仿宋" w:hint="eastAsia"/>
                <w:szCs w:val="24"/>
              </w:rPr>
              <w:t>立柱按照防雷要求架设，保证避雷针通过单独的铜导线引入地下避雷铁板上；</w:t>
            </w:r>
          </w:p>
          <w:p>
            <w:pPr>
              <w:pStyle w:val="W"/>
              <w:snapToGrid w:val="0"/>
              <w:spacing w:line="240" w:lineRule="auto"/>
              <w:jc w:val="left"/>
              <w:rPr>
                <w:rFonts w:ascii="仿宋" w:eastAsia="仿宋" w:hAnsi="仿宋" w:cs="仿宋" w:hint="eastAsia"/>
                <w:szCs w:val="24"/>
              </w:rPr>
            </w:pPr>
            <w:r>
              <w:rPr>
                <w:rFonts w:ascii="仿宋" w:eastAsia="仿宋" w:hAnsi="仿宋" w:cs="仿宋" w:hint="eastAsia"/>
                <w:szCs w:val="24"/>
              </w:rPr>
              <w:t>结构安全等级二级，抗震烈度8度设防抗风速25米/秒，抗震烈度8度，适宜温度-35</w:t>
            </w:r>
            <w:r>
              <w:rPr>
                <w:rFonts w:ascii="仿宋" w:eastAsia="仿宋" w:hAnsi="仿宋" w:cs="仿宋" w:hint="eastAsia"/>
                <w:szCs w:val="24"/>
              </w:rPr>
              <w:t>℃</w:t>
            </w:r>
            <w:r>
              <w:rPr>
                <w:rFonts w:ascii="仿宋" w:eastAsia="仿宋" w:hAnsi="仿宋" w:cs="仿宋" w:hint="eastAsia"/>
                <w:szCs w:val="24"/>
              </w:rPr>
              <w:t>-45</w:t>
            </w:r>
            <w:r>
              <w:rPr>
                <w:rFonts w:ascii="仿宋" w:eastAsia="仿宋" w:hAnsi="仿宋" w:cs="仿宋" w:hint="eastAsia"/>
                <w:szCs w:val="24"/>
              </w:rPr>
              <w:t>℃</w:t>
            </w:r>
            <w:r>
              <w:rPr>
                <w:rFonts w:ascii="仿宋" w:eastAsia="仿宋" w:hAnsi="仿宋" w:cs="仿宋" w:hint="eastAsia"/>
                <w:szCs w:val="24"/>
              </w:rPr>
              <w:t>；</w:t>
            </w:r>
          </w:p>
          <w:p>
            <w:pPr>
              <w:pStyle w:val="W"/>
              <w:snapToGrid w:val="0"/>
              <w:spacing w:line="240" w:lineRule="auto"/>
              <w:jc w:val="left"/>
              <w:rPr>
                <w:rFonts w:ascii="仿宋" w:eastAsia="仿宋" w:hAnsi="仿宋" w:cs="仿宋" w:hint="eastAsia"/>
                <w:szCs w:val="24"/>
              </w:rPr>
            </w:pPr>
            <w:r>
              <w:rPr>
                <w:rFonts w:ascii="仿宋" w:eastAsia="仿宋" w:hAnsi="仿宋" w:cs="仿宋" w:hint="eastAsia"/>
                <w:szCs w:val="24"/>
              </w:rPr>
              <w:t>塔顶端采用避雷针设计，整体镀锌。所用型钢、圆钢、钢板、角钢均采用Q235B型钢；</w:t>
            </w:r>
          </w:p>
          <w:p>
            <w:pPr>
              <w:snapToGrid w:val="0"/>
              <w:rPr>
                <w:rFonts w:ascii="仿宋" w:eastAsia="仿宋" w:hAnsi="仿宋" w:cs="仿宋" w:hint="eastAsia"/>
              </w:rPr>
            </w:pPr>
            <w:r>
              <w:rPr>
                <w:rFonts w:ascii="仿宋" w:eastAsia="仿宋" w:hAnsi="仿宋" w:cs="仿宋" w:hint="eastAsia"/>
                <w:sz w:val="24"/>
              </w:rPr>
              <w:t>传感器安装支架：采用不锈钢方管材质，可伸缩，支架固定传感器位置距离立柱最少1.5m</w:t>
            </w:r>
          </w:p>
        </w:tc>
      </w:tr>
    </w:tbl>
    <w:p>
      <w:pPr>
        <w:widowControl/>
        <w:spacing w:line="560" w:lineRule="exact"/>
        <w:ind w:firstLine="560" w:firstLineChars="200"/>
        <w:jc w:val="left"/>
        <w:rPr>
          <w:rFonts w:ascii="仿宋" w:eastAsia="仿宋" w:hAnsi="仿宋" w:cs="仿宋" w:hint="eastAsia"/>
          <w:sz w:val="28"/>
          <w:szCs w:val="28"/>
        </w:rPr>
      </w:pPr>
      <w:r>
        <w:rPr>
          <w:rFonts w:ascii="仿宋" w:eastAsia="仿宋" w:hAnsi="仿宋" w:cs="仿宋" w:hint="eastAsia"/>
          <w:sz w:val="28"/>
          <w:szCs w:val="28"/>
        </w:rPr>
        <w:t>四、质保服务要求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中标方按照业务运行规范要求执行，确保设备可稳定运行，主要工作包括：巡检、年维护等巡检巡查工作，以及关键器件及系统故障的维修等。故障维修和巡检巡查等需按照质保指导意见要求执行，并提供相关承诺函。</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highlight w:val="yellow"/>
        </w:rPr>
        <w:t>（1）设备供应商对所有设备提供自验收合格后8年的质保服务*，</w:t>
      </w:r>
      <w:r>
        <w:rPr>
          <w:rFonts w:ascii="仿宋" w:eastAsia="仿宋" w:hAnsi="仿宋" w:cs="仿宋" w:hint="eastAsia"/>
          <w:sz w:val="28"/>
          <w:szCs w:val="20"/>
        </w:rPr>
        <w:t>需提供设备质保承诺函原件（格式自拟）。保修期内因设备设计、质量出现问题，均由设备供应商即时无偿解决（包括更换器件）；设备安装后的试运行期间（六个月）内，遇设备故障或数据明显异常、性能不达标等，中标人负责48小时内到站对故障设备进行测试和更换，确保设备正常投入业务运行。</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（2）在质保期内，设备供应商服务时间应为7</w:t>
      </w:r>
      <w:r>
        <w:rPr>
          <w:rFonts w:ascii="仿宋" w:eastAsia="仿宋" w:hAnsi="仿宋" w:cs="仿宋" w:hint="eastAsia"/>
          <w:sz w:val="28"/>
          <w:szCs w:val="20"/>
        </w:rPr>
        <w:t>×</w:t>
      </w:r>
      <w:r>
        <w:rPr>
          <w:rFonts w:ascii="仿宋" w:eastAsia="仿宋" w:hAnsi="仿宋" w:cs="仿宋" w:hint="eastAsia"/>
          <w:sz w:val="28"/>
          <w:szCs w:val="20"/>
        </w:rPr>
        <w:t>24小时，当投标产品或软件遭到损坏或出现故障时，要在用户报修之时起4小时内做出响应，开展维修维护工作，视情况双方协商设备恢复正常运行时限。</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（3）质保期过后，设备供应商仍有义务提供技术服务（包括提供设备维护、备件等）。</w:t>
      </w:r>
    </w:p>
    <w:p>
      <w:pPr>
        <w:ind w:firstLine="560" w:firstLineChars="200"/>
        <w:rPr>
          <w:rFonts w:ascii="仿宋" w:eastAsia="仿宋" w:hAnsi="仿宋" w:cs="仿宋"/>
          <w:sz w:val="28"/>
          <w:szCs w:val="20"/>
        </w:rPr>
      </w:pPr>
      <w:r>
        <w:rPr>
          <w:rFonts w:ascii="仿宋" w:eastAsia="仿宋" w:hAnsi="仿宋" w:cs="仿宋" w:hint="eastAsia"/>
          <w:sz w:val="28"/>
          <w:szCs w:val="20"/>
        </w:rPr>
        <w:t>五、验收要求（检验考核要求等）</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参照功能规格需求书、测试大纲，以及中国气象局最新业务管理规定等有关文件要求开展检验考核。</w:t>
      </w:r>
    </w:p>
    <w:p>
      <w:pPr>
        <w:ind w:firstLine="560" w:firstLineChars="200"/>
        <w:rPr>
          <w:rFonts w:ascii="仿宋" w:eastAsia="仿宋" w:hAnsi="仿宋" w:cs="仿宋"/>
          <w:sz w:val="28"/>
          <w:szCs w:val="20"/>
        </w:rPr>
      </w:pPr>
      <w:r>
        <w:rPr>
          <w:rFonts w:ascii="仿宋" w:eastAsia="仿宋" w:hAnsi="仿宋" w:cs="仿宋" w:hint="eastAsia"/>
          <w:sz w:val="28"/>
          <w:szCs w:val="20"/>
        </w:rPr>
        <w:t>（1）设备出厂前，采购人有权派人到中标厂家进行检验，中标人应在设备出厂前提供出厂检验项目指标测试程序和检验方法，供采购人参考，采购人可根据需要进行补充和修改。采购人委托有关部门赴生产厂家按验收规程做出厂抽检验收，这种验收不能降低中标人的责任。</w:t>
      </w:r>
    </w:p>
    <w:p>
      <w:pPr>
        <w:ind w:firstLine="560" w:firstLineChars="200"/>
        <w:rPr>
          <w:rFonts w:ascii="仿宋" w:eastAsia="仿宋" w:hAnsi="仿宋" w:cs="仿宋"/>
          <w:sz w:val="28"/>
          <w:szCs w:val="20"/>
        </w:rPr>
      </w:pPr>
      <w:r>
        <w:rPr>
          <w:rFonts w:ascii="仿宋" w:eastAsia="仿宋" w:hAnsi="仿宋" w:cs="仿宋" w:hint="eastAsia"/>
          <w:sz w:val="28"/>
          <w:szCs w:val="20"/>
        </w:rPr>
        <w:t>（2）设备安装、调试达到功能规格需求书规定的指标后，可进行初步验收。验收规范(包括项目、指标、方式和测试仪器等)应由中标人在前一个月提交给采购人。采购人可根据合同及功能规格需求书和以及采购人的有关规定进行修改和补充，经双方确认后形成验收文件作为验收依据。验收测试合格后，双方签署初验合格协议，设备进入试运行期。</w:t>
      </w:r>
    </w:p>
    <w:p>
      <w:pPr>
        <w:ind w:firstLine="560" w:firstLineChars="200"/>
        <w:rPr>
          <w:rFonts w:ascii="仿宋" w:eastAsia="仿宋" w:hAnsi="仿宋" w:cs="仿宋"/>
          <w:sz w:val="28"/>
          <w:szCs w:val="20"/>
        </w:rPr>
      </w:pPr>
      <w:r>
        <w:rPr>
          <w:rFonts w:ascii="仿宋" w:eastAsia="仿宋" w:hAnsi="仿宋" w:cs="仿宋" w:hint="eastAsia"/>
          <w:sz w:val="28"/>
          <w:szCs w:val="20"/>
        </w:rPr>
        <w:t>（3）设备经过3个月试运行期，达到功能规格需求书的要求时，可进行最终验收。在试运行期间，由于设备质量等造成某些指标达不到要求，允许中标人更换或进行修复，但试运行期另加3个月。</w:t>
      </w:r>
    </w:p>
    <w:p>
      <w:pPr>
        <w:ind w:firstLine="560" w:firstLineChars="200"/>
        <w:rPr>
          <w:rFonts w:ascii="仿宋" w:eastAsia="仿宋" w:hAnsi="仿宋" w:cs="仿宋"/>
          <w:sz w:val="28"/>
          <w:szCs w:val="20"/>
        </w:rPr>
      </w:pPr>
      <w:r>
        <w:rPr>
          <w:rFonts w:ascii="仿宋" w:eastAsia="仿宋" w:hAnsi="仿宋" w:cs="仿宋" w:hint="eastAsia"/>
          <w:sz w:val="28"/>
          <w:szCs w:val="20"/>
        </w:rPr>
        <w:t>（4）设备安装调试和试运行结束后，采购人组织最终验收。当满足以下条件时，采购人确认验收合格签署验收合格证：</w:t>
      </w:r>
    </w:p>
    <w:p>
      <w:pPr>
        <w:ind w:firstLine="560" w:firstLineChars="200"/>
        <w:rPr>
          <w:rFonts w:ascii="仿宋" w:eastAsia="仿宋" w:hAnsi="仿宋" w:cs="仿宋"/>
          <w:sz w:val="28"/>
          <w:szCs w:val="20"/>
        </w:rPr>
      </w:pPr>
      <w:r>
        <w:rPr>
          <w:rFonts w:ascii="仿宋" w:eastAsia="仿宋" w:hAnsi="仿宋" w:cs="仿宋"/>
          <w:sz w:val="28"/>
          <w:szCs w:val="20"/>
        </w:rPr>
        <w:sym w:font="仿宋" w:char="F06C"/>
      </w:r>
      <w:r>
        <w:rPr>
          <w:rFonts w:ascii="仿宋" w:eastAsia="仿宋" w:hAnsi="仿宋" w:cs="仿宋"/>
          <w:sz w:val="28"/>
          <w:szCs w:val="20"/>
        </w:rPr>
        <w:tab/>
      </w:r>
      <w:r>
        <w:rPr>
          <w:rFonts w:ascii="仿宋" w:eastAsia="仿宋" w:hAnsi="仿宋" w:cs="仿宋" w:hint="eastAsia"/>
          <w:sz w:val="28"/>
          <w:szCs w:val="20"/>
        </w:rPr>
        <w:t>中标人已提供合同中签署的全部货物及完整技术资料；</w:t>
      </w:r>
    </w:p>
    <w:p>
      <w:pPr>
        <w:ind w:firstLine="560" w:firstLineChars="200"/>
        <w:rPr>
          <w:rFonts w:ascii="仿宋" w:eastAsia="仿宋" w:hAnsi="仿宋" w:cs="仿宋"/>
          <w:sz w:val="28"/>
          <w:szCs w:val="20"/>
        </w:rPr>
      </w:pPr>
      <w:r>
        <w:rPr>
          <w:rFonts w:ascii="仿宋" w:eastAsia="仿宋" w:hAnsi="仿宋" w:cs="仿宋"/>
          <w:sz w:val="28"/>
          <w:szCs w:val="20"/>
        </w:rPr>
        <w:sym w:font="仿宋" w:char="F06C"/>
      </w:r>
      <w:r>
        <w:rPr>
          <w:rFonts w:ascii="仿宋" w:eastAsia="仿宋" w:hAnsi="仿宋" w:cs="仿宋"/>
          <w:sz w:val="28"/>
          <w:szCs w:val="20"/>
        </w:rPr>
        <w:tab/>
      </w:r>
      <w:r>
        <w:rPr>
          <w:rFonts w:ascii="仿宋" w:eastAsia="仿宋" w:hAnsi="仿宋" w:cs="仿宋" w:hint="eastAsia"/>
          <w:sz w:val="28"/>
          <w:szCs w:val="20"/>
        </w:rPr>
        <w:t>货物符合技术规格，性能满足要求；</w:t>
      </w:r>
    </w:p>
    <w:p>
      <w:pPr>
        <w:ind w:firstLine="560" w:firstLineChars="200"/>
        <w:rPr>
          <w:rFonts w:ascii="仿宋" w:eastAsia="仿宋" w:hAnsi="仿宋" w:cs="仿宋"/>
          <w:sz w:val="28"/>
          <w:szCs w:val="20"/>
        </w:rPr>
      </w:pPr>
      <w:r>
        <w:rPr>
          <w:rFonts w:ascii="仿宋" w:eastAsia="仿宋" w:hAnsi="仿宋" w:cs="仿宋"/>
          <w:sz w:val="28"/>
          <w:szCs w:val="20"/>
        </w:rPr>
        <w:sym w:font="仿宋" w:char="F06C"/>
      </w:r>
      <w:r>
        <w:rPr>
          <w:rFonts w:ascii="仿宋" w:eastAsia="仿宋" w:hAnsi="仿宋" w:cs="仿宋"/>
          <w:sz w:val="28"/>
          <w:szCs w:val="20"/>
        </w:rPr>
        <w:tab/>
      </w:r>
      <w:r>
        <w:rPr>
          <w:rFonts w:ascii="仿宋" w:eastAsia="仿宋" w:hAnsi="仿宋" w:cs="仿宋" w:hint="eastAsia"/>
          <w:sz w:val="28"/>
          <w:szCs w:val="20"/>
        </w:rPr>
        <w:t>安装工程符合技术要求，系统性能满足要求，设备正常运行。</w:t>
      </w:r>
    </w:p>
    <w:p>
      <w:pPr>
        <w:spacing w:line="560" w:lineRule="exact"/>
        <w:ind w:left="630"/>
        <w:rPr>
          <w:rFonts w:ascii="仿宋" w:eastAsia="仿宋" w:hAnsi="仿宋" w:cs="仿宋" w:hint="eastAsia"/>
          <w:sz w:val="28"/>
          <w:szCs w:val="20"/>
        </w:rPr>
      </w:pPr>
      <w:r>
        <w:rPr>
          <w:rFonts w:ascii="仿宋" w:eastAsia="仿宋" w:hAnsi="仿宋" w:cs="仿宋" w:hint="eastAsia"/>
          <w:sz w:val="28"/>
          <w:szCs w:val="20"/>
        </w:rPr>
        <w:t>六、其他要求</w:t>
      </w:r>
    </w:p>
    <w:p>
      <w:pPr>
        <w:spacing w:line="560" w:lineRule="exact"/>
        <w:ind w:left="420" w:leftChars="200"/>
        <w:rPr>
          <w:rFonts w:ascii="仿宋_GB2312" w:eastAsia="仿宋_GB2312" w:hAnsi="仿宋_GB2312" w:cs="仿宋_GB2312" w:hint="eastAsia"/>
          <w:sz w:val="28"/>
          <w:szCs w:val="20"/>
        </w:rPr>
      </w:pPr>
      <w:r>
        <w:rPr>
          <w:rFonts w:ascii="仿宋" w:eastAsia="仿宋" w:hAnsi="仿宋" w:cs="仿宋" w:hint="eastAsia"/>
          <w:sz w:val="28"/>
          <w:szCs w:val="20"/>
        </w:rPr>
        <w:t>详见采购需求-其他技术及商务需求。</w:t>
      </w:r>
    </w:p>
    <w:p>
      <w:pPr>
        <w:spacing w:line="560" w:lineRule="exact"/>
        <w:ind w:firstLine="560" w:firstLineChars="200"/>
        <w:rPr>
          <w:rFonts w:ascii="仿宋" w:eastAsia="仿宋" w:hAnsi="仿宋" w:cs="仿宋" w:hint="eastAsia"/>
          <w:sz w:val="28"/>
          <w:szCs w:val="20"/>
        </w:rPr>
      </w:pPr>
    </w:p>
    <w:p>
      <w:pPr>
        <w:spacing w:line="560" w:lineRule="exact"/>
        <w:ind w:firstLine="560" w:firstLineChars="200"/>
        <w:rPr>
          <w:rFonts w:ascii="仿宋" w:eastAsia="仿宋" w:hAnsi="仿宋" w:cs="仿宋" w:hint="eastAsia"/>
          <w:sz w:val="28"/>
          <w:szCs w:val="20"/>
        </w:rPr>
        <w:sectPr>
          <w:type w:val="nextPage"/>
          <w:pgSz w:w="11906" w:h="16838"/>
          <w:pgMar w:top="2154" w:right="1474" w:bottom="2041" w:left="1587" w:header="709" w:footer="1417" w:gutter="0"/>
          <w:cols w:space="708"/>
          <w:docGrid w:type="linesAndChars" w:linePitch="579" w:charSpace="-849"/>
        </w:sectPr>
      </w:pPr>
    </w:p>
    <w:p>
      <w:pPr>
        <w:spacing w:line="560" w:lineRule="exact"/>
        <w:outlineLvl w:val="1"/>
        <w:rPr>
          <w:rFonts w:ascii="黑体" w:eastAsia="黑体" w:hAnsi="黑体" w:hint="eastAsia"/>
          <w:bCs/>
          <w:snapToGrid w:val="0"/>
          <w:kern w:val="0"/>
          <w:sz w:val="44"/>
          <w:szCs w:val="44"/>
        </w:rPr>
      </w:pPr>
      <w:r>
        <w:rPr>
          <w:rFonts w:ascii="仿宋" w:eastAsia="仿宋" w:hAnsi="仿宋" w:cs="仿宋" w:hint="eastAsia"/>
          <w:sz w:val="28"/>
          <w:szCs w:val="20"/>
        </w:rPr>
        <w:t>采购需求 附表</w:t>
      </w: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56"/>
        <w:gridCol w:w="1916"/>
        <w:gridCol w:w="1076"/>
        <w:gridCol w:w="1496"/>
        <w:gridCol w:w="1706"/>
        <w:gridCol w:w="1076"/>
        <w:gridCol w:w="642"/>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涡动梯度观测系统</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1,470,000.00</w:t>
            </w:r>
          </w:p>
        </w:tc>
        <w:tc>
          <w:tcPr/>
          <w:p>
            <w:pPr>
              <w:autoSpaceDE w:val="0"/>
              <w:jc w:val="center"/>
              <w:rPr>
                <w:rFonts w:asciiTheme="minorEastAsia" w:hAnsiTheme="minorEastAsia" w:cstheme="minorEastAsia" w:hint="eastAsia"/>
                <w:kern w:val="0"/>
                <w:szCs w:val="21"/>
              </w:rPr>
            </w:pPr>
            <w:r>
              <w:t>180</w:t>
            </w:r>
          </w:p>
        </w:tc>
        <w:tc>
          <w:tcPr/>
          <w:p>
            <w:pPr>
              <w:autoSpaceDE w:val="0"/>
              <w:autoSpaceDN w:val="0"/>
              <w:adjustRightInd w:val="0"/>
              <w:spacing w:before="48"/>
              <w:ind w:right="-20"/>
              <w:jc w:val="center"/>
              <w:rPr>
                <w:rFonts w:asciiTheme="minorEastAsia" w:hAnsiTheme="minorEastAsia" w:cstheme="minorEastAsia"/>
                <w:kern w:val="0"/>
                <w:szCs w:val="21"/>
              </w:rPr>
            </w:pPr>
            <w:r>
              <w:t>8年质保</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1,470,000.00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381"/>
        <w:gridCol w:w="4044"/>
        <w:gridCol w:w="1114"/>
        <w:gridCol w:w="381"/>
        <w:gridCol w:w="870"/>
        <w:gridCol w:w="725"/>
        <w:gridCol w:w="626"/>
        <w:gridCol w:w="381"/>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四川气象探测数据中心（四川省气象技术装备中心、四川省气象档案馆）</w:t>
            </w:r>
          </w:p>
        </w:tc>
        <w:tc>
          <w:tcPr/>
          <w:p>
            <w:r>
              <w:t>涡动梯度观测系统</w:t>
            </w:r>
          </w:p>
        </w:tc>
        <w:tc>
          <w:tcPr/>
          <w:p>
            <w:r>
              <w:t>1</w:t>
            </w:r>
          </w:p>
        </w:tc>
        <w:tc>
          <w:tcPr/>
          <w:p>
            <w:r>
              <w:t>1470000.00</w:t>
            </w:r>
          </w:p>
        </w:tc>
        <w:tc>
          <w:tcPr/>
          <w:p>
            <w:r>
              <w:t xml:space="preserve">1470000.00  </w:t>
            </w:r>
          </w:p>
        </w:tc>
        <w:tc>
          <w:tcPr/>
          <w:p>
            <w:r>
              <w:t>理塘县</w:t>
            </w:r>
          </w:p>
        </w:tc>
        <w:tc>
          <w:tcPr/>
          <w:p/>
        </w:tc>
      </w:tr>
    </w:tbl>
    <w:p w:rsidR="00A77B3E"/>
    <w:p>
      <w:pPr>
        <w:spacing w:line="360" w:lineRule="auto"/>
        <w:rPr>
          <w:rFonts w:ascii="宋体" w:hAnsi="宋体"/>
          <w:szCs w:val="21"/>
        </w:rPr>
      </w:pPr>
      <w:bookmarkEnd w:id="68"/>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pPr>
        <w:ind w:firstLine="560" w:firstLineChars="200"/>
        <w:rPr>
          <w:rFonts w:ascii="仿宋" w:eastAsia="仿宋" w:hAnsi="仿宋" w:cs="仿宋"/>
          <w:sz w:val="28"/>
          <w:szCs w:val="20"/>
        </w:rPr>
      </w:pPr>
      <w:r>
        <w:rPr>
          <w:rFonts w:ascii="仿宋" w:eastAsia="仿宋" w:hAnsi="仿宋" w:cs="仿宋" w:hint="eastAsia"/>
          <w:sz w:val="28"/>
          <w:szCs w:val="20"/>
        </w:rPr>
        <w:t>在甘孜州理塘县新建一个生态观测站，其中包含一套涡动梯度观测系统。</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设备供应商对每套投标产品提供至少2次技术培训，培训课时不少于4个课时，培训人数不少于15人。</w:t>
      </w:r>
      <w:r>
        <w:rPr>
          <w:rFonts w:ascii="仿宋" w:eastAsia="仿宋" w:hAnsi="仿宋" w:cs="仿宋" w:hint="eastAsia"/>
          <w:sz w:val="28"/>
          <w:szCs w:val="20"/>
        </w:rPr>
        <w:t>培训内容包括设备安装、使用、日常维护、观测原理及产品应用，培训时间及地点双方协商确定。</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中标供应商将所有设备运送至四川甘孜州理塘县气象局地点（运输相关费用由供应商负责），并负责安装调试。</w:t>
      </w:r>
    </w:p>
    <w:p>
      <w:pPr>
        <w:ind w:left="559" w:leftChars="266"/>
        <w:rPr>
          <w:rFonts w:ascii="仿宋" w:eastAsia="仿宋" w:hAnsi="仿宋" w:cs="仿宋"/>
          <w:b/>
          <w:bCs/>
          <w:sz w:val="28"/>
          <w:szCs w:val="20"/>
        </w:rPr>
      </w:pPr>
      <w:r>
        <w:rPr>
          <w:rFonts w:ascii="仿宋" w:eastAsia="仿宋" w:hAnsi="仿宋" w:cs="仿宋" w:hint="eastAsia"/>
          <w:sz w:val="28"/>
          <w:szCs w:val="20"/>
        </w:rPr>
        <w:t>合同签订后1</w:t>
      </w:r>
      <w:r>
        <w:rPr>
          <w:rFonts w:ascii="仿宋" w:eastAsia="仿宋" w:hAnsi="仿宋" w:cs="仿宋" w:hint="eastAsia"/>
          <w:sz w:val="28"/>
          <w:szCs w:val="20"/>
          <w:lang w:val="en-US" w:eastAsia="zh-CN"/>
        </w:rPr>
        <w:t>8</w:t>
      </w:r>
      <w:r>
        <w:rPr>
          <w:rFonts w:ascii="仿宋" w:eastAsia="仿宋" w:hAnsi="仿宋" w:cs="仿宋" w:hint="eastAsia"/>
          <w:sz w:val="28"/>
          <w:szCs w:val="20"/>
        </w:rPr>
        <w:t>0天内完成供货</w:t>
      </w:r>
      <w:r>
        <w:rPr>
          <w:rFonts w:ascii="仿宋" w:eastAsia="仿宋" w:hAnsi="仿宋" w:cs="仿宋" w:hint="eastAsia"/>
          <w:sz w:val="28"/>
          <w:szCs w:val="20"/>
          <w:lang w:eastAsia="zh-CN"/>
        </w:rPr>
        <w:t>，</w:t>
      </w:r>
      <w:r>
        <w:rPr>
          <w:rFonts w:ascii="仿宋" w:eastAsia="仿宋" w:hAnsi="仿宋" w:cs="仿宋" w:hint="eastAsia"/>
          <w:sz w:val="28"/>
          <w:szCs w:val="20"/>
          <w:lang w:val="en-US" w:eastAsia="zh-CN"/>
        </w:rPr>
        <w:t>交货后60天内</w:t>
      </w:r>
      <w:r>
        <w:rPr>
          <w:rFonts w:ascii="仿宋" w:eastAsia="仿宋" w:hAnsi="仿宋" w:cs="仿宋" w:hint="eastAsia"/>
          <w:sz w:val="28"/>
          <w:szCs w:val="20"/>
        </w:rPr>
        <w:t>安装调试并具备验收条件。</w:t>
      </w:r>
      <w:r>
        <w:rPr>
          <w:rFonts w:ascii="仿宋" w:eastAsia="仿宋" w:hAnsi="仿宋" w:cs="仿宋" w:hint="eastAsia"/>
          <w:sz w:val="28"/>
          <w:szCs w:val="20"/>
        </w:rPr>
        <w:br/>
      </w:r>
      <w:r>
        <w:rPr>
          <w:rFonts w:ascii="仿宋" w:eastAsia="仿宋" w:hAnsi="仿宋" w:cs="仿宋" w:hint="eastAsia"/>
          <w:b/>
          <w:bCs/>
          <w:sz w:val="28"/>
          <w:szCs w:val="20"/>
        </w:rPr>
        <w:t>五、服务团队要求</w:t>
      </w:r>
    </w:p>
    <w:p>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pPr>
        <w:ind w:firstLine="560" w:firstLineChars="200"/>
        <w:rPr>
          <w:rFonts w:ascii="仿宋" w:eastAsia="仿宋" w:hAnsi="仿宋" w:cs="仿宋"/>
          <w:sz w:val="28"/>
          <w:szCs w:val="20"/>
        </w:rPr>
      </w:pPr>
      <w:r>
        <w:rPr>
          <w:rFonts w:ascii="仿宋" w:eastAsia="仿宋" w:hAnsi="仿宋" w:cs="仿宋" w:hint="eastAsia"/>
          <w:sz w:val="28"/>
          <w:szCs w:val="20"/>
        </w:rPr>
        <w:t>设备完全符合甲方相关要求和规范，保证其系统的兼容性和功能的完整性。</w:t>
      </w:r>
      <w:r>
        <w:rPr>
          <w:rFonts w:ascii="仿宋" w:eastAsia="仿宋" w:hAnsi="仿宋" w:cs="仿宋" w:hint="eastAsia"/>
          <w:sz w:val="28"/>
          <w:szCs w:val="20"/>
        </w:rPr>
        <w:br/>
      </w:r>
    </w:p>
    <w:p w:rsidR="00A77B3E"/>
    <w:p>
      <w:pPr>
        <w:adjustRightInd w:val="0"/>
        <w:snapToGrid w:val="0"/>
        <w:spacing w:line="360" w:lineRule="auto"/>
        <w:jc w:val="center"/>
        <w:outlineLvl w:val="1"/>
        <w:rPr>
          <w:rFonts w:hint="default"/>
          <w:b/>
          <w:bCs/>
          <w:sz w:val="30"/>
          <w:szCs w:val="30"/>
        </w:rPr>
        <w:sectPr>
          <w:type w:val="nextPage"/>
          <w:pgSz w:w="11906" w:h="16838"/>
          <w:pgMar w:top="2154" w:right="1474" w:bottom="2041" w:left="1587" w:header="709" w:footer="1417" w:gutter="0"/>
          <w:cols w:space="708"/>
          <w:docGrid w:type="linesAndChars" w:linePitch="579" w:charSpace="-849"/>
        </w:sectPr>
      </w:pPr>
      <w:bookmarkEnd w:id="59"/>
    </w:p>
    <w:p>
      <w:pPr>
        <w:tabs>
          <w:tab w:val="left" w:pos="1573"/>
        </w:tabs>
        <w:adjustRightInd w:val="0"/>
        <w:snapToGrid w:val="0"/>
        <w:spacing w:line="360" w:lineRule="auto"/>
        <w:jc w:val="center"/>
        <w:outlineLvl w:val="1"/>
        <w:rPr>
          <w:b/>
          <w:bCs/>
          <w:sz w:val="30"/>
          <w:szCs w:val="30"/>
          <w:highlight w:val="none"/>
        </w:rPr>
      </w:pPr>
      <w:bookmarkStart w:id="69" w:name="投标被拒绝条款专用部分_JJTK"/>
      <w:r>
        <w:rPr>
          <w:rFonts w:hint="eastAsia"/>
          <w:b/>
          <w:sz w:val="30"/>
          <w:szCs w:val="30"/>
          <w:highlight w:val="none"/>
        </w:rPr>
        <w:t>第八章  投标被拒绝条款专用部分</w:t>
      </w:r>
    </w:p>
    <w:p>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rFonts w:hint="eastAsia"/>
                <w:sz w:val="18"/>
                <w:szCs w:val="18"/>
                <w:highlight w:val="none"/>
              </w:rPr>
            </w:pPr>
            <w:r>
              <w:rPr>
                <w:rFonts w:hint="eastAsia"/>
                <w:sz w:val="18"/>
                <w:szCs w:val="18"/>
                <w:highlight w:val="none"/>
              </w:rPr>
              <w:t>序号</w:t>
            </w:r>
          </w:p>
        </w:tc>
        <w:tc>
          <w:tcPr>
            <w:tcW w:w="898" w:type="dxa"/>
            <w:noWrap w:val="0"/>
            <w:vAlign w:val="center"/>
          </w:tcPr>
          <w:p>
            <w:pPr>
              <w:jc w:val="center"/>
              <w:rPr>
                <w:rFonts w:hint="eastAsia"/>
                <w:sz w:val="18"/>
                <w:szCs w:val="18"/>
                <w:highlight w:val="none"/>
              </w:rPr>
            </w:pPr>
            <w:r>
              <w:rPr>
                <w:rFonts w:hint="eastAsia"/>
                <w:sz w:val="18"/>
                <w:szCs w:val="18"/>
                <w:highlight w:val="none"/>
              </w:rPr>
              <w:t>对应</w:t>
            </w:r>
          </w:p>
          <w:p>
            <w:pPr>
              <w:jc w:val="center"/>
              <w:rPr>
                <w:rFonts w:hint="eastAsia"/>
                <w:sz w:val="18"/>
                <w:szCs w:val="18"/>
                <w:highlight w:val="none"/>
              </w:rPr>
            </w:pPr>
            <w:r>
              <w:rPr>
                <w:rFonts w:hint="eastAsia"/>
                <w:sz w:val="18"/>
                <w:szCs w:val="18"/>
                <w:highlight w:val="none"/>
              </w:rPr>
              <w:t>条款号</w:t>
            </w:r>
          </w:p>
        </w:tc>
        <w:tc>
          <w:tcPr>
            <w:tcW w:w="7347" w:type="dxa"/>
            <w:noWrap w:val="0"/>
            <w:vAlign w:val="center"/>
          </w:tcPr>
          <w:p>
            <w:pPr>
              <w:jc w:val="center"/>
              <w:rPr>
                <w:rFonts w:hint="eastAsia"/>
                <w:sz w:val="18"/>
                <w:szCs w:val="18"/>
                <w:highlight w:val="none"/>
              </w:rPr>
            </w:pPr>
            <w:r>
              <w:rPr>
                <w:rFonts w:hint="eastAsia"/>
                <w:sz w:val="18"/>
                <w:szCs w:val="18"/>
                <w:highlight w:val="none"/>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b/>
                <w:sz w:val="18"/>
                <w:szCs w:val="18"/>
                <w:highlight w:val="none"/>
              </w:rPr>
            </w:pPr>
            <w:r>
              <w:rPr>
                <w:rFonts w:hint="eastAsia"/>
                <w:b/>
                <w:sz w:val="18"/>
                <w:szCs w:val="18"/>
                <w:highlight w:val="none"/>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4"/>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p>
        </w:tc>
        <w:tc>
          <w:tcPr>
            <w:tcW w:w="7347" w:type="dxa"/>
            <w:noWrap w:val="0"/>
            <w:vAlign w:val="top"/>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hint="eastAsia"/>
                <w:sz w:val="18"/>
                <w:szCs w:val="18"/>
                <w:highlight w:val="none"/>
              </w:rPr>
              <w:t>投标</w:t>
            </w:r>
            <w:r>
              <w:rPr>
                <w:rFonts w:ascii="宋体" w:hAnsi="宋体" w:hint="eastAsia"/>
                <w:sz w:val="18"/>
                <w:szCs w:val="18"/>
                <w:highlight w:val="none"/>
                <w:lang w:val="en-US" w:eastAsia="zh-CN"/>
              </w:rPr>
              <w:t>产品</w:t>
            </w:r>
            <w:r>
              <w:rPr>
                <w:rFonts w:ascii="宋体" w:hAnsi="宋体" w:hint="eastAsia"/>
                <w:sz w:val="18"/>
                <w:szCs w:val="18"/>
                <w:highlight w:val="none"/>
              </w:rPr>
              <w:t>应具有以下到投标截止日仍在有效期内的资质：</w:t>
            </w:r>
            <w:r>
              <w:rPr>
                <w:rFonts w:ascii="宋体" w:hAnsi="宋体" w:hint="eastAsia"/>
                <w:sz w:val="18"/>
                <w:szCs w:val="18"/>
                <w:highlight w:val="none"/>
                <w:lang w:val="en-US" w:eastAsia="zh-CN"/>
              </w:rPr>
              <w:t>通量观测仪(水、二氧化碳气体分析仪加三维超声风)气象专用技术装备使用许可证</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sz w:val="18"/>
                <w:szCs w:val="18"/>
                <w:highlight w:val="none"/>
              </w:rPr>
            </w:pPr>
            <w:r>
              <w:rPr>
                <w:rFonts w:hint="eastAsia"/>
                <w:b/>
                <w:sz w:val="18"/>
                <w:szCs w:val="18"/>
                <w:highlight w:val="none"/>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4"/>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hint="eastAsia"/>
                <w:sz w:val="18"/>
                <w:szCs w:val="18"/>
                <w:highlight w:val="none"/>
              </w:rPr>
              <w:t>四、质保服务要求</w:t>
            </w:r>
          </w:p>
        </w:tc>
        <w:tc>
          <w:tcPr>
            <w:tcW w:w="7347" w:type="dxa"/>
            <w:noWrap w:val="0"/>
            <w:vAlign w:val="center"/>
          </w:tcPr>
          <w:p>
            <w:pPr>
              <w:tabs>
                <w:tab w:val="left" w:pos="709"/>
              </w:tabs>
              <w:spacing w:line="360" w:lineRule="auto"/>
              <w:jc w:val="left"/>
              <w:rPr>
                <w:rFonts w:ascii="宋体" w:hAnsi="宋体" w:hint="eastAsia"/>
                <w:sz w:val="18"/>
                <w:szCs w:val="18"/>
                <w:highlight w:val="none"/>
              </w:rPr>
            </w:pPr>
            <w:r>
              <w:rPr>
                <w:rFonts w:ascii="宋体" w:hAnsi="宋体" w:hint="eastAsia"/>
                <w:sz w:val="18"/>
                <w:szCs w:val="18"/>
                <w:highlight w:val="none"/>
              </w:rPr>
              <w:t>设备供应商对所有设备提供自验收合格后8年的质保服务*</w:t>
            </w:r>
          </w:p>
        </w:tc>
      </w:tr>
    </w:tbl>
    <w:p>
      <w:pPr>
        <w:spacing w:before="156" w:beforeLines="50" w:line="360" w:lineRule="auto"/>
        <w:ind w:firstLine="420"/>
        <w:rPr>
          <w:highlight w:val="none"/>
        </w:rPr>
      </w:pPr>
      <w:r>
        <w:rPr>
          <w:rFonts w:ascii="宋体" w:hAnsi="宋体" w:hint="eastAsia"/>
          <w:szCs w:val="21"/>
          <w:highlight w:val="none"/>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b/>
          <w:bCs/>
          <w:sz w:val="30"/>
          <w:szCs w:val="30"/>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6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5"/>
        </w:numPr>
        <w:spacing w:line="360" w:lineRule="auto"/>
        <w:ind w:firstLine="3066" w:firstLineChars="1460"/>
        <w:jc w:val="left"/>
        <w:rPr>
          <w:rFonts w:hint="eastAsia"/>
          <w:b/>
          <w:bCs/>
          <w:szCs w:val="21"/>
          <w:highlight w:val="none"/>
        </w:rPr>
      </w:pPr>
      <w:bookmarkStart w:id="70"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1"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1"/>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2"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2"/>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7"/>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FE"/>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FE"/>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highlight w:val="none"/>
        </w:rPr>
      </w:pPr>
      <w:r>
        <w:rPr>
          <w:rFonts w:ascii="Wingdings" w:hAnsi="Wingdings"/>
          <w:szCs w:val="21"/>
          <w:highlight w:val="none"/>
        </w:rPr>
        <w:sym w:font="Wingdings" w:char="F0FE"/>
      </w:r>
      <w:r>
        <w:rPr>
          <w:rFonts w:ascii="宋体" w:hAnsi="宋体" w:hint="eastAsia"/>
          <w:szCs w:val="21"/>
          <w:highlight w:val="none"/>
        </w:rPr>
        <w:t>分期付款：</w:t>
      </w:r>
      <w:r>
        <w:rPr>
          <w:rFonts w:ascii="宋体" w:hAnsi="宋体" w:hint="eastAsia"/>
          <w:szCs w:val="21"/>
          <w:highlight w:val="none"/>
          <w:u w:val="single"/>
        </w:rPr>
        <w:t xml:space="preserve">  </w:t>
      </w:r>
      <w:r>
        <w:rPr>
          <w:rFonts w:ascii="宋体" w:hAnsi="宋体" w:hint="eastAsia"/>
          <w:szCs w:val="21"/>
          <w:highlight w:val="none"/>
          <w:u w:val="single"/>
          <w:lang w:val="en-US" w:eastAsia="zh-CN"/>
        </w:rPr>
        <w:t>1.</w:t>
      </w:r>
      <w:r>
        <w:rPr>
          <w:rFonts w:ascii="宋体" w:hAnsi="宋体" w:hint="eastAsia"/>
          <w:b/>
          <w:bCs/>
          <w:szCs w:val="21"/>
          <w:highlight w:val="none"/>
          <w:u w:val="single"/>
        </w:rPr>
        <w:t xml:space="preserve"> </w:t>
      </w:r>
      <w:r>
        <w:rPr>
          <w:rFonts w:ascii="宋体" w:hAnsi="宋体" w:hint="eastAsia"/>
          <w:b/>
          <w:bCs/>
          <w:szCs w:val="21"/>
          <w:highlight w:val="none"/>
          <w:u w:val="single"/>
          <w:lang w:val="en-US" w:eastAsia="zh-CN"/>
        </w:rPr>
        <w:t>双方签署合同后15个工作日内，乙方向甲方开具合同总金额的90%发票，甲方在收到发票后15个工作日内向乙方支付。2.设备安装完成并现场测试通过验收后15个工作日内，乙方向甲方开具合同总金额的10%发票，甲方在收到发票后15个工作日内向乙方支付。</w:t>
      </w:r>
      <w:r>
        <w:rPr>
          <w:rFonts w:ascii="宋体" w:hAnsi="宋体" w:hint="eastAsia"/>
          <w:szCs w:val="21"/>
          <w:highlight w:val="none"/>
        </w:rPr>
        <w:t>其中涉及预付款的：</w:t>
      </w:r>
      <w:r>
        <w:rPr>
          <w:rFonts w:ascii="宋体" w:hAnsi="宋体" w:hint="eastAsia"/>
          <w:szCs w:val="21"/>
          <w:highlight w:val="none"/>
          <w:u w:val="single"/>
        </w:rPr>
        <w:t xml:space="preserve"> （应明确预付款的支付比例和支付条件） </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6"/>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FE"/>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r>
        <w:rPr>
          <w:rFonts w:ascii="宋体" w:eastAsia="宋体" w:hAnsi="宋体" w:cs="宋体" w:hint="eastAsia"/>
          <w:bCs/>
          <w:sz w:val="21"/>
          <w:highlight w:val="none"/>
          <w:u w:val="single"/>
          <w:lang w:val="en-US" w:eastAsia="zh-CN"/>
        </w:rPr>
        <w:t>转帐</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r>
        <w:rPr>
          <w:rFonts w:ascii="宋体" w:eastAsia="宋体" w:hAnsi="宋体" w:cs="宋体" w:hint="eastAsia"/>
          <w:bCs/>
          <w:sz w:val="21"/>
          <w:highlight w:val="none"/>
          <w:u w:val="single"/>
          <w:lang w:val="en-US" w:eastAsia="zh-CN"/>
        </w:rPr>
        <w:t>合同总价的5%</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8"/>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3" w:name="_Toc27624"/>
      <w:r>
        <w:rPr>
          <w:rFonts w:ascii="黑体" w:hAnsi="黑体" w:hint="eastAsia"/>
          <w:b w:val="0"/>
          <w:bCs w:val="0"/>
          <w:sz w:val="28"/>
          <w:szCs w:val="28"/>
          <w:highlight w:val="none"/>
        </w:rPr>
        <w:t>第二节 政府采购合同通用条款</w:t>
      </w:r>
      <w:bookmarkEnd w:id="73"/>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9"/>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10"/>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4"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4"/>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1"/>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2"/>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3"/>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5"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5"/>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numPr>
          <w:ilvl w:val="0"/>
          <w:numId w:val="5"/>
        </w:numPr>
        <w:spacing w:line="360" w:lineRule="auto"/>
        <w:ind w:firstLine="3066" w:firstLineChars="1460"/>
        <w:jc w:val="left"/>
        <w:rPr>
          <w:rFonts w:hint="eastAsia"/>
          <w:b/>
          <w:bCs/>
          <w:szCs w:val="21"/>
          <w:highlight w:val="none"/>
        </w:rPr>
      </w:pPr>
      <w:bookmarkEnd w:id="70"/>
    </w:p>
    <w:sectPr>
      <w:pgSz w:w="11906" w:h="16838"/>
      <w:pgMar w:top="1440" w:right="1800" w:bottom="1440" w:left="1800" w:header="851" w:footer="992" w:gutter="0"/>
      <w:cols w:num="1" w:space="425"/>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altName w:val="楷体_GB2312"/>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panose1 w:val="02000000000000000000"/>
    <w:charset w:val="86"/>
    <w:family w:val="auto"/>
    <w:pitch w:val="default"/>
    <w:sig w:usb0="A00002BF" w:usb1="184F6CFA" w:usb2="00000012" w:usb3="00000000" w:csb0="00040001" w:csb1="00000000"/>
  </w:font>
  <w:font w:name="Verdana">
    <w:panose1 w:val="020B0604030504040204"/>
    <w:charset w:val="00"/>
    <w:family w:val="swiss"/>
    <w:pitch w:val="default"/>
    <w:sig w:usb0="A00006FF" w:usb1="4000205B" w:usb2="00000010" w:usb3="00000000" w:csb0="2000019F" w:csb1="00000000"/>
  </w:font>
  <w:font w:name="Calibri Light">
    <w:panose1 w:val="020F0302020204030204"/>
    <w:charset w:val="00"/>
    <w:family w:val="swiss"/>
    <w:pitch w:val="variable"/>
    <w:sig w:usb0="E4002EFF" w:usb1="C000247B" w:usb2="00000009" w:usb3="00000000" w:csb0="000001FF" w:csb1="00000000"/>
  </w:font>
  <w:font w:name="华文中宋">
    <w:altName w:val="宋体"/>
    <w:panose1 w:val="02010600040101010101"/>
    <w:charset w:val="86"/>
    <w:family w:val="auto"/>
    <w:pitch w:val="default"/>
    <w:sig w:usb0="00000000" w:usb1="00000000" w:usb2="00000000" w:usb3="00000000" w:csb0="0004009F" w:csb1="DFD70000"/>
  </w:font>
  <w:font w:name="汉仪书宋二S">
    <w:altName w:val="Times New Roman"/>
    <w:panose1 w:val="00000000000000000000"/>
    <w:charset w:val="86"/>
    <w:family w:val="auto"/>
    <w:pitch w:val="default"/>
    <w:sig w:usb0="00000000" w:usb1="00000000" w:usb2="00000000"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1BB937ED"/>
    <w:multiLevelType w:val="multilevel"/>
    <w:tmpl w:val="1BB937ED"/>
    <w:lvl w:ilvl="0">
      <w:start w:val="1"/>
      <w:numFmt w:val="decimal"/>
      <w:lvlText w:val="%1"/>
      <w:lvlJc w:val="left"/>
      <w:pPr>
        <w:ind w:left="866" w:hanging="440"/>
      </w:pPr>
    </w:lvl>
    <w:lvl w:ilvl="1">
      <w:start w:val="1"/>
      <w:numFmt w:val="lowerLetter"/>
      <w:lvlText w:val="%2)"/>
      <w:lvlJc w:val="left"/>
      <w:pPr>
        <w:ind w:left="1306" w:hanging="440"/>
      </w:p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10">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2">
    <w:nsid w:val="53A08313"/>
    <w:multiLevelType w:val="singleLevel"/>
    <w:tmpl w:val="53A08313"/>
    <w:lvl w:ilvl="0">
      <w:start w:val="9"/>
      <w:numFmt w:val="chineseCounting"/>
      <w:suff w:val="space"/>
      <w:lvlText w:val="第%1章"/>
      <w:lvlJc w:val="left"/>
      <w:rPr>
        <w:rFonts w:hint="eastAsia"/>
      </w:rPr>
    </w:lvl>
  </w:abstractNum>
  <w:abstractNum w:abstractNumId="13">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9"/>
  </w:num>
  <w:num w:numId="5">
    <w:abstractNumId w:val="12"/>
  </w:num>
  <w:num w:numId="6">
    <w:abstractNumId w:val="13"/>
  </w:num>
  <w:num w:numId="7">
    <w:abstractNumId w:val="1"/>
  </w:num>
  <w:num w:numId="8">
    <w:abstractNumId w:val="5"/>
  </w:num>
  <w:num w:numId="9">
    <w:abstractNumId w:val="3"/>
  </w:num>
  <w:num w:numId="10">
    <w:abstractNumId w:val="2"/>
  </w:num>
  <w:num w:numId="11">
    <w:abstractNumId w:val="11"/>
  </w:num>
  <w:num w:numId="12">
    <w:abstractNumId w:val="0"/>
  </w:num>
  <w:num w:numId="13">
    <w:abstractNumId w:val="4"/>
  </w:num>
  <w:num w:numId="1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customStyle="1" w:styleId="ListParagraph0">
    <w:name w:val="List Paragraph_0"/>
    <w:basedOn w:val="Normal"/>
    <w:pPr>
      <w:ind w:firstLine="420" w:firstLineChars="200"/>
    </w:pPr>
    <w:rPr>
      <w:rFonts w:ascii="Calibri" w:hAnsi="Calibri"/>
      <w:sz w:val="32"/>
      <w:szCs w:val="22"/>
    </w:rPr>
  </w:style>
  <w:style w:type="paragraph" w:customStyle="1" w:styleId="W">
    <w:name w:val="W表内"/>
    <w:basedOn w:val="Normal"/>
    <w:qFormat/>
    <w:pPr>
      <w:spacing w:line="240" w:lineRule="atLeast"/>
      <w:jc w:val="center"/>
    </w:pPr>
    <w:rPr>
      <w:rFonts w:eastAsia="仿宋_GB2312"/>
      <w:sz w:val="24"/>
      <w:szCs w:val="2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