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黑龙江省2025年森火工程甚低频低频VLFLF全闪定位仪采购项目大兴安岭等6家单位</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ZQCD-26068</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2026年05月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黑龙江省大兴安岭地区气象局；漠河市气象局；呼玛县气象局；黑龙江省塔河县气象局；黑龙江省新林区气象局；黑龙江省呼中区气象局</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黑龙江省2025年森火工程甚低频/低频(VLF/LF)全闪定位仪采购项目（大兴安岭等6家单位）</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ZQCD-26068</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合同签订后150天内完成供货、安装调试并具备验收条件。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黑龙江省大兴安岭地区加格达奇区</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2026年05月26日 09:30:00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王妍</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010-68406642</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黑龙江省大兴安岭地区气象局；漠河市气象局；呼玛县气象局；黑龙江省塔河县气象局；黑龙江省新林区气象局；黑龙江省呼中区气象局</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张金勇</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0457-2731659</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黑龙江省大兴安岭地区加格达奇区</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黑龙江省大兴安岭地区气象局；漠河市气象局；呼玛县气象局；黑龙江省塔河县气象局；黑龙江省新林区气象局；黑龙江省呼中区气象局</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必须，以下产品需要提供至响应截止日仍有效的《气象专用技术装备使用许可证》：甚低频/低频(VLF/LF)全闪定位仪</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（1）标的：2025年森火工程甚低频/低频(VLF/LF)全闪定位仪及附属设备等采购项目（黑龙江省），属于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是，中标服务费：4.6万元。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1,012.000000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1,012.000000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ascii="Times New Roman" w:eastAsia="仿宋" w:hAnsi="Times New Roman" w:cs="Times New Roman"/>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 总体技术指标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主要是针对5个或以上定位仪组成的一套定位系统的总体技术要求，组网一般为丘陵、山区基线距离80km～120km,平原地区90km～150km，布设站点宜按照均匀间距多边形布局，以星型为宜</w:t>
      </w:r>
      <w:r>
        <w:rPr>
          <w:rFonts w:ascii="仿宋" w:eastAsia="仿宋" w:hAnsi="仿宋" w:cs="仿宋" w:hint="eastAsia"/>
          <w:color w:val="auto"/>
          <w:sz w:val="28"/>
          <w:szCs w:val="28"/>
        </w:rPr>
        <w:t>。</w:t>
      </w:r>
      <w:r>
        <w:rPr>
          <w:rFonts w:ascii="仿宋" w:eastAsia="仿宋" w:hAnsi="仿宋" w:cs="仿宋" w:hint="eastAsia"/>
          <w:color w:val="auto"/>
          <w:sz w:val="28"/>
          <w:szCs w:val="28"/>
          <w:lang w:val="en-US" w:eastAsia="zh-CN"/>
        </w:rPr>
        <w:t>设备可融入到国家级雷电业务</w:t>
      </w:r>
      <w:r>
        <w:rPr>
          <w:rFonts w:ascii="仿宋" w:eastAsia="仿宋" w:hAnsi="仿宋" w:cs="仿宋" w:hint="eastAsia"/>
          <w:color w:val="0000FF"/>
          <w:sz w:val="28"/>
          <w:szCs w:val="28"/>
          <w:lang w:val="en-US" w:eastAsia="zh-CN"/>
        </w:rPr>
        <w:t>，</w:t>
      </w:r>
      <w:r>
        <w:rPr>
          <w:rFonts w:ascii="仿宋" w:eastAsia="仿宋" w:hAnsi="仿宋" w:cs="仿宋" w:hint="eastAsia"/>
          <w:color w:val="FF0000"/>
          <w:sz w:val="28"/>
          <w:szCs w:val="28"/>
          <w:lang w:val="en-US" w:eastAsia="zh-CN"/>
        </w:rPr>
        <w:t>支持基于特征量数据实现多站定位处理，数据处理系统通过适应性改造后可集成到国家级雷电业务软件。</w:t>
      </w:r>
      <w:r>
        <w:rPr>
          <w:rFonts w:ascii="仿宋" w:eastAsia="仿宋" w:hAnsi="仿宋" w:cs="仿宋" w:hint="eastAsia"/>
          <w:sz w:val="28"/>
          <w:szCs w:val="28"/>
        </w:rPr>
        <w:t>总体技术指标见表1。</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表1 总体技术指标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91"/>
        <w:gridCol w:w="59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项目</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性能指标</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闪电放电类型</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地闪回击、云闪放电事件</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极性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正、负</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定位数据时间分辨率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不低于100ns（量化精度）</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定位位置精度</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平面小于200米（网内），垂直小于1000米（网内）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地闪回击电流与极性</w:t>
            </w:r>
          </w:p>
        </w:tc>
        <w:tc>
          <w:tcPr>
            <w:tcW w:w="5927" w:type="dxa"/>
            <w:vAlign w:val="center"/>
          </w:tcPr>
          <w:p>
            <w:pPr>
              <w:widowControl w:val="0"/>
              <w:ind w:firstLine="0" w:firstLineChars="0"/>
              <w:jc w:val="center"/>
              <w:rPr>
                <w:rFonts w:ascii="仿宋" w:eastAsia="仿宋" w:hAnsi="仿宋" w:cs="仿宋" w:hint="eastAsia"/>
                <w:bCs/>
                <w:kern w:val="0"/>
              </w:rPr>
            </w:pPr>
            <w:r>
              <w:rPr>
                <w:rFonts w:ascii="仿宋" w:eastAsia="仿宋" w:hAnsi="仿宋" w:cs="仿宋" w:hint="eastAsia"/>
                <w:bCs/>
                <w:kern w:val="0"/>
                <w:sz w:val="24"/>
                <w:szCs w:val="24"/>
                <w:lang w:val="en-US" w:eastAsia="zh-CN" w:bidi="ar-SA"/>
              </w:rPr>
              <w:t>峰值电流误差（绝对值）中值</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15%（网内），回击极性正确率</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95%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地闪回击探测效率</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对于强度</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4kA的回击，平原地区探测效率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85%（网内），其他地区探测效率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75%（网内）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对于强度</w:t>
            </w:r>
            <w:r>
              <w:rPr>
                <w:rFonts w:ascii="仿宋" w:eastAsia="仿宋" w:hAnsi="仿宋" w:cs="仿宋" w:hint="eastAsia"/>
                <w:sz w:val="24"/>
              </w:rPr>
              <w:t>≥</w:t>
            </w:r>
            <w:r>
              <w:rPr>
                <w:rFonts w:ascii="仿宋" w:eastAsia="仿宋" w:hAnsi="仿宋" w:cs="仿宋" w:hint="eastAsia"/>
                <w:sz w:val="24"/>
              </w:rPr>
              <w:t>4kA的地闪，平原探测效率</w:t>
            </w:r>
            <w:r>
              <w:rPr>
                <w:rFonts w:ascii="仿宋" w:eastAsia="仿宋" w:hAnsi="仿宋" w:cs="仿宋" w:hint="eastAsia"/>
                <w:sz w:val="24"/>
              </w:rPr>
              <w:t>≥</w:t>
            </w:r>
            <w:r>
              <w:rPr>
                <w:rFonts w:ascii="仿宋" w:eastAsia="仿宋" w:hAnsi="仿宋" w:cs="仿宋" w:hint="eastAsia"/>
                <w:sz w:val="24"/>
              </w:rPr>
              <w:t>98%（网内），其他地区探测效率</w:t>
            </w:r>
            <w:r>
              <w:rPr>
                <w:rFonts w:ascii="仿宋" w:eastAsia="仿宋" w:hAnsi="仿宋" w:cs="仿宋" w:hint="eastAsia"/>
                <w:sz w:val="24"/>
              </w:rPr>
              <w:t>≥</w:t>
            </w:r>
            <w:r>
              <w:rPr>
                <w:rFonts w:ascii="仿宋" w:eastAsia="仿宋" w:hAnsi="仿宋" w:cs="仿宋" w:hint="eastAsia"/>
                <w:sz w:val="24"/>
              </w:rPr>
              <w:t>95%（网内）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云闪探测效率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80%（网内）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闪电放电类型正确率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不低于85%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定位正确率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不低于90%</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同源配型站点数</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二维不低于3个，三维不低于5个</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网内定位</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不低于65%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单站数据完整性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不低于98%</w:t>
            </w:r>
          </w:p>
        </w:tc>
      </w:tr>
      <w:tr>
        <w:tblPrEx>
          <w:tblW w:w="0" w:type="auto"/>
          <w:jc w:val="center"/>
          <w:tblLayout w:type="fixed"/>
          <w:tblCellMar>
            <w:top w:w="0" w:type="dxa"/>
            <w:left w:w="108" w:type="dxa"/>
            <w:bottom w:w="0" w:type="dxa"/>
            <w:right w:w="108" w:type="dxa"/>
          </w:tblCellMar>
          <w:tblLook w:val="0000"/>
        </w:tblPrEx>
        <w:trPr>
          <w:jc w:val="center"/>
        </w:trPr>
        <w:tc>
          <w:tcPr>
            <w:tcW w:w="8518" w:type="dxa"/>
            <w:gridSpan w:val="2"/>
            <w:vAlign w:val="center"/>
          </w:tcPr>
          <w:p>
            <w:pPr>
              <w:widowControl w:val="0"/>
              <w:ind w:firstLine="0" w:firstLineChars="0"/>
              <w:jc w:val="center"/>
              <w:rPr>
                <w:rFonts w:ascii="仿宋" w:eastAsia="仿宋" w:hAnsi="仿宋" w:cs="仿宋" w:hint="eastAsia"/>
              </w:rPr>
            </w:pPr>
            <w:r>
              <w:rPr>
                <w:rFonts w:ascii="仿宋" w:eastAsia="仿宋" w:hAnsi="仿宋" w:cs="仿宋" w:hint="eastAsia"/>
                <w:color w:val="auto"/>
                <w:sz w:val="24"/>
                <w:szCs w:val="24"/>
                <w:lang w:val="en-US" w:eastAsia="zh-CN"/>
              </w:rPr>
              <w:t>提供</w:t>
            </w:r>
            <w:r>
              <w:rPr>
                <w:rFonts w:ascii="仿宋" w:eastAsia="仿宋" w:hAnsi="仿宋" w:cs="仿宋" w:hint="eastAsia"/>
                <w:color w:val="auto"/>
                <w:sz w:val="24"/>
                <w:szCs w:val="24"/>
              </w:rPr>
              <w:t>数据处理系统</w:t>
            </w:r>
            <w:r>
              <w:rPr>
                <w:rFonts w:ascii="仿宋" w:eastAsia="仿宋" w:hAnsi="仿宋" w:cs="仿宋" w:hint="eastAsia"/>
                <w:color w:val="auto"/>
                <w:sz w:val="24"/>
                <w:szCs w:val="24"/>
                <w:lang w:val="en-US" w:eastAsia="zh-CN"/>
              </w:rPr>
              <w:t>的功能和性能测试评估报告、设备融入国家级雷电业务方案、</w:t>
            </w:r>
            <w:r>
              <w:rPr>
                <w:rFonts w:ascii="仿宋" w:eastAsia="仿宋" w:hAnsi="仿宋" w:cs="仿宋" w:hint="eastAsia"/>
                <w:color w:val="auto"/>
                <w:sz w:val="24"/>
                <w:szCs w:val="24"/>
              </w:rPr>
              <w:t>数据处理系统</w:t>
            </w:r>
            <w:r>
              <w:rPr>
                <w:rFonts w:ascii="仿宋" w:eastAsia="仿宋" w:hAnsi="仿宋" w:cs="仿宋" w:hint="eastAsia"/>
                <w:color w:val="auto"/>
                <w:sz w:val="24"/>
                <w:szCs w:val="24"/>
                <w:lang w:val="en-US" w:eastAsia="zh-CN"/>
              </w:rPr>
              <w:t>与国家级雷电业务软件集成改造方案</w:t>
            </w:r>
          </w:p>
        </w:tc>
      </w:tr>
    </w:tbl>
    <w:p>
      <w:pPr>
        <w:ind w:firstLine="141" w:firstLineChars="67"/>
        <w:jc w:val="left"/>
        <w:rPr>
          <w:rFonts w:ascii="宋体" w:hAnsi="宋体" w:cs="宋体"/>
          <w:b/>
          <w:szCs w:val="21"/>
        </w:rPr>
      </w:pPr>
      <w:r>
        <w:rPr>
          <w:rFonts w:ascii="宋体" w:hAnsi="宋体" w:cs="宋体" w:hint="eastAsia"/>
          <w:b/>
          <w:szCs w:val="21"/>
        </w:rPr>
        <w:t>注：</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定位正确率：指在选取时段内，利用人工观测、雷达等综合资料对于闪电发生位置进行质量控制，质控正确数量占实际数据总量百分比；</w:t>
      </w:r>
    </w:p>
    <w:p>
      <w:pPr>
        <w:spacing w:line="520" w:lineRule="exact"/>
        <w:ind w:firstLine="424" w:firstLineChars="202"/>
        <w:jc w:val="left"/>
        <w:rPr>
          <w:rFonts w:ascii="仿宋" w:eastAsia="仿宋" w:hAnsi="仿宋" w:cs="仿宋" w:hint="eastAsia"/>
          <w:sz w:val="21"/>
          <w:szCs w:val="21"/>
        </w:rPr>
      </w:pPr>
      <w:r>
        <w:rPr>
          <w:rFonts w:ascii="仿宋" w:eastAsia="仿宋" w:hAnsi="仿宋" w:cs="仿宋" w:hint="eastAsia"/>
          <w:sz w:val="21"/>
          <w:szCs w:val="21"/>
        </w:rPr>
        <w:t>同源配型站点数：指在某次组网定位运算中，实际参与的VLF/LF全闪定位仪站点数；</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网内定位：指某次组网定位运算获得的闪电发生位置，位于参与本次定位的VLF/LF全闪定位仪站网区域内。</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3.2 定位仪技术指标</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定位仪技术指标包括：波形类型、灵敏度、探测范围、处理时效等。技术指标见表2。</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表2 甚低频/低频</w:t>
      </w:r>
      <w:r>
        <w:rPr>
          <w:rFonts w:ascii="仿宋" w:eastAsia="仿宋" w:hAnsi="仿宋" w:cs="仿宋" w:hint="eastAsia"/>
          <w:b/>
          <w:bCs/>
          <w:sz w:val="28"/>
          <w:szCs w:val="20"/>
          <w:lang w:eastAsia="zh-CN"/>
        </w:rPr>
        <w:t>（</w:t>
      </w:r>
      <w:r>
        <w:rPr>
          <w:rFonts w:ascii="仿宋" w:eastAsia="仿宋" w:hAnsi="仿宋" w:cs="仿宋" w:hint="eastAsia"/>
          <w:b/>
          <w:bCs/>
          <w:sz w:val="28"/>
          <w:szCs w:val="20"/>
        </w:rPr>
        <w:t>VLF/LF</w:t>
      </w:r>
      <w:r>
        <w:rPr>
          <w:rFonts w:ascii="仿宋" w:eastAsia="仿宋" w:hAnsi="仿宋" w:cs="仿宋" w:hint="eastAsia"/>
          <w:b/>
          <w:bCs/>
          <w:sz w:val="28"/>
          <w:szCs w:val="20"/>
          <w:lang w:eastAsia="zh-CN"/>
        </w:rPr>
        <w:t>）</w:t>
      </w:r>
      <w:r>
        <w:rPr>
          <w:rFonts w:ascii="仿宋" w:eastAsia="仿宋" w:hAnsi="仿宋" w:cs="仿宋" w:hint="eastAsia"/>
          <w:b/>
          <w:bCs/>
          <w:sz w:val="28"/>
          <w:szCs w:val="20"/>
        </w:rPr>
        <w:t>全闪定位仪技术指标</w:t>
      </w:r>
    </w:p>
    <w:tbl>
      <w:tblPr>
        <w:tblStyle w:val="TableNorm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726"/>
        <w:gridCol w:w="6259"/>
      </w:tblGrid>
      <w:tr>
        <w:tblPrEx>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517" w:type="pct"/>
            <w:vAlign w:val="center"/>
          </w:tcPr>
          <w:p>
            <w:pPr>
              <w:rPr>
                <w:rFonts w:ascii="仿宋" w:eastAsia="仿宋" w:hAnsi="仿宋" w:cs="仿宋" w:hint="eastAsia"/>
              </w:rPr>
            </w:pPr>
            <w:r>
              <w:rPr>
                <w:rFonts w:ascii="仿宋" w:eastAsia="仿宋" w:hAnsi="仿宋" w:cs="仿宋" w:hint="eastAsia"/>
                <w:sz w:val="24"/>
              </w:rPr>
              <w:t>项目</w:t>
            </w:r>
          </w:p>
        </w:tc>
        <w:tc>
          <w:tcPr>
            <w:tcW w:w="3482" w:type="pct"/>
            <w:vAlign w:val="center"/>
          </w:tcPr>
          <w:p>
            <w:pPr>
              <w:rPr>
                <w:rFonts w:ascii="仿宋" w:eastAsia="仿宋" w:hAnsi="仿宋" w:cs="仿宋" w:hint="eastAsia"/>
              </w:rPr>
            </w:pPr>
            <w:r>
              <w:rPr>
                <w:rFonts w:ascii="仿宋" w:eastAsia="仿宋" w:hAnsi="仿宋" w:cs="仿宋" w:hint="eastAsia"/>
                <w:sz w:val="24"/>
              </w:rPr>
              <w:t>性能指标</w:t>
            </w:r>
          </w:p>
        </w:tc>
      </w:tr>
      <w:tr>
        <w:tblPrEx>
          <w:tblW w:w="4990" w:type="pct"/>
          <w:jc w:val="center"/>
          <w:tblBorders>
            <w:insideH w:val="none" w:sz="0" w:space="0" w:color="auto"/>
            <w:insideV w:val="none" w:sz="0" w:space="0" w:color="auto"/>
          </w:tblBorders>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探测类型</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云闪波形、地闪波形</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探测频段</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5k-400kHz频段、3dB带宽</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灵敏度</w:t>
            </w:r>
          </w:p>
        </w:tc>
        <w:tc>
          <w:tcPr>
            <w:tcW w:w="3482"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sz w:val="24"/>
              </w:rPr>
              <w:t>磁场强度</w:t>
            </w:r>
            <w:r>
              <w:rPr>
                <w:rFonts w:ascii="仿宋" w:eastAsia="仿宋" w:hAnsi="仿宋" w:cs="仿宋" w:hint="eastAsia"/>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 o:spid="_x0000_i1025" type="#_x0000_t75" style="width:47pt;height:16pt" o:oleicon="f" o:ole="" o:preferrelative="t" filled="f" stroked="f">
                  <v:stroke joinstyle="miter"/>
                  <v:imagedata r:id="rId8" o:title=""/>
                  <v:path o:extrusionok="f"/>
                  <o:lock v:ext="edit" aspectratio="t"/>
                </v:shape>
                <o:OLEObject Type="Embed" ProgID="Equation.3" ShapeID="Object 5" DrawAspect="Content" ObjectID="_1234567890" r:id="rId9"/>
              </w:object>
            </w:r>
            <w:r>
              <w:rPr>
                <w:rFonts w:ascii="仿宋" w:eastAsia="仿宋" w:hAnsi="仿宋" w:cs="仿宋" w:hint="eastAsia"/>
                <w:sz w:val="24"/>
              </w:rPr>
              <w:t>A/m</w:t>
            </w:r>
          </w:p>
          <w:p>
            <w:pPr>
              <w:tabs>
                <w:tab w:val="left" w:pos="1857"/>
                <w:tab w:val="center" w:pos="2858"/>
              </w:tabs>
              <w:rPr>
                <w:rFonts w:ascii="仿宋" w:eastAsia="仿宋" w:hAnsi="仿宋" w:cs="仿宋" w:hint="eastAsia"/>
              </w:rPr>
            </w:pPr>
            <w:r>
              <w:rPr>
                <w:rFonts w:ascii="仿宋" w:eastAsia="仿宋" w:hAnsi="仿宋" w:cs="仿宋" w:hint="eastAsia"/>
                <w:sz w:val="24"/>
              </w:rPr>
              <w:t>电场强度</w:t>
            </w:r>
            <w:r>
              <w:rPr>
                <w:rFonts w:ascii="仿宋" w:eastAsia="仿宋" w:hAnsi="仿宋" w:cs="仿宋" w:hint="eastAsia"/>
                <w:position w:val="-6"/>
                <w:sz w:val="24"/>
              </w:rPr>
              <w:object>
                <v:shape id="Object 6" o:spid="_x0000_i1026" type="#_x0000_t75" style="width:18.97pt;height:13.96pt" o:oleicon="f" o:ole="" o:preferrelative="t" filled="f" stroked="f">
                  <v:stroke joinstyle="miter"/>
                  <v:imagedata r:id="rId10" o:title=""/>
                  <v:path o:extrusionok="f"/>
                  <o:lock v:ext="edit" aspectratio="t"/>
                </v:shape>
                <o:OLEObject Type="Embed" ProgID="Equation.3" ShapeID="Object 6" DrawAspect="Content" ObjectID="_1234567891" r:id="rId11"/>
              </w:object>
            </w:r>
            <w:r>
              <w:rPr>
                <w:rFonts w:ascii="仿宋" w:eastAsia="仿宋" w:hAnsi="仿宋" w:cs="仿宋" w:hint="eastAsia"/>
                <w:sz w:val="24"/>
              </w:rPr>
              <w:t>V/m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探测范围</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4kA、</w:t>
            </w:r>
            <w:r>
              <w:rPr>
                <w:rFonts w:ascii="仿宋" w:eastAsia="仿宋" w:hAnsi="仿宋" w:cs="仿宋" w:hint="eastAsia"/>
                <w:sz w:val="24"/>
              </w:rPr>
              <w:t>≥</w:t>
            </w:r>
            <w:r>
              <w:rPr>
                <w:rFonts w:ascii="仿宋" w:eastAsia="仿宋" w:hAnsi="仿宋" w:cs="仿宋" w:hint="eastAsia"/>
                <w:sz w:val="24"/>
              </w:rPr>
              <w:t>300km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处理时效</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color w:val="000000"/>
              </w:rPr>
            </w:pPr>
            <w:r>
              <w:rPr>
                <w:rFonts w:ascii="仿宋" w:eastAsia="仿宋" w:hAnsi="仿宋" w:cs="仿宋" w:hint="eastAsia"/>
                <w:color w:val="000000"/>
                <w:sz w:val="24"/>
              </w:rPr>
              <w:t>&lt;50ms（压缩数据）</w:t>
            </w:r>
          </w:p>
          <w:p>
            <w:pPr>
              <w:rPr>
                <w:rFonts w:ascii="仿宋" w:eastAsia="仿宋" w:hAnsi="仿宋" w:cs="仿宋" w:hint="eastAsia"/>
                <w:color w:val="FF0000"/>
              </w:rPr>
            </w:pPr>
            <w:r>
              <w:rPr>
                <w:rFonts w:ascii="仿宋" w:eastAsia="仿宋" w:hAnsi="仿宋" w:cs="仿宋" w:hint="eastAsia"/>
                <w:color w:val="000000"/>
                <w:sz w:val="24"/>
              </w:rPr>
              <w:t>&lt;10ms（非压缩数据）</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观测值</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电场、磁场脉冲波形，波形特征量（上升沿-起点、10%、30%、50%、70%、90%，波峰点，下降沿-90%、70%、50%、30%、10%、后过零点等瞬态的时间、幅值（场强）），波形类型</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波形时间精度</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不低于50ns</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波形幅值误差</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不超过15%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波形类型正确率</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不低于85%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数据可用性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不低于95%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瞬时动态存储</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64M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计量检测接口</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具备</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多站数据一致性（实验室）</w:t>
            </w:r>
          </w:p>
        </w:tc>
        <w:tc>
          <w:tcPr>
            <w:tcW w:w="3482" w:type="pct"/>
            <w:tcBorders>
              <w:top w:val="single" w:sz="4" w:space="0" w:color="auto"/>
              <w:left w:val="single" w:sz="4" w:space="0" w:color="auto"/>
              <w:bottom w:val="single" w:sz="4" w:space="0" w:color="auto"/>
              <w:right w:val="single" w:sz="4" w:space="0" w:color="auto"/>
            </w:tcBorders>
            <w:vAlign w:val="center"/>
          </w:tcPr>
          <w:p>
            <w:pPr>
              <w:widowControl w:val="0"/>
              <w:ind w:firstLine="0" w:firstLineChars="0"/>
              <w:jc w:val="both"/>
              <w:rPr>
                <w:rFonts w:ascii="仿宋" w:eastAsia="仿宋" w:hAnsi="仿宋" w:cs="仿宋" w:hint="eastAsia"/>
              </w:rPr>
            </w:pPr>
            <w:r>
              <w:rPr>
                <w:rFonts w:ascii="仿宋" w:eastAsia="仿宋" w:hAnsi="仿宋" w:cs="仿宋" w:hint="eastAsia"/>
                <w:kern w:val="2"/>
                <w:sz w:val="24"/>
                <w:szCs w:val="24"/>
                <w:lang w:val="en-US" w:eastAsia="zh-CN" w:bidi="ar-SA"/>
              </w:rPr>
              <w:t>数量一致性满足</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95%；时间一致性的同步精度&lt;10</w:t>
            </w:r>
            <w:r>
              <w:rPr>
                <w:rFonts w:ascii="仿宋" w:eastAsia="仿宋" w:hAnsi="仿宋" w:cs="仿宋" w:hint="eastAsia"/>
                <w:kern w:val="2"/>
                <w:sz w:val="24"/>
                <w:szCs w:val="24"/>
                <w:vertAlign w:val="superscript"/>
                <w:lang w:val="en-US" w:eastAsia="zh-CN" w:bidi="ar-SA"/>
              </w:rPr>
              <w:t>-7</w:t>
            </w:r>
            <w:r>
              <w:rPr>
                <w:rFonts w:ascii="仿宋" w:eastAsia="仿宋" w:hAnsi="仿宋" w:cs="仿宋" w:hint="eastAsia"/>
                <w:kern w:val="2"/>
                <w:sz w:val="24"/>
                <w:szCs w:val="24"/>
                <w:lang w:val="en-US" w:eastAsia="zh-CN" w:bidi="ar-SA"/>
              </w:rPr>
              <w:t>s；幅值一致性相对误差＜10%</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可扩展性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积分放大倍数、滤波带宽等可程控。</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抗干扰能力</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满足EMC测试标准（5k-400kHz）</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设备级质控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核心模块开展质控，输出质控标识</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工作方式</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自动、连续、实时测量，无人值守</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使用寿命</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8年</w:t>
            </w:r>
          </w:p>
        </w:tc>
      </w:tr>
      <w:tr>
        <w:tblPrEx>
          <w:tblW w:w="4990" w:type="pct"/>
          <w:jc w:val="center"/>
          <w:tblCellMar>
            <w:top w:w="0" w:type="dxa"/>
            <w:left w:w="108" w:type="dxa"/>
            <w:bottom w:w="0" w:type="dxa"/>
            <w:right w:w="108" w:type="dxa"/>
          </w:tblCellMar>
          <w:tblLook w:val="0000"/>
        </w:tblPrEx>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提供接收机信噪比、增益、动态范围</w:t>
            </w:r>
          </w:p>
          <w:p>
            <w:pPr>
              <w:rPr>
                <w:rFonts w:ascii="仿宋" w:eastAsia="仿宋" w:hAnsi="仿宋" w:cs="仿宋" w:hint="eastAsia"/>
              </w:rPr>
            </w:pPr>
            <w:r>
              <w:rPr>
                <w:rFonts w:ascii="仿宋" w:eastAsia="仿宋" w:hAnsi="仿宋" w:cs="仿宋" w:hint="eastAsia"/>
                <w:color w:val="auto"/>
                <w:sz w:val="24"/>
                <w:szCs w:val="24"/>
                <w:lang w:val="en-US" w:eastAsia="zh-CN"/>
              </w:rPr>
              <w:t>提供单北斗技术证明及测试报告</w:t>
            </w:r>
          </w:p>
        </w:tc>
      </w:tr>
    </w:tbl>
    <w:p>
      <w:pPr>
        <w:spacing w:line="560" w:lineRule="exact"/>
        <w:ind w:firstLine="560" w:firstLineChars="200"/>
        <w:rPr>
          <w:rFonts w:ascii="仿宋" w:eastAsia="仿宋" w:hAnsi="仿宋" w:cs="仿宋" w:hint="eastAsia"/>
          <w:sz w:val="28"/>
          <w:szCs w:val="28"/>
        </w:rPr>
      </w:pPr>
      <w:bookmarkStart w:id="50" w:name="_Hlk193895004"/>
      <w:r>
        <w:rPr>
          <w:rFonts w:ascii="仿宋" w:eastAsia="仿宋" w:hAnsi="仿宋" w:cs="仿宋" w:hint="eastAsia"/>
          <w:sz w:val="28"/>
          <w:szCs w:val="28"/>
        </w:rPr>
        <w:t>四、质保服务要求</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4.1 设备建设</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r>
        <w:rPr>
          <w:rFonts w:ascii="仿宋" w:eastAsia="仿宋" w:hAnsi="仿宋" w:cs="仿宋" w:hint="eastAsia"/>
          <w:sz w:val="28"/>
          <w:szCs w:val="28"/>
        </w:rPr>
        <w:t>设备供应商对投标产品技术指标要求、采购人质量服务要求及项目建设特点应有全面、深入的理解</w:t>
      </w:r>
      <w:r>
        <w:rPr>
          <w:rFonts w:ascii="仿宋" w:eastAsia="仿宋" w:hAnsi="仿宋" w:cs="仿宋" w:hint="eastAsia"/>
          <w:kern w:val="0"/>
          <w:sz w:val="28"/>
          <w:szCs w:val="28"/>
        </w:rPr>
        <w:t>。</w:t>
      </w:r>
      <w:r>
        <w:rPr>
          <w:rFonts w:ascii="仿宋" w:eastAsia="仿宋" w:hAnsi="仿宋" w:cs="仿宋" w:hint="eastAsia"/>
          <w:sz w:val="28"/>
          <w:szCs w:val="28"/>
        </w:rPr>
        <w:t>设备供应商需提供详细项目建设方案，包括但不限于：</w:t>
      </w:r>
      <w:r>
        <w:rPr>
          <w:rFonts w:ascii="仿宋" w:eastAsia="仿宋" w:hAnsi="仿宋" w:cs="仿宋" w:hint="eastAsia"/>
          <w:kern w:val="0"/>
          <w:sz w:val="28"/>
          <w:szCs w:val="28"/>
        </w:rPr>
        <w:t>产品质量检测方案、</w:t>
      </w:r>
      <w:r>
        <w:rPr>
          <w:rFonts w:ascii="仿宋" w:eastAsia="仿宋" w:hAnsi="仿宋" w:cs="仿宋" w:hint="eastAsia"/>
          <w:sz w:val="28"/>
          <w:szCs w:val="28"/>
        </w:rPr>
        <w:t>设备安装建设方案、</w:t>
      </w:r>
      <w:r>
        <w:rPr>
          <w:rFonts w:ascii="仿宋" w:eastAsia="仿宋" w:hAnsi="仿宋" w:cs="仿宋" w:hint="eastAsia"/>
          <w:color w:val="FF0000"/>
          <w:sz w:val="28"/>
          <w:szCs w:val="28"/>
          <w:lang w:val="en-US" w:eastAsia="zh-CN"/>
        </w:rPr>
        <w:t>数据处理系统软件安装建设方案、</w:t>
      </w:r>
      <w:r>
        <w:rPr>
          <w:rFonts w:ascii="仿宋" w:eastAsia="仿宋" w:hAnsi="仿宋" w:cs="仿宋" w:hint="eastAsia"/>
          <w:sz w:val="28"/>
          <w:szCs w:val="28"/>
        </w:rPr>
        <w:t>建设工期安排、工期保证措施等。由设备供应商负责</w:t>
      </w:r>
      <w:r>
        <w:rPr>
          <w:rFonts w:ascii="仿宋" w:eastAsia="仿宋" w:hAnsi="仿宋" w:cs="仿宋" w:hint="eastAsia"/>
          <w:color w:val="FF0000"/>
          <w:sz w:val="28"/>
          <w:szCs w:val="28"/>
        </w:rPr>
        <w:t>设备</w:t>
      </w:r>
      <w:r>
        <w:rPr>
          <w:rFonts w:ascii="仿宋" w:eastAsia="仿宋" w:hAnsi="仿宋" w:cs="仿宋" w:hint="eastAsia"/>
          <w:color w:val="FF0000"/>
          <w:sz w:val="28"/>
          <w:szCs w:val="28"/>
          <w:lang w:val="en-US" w:eastAsia="zh-CN"/>
        </w:rPr>
        <w:t>及数据处理系统软件的</w:t>
      </w:r>
      <w:r>
        <w:rPr>
          <w:rFonts w:ascii="仿宋" w:eastAsia="仿宋" w:hAnsi="仿宋" w:cs="仿宋" w:hint="eastAsia"/>
          <w:color w:val="FF0000"/>
          <w:sz w:val="28"/>
          <w:szCs w:val="28"/>
        </w:rPr>
        <w:t>安装、</w:t>
      </w:r>
      <w:r>
        <w:rPr>
          <w:rFonts w:ascii="仿宋" w:eastAsia="仿宋" w:hAnsi="仿宋" w:cs="仿宋" w:hint="eastAsia"/>
          <w:color w:val="auto"/>
          <w:sz w:val="28"/>
          <w:szCs w:val="28"/>
        </w:rPr>
        <w:t>调试</w:t>
      </w:r>
      <w:r>
        <w:rPr>
          <w:rFonts w:ascii="仿宋" w:eastAsia="仿宋" w:hAnsi="仿宋" w:cs="仿宋" w:hint="eastAsia"/>
          <w:color w:val="auto"/>
          <w:sz w:val="28"/>
          <w:szCs w:val="28"/>
          <w:lang w:eastAsia="zh-CN"/>
        </w:rPr>
        <w:t>、</w:t>
      </w:r>
      <w:r>
        <w:rPr>
          <w:rFonts w:ascii="仿宋" w:eastAsia="仿宋" w:hAnsi="仿宋" w:cs="仿宋" w:hint="eastAsia"/>
          <w:color w:val="FF0000"/>
          <w:sz w:val="28"/>
          <w:szCs w:val="28"/>
          <w:lang w:val="en-US" w:eastAsia="zh-CN"/>
        </w:rPr>
        <w:t>设备融入国家级雷电业务、</w:t>
      </w:r>
      <w:r>
        <w:rPr>
          <w:rFonts w:ascii="仿宋" w:eastAsia="仿宋" w:hAnsi="仿宋" w:cs="仿宋" w:hint="eastAsia"/>
          <w:color w:val="FF0000"/>
          <w:sz w:val="28"/>
          <w:szCs w:val="28"/>
        </w:rPr>
        <w:t>数据处理系统</w:t>
      </w:r>
      <w:r>
        <w:rPr>
          <w:rFonts w:ascii="仿宋" w:eastAsia="仿宋" w:hAnsi="仿宋" w:cs="仿宋" w:hint="eastAsia"/>
          <w:color w:val="FF0000"/>
          <w:sz w:val="28"/>
          <w:szCs w:val="28"/>
          <w:lang w:val="en-US" w:eastAsia="zh-CN"/>
        </w:rPr>
        <w:t>与国家级雷电业务软件集成适应性改造</w:t>
      </w:r>
      <w:r>
        <w:rPr>
          <w:rFonts w:ascii="仿宋" w:eastAsia="仿宋" w:hAnsi="仿宋" w:cs="仿宋" w:hint="eastAsia"/>
          <w:sz w:val="28"/>
          <w:szCs w:val="28"/>
        </w:rPr>
        <w:t>等工作，</w:t>
      </w:r>
      <w:r>
        <w:rPr>
          <w:rFonts w:ascii="仿宋" w:eastAsia="仿宋" w:hAnsi="仿宋" w:cs="仿宋" w:hint="eastAsia"/>
          <w:spacing w:val="-2"/>
          <w:sz w:val="28"/>
          <w:szCs w:val="28"/>
        </w:rPr>
        <w:t>用户方负责提供安装场地、供电及通讯，设备安装调试、验收等相关工作,费用由</w:t>
      </w:r>
      <w:r>
        <w:rPr>
          <w:rFonts w:ascii="仿宋" w:eastAsia="仿宋" w:hAnsi="仿宋" w:cs="仿宋" w:hint="eastAsia"/>
          <w:sz w:val="28"/>
          <w:szCs w:val="28"/>
        </w:rPr>
        <w:t>设备供应商</w:t>
      </w:r>
      <w:r>
        <w:rPr>
          <w:rFonts w:ascii="仿宋" w:eastAsia="仿宋" w:hAnsi="仿宋" w:cs="仿宋" w:hint="eastAsia"/>
          <w:spacing w:val="-2"/>
          <w:sz w:val="28"/>
          <w:szCs w:val="28"/>
        </w:rPr>
        <w:t>负责。</w:t>
      </w:r>
      <w:r>
        <w:rPr>
          <w:rFonts w:ascii="仿宋" w:eastAsia="仿宋" w:hAnsi="仿宋" w:cs="仿宋" w:hint="eastAsia"/>
          <w:color w:val="FF0000"/>
          <w:sz w:val="28"/>
          <w:szCs w:val="28"/>
          <w:lang w:val="en-US" w:eastAsia="zh-CN"/>
        </w:rPr>
        <w:t>设备及数据处理系统软件</w:t>
      </w:r>
      <w:r>
        <w:rPr>
          <w:rFonts w:ascii="仿宋" w:eastAsia="仿宋" w:hAnsi="仿宋" w:cs="仿宋" w:hint="eastAsia"/>
          <w:spacing w:val="-2"/>
          <w:sz w:val="28"/>
          <w:szCs w:val="28"/>
        </w:rPr>
        <w:t>不合格或不符合质量要求，供应商除无条件退货、返工外，还应承担采购人的一切损失。</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4.2技术服务</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（1）设备供应商需提供详细技术服务方案，包括但不限于：设备安装建设规范、设备工作原理、设备部件结构组成、设备操作手册、设备运行维护手册、设备软件使用手册、</w:t>
      </w:r>
      <w:r>
        <w:rPr>
          <w:rFonts w:ascii="仿宋" w:eastAsia="仿宋" w:hAnsi="仿宋" w:cs="仿宋" w:hint="eastAsia"/>
          <w:color w:val="auto"/>
          <w:sz w:val="28"/>
          <w:szCs w:val="28"/>
          <w:lang w:val="en-US" w:eastAsia="zh-CN"/>
        </w:rPr>
        <w:t>设备融入国家级雷电业务的技术方案、</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使用手册、</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与国家级雷电业务软件集成</w:t>
      </w:r>
      <w:r>
        <w:rPr>
          <w:rFonts w:ascii="仿宋" w:eastAsia="仿宋" w:hAnsi="仿宋" w:cs="仿宋" w:hint="eastAsia"/>
          <w:color w:val="FF0000"/>
          <w:sz w:val="28"/>
          <w:szCs w:val="28"/>
          <w:highlight w:val="none"/>
          <w:lang w:val="en-US" w:eastAsia="zh-CN"/>
        </w:rPr>
        <w:t>适应性改造</w:t>
      </w:r>
      <w:r>
        <w:rPr>
          <w:rFonts w:ascii="仿宋" w:eastAsia="仿宋" w:hAnsi="仿宋" w:cs="仿宋" w:hint="eastAsia"/>
          <w:color w:val="auto"/>
          <w:sz w:val="28"/>
          <w:szCs w:val="28"/>
          <w:lang w:val="en-US" w:eastAsia="zh-CN"/>
        </w:rPr>
        <w:t>技术方案、</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核心算法说明及功能和性能测试评估技术报告、</w:t>
      </w:r>
      <w:r>
        <w:rPr>
          <w:rFonts w:ascii="仿宋" w:eastAsia="仿宋" w:hAnsi="仿宋" w:cs="仿宋" w:hint="eastAsia"/>
          <w:color w:val="auto"/>
          <w:sz w:val="28"/>
          <w:szCs w:val="28"/>
        </w:rPr>
        <w:t>数据处理系统相关产品算法说明文档等</w:t>
      </w:r>
      <w:r>
        <w:rPr>
          <w:rFonts w:ascii="仿宋" w:eastAsia="仿宋" w:hAnsi="仿宋" w:cs="仿宋" w:hint="eastAsia"/>
          <w:sz w:val="28"/>
          <w:szCs w:val="28"/>
        </w:rPr>
        <w:t>。</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（2）设备供应商需提供详细售后服务方案</w:t>
      </w:r>
      <w:r>
        <w:rPr>
          <w:rFonts w:ascii="仿宋" w:eastAsia="仿宋" w:hAnsi="仿宋" w:cs="仿宋" w:hint="eastAsia"/>
          <w:color w:val="FF0000"/>
          <w:sz w:val="28"/>
          <w:szCs w:val="28"/>
          <w:lang w:val="en-US" w:eastAsia="zh-CN"/>
        </w:rPr>
        <w:t>（含设备与国家雷电业务的接入及维护和系统评估、数据处理系统与国家业务软件的集成适应性改造及维护和系统评估）</w:t>
      </w:r>
      <w:r>
        <w:rPr>
          <w:rFonts w:ascii="仿宋" w:eastAsia="仿宋" w:hAnsi="仿宋" w:cs="仿宋" w:hint="eastAsia"/>
          <w:color w:val="FF0000"/>
          <w:sz w:val="28"/>
          <w:szCs w:val="28"/>
        </w:rPr>
        <w:t>，</w:t>
      </w:r>
      <w:r>
        <w:rPr>
          <w:rFonts w:ascii="仿宋" w:eastAsia="仿宋" w:hAnsi="仿宋" w:cs="仿宋" w:hint="eastAsia"/>
          <w:sz w:val="28"/>
          <w:szCs w:val="28"/>
        </w:rPr>
        <w:t>包括设备售后服务组织机构、人员组成、技术支持文档等。其中，售后服务组织机构设置合理，</w:t>
      </w:r>
      <w:r>
        <w:rPr>
          <w:rFonts w:ascii="仿宋" w:eastAsia="仿宋" w:hAnsi="仿宋" w:cs="仿宋" w:hint="eastAsia"/>
          <w:color w:val="FF0000"/>
          <w:sz w:val="28"/>
          <w:szCs w:val="28"/>
          <w:lang w:val="en-US" w:eastAsia="zh-CN"/>
        </w:rPr>
        <w:t>服务内容完整</w:t>
      </w:r>
      <w:r>
        <w:rPr>
          <w:rFonts w:ascii="仿宋" w:eastAsia="仿宋" w:hAnsi="仿宋" w:cs="仿宋" w:hint="eastAsia"/>
          <w:color w:val="0000FF"/>
          <w:sz w:val="28"/>
          <w:szCs w:val="28"/>
          <w:lang w:val="en-US" w:eastAsia="zh-CN"/>
        </w:rPr>
        <w:t>、</w:t>
      </w:r>
      <w:r>
        <w:rPr>
          <w:rFonts w:ascii="仿宋" w:eastAsia="仿宋" w:hAnsi="仿宋" w:cs="仿宋" w:hint="eastAsia"/>
          <w:sz w:val="28"/>
          <w:szCs w:val="28"/>
        </w:rPr>
        <w:t>人员技术能力强，技术文档内容全面。</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（3）设备供应商对每套投标产品提供至少2次技术培训，培训内容包括设备</w:t>
      </w:r>
      <w:r>
        <w:rPr>
          <w:rFonts w:ascii="仿宋" w:eastAsia="仿宋" w:hAnsi="仿宋" w:cs="仿宋" w:hint="eastAsia"/>
          <w:color w:val="FF0000"/>
          <w:sz w:val="28"/>
          <w:szCs w:val="28"/>
          <w:lang w:val="en-US" w:eastAsia="zh-CN"/>
        </w:rPr>
        <w:t>及数据处理系统软件</w:t>
      </w:r>
      <w:r>
        <w:rPr>
          <w:rFonts w:ascii="仿宋" w:eastAsia="仿宋" w:hAnsi="仿宋" w:cs="仿宋" w:hint="eastAsia"/>
          <w:sz w:val="28"/>
          <w:szCs w:val="28"/>
        </w:rPr>
        <w:t>安装、使用、日常维护、观测原理及产品应用，培训时间及地点双方协商确定。</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（4）设备供应商提供数据处理系统核心算法源码，以及</w:t>
      </w:r>
      <w:r>
        <w:rPr>
          <w:rFonts w:ascii="仿宋" w:eastAsia="仿宋" w:hAnsi="仿宋" w:cs="仿宋" w:hint="eastAsia"/>
          <w:sz w:val="28"/>
          <w:szCs w:val="28"/>
          <w:lang w:val="en-US" w:eastAsia="zh-CN"/>
        </w:rPr>
        <w:t>与国家级雷电业务软件</w:t>
      </w:r>
      <w:r>
        <w:rPr>
          <w:rFonts w:ascii="仿宋" w:eastAsia="仿宋" w:hAnsi="仿宋" w:cs="仿宋" w:hint="eastAsia"/>
          <w:sz w:val="28"/>
          <w:szCs w:val="28"/>
        </w:rPr>
        <w:t>集成</w:t>
      </w:r>
      <w:r>
        <w:rPr>
          <w:rFonts w:ascii="仿宋" w:eastAsia="仿宋" w:hAnsi="仿宋" w:cs="仿宋" w:hint="eastAsia"/>
          <w:color w:val="FF0000"/>
          <w:sz w:val="28"/>
          <w:szCs w:val="28"/>
          <w:lang w:val="en-US" w:eastAsia="zh-CN"/>
        </w:rPr>
        <w:t>适应性改造</w:t>
      </w:r>
      <w:r>
        <w:rPr>
          <w:rFonts w:ascii="仿宋" w:eastAsia="仿宋" w:hAnsi="仿宋" w:cs="仿宋" w:hint="eastAsia"/>
          <w:sz w:val="28"/>
          <w:szCs w:val="28"/>
        </w:rPr>
        <w:t>相关服务和技术支持。</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 xml:space="preserve">4.3 </w:t>
      </w:r>
      <w:r>
        <w:rPr>
          <w:rFonts w:ascii="仿宋" w:eastAsia="仿宋" w:hAnsi="仿宋" w:cs="仿宋" w:hint="eastAsia"/>
          <w:bCs/>
          <w:sz w:val="28"/>
          <w:szCs w:val="28"/>
        </w:rPr>
        <w:t>质保期服务*</w:t>
      </w:r>
    </w:p>
    <w:p>
      <w:pPr>
        <w:widowControl/>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设备供应商对所有设备提供自验收合格后8年的免费维护维修服务</w:t>
      </w:r>
      <w:r>
        <w:rPr>
          <w:rFonts w:ascii="仿宋" w:eastAsia="仿宋" w:hAnsi="仿宋" w:cs="仿宋" w:hint="eastAsia"/>
          <w:b/>
          <w:kern w:val="0"/>
          <w:sz w:val="28"/>
          <w:szCs w:val="28"/>
          <w:highlight w:val="yellow"/>
        </w:rPr>
        <w:t>*</w:t>
      </w:r>
      <w:r>
        <w:rPr>
          <w:rFonts w:ascii="仿宋" w:eastAsia="仿宋" w:hAnsi="仿宋" w:cs="仿宋" w:hint="eastAsia"/>
          <w:sz w:val="28"/>
          <w:szCs w:val="28"/>
          <w:highlight w:val="yellow"/>
        </w:rPr>
        <w:t>，并提供相关承诺函。</w:t>
      </w:r>
      <w:r>
        <w:rPr>
          <w:rFonts w:ascii="仿宋" w:eastAsia="仿宋" w:hAnsi="仿宋" w:cs="仿宋" w:hint="eastAsia"/>
          <w:sz w:val="28"/>
          <w:szCs w:val="28"/>
        </w:rPr>
        <w:t>按照业务运行规范要求执行，确保设备</w:t>
      </w:r>
      <w:r>
        <w:rPr>
          <w:rFonts w:ascii="仿宋" w:eastAsia="仿宋" w:hAnsi="仿宋" w:cs="仿宋" w:hint="eastAsia"/>
          <w:color w:val="FF0000"/>
          <w:sz w:val="28"/>
          <w:szCs w:val="28"/>
          <w:lang w:val="en-US" w:eastAsia="zh-CN"/>
        </w:rPr>
        <w:t>及数据处理系统</w:t>
      </w:r>
      <w:r>
        <w:rPr>
          <w:rFonts w:ascii="仿宋" w:eastAsia="仿宋" w:hAnsi="仿宋" w:cs="仿宋" w:hint="eastAsia"/>
          <w:sz w:val="28"/>
          <w:szCs w:val="28"/>
        </w:rPr>
        <w:t>可稳定运行，主要工作包括：汛前巡检、周维护、月维护、年维护等巡检巡查工作，以及关键器件及系统故障的维修</w:t>
      </w:r>
      <w:r>
        <w:rPr>
          <w:rFonts w:ascii="仿宋" w:eastAsia="仿宋" w:hAnsi="仿宋" w:cs="仿宋" w:hint="eastAsia"/>
          <w:sz w:val="28"/>
          <w:szCs w:val="28"/>
          <w:lang w:eastAsia="zh-CN"/>
        </w:rPr>
        <w:t>、</w:t>
      </w:r>
      <w:r>
        <w:rPr>
          <w:rFonts w:ascii="仿宋" w:eastAsia="仿宋" w:hAnsi="仿宋" w:cs="仿宋" w:hint="eastAsia"/>
          <w:color w:val="FF0000"/>
          <w:sz w:val="28"/>
          <w:szCs w:val="28"/>
          <w:lang w:val="en-US" w:eastAsia="zh-CN"/>
        </w:rPr>
        <w:t>数据处理系统的维护和故障修复、观测及定位数据对比分析评估</w:t>
      </w:r>
      <w:r>
        <w:rPr>
          <w:rFonts w:ascii="仿宋" w:eastAsia="仿宋" w:hAnsi="仿宋" w:cs="仿宋" w:hint="eastAsia"/>
          <w:sz w:val="28"/>
          <w:szCs w:val="28"/>
        </w:rPr>
        <w:t>等。</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（2）在质保期内，设备供应商服务时间应为 7</w:t>
      </w:r>
      <w:r>
        <w:rPr>
          <w:rFonts w:ascii="仿宋" w:eastAsia="仿宋" w:hAnsi="仿宋" w:cs="仿宋" w:hint="eastAsia"/>
          <w:sz w:val="28"/>
          <w:szCs w:val="28"/>
        </w:rPr>
        <w:t>×</w:t>
      </w:r>
      <w:r>
        <w:rPr>
          <w:rFonts w:ascii="仿宋" w:eastAsia="仿宋" w:hAnsi="仿宋" w:cs="仿宋" w:hint="eastAsia"/>
          <w:sz w:val="28"/>
          <w:szCs w:val="28"/>
        </w:rPr>
        <w:t xml:space="preserve">24小时，当投标产品或软件遭到损坏或出现故障时，要在用户报修之时起4小时内做出响应，开展维修维护工作，视情况双方协商设备恢复正常运行时限。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（3）质保期过后，设备供应商仍有义务提供技术服务（包括</w:t>
      </w:r>
      <w:r>
        <w:rPr>
          <w:rFonts w:ascii="仿宋" w:eastAsia="仿宋" w:hAnsi="仿宋" w:cs="仿宋" w:hint="eastAsia"/>
          <w:color w:val="FF0000"/>
          <w:sz w:val="28"/>
          <w:szCs w:val="28"/>
          <w:lang w:val="en-US" w:eastAsia="zh-CN"/>
        </w:rPr>
        <w:t>数据处理系统升级更新、观测及定位数据对比分析评估、</w:t>
      </w:r>
      <w:r>
        <w:rPr>
          <w:rFonts w:ascii="仿宋" w:eastAsia="仿宋" w:hAnsi="仿宋" w:cs="仿宋" w:hint="eastAsia"/>
          <w:sz w:val="28"/>
          <w:szCs w:val="28"/>
        </w:rPr>
        <w:t>提供设备维护、备件等）。</w:t>
      </w:r>
    </w:p>
    <w:p>
      <w:pPr>
        <w:spacing w:line="560" w:lineRule="exact"/>
        <w:ind w:firstLine="560" w:firstLineChars="200"/>
        <w:rPr>
          <w:rFonts w:ascii="仿宋" w:eastAsia="仿宋" w:hAnsi="仿宋" w:cs="仿宋" w:hint="eastAsia"/>
          <w:sz w:val="28"/>
          <w:szCs w:val="28"/>
        </w:rPr>
      </w:pPr>
      <w:bookmarkEnd w:id="50"/>
      <w:r>
        <w:rPr>
          <w:rFonts w:ascii="仿宋" w:eastAsia="仿宋" w:hAnsi="仿宋" w:cs="仿宋" w:hint="eastAsia"/>
          <w:sz w:val="28"/>
          <w:szCs w:val="28"/>
        </w:rPr>
        <w:t>五、验收要求（检验考核要求等）</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bookmarkStart w:id="51" w:name="_Hlk168594784"/>
      <w:r>
        <w:rPr>
          <w:rFonts w:ascii="仿宋" w:eastAsia="仿宋" w:hAnsi="仿宋" w:cs="仿宋" w:hint="eastAsia"/>
          <w:color w:val="FF0000"/>
          <w:spacing w:val="-2"/>
          <w:sz w:val="28"/>
          <w:szCs w:val="28"/>
          <w:lang w:val="en-US" w:eastAsia="zh-CN"/>
        </w:rPr>
        <w:t>按照业务要求，完成</w:t>
      </w:r>
      <w:r>
        <w:rPr>
          <w:rFonts w:ascii="仿宋" w:eastAsia="仿宋" w:hAnsi="仿宋" w:cs="仿宋" w:hint="eastAsia"/>
          <w:color w:val="FF0000"/>
          <w:sz w:val="28"/>
          <w:szCs w:val="28"/>
          <w:lang w:val="en-US" w:eastAsia="zh-CN"/>
        </w:rPr>
        <w:t>设备与国家雷电业务的接入和数据处理系统与国家业务软件的集成适应性改造，完成</w:t>
      </w:r>
      <w:r>
        <w:rPr>
          <w:rFonts w:ascii="仿宋" w:eastAsia="仿宋" w:hAnsi="仿宋" w:cs="仿宋" w:hint="eastAsia"/>
          <w:color w:val="FF0000"/>
          <w:spacing w:val="-2"/>
          <w:sz w:val="28"/>
          <w:szCs w:val="28"/>
          <w:lang w:val="en-US" w:eastAsia="zh-CN"/>
        </w:rPr>
        <w:t>设备及数据处理系统平行对比观测评估，数据完整性、探测效率、定位精度、定位正确率、定位处理时效等指标符合</w:t>
      </w:r>
      <w:r>
        <w:rPr>
          <w:rFonts w:ascii="仿宋" w:eastAsia="仿宋" w:hAnsi="仿宋" w:cs="仿宋" w:hint="eastAsia"/>
          <w:color w:val="FF0000"/>
          <w:sz w:val="28"/>
          <w:szCs w:val="20"/>
          <w:lang w:val="en-US" w:eastAsia="zh-CN"/>
        </w:rPr>
        <w:t>甲方相关要求和规范，</w:t>
      </w:r>
      <w:r>
        <w:rPr>
          <w:rFonts w:ascii="仿宋" w:eastAsia="仿宋" w:hAnsi="仿宋" w:cs="仿宋" w:hint="eastAsia"/>
          <w:spacing w:val="-2"/>
          <w:sz w:val="28"/>
          <w:szCs w:val="28"/>
        </w:rPr>
        <w:t>参照《甚低频/低频（VLF/LF）全闪定位仪功能规格需求书》</w:t>
      </w:r>
      <w:r>
        <w:rPr>
          <w:rFonts w:ascii="仿宋" w:eastAsia="仿宋" w:hAnsi="仿宋" w:cs="仿宋" w:hint="eastAsia"/>
          <w:spacing w:val="-2"/>
          <w:sz w:val="28"/>
          <w:szCs w:val="28"/>
          <w:lang w:eastAsia="zh-CN"/>
        </w:rPr>
        <w:t>、</w:t>
      </w:r>
      <w:r>
        <w:rPr>
          <w:rFonts w:ascii="仿宋" w:eastAsia="仿宋" w:hAnsi="仿宋" w:cs="仿宋" w:hint="eastAsia"/>
          <w:spacing w:val="-2"/>
          <w:sz w:val="28"/>
          <w:szCs w:val="28"/>
        </w:rPr>
        <w:t>《甚低频/低频（VLF/LF）全闪定位仪测试大纲》以及中国气象局最新业务管理规定等有关文件要求开展检验考核。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51"/>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outlineLvl w:val="9"/>
        <w:rPr>
          <w:rFonts w:ascii="Times New Roman" w:hAnsi="Times New Roman" w:cs="Times New Roman" w:hint="default"/>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7"/>
        <w:gridCol w:w="2535"/>
        <w:gridCol w:w="831"/>
        <w:gridCol w:w="1156"/>
        <w:gridCol w:w="1318"/>
        <w:gridCol w:w="831"/>
        <w:gridCol w:w="13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2" w:name="货物一览表_index"/>
            <w:r>
              <w:rPr>
                <w:rFonts w:asciiTheme="minorEastAsia" w:eastAsiaTheme="minorEastAsia" w:hAnsiTheme="minorEastAsia" w:cstheme="minorEastAsia" w:hint="eastAsia"/>
                <w:kern w:val="0"/>
                <w:szCs w:val="21"/>
              </w:rPr>
              <w:t>序号</w:t>
            </w:r>
            <w:bookmarkEnd w:id="52"/>
          </w:p>
        </w:tc>
        <w:tc>
          <w:tcPr>
            <w:tcW w:w="1135" w:type="dxa"/>
          </w:tcPr>
          <w:p w14:paraId="6B7F00AC">
            <w:pPr>
              <w:autoSpaceDE w:val="0"/>
              <w:jc w:val="center"/>
              <w:rPr>
                <w:rFonts w:asciiTheme="minorEastAsia" w:hAnsiTheme="minorEastAsia" w:cstheme="minorEastAsia"/>
                <w:kern w:val="0"/>
                <w:szCs w:val="21"/>
              </w:rPr>
            </w:pPr>
            <w:bookmarkStart w:id="53" w:name="货物一览表_goodsName"/>
            <w:r>
              <w:rPr>
                <w:rFonts w:asciiTheme="minorEastAsia" w:eastAsiaTheme="minorEastAsia" w:hAnsiTheme="minorEastAsia" w:cstheme="minorEastAsia" w:hint="eastAsia"/>
                <w:kern w:val="0"/>
                <w:szCs w:val="21"/>
              </w:rPr>
              <w:t>设备名称</w:t>
            </w:r>
            <w:bookmarkEnd w:id="53"/>
          </w:p>
        </w:tc>
        <w:tc>
          <w:tcPr>
            <w:tcW w:w="965" w:type="dxa"/>
          </w:tcPr>
          <w:p w14:paraId="7B8390AF">
            <w:pPr>
              <w:autoSpaceDE w:val="0"/>
              <w:jc w:val="center"/>
              <w:rPr>
                <w:rFonts w:asciiTheme="minorEastAsia" w:hAnsiTheme="minorEastAsia" w:cstheme="minorEastAsia"/>
                <w:kern w:val="0"/>
                <w:szCs w:val="21"/>
              </w:rPr>
            </w:pPr>
            <w:bookmarkStart w:id="54" w:name="货物一览表_nums"/>
            <w:r>
              <w:rPr>
                <w:rFonts w:asciiTheme="minorEastAsia" w:eastAsiaTheme="minorEastAsia" w:hAnsiTheme="minorEastAsia" w:cstheme="minorEastAsia" w:hint="eastAsia"/>
                <w:kern w:val="0"/>
                <w:szCs w:val="21"/>
              </w:rPr>
              <w:t>采购数量</w:t>
            </w:r>
            <w:bookmarkEnd w:id="54"/>
          </w:p>
        </w:tc>
        <w:tc>
          <w:tcPr>
            <w:tcW w:w="1062" w:type="dxa"/>
          </w:tcPr>
          <w:p w14:paraId="72F33D6D">
            <w:pPr>
              <w:autoSpaceDE w:val="0"/>
              <w:jc w:val="center"/>
              <w:rPr>
                <w:rFonts w:asciiTheme="minorEastAsia" w:hAnsiTheme="minorEastAsia" w:cstheme="minorEastAsia"/>
                <w:kern w:val="0"/>
                <w:szCs w:val="21"/>
              </w:rPr>
            </w:pPr>
            <w:bookmarkStart w:id="55" w:name="货物一览表_units"/>
            <w:r>
              <w:rPr>
                <w:rFonts w:asciiTheme="minorEastAsia" w:eastAsiaTheme="minorEastAsia" w:hAnsiTheme="minorEastAsia" w:cstheme="minorEastAsia" w:hint="eastAsia"/>
                <w:kern w:val="0"/>
                <w:szCs w:val="21"/>
              </w:rPr>
              <w:t>计量单位</w:t>
            </w:r>
            <w:bookmarkEnd w:id="55"/>
          </w:p>
        </w:tc>
        <w:tc>
          <w:tcPr>
            <w:tcW w:w="1220" w:type="dxa"/>
          </w:tcPr>
          <w:p w14:paraId="24892D20">
            <w:pPr>
              <w:autoSpaceDE w:val="0"/>
              <w:jc w:val="center"/>
              <w:rPr>
                <w:rFonts w:asciiTheme="minorEastAsia" w:hAnsiTheme="minorEastAsia" w:cstheme="minorEastAsia"/>
                <w:kern w:val="0"/>
                <w:szCs w:val="21"/>
              </w:rPr>
            </w:pPr>
            <w:bookmarkStart w:id="56" w:name="货物一览表_procurementBudget"/>
            <w:r>
              <w:rPr>
                <w:rFonts w:asciiTheme="minorEastAsia" w:eastAsiaTheme="minorEastAsia" w:hAnsiTheme="minorEastAsia" w:cstheme="minorEastAsia" w:hint="eastAsia"/>
                <w:kern w:val="0"/>
                <w:szCs w:val="21"/>
              </w:rPr>
              <w:t>采购预算（元）</w:t>
            </w:r>
            <w:bookmarkEnd w:id="56"/>
          </w:p>
        </w:tc>
        <w:tc>
          <w:tcPr>
            <w:tcW w:w="1329" w:type="dxa"/>
          </w:tcPr>
          <w:p w14:paraId="27138270">
            <w:pPr>
              <w:autoSpaceDE w:val="0"/>
              <w:jc w:val="center"/>
              <w:rPr>
                <w:rFonts w:asciiTheme="minorEastAsia" w:hAnsiTheme="minorEastAsia" w:cstheme="minorEastAsia" w:hint="eastAsia"/>
                <w:kern w:val="0"/>
                <w:szCs w:val="21"/>
              </w:rPr>
            </w:pPr>
            <w:bookmarkStart w:id="5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8" w:name="货物一览表_remark"/>
            <w:r>
              <w:rPr>
                <w:rFonts w:asciiTheme="minorEastAsia" w:eastAsiaTheme="minorEastAsia" w:hAnsiTheme="minorEastAsia" w:cstheme="minorEastAsia" w:hint="eastAsia"/>
                <w:kern w:val="0"/>
                <w:szCs w:val="21"/>
              </w:rPr>
              <w:t>备注</w:t>
            </w:r>
            <w:bookmarkEnd w:id="5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甚低频/低频(VLF/LF)全闪定位仪</w:t>
            </w:r>
          </w:p>
        </w:tc>
        <w:tc>
          <w:tcPr/>
          <w:p>
            <w:pPr>
              <w:autoSpaceDE w:val="0"/>
              <w:jc w:val="center"/>
              <w:rPr>
                <w:rFonts w:asciiTheme="minorEastAsia" w:hAnsiTheme="minorEastAsia" w:cstheme="minorEastAsia"/>
                <w:kern w:val="0"/>
                <w:szCs w:val="21"/>
              </w:rPr>
            </w:pPr>
            <w:r>
              <w:t>55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10,120,000.00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r>
              <w:t>含设备、8年质保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10,120,000.00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4"/>
        <w:gridCol w:w="1722"/>
        <w:gridCol w:w="1722"/>
        <w:gridCol w:w="344"/>
        <w:gridCol w:w="785"/>
        <w:gridCol w:w="655"/>
        <w:gridCol w:w="1557"/>
        <w:gridCol w:w="13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大兴安岭地区气象局(001038036)</w:t>
            </w:r>
          </w:p>
        </w:tc>
        <w:tc>
          <w:tcPr/>
          <w:p>
            <w:r>
              <w:t>甚低频/低频(VLF/LF)全闪定位仪</w:t>
            </w:r>
          </w:p>
        </w:tc>
        <w:tc>
          <w:tcPr/>
          <w:p>
            <w:r>
              <w:t>11</w:t>
            </w:r>
          </w:p>
        </w:tc>
        <w:tc>
          <w:tcPr/>
          <w:p>
            <w:r>
              <w:t>2024000.00</w:t>
            </w:r>
          </w:p>
        </w:tc>
        <w:tc>
          <w:tcPr/>
          <w:p>
            <w:r>
              <w:t xml:space="preserve">2024000.00  </w:t>
            </w:r>
          </w:p>
        </w:tc>
        <w:tc>
          <w:tcPr/>
          <w:p>
            <w:r>
              <w:t>黑龙江省大兴安岭地区气象局</w:t>
            </w:r>
          </w:p>
        </w:tc>
        <w:tc>
          <w:tcPr/>
          <w:p>
            <w:r>
              <w:t>含设备、8年质保（张金勇 联系方式：13845751341）</w:t>
            </w:r>
          </w:p>
        </w:tc>
      </w:tr>
      <w:tr>
        <w:tblPrEx>
          <w:tblW w:w="5000" w:type="pct"/>
          <w:tblCellMar>
            <w:left w:w="108" w:type="dxa"/>
            <w:right w:w="108" w:type="dxa"/>
          </w:tblCellMar>
        </w:tblPrEx>
        <w:tc>
          <w:tcPr/>
          <w:p>
            <w:r>
              <w:t>2</w:t>
            </w:r>
          </w:p>
        </w:tc>
        <w:tc>
          <w:tcPr/>
          <w:p>
            <w:r>
              <w:t>漠河市气象局(001038036014)</w:t>
            </w:r>
          </w:p>
        </w:tc>
        <w:tc>
          <w:tcPr/>
          <w:p>
            <w:r>
              <w:t>甚低频/低频(VLF/LF)全闪定位仪</w:t>
            </w:r>
          </w:p>
        </w:tc>
        <w:tc>
          <w:tcPr/>
          <w:p>
            <w:r>
              <w:t>10</w:t>
            </w:r>
          </w:p>
        </w:tc>
        <w:tc>
          <w:tcPr/>
          <w:p>
            <w:r>
              <w:t>1840000.00</w:t>
            </w:r>
          </w:p>
        </w:tc>
        <w:tc>
          <w:tcPr/>
          <w:p>
            <w:r>
              <w:t xml:space="preserve">1840000.00 </w:t>
            </w:r>
          </w:p>
        </w:tc>
        <w:tc>
          <w:tcPr/>
          <w:p>
            <w:r>
              <w:t>漠河市气象局</w:t>
            </w:r>
          </w:p>
        </w:tc>
        <w:tc>
          <w:tcPr/>
          <w:p>
            <w:r>
              <w:t>含设备、8年质保（陈永山 联系方式：15945700090）</w:t>
            </w:r>
          </w:p>
        </w:tc>
      </w:tr>
      <w:tr>
        <w:tblPrEx>
          <w:tblW w:w="5000" w:type="pct"/>
          <w:tblCellMar>
            <w:left w:w="108" w:type="dxa"/>
            <w:right w:w="108" w:type="dxa"/>
          </w:tblCellMar>
        </w:tblPrEx>
        <w:tc>
          <w:tcPr/>
          <w:p>
            <w:r>
              <w:t>3</w:t>
            </w:r>
          </w:p>
        </w:tc>
        <w:tc>
          <w:tcPr/>
          <w:p>
            <w:r>
              <w:t>塔河县气象局(001038036015)</w:t>
            </w:r>
          </w:p>
        </w:tc>
        <w:tc>
          <w:tcPr/>
          <w:p>
            <w:r>
              <w:t>甚低频/低频(VLF/LF)全闪定位仪</w:t>
            </w:r>
          </w:p>
        </w:tc>
        <w:tc>
          <w:tcPr/>
          <w:p>
            <w:r>
              <w:t>10</w:t>
            </w:r>
          </w:p>
        </w:tc>
        <w:tc>
          <w:tcPr/>
          <w:p>
            <w:r>
              <w:t>1840000.00</w:t>
            </w:r>
          </w:p>
        </w:tc>
        <w:tc>
          <w:tcPr/>
          <w:p>
            <w:r>
              <w:t xml:space="preserve">1840000.00  </w:t>
            </w:r>
          </w:p>
        </w:tc>
        <w:tc>
          <w:tcPr/>
          <w:p>
            <w:r>
              <w:t>黑龙江省塔河县气象局</w:t>
            </w:r>
          </w:p>
        </w:tc>
        <w:tc>
          <w:tcPr/>
          <w:p>
            <w:r>
              <w:t>含设备、8年质保（刘磊 联系方式：13845743418）</w:t>
            </w:r>
          </w:p>
        </w:tc>
      </w:tr>
      <w:tr>
        <w:tblPrEx>
          <w:tblW w:w="5000" w:type="pct"/>
          <w:tblCellMar>
            <w:left w:w="108" w:type="dxa"/>
            <w:right w:w="108" w:type="dxa"/>
          </w:tblCellMar>
        </w:tblPrEx>
        <w:tc>
          <w:tcPr/>
          <w:p>
            <w:r>
              <w:t>4</w:t>
            </w:r>
          </w:p>
        </w:tc>
        <w:tc>
          <w:tcPr/>
          <w:p>
            <w:r>
              <w:t>呼玛县气象局(001038036016)</w:t>
            </w:r>
          </w:p>
        </w:tc>
        <w:tc>
          <w:tcPr/>
          <w:p>
            <w:r>
              <w:t>甚低频/低频(VLF/LF)全闪定位仪</w:t>
            </w:r>
          </w:p>
        </w:tc>
        <w:tc>
          <w:tcPr/>
          <w:p>
            <w:r>
              <w:t>9</w:t>
            </w:r>
          </w:p>
        </w:tc>
        <w:tc>
          <w:tcPr/>
          <w:p>
            <w:r>
              <w:t>1656000.00</w:t>
            </w:r>
          </w:p>
        </w:tc>
        <w:tc>
          <w:tcPr/>
          <w:p>
            <w:r>
              <w:t xml:space="preserve">1656000.00 </w:t>
            </w:r>
          </w:p>
        </w:tc>
        <w:tc>
          <w:tcPr/>
          <w:p>
            <w:r>
              <w:t>呼玛县气象局</w:t>
            </w:r>
          </w:p>
        </w:tc>
        <w:tc>
          <w:tcPr/>
          <w:p>
            <w:r>
              <w:t>含设备、8年质保（侯方 联系方式：13555077534）</w:t>
            </w:r>
          </w:p>
        </w:tc>
      </w:tr>
      <w:tr>
        <w:tblPrEx>
          <w:tblW w:w="5000" w:type="pct"/>
          <w:tblCellMar>
            <w:left w:w="108" w:type="dxa"/>
            <w:right w:w="108" w:type="dxa"/>
          </w:tblCellMar>
        </w:tblPrEx>
        <w:tc>
          <w:tcPr/>
          <w:p>
            <w:r>
              <w:t>5</w:t>
            </w:r>
          </w:p>
        </w:tc>
        <w:tc>
          <w:tcPr/>
          <w:p>
            <w:r>
              <w:t>呼中区气象局(001038036017)</w:t>
            </w:r>
          </w:p>
        </w:tc>
        <w:tc>
          <w:tcPr/>
          <w:p>
            <w:r>
              <w:t>甚低频/低频(VLF/LF)全闪定位仪</w:t>
            </w:r>
          </w:p>
        </w:tc>
        <w:tc>
          <w:tcPr/>
          <w:p>
            <w:r>
              <w:t>8</w:t>
            </w:r>
          </w:p>
        </w:tc>
        <w:tc>
          <w:tcPr/>
          <w:p>
            <w:r>
              <w:t>1472000.00</w:t>
            </w:r>
          </w:p>
        </w:tc>
        <w:tc>
          <w:tcPr/>
          <w:p>
            <w:r>
              <w:t xml:space="preserve">1472000.00  </w:t>
            </w:r>
          </w:p>
        </w:tc>
        <w:tc>
          <w:tcPr/>
          <w:p>
            <w:r>
              <w:t>黑龙江省呼中区气象局</w:t>
            </w:r>
          </w:p>
        </w:tc>
        <w:tc>
          <w:tcPr/>
          <w:p>
            <w:r>
              <w:t>含设备、8年质保（齐振洋 联系方式：13846571982）</w:t>
            </w:r>
          </w:p>
        </w:tc>
      </w:tr>
      <w:tr>
        <w:tblPrEx>
          <w:tblW w:w="5000" w:type="pct"/>
          <w:tblCellMar>
            <w:left w:w="108" w:type="dxa"/>
            <w:right w:w="108" w:type="dxa"/>
          </w:tblCellMar>
        </w:tblPrEx>
        <w:tc>
          <w:tcPr/>
          <w:p>
            <w:r>
              <w:t>6</w:t>
            </w:r>
          </w:p>
        </w:tc>
        <w:tc>
          <w:tcPr/>
          <w:p>
            <w:r>
              <w:t>新林区气象局(001038036018)</w:t>
            </w:r>
          </w:p>
        </w:tc>
        <w:tc>
          <w:tcPr/>
          <w:p>
            <w:r>
              <w:t>甚低频/低频(VLF/LF)全闪定位仪</w:t>
            </w:r>
          </w:p>
        </w:tc>
        <w:tc>
          <w:tcPr/>
          <w:p>
            <w:r>
              <w:t>7</w:t>
            </w:r>
          </w:p>
        </w:tc>
        <w:tc>
          <w:tcPr/>
          <w:p>
            <w:r>
              <w:t>1288000.00</w:t>
            </w:r>
          </w:p>
        </w:tc>
        <w:tc>
          <w:tcPr/>
          <w:p>
            <w:r>
              <w:t xml:space="preserve">1288000.00 </w:t>
            </w:r>
          </w:p>
        </w:tc>
        <w:tc>
          <w:tcPr/>
          <w:p>
            <w:r>
              <w:t>黑龙江省新林区气象局</w:t>
            </w:r>
          </w:p>
        </w:tc>
        <w:tc>
          <w:tcPr/>
          <w:p>
            <w:r>
              <w:t>含设备、8年质保（吴微 联系方式：13845755330）</w:t>
            </w:r>
          </w:p>
        </w:tc>
      </w:tr>
    </w:tbl>
    <w:p w:rsidR="00A77B3E"/>
    <w:p w14:paraId="51954372">
      <w:pPr>
        <w:spacing w:line="360" w:lineRule="auto"/>
        <w:rPr>
          <w:rFonts w:ascii="宋体" w:hAnsi="宋体"/>
          <w:szCs w:val="21"/>
        </w:rPr>
      </w:pPr>
      <w:bookmarkEnd w:id="5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CD3213">
      <w:pPr>
        <w:spacing w:line="560" w:lineRule="exact"/>
        <w:ind w:firstLine="720" w:firstLineChars="200"/>
        <w:jc w:val="center"/>
        <w:rPr>
          <w:rFonts w:ascii="仿宋" w:eastAsia="仿宋" w:hAnsi="仿宋" w:cs="仿宋"/>
          <w:b/>
          <w:sz w:val="28"/>
          <w:szCs w:val="20"/>
        </w:rPr>
      </w:pPr>
      <w:bookmarkStart w:id="60" w:name="插入_采购需求书_0"/>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CD321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为深入贯彻落实习近平总书记关于气象工作的重要指示精神，着力推进观测站网、运行保障、观测产品等高质量发展，进一步强化气象监测预警能力。依据《综合气象观测业务发展“十四五”规划》和《</w:t>
      </w:r>
      <w:r>
        <w:rPr>
          <w:rFonts w:ascii="仿宋" w:eastAsia="仿宋" w:hAnsi="仿宋" w:cs="仿宋" w:hint="eastAsia"/>
          <w:sz w:val="28"/>
          <w:szCs w:val="20"/>
        </w:rPr>
        <w:t>2025</w:t>
      </w:r>
      <w:r>
        <w:rPr>
          <w:rFonts w:ascii="仿宋" w:eastAsia="仿宋" w:hAnsi="仿宋" w:cs="仿宋" w:hint="eastAsia"/>
          <w:sz w:val="28"/>
          <w:szCs w:val="20"/>
        </w:rPr>
        <w:t>年黑龙江省大兴安岭地区新建全闪探测设备及可燃物监测站项目可行性研究报告》</w:t>
      </w:r>
      <w:r>
        <w:rPr>
          <w:rFonts w:ascii="仿宋" w:eastAsia="仿宋" w:hAnsi="仿宋" w:cs="仿宋" w:hint="eastAsia"/>
          <w:sz w:val="28"/>
          <w:szCs w:val="20"/>
        </w:rPr>
        <w:t>，开展全闪探测设备建设。</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项目建成后，雷电全闪监测站点空白区得以有效弥补，闪电定位数据进一步丰富，将有效提升雷电气象监测与气象服务综合能力，更好发挥防灾减灾等气象监测和服务作用。</w:t>
      </w:r>
    </w:p>
    <w:p w:rsidR="00CD3213">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w:t>
      </w:r>
      <w:r>
        <w:rPr>
          <w:rFonts w:ascii="仿宋" w:eastAsia="仿宋" w:hAnsi="仿宋" w:cs="仿宋" w:hint="eastAsia"/>
          <w:color w:val="0000FF"/>
          <w:sz w:val="28"/>
          <w:szCs w:val="20"/>
        </w:rPr>
        <w:t>（</w:t>
      </w:r>
      <w:r>
        <w:rPr>
          <w:rFonts w:ascii="仿宋" w:eastAsia="仿宋" w:hAnsi="仿宋" w:cs="仿宋" w:hint="eastAsia"/>
          <w:color w:val="0000FF"/>
          <w:sz w:val="28"/>
          <w:szCs w:val="28"/>
        </w:rPr>
        <w:t>含设备与国家雷电业务的接入及维护和系统评估、数据处理系统与国家业务软件的集成适应性改造及维护和系统评估）</w:t>
      </w:r>
      <w:r>
        <w:rPr>
          <w:rFonts w:ascii="仿宋" w:eastAsia="仿宋" w:hAnsi="仿宋" w:cs="仿宋" w:hint="eastAsia"/>
          <w:sz w:val="28"/>
          <w:szCs w:val="28"/>
        </w:rPr>
        <w:t>，包括设备售后服务组织机构、人员组成、技术支持文档等。其中，售后服务</w:t>
      </w:r>
      <w:r>
        <w:rPr>
          <w:rFonts w:ascii="仿宋" w:eastAsia="仿宋" w:hAnsi="仿宋" w:cs="仿宋" w:hint="eastAsia"/>
          <w:sz w:val="28"/>
          <w:szCs w:val="28"/>
        </w:rPr>
        <w:t>组织机构设置合</w:t>
      </w:r>
      <w:r>
        <w:rPr>
          <w:rFonts w:ascii="仿宋" w:eastAsia="仿宋" w:hAnsi="仿宋" w:cs="仿宋" w:hint="eastAsia"/>
          <w:sz w:val="28"/>
          <w:szCs w:val="28"/>
        </w:rPr>
        <w:t>理，</w:t>
      </w:r>
      <w:r>
        <w:rPr>
          <w:rFonts w:ascii="仿宋" w:eastAsia="仿宋" w:hAnsi="仿宋" w:cs="仿宋" w:hint="eastAsia"/>
          <w:sz w:val="28"/>
          <w:szCs w:val="28"/>
        </w:rPr>
        <w:t>服务内容完整，</w:t>
      </w:r>
      <w:r>
        <w:rPr>
          <w:rFonts w:ascii="仿宋" w:eastAsia="仿宋" w:hAnsi="仿宋" w:cs="仿宋" w:hint="eastAsia"/>
          <w:sz w:val="28"/>
          <w:szCs w:val="20"/>
        </w:rPr>
        <w:t>人</w:t>
      </w:r>
      <w:r>
        <w:rPr>
          <w:rFonts w:ascii="仿宋" w:eastAsia="仿宋" w:hAnsi="仿宋" w:cs="仿宋" w:hint="eastAsia"/>
          <w:sz w:val="28"/>
          <w:szCs w:val="20"/>
        </w:rPr>
        <w:t>员技术能力强，技术文档内容全面。</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供应商按照业务运行规范要求执行，确保设备及数据处理系统可稳定运行至少</w:t>
      </w:r>
      <w:r>
        <w:rPr>
          <w:rFonts w:ascii="仿宋" w:eastAsia="仿宋" w:hAnsi="仿宋" w:cs="仿宋" w:hint="eastAsia"/>
          <w:sz w:val="28"/>
          <w:szCs w:val="20"/>
        </w:rPr>
        <w:t>8</w:t>
      </w:r>
      <w:r>
        <w:rPr>
          <w:rFonts w:ascii="仿宋" w:eastAsia="仿宋" w:hAnsi="仿宋" w:cs="仿宋" w:hint="eastAsia"/>
          <w:sz w:val="28"/>
          <w:szCs w:val="20"/>
        </w:rPr>
        <w:t>年，主要包括安装场地使用、通讯、供电、巡检、巡查等工作，以及关键器件及系统故障的维修等。故障维修和巡检巡查等需按照《“十四五”期间综合观测类工程项目新上设备建设及质保指导意见》中“全闪</w:t>
      </w:r>
      <w:r>
        <w:rPr>
          <w:rFonts w:ascii="仿宋" w:eastAsia="仿宋" w:hAnsi="仿宋" w:cs="仿宋" w:hint="eastAsia"/>
          <w:sz w:val="28"/>
          <w:szCs w:val="20"/>
        </w:rPr>
        <w:t>定位仪”采购要求中相关要求执行，并提供相关承诺函。</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）供应商将所有设备运送到招标人指定地点（运输相关费用由供应商负责），并负责安装调试；用户方协助联系安装场地、供电及通讯，设备安装调试、验收等相关工作，相关费用由供应商负责。</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）运行和质量保障期：</w:t>
      </w:r>
      <w:r>
        <w:rPr>
          <w:rFonts w:ascii="仿宋" w:eastAsia="仿宋" w:hAnsi="仿宋" w:cs="仿宋" w:hint="eastAsia"/>
          <w:sz w:val="28"/>
          <w:szCs w:val="20"/>
        </w:rPr>
        <w:t>8</w:t>
      </w:r>
      <w:r>
        <w:rPr>
          <w:rFonts w:ascii="仿宋" w:eastAsia="仿宋" w:hAnsi="仿宋" w:cs="仿宋" w:hint="eastAsia"/>
          <w:sz w:val="28"/>
          <w:szCs w:val="20"/>
        </w:rPr>
        <w:t>年，设备供应商对所有设备提供自验收合格后</w:t>
      </w:r>
      <w:r>
        <w:rPr>
          <w:rFonts w:ascii="仿宋" w:eastAsia="仿宋" w:hAnsi="仿宋" w:cs="仿宋" w:hint="eastAsia"/>
          <w:sz w:val="28"/>
          <w:szCs w:val="20"/>
        </w:rPr>
        <w:t>8</w:t>
      </w:r>
      <w:r>
        <w:rPr>
          <w:rFonts w:ascii="仿宋" w:eastAsia="仿宋" w:hAnsi="仿宋" w:cs="仿宋" w:hint="eastAsia"/>
          <w:sz w:val="28"/>
          <w:szCs w:val="20"/>
        </w:rPr>
        <w:t>年的运行保障和质量保障服务，免费维护维修服务，并提供相关承诺函，且满足《“十四五”期间综合观测类工程项目新上设备建设及质保指导意见》对设备与</w:t>
      </w:r>
      <w:r>
        <w:rPr>
          <w:rFonts w:ascii="仿宋" w:eastAsia="仿宋" w:hAnsi="仿宋" w:cs="仿宋" w:hint="eastAsia"/>
          <w:sz w:val="28"/>
          <w:szCs w:val="20"/>
        </w:rPr>
        <w:t>8</w:t>
      </w:r>
      <w:r>
        <w:rPr>
          <w:rFonts w:ascii="仿宋" w:eastAsia="仿宋" w:hAnsi="仿宋" w:cs="仿宋" w:hint="eastAsia"/>
          <w:sz w:val="28"/>
          <w:szCs w:val="20"/>
        </w:rPr>
        <w:t>年质保服务费、工程建设其他费用、备品备件、故障维修、巡检巡查的所有要求。运行期保障费以实际为准</w:t>
      </w:r>
      <w:r>
        <w:rPr>
          <w:rFonts w:ascii="仿宋" w:eastAsia="仿宋" w:hAnsi="仿宋" w:cs="仿宋" w:hint="eastAsia"/>
          <w:sz w:val="28"/>
          <w:szCs w:val="20"/>
        </w:rPr>
        <w:t>，</w:t>
      </w:r>
      <w:r>
        <w:rPr>
          <w:rFonts w:ascii="仿宋" w:eastAsia="仿宋" w:hAnsi="仿宋" w:cs="仿宋" w:hint="eastAsia"/>
          <w:sz w:val="28"/>
          <w:szCs w:val="20"/>
        </w:rPr>
        <w:t>质保费用原则上不低于应标价的</w:t>
      </w:r>
      <w:r>
        <w:rPr>
          <w:rFonts w:ascii="仿宋" w:eastAsia="仿宋" w:hAnsi="仿宋" w:cs="仿宋" w:hint="eastAsia"/>
          <w:sz w:val="28"/>
          <w:szCs w:val="20"/>
        </w:rPr>
        <w:t>20%</w:t>
      </w:r>
      <w:r>
        <w:rPr>
          <w:rFonts w:ascii="仿宋" w:eastAsia="仿宋" w:hAnsi="仿宋" w:cs="仿宋" w:hint="eastAsia"/>
          <w:sz w:val="28"/>
          <w:szCs w:val="20"/>
        </w:rPr>
        <w:t>，中标单位按照甲乙双方合同约定事宜完成任务。按照业务运行规范要求执行，确保设备及数据处理系统可稳定运行。</w:t>
      </w:r>
      <w:r>
        <w:rPr>
          <w:rFonts w:ascii="仿宋" w:eastAsia="仿宋" w:hAnsi="仿宋" w:cs="仿宋" w:hint="eastAsia"/>
          <w:sz w:val="28"/>
          <w:szCs w:val="28"/>
        </w:rPr>
        <w:t>主要工作包括：汛前巡检</w:t>
      </w:r>
      <w:r>
        <w:rPr>
          <w:rFonts w:ascii="仿宋" w:eastAsia="仿宋" w:hAnsi="仿宋" w:cs="仿宋" w:hint="eastAsia"/>
          <w:sz w:val="28"/>
          <w:szCs w:val="28"/>
        </w:rPr>
        <w:t>、周维护、月维护、年维护等巡检巡查工作，以及关键器件及系统故障的维修、数据处理系统的维护和故障修复、观测及定位数据对比分析评估等。</w:t>
      </w:r>
      <w:r>
        <w:rPr>
          <w:rFonts w:ascii="仿宋" w:eastAsia="仿宋" w:hAnsi="仿宋" w:cs="仿宋" w:hint="eastAsia"/>
          <w:sz w:val="28"/>
          <w:szCs w:val="20"/>
        </w:rPr>
        <w:t>供应商需对</w:t>
      </w:r>
      <w:r>
        <w:rPr>
          <w:rFonts w:ascii="仿宋" w:eastAsia="仿宋" w:hAnsi="仿宋" w:cs="仿宋" w:hint="eastAsia"/>
          <w:sz w:val="28"/>
          <w:szCs w:val="20"/>
        </w:rPr>
        <w:t>质保期（保内、保外）政策进行阐述或承诺，列明有偿服务和无偿服务内容。</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）在运行和质量保障期内，</w:t>
      </w:r>
      <w:r>
        <w:rPr>
          <w:rFonts w:ascii="仿宋" w:eastAsia="仿宋" w:hAnsi="仿宋" w:cs="仿宋" w:hint="eastAsia"/>
          <w:sz w:val="28"/>
          <w:szCs w:val="20"/>
        </w:rPr>
        <w:t xml:space="preserve"> </w:t>
      </w:r>
      <w:r>
        <w:rPr>
          <w:rFonts w:ascii="仿宋" w:eastAsia="仿宋" w:hAnsi="仿宋" w:cs="仿宋" w:hint="eastAsia"/>
          <w:sz w:val="28"/>
          <w:szCs w:val="20"/>
        </w:rPr>
        <w:t>设备供应商服务时间应为</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小时，当投标产品或软件遭到损坏或出现故障时，要在用户报修之时起</w:t>
      </w:r>
      <w:r>
        <w:rPr>
          <w:rFonts w:ascii="仿宋" w:eastAsia="仿宋" w:hAnsi="仿宋" w:cs="仿宋" w:hint="eastAsia"/>
          <w:sz w:val="28"/>
          <w:szCs w:val="20"/>
        </w:rPr>
        <w:t>4</w:t>
      </w:r>
      <w:r>
        <w:rPr>
          <w:rFonts w:ascii="仿宋" w:eastAsia="仿宋" w:hAnsi="仿宋" w:cs="仿宋" w:hint="eastAsia"/>
          <w:sz w:val="28"/>
          <w:szCs w:val="20"/>
        </w:rPr>
        <w:t>小时内做出响应，开展维修维护工作，视情况双方协</w:t>
      </w:r>
      <w:r>
        <w:rPr>
          <w:rFonts w:ascii="仿宋" w:eastAsia="仿宋" w:hAnsi="仿宋" w:cs="仿宋" w:hint="eastAsia"/>
          <w:sz w:val="28"/>
          <w:szCs w:val="20"/>
        </w:rPr>
        <w:t>商设备恢复正常运行时限。</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）运行和质量保障期过后，供应商仍有义务提供技术服务（</w:t>
      </w:r>
      <w:r>
        <w:rPr>
          <w:rFonts w:ascii="仿宋" w:eastAsia="仿宋" w:hAnsi="仿宋" w:cs="仿宋" w:hint="eastAsia"/>
          <w:sz w:val="28"/>
          <w:szCs w:val="28"/>
        </w:rPr>
        <w:t>包括</w:t>
      </w:r>
      <w:r>
        <w:rPr>
          <w:rFonts w:ascii="仿宋" w:eastAsia="仿宋" w:hAnsi="仿宋" w:cs="仿宋" w:hint="eastAsia"/>
          <w:color w:val="FF0000"/>
          <w:sz w:val="28"/>
          <w:szCs w:val="28"/>
        </w:rPr>
        <w:t>数据处理系统升级更新、观测及定位数据对比分析评估、</w:t>
      </w:r>
      <w:r>
        <w:rPr>
          <w:rFonts w:ascii="仿宋" w:eastAsia="仿宋" w:hAnsi="仿宋" w:cs="仿宋" w:hint="eastAsia"/>
          <w:sz w:val="28"/>
          <w:szCs w:val="28"/>
        </w:rPr>
        <w:t>提供设备维护、备件等</w:t>
      </w:r>
      <w:r>
        <w:rPr>
          <w:rFonts w:ascii="仿宋" w:eastAsia="仿宋" w:hAnsi="仿宋" w:cs="仿宋" w:hint="eastAsia"/>
          <w:sz w:val="28"/>
          <w:szCs w:val="20"/>
        </w:rPr>
        <w:t>）。</w:t>
      </w:r>
    </w:p>
    <w:p w:rsidR="00CD3213">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设备供应</w:t>
      </w:r>
      <w:r>
        <w:rPr>
          <w:rFonts w:ascii="仿宋" w:eastAsia="仿宋" w:hAnsi="仿宋" w:cs="仿宋" w:hint="eastAsia"/>
          <w:sz w:val="28"/>
          <w:szCs w:val="20"/>
        </w:rPr>
        <w:t>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40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CD3213">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中标供应商将所有设备运送至黑龙江境内的甲方指定地点（运输相关费用由供应商负责），并负责安装调试。</w:t>
      </w:r>
    </w:p>
    <w:p w:rsidR="00CD3213">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w:t>
      </w:r>
      <w:r>
        <w:rPr>
          <w:rFonts w:ascii="仿宋" w:eastAsia="仿宋" w:hAnsi="仿宋" w:cs="仿宋" w:hint="eastAsia"/>
          <w:sz w:val="28"/>
          <w:szCs w:val="20"/>
        </w:rPr>
        <w:t>50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CD3213">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CD3213">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CD3213" w:rsidP="006F643C">
      <w:pPr>
        <w:ind w:firstLine="560" w:firstLineChars="200"/>
        <w:rPr>
          <w:rFonts w:eastAsia="仿宋"/>
          <w:szCs w:val="32"/>
        </w:rPr>
      </w:pPr>
      <w:r>
        <w:rPr>
          <w:rFonts w:ascii="仿宋" w:eastAsia="仿宋" w:hAnsi="仿宋" w:cs="仿宋" w:hint="eastAsia"/>
          <w:sz w:val="28"/>
          <w:szCs w:val="20"/>
        </w:rPr>
        <w:t>设备支持业务平台无缝接入，完全符合甲方相关要求和规范，保证其系统的兼容性和功能的完整性。实现设备与国家雷电业务系统无缝接入，</w:t>
      </w:r>
      <w:r>
        <w:rPr>
          <w:rFonts w:ascii="仿宋" w:eastAsia="仿宋" w:hAnsi="仿宋" w:cs="仿宋" w:hint="eastAsia"/>
          <w:sz w:val="28"/>
          <w:szCs w:val="20"/>
        </w:rPr>
        <w:t>完全符合甲方相关要求和规范，提供设备单北斗技术证明及测试报告。提供数据处理系统核心算法源码，保证其</w:t>
      </w:r>
      <w:r>
        <w:rPr>
          <w:rFonts w:ascii="仿宋" w:eastAsia="仿宋" w:hAnsi="仿宋" w:cs="仿宋" w:hint="eastAsia"/>
          <w:sz w:val="28"/>
          <w:szCs w:val="20"/>
        </w:rPr>
        <w:t>功能和性能符合《</w:t>
      </w:r>
      <w:r>
        <w:rPr>
          <w:rFonts w:ascii="仿宋" w:eastAsia="仿宋" w:hAnsi="仿宋" w:cs="仿宋" w:hint="eastAsia"/>
          <w:sz w:val="28"/>
          <w:szCs w:val="20"/>
        </w:rPr>
        <w:t>VLF_LF</w:t>
      </w:r>
      <w:r>
        <w:rPr>
          <w:rFonts w:ascii="仿宋" w:eastAsia="仿宋" w:hAnsi="仿宋" w:cs="仿宋" w:hint="eastAsia"/>
          <w:sz w:val="28"/>
          <w:szCs w:val="20"/>
        </w:rPr>
        <w:t>全闪定位仪功能需求书》中要求，支持基于特征量数据实现多站定位处理，实现数据处理系统与国家雷电业务软件的集成适应性改造，完全符合甲方相关要求和规范。</w:t>
      </w:r>
      <w:bookmarkEnd w:id="60"/>
      <w:r>
        <w:rPr>
          <w:rFonts w:eastAsia="方正仿宋_GBK"/>
          <w:bCs/>
          <w:w w:val="85"/>
          <w:szCs w:val="32"/>
        </w:rPr>
        <w:br w:type="page"/>
      </w:r>
    </w:p>
    <w:p w:rsidR="00CD3213">
      <w:pPr>
        <w:spacing w:line="560" w:lineRule="exact"/>
        <w:outlineLvl w:val="1"/>
        <w:rPr>
          <w:rFonts w:ascii="黑体" w:eastAsia="黑体" w:hAnsi="黑体"/>
          <w:bCs/>
          <w:snapToGrid w:val="0"/>
          <w:kern w:val="0"/>
          <w:sz w:val="44"/>
          <w:szCs w:val="44"/>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rsidR="00B63522" w14:paraId="6262D8D5"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1"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B63522" w14:paraId="0FEE3C9A"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w:t>
      </w:r>
      <w:r>
        <w:rPr>
          <w:rFonts w:ascii="宋体" w:hAnsi="宋体" w:hint="eastAsia"/>
          <w:szCs w:val="21"/>
        </w:rPr>
        <w:t>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41FF9AAC" w14:textId="7777777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63522" w14:paraId="4D38E7D2" w14:textId="77777777">
            <w:pPr>
              <w:rPr>
                <w:sz w:val="18"/>
                <w:szCs w:val="18"/>
              </w:rPr>
            </w:pPr>
            <w:r>
              <w:rPr>
                <w:rFonts w:hint="eastAsia"/>
                <w:sz w:val="18"/>
                <w:szCs w:val="18"/>
              </w:rPr>
              <w:t>序号</w:t>
            </w:r>
          </w:p>
        </w:tc>
        <w:tc>
          <w:tcPr>
            <w:tcW w:w="898" w:type="dxa"/>
            <w:vAlign w:val="center"/>
          </w:tcPr>
          <w:p w:rsidR="00B63522" w14:paraId="402CA8A7" w14:textId="77777777">
            <w:pPr>
              <w:jc w:val="center"/>
              <w:rPr>
                <w:sz w:val="18"/>
                <w:szCs w:val="18"/>
              </w:rPr>
            </w:pPr>
            <w:r>
              <w:rPr>
                <w:rFonts w:hint="eastAsia"/>
                <w:sz w:val="18"/>
                <w:szCs w:val="18"/>
              </w:rPr>
              <w:t>对应</w:t>
            </w:r>
          </w:p>
          <w:p w:rsidR="00B63522" w14:paraId="3812B088" w14:textId="77777777">
            <w:pPr>
              <w:jc w:val="center"/>
              <w:rPr>
                <w:sz w:val="18"/>
                <w:szCs w:val="18"/>
              </w:rPr>
            </w:pPr>
            <w:r>
              <w:rPr>
                <w:rFonts w:hint="eastAsia"/>
                <w:sz w:val="18"/>
                <w:szCs w:val="18"/>
              </w:rPr>
              <w:t>条款号</w:t>
            </w:r>
          </w:p>
        </w:tc>
        <w:tc>
          <w:tcPr>
            <w:tcW w:w="7347" w:type="dxa"/>
            <w:vAlign w:val="center"/>
          </w:tcPr>
          <w:p w:rsidR="00B63522" w14:paraId="4752AD5A"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00464940" w14:textId="77777777">
        <w:tblPrEx>
          <w:tblW w:w="8789" w:type="dxa"/>
          <w:tblLayout w:type="fixed"/>
          <w:tblLook w:val="04A0"/>
        </w:tblPrEx>
        <w:trPr>
          <w:cantSplit/>
        </w:trPr>
        <w:tc>
          <w:tcPr>
            <w:tcW w:w="8789" w:type="dxa"/>
            <w:gridSpan w:val="3"/>
            <w:vAlign w:val="center"/>
          </w:tcPr>
          <w:p w:rsidR="00B63522" w14:paraId="055C78CA"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5A15D320" w14:textId="77777777">
        <w:tblPrEx>
          <w:tblW w:w="8789" w:type="dxa"/>
          <w:tblLayout w:type="fixed"/>
          <w:tblLook w:val="04A0"/>
        </w:tblPrEx>
        <w:trPr>
          <w:cantSplit/>
        </w:trPr>
        <w:tc>
          <w:tcPr>
            <w:tcW w:w="544" w:type="dxa"/>
            <w:vAlign w:val="center"/>
          </w:tcPr>
          <w:p w:rsidR="00B63522" w14:paraId="5FA4FDEC" w14:textId="77777777">
            <w:pPr>
              <w:numPr>
                <w:ilvl w:val="0"/>
                <w:numId w:val="11"/>
              </w:numPr>
              <w:rPr>
                <w:rFonts w:ascii="宋体" w:hAnsi="宋体"/>
                <w:sz w:val="18"/>
                <w:szCs w:val="18"/>
              </w:rPr>
            </w:pPr>
          </w:p>
        </w:tc>
        <w:tc>
          <w:tcPr>
            <w:tcW w:w="898" w:type="dxa"/>
            <w:vAlign w:val="center"/>
          </w:tcPr>
          <w:p w:rsidR="00B63522" w14:paraId="312A8F01" w14:textId="3F0D8705">
            <w:pPr>
              <w:jc w:val="center"/>
              <w:rPr>
                <w:rFonts w:ascii="宋体" w:hAnsi="宋体"/>
                <w:sz w:val="18"/>
                <w:szCs w:val="18"/>
              </w:rPr>
            </w:pPr>
            <w:r>
              <w:rPr>
                <w:rFonts w:ascii="宋体" w:hAnsi="宋体" w:hint="eastAsia"/>
                <w:sz w:val="18"/>
                <w:szCs w:val="18"/>
              </w:rPr>
              <w:t>5</w:t>
            </w:r>
            <w:r>
              <w:rPr>
                <w:rFonts w:ascii="宋体" w:hAnsi="宋体" w:hint="eastAsia"/>
                <w:sz w:val="18"/>
                <w:szCs w:val="18"/>
              </w:rPr>
              <w:t>.3</w:t>
            </w:r>
          </w:p>
        </w:tc>
        <w:tc>
          <w:tcPr>
            <w:tcW w:w="7347" w:type="dxa"/>
          </w:tcPr>
          <w:p w:rsidR="00B63522" w14:paraId="6B3BD9F5" w14:textId="7777777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以下产品需要提供至投标截止日仍有效的《气象专用技术装备使用许可证》：甚低频</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低频（</w:t>
            </w:r>
            <w:r>
              <w:rPr>
                <w:rFonts w:ascii="宋体" w:hAnsi="宋体" w:cs="微软雅黑" w:hint="eastAsia"/>
                <w:b/>
                <w:color w:val="0000FF"/>
                <w:kern w:val="0"/>
                <w:sz w:val="18"/>
                <w:szCs w:val="18"/>
              </w:rPr>
              <w:t>VLF/LF</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全闪定位</w:t>
            </w:r>
            <w:r>
              <w:rPr>
                <w:rFonts w:ascii="宋体" w:hAnsi="宋体" w:cs="微软雅黑" w:hint="eastAsia"/>
                <w:b/>
                <w:color w:val="0000FF"/>
                <w:kern w:val="0"/>
                <w:sz w:val="18"/>
                <w:szCs w:val="18"/>
              </w:rPr>
              <w:t>仪</w:t>
            </w:r>
          </w:p>
        </w:tc>
      </w:tr>
      <w:tr w14:paraId="43113DE3" w14:textId="77777777">
        <w:tblPrEx>
          <w:tblW w:w="8789" w:type="dxa"/>
          <w:tblLayout w:type="fixed"/>
          <w:tblLook w:val="04A0"/>
        </w:tblPrEx>
        <w:trPr>
          <w:cantSplit/>
        </w:trPr>
        <w:tc>
          <w:tcPr>
            <w:tcW w:w="8789" w:type="dxa"/>
            <w:gridSpan w:val="3"/>
            <w:vAlign w:val="center"/>
          </w:tcPr>
          <w:p w:rsidR="00B63522" w14:paraId="4B99BF4E"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1BC27197" w14:textId="77777777">
        <w:tblPrEx>
          <w:tblW w:w="8789" w:type="dxa"/>
          <w:tblLayout w:type="fixed"/>
          <w:tblLook w:val="04A0"/>
        </w:tblPrEx>
        <w:trPr>
          <w:cantSplit/>
        </w:trPr>
        <w:tc>
          <w:tcPr>
            <w:tcW w:w="544" w:type="dxa"/>
            <w:vAlign w:val="center"/>
          </w:tcPr>
          <w:p w:rsidR="00B63522" w14:paraId="44D89E1C" w14:textId="77777777">
            <w:pPr>
              <w:numPr>
                <w:ilvl w:val="0"/>
                <w:numId w:val="11"/>
              </w:numPr>
              <w:rPr>
                <w:rFonts w:ascii="宋体" w:hAnsi="宋体"/>
                <w:sz w:val="18"/>
                <w:szCs w:val="18"/>
              </w:rPr>
            </w:pPr>
          </w:p>
        </w:tc>
        <w:tc>
          <w:tcPr>
            <w:tcW w:w="898" w:type="dxa"/>
            <w:vAlign w:val="center"/>
          </w:tcPr>
          <w:p w:rsidR="00B63522" w14:paraId="357DE43D" w14:textId="77777777">
            <w:pPr>
              <w:jc w:val="center"/>
              <w:rPr>
                <w:rFonts w:ascii="宋体" w:hAnsi="宋体"/>
                <w:sz w:val="18"/>
                <w:szCs w:val="18"/>
              </w:rPr>
            </w:pPr>
            <w:r>
              <w:rPr>
                <w:rFonts w:ascii="宋体" w:hAnsi="宋体" w:hint="eastAsia"/>
                <w:sz w:val="18"/>
                <w:szCs w:val="18"/>
              </w:rPr>
              <w:t>7.4</w:t>
            </w:r>
          </w:p>
        </w:tc>
        <w:tc>
          <w:tcPr>
            <w:tcW w:w="7347" w:type="dxa"/>
            <w:vAlign w:val="center"/>
          </w:tcPr>
          <w:p w:rsidR="00B63522" w14:paraId="3011078A" w14:textId="7777777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，并提供相关承诺函。</w:t>
            </w:r>
          </w:p>
        </w:tc>
      </w:tr>
    </w:tbl>
    <w:p w:rsidR="00B63522" w14:paraId="0B6B7839"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B63522" w14:paraId="5B4AD5AF"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61"/>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14:paraId="086355A9">
      <w:p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第八章  采购合同</w:t>
      </w:r>
    </w:p>
    <w:p w14:paraId="4C57B1C9">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14:paraId="7A8887F6">
      <w:pPr>
        <w:widowControl/>
        <w:jc w:val="center"/>
        <w:rPr>
          <w:rFonts w:ascii="宋体" w:eastAsia="微软雅黑" w:hAnsi="宋体" w:cs="宋体"/>
          <w:b/>
          <w:bCs/>
          <w:color w:val="595959"/>
          <w:spacing w:val="-20"/>
          <w:kern w:val="44"/>
          <w:sz w:val="48"/>
          <w:szCs w:val="48"/>
          <w:lang w:val="zh-CN"/>
        </w:rPr>
      </w:pPr>
    </w:p>
    <w:p w14:paraId="2737B50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4230CA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C5B1E99">
      <w:pPr>
        <w:rPr>
          <w:rFonts w:ascii="宋体" w:eastAsia="宋体" w:hAnsi="宋体" w:cs="宋体"/>
          <w:b/>
          <w:bCs/>
          <w:spacing w:val="-20"/>
          <w:kern w:val="44"/>
          <w:sz w:val="40"/>
          <w:szCs w:val="40"/>
        </w:rPr>
      </w:pPr>
    </w:p>
    <w:p w14:paraId="05FC6CAD">
      <w:pPr>
        <w:rPr>
          <w:rFonts w:ascii="宋体" w:eastAsia="宋体" w:hAnsi="宋体" w:cs="宋体"/>
          <w:b/>
          <w:bCs/>
          <w:spacing w:val="-20"/>
          <w:kern w:val="44"/>
          <w:sz w:val="40"/>
          <w:szCs w:val="40"/>
        </w:rPr>
      </w:pPr>
    </w:p>
    <w:p w14:paraId="62F0F2C2">
      <w:pPr>
        <w:rPr>
          <w:rFonts w:ascii="宋体" w:eastAsia="宋体" w:hAnsi="宋体" w:cs="宋体"/>
          <w:b/>
          <w:bCs/>
          <w:spacing w:val="-20"/>
          <w:kern w:val="44"/>
          <w:sz w:val="40"/>
          <w:szCs w:val="40"/>
        </w:rPr>
      </w:pPr>
    </w:p>
    <w:p w14:paraId="560577B0">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79EABE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17AB1E02">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0E9530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3BE82F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24F4C3F">
      <w:pPr>
        <w:rPr>
          <w:rFonts w:ascii="Times New Roman" w:eastAsia="宋体" w:hAnsi="Times New Roman" w:cs="Times New Roman"/>
          <w:szCs w:val="20"/>
        </w:rPr>
      </w:pPr>
    </w:p>
    <w:p w14:paraId="0A4366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050552AA">
      <w:pPr>
        <w:rPr>
          <w:rFonts w:ascii="Times New Roman" w:eastAsia="黑体" w:hAnsi="Times New Roman" w:cs="Times New Roman"/>
          <w:sz w:val="44"/>
          <w:szCs w:val="44"/>
        </w:rPr>
      </w:pPr>
    </w:p>
    <w:p w14:paraId="4B1FABD1">
      <w:pPr>
        <w:rPr>
          <w:rFonts w:ascii="Times New Roman" w:eastAsia="黑体" w:hAnsi="Times New Roman" w:cs="Times New Roman"/>
          <w:sz w:val="44"/>
          <w:szCs w:val="44"/>
        </w:rPr>
      </w:pPr>
    </w:p>
    <w:p w14:paraId="6B9FB27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3A575B3D">
      <w:pPr>
        <w:ind w:firstLine="640" w:firstLineChars="200"/>
        <w:rPr>
          <w:rFonts w:ascii="仿宋_GB2312" w:eastAsia="仿宋_GB2312" w:hAnsi="仿宋_GB2312" w:cs="仿宋_GB2312"/>
          <w:sz w:val="32"/>
          <w:szCs w:val="32"/>
        </w:rPr>
      </w:pPr>
    </w:p>
    <w:p w14:paraId="31A9BFD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DE409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5F25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F57E485">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176EBF01">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3"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3"/>
    </w:p>
    <w:p w14:paraId="1B2696C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372D57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E54153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EB8A86B">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7A87AF7">
      <w:pPr>
        <w:spacing w:line="400" w:lineRule="exact"/>
        <w:rPr>
          <w:rFonts w:ascii="Times New Roman" w:eastAsia="宋体" w:hAnsi="Times New Roman" w:cs="Times New Roman"/>
          <w:szCs w:val="20"/>
        </w:rPr>
      </w:pPr>
    </w:p>
    <w:p w14:paraId="025CA8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14C00A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7F58C1">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4255DC68">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752DF3B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57E833E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476D1C8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06240CC1">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5B0E5035">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03FD31A1">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06E35D2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9FF2396">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062620C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624E3D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1ABC334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4F35D2E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3ED9834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5277D54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3F20CB3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9CBC485">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22E8ACA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6D81834">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1C54AB55">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A5AE018">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F676EDB">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DACBA63">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FF787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BE5D45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16371F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072254E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08B8AEAD">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5892D30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6F16E83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74E4510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0AD964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02FABED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0F743E64">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349141F">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B2F1E19">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18A381D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E9817F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DE0E30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57036D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E0A682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4851AE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06CE353C">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690EA5D9">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D4F30B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AE69BC1">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71507633">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7FE7A532">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0F6A4B5">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02B53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2563D0D4">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EF90DE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C6524C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781299D">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6FC123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016DB93">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CBE7B63">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2D965399">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46984E0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46D733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086BC0E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18CF383">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hAnsi="宋体" w:hint="eastAsia"/>
          <w:szCs w:val="21"/>
          <w:highlight w:val="none"/>
          <w:u w:val="single"/>
        </w:rPr>
        <w:t>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90</w:t>
      </w:r>
      <w:r>
        <w:rPr>
          <w:rFonts w:ascii="宋体" w:hAnsi="宋体" w:hint="eastAsia"/>
          <w:szCs w:val="21"/>
          <w:highlight w:val="none"/>
          <w:u w:val="single"/>
        </w:rPr>
        <w:t>%</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10</w:t>
      </w:r>
      <w:r>
        <w:rPr>
          <w:rFonts w:ascii="宋体" w:hAnsi="宋体" w:hint="eastAsia"/>
          <w:szCs w:val="21"/>
          <w:highlight w:val="none"/>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p>
    <w:p w14:paraId="34B7995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146A2C2B">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731064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6479F176">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BF4B249">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AA0142F">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4B65786A">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63F89940">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40F291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5F359D1B">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19C0844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02B8ADA2">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229CC00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4D6B86C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AE52062">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09AA4A3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2B88DBE">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0BB1F1A">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9D0DBF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2BD215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77A0924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5381C560">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484B2E7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2EC883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B58C1C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F5FA720">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5C50DF9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1AEE291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6D73BAA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161EF7F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6C1BC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3687CE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60A8458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7D11B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3C1B7CE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24F6E6A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0B6872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7B16FE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235C4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5DD90773">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291DB5F">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69444F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03DD6C8">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63DF91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CDC1D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459E28A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CFF191C">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02E7EF2">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26BACD7B">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04F37B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68E8B94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5D0F5C7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0E0B2C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3F5180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BD1DF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4803887">
            <w:pPr>
              <w:adjustRightInd w:val="0"/>
              <w:snapToGrid w:val="0"/>
              <w:spacing w:line="300" w:lineRule="exact"/>
              <w:jc w:val="center"/>
              <w:rPr>
                <w:rFonts w:ascii="Times New Roman" w:eastAsia="宋体" w:hAnsi="Times New Roman" w:cs="Times New Roman"/>
                <w:spacing w:val="20"/>
                <w:szCs w:val="21"/>
              </w:rPr>
            </w:pPr>
          </w:p>
        </w:tc>
      </w:tr>
      <w:tr w14:paraId="225859BB">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0EDE373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6B17DA74">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3B07E9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5ECFB98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053A231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ABF6838">
            <w:pPr>
              <w:adjustRightInd w:val="0"/>
              <w:snapToGrid w:val="0"/>
              <w:spacing w:line="300" w:lineRule="exact"/>
              <w:jc w:val="center"/>
              <w:rPr>
                <w:rFonts w:ascii="Times New Roman" w:eastAsia="宋体" w:hAnsi="Times New Roman" w:cs="Times New Roman"/>
                <w:szCs w:val="21"/>
              </w:rPr>
            </w:pPr>
          </w:p>
        </w:tc>
      </w:tr>
      <w:tr w14:paraId="5D4D40F2">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26D35016">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D626D2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B149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679A5C67">
            <w:pPr>
              <w:adjustRightInd w:val="0"/>
              <w:snapToGrid w:val="0"/>
              <w:spacing w:line="300" w:lineRule="exact"/>
              <w:jc w:val="center"/>
              <w:rPr>
                <w:rFonts w:ascii="Times New Roman" w:eastAsia="宋体" w:hAnsi="Times New Roman" w:cs="Times New Roman"/>
                <w:spacing w:val="20"/>
                <w:szCs w:val="21"/>
              </w:rPr>
            </w:pPr>
          </w:p>
        </w:tc>
      </w:tr>
      <w:tr w14:paraId="6670CF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9ACFFC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01D1EC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057A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2561AFFE">
            <w:pPr>
              <w:adjustRightInd w:val="0"/>
              <w:snapToGrid w:val="0"/>
              <w:spacing w:line="300" w:lineRule="exact"/>
              <w:jc w:val="center"/>
              <w:rPr>
                <w:rFonts w:ascii="Times New Roman" w:eastAsia="宋体" w:hAnsi="Times New Roman" w:cs="Times New Roman"/>
                <w:spacing w:val="20"/>
                <w:szCs w:val="21"/>
              </w:rPr>
            </w:pPr>
          </w:p>
        </w:tc>
      </w:tr>
      <w:tr w14:paraId="426AFB2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AAED5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EC9D3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503D1B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341C644B">
            <w:pPr>
              <w:adjustRightInd w:val="0"/>
              <w:snapToGrid w:val="0"/>
              <w:spacing w:line="300" w:lineRule="exact"/>
              <w:jc w:val="center"/>
              <w:rPr>
                <w:rFonts w:ascii="Times New Roman" w:eastAsia="宋体" w:hAnsi="Times New Roman" w:cs="Times New Roman"/>
                <w:spacing w:val="20"/>
                <w:szCs w:val="21"/>
              </w:rPr>
            </w:pPr>
          </w:p>
        </w:tc>
      </w:tr>
      <w:tr w14:paraId="77A847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3A0D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684BC7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50497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688E7BF8">
            <w:pPr>
              <w:adjustRightInd w:val="0"/>
              <w:snapToGrid w:val="0"/>
              <w:spacing w:line="300" w:lineRule="exact"/>
              <w:jc w:val="center"/>
              <w:rPr>
                <w:rFonts w:ascii="Times New Roman" w:eastAsia="宋体" w:hAnsi="Times New Roman" w:cs="Times New Roman"/>
                <w:spacing w:val="20"/>
                <w:szCs w:val="21"/>
              </w:rPr>
            </w:pPr>
          </w:p>
        </w:tc>
      </w:tr>
      <w:tr w14:paraId="021B16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7357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BE80EF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259772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6668089F">
            <w:pPr>
              <w:adjustRightInd w:val="0"/>
              <w:snapToGrid w:val="0"/>
              <w:spacing w:line="300" w:lineRule="exact"/>
              <w:jc w:val="center"/>
              <w:rPr>
                <w:rFonts w:ascii="Times New Roman" w:eastAsia="宋体" w:hAnsi="Times New Roman" w:cs="Times New Roman"/>
                <w:spacing w:val="20"/>
                <w:szCs w:val="21"/>
              </w:rPr>
            </w:pPr>
          </w:p>
        </w:tc>
      </w:tr>
      <w:tr w14:paraId="45486F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15A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5E52F8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2615C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01504F58">
            <w:pPr>
              <w:adjustRightInd w:val="0"/>
              <w:snapToGrid w:val="0"/>
              <w:spacing w:line="300" w:lineRule="exact"/>
              <w:jc w:val="center"/>
              <w:rPr>
                <w:rFonts w:ascii="Times New Roman" w:eastAsia="宋体" w:hAnsi="Times New Roman" w:cs="Times New Roman"/>
                <w:spacing w:val="20"/>
                <w:szCs w:val="21"/>
              </w:rPr>
            </w:pPr>
          </w:p>
        </w:tc>
      </w:tr>
      <w:tr w14:paraId="058662B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7B3092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8FB441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16450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2F3AD2D1">
            <w:pPr>
              <w:adjustRightInd w:val="0"/>
              <w:snapToGrid w:val="0"/>
              <w:spacing w:line="300" w:lineRule="exact"/>
              <w:jc w:val="center"/>
              <w:rPr>
                <w:rFonts w:ascii="Times New Roman" w:eastAsia="宋体" w:hAnsi="Times New Roman" w:cs="Times New Roman"/>
                <w:spacing w:val="20"/>
                <w:szCs w:val="21"/>
              </w:rPr>
            </w:pPr>
          </w:p>
        </w:tc>
      </w:tr>
      <w:tr w14:paraId="79C7C91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871D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6DA266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02CC2E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262EE28">
            <w:pPr>
              <w:adjustRightInd w:val="0"/>
              <w:snapToGrid w:val="0"/>
              <w:spacing w:line="300" w:lineRule="exact"/>
              <w:jc w:val="center"/>
              <w:rPr>
                <w:rFonts w:ascii="Times New Roman" w:eastAsia="宋体" w:hAnsi="Times New Roman" w:cs="Times New Roman"/>
                <w:spacing w:val="20"/>
                <w:szCs w:val="21"/>
              </w:rPr>
            </w:pPr>
          </w:p>
        </w:tc>
      </w:tr>
      <w:tr w14:paraId="5020BE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2B176D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301403">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D51F5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746610B3">
            <w:pPr>
              <w:adjustRightInd w:val="0"/>
              <w:snapToGrid w:val="0"/>
              <w:spacing w:line="300" w:lineRule="exact"/>
              <w:jc w:val="center"/>
              <w:rPr>
                <w:rFonts w:ascii="Times New Roman" w:eastAsia="宋体" w:hAnsi="Times New Roman" w:cs="Times New Roman"/>
                <w:spacing w:val="20"/>
                <w:szCs w:val="21"/>
              </w:rPr>
            </w:pPr>
          </w:p>
        </w:tc>
      </w:tr>
      <w:tr w14:paraId="18DEBE3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2BAB8B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CCEEF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6F10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768699A6">
            <w:pPr>
              <w:adjustRightInd w:val="0"/>
              <w:snapToGrid w:val="0"/>
              <w:spacing w:line="300" w:lineRule="exact"/>
              <w:jc w:val="center"/>
              <w:rPr>
                <w:rFonts w:ascii="Times New Roman" w:eastAsia="宋体" w:hAnsi="Times New Roman" w:cs="Times New Roman"/>
                <w:spacing w:val="20"/>
                <w:szCs w:val="21"/>
              </w:rPr>
            </w:pPr>
          </w:p>
        </w:tc>
      </w:tr>
      <w:tr w14:paraId="0D03BB3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78DE5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23437C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4563E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4623D254">
            <w:pPr>
              <w:adjustRightInd w:val="0"/>
              <w:snapToGrid w:val="0"/>
              <w:spacing w:line="300" w:lineRule="exact"/>
              <w:jc w:val="center"/>
              <w:rPr>
                <w:rFonts w:ascii="Times New Roman" w:eastAsia="宋体" w:hAnsi="Times New Roman" w:cs="Times New Roman"/>
                <w:spacing w:val="20"/>
                <w:szCs w:val="21"/>
              </w:rPr>
            </w:pPr>
          </w:p>
        </w:tc>
      </w:tr>
      <w:tr w14:paraId="79AD851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328785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7BBECD4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4" w:name="_Toc27624"/>
      <w:r>
        <w:rPr>
          <w:rFonts w:ascii="黑体" w:eastAsia="黑体" w:hAnsi="黑体" w:cs="Times New Roman" w:hint="eastAsia"/>
          <w:sz w:val="28"/>
          <w:szCs w:val="28"/>
        </w:rPr>
        <w:t>第二节 政府采购合同通用条款</w:t>
      </w:r>
      <w:bookmarkEnd w:id="64"/>
    </w:p>
    <w:p w14:paraId="0F9EA1E8">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49D56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5877203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B302A6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6F6224A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AD0EF8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63114B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D0E0FA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82FE8E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6F4BE6C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38900AF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84CB9B0">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BCA5CF5">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67283C14">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28C76D5B">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39CE5F0F">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04495B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38B624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148ACC7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0E2921A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54C440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AF5AB1C">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6BDAEE4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0BF4E39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449C58E3">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49D5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6BE03B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66666B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E126D1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23952E1D">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2C247EE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59105F31">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011524F">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6F3F626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4E5B0DF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4DEC7D6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0ED0D2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606B7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EBBAC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21D7F858">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646061B2">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9334E7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66744A">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6AAEED5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101C7B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F5C6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3781B4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12C7F4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3A3ED8B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4D31E5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C359EBA">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02B7137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1EFE99E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501062A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F7065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393D4CB9">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58DB4DE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5"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5"/>
      <w:r>
        <w:rPr>
          <w:rFonts w:ascii="宋体" w:eastAsia="宋体" w:hAnsi="宋体" w:cs="Times New Roman" w:hint="eastAsia"/>
          <w:szCs w:val="21"/>
        </w:rPr>
        <w:t>。</w:t>
      </w:r>
    </w:p>
    <w:p w14:paraId="22CC7A4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6177C870">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1439449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7510B46">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EA72F5">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4FAC127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E89E10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2FA2C96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54E4DB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69A6EDE4">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07E297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70DCA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6D641D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D303A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0F94E6E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7893163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6F0A36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28F51C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A00E06D">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61F1963">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CD5861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EE7A3D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09ED82A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AAFC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53B3394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31185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9F41D6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6A3D5B0D">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8A66E9F">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9BA6AC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5A0F1C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2894225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02A92E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8D9791">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ECC7AA">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0C3257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139422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6798B7A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5CF54DB">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66EB167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571EE401">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6F6FF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39EF41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8E43BB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7123E33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9A44C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70F1E6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F700CC">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519DC9F3">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B8F453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78CFE31A">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0FE2C4F9">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5E931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8BDD9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4D79D4A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F405FF">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345938C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11BD621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2EE599C0">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4A01BDD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7D2156ED">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38DF523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CF53B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3B929DC9">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08ABD342">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153B83CF">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6" w:name="_Toc20313"/>
    </w:p>
    <w:p w14:paraId="06A3540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E11C54">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98CE2E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EA406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B8EB7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44D2242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9816FD7">
            <w:pPr>
              <w:adjustRightInd w:val="0"/>
              <w:snapToGrid w:val="0"/>
              <w:jc w:val="left"/>
              <w:rPr>
                <w:rFonts w:ascii="宋体" w:eastAsia="宋体" w:hAnsi="宋体" w:cs="Times New Roman"/>
                <w:szCs w:val="21"/>
              </w:rPr>
            </w:pPr>
          </w:p>
        </w:tc>
      </w:tr>
      <w:tr w14:paraId="66311C0A">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6D3C29E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6CCD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632A938C">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3DF9B528">
            <w:pPr>
              <w:adjustRightInd w:val="0"/>
              <w:snapToGrid w:val="0"/>
              <w:jc w:val="left"/>
              <w:rPr>
                <w:rFonts w:ascii="宋体" w:eastAsia="宋体" w:hAnsi="宋体" w:cs="Times New Roman"/>
                <w:szCs w:val="21"/>
              </w:rPr>
            </w:pPr>
          </w:p>
        </w:tc>
      </w:tr>
      <w:tr w14:paraId="7D5AB52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B81CC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58B71CC">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C97845F">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57029D66">
            <w:pPr>
              <w:adjustRightInd w:val="0"/>
              <w:snapToGrid w:val="0"/>
              <w:jc w:val="left"/>
              <w:rPr>
                <w:rFonts w:ascii="宋体" w:eastAsia="宋体" w:hAnsi="宋体" w:cs="Times New Roman"/>
                <w:szCs w:val="21"/>
              </w:rPr>
            </w:pPr>
          </w:p>
        </w:tc>
      </w:tr>
      <w:tr w14:paraId="797396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5A16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DDA7B8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34388A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1C5E9FD8">
            <w:pPr>
              <w:adjustRightInd w:val="0"/>
              <w:snapToGrid w:val="0"/>
              <w:jc w:val="left"/>
              <w:rPr>
                <w:rFonts w:ascii="宋体" w:eastAsia="宋体" w:hAnsi="宋体" w:cs="Times New Roman"/>
                <w:szCs w:val="21"/>
              </w:rPr>
            </w:pPr>
          </w:p>
        </w:tc>
      </w:tr>
      <w:tr w14:paraId="16417A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729E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8C2D7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B05AC75">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7EE2F51">
            <w:pPr>
              <w:adjustRightInd w:val="0"/>
              <w:snapToGrid w:val="0"/>
              <w:jc w:val="left"/>
              <w:rPr>
                <w:rFonts w:ascii="宋体" w:eastAsia="宋体" w:hAnsi="宋体" w:cs="Times New Roman"/>
                <w:szCs w:val="21"/>
              </w:rPr>
            </w:pPr>
          </w:p>
        </w:tc>
      </w:tr>
      <w:tr w14:paraId="254A61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AF4FE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A3584A">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5BDFAF32">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268975AF">
            <w:pPr>
              <w:adjustRightInd w:val="0"/>
              <w:snapToGrid w:val="0"/>
              <w:jc w:val="left"/>
              <w:rPr>
                <w:rFonts w:ascii="宋体" w:eastAsia="宋体" w:hAnsi="宋体" w:cs="Times New Roman"/>
                <w:szCs w:val="21"/>
              </w:rPr>
            </w:pPr>
          </w:p>
        </w:tc>
      </w:tr>
      <w:tr w14:paraId="5A5FA32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07DB76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595596">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3B79AD9F">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51D5C11">
            <w:pPr>
              <w:rPr>
                <w:rFonts w:ascii="Times New Roman" w:eastAsia="宋体" w:hAnsi="Times New Roman" w:cs="Times New Roman"/>
                <w:szCs w:val="20"/>
              </w:rPr>
            </w:pPr>
          </w:p>
        </w:tc>
      </w:tr>
      <w:tr w14:paraId="6DE8A192">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7D949386">
            <w:pPr>
              <w:adjustRightInd w:val="0"/>
              <w:snapToGrid w:val="0"/>
              <w:jc w:val="center"/>
              <w:rPr>
                <w:rFonts w:ascii="宋体" w:eastAsia="宋体" w:hAnsi="宋体" w:cs="Times New Roman"/>
                <w:szCs w:val="21"/>
              </w:rPr>
            </w:pPr>
          </w:p>
        </w:tc>
        <w:tc>
          <w:tcPr>
            <w:tcW w:w="1742" w:type="dxa"/>
            <w:vAlign w:val="center"/>
          </w:tcPr>
          <w:p w14:paraId="25AB683D">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71C9A509">
            <w:pPr>
              <w:rPr>
                <w:rFonts w:ascii="Times New Roman" w:eastAsia="宋体" w:hAnsi="Times New Roman" w:cs="Times New Roman"/>
                <w:szCs w:val="20"/>
              </w:rPr>
            </w:pPr>
          </w:p>
        </w:tc>
      </w:tr>
      <w:tr w14:paraId="2FF8DD9B">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B1EC0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32936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6C12B12A">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7448AFC6">
            <w:pPr>
              <w:rPr>
                <w:rFonts w:ascii="Times New Roman" w:eastAsia="宋体" w:hAnsi="Times New Roman" w:cs="Times New Roman"/>
                <w:szCs w:val="20"/>
              </w:rPr>
            </w:pPr>
          </w:p>
        </w:tc>
      </w:tr>
      <w:tr w14:paraId="6E7A9404">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1CA7B05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0F5576F">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27396B8">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07ED5F3B">
            <w:pPr>
              <w:rPr>
                <w:rFonts w:ascii="Times New Roman" w:eastAsia="宋体" w:hAnsi="Times New Roman" w:cs="Times New Roman"/>
                <w:szCs w:val="20"/>
              </w:rPr>
            </w:pPr>
          </w:p>
        </w:tc>
      </w:tr>
      <w:tr w14:paraId="345DC0E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2B300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C904EA">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46F94109">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CEF7AB1">
            <w:pPr>
              <w:autoSpaceDE w:val="0"/>
              <w:autoSpaceDN w:val="0"/>
              <w:adjustRightInd w:val="0"/>
              <w:snapToGrid w:val="0"/>
              <w:ind w:firstLine="420" w:firstLineChars="200"/>
              <w:jc w:val="left"/>
              <w:rPr>
                <w:rFonts w:ascii="宋体" w:eastAsia="宋体" w:hAnsi="宋体" w:cs="Times New Roman"/>
                <w:szCs w:val="21"/>
              </w:rPr>
            </w:pPr>
          </w:p>
        </w:tc>
      </w:tr>
      <w:tr w14:paraId="2ADFAC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3B3B8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08BBC69">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3BA59669">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6F3DCE7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28BA6039">
            <w:pPr>
              <w:adjustRightInd w:val="0"/>
              <w:snapToGrid w:val="0"/>
              <w:jc w:val="left"/>
              <w:rPr>
                <w:rFonts w:ascii="宋体" w:eastAsia="宋体" w:hAnsi="宋体" w:cs="Times New Roman"/>
                <w:szCs w:val="21"/>
              </w:rPr>
            </w:pPr>
          </w:p>
        </w:tc>
      </w:tr>
      <w:tr w14:paraId="7A53F1D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832A7">
            <w:pPr>
              <w:snapToGrid w:val="0"/>
              <w:jc w:val="center"/>
              <w:rPr>
                <w:rFonts w:ascii="宋体" w:eastAsia="宋体" w:hAnsi="宋体" w:cs="宋体"/>
                <w:szCs w:val="21"/>
              </w:rPr>
            </w:pPr>
            <w:r>
              <w:rPr>
                <w:rFonts w:ascii="宋体" w:eastAsia="宋体" w:hAnsi="宋体" w:cs="宋体" w:hint="eastAsia"/>
                <w:szCs w:val="21"/>
              </w:rPr>
              <w:t>第二节</w:t>
            </w:r>
          </w:p>
          <w:p w14:paraId="53E55BA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61157FA">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54118BC">
            <w:pPr>
              <w:adjustRightInd w:val="0"/>
              <w:snapToGrid w:val="0"/>
              <w:jc w:val="left"/>
              <w:rPr>
                <w:rFonts w:ascii="宋体" w:eastAsia="宋体" w:hAnsi="宋体" w:cs="Times New Roman"/>
                <w:szCs w:val="21"/>
              </w:rPr>
            </w:pPr>
          </w:p>
        </w:tc>
      </w:tr>
      <w:tr w14:paraId="6ECB39E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AA1B18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3E96E3">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62FE14F1">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57E349A3">
            <w:pPr>
              <w:adjustRightInd w:val="0"/>
              <w:snapToGrid w:val="0"/>
              <w:jc w:val="left"/>
              <w:rPr>
                <w:rFonts w:ascii="宋体" w:eastAsia="宋体" w:hAnsi="宋体" w:cs="Times New Roman"/>
                <w:szCs w:val="21"/>
              </w:rPr>
            </w:pPr>
          </w:p>
        </w:tc>
      </w:tr>
      <w:tr w14:paraId="67D1A263">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BEE39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980EC4A">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E4001C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0D13F284">
            <w:pPr>
              <w:adjustRightInd w:val="0"/>
              <w:snapToGrid w:val="0"/>
              <w:jc w:val="left"/>
              <w:rPr>
                <w:rFonts w:ascii="宋体" w:eastAsia="宋体" w:hAnsi="宋体" w:cs="Times New Roman"/>
                <w:szCs w:val="21"/>
              </w:rPr>
            </w:pPr>
          </w:p>
        </w:tc>
      </w:tr>
      <w:tr w14:paraId="336D130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BC3C3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B3CB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27D3B1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4A340DB8">
            <w:pPr>
              <w:adjustRightInd w:val="0"/>
              <w:snapToGrid w:val="0"/>
              <w:jc w:val="left"/>
              <w:rPr>
                <w:rFonts w:ascii="宋体" w:eastAsia="宋体" w:hAnsi="宋体" w:cs="Times New Roman"/>
                <w:szCs w:val="21"/>
              </w:rPr>
            </w:pPr>
          </w:p>
        </w:tc>
      </w:tr>
      <w:tr w14:paraId="25B5C1E3">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BE1FA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C64933">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69EF3D5">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7F097305">
            <w:pPr>
              <w:adjustRightInd w:val="0"/>
              <w:snapToGrid w:val="0"/>
              <w:jc w:val="left"/>
              <w:rPr>
                <w:rFonts w:ascii="宋体" w:eastAsia="宋体" w:hAnsi="宋体" w:cs="Times New Roman"/>
                <w:szCs w:val="21"/>
              </w:rPr>
            </w:pPr>
          </w:p>
        </w:tc>
      </w:tr>
      <w:tr w14:paraId="39D8474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D98DE9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27374">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6DB7AA3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7F8F53F6">
            <w:pPr>
              <w:adjustRightInd w:val="0"/>
              <w:snapToGrid w:val="0"/>
              <w:jc w:val="left"/>
              <w:rPr>
                <w:rFonts w:ascii="宋体" w:eastAsia="宋体" w:hAnsi="宋体" w:cs="Times New Roman"/>
                <w:szCs w:val="21"/>
              </w:rPr>
            </w:pPr>
          </w:p>
        </w:tc>
      </w:tr>
      <w:tr w14:paraId="73F434B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67DB97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ADD0DD2">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6937C21D">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8C3558">
            <w:pPr>
              <w:adjustRightInd w:val="0"/>
              <w:snapToGrid w:val="0"/>
              <w:jc w:val="left"/>
              <w:rPr>
                <w:rFonts w:ascii="宋体" w:eastAsia="宋体" w:hAnsi="宋体" w:cs="Times New Roman"/>
                <w:szCs w:val="21"/>
              </w:rPr>
            </w:pPr>
          </w:p>
        </w:tc>
      </w:tr>
      <w:tr w14:paraId="03BA364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D1C4C9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B60CAB">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339EC96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3306EA5C">
            <w:pPr>
              <w:adjustRightInd w:val="0"/>
              <w:snapToGrid w:val="0"/>
              <w:jc w:val="left"/>
              <w:rPr>
                <w:rFonts w:ascii="宋体" w:eastAsia="宋体" w:hAnsi="宋体" w:cs="Times New Roman"/>
                <w:szCs w:val="21"/>
              </w:rPr>
            </w:pPr>
          </w:p>
        </w:tc>
      </w:tr>
      <w:tr w14:paraId="71BE41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1B3B6A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118306">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195A03F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04AF1529">
            <w:pPr>
              <w:adjustRightInd w:val="0"/>
              <w:snapToGrid w:val="0"/>
              <w:jc w:val="left"/>
              <w:rPr>
                <w:rFonts w:ascii="宋体" w:eastAsia="宋体" w:hAnsi="宋体" w:cs="Times New Roman"/>
                <w:szCs w:val="21"/>
                <w:u w:val="single"/>
              </w:rPr>
            </w:pPr>
          </w:p>
        </w:tc>
      </w:tr>
      <w:tr w14:paraId="473808E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9E441C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6CDF5B">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1ED4864A">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C638690">
            <w:pPr>
              <w:adjustRightInd w:val="0"/>
              <w:snapToGrid w:val="0"/>
              <w:jc w:val="left"/>
              <w:rPr>
                <w:rFonts w:ascii="宋体" w:eastAsia="宋体" w:hAnsi="宋体" w:cs="Times New Roman"/>
                <w:szCs w:val="21"/>
                <w:u w:val="single"/>
              </w:rPr>
            </w:pPr>
          </w:p>
        </w:tc>
      </w:tr>
      <w:tr w14:paraId="03C5751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05970A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FC01B80">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599E078">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3280426">
            <w:pPr>
              <w:adjustRightInd w:val="0"/>
              <w:snapToGrid w:val="0"/>
              <w:jc w:val="left"/>
              <w:rPr>
                <w:rFonts w:ascii="宋体" w:eastAsia="宋体" w:hAnsi="宋体" w:cs="Times New Roman"/>
                <w:szCs w:val="21"/>
                <w:u w:val="single"/>
              </w:rPr>
            </w:pPr>
          </w:p>
        </w:tc>
      </w:tr>
      <w:tr w14:paraId="12135F2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23E77C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792D1E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7D233DE6">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79807C45">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4003C46C">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75E20F7F">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47A34D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64E8DFD">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0F9919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733727A2">
            <w:pPr>
              <w:adjustRightInd w:val="0"/>
              <w:snapToGrid w:val="0"/>
              <w:jc w:val="left"/>
              <w:rPr>
                <w:rFonts w:ascii="宋体" w:eastAsia="宋体" w:hAnsi="宋体" w:cs="Times New Roman"/>
                <w:szCs w:val="21"/>
              </w:rPr>
            </w:pPr>
          </w:p>
        </w:tc>
      </w:tr>
    </w:tbl>
    <w:p w14:paraId="314DE75D">
      <w:pPr>
        <w:rPr>
          <w:rFonts w:ascii="Times New Roman" w:eastAsia="宋体" w:hAnsi="Times New Roman" w:cs="Times New Roman"/>
          <w:szCs w:val="20"/>
        </w:rPr>
      </w:pPr>
    </w:p>
    <w:p w14:paraId="79293EF8">
      <w:pPr>
        <w:rPr>
          <w:rFonts w:ascii="Times New Roman" w:eastAsia="宋体" w:hAnsi="Times New Roman" w:cs="Times New Roman"/>
          <w:b/>
          <w:bCs/>
          <w:sz w:val="44"/>
          <w:szCs w:val="44"/>
        </w:rPr>
      </w:pPr>
    </w:p>
    <w:p w14:paraId="127499B5">
      <w:pPr>
        <w:spacing w:before="156" w:beforeLines="50" w:line="360" w:lineRule="auto"/>
        <w:ind w:firstLine="420"/>
        <w:rPr>
          <w:rFonts w:ascii="宋体" w:eastAsia="宋体" w:hAnsi="宋体" w:cs="Times New Roman"/>
          <w:szCs w:val="21"/>
        </w:rPr>
      </w:pPr>
    </w:p>
    <w:p w14:paraId="468F6C3C"/>
    <w:p w:rsidR="00A77B3E"/>
    <w:p w14:paraId="0D9A9C79">
      <w:pPr>
        <w:spacing w:line="360" w:lineRule="auto"/>
        <w:ind w:firstLine="3066" w:firstLineChars="1460"/>
        <w:jc w:val="left"/>
        <w:rPr>
          <w:rFonts w:ascii="Times New Roman" w:eastAsia="宋体" w:hAnsi="Times New Roman" w:cs="Times New Roman"/>
          <w:b/>
          <w:bCs/>
          <w:szCs w:val="21"/>
        </w:rPr>
      </w:pPr>
      <w:bookmarkEnd w:id="62"/>
    </w:p>
    <w:sectPr>
      <w:headerReference w:type="even" r:id="rId14"/>
      <w:headerReference w:type="default" r:id="rId15"/>
      <w:footerReference w:type="default" r:id="rId16"/>
      <w:headerReference w:type="first" r:id="rId17"/>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fixed"/>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方正仿宋_GBK">
    <w:charset w:val="86"/>
    <w:family w:val="auto"/>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43C"/>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63522"/>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3213"/>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wmf" /><Relationship Id="rId11" Type="http://schemas.openxmlformats.org/officeDocument/2006/relationships/oleObject" Target="embeddings/oleObject2.bin"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header" Target="header5.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image" Target="media/image1.wmf" /><Relationship Id="rId9" Type="http://schemas.openxmlformats.org/officeDocument/2006/relationships/oleObject" Target="embeddings/oleObject1.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