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2025年雷达工程河南X波段虫鸟精细监测边缘计算平台采购项目（重新招标）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ZQCD-25435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周口市气象局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2025年雷达工程河南X波段虫鸟精细监测边缘计算平台采购项目（重新招标）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ZQCD-25435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河南兰考</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2025年12月03日 17:00:00</w:t>
      </w:r>
      <w:bookmarkEnd w:id="26"/>
      <w:r>
        <w:rPr>
          <w:rFonts w:ascii="宋体" w:hint="eastAsia"/>
          <w:szCs w:val="21"/>
          <w:highlight w:val="none"/>
        </w:rPr>
        <w:t>至</w:t>
      </w:r>
      <w:bookmarkStart w:id="27" w:name="项目公告_signUpLastTime"/>
      <w:r>
        <w:rPr>
          <w:rFonts w:ascii="宋体" w:hint="eastAsia"/>
          <w:szCs w:val="21"/>
          <w:highlight w:val="none"/>
        </w:rPr>
        <w:t>2025年12月10日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周口市气象局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0371-65921273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河南省郑州市金水区金水路5号院</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周口市气象局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不允许（仅针对以下产品：1、X波段虫鸟精细监测边缘计算平台不允许代理商投标）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标的：X波段虫鸟精细监测边缘计算平台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146.000000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146.000000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销售合同必须包括X波段虫鸟精细监测边缘计算平台，每提供1份合同得1分，最多得5分。否则不得分。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针对本项目采购的X波段虫鸟精细监测边缘计算平台，</w:t>
              <w:cr/>
              <w:t>承诺每提前30天交货的得1分，最多得1分。否则不得分。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针对X波段虫鸟精细监测边缘计算平台，每提供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针对X波段虫鸟精细监测边缘计算平台，测试报告应涵盖高低温、高湿、电磁兼容性等内容，每包含一项得1分，最多得3分。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eastAsia="仿宋"/>
          <w:sz w:val="28"/>
          <w:szCs w:val="20"/>
        </w:rPr>
      </w:pPr>
      <w:r>
        <w:rPr>
          <w:rFonts w:ascii="仿宋" w:eastAsia="仿宋" w:hAnsi="仿宋" w:cs="仿宋" w:hint="eastAsia"/>
          <w:sz w:val="28"/>
          <w:szCs w:val="20"/>
        </w:rPr>
        <w:t>一、项</w:t>
      </w:r>
      <w:r>
        <w:rPr>
          <w:rFonts w:eastAsia="仿宋"/>
          <w:sz w:val="28"/>
          <w:szCs w:val="20"/>
        </w:rPr>
        <w:t>目概况及总体要求</w:t>
      </w:r>
      <w:r>
        <w:rPr>
          <w:rFonts w:eastAsia="仿宋" w:hint="eastAsia"/>
          <w:sz w:val="28"/>
          <w:szCs w:val="20"/>
          <w:highlight w:val="yellow"/>
        </w:rPr>
        <w:t>（详见采购需求-其他技术及商务需求）</w:t>
      </w:r>
    </w:p>
    <w:p>
      <w:pPr>
        <w:spacing w:line="560" w:lineRule="exact"/>
        <w:ind w:firstLine="560" w:firstLineChars="200"/>
        <w:rPr>
          <w:rFonts w:eastAsia="仿宋"/>
          <w:sz w:val="28"/>
          <w:szCs w:val="20"/>
        </w:rPr>
      </w:pPr>
      <w:r>
        <w:rPr>
          <w:rFonts w:eastAsia="仿宋"/>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firstLine="560" w:firstLineChars="200"/>
        <w:rPr>
          <w:rFonts w:eastAsia="仿宋"/>
          <w:sz w:val="28"/>
          <w:szCs w:val="20"/>
        </w:rPr>
      </w:pPr>
      <w:r>
        <w:rPr>
          <w:rFonts w:eastAsia="仿宋"/>
          <w:sz w:val="28"/>
          <w:szCs w:val="20"/>
        </w:rPr>
        <w:t>3.1技术性能指标</w:t>
      </w:r>
    </w:p>
    <w:p>
      <w:pPr>
        <w:spacing w:line="560" w:lineRule="exact"/>
        <w:ind w:firstLine="560" w:firstLineChars="200"/>
        <w:rPr>
          <w:rFonts w:eastAsia="仿宋_GB2312"/>
          <w:sz w:val="28"/>
          <w:szCs w:val="20"/>
        </w:rPr>
      </w:pPr>
      <w:r>
        <w:rPr>
          <w:rFonts w:eastAsia="仿宋_GB2312"/>
          <w:sz w:val="28"/>
          <w:szCs w:val="22"/>
        </w:rPr>
        <w:t>X波段虫鸟精细监测边缘计算平台应用谱分析技术实时处理天气雷达IQ数据，运行生物特征识别算法区分鸟类和昆虫目标，自动生成鸟类飞行模态分析及虫群活动监测报告。支持智能产品配置，可针对性地输出鸟类迁徙轨迹、昆虫种群密度等专业监测数据，并提供完整的数据记录、回放与报告生成功能，实现虫鸟活动的全周期跟踪与分析。</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eastAsia="仿宋"/>
              </w:rPr>
            </w:pPr>
            <w:r>
              <w:rPr>
                <w:rStyle w:val="font11"/>
                <w:rFonts w:ascii="Times New Roman" w:eastAsia="仿宋" w:hAnsi="Times New Roman" w:hint="default"/>
                <w:sz w:val="24"/>
                <w:szCs w:val="24"/>
              </w:rPr>
              <w:t>序号</w:t>
            </w:r>
          </w:p>
        </w:tc>
        <w:tc>
          <w:tcPr>
            <w:tcW w:w="1384" w:type="dxa"/>
            <w:vAlign w:val="center"/>
          </w:tcPr>
          <w:p>
            <w:pPr>
              <w:jc w:val="center"/>
              <w:rPr>
                <w:rFonts w:eastAsia="仿宋"/>
              </w:rPr>
            </w:pPr>
            <w:r>
              <w:rPr>
                <w:rStyle w:val="font11"/>
                <w:rFonts w:ascii="Times New Roman" w:eastAsia="仿宋" w:hAnsi="Times New Roman" w:hint="default"/>
                <w:sz w:val="24"/>
                <w:szCs w:val="24"/>
              </w:rPr>
              <w:t>设备名称</w:t>
            </w:r>
          </w:p>
        </w:tc>
        <w:tc>
          <w:tcPr>
            <w:tcW w:w="7229" w:type="dxa"/>
            <w:vAlign w:val="center"/>
          </w:tcPr>
          <w:p>
            <w:pPr>
              <w:jc w:val="center"/>
              <w:rPr>
                <w:rFonts w:eastAsia="仿宋"/>
              </w:rPr>
            </w:pPr>
            <w:r>
              <w:rPr>
                <w:rStyle w:val="font11"/>
                <w:rFonts w:ascii="Times New Roman" w:eastAsia="仿宋" w:hAnsi="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4"/>
              </w:numPr>
              <w:ind w:left="0" w:firstLine="0" w:firstLineChars="0"/>
              <w:rPr>
                <w:rFonts w:ascii="Times New Roman" w:eastAsia="仿宋" w:hAnsi="Times New Roman"/>
                <w:sz w:val="24"/>
                <w:szCs w:val="24"/>
              </w:rPr>
            </w:pPr>
          </w:p>
        </w:tc>
        <w:tc>
          <w:tcPr>
            <w:tcW w:w="1384" w:type="dxa"/>
            <w:vAlign w:val="center"/>
          </w:tcPr>
          <w:p>
            <w:pPr>
              <w:rPr>
                <w:rFonts w:eastAsia="仿宋"/>
              </w:rPr>
            </w:pPr>
            <w:r>
              <w:rPr>
                <w:rFonts w:eastAsia="仿宋"/>
                <w:sz w:val="24"/>
              </w:rPr>
              <w:t>X波段虫鸟精细监测边缘计算平台</w:t>
            </w:r>
          </w:p>
        </w:tc>
        <w:tc>
          <w:tcPr>
            <w:tcW w:w="7229" w:type="dxa"/>
            <w:vAlign w:val="center"/>
          </w:tcPr>
          <w:p>
            <w:pPr>
              <w:rPr>
                <w:rFonts w:eastAsia="仿宋"/>
                <w:b/>
                <w:bCs/>
                <w:sz w:val="28"/>
                <w:szCs w:val="28"/>
              </w:rPr>
            </w:pPr>
            <w:bookmarkStart w:id="61" w:name="_Toc191481514"/>
            <w:r>
              <w:rPr>
                <w:rFonts w:eastAsia="仿宋"/>
                <w:b/>
                <w:bCs/>
                <w:sz w:val="28"/>
                <w:szCs w:val="28"/>
              </w:rPr>
              <w:t>（一）平台指标要求：</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适配气象雷达体积覆盖模式21（VCP21），且支持扫描模式≥4种，含连续监测模态(CS)、连续多普勒模态(CD)、交替取样(batch)、不考虑折叠的连续多普勒模态(CDX)；</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目标可识别类型能力，可识别的目标类别不少于三类含鸟类、虫类、气象目标；</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整体生物识别准确率≥80%；</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虫鸟分类准确率≥75%；</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IQ数据解析时间</w:t>
            </w:r>
            <w:r>
              <w:rPr>
                <w:rFonts w:ascii="Cambria Math" w:eastAsia="仿宋" w:hAnsi="Cambria Math" w:cs="Cambria Math"/>
                <w:sz w:val="28"/>
                <w:szCs w:val="28"/>
                <w:highlight w:val="yellow"/>
              </w:rPr>
              <w:t>⩽</w:t>
            </w:r>
            <w:r>
              <w:rPr>
                <w:rFonts w:eastAsia="仿宋"/>
                <w:sz w:val="28"/>
                <w:szCs w:val="28"/>
                <w:highlight w:val="yellow"/>
              </w:rPr>
              <w:t>2s；</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单次扫描结果处理时间</w:t>
            </w:r>
            <w:r>
              <w:rPr>
                <w:rFonts w:ascii="Cambria Math" w:eastAsia="仿宋" w:hAnsi="Cambria Math" w:cs="Cambria Math"/>
                <w:sz w:val="28"/>
                <w:szCs w:val="28"/>
                <w:highlight w:val="yellow"/>
              </w:rPr>
              <w:t>⩽</w:t>
            </w:r>
            <w:r>
              <w:rPr>
                <w:rFonts w:eastAsia="仿宋"/>
                <w:sz w:val="28"/>
                <w:szCs w:val="28"/>
                <w:highlight w:val="yellow"/>
              </w:rPr>
              <w:t>3s；</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生物监测产品能力：</w:t>
            </w:r>
          </w:p>
          <w:p>
            <w:pPr>
              <w:numPr>
                <w:ilvl w:val="0"/>
                <w:numId w:val="6"/>
              </w:numPr>
              <w:rPr>
                <w:rFonts w:eastAsia="仿宋"/>
                <w:sz w:val="28"/>
                <w:szCs w:val="28"/>
                <w:highlight w:val="yellow"/>
              </w:rPr>
            </w:pPr>
            <w:r>
              <w:rPr>
                <w:rFonts w:eastAsia="仿宋"/>
                <w:sz w:val="28"/>
                <w:szCs w:val="28"/>
                <w:highlight w:val="yellow"/>
              </w:rPr>
              <w:t>支持的生物监测产品（虫/鸟）不少于六种。</w:t>
            </w:r>
          </w:p>
          <w:p>
            <w:pPr>
              <w:numPr>
                <w:ilvl w:val="0"/>
                <w:numId w:val="6"/>
              </w:numPr>
              <w:rPr>
                <w:rFonts w:eastAsia="仿宋"/>
                <w:sz w:val="28"/>
                <w:szCs w:val="28"/>
                <w:highlight w:val="yellow"/>
              </w:rPr>
            </w:pPr>
            <w:r>
              <w:rPr>
                <w:rFonts w:eastAsia="仿宋"/>
                <w:sz w:val="28"/>
                <w:szCs w:val="28"/>
                <w:highlight w:val="yellow"/>
              </w:rPr>
              <w:t>可识别的鸟类飞行模态不少于两种。</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杂波抑制性能：可抑制的杂波类型不少于三类，含电磁杂波、风电杂波、地杂波。杂波抑制比≥25dB、地杂波抑制率≥85%。</w:t>
            </w:r>
          </w:p>
          <w:p>
            <w:pPr>
              <w:numPr>
                <w:ilvl w:val="0"/>
                <w:numId w:val="5"/>
              </w:numPr>
              <w:rPr>
                <w:rFonts w:eastAsia="仿宋"/>
                <w:sz w:val="28"/>
                <w:szCs w:val="28"/>
                <w:highlight w:val="yellow"/>
              </w:rPr>
            </w:pPr>
            <w:r>
              <w:rPr>
                <w:rFonts w:eastAsia="仿宋"/>
                <w:kern w:val="0"/>
                <w:sz w:val="24"/>
                <w:highlight w:val="yellow"/>
              </w:rPr>
              <w:t>#</w:t>
            </w:r>
            <w:r>
              <w:rPr>
                <w:rFonts w:eastAsia="仿宋"/>
                <w:sz w:val="28"/>
                <w:szCs w:val="28"/>
                <w:highlight w:val="yellow"/>
              </w:rPr>
              <w:t>谱估计性能：支持的谱估计参数类别不少于六类（反射率因子、径向速度、速度谱宽、差分反射率、差分传播相移、相关系数）。</w:t>
            </w:r>
          </w:p>
          <w:p>
            <w:pPr>
              <w:numPr>
                <w:ilvl w:val="0"/>
                <w:numId w:val="5"/>
              </w:numPr>
              <w:rPr>
                <w:rFonts w:eastAsia="仿宋"/>
                <w:b/>
                <w:bCs/>
                <w:sz w:val="28"/>
                <w:szCs w:val="28"/>
                <w:highlight w:val="yellow"/>
              </w:rPr>
            </w:pPr>
            <w:r>
              <w:rPr>
                <w:rFonts w:eastAsia="仿宋"/>
                <w:kern w:val="0"/>
                <w:sz w:val="24"/>
                <w:highlight w:val="yellow"/>
              </w:rPr>
              <w:t>#</w:t>
            </w:r>
            <w:r>
              <w:rPr>
                <w:rFonts w:eastAsia="仿宋"/>
                <w:sz w:val="28"/>
                <w:szCs w:val="28"/>
                <w:highlight w:val="yellow"/>
              </w:rPr>
              <w:t>生物信息特征分析能力：可提取的生物信息特征不少于十六种（如谱极化参数特征、纹理特征、统计特征等）。</w:t>
            </w:r>
          </w:p>
          <w:p>
            <w:pPr>
              <w:rPr>
                <w:rFonts w:eastAsia="仿宋"/>
                <w:b/>
                <w:bCs/>
                <w:sz w:val="28"/>
                <w:szCs w:val="28"/>
              </w:rPr>
            </w:pPr>
            <w:r>
              <w:rPr>
                <w:rFonts w:eastAsia="仿宋"/>
                <w:b/>
                <w:bCs/>
                <w:sz w:val="28"/>
                <w:szCs w:val="28"/>
              </w:rPr>
              <w:t>（二）各分模块指标要求</w:t>
            </w:r>
            <w:bookmarkEnd w:id="61"/>
          </w:p>
          <w:p>
            <w:pPr>
              <w:rPr>
                <w:rFonts w:eastAsia="仿宋"/>
                <w:b/>
                <w:bCs/>
                <w:sz w:val="28"/>
                <w:szCs w:val="28"/>
              </w:rPr>
            </w:pPr>
            <w:r>
              <w:rPr>
                <w:rFonts w:eastAsia="仿宋"/>
                <w:b/>
                <w:bCs/>
                <w:sz w:val="28"/>
                <w:szCs w:val="28"/>
              </w:rPr>
              <w:t>（1）高速信号处理单元</w:t>
            </w:r>
          </w:p>
          <w:p>
            <w:pPr>
              <w:rPr>
                <w:rFonts w:eastAsia="仿宋"/>
                <w:sz w:val="28"/>
                <w:szCs w:val="28"/>
              </w:rPr>
            </w:pPr>
            <w:r>
              <w:rPr>
                <w:rFonts w:eastAsia="仿宋"/>
                <w:sz w:val="28"/>
                <w:szCs w:val="28"/>
              </w:rPr>
              <w:t>读取并解译X波段不同厂家天气雷达的原始IQ数据，利用GPU等高速并行计算硬件实时处理雷达回波信号，运行面向生物目标检测的信号预处理和质量控制算法、信号时频域特征处理算法和信号谱特征计算等高计算复杂度信号处理算法，生成用于生物信息计算的信号谱特征。</w:t>
            </w:r>
          </w:p>
          <w:p>
            <w:pPr>
              <w:rPr>
                <w:rFonts w:eastAsia="仿宋"/>
                <w:sz w:val="28"/>
                <w:szCs w:val="28"/>
              </w:rPr>
            </w:pPr>
            <w:r>
              <w:rPr>
                <w:rFonts w:eastAsia="仿宋"/>
                <w:sz w:val="28"/>
                <w:szCs w:val="28"/>
              </w:rPr>
              <w:t>指标要求：</w:t>
            </w:r>
          </w:p>
          <w:p>
            <w:pPr>
              <w:numPr>
                <w:ilvl w:val="0"/>
                <w:numId w:val="7"/>
              </w:numPr>
              <w:rPr>
                <w:rFonts w:eastAsia="仿宋"/>
                <w:sz w:val="28"/>
                <w:szCs w:val="28"/>
              </w:rPr>
            </w:pPr>
            <w:r>
              <w:rPr>
                <w:rFonts w:eastAsia="仿宋"/>
                <w:sz w:val="28"/>
                <w:szCs w:val="28"/>
              </w:rPr>
              <w:t>基于NVIDIA架构。</w:t>
            </w:r>
          </w:p>
          <w:p>
            <w:pPr>
              <w:numPr>
                <w:ilvl w:val="0"/>
                <w:numId w:val="7"/>
              </w:numPr>
              <w:rPr>
                <w:rFonts w:eastAsia="仿宋"/>
                <w:sz w:val="28"/>
                <w:szCs w:val="28"/>
              </w:rPr>
            </w:pPr>
            <w:r>
              <w:rPr>
                <w:rFonts w:eastAsia="仿宋"/>
                <w:sz w:val="28"/>
                <w:szCs w:val="28"/>
              </w:rPr>
              <w:t>包含≥6000个CUDA核心。</w:t>
            </w:r>
          </w:p>
          <w:p>
            <w:pPr>
              <w:numPr>
                <w:ilvl w:val="0"/>
                <w:numId w:val="7"/>
              </w:numPr>
              <w:rPr>
                <w:rFonts w:eastAsia="仿宋"/>
                <w:sz w:val="28"/>
                <w:szCs w:val="28"/>
              </w:rPr>
            </w:pPr>
            <w:r>
              <w:rPr>
                <w:rFonts w:eastAsia="仿宋"/>
                <w:sz w:val="28"/>
                <w:szCs w:val="28"/>
              </w:rPr>
              <w:t>内存≥8GB。</w:t>
            </w:r>
          </w:p>
          <w:p>
            <w:pPr>
              <w:numPr>
                <w:ilvl w:val="0"/>
                <w:numId w:val="7"/>
              </w:numPr>
              <w:rPr>
                <w:rFonts w:eastAsia="仿宋"/>
                <w:sz w:val="28"/>
                <w:szCs w:val="28"/>
              </w:rPr>
            </w:pPr>
            <w:r>
              <w:rPr>
                <w:rFonts w:eastAsia="仿宋"/>
                <w:sz w:val="28"/>
                <w:szCs w:val="28"/>
              </w:rPr>
              <w:t>算力要求≥10TFLOPS（FP32）。</w:t>
            </w:r>
          </w:p>
          <w:p>
            <w:pPr>
              <w:numPr>
                <w:ilvl w:val="0"/>
                <w:numId w:val="7"/>
              </w:numPr>
              <w:rPr>
                <w:rFonts w:eastAsia="仿宋"/>
                <w:sz w:val="28"/>
                <w:szCs w:val="28"/>
              </w:rPr>
            </w:pPr>
            <w:r>
              <w:rPr>
                <w:rFonts w:eastAsia="仿宋"/>
                <w:sz w:val="28"/>
                <w:szCs w:val="28"/>
              </w:rPr>
              <w:t>内存≥8GB 显存容量，256位显存位宽；</w:t>
            </w:r>
          </w:p>
          <w:p>
            <w:pPr>
              <w:numPr>
                <w:ilvl w:val="0"/>
                <w:numId w:val="7"/>
              </w:numPr>
              <w:rPr>
                <w:rFonts w:eastAsia="仿宋"/>
                <w:sz w:val="28"/>
                <w:szCs w:val="28"/>
              </w:rPr>
            </w:pPr>
            <w:r>
              <w:rPr>
                <w:rFonts w:eastAsia="仿宋"/>
                <w:sz w:val="28"/>
                <w:szCs w:val="28"/>
              </w:rPr>
              <w:t>显存频率≥8000MHz；</w:t>
            </w:r>
          </w:p>
          <w:p>
            <w:pPr>
              <w:numPr>
                <w:ilvl w:val="0"/>
                <w:numId w:val="7"/>
              </w:numPr>
              <w:rPr>
                <w:rFonts w:eastAsia="仿宋"/>
                <w:sz w:val="28"/>
                <w:szCs w:val="28"/>
              </w:rPr>
            </w:pPr>
            <w:r>
              <w:rPr>
                <w:rFonts w:eastAsia="仿宋"/>
                <w:sz w:val="28"/>
                <w:szCs w:val="28"/>
              </w:rPr>
              <w:t>带宽≥256GB/s；</w:t>
            </w:r>
          </w:p>
          <w:p>
            <w:pPr>
              <w:rPr>
                <w:rFonts w:eastAsia="仿宋"/>
                <w:sz w:val="28"/>
                <w:szCs w:val="28"/>
              </w:rPr>
            </w:pPr>
            <w:r>
              <w:rPr>
                <w:rFonts w:eastAsia="仿宋"/>
                <w:b/>
                <w:bCs/>
                <w:sz w:val="28"/>
                <w:szCs w:val="28"/>
              </w:rPr>
              <w:t>（2）生物信息计算单元</w:t>
            </w:r>
          </w:p>
          <w:p>
            <w:pPr>
              <w:rPr>
                <w:rFonts w:eastAsia="仿宋"/>
                <w:sz w:val="28"/>
                <w:szCs w:val="28"/>
              </w:rPr>
            </w:pPr>
            <w:r>
              <w:rPr>
                <w:rFonts w:eastAsia="仿宋"/>
                <w:sz w:val="28"/>
                <w:szCs w:val="28"/>
              </w:rPr>
              <w:t>利用高性能CPU或GPU等逻辑计算硬件处理信号谱特征，运行基于深度学习的鸟类和昆虫目标智能识别和生物信息计算算法，生成每次雷达体扫中的生物目标数量、类别、速度和高度等生物监测产品。</w:t>
            </w:r>
          </w:p>
          <w:p>
            <w:pPr>
              <w:numPr>
                <w:ilvl w:val="0"/>
                <w:numId w:val="8"/>
              </w:numPr>
              <w:rPr>
                <w:rFonts w:eastAsia="仿宋"/>
                <w:sz w:val="28"/>
                <w:szCs w:val="28"/>
              </w:rPr>
            </w:pPr>
            <w:r>
              <w:rPr>
                <w:rFonts w:eastAsia="仿宋"/>
                <w:sz w:val="28"/>
                <w:szCs w:val="28"/>
              </w:rPr>
              <w:t>网络接口：具备对外千兆网通信接口；</w:t>
            </w:r>
          </w:p>
          <w:p>
            <w:pPr>
              <w:numPr>
                <w:ilvl w:val="0"/>
                <w:numId w:val="8"/>
              </w:numPr>
              <w:rPr>
                <w:rFonts w:eastAsia="仿宋"/>
                <w:sz w:val="28"/>
                <w:szCs w:val="28"/>
              </w:rPr>
            </w:pPr>
            <w:r>
              <w:rPr>
                <w:rFonts w:eastAsia="仿宋"/>
                <w:sz w:val="28"/>
                <w:szCs w:val="28"/>
              </w:rPr>
              <w:t>存储配置：支持NVMe ，容量≥1TB；</w:t>
            </w:r>
          </w:p>
          <w:p>
            <w:pPr>
              <w:numPr>
                <w:ilvl w:val="0"/>
                <w:numId w:val="8"/>
              </w:numPr>
              <w:rPr>
                <w:rFonts w:eastAsia="仿宋"/>
                <w:sz w:val="28"/>
                <w:szCs w:val="28"/>
              </w:rPr>
            </w:pPr>
            <w:r>
              <w:rPr>
                <w:rFonts w:eastAsia="仿宋"/>
                <w:sz w:val="28"/>
                <w:szCs w:val="28"/>
              </w:rPr>
              <w:t>内存容量≥16GB；</w:t>
            </w:r>
          </w:p>
          <w:p>
            <w:pPr>
              <w:numPr>
                <w:ilvl w:val="0"/>
                <w:numId w:val="8"/>
              </w:numPr>
              <w:rPr>
                <w:rFonts w:eastAsia="仿宋"/>
                <w:sz w:val="28"/>
                <w:szCs w:val="28"/>
              </w:rPr>
            </w:pPr>
            <w:r>
              <w:rPr>
                <w:rFonts w:eastAsia="仿宋"/>
                <w:sz w:val="28"/>
                <w:szCs w:val="28"/>
              </w:rPr>
              <w:t>扩展接口</w:t>
            </w:r>
          </w:p>
          <w:p>
            <w:pPr>
              <w:numPr>
                <w:ilvl w:val="0"/>
                <w:numId w:val="9"/>
              </w:numPr>
              <w:rPr>
                <w:rFonts w:eastAsia="仿宋"/>
                <w:sz w:val="28"/>
                <w:szCs w:val="28"/>
              </w:rPr>
            </w:pPr>
            <w:r>
              <w:rPr>
                <w:rFonts w:eastAsia="仿宋"/>
                <w:sz w:val="28"/>
                <w:szCs w:val="28"/>
              </w:rPr>
              <w:t>1路显示输出（HDMI或DP）；</w:t>
            </w:r>
          </w:p>
          <w:p>
            <w:pPr>
              <w:numPr>
                <w:ilvl w:val="0"/>
                <w:numId w:val="9"/>
              </w:numPr>
              <w:rPr>
                <w:rFonts w:eastAsia="仿宋"/>
                <w:sz w:val="28"/>
                <w:szCs w:val="28"/>
              </w:rPr>
            </w:pPr>
            <w:r>
              <w:rPr>
                <w:rFonts w:eastAsia="仿宋"/>
                <w:sz w:val="28"/>
                <w:szCs w:val="28"/>
              </w:rPr>
              <w:t>千兆以太网；</w:t>
            </w:r>
          </w:p>
          <w:p>
            <w:pPr>
              <w:numPr>
                <w:ilvl w:val="0"/>
                <w:numId w:val="9"/>
              </w:numPr>
              <w:rPr>
                <w:rFonts w:eastAsia="仿宋"/>
                <w:sz w:val="28"/>
                <w:szCs w:val="28"/>
              </w:rPr>
            </w:pPr>
            <w:r>
              <w:rPr>
                <w:rFonts w:eastAsia="仿宋"/>
                <w:sz w:val="28"/>
                <w:szCs w:val="28"/>
              </w:rPr>
              <w:t>1路USB；</w:t>
            </w:r>
          </w:p>
          <w:p>
            <w:pPr>
              <w:numPr>
                <w:ilvl w:val="0"/>
                <w:numId w:val="9"/>
              </w:numPr>
              <w:rPr>
                <w:rFonts w:eastAsia="仿宋"/>
                <w:sz w:val="28"/>
                <w:szCs w:val="28"/>
              </w:rPr>
            </w:pPr>
            <w:r>
              <w:rPr>
                <w:rFonts w:eastAsia="仿宋"/>
                <w:sz w:val="28"/>
                <w:szCs w:val="28"/>
              </w:rPr>
              <w:t>PCIe 3.0 ×8 接口（与背板匹配）。</w:t>
            </w:r>
          </w:p>
          <w:p>
            <w:pPr>
              <w:rPr>
                <w:rFonts w:eastAsia="仿宋"/>
                <w:b/>
                <w:bCs/>
                <w:sz w:val="28"/>
                <w:szCs w:val="28"/>
              </w:rPr>
            </w:pPr>
            <w:r>
              <w:rPr>
                <w:rFonts w:eastAsia="仿宋"/>
                <w:b/>
                <w:bCs/>
                <w:sz w:val="28"/>
                <w:szCs w:val="28"/>
              </w:rPr>
              <w:t>（3）主控单元</w:t>
            </w:r>
          </w:p>
          <w:p>
            <w:pPr>
              <w:rPr>
                <w:rFonts w:eastAsia="仿宋"/>
                <w:sz w:val="28"/>
                <w:szCs w:val="28"/>
              </w:rPr>
            </w:pPr>
            <w:r>
              <w:rPr>
                <w:rFonts w:eastAsia="仿宋"/>
                <w:sz w:val="28"/>
                <w:szCs w:val="28"/>
              </w:rPr>
              <w:t>配置生物信息处理器工作参数，提供生物信息监测产品的输出、转存和回看等功能配置，控制各单元工作模式和执行逻辑，配置处理器输入输出参数。</w:t>
            </w:r>
          </w:p>
          <w:p>
            <w:pPr>
              <w:numPr>
                <w:ilvl w:val="0"/>
                <w:numId w:val="10"/>
              </w:numPr>
              <w:rPr>
                <w:rFonts w:eastAsia="仿宋"/>
                <w:sz w:val="28"/>
                <w:szCs w:val="28"/>
              </w:rPr>
            </w:pPr>
            <w:r>
              <w:rPr>
                <w:rFonts w:eastAsia="仿宋"/>
                <w:sz w:val="28"/>
                <w:szCs w:val="28"/>
              </w:rPr>
              <w:t>CPU架构：采用Intel架构的CPU设计。</w:t>
            </w:r>
          </w:p>
          <w:p>
            <w:pPr>
              <w:numPr>
                <w:ilvl w:val="0"/>
                <w:numId w:val="10"/>
              </w:numPr>
              <w:rPr>
                <w:rFonts w:eastAsia="仿宋"/>
                <w:sz w:val="28"/>
                <w:szCs w:val="28"/>
              </w:rPr>
            </w:pPr>
            <w:r>
              <w:rPr>
                <w:rFonts w:eastAsia="仿宋"/>
                <w:sz w:val="28"/>
                <w:szCs w:val="28"/>
              </w:rPr>
              <w:t>网络接口：具备对外千兆网通信接口。</w:t>
            </w:r>
          </w:p>
          <w:p>
            <w:pPr>
              <w:numPr>
                <w:ilvl w:val="0"/>
                <w:numId w:val="10"/>
              </w:numPr>
              <w:rPr>
                <w:rFonts w:eastAsia="仿宋"/>
                <w:sz w:val="28"/>
                <w:szCs w:val="28"/>
              </w:rPr>
            </w:pPr>
            <w:r>
              <w:rPr>
                <w:rFonts w:eastAsia="仿宋"/>
                <w:sz w:val="28"/>
                <w:szCs w:val="28"/>
              </w:rPr>
              <w:t>CPU性能</w:t>
            </w:r>
          </w:p>
          <w:p>
            <w:pPr>
              <w:numPr>
                <w:ilvl w:val="0"/>
                <w:numId w:val="11"/>
              </w:numPr>
              <w:rPr>
                <w:rFonts w:eastAsia="仿宋"/>
                <w:sz w:val="28"/>
                <w:szCs w:val="28"/>
              </w:rPr>
            </w:pPr>
            <w:r>
              <w:rPr>
                <w:rFonts w:eastAsia="仿宋"/>
                <w:sz w:val="28"/>
                <w:szCs w:val="28"/>
              </w:rPr>
              <w:t>主频≥2.5GHz；</w:t>
            </w:r>
          </w:p>
          <w:p>
            <w:pPr>
              <w:numPr>
                <w:ilvl w:val="0"/>
                <w:numId w:val="11"/>
              </w:numPr>
              <w:rPr>
                <w:rFonts w:eastAsia="仿宋"/>
                <w:sz w:val="28"/>
                <w:szCs w:val="28"/>
              </w:rPr>
            </w:pPr>
            <w:r>
              <w:rPr>
                <w:rFonts w:eastAsia="仿宋"/>
                <w:sz w:val="28"/>
                <w:szCs w:val="28"/>
              </w:rPr>
              <w:t>核心数≥8核。</w:t>
            </w:r>
          </w:p>
          <w:p>
            <w:pPr>
              <w:numPr>
                <w:ilvl w:val="0"/>
                <w:numId w:val="10"/>
              </w:numPr>
              <w:rPr>
                <w:rFonts w:eastAsia="仿宋"/>
                <w:sz w:val="28"/>
                <w:szCs w:val="28"/>
              </w:rPr>
            </w:pPr>
            <w:r>
              <w:rPr>
                <w:rFonts w:eastAsia="仿宋"/>
                <w:sz w:val="28"/>
                <w:szCs w:val="28"/>
              </w:rPr>
              <w:t>存储配置</w:t>
            </w:r>
          </w:p>
          <w:p>
            <w:pPr>
              <w:ind w:left="440"/>
              <w:rPr>
                <w:rFonts w:eastAsia="仿宋"/>
                <w:sz w:val="28"/>
                <w:szCs w:val="28"/>
              </w:rPr>
            </w:pPr>
            <w:r>
              <w:rPr>
                <w:rFonts w:eastAsia="仿宋"/>
                <w:sz w:val="28"/>
                <w:szCs w:val="28"/>
              </w:rPr>
              <w:t>SSD存储空间≥512GB，且支持更换。</w:t>
            </w:r>
          </w:p>
          <w:p>
            <w:pPr>
              <w:numPr>
                <w:ilvl w:val="0"/>
                <w:numId w:val="10"/>
              </w:numPr>
              <w:rPr>
                <w:rFonts w:eastAsia="仿宋"/>
                <w:sz w:val="28"/>
                <w:szCs w:val="28"/>
              </w:rPr>
            </w:pPr>
            <w:r>
              <w:rPr>
                <w:rFonts w:eastAsia="仿宋"/>
                <w:sz w:val="28"/>
                <w:szCs w:val="28"/>
              </w:rPr>
              <w:t>内存容量≥32GB。</w:t>
            </w:r>
          </w:p>
          <w:p>
            <w:pPr>
              <w:numPr>
                <w:ilvl w:val="0"/>
                <w:numId w:val="10"/>
              </w:numPr>
              <w:rPr>
                <w:rFonts w:eastAsia="仿宋"/>
                <w:sz w:val="28"/>
                <w:szCs w:val="28"/>
              </w:rPr>
            </w:pPr>
            <w:r>
              <w:rPr>
                <w:rFonts w:eastAsia="仿宋"/>
                <w:sz w:val="28"/>
                <w:szCs w:val="28"/>
              </w:rPr>
              <w:t>扩展接口</w:t>
            </w:r>
          </w:p>
          <w:p>
            <w:pPr>
              <w:numPr>
                <w:ilvl w:val="0"/>
                <w:numId w:val="12"/>
              </w:numPr>
              <w:rPr>
                <w:rFonts w:eastAsia="仿宋"/>
                <w:sz w:val="28"/>
                <w:szCs w:val="28"/>
              </w:rPr>
            </w:pPr>
            <w:r>
              <w:rPr>
                <w:rFonts w:eastAsia="仿宋"/>
                <w:sz w:val="28"/>
                <w:szCs w:val="28"/>
              </w:rPr>
              <w:t>1路显示输出（HDMI或DP）；</w:t>
            </w:r>
          </w:p>
          <w:p>
            <w:pPr>
              <w:numPr>
                <w:ilvl w:val="0"/>
                <w:numId w:val="12"/>
              </w:numPr>
              <w:rPr>
                <w:rFonts w:eastAsia="仿宋"/>
                <w:sz w:val="28"/>
                <w:szCs w:val="28"/>
              </w:rPr>
            </w:pPr>
            <w:r>
              <w:rPr>
                <w:rFonts w:eastAsia="仿宋"/>
                <w:sz w:val="28"/>
                <w:szCs w:val="28"/>
              </w:rPr>
              <w:t>千兆以太网；</w:t>
            </w:r>
          </w:p>
          <w:p>
            <w:pPr>
              <w:numPr>
                <w:ilvl w:val="0"/>
                <w:numId w:val="12"/>
              </w:numPr>
              <w:rPr>
                <w:rFonts w:eastAsia="仿宋"/>
                <w:sz w:val="28"/>
                <w:szCs w:val="28"/>
              </w:rPr>
            </w:pPr>
            <w:r>
              <w:rPr>
                <w:rFonts w:eastAsia="仿宋"/>
                <w:sz w:val="28"/>
                <w:szCs w:val="28"/>
              </w:rPr>
              <w:t>2路USB接口。</w:t>
            </w:r>
          </w:p>
          <w:p>
            <w:pPr>
              <w:rPr>
                <w:rFonts w:eastAsia="仿宋"/>
                <w:sz w:val="28"/>
                <w:szCs w:val="28"/>
              </w:rPr>
            </w:pPr>
            <w:r>
              <w:rPr>
                <w:rFonts w:eastAsia="仿宋"/>
                <w:b/>
                <w:bCs/>
                <w:sz w:val="28"/>
                <w:szCs w:val="28"/>
              </w:rPr>
              <w:t>（4）健康管理单元</w:t>
            </w:r>
          </w:p>
          <w:p>
            <w:pPr>
              <w:rPr>
                <w:rFonts w:eastAsia="仿宋"/>
                <w:sz w:val="28"/>
                <w:szCs w:val="28"/>
              </w:rPr>
            </w:pPr>
            <w:r>
              <w:rPr>
                <w:rFonts w:eastAsia="仿宋"/>
                <w:sz w:val="28"/>
                <w:szCs w:val="28"/>
              </w:rPr>
              <w:t>提供各单元硬件设备健康管理服务，监测硬件设备的电压、电流、功耗、温度等参数，实现在终端的硬件操作和管理维护功能。</w:t>
            </w:r>
          </w:p>
          <w:p>
            <w:pPr>
              <w:rPr>
                <w:rFonts w:eastAsia="仿宋"/>
                <w:sz w:val="28"/>
                <w:szCs w:val="28"/>
              </w:rPr>
            </w:pPr>
            <w:r>
              <w:rPr>
                <w:rFonts w:eastAsia="仿宋"/>
                <w:b/>
                <w:bCs/>
                <w:sz w:val="28"/>
                <w:szCs w:val="28"/>
              </w:rPr>
              <w:t>（5）数据交互单元</w:t>
            </w:r>
          </w:p>
          <w:p>
            <w:pPr>
              <w:rPr>
                <w:rFonts w:eastAsia="仿宋"/>
                <w:sz w:val="28"/>
                <w:szCs w:val="28"/>
              </w:rPr>
            </w:pPr>
            <w:r>
              <w:rPr>
                <w:rFonts w:eastAsia="仿宋"/>
                <w:sz w:val="28"/>
                <w:szCs w:val="28"/>
              </w:rPr>
              <w:t>功能要求：实现信号处理单元、信息计算单元、主控单元和安全存储单元之间的高速数据文件交互功能，降低各单元数据存取资源消耗。</w:t>
            </w:r>
          </w:p>
          <w:p>
            <w:pPr>
              <w:rPr>
                <w:rFonts w:eastAsia="仿宋"/>
                <w:sz w:val="28"/>
                <w:szCs w:val="28"/>
              </w:rPr>
            </w:pPr>
            <w:r>
              <w:rPr>
                <w:rFonts w:eastAsia="仿宋"/>
                <w:b/>
                <w:bCs/>
                <w:sz w:val="28"/>
                <w:szCs w:val="28"/>
              </w:rPr>
              <w:t>（6）电源管理单元</w:t>
            </w:r>
          </w:p>
          <w:p>
            <w:pPr>
              <w:rPr>
                <w:rFonts w:eastAsia="仿宋"/>
                <w:sz w:val="28"/>
                <w:szCs w:val="28"/>
              </w:rPr>
            </w:pPr>
            <w:r>
              <w:rPr>
                <w:rFonts w:eastAsia="仿宋"/>
                <w:sz w:val="28"/>
                <w:szCs w:val="28"/>
              </w:rPr>
              <w:t>功能要求：为处理器各单元硬件提供稳定供电。</w:t>
            </w:r>
          </w:p>
          <w:p>
            <w:pPr>
              <w:rPr>
                <w:rFonts w:eastAsia="仿宋"/>
                <w:sz w:val="28"/>
                <w:szCs w:val="28"/>
              </w:rPr>
            </w:pPr>
            <w:r>
              <w:rPr>
                <w:rFonts w:eastAsia="仿宋"/>
                <w:b/>
                <w:bCs/>
                <w:sz w:val="28"/>
                <w:szCs w:val="28"/>
              </w:rPr>
              <w:t>（7）安全存储单元</w:t>
            </w:r>
          </w:p>
          <w:p>
            <w:pPr>
              <w:rPr>
                <w:rFonts w:eastAsia="仿宋"/>
                <w:sz w:val="28"/>
                <w:szCs w:val="28"/>
              </w:rPr>
            </w:pPr>
            <w:r>
              <w:rPr>
                <w:rFonts w:eastAsia="仿宋"/>
                <w:sz w:val="28"/>
                <w:szCs w:val="28"/>
              </w:rPr>
              <w:t>为至少三个月的雷达原始IQ数据和生物信息计算产品提供大容量高速低延迟数据保存功能，实现历史监测数据和产品的实时回放和高速拷贝。</w:t>
            </w:r>
          </w:p>
          <w:p>
            <w:pPr>
              <w:numPr>
                <w:ilvl w:val="0"/>
                <w:numId w:val="13"/>
              </w:numPr>
              <w:rPr>
                <w:rFonts w:eastAsia="仿宋"/>
                <w:sz w:val="28"/>
                <w:szCs w:val="28"/>
              </w:rPr>
            </w:pPr>
            <w:r>
              <w:rPr>
                <w:rFonts w:eastAsia="仿宋"/>
                <w:sz w:val="28"/>
                <w:szCs w:val="28"/>
              </w:rPr>
              <w:t>支持3路M.2 NVM接口；</w:t>
            </w:r>
          </w:p>
          <w:p>
            <w:pPr>
              <w:numPr>
                <w:ilvl w:val="0"/>
                <w:numId w:val="13"/>
              </w:numPr>
              <w:rPr>
                <w:rFonts w:eastAsia="仿宋"/>
                <w:sz w:val="28"/>
                <w:szCs w:val="28"/>
              </w:rPr>
            </w:pPr>
            <w:r>
              <w:rPr>
                <w:rFonts w:eastAsia="仿宋"/>
                <w:sz w:val="28"/>
                <w:szCs w:val="28"/>
              </w:rPr>
              <w:t>支持16TB存储硬盘；</w:t>
            </w:r>
          </w:p>
          <w:p>
            <w:pPr>
              <w:numPr>
                <w:ilvl w:val="0"/>
                <w:numId w:val="13"/>
              </w:numPr>
              <w:rPr>
                <w:rFonts w:eastAsia="仿宋"/>
                <w:sz w:val="28"/>
                <w:szCs w:val="28"/>
              </w:rPr>
            </w:pPr>
            <w:r>
              <w:rPr>
                <w:rFonts w:eastAsia="仿宋"/>
                <w:sz w:val="28"/>
                <w:szCs w:val="28"/>
              </w:rPr>
              <w:t>写入速度≥4200MB/s；</w:t>
            </w:r>
          </w:p>
          <w:p>
            <w:pPr>
              <w:numPr>
                <w:ilvl w:val="0"/>
                <w:numId w:val="13"/>
              </w:numPr>
              <w:rPr>
                <w:rFonts w:eastAsia="仿宋"/>
                <w:sz w:val="28"/>
                <w:szCs w:val="28"/>
              </w:rPr>
            </w:pPr>
            <w:r>
              <w:rPr>
                <w:rFonts w:eastAsia="仿宋"/>
                <w:sz w:val="28"/>
                <w:szCs w:val="28"/>
              </w:rPr>
              <w:t>读取速度≥5700MB/s。</w:t>
            </w:r>
          </w:p>
          <w:p>
            <w:pPr>
              <w:rPr>
                <w:rFonts w:eastAsia="仿宋"/>
                <w:sz w:val="28"/>
                <w:szCs w:val="28"/>
              </w:rPr>
            </w:pPr>
            <w:r>
              <w:rPr>
                <w:rFonts w:eastAsia="仿宋"/>
                <w:b/>
                <w:bCs/>
                <w:sz w:val="28"/>
                <w:szCs w:val="28"/>
              </w:rPr>
              <w:t>（8）</w:t>
            </w:r>
            <w:r>
              <w:rPr>
                <w:rFonts w:eastAsia="仿宋"/>
                <w:sz w:val="28"/>
                <w:szCs w:val="28"/>
              </w:rPr>
              <w:t>机箱及散热结构</w:t>
            </w:r>
          </w:p>
          <w:p>
            <w:pPr>
              <w:rPr>
                <w:rFonts w:eastAsia="仿宋"/>
                <w:sz w:val="28"/>
                <w:szCs w:val="28"/>
              </w:rPr>
            </w:pPr>
            <w:r>
              <w:rPr>
                <w:rFonts w:eastAsia="仿宋"/>
                <w:sz w:val="28"/>
                <w:szCs w:val="28"/>
              </w:rPr>
              <w:t>为各单元硬件板卡提供稳定安装环境并针对雷达机房环境提供充足主动散热规模。</w:t>
            </w:r>
          </w:p>
          <w:p>
            <w:pPr>
              <w:numPr>
                <w:ilvl w:val="0"/>
                <w:numId w:val="14"/>
              </w:numPr>
              <w:rPr>
                <w:rFonts w:eastAsia="仿宋"/>
                <w:sz w:val="28"/>
                <w:szCs w:val="28"/>
              </w:rPr>
            </w:pPr>
            <w:r>
              <w:rPr>
                <w:rFonts w:eastAsia="仿宋"/>
                <w:sz w:val="28"/>
                <w:szCs w:val="28"/>
              </w:rPr>
              <w:t>工作温度：-20℃~+60℃；</w:t>
            </w:r>
          </w:p>
          <w:p>
            <w:pPr>
              <w:numPr>
                <w:ilvl w:val="0"/>
                <w:numId w:val="14"/>
              </w:numPr>
              <w:rPr>
                <w:rFonts w:eastAsia="仿宋"/>
                <w:sz w:val="28"/>
                <w:szCs w:val="28"/>
              </w:rPr>
            </w:pPr>
            <w:r>
              <w:rPr>
                <w:rFonts w:eastAsia="仿宋"/>
                <w:sz w:val="28"/>
                <w:szCs w:val="28"/>
              </w:rPr>
              <w:t>存储温度：-40℃~+85℃；</w:t>
            </w:r>
          </w:p>
          <w:p>
            <w:pPr>
              <w:numPr>
                <w:ilvl w:val="0"/>
                <w:numId w:val="14"/>
              </w:numPr>
              <w:rPr>
                <w:rFonts w:eastAsia="仿宋"/>
                <w:sz w:val="28"/>
                <w:szCs w:val="28"/>
              </w:rPr>
            </w:pPr>
            <w:r>
              <w:rPr>
                <w:rFonts w:eastAsia="仿宋"/>
                <w:sz w:val="28"/>
                <w:szCs w:val="28"/>
              </w:rPr>
              <w:t>相对湿度：95%，无凝露。</w:t>
            </w:r>
          </w:p>
        </w:tc>
      </w:tr>
    </w:tbl>
    <w:p>
      <w:pPr>
        <w:spacing w:line="560" w:lineRule="exact"/>
        <w:ind w:firstLine="560" w:firstLineChars="200"/>
        <w:rPr>
          <w:rFonts w:eastAsia="仿宋"/>
          <w:sz w:val="28"/>
          <w:szCs w:val="28"/>
        </w:rPr>
      </w:pPr>
      <w:r>
        <w:rPr>
          <w:rFonts w:eastAsia="仿宋"/>
          <w:sz w:val="28"/>
          <w:szCs w:val="28"/>
        </w:rPr>
        <w:t>3.2算法要求</w:t>
      </w:r>
    </w:p>
    <w:p>
      <w:pPr>
        <w:spacing w:line="560" w:lineRule="exact"/>
        <w:ind w:firstLine="560" w:firstLineChars="200"/>
        <w:rPr>
          <w:rFonts w:eastAsia="仿宋"/>
          <w:sz w:val="28"/>
          <w:szCs w:val="28"/>
        </w:rPr>
      </w:pPr>
      <w:r>
        <w:rPr>
          <w:rFonts w:eastAsia="仿宋"/>
          <w:sz w:val="28"/>
          <w:szCs w:val="28"/>
        </w:rPr>
        <w:t>供应商提供的设备嵌入式软件采用国家级业务数据处理算法。</w:t>
      </w:r>
    </w:p>
    <w:p>
      <w:pPr>
        <w:spacing w:line="560" w:lineRule="exact"/>
        <w:ind w:firstLine="560" w:firstLineChars="200"/>
        <w:rPr>
          <w:rFonts w:eastAsia="仿宋"/>
          <w:sz w:val="28"/>
          <w:szCs w:val="28"/>
        </w:rPr>
      </w:pPr>
      <w:r>
        <w:rPr>
          <w:rFonts w:eastAsia="仿宋"/>
          <w:sz w:val="28"/>
          <w:szCs w:val="28"/>
        </w:rPr>
        <w:t>3.3数据要求</w:t>
      </w:r>
    </w:p>
    <w:p>
      <w:pPr>
        <w:spacing w:line="560" w:lineRule="exact"/>
        <w:ind w:firstLine="560" w:firstLineChars="200"/>
        <w:rPr>
          <w:rFonts w:eastAsia="仿宋"/>
          <w:sz w:val="28"/>
          <w:szCs w:val="28"/>
        </w:rPr>
      </w:pPr>
      <w:r>
        <w:rPr>
          <w:rFonts w:eastAsia="仿宋"/>
          <w:sz w:val="28"/>
          <w:szCs w:val="28"/>
        </w:rPr>
        <w:t>供应商提供的设备传输数据能够接入国家级业务运行平台。</w:t>
      </w:r>
    </w:p>
    <w:p>
      <w:pPr>
        <w:spacing w:line="560" w:lineRule="exact"/>
        <w:ind w:firstLine="560" w:firstLineChars="200"/>
        <w:rPr>
          <w:rFonts w:eastAsia="仿宋"/>
          <w:sz w:val="28"/>
          <w:szCs w:val="28"/>
        </w:rPr>
      </w:pPr>
      <w:r>
        <w:rPr>
          <w:rFonts w:eastAsia="仿宋"/>
          <w:sz w:val="28"/>
          <w:szCs w:val="28"/>
        </w:rPr>
        <w:t>四、质保服务要求</w:t>
      </w:r>
    </w:p>
    <w:p>
      <w:pPr>
        <w:spacing w:line="560" w:lineRule="exact"/>
        <w:ind w:firstLine="560" w:firstLineChars="200"/>
        <w:rPr>
          <w:rFonts w:eastAsia="仿宋"/>
          <w:sz w:val="28"/>
          <w:szCs w:val="28"/>
        </w:rPr>
      </w:pPr>
      <w:r>
        <w:rPr>
          <w:rFonts w:eastAsia="仿宋"/>
          <w:sz w:val="28"/>
          <w:szCs w:val="20"/>
        </w:rPr>
        <w:t>中标方按照业务运行规范要求执行，确保设备可稳定运行，主要包括巡检、巡查工作，以及关键器件及系统故障的维修等。故障维修和巡检巡查等需按照质保指导意见要求执行，并提供相关承诺函。</w:t>
      </w:r>
    </w:p>
    <w:p>
      <w:pPr>
        <w:spacing w:line="560" w:lineRule="exact"/>
        <w:ind w:firstLine="560" w:firstLineChars="200"/>
        <w:rPr>
          <w:rFonts w:eastAsia="仿宋"/>
          <w:sz w:val="28"/>
          <w:szCs w:val="28"/>
        </w:rPr>
      </w:pPr>
      <w:r>
        <w:rPr>
          <w:rFonts w:eastAsia="仿宋"/>
          <w:sz w:val="28"/>
          <w:szCs w:val="20"/>
        </w:rPr>
        <w:t>（1）</w:t>
      </w:r>
      <w:r>
        <w:rPr>
          <w:rFonts w:eastAsia="仿宋"/>
          <w:sz w:val="28"/>
          <w:szCs w:val="28"/>
        </w:rPr>
        <w:t>供应商将所有设备运送到招标人指定地点（运输相关费用由供应商负责），并负责安装调试。</w:t>
      </w:r>
    </w:p>
    <w:p>
      <w:pPr>
        <w:spacing w:line="560" w:lineRule="exact"/>
        <w:ind w:firstLine="560" w:firstLineChars="200"/>
        <w:rPr>
          <w:rFonts w:eastAsia="仿宋"/>
          <w:sz w:val="28"/>
          <w:szCs w:val="28"/>
        </w:rPr>
      </w:pPr>
      <w:r>
        <w:rPr>
          <w:rFonts w:eastAsia="仿宋"/>
          <w:sz w:val="28"/>
          <w:szCs w:val="20"/>
        </w:rPr>
        <w:t>（2）</w:t>
      </w:r>
      <w:r>
        <w:rPr>
          <w:rFonts w:eastAsia="仿宋"/>
          <w:b/>
          <w:bCs/>
          <w:sz w:val="28"/>
          <w:szCs w:val="28"/>
          <w:highlight w:val="yellow"/>
        </w:rPr>
        <w:t>质保期：</w:t>
      </w:r>
      <w:r>
        <w:rPr>
          <w:rFonts w:eastAsia="仿宋" w:hint="eastAsia"/>
          <w:b/>
          <w:bCs/>
          <w:sz w:val="28"/>
          <w:szCs w:val="28"/>
          <w:highlight w:val="yellow"/>
        </w:rPr>
        <w:t>8</w:t>
      </w:r>
      <w:r>
        <w:rPr>
          <w:rFonts w:eastAsia="仿宋"/>
          <w:b/>
          <w:bCs/>
          <w:sz w:val="28"/>
          <w:szCs w:val="28"/>
          <w:highlight w:val="yellow"/>
        </w:rPr>
        <w:t>年</w:t>
      </w:r>
      <w:r>
        <w:rPr>
          <w:rFonts w:ascii="仿宋" w:eastAsia="仿宋" w:hAnsi="仿宋" w:cs="仿宋" w:hint="eastAsia"/>
          <w:sz w:val="28"/>
          <w:szCs w:val="20"/>
          <w:highlight w:val="yellow"/>
        </w:rPr>
        <w:t>*</w:t>
      </w:r>
      <w:r>
        <w:rPr>
          <w:rFonts w:eastAsia="仿宋"/>
          <w:sz w:val="28"/>
          <w:szCs w:val="28"/>
        </w:rPr>
        <w:t>，供应商需对质保期（保内、保外）政策进行阐述或承诺，列明有偿服务和无偿服务内容。</w:t>
      </w:r>
    </w:p>
    <w:p>
      <w:pPr>
        <w:spacing w:line="560" w:lineRule="exact"/>
        <w:ind w:firstLine="560" w:firstLineChars="200"/>
        <w:rPr>
          <w:rFonts w:eastAsia="仿宋"/>
          <w:sz w:val="28"/>
          <w:szCs w:val="20"/>
        </w:rPr>
      </w:pPr>
      <w:r>
        <w:rPr>
          <w:rFonts w:eastAsia="仿宋"/>
          <w:sz w:val="28"/>
          <w:szCs w:val="20"/>
        </w:rPr>
        <w:t>（3）在质保期内，设备供应商服务时间应为7×24小时，当投标产品或软件遭到损坏或出现故障时，要在用户报修之时起48小时内做出响应，开展维修维护工作，视情况双方协商设备恢复正常运行时限。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eastAsia="仿宋"/>
          <w:sz w:val="28"/>
          <w:szCs w:val="20"/>
        </w:rPr>
      </w:pPr>
      <w:r>
        <w:rPr>
          <w:rFonts w:eastAsia="仿宋"/>
          <w:sz w:val="28"/>
          <w:szCs w:val="20"/>
        </w:rPr>
        <w:t>（4）质保期过后，设备供应商仍有义务提供技术服务（包括提供设备维护、备件等）。</w:t>
      </w:r>
    </w:p>
    <w:p>
      <w:pPr>
        <w:spacing w:line="560" w:lineRule="exact"/>
        <w:ind w:firstLine="560" w:firstLineChars="200"/>
        <w:rPr>
          <w:rFonts w:eastAsia="仿宋" w:hint="eastAsia"/>
          <w:sz w:val="28"/>
          <w:szCs w:val="28"/>
        </w:rPr>
      </w:pPr>
      <w:r>
        <w:rPr>
          <w:rFonts w:eastAsia="仿宋"/>
          <w:sz w:val="28"/>
          <w:szCs w:val="28"/>
        </w:rPr>
        <w:t>五、验收要求</w:t>
      </w:r>
      <w:r>
        <w:rPr>
          <w:rFonts w:eastAsia="仿宋" w:hint="eastAsia"/>
          <w:sz w:val="28"/>
          <w:szCs w:val="28"/>
        </w:rPr>
        <w:t>（</w:t>
      </w:r>
      <w:r>
        <w:rPr>
          <w:rFonts w:ascii="仿宋" w:eastAsia="仿宋" w:hAnsi="仿宋" w:cs="仿宋" w:hint="eastAsia"/>
          <w:sz w:val="28"/>
          <w:szCs w:val="20"/>
        </w:rPr>
        <w:t>检验考核要求等）</w:t>
      </w:r>
    </w:p>
    <w:p>
      <w:pPr>
        <w:ind w:firstLine="560" w:firstLineChars="200"/>
        <w:rPr>
          <w:rFonts w:eastAsia="仿宋"/>
          <w:sz w:val="28"/>
          <w:szCs w:val="20"/>
        </w:rPr>
      </w:pPr>
      <w:r>
        <w:rPr>
          <w:rFonts w:eastAsia="仿宋"/>
          <w:sz w:val="28"/>
          <w:szCs w:val="20"/>
        </w:rPr>
        <w:t>参照功能规格需求书、测试大纲，以及中国气象局最新业务管理规定等有关文件要求开展检验考核。</w:t>
      </w:r>
    </w:p>
    <w:p>
      <w:pPr>
        <w:ind w:firstLine="560" w:firstLineChars="200"/>
        <w:rPr>
          <w:rFonts w:eastAsia="仿宋"/>
          <w:sz w:val="28"/>
          <w:szCs w:val="20"/>
        </w:rPr>
      </w:pPr>
      <w:r>
        <w:rPr>
          <w:rFonts w:eastAsia="仿宋"/>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eastAsia="仿宋"/>
          <w:sz w:val="28"/>
          <w:szCs w:val="20"/>
        </w:rPr>
      </w:pPr>
      <w:r>
        <w:rPr>
          <w:rFonts w:eastAsia="仿宋"/>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eastAsia="仿宋"/>
          <w:sz w:val="28"/>
          <w:szCs w:val="20"/>
        </w:rPr>
      </w:pPr>
      <w:r>
        <w:rPr>
          <w:rFonts w:eastAsia="仿宋"/>
          <w:sz w:val="28"/>
          <w:szCs w:val="20"/>
        </w:rPr>
        <w:t>（3）设备经过1个月试运行期，达到功能规格需求书的要求时，可进行最终验收。在试运行期间，由于设备质量等造成某些指标达不到要求，允许中标人更换或进行修复。</w:t>
      </w:r>
    </w:p>
    <w:p>
      <w:pPr>
        <w:ind w:firstLine="560" w:firstLineChars="200"/>
        <w:rPr>
          <w:rFonts w:eastAsia="仿宋"/>
          <w:sz w:val="28"/>
          <w:szCs w:val="20"/>
        </w:rPr>
      </w:pPr>
      <w:r>
        <w:rPr>
          <w:rFonts w:eastAsia="仿宋"/>
          <w:sz w:val="28"/>
          <w:szCs w:val="20"/>
        </w:rPr>
        <w:t>（4）设备安装调试和试运行结束后，采购人组织最终验收。当满足以下条件时，采购人确认验收合格签署验收合格证：</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中标人已提供合同中签署的全部货物及完整技术资料；</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货物符合技术规格，性能满足要求；</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安装工程符合技术要求，系统性能满足要求，设备正常运行。</w:t>
      </w:r>
    </w:p>
    <w:p>
      <w:pPr>
        <w:spacing w:line="560" w:lineRule="exact"/>
        <w:ind w:firstLine="560" w:firstLineChars="200"/>
        <w:rPr>
          <w:rFonts w:eastAsia="仿宋"/>
          <w:sz w:val="28"/>
          <w:szCs w:val="28"/>
        </w:rPr>
      </w:pPr>
      <w:r>
        <w:rPr>
          <w:rFonts w:eastAsia="仿宋"/>
          <w:sz w:val="28"/>
          <w:szCs w:val="28"/>
        </w:rPr>
        <w:t>六、其他要求</w:t>
      </w:r>
    </w:p>
    <w:p>
      <w:pPr>
        <w:spacing w:line="560" w:lineRule="exact"/>
        <w:ind w:left="420" w:leftChars="200"/>
        <w:rPr>
          <w:rFonts w:eastAsia="仿宋_GB2312"/>
          <w:sz w:val="28"/>
          <w:szCs w:val="20"/>
        </w:rPr>
      </w:pPr>
      <w:r>
        <w:rPr>
          <w:rFonts w:eastAsia="仿宋"/>
          <w:sz w:val="28"/>
          <w:szCs w:val="20"/>
        </w:rPr>
        <w:t>详见采购需求-其他技术及商务需求。</w:t>
      </w:r>
    </w:p>
    <w:p>
      <w:pPr>
        <w:spacing w:line="560" w:lineRule="exact"/>
        <w:ind w:firstLine="560" w:firstLineChars="200"/>
        <w:rPr>
          <w:rFonts w:eastAsia="仿宋"/>
          <w:sz w:val="28"/>
          <w:szCs w:val="20"/>
        </w:rPr>
      </w:pPr>
    </w:p>
    <w:p>
      <w:pPr>
        <w:spacing w:line="560" w:lineRule="exact"/>
        <w:ind w:firstLine="560" w:firstLineChars="200"/>
        <w:rPr>
          <w:rFonts w:eastAsia="仿宋"/>
          <w:sz w:val="28"/>
          <w:szCs w:val="20"/>
        </w:rPr>
      </w:pPr>
      <w:r>
        <w:rPr>
          <w:rFonts w:eastAsia="仿宋"/>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9"/>
        <w:gridCol w:w="1171"/>
        <w:gridCol w:w="687"/>
        <w:gridCol w:w="955"/>
        <w:gridCol w:w="1089"/>
        <w:gridCol w:w="3836"/>
        <w:gridCol w:w="40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X波段虫鸟精细监测边缘计算平台</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1,460,000.00</w:t>
            </w:r>
          </w:p>
        </w:tc>
        <w:tc>
          <w:tcPr/>
          <w:p>
            <w:pPr>
              <w:autoSpaceDE w:val="0"/>
              <w:jc w:val="center"/>
              <w:rPr>
                <w:rFonts w:asciiTheme="minorEastAsia" w:hAnsiTheme="minorEastAsia" w:cstheme="minorEastAsia" w:hint="eastAsia"/>
                <w:kern w:val="0"/>
                <w:szCs w:val="21"/>
              </w:rPr>
            </w:pPr>
            <w:r>
              <w:t>合同签订后120天内交货，30天内完成安装调试并具备验收条件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1,460,000.00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41"/>
        <w:gridCol w:w="1498"/>
        <w:gridCol w:w="1232"/>
        <w:gridCol w:w="441"/>
        <w:gridCol w:w="1005"/>
        <w:gridCol w:w="838"/>
        <w:gridCol w:w="723"/>
        <w:gridCol w:w="234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周口市局(001046038)</w:t>
            </w:r>
          </w:p>
        </w:tc>
        <w:tc>
          <w:tcPr/>
          <w:p>
            <w:r>
              <w:t>X波段虫鸟精细监测边缘计算平台</w:t>
            </w:r>
          </w:p>
        </w:tc>
        <w:tc>
          <w:tcPr/>
          <w:p>
            <w:r>
              <w:t>1</w:t>
            </w:r>
          </w:p>
        </w:tc>
        <w:tc>
          <w:tcPr/>
          <w:p>
            <w:r>
              <w:t>1460000.00</w:t>
            </w:r>
          </w:p>
        </w:tc>
        <w:tc>
          <w:tcPr/>
          <w:p>
            <w:r>
              <w:t xml:space="preserve">1460000.00  </w:t>
            </w:r>
          </w:p>
        </w:tc>
        <w:tc>
          <w:tcPr/>
          <w:p>
            <w:r>
              <w:t>河南周口</w:t>
            </w:r>
          </w:p>
        </w:tc>
        <w:tc>
          <w:tcPr/>
          <w:p>
            <w:r>
              <w:t>周口市气象局（李昊18638061241）</w:t>
            </w: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本项目拟完善</w:t>
      </w:r>
      <w:r>
        <w:rPr>
          <w:rFonts w:ascii="仿宋" w:eastAsia="仿宋" w:hAnsi="仿宋" w:cs="仿宋" w:hint="eastAsia"/>
          <w:sz w:val="28"/>
          <w:szCs w:val="20"/>
          <w:lang w:val="en-US" w:eastAsia="zh-CN"/>
        </w:rPr>
        <w:t>兰考X波段</w:t>
      </w:r>
      <w:r>
        <w:rPr>
          <w:rFonts w:ascii="仿宋" w:eastAsia="仿宋" w:hAnsi="仿宋" w:cs="仿宋" w:hint="eastAsia"/>
          <w:sz w:val="28"/>
          <w:szCs w:val="20"/>
        </w:rPr>
        <w:t>天气雷达空中生态监测系统，搭建天气雷达IQ数据处理专用硬件平台,实现业务运行雷达IQ数据的实时处理，为天空中生物监测算法开发提供标准化平台，提供数据处理分析服务，提供天气雷达生态监测产品展示平台；基于“云+端”气象业务技术体制，优化设计并开发建设。引进先进算法、新技术和方法，建立小尺度个体监测的观测体系；实现公里级，精细监测；实现生物种类、位置、速度、朝向的监测；数据质量控制算法需进一步优化，加强质量控制水平，强化雷达数据在生物识别业务中应用；建立生物信息数据库，进一步对系统识别结果进行准确性比对分析。增加生物定量统计分析产品，强化服务能力满足国家局的业务要求。运用物联网和大数据技术，构建全国观测一体、布局科学合理的、符合中国气象局全球观测战略需求的空中生态监测平台。为生物监测提供高时效观测数据。</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系统在</w:t>
      </w:r>
      <w:r>
        <w:rPr>
          <w:rFonts w:ascii="仿宋" w:eastAsia="仿宋" w:hAnsi="仿宋" w:cs="仿宋" w:hint="eastAsia"/>
          <w:sz w:val="28"/>
          <w:szCs w:val="20"/>
          <w:lang w:val="en-US" w:eastAsia="zh-CN"/>
        </w:rPr>
        <w:t>河南兰考</w:t>
      </w:r>
      <w:r>
        <w:rPr>
          <w:rFonts w:ascii="仿宋" w:eastAsia="仿宋" w:hAnsi="仿宋" w:cs="仿宋" w:hint="eastAsia"/>
          <w:sz w:val="28"/>
          <w:szCs w:val="20"/>
        </w:rPr>
        <w:t>实现本地化部署，针对迁飞猛禽、国家重点保护野生鸟类、国家重大迁飞害虫，以及迁飞鸟类的停留、栖息、过境和越冬等行为，结合当地林业部和农业部人工观测数据，优化完善天气雷达网生物回波识别算法。形成天气雷达生态监测产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设备供应商对每套投标产品提供至少2次技术培训，培训课时不少于</w:t>
      </w:r>
      <w:r>
        <w:rPr>
          <w:rFonts w:ascii="仿宋" w:eastAsia="仿宋" w:hAnsi="仿宋" w:cs="仿宋" w:hint="eastAsia"/>
          <w:sz w:val="28"/>
          <w:szCs w:val="20"/>
          <w:lang w:val="en-US" w:eastAsia="zh-CN"/>
        </w:rPr>
        <w:t>8</w:t>
      </w:r>
      <w:r>
        <w:rPr>
          <w:rFonts w:ascii="仿宋" w:eastAsia="仿宋" w:hAnsi="仿宋" w:cs="仿宋" w:hint="eastAsia"/>
          <w:sz w:val="28"/>
          <w:szCs w:val="20"/>
        </w:rPr>
        <w:t>个课时，培训人数不少于</w:t>
      </w:r>
      <w:r>
        <w:rPr>
          <w:rFonts w:ascii="仿宋" w:eastAsia="仿宋" w:hAnsi="仿宋" w:cs="仿宋" w:hint="eastAsia"/>
          <w:sz w:val="28"/>
          <w:szCs w:val="20"/>
          <w:lang w:val="en-US" w:eastAsia="zh-CN"/>
        </w:rPr>
        <w:t>20</w:t>
      </w:r>
      <w:r>
        <w:rPr>
          <w:rFonts w:ascii="仿宋" w:eastAsia="仿宋" w:hAnsi="仿宋" w:cs="仿宋" w:hint="eastAsia"/>
          <w:sz w:val="28"/>
          <w:szCs w:val="20"/>
        </w:rPr>
        <w:t>人。</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河南兰考</w:t>
      </w:r>
      <w:r>
        <w:rPr>
          <w:rFonts w:ascii="仿宋" w:eastAsia="仿宋" w:hAnsi="仿宋" w:cs="仿宋" w:hint="eastAsia"/>
          <w:sz w:val="28"/>
          <w:szCs w:val="20"/>
        </w:rPr>
        <w:t>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设备软件兼容性强，设备数据传输模式、数据格式、数据通讯协议满足国家局下发的相关功能规格需求书要求，设备观测数据通过气象专网接入天擎平台，完全符合甲方相关要求和规范，保证其系统兼容性和功能的完整性</w:t>
      </w:r>
      <w:r>
        <w:rPr>
          <w:rFonts w:ascii="仿宋" w:eastAsia="仿宋" w:hAnsi="仿宋" w:cs="仿宋" w:hint="eastAsia"/>
          <w:sz w:val="28"/>
          <w:szCs w:val="20"/>
        </w:rPr>
        <w:t>。</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本次工程对现有兰考新一代天气雷达进行改造升级、具有生物识别能力，升级的内容包括：生物识别数据处理部件、数据存储设备及其附件等。</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（1）搭建天气雷达IQ平台</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1）开发天气雷达IQ数据专用硬件通道1套，由天气雷达信号处理机箱、存取模块、显示模块、处理模块等部分组成，可实现业务运行雷达IQ数据的准实时处理；</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2）开发天气雷达IQ数据专用模块化算法1套，包括存取模块、处理模块、显示模块，可为天空中生物监测算法开发提供标准化平台，提供数据处理分析服务，提供天气雷达生态监测产品展示平台。</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（2）软件开发</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完善天气雷达空中生态监测系统是空中生态观测业务体系的重要一环，增强空中生态观测业务的监测分析和控制、运行调度等能力。发现空中生态系统规律、掌握空中生态与人的相互关系。</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建立小尺度个体监测的观测体系；实现公里级，精细监测；实现生物种类、位置、速度、朝向的监测；数据质量控制算法需进一步优化，加强质量控制水平，强化雷达数据在生物识别业务中应用；建立生物信息数据库，进一步对系统识别结果进行准确性比对分析。对已有产品和展示形式进一步优化，实现图表和数据的导入和导出功能，实现产品大尺度统计功能，增加生物定量统计分析产品，增加生物定量统计分析产品，实现信息产品可视化、时间系列生成、不同空间范围的数据统计，进一步完善全国空中生态监测的标准化和业务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（3）系统部署</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1）完成基于天气雷达网的空中生态监测系统在河南兰考的本地化落地；</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2）结合河南兰考的本地林业部和农业部实况数据，每月提供一期生物回波、迁飞方向和高度等观测观测资料和数据分析资料。</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6D7038">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6D7038">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D7038">
            <w:pPr>
              <w:rPr>
                <w:sz w:val="18"/>
                <w:szCs w:val="18"/>
              </w:rPr>
            </w:pPr>
            <w:r>
              <w:rPr>
                <w:rFonts w:hint="eastAsia"/>
                <w:sz w:val="18"/>
                <w:szCs w:val="18"/>
              </w:rPr>
              <w:t>序号</w:t>
            </w:r>
          </w:p>
        </w:tc>
        <w:tc>
          <w:tcPr>
            <w:tcW w:w="898" w:type="dxa"/>
            <w:vAlign w:val="center"/>
          </w:tcPr>
          <w:p w:rsidR="006D7038">
            <w:pPr>
              <w:jc w:val="center"/>
              <w:rPr>
                <w:sz w:val="18"/>
                <w:szCs w:val="18"/>
              </w:rPr>
            </w:pPr>
            <w:r>
              <w:rPr>
                <w:rFonts w:hint="eastAsia"/>
                <w:sz w:val="18"/>
                <w:szCs w:val="18"/>
              </w:rPr>
              <w:t>对应</w:t>
            </w:r>
          </w:p>
          <w:p w:rsidR="006D7038">
            <w:pPr>
              <w:jc w:val="center"/>
              <w:rPr>
                <w:sz w:val="18"/>
                <w:szCs w:val="18"/>
              </w:rPr>
            </w:pPr>
            <w:r>
              <w:rPr>
                <w:rFonts w:hint="eastAsia"/>
                <w:sz w:val="18"/>
                <w:szCs w:val="18"/>
              </w:rPr>
              <w:t>条款号</w:t>
            </w:r>
          </w:p>
        </w:tc>
        <w:tc>
          <w:tcPr>
            <w:tcW w:w="7347" w:type="dxa"/>
            <w:vAlign w:val="center"/>
          </w:tcPr>
          <w:p w:rsidR="006D7038">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6D7038">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6D7038">
            <w:pPr>
              <w:numPr>
                <w:ilvl w:val="0"/>
                <w:numId w:val="24"/>
              </w:numPr>
              <w:rPr>
                <w:rFonts w:ascii="宋体" w:hAnsi="宋体"/>
                <w:sz w:val="18"/>
                <w:szCs w:val="18"/>
              </w:rPr>
            </w:pPr>
          </w:p>
        </w:tc>
        <w:tc>
          <w:tcPr>
            <w:tcW w:w="898" w:type="dxa"/>
            <w:vAlign w:val="center"/>
          </w:tcPr>
          <w:p w:rsidR="006D7038" w:rsidP="008357F9">
            <w:pPr>
              <w:rPr>
                <w:rFonts w:ascii="宋体" w:hAnsi="宋体"/>
                <w:sz w:val="18"/>
                <w:szCs w:val="18"/>
              </w:rPr>
            </w:pPr>
          </w:p>
        </w:tc>
        <w:tc>
          <w:tcPr>
            <w:tcW w:w="7347" w:type="dxa"/>
          </w:tcPr>
          <w:p w:rsidR="006D7038">
            <w:pPr>
              <w:tabs>
                <w:tab w:val="left" w:pos="709"/>
              </w:tabs>
              <w:spacing w:line="360" w:lineRule="auto"/>
              <w:jc w:val="left"/>
              <w:rPr>
                <w:rFonts w:ascii="宋体" w:hAnsi="宋体" w:cs="微软雅黑"/>
                <w:b/>
                <w:color w:val="0000FF"/>
                <w:kern w:val="0"/>
                <w:sz w:val="18"/>
                <w:szCs w:val="18"/>
              </w:rPr>
            </w:pPr>
            <w:r>
              <w:rPr>
                <w:rFonts w:cs="微软雅黑" w:hint="eastAsia"/>
                <w:b/>
                <w:color w:val="0000FF"/>
                <w:kern w:val="0"/>
                <w:sz w:val="18"/>
                <w:szCs w:val="18"/>
              </w:rPr>
              <w:t>无</w:t>
            </w:r>
          </w:p>
        </w:tc>
      </w:tr>
      <w:tr>
        <w:tblPrEx>
          <w:tblW w:w="8789" w:type="dxa"/>
          <w:tblLayout w:type="fixed"/>
          <w:tblLook w:val="04A0"/>
        </w:tblPrEx>
        <w:trPr>
          <w:cantSplit/>
        </w:trPr>
        <w:tc>
          <w:tcPr>
            <w:tcW w:w="8789" w:type="dxa"/>
            <w:gridSpan w:val="3"/>
            <w:vAlign w:val="center"/>
          </w:tcPr>
          <w:p w:rsidR="006D7038">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6D7038">
            <w:pPr>
              <w:numPr>
                <w:ilvl w:val="0"/>
                <w:numId w:val="24"/>
              </w:numPr>
              <w:rPr>
                <w:rFonts w:ascii="宋体" w:hAnsi="宋体"/>
                <w:sz w:val="18"/>
                <w:szCs w:val="18"/>
              </w:rPr>
            </w:pPr>
          </w:p>
        </w:tc>
        <w:tc>
          <w:tcPr>
            <w:tcW w:w="898" w:type="dxa"/>
            <w:vAlign w:val="center"/>
          </w:tcPr>
          <w:p w:rsidR="006D7038">
            <w:pPr>
              <w:jc w:val="center"/>
              <w:rPr>
                <w:rFonts w:ascii="宋体" w:hAnsi="宋体"/>
                <w:sz w:val="18"/>
                <w:szCs w:val="18"/>
              </w:rPr>
            </w:pPr>
            <w:r>
              <w:rPr>
                <w:rFonts w:ascii="宋体" w:hAnsi="宋体" w:hint="eastAsia"/>
                <w:sz w:val="18"/>
                <w:szCs w:val="18"/>
              </w:rPr>
              <w:t>四（</w:t>
            </w:r>
            <w:r>
              <w:rPr>
                <w:rFonts w:ascii="宋体" w:hAnsi="宋体" w:hint="eastAsia"/>
                <w:sz w:val="18"/>
                <w:szCs w:val="18"/>
              </w:rPr>
              <w:t>2</w:t>
            </w:r>
            <w:r>
              <w:rPr>
                <w:rFonts w:ascii="宋体" w:hAnsi="宋体" w:hint="eastAsia"/>
                <w:sz w:val="18"/>
                <w:szCs w:val="18"/>
              </w:rPr>
              <w:t>）</w:t>
            </w:r>
          </w:p>
        </w:tc>
        <w:tc>
          <w:tcPr>
            <w:tcW w:w="7347" w:type="dxa"/>
            <w:vAlign w:val="center"/>
          </w:tcPr>
          <w:p w:rsidR="006D7038">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年的免费维护维修服务，需对质保期（保内、保外）政策进行阐述或承诺，列明有偿服务和无偿服务内容。</w:t>
            </w:r>
          </w:p>
        </w:tc>
      </w:tr>
    </w:tbl>
    <w:p w:rsidR="006D7038">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15"/>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1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1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yellow"/>
        </w:rPr>
      </w:pPr>
      <w:r>
        <w:rPr>
          <w:rFonts w:ascii="Wingdings" w:hAnsi="Wingdings"/>
          <w:szCs w:val="21"/>
          <w:highlight w:val="yellow"/>
        </w:rPr>
        <w:sym w:font="Wingdings" w:char="F0FE"/>
      </w:r>
      <w:r>
        <w:rPr>
          <w:rFonts w:ascii="宋体" w:hAnsi="宋体" w:hint="eastAsia"/>
          <w:szCs w:val="21"/>
          <w:highlight w:val="yellow"/>
        </w:rPr>
        <w:t>分期付款：</w:t>
      </w:r>
    </w:p>
    <w:p>
      <w:pPr>
        <w:snapToGrid w:val="0"/>
        <w:spacing w:line="400" w:lineRule="exact"/>
        <w:ind w:firstLine="630" w:firstLineChars="300"/>
        <w:rPr>
          <w:rFonts w:ascii="宋体" w:hAnsi="宋体" w:hint="default"/>
          <w:szCs w:val="21"/>
          <w:highlight w:val="yellow"/>
          <w:u w:val="single"/>
        </w:rPr>
      </w:pPr>
      <w:r>
        <w:rPr>
          <w:rFonts w:ascii="宋体" w:hAnsi="宋体" w:hint="eastAsia"/>
          <w:szCs w:val="21"/>
          <w:highlight w:val="yellow"/>
          <w:u w:val="single"/>
          <w:lang w:val="en-US" w:eastAsia="zh-CN"/>
        </w:rPr>
        <w:t>合同生效后付款：双方签署合同后10个工作日内，甲方向乙方支付合同总金额的85%，即人民币               （大写）：</w:t>
      </w:r>
      <w:r>
        <w:rPr>
          <w:rFonts w:ascii="Arial" w:hAnsi="Arial" w:cs="Arial" w:hint="default"/>
          <w:szCs w:val="21"/>
          <w:highlight w:val="yellow"/>
          <w:u w:val="single"/>
          <w:lang w:val="en-US" w:eastAsia="zh-CN"/>
        </w:rPr>
        <w:t>¥</w:t>
      </w:r>
      <w:r>
        <w:rPr>
          <w:rFonts w:ascii="宋体" w:hAnsi="宋体" w:hint="eastAsia"/>
          <w:szCs w:val="21"/>
          <w:highlight w:val="yellow"/>
          <w:u w:val="single"/>
          <w:lang w:val="en-US" w:eastAsia="zh-CN"/>
        </w:rPr>
        <w:t xml:space="preserve">                  元（小写）。</w:t>
      </w:r>
    </w:p>
    <w:p>
      <w:pPr>
        <w:adjustRightInd w:val="0"/>
        <w:snapToGrid w:val="0"/>
        <w:spacing w:line="400" w:lineRule="exact"/>
        <w:ind w:firstLine="630" w:firstLineChars="300"/>
        <w:rPr>
          <w:rFonts w:ascii="宋体" w:hAnsi="宋体" w:hint="eastAsia"/>
          <w:szCs w:val="21"/>
          <w:highlight w:val="yellow"/>
          <w:u w:val="single"/>
        </w:rPr>
      </w:pPr>
      <w:r>
        <w:rPr>
          <w:rFonts w:ascii="宋体" w:hAnsi="宋体" w:hint="eastAsia"/>
          <w:szCs w:val="21"/>
          <w:highlight w:val="yellow"/>
          <w:u w:val="single"/>
          <w:lang w:val="en-US" w:eastAsia="zh-CN"/>
        </w:rPr>
        <w:t>到货、检验后付款：双方签署验收报告后10个工作日内，甲方向乙方支付合同总金额的15%，即人民币               （大写）：</w:t>
      </w:r>
      <w:r>
        <w:rPr>
          <w:rFonts w:ascii="Arial" w:hAnsi="Arial" w:cs="Arial" w:hint="default"/>
          <w:szCs w:val="21"/>
          <w:highlight w:val="yellow"/>
          <w:u w:val="single"/>
          <w:lang w:val="en-US" w:eastAsia="zh-CN"/>
        </w:rPr>
        <w:t>¥</w:t>
      </w:r>
      <w:r>
        <w:rPr>
          <w:rFonts w:ascii="宋体" w:hAnsi="宋体" w:hint="eastAsia"/>
          <w:szCs w:val="21"/>
          <w:highlight w:val="yellow"/>
          <w:u w:val="single"/>
          <w:lang w:val="en-US" w:eastAsia="zh-CN"/>
        </w:rPr>
        <w:t xml:space="preserve">                  元（小写）。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1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w:t>
      </w:r>
      <w:r>
        <w:rPr>
          <w:rFonts w:ascii="宋体" w:hAnsi="宋体" w:cs="宋体" w:hint="eastAsia"/>
          <w:bCs/>
          <w:szCs w:val="21"/>
          <w:highlight w:val="none"/>
          <w:lang w:val="en-US" w:eastAsia="zh-CN"/>
        </w:rPr>
        <w:t>是否需要</w:t>
      </w:r>
      <w:r>
        <w:rPr>
          <w:rFonts w:ascii="宋体" w:hAnsi="宋体" w:cs="宋体" w:hint="eastAsia"/>
          <w:bCs/>
          <w:szCs w:val="21"/>
          <w:highlight w:val="yellow"/>
        </w:rPr>
        <w:t>履约担保：</w:t>
      </w:r>
      <w:r>
        <w:rPr>
          <w:rFonts w:ascii="Wingdings" w:hAnsi="Wingdings" w:cs="宋体"/>
          <w:szCs w:val="21"/>
          <w:highlight w:val="yellow"/>
        </w:rPr>
        <w:sym w:font="Wingdings" w:char="F0FE"/>
      </w:r>
      <w:r>
        <w:rPr>
          <w:rFonts w:ascii="宋体" w:hAnsi="宋体" w:cs="宋体" w:hint="eastAsia"/>
          <w:szCs w:val="21"/>
          <w:highlight w:val="yellow"/>
        </w:rPr>
        <w:t xml:space="preserve">是    </w:t>
      </w:r>
      <w:r>
        <w:rPr>
          <w:rFonts w:ascii="Wingdings" w:hAnsi="Wingdings" w:cs="宋体"/>
          <w:szCs w:val="21"/>
          <w:highlight w:val="yellow"/>
        </w:rPr>
        <w:sym w:font="Wingdings" w:char="F0A8"/>
      </w:r>
      <w:r>
        <w:rPr>
          <w:rFonts w:ascii="宋体" w:hAnsi="宋体" w:cs="宋体" w:hint="eastAsia"/>
          <w:szCs w:val="21"/>
          <w:highlight w:val="yellow"/>
        </w:rPr>
        <w:t>否</w:t>
      </w:r>
    </w:p>
    <w:p>
      <w:pPr>
        <w:pStyle w:val="AONormal"/>
        <w:rPr>
          <w:rFonts w:ascii="宋体" w:hAnsi="宋体" w:eastAsiaTheme="minorEastAsia" w:cs="宋体" w:hint="eastAsia"/>
          <w:bCs/>
          <w:kern w:val="2"/>
          <w:sz w:val="21"/>
          <w:highlight w:val="yellow"/>
        </w:rPr>
      </w:pPr>
      <w:r>
        <w:rPr>
          <w:rFonts w:ascii="宋体" w:hAnsi="宋体" w:eastAsiaTheme="minorEastAsia" w:cs="宋体" w:hint="eastAsia"/>
          <w:bCs/>
          <w:kern w:val="2"/>
          <w:sz w:val="21"/>
          <w:szCs w:val="21"/>
          <w:highlight w:val="yellow"/>
          <w:lang w:val="en-US" w:eastAsia="zh-CN" w:bidi="ar-SA"/>
        </w:rPr>
        <w:t xml:space="preserve">    履约担保形式：</w:t>
      </w:r>
      <w:r>
        <w:rPr>
          <w:rFonts w:ascii="宋体" w:hAnsi="宋体" w:eastAsiaTheme="minorEastAsia" w:cs="宋体" w:hint="eastAsia"/>
          <w:bCs/>
          <w:kern w:val="2"/>
          <w:sz w:val="21"/>
          <w:szCs w:val="21"/>
          <w:highlight w:val="yellow"/>
          <w:u w:val="single"/>
          <w:lang w:val="en-US" w:eastAsia="zh-CN" w:bidi="ar-SA"/>
        </w:rPr>
        <w:t xml:space="preserve">    履约保函            </w:t>
      </w:r>
      <w:r>
        <w:rPr>
          <w:rFonts w:ascii="宋体" w:hAnsi="宋体" w:eastAsiaTheme="minorEastAsia" w:cs="宋体" w:hint="eastAsia"/>
          <w:bCs/>
          <w:kern w:val="2"/>
          <w:sz w:val="21"/>
          <w:szCs w:val="21"/>
          <w:highlight w:val="yellow"/>
          <w:lang w:val="en-US" w:eastAsia="zh-CN" w:bidi="ar-SA"/>
        </w:rPr>
        <w:t xml:space="preserve"> </w:t>
      </w:r>
    </w:p>
    <w:p>
      <w:pPr>
        <w:pStyle w:val="AONormal"/>
        <w:ind w:firstLine="420"/>
        <w:rPr>
          <w:rFonts w:ascii="宋体" w:hAnsi="宋体" w:eastAsiaTheme="minorEastAsia" w:cs="宋体" w:hint="eastAsia"/>
          <w:bCs/>
          <w:kern w:val="2"/>
          <w:sz w:val="21"/>
          <w:highlight w:val="yellow"/>
        </w:rPr>
      </w:pPr>
      <w:r>
        <w:rPr>
          <w:rFonts w:ascii="宋体" w:hAnsi="宋体" w:eastAsiaTheme="minorEastAsia" w:cs="宋体" w:hint="eastAsia"/>
          <w:bCs/>
          <w:kern w:val="2"/>
          <w:sz w:val="21"/>
          <w:szCs w:val="21"/>
          <w:highlight w:val="yellow"/>
          <w:lang w:val="en-US" w:eastAsia="zh-CN" w:bidi="ar-SA"/>
        </w:rPr>
        <w:t xml:space="preserve">    履约保函金额比例：</w:t>
      </w:r>
      <w:r>
        <w:rPr>
          <w:rFonts w:ascii="宋体" w:hAnsi="宋体" w:eastAsiaTheme="minorEastAsia" w:cs="宋体" w:hint="eastAsia"/>
          <w:bCs/>
          <w:kern w:val="2"/>
          <w:sz w:val="21"/>
          <w:szCs w:val="21"/>
          <w:highlight w:val="yellow"/>
          <w:u w:val="single"/>
          <w:lang w:val="en-US" w:eastAsia="zh-CN" w:bidi="ar-SA"/>
        </w:rPr>
        <w:t xml:space="preserve">     合同总价10%     </w:t>
      </w:r>
    </w:p>
    <w:p>
      <w:pPr>
        <w:snapToGrid w:val="0"/>
        <w:spacing w:line="400" w:lineRule="exact"/>
        <w:ind w:firstLine="420" w:firstLineChars="200"/>
        <w:rPr>
          <w:rFonts w:ascii="宋体" w:hAnsi="宋体" w:cs="宋体" w:hint="eastAsia"/>
          <w:bCs/>
          <w:szCs w:val="21"/>
          <w:highlight w:val="yellow"/>
        </w:rPr>
      </w:pPr>
      <w:r>
        <w:rPr>
          <w:rFonts w:ascii="宋体" w:hAnsi="宋体" w:eastAsiaTheme="minorEastAsia" w:cs="宋体" w:hint="eastAsia"/>
          <w:bCs/>
          <w:kern w:val="2"/>
          <w:sz w:val="21"/>
          <w:szCs w:val="21"/>
          <w:highlight w:val="yellow"/>
          <w:lang w:val="en-US" w:eastAsia="zh-CN" w:bidi="ar-SA"/>
        </w:rPr>
        <w:t xml:space="preserve">    履约担保期限：</w:t>
      </w:r>
      <w:r>
        <w:rPr>
          <w:rFonts w:ascii="宋体" w:hAnsi="宋体" w:eastAsiaTheme="minorEastAsia" w:cs="宋体" w:hint="eastAsia"/>
          <w:bCs/>
          <w:kern w:val="2"/>
          <w:sz w:val="21"/>
          <w:szCs w:val="21"/>
          <w:highlight w:val="yellow"/>
          <w:u w:val="single"/>
          <w:lang w:val="en-US" w:eastAsia="zh-CN" w:bidi="ar-SA"/>
        </w:rPr>
        <w:t xml:space="preserve">  业务验收起96个月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1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1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1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1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2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2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2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2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6F64DA8"/>
    <w:multiLevelType w:val="multilevel"/>
    <w:tmpl w:val="06F64DA8"/>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BBC6F1F"/>
    <w:multiLevelType w:val="multilevel"/>
    <w:tmpl w:val="0BBC6F1F"/>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107B67A5"/>
    <w:multiLevelType w:val="multilevel"/>
    <w:tmpl w:val="107B67A5"/>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
    <w:nsid w:val="10955608"/>
    <w:multiLevelType w:val="multilevel"/>
    <w:tmpl w:val="10955608"/>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nsid w:val="20047B30"/>
    <w:multiLevelType w:val="multilevel"/>
    <w:tmpl w:val="20047B30"/>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nsid w:val="231A4403"/>
    <w:multiLevelType w:val="multilevel"/>
    <w:tmpl w:val="231A4403"/>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1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374B07E9"/>
    <w:multiLevelType w:val="multilevel"/>
    <w:tmpl w:val="374B07E9"/>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18">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9">
    <w:nsid w:val="51142CA2"/>
    <w:multiLevelType w:val="multilevel"/>
    <w:tmpl w:val="51142CA2"/>
    <w:lvl w:ilvl="0">
      <w:start w:val="1"/>
      <w:numFmt w:val="lowerLetter"/>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nsid w:val="53A08313"/>
    <w:multiLevelType w:val="singleLevel"/>
    <w:tmpl w:val="53A08313"/>
    <w:lvl w:ilvl="0">
      <w:start w:val="9"/>
      <w:numFmt w:val="chineseCounting"/>
      <w:suff w:val="space"/>
      <w:lvlText w:val="第%1章"/>
      <w:lvlJc w:val="left"/>
      <w:rPr>
        <w:rFonts w:hint="eastAsia"/>
      </w:rPr>
    </w:lvl>
  </w:abstractNum>
  <w:abstractNum w:abstractNumId="21">
    <w:nsid w:val="61BF2CEC"/>
    <w:multiLevelType w:val="multilevel"/>
    <w:tmpl w:val="61BF2CEC"/>
    <w:lvl w:ilvl="0">
      <w:start w:val="1"/>
      <w:numFmt w:val="bullet"/>
      <w:lvlText w:val=""/>
      <w:lvlJc w:val="left"/>
      <w:pPr>
        <w:ind w:left="880" w:hanging="440"/>
      </w:pPr>
      <w:rPr>
        <w:rFonts w:ascii="Wingdings" w:hAnsi="Wingdings" w:hint="default"/>
      </w:rPr>
    </w:lvl>
    <w:lvl w:ilvl="1">
      <w:start w:val="1"/>
      <w:numFmt w:val="bullet"/>
      <w:lvlText w:val=""/>
      <w:lvlJc w:val="left"/>
      <w:pPr>
        <w:ind w:left="1320" w:hanging="440"/>
      </w:pPr>
      <w:rPr>
        <w:rFonts w:ascii="Wingdings" w:hAnsi="Wingdings" w:hint="default"/>
      </w:rPr>
    </w:lvl>
    <w:lvl w:ilvl="2">
      <w:start w:val="1"/>
      <w:numFmt w:val="bullet"/>
      <w:lvlText w:val=""/>
      <w:lvlJc w:val="left"/>
      <w:pPr>
        <w:ind w:left="1760" w:hanging="440"/>
      </w:pPr>
      <w:rPr>
        <w:rFonts w:ascii="Wingdings" w:hAnsi="Wingdings" w:hint="default"/>
      </w:rPr>
    </w:lvl>
    <w:lvl w:ilvl="3">
      <w:start w:val="1"/>
      <w:numFmt w:val="bullet"/>
      <w:lvlText w:val=""/>
      <w:lvlJc w:val="left"/>
      <w:pPr>
        <w:ind w:left="2200" w:hanging="440"/>
      </w:pPr>
      <w:rPr>
        <w:rFonts w:ascii="Wingdings" w:hAnsi="Wingdings" w:hint="default"/>
      </w:rPr>
    </w:lvl>
    <w:lvl w:ilvl="4">
      <w:start w:val="1"/>
      <w:numFmt w:val="bullet"/>
      <w:lvlText w:val=""/>
      <w:lvlJc w:val="left"/>
      <w:pPr>
        <w:ind w:left="2640" w:hanging="440"/>
      </w:pPr>
      <w:rPr>
        <w:rFonts w:ascii="Wingdings" w:hAnsi="Wingdings" w:hint="default"/>
      </w:rPr>
    </w:lvl>
    <w:lvl w:ilvl="5">
      <w:start w:val="1"/>
      <w:numFmt w:val="bullet"/>
      <w:lvlText w:val=""/>
      <w:lvlJc w:val="left"/>
      <w:pPr>
        <w:ind w:left="3080" w:hanging="440"/>
      </w:pPr>
      <w:rPr>
        <w:rFonts w:ascii="Wingdings" w:hAnsi="Wingdings" w:hint="default"/>
      </w:rPr>
    </w:lvl>
    <w:lvl w:ilvl="6">
      <w:start w:val="1"/>
      <w:numFmt w:val="bullet"/>
      <w:lvlText w:val=""/>
      <w:lvlJc w:val="left"/>
      <w:pPr>
        <w:ind w:left="3520" w:hanging="440"/>
      </w:pPr>
      <w:rPr>
        <w:rFonts w:ascii="Wingdings" w:hAnsi="Wingdings" w:hint="default"/>
      </w:rPr>
    </w:lvl>
    <w:lvl w:ilvl="7">
      <w:start w:val="1"/>
      <w:numFmt w:val="bullet"/>
      <w:lvlText w:val=""/>
      <w:lvlJc w:val="left"/>
      <w:pPr>
        <w:ind w:left="3960" w:hanging="440"/>
      </w:pPr>
      <w:rPr>
        <w:rFonts w:ascii="Wingdings" w:hAnsi="Wingdings" w:hint="default"/>
      </w:rPr>
    </w:lvl>
    <w:lvl w:ilvl="8">
      <w:start w:val="1"/>
      <w:numFmt w:val="bullet"/>
      <w:lvlText w:val=""/>
      <w:lvlJc w:val="left"/>
      <w:pPr>
        <w:ind w:left="4400" w:hanging="440"/>
      </w:pPr>
      <w:rPr>
        <w:rFonts w:ascii="Wingdings" w:hAnsi="Wingdings" w:hint="default"/>
      </w:rPr>
    </w:lvl>
  </w:abstractNum>
  <w:abstractNum w:abstractNumId="22">
    <w:nsid w:val="6B927D41"/>
    <w:multiLevelType w:val="multilevel"/>
    <w:tmpl w:val="6B927D41"/>
    <w:lvl w:ilvl="0">
      <w:start w:val="1"/>
      <w:numFmt w:val="lowerLetter"/>
      <w:lvlText w:val="%1）"/>
      <w:lvlJc w:val="left"/>
      <w:pPr>
        <w:ind w:left="440" w:hanging="440"/>
      </w:pPr>
      <w:rPr>
        <w:rFonts w:hint="eastAsia"/>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9"/>
  </w:num>
  <w:num w:numId="4">
    <w:abstractNumId w:val="14"/>
  </w:num>
  <w:num w:numId="5">
    <w:abstractNumId w:val="22"/>
  </w:num>
  <w:num w:numId="6">
    <w:abstractNumId w:val="8"/>
  </w:num>
  <w:num w:numId="7">
    <w:abstractNumId w:val="12"/>
  </w:num>
  <w:num w:numId="8">
    <w:abstractNumId w:val="19"/>
  </w:num>
  <w:num w:numId="9">
    <w:abstractNumId w:val="17"/>
  </w:num>
  <w:num w:numId="10">
    <w:abstractNumId w:val="11"/>
  </w:num>
  <w:num w:numId="11">
    <w:abstractNumId w:val="21"/>
  </w:num>
  <w:num w:numId="12">
    <w:abstractNumId w:val="15"/>
  </w:num>
  <w:num w:numId="13">
    <w:abstractNumId w:val="13"/>
  </w:num>
  <w:num w:numId="14">
    <w:abstractNumId w:val="10"/>
  </w:num>
  <w:num w:numId="15">
    <w:abstractNumId w:val="20"/>
  </w:num>
  <w:num w:numId="16">
    <w:abstractNumId w:val="23"/>
  </w:num>
  <w:num w:numId="17">
    <w:abstractNumId w:val="1"/>
  </w:num>
  <w:num w:numId="18">
    <w:abstractNumId w:val="5"/>
  </w:num>
  <w:num w:numId="19">
    <w:abstractNumId w:val="3"/>
  </w:num>
  <w:num w:numId="20">
    <w:abstractNumId w:val="2"/>
  </w:num>
  <w:num w:numId="21">
    <w:abstractNumId w:val="18"/>
  </w:num>
  <w:num w:numId="22">
    <w:abstractNumId w:val="0"/>
  </w:num>
  <w:num w:numId="23">
    <w:abstractNumId w:val="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D7038"/>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7F9"/>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