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河南省人工影响天气水资源保障工程地面烟炉升级改造及智能化烟炉建设项目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ZQCD-25377</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郑州市气象局；洛阳市气象局；平顶山市气象局；安阳市气象局；鹤壁市气象局；新乡市气象局；焦作市气象局；三门峡市气象局；南阳市气象局；信阳市气象局；济源市气象局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河南省人工影响天气水资源保障工程地面烟炉升级改造及智能化烟炉建设项目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ZQCD-25377</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合同签订后240天内交货、完成安装调试并具备验收条件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郑州</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2025年11月03日 00:00:00</w:t>
      </w:r>
      <w:bookmarkEnd w:id="26"/>
      <w:r>
        <w:rPr>
          <w:rFonts w:ascii="宋体" w:hint="eastAsia"/>
          <w:szCs w:val="21"/>
          <w:highlight w:val="none"/>
        </w:rPr>
        <w:t>至</w:t>
      </w:r>
      <w:bookmarkStart w:id="27" w:name="项目公告_signUpLastTime"/>
      <w:r>
        <w:rPr>
          <w:rFonts w:ascii="宋体" w:hint="eastAsia"/>
          <w:szCs w:val="21"/>
          <w:highlight w:val="none"/>
        </w:rPr>
        <w:t>2025年11月10日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2025年11月26日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郑州市气象局；洛阳市气象局；平顶山市气象局；安阳市气象局；鹤壁市气象局；新乡市气象局；焦作市气象局；三门峡市气象局；南阳市气象局；信阳市气象局；济源市气象局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程博</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0371-65934086</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河南省郑州市中州大道与南三环交叉口郑州市气象人影楼9楼</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郑州市气象局；洛阳市气象局；平顶山市气象局；安阳市气象局；鹤壁市气象局；新乡市气象局；焦作市气象局；三门峡市气象局；南阳市气象局；信阳市气象局；济源市气象局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允许（仅针对以下产品：1、烟炉升级改造 2、平原型智能化烟炉作业系统 3、山地型智能化烟炉作业系统允许代理商投标）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（1）标的：设备 ，属于工业；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是，中标服务费：8.1万元。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1,449.530000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1,449.530000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94"/>
        <w:gridCol w:w="319"/>
        <w:gridCol w:w="1626"/>
        <w:gridCol w:w="319"/>
        <w:gridCol w:w="654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 评标基准价/投标报价×30</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供应商的报价，有可能影响产品质量或者不能诚信履约的，且投标供应商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(2)</w:t>
            </w:r>
          </w:p>
        </w:tc>
        <w:tc>
          <w:tcPr/>
          <w:p>
            <w:r>
              <w:t>评审标准：</w:t>
            </w:r>
          </w:p>
          <w:p>
            <w:r>
              <w:t>投标人具备 ISO9000系列认证证书的得2 分，否则不得分。</w:t>
            </w:r>
          </w:p>
          <w:p>
            <w:r>
              <w:t>评审标准说明：</w:t>
            </w:r>
          </w:p>
          <w:p>
            <w:r>
              <w:t>须提供投标截止日仍有效的相关证书复印件，并加盖投标供应商公章。</w:t>
            </w:r>
          </w:p>
          <w:p/>
        </w:tc>
      </w:tr>
      <w:tr>
        <w:tblPrEx>
          <w:tblW w:w="5000" w:type="pct"/>
          <w:tblCellMar>
            <w:left w:w="108" w:type="dxa"/>
            <w:right w:w="108" w:type="dxa"/>
          </w:tblCellMar>
        </w:tblPrEx>
        <w:tc>
          <w:tcPr/>
          <w:p>
            <w:r>
              <w:t>3</w:t>
            </w:r>
          </w:p>
        </w:tc>
        <w:tc>
          <w:tcPr>
            <w:vMerge/>
          </w:tcPr>
          <w:p>
            <w:r>
              <w:t>商务部分</w:t>
            </w:r>
          </w:p>
        </w:tc>
        <w:tc>
          <w:tcPr/>
          <w:p>
            <w:r>
              <w:t>所投产品应用案例证明（客观分）</w:t>
            </w:r>
          </w:p>
        </w:tc>
        <w:tc>
          <w:tcPr/>
          <w:p>
            <w:r>
              <w:t>勾选打分</w:t>
            </w:r>
            <w:r>
              <w:t>(7)</w:t>
            </w:r>
          </w:p>
        </w:tc>
        <w:tc>
          <w:tcPr/>
          <w:p>
            <w:r>
              <w:t>评审标准：</w:t>
            </w:r>
          </w:p>
          <w:p>
            <w:r>
              <w:t>每提供1份合同得1分，最多得7分。</w:t>
            </w:r>
          </w:p>
          <w:p>
            <w:r>
              <w:t>评审标准说明：</w:t>
            </w:r>
          </w:p>
          <w:p>
            <w:r>
              <w:t>1、需提供本次招标相关产品的销售合同（必须包括合同首页、金额页、标的页、签字盖章页）复印件并加盖投标人公章。合同包括投标人直接销售或设备生产厂家（制造商）作为卖方签署的合同，非投标人直接销售的需提供生产厂家（制造商）授权书。</w:t>
              <w:cr/>
              <w:t>2、合同签署日期为投标截止日前三年内。如合同无签署日期无效。</w:t>
              <w:cr/>
              <w:t>3、合同标的必须包括该项评审标准中要求的标的。</w:t>
              <w:cr/>
              <w:t xml:space="preserve">4、合同签字盖章页必须有甲乙双方的签字和盖章。 </w:t>
              <w:cr/>
              <w:t>5、所有复印件应清晰，不得有任何涂改、遮挡。 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售后服务方案（主观分）</w:t>
            </w:r>
          </w:p>
        </w:tc>
        <w:tc>
          <w:tcPr/>
          <w:p>
            <w:r>
              <w:t>勾选打分</w:t>
            </w:r>
            <w:r>
              <w:t>(2)</w:t>
            </w:r>
          </w:p>
        </w:tc>
        <w:tc>
          <w:tcPr/>
          <w:p>
            <w:r>
              <w:t>评审标准：</w:t>
            </w:r>
          </w:p>
          <w:p>
            <w:r>
              <w:t>一档0分</w:t>
              <w:cr/>
              <w:t>二档0.5分</w:t>
              <w:cr/>
              <w:t>三档1分</w:t>
              <w:cr/>
              <w:t>四档2分</w:t>
            </w:r>
          </w:p>
          <w:p>
            <w:r>
              <w:t>评审标准说明：</w:t>
            </w:r>
          </w:p>
          <w:p>
            <w:r>
              <w:t>根据投标供应商提供售后服务方案进行评分。售后服务方案应包括售后服务流程、售后团队配置、售后响应时间、售后服务承诺等。具体评分标准如下：</w:t>
              <w:cr/>
              <w:t>一档：未提供售后服务方案；</w:t>
              <w:cr/>
              <w:t>二档：售后服务方案不完整(指缺失售后服务流程、1售后团队配置、售后响应时间、售后服务承诺中任一项内容)；</w:t>
              <w:cr/>
              <w:t>三档：售后服务方案较完整，但针对性一般，没有建立合理的技术支持机构或技术支持小组，技术支持内容不明确；或者未提供质保期内的7x24小时电话技术支持和保修的承诺。</w:t>
              <w:cr/>
              <w:t>四档：售后服务方案完整，针对性强，建立合理的技术支持机构或技术支持小组，技术支持内容明确；书面承诺提供质保期内的 7x24小时电话技术支持和保修，电话支持无法解决的问题必须提供现场技术支持，并应采购人服务保障要求，开展现场保障。完全满足采购文件需求。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培训方案（主观分）</w:t>
            </w:r>
          </w:p>
        </w:tc>
        <w:tc>
          <w:tcPr/>
          <w:p>
            <w:r>
              <w:t>勾选打分</w:t>
            </w:r>
            <w:r>
              <w:t>(2)</w:t>
            </w:r>
          </w:p>
        </w:tc>
        <w:tc>
          <w:tcPr/>
          <w:p>
            <w:r>
              <w:t>评审标准：</w:t>
            </w:r>
          </w:p>
          <w:p>
            <w:r>
              <w:t>一档0分</w:t>
              <w:cr/>
              <w:t>二档0.5分</w:t>
              <w:cr/>
              <w:t>三档1分</w:t>
              <w:cr/>
              <w:t>四档2分</w:t>
            </w:r>
          </w:p>
          <w:p>
            <w:r>
              <w:t>评审标准说明：</w:t>
            </w:r>
          </w:p>
          <w:p>
            <w:r>
              <w:t>评委根据投标供应商提供的培训计划、培训内容、培训教师与教材、培训对象4项内容进行综合评审。</w:t>
              <w:cr/>
              <w:t>一档：未提供培训方案；</w:t>
              <w:cr/>
              <w:t>二档：提供培训方案，但培训方案不完整（指缺失培训计划、培训内容、培训教师与教材、培训对象任意一项）；</w:t>
              <w:cr/>
              <w:t>三档：提供培训方案，培训方案完整，但培训对象不全或培训内容有缺陷，基本满足采购文件需求；</w:t>
              <w:cr/>
              <w:t>四档：提供培训方案，培训方案完整，培训设计重点突出、针对性强，培训对象覆盖完整、培训内容完善，完全满足采购文件需求。</w:t>
            </w:r>
          </w:p>
          <w:p/>
        </w:tc>
      </w:tr>
      <w:tr>
        <w:tblPrEx>
          <w:tblW w:w="5000" w:type="pct"/>
          <w:tblCellMar>
            <w:left w:w="108" w:type="dxa"/>
            <w:right w:w="108" w:type="dxa"/>
          </w:tblCellMar>
        </w:tblPrEx>
        <w:tc>
          <w:tcPr/>
          <w:p>
            <w:r>
              <w:t>6</w:t>
            </w:r>
          </w:p>
        </w:tc>
        <w:tc>
          <w:tcPr>
            <w:vMerge/>
          </w:tcPr>
          <w:p>
            <w:r>
              <w:t>服务部分</w:t>
            </w:r>
          </w:p>
        </w:tc>
        <w:tc>
          <w:tcPr/>
          <w:p>
            <w:r>
              <w:t>交货期保证（客观分）</w:t>
            </w:r>
          </w:p>
        </w:tc>
        <w:tc>
          <w:tcPr/>
          <w:p>
            <w:r>
              <w:t>勾选打分</w:t>
            </w:r>
            <w:r>
              <w:t>(3)</w:t>
            </w:r>
          </w:p>
        </w:tc>
        <w:tc>
          <w:tcPr/>
          <w:p>
            <w:r>
              <w:t>评审标准：</w:t>
            </w:r>
          </w:p>
          <w:p>
            <w:r>
              <w:t>针对本项目采购的烟炉，承诺每提前10天交货的得1分，最多得3分。否则不得分。</w:t>
              <w:cr/>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7</w:t>
            </w:r>
          </w:p>
        </w:tc>
        <w:tc>
          <w:tcPr>
            <w:vMerge/>
          </w:tcPr>
          <w:p>
            <w:r>
              <w:t>服务部分</w:t>
            </w:r>
          </w:p>
        </w:tc>
        <w:tc>
          <w:tcPr/>
          <w:p>
            <w:r>
              <w:t>用户满意度证明（客观分）</w:t>
            </w:r>
          </w:p>
        </w:tc>
        <w:tc>
          <w:tcPr/>
          <w:p>
            <w:r>
              <w:t>勾选打分</w:t>
            </w:r>
            <w:r>
              <w:t>(7)</w:t>
            </w:r>
          </w:p>
        </w:tc>
        <w:tc>
          <w:tcPr/>
          <w:p>
            <w:r>
              <w:t>评审标准：</w:t>
            </w:r>
          </w:p>
          <w:p>
            <w:r>
              <w:t>针对烟炉设备，每提供 1份用户证明材料得1 分，最多得7分。否则不得分。</w:t>
            </w:r>
          </w:p>
          <w:p>
            <w:r>
              <w:t>评审标准说明：</w:t>
            </w:r>
          </w:p>
          <w:p>
            <w:r>
              <w:t>针对该项评审标准中所指标的，提供用户在投标截止日前三年内出具的用户评价为正面或满意的用户证明，并加盖投标人公章。不是投标供应商产品的必须提供产品制造商出具的产品投标授权书，否视为无效材料。</w:t>
            </w:r>
          </w:p>
          <w:p/>
        </w:tc>
      </w:tr>
      <w:tr>
        <w:tblPrEx>
          <w:tblW w:w="5000" w:type="pct"/>
          <w:tblCellMar>
            <w:left w:w="108" w:type="dxa"/>
            <w:right w:w="108" w:type="dxa"/>
          </w:tblCellMar>
        </w:tblPrEx>
        <w:tc>
          <w:tcPr/>
          <w:p>
            <w:r>
              <w:t>8</w:t>
            </w:r>
          </w:p>
        </w:tc>
        <w:tc>
          <w:tcPr>
            <w:vMerge w:val="restart"/>
          </w:tcPr>
          <w:p>
            <w:r>
              <w:t>技术部分</w:t>
            </w:r>
          </w:p>
        </w:tc>
        <w:tc>
          <w:tcPr/>
          <w:p>
            <w:r>
              <w:t>技术响应情况（客观项）</w:t>
            </w:r>
          </w:p>
        </w:tc>
        <w:tc>
          <w:tcPr/>
          <w:p>
            <w:r>
              <w:t>区间打分</w:t>
            </w:r>
            <w:r>
              <w:t>(39)</w:t>
            </w:r>
          </w:p>
        </w:tc>
        <w:tc>
          <w:tcPr/>
          <w:p>
            <w:r>
              <w:t>评审标准：</w:t>
            </w:r>
          </w:p>
          <w:p>
            <w:r>
              <w:t>标注#的重要指标共30项，每满足1项（如有多个下级指标，则每个下级指标均应满足）得1.3分，满分39分。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9</w:t>
            </w:r>
          </w:p>
        </w:tc>
        <w:tc>
          <w:tcPr>
            <w:vMerge/>
          </w:tcPr>
          <w:p>
            <w:r>
              <w:t>技术部分</w:t>
            </w:r>
          </w:p>
        </w:tc>
        <w:tc>
          <w:tcPr/>
          <w:p>
            <w:r>
              <w:t>烟炉升级改造方案（主观分）</w:t>
            </w:r>
          </w:p>
        </w:tc>
        <w:tc>
          <w:tcPr/>
          <w:p>
            <w:r>
              <w:t>勾选打分</w:t>
            </w:r>
            <w:r>
              <w:t>(2)</w:t>
            </w:r>
          </w:p>
        </w:tc>
        <w:tc>
          <w:tcPr/>
          <w:p>
            <w:r>
              <w:t>评审标准：</w:t>
            </w:r>
          </w:p>
          <w:p>
            <w:r>
              <w:t>一档0分</w:t>
              <w:cr/>
              <w:t>二档0.5分</w:t>
              <w:cr/>
              <w:t>三档1分</w:t>
              <w:cr/>
              <w:t>四档2分</w:t>
            </w:r>
          </w:p>
          <w:p>
            <w:r>
              <w:t>评审标准说明：</w:t>
            </w:r>
          </w:p>
          <w:p>
            <w:r>
              <w:t>评委根据投标供应商提供的烟炉升级改造技术方案中，对现有烟炉的现状分析、烟炉升级改造实施方案、天工平台对接方案、改造后调试融入方案4项内容进行综合评审。</w:t>
              <w:cr/>
              <w:t>一档：未提供烟炉升级改造方案；</w:t>
              <w:cr/>
              <w:t>二档：提供烟炉升级改造方案，但方案不完整（指缺失现有烟炉的现状分析、烟炉升级改造实施方案、天工平台对接方案、改造后调试融入方案任意一项）；</w:t>
              <w:cr/>
              <w:t>三档：提供烟炉升级改造方案，整体方案完整，但天工平台对接方案、改造后调试融入方案有缺陷，基本满足采购文件需求；</w:t>
              <w:cr/>
              <w:t>四档：提供烟炉升级改造方案，整体方案完整，烟炉的现状分析准确、烟炉升级改造实施方案全面、天工平台对接方案贴合实际、改造后调试融入方案切实可操作，完全满足采购文件需求。</w:t>
            </w:r>
          </w:p>
          <w:p/>
        </w:tc>
      </w:tr>
      <w:tr>
        <w:tblPrEx>
          <w:tblW w:w="5000" w:type="pct"/>
          <w:tblCellMar>
            <w:left w:w="108" w:type="dxa"/>
            <w:right w:w="108" w:type="dxa"/>
          </w:tblCellMar>
        </w:tblPrEx>
        <w:tc>
          <w:tcPr/>
          <w:p>
            <w:r>
              <w:t>10</w:t>
            </w:r>
          </w:p>
        </w:tc>
        <w:tc>
          <w:tcPr>
            <w:vMerge/>
          </w:tcPr>
          <w:p>
            <w:r>
              <w:t>技术部分</w:t>
            </w:r>
          </w:p>
        </w:tc>
        <w:tc>
          <w:tcPr/>
          <w:p>
            <w:r>
              <w:t>新建智能化烟炉实施方案（主观分）</w:t>
            </w:r>
          </w:p>
        </w:tc>
        <w:tc>
          <w:tcPr/>
          <w:p>
            <w:r>
              <w:t>勾选打分</w:t>
            </w:r>
            <w:r>
              <w:t>(2)</w:t>
            </w:r>
          </w:p>
        </w:tc>
        <w:tc>
          <w:tcPr/>
          <w:p>
            <w:r>
              <w:t>评审标准：</w:t>
            </w:r>
          </w:p>
          <w:p>
            <w:r>
              <w:t>一档0分</w:t>
              <w:cr/>
              <w:t>二档0.5分</w:t>
              <w:cr/>
              <w:t>三档1分</w:t>
              <w:cr/>
              <w:t>四档2分</w:t>
            </w:r>
          </w:p>
          <w:p>
            <w:r>
              <w:t>评审标准说明：</w:t>
            </w:r>
          </w:p>
          <w:p>
            <w:r>
              <w:t>评委根据投标供应商提供新建智能化烟炉实施方案中，智能化烟炉作业系统设计方案、烟炉作业安全监控终端设计方案、集成多要素作业条件判别系统设计方案、作业点基础建设方案。</w:t>
              <w:cr/>
              <w:t>一档：未提供新建智能化烟炉实施方案；</w:t>
              <w:cr/>
              <w:t>二档：提供新建智能化烟炉实施方案，但方案不完整（指缺失智能化烟炉作业系统设计方案、烟炉作业安全监控终端设计方案、集成多要素作业条件判别系统设计方案、作业点基础建设方案任意一项）；</w:t>
              <w:cr/>
              <w:t>三档：提供新建智能化烟炉实施方案，整体方案完整，但智能化烟炉作业系统设计方案、集成多要素作业条件判别系统设计方案有缺陷，基本满足采购文件需求；</w:t>
              <w:cr/>
              <w:t>四档：提供新建智能化烟炉实施方案，整体方案完整，智能化烟炉作业系统设计方案、烟炉作业安全监控终端设计方案、集成多要素作业条件判别系统设计方案均逻辑清晰、完整，作业点基础建设方案贴合实际，完全满足采购文件需求。</w:t>
            </w:r>
          </w:p>
          <w:p/>
        </w:tc>
      </w:tr>
      <w:tr>
        <w:tblPrEx>
          <w:tblW w:w="5000" w:type="pct"/>
          <w:tblCellMar>
            <w:left w:w="108" w:type="dxa"/>
            <w:right w:w="108" w:type="dxa"/>
          </w:tblCellMar>
        </w:tblPrEx>
        <w:tc>
          <w:tcPr/>
          <w:p>
            <w:r>
              <w:t>11</w:t>
            </w:r>
          </w:p>
        </w:tc>
        <w:tc>
          <w:tcPr>
            <w:vMerge/>
          </w:tcPr>
          <w:p>
            <w:r>
              <w:t>技术部分</w:t>
            </w:r>
          </w:p>
        </w:tc>
        <w:tc>
          <w:tcPr/>
          <w:p>
            <w:r>
              <w:t>“天工”烟炉作业指挥组件实施方案（主观分）</w:t>
            </w:r>
          </w:p>
        </w:tc>
        <w:tc>
          <w:tcPr/>
          <w:p>
            <w:r>
              <w:t>勾选打分</w:t>
            </w:r>
            <w:r>
              <w:t>(2)</w:t>
            </w:r>
          </w:p>
        </w:tc>
        <w:tc>
          <w:tcPr/>
          <w:p>
            <w:r>
              <w:t>评审标准：</w:t>
            </w:r>
          </w:p>
          <w:p>
            <w:r>
              <w:t>一档0分</w:t>
              <w:cr/>
              <w:t>二档0.5分</w:t>
              <w:cr/>
              <w:t>三档1分</w:t>
              <w:cr/>
              <w:t>四档2分</w:t>
            </w:r>
          </w:p>
          <w:p>
            <w:r>
              <w:t>评审标准说明：</w:t>
            </w:r>
          </w:p>
          <w:p>
            <w:r>
              <w:t>评委根据投标供应商提供“天工”平台烟炉作业指挥组件技术方案中，总体设计、技术路线、功能实现、基于天工组件的部署方案、“天工”平台对接方案和测试方案。</w:t>
              <w:cr/>
              <w:t>一档：未提供“天工”烟炉作业指挥组件实施方案；</w:t>
              <w:cr/>
              <w:t>二档：提供“天工”烟炉作业指挥组件实施方案，但方案不完整（指缺失总体设计、技术路线、功能实现、基于天工组件的部署方案、“天工”平台对接方案和测试方案任意一项）；</w:t>
              <w:cr/>
              <w:t>三档：提供“天工”烟炉作业指挥组件实施方案，整体方案完整，但总体设计、功能实现、基于天工组件的部署方案、有缺陷，基本满足采购文件需求；</w:t>
              <w:cr/>
              <w:t>四档：提供“天工”烟炉作业指挥组件实施方案，整体方案完整，总体设计合理、技术路线清晰、功能实现完整、基于天工组件的部署方案详实、“天工”平台对接方案和测试方案贴合实际，完全满足采购文件需求。</w:t>
            </w:r>
          </w:p>
          <w:p/>
        </w:tc>
      </w:tr>
      <w:tr>
        <w:tblPrEx>
          <w:tblW w:w="5000" w:type="pct"/>
          <w:tblCellMar>
            <w:left w:w="108" w:type="dxa"/>
            <w:right w:w="108" w:type="dxa"/>
          </w:tblCellMar>
        </w:tblPrEx>
        <w:tc>
          <w:tcPr/>
          <w:p>
            <w:r>
              <w:t>12</w:t>
            </w:r>
          </w:p>
        </w:tc>
        <w:tc>
          <w:tcPr>
            <w:vMerge/>
          </w:tcPr>
          <w:p>
            <w:r>
              <w:t>技术部分</w:t>
            </w:r>
          </w:p>
        </w:tc>
        <w:tc>
          <w:tcPr/>
          <w:p>
            <w:r>
              <w:t>项目管理方案（主观分）</w:t>
            </w:r>
          </w:p>
        </w:tc>
        <w:tc>
          <w:tcPr/>
          <w:p>
            <w:r>
              <w:t>勾选打分</w:t>
            </w:r>
            <w:r>
              <w:t>(2)</w:t>
            </w:r>
          </w:p>
        </w:tc>
        <w:tc>
          <w:tcPr/>
          <w:p>
            <w:r>
              <w:t>评审标准：</w:t>
            </w:r>
          </w:p>
          <w:p>
            <w:r>
              <w:t>一档0分</w:t>
              <w:cr/>
              <w:t>二档0.5分</w:t>
              <w:cr/>
              <w:t>三档1分</w:t>
              <w:cr/>
              <w:t>四档2分</w:t>
            </w:r>
          </w:p>
          <w:p>
            <w:r>
              <w:t>评审标准说明：</w:t>
            </w:r>
          </w:p>
          <w:p>
            <w:r>
              <w:t>评委根据投标供应商提供的实施方案中，供货组织方案、项目进度计划、质量保证措施、安装调试及验收方案4项进行综合评审。</w:t>
              <w:cr/>
              <w:t>一档：未提供项目管理方案；</w:t>
              <w:cr/>
              <w:t>二档：提供项目管理方案，但方案不完整（指缺失供货组织方案、项目进度计划、质量保证措施、安装调试及验收方案任意一项）；</w:t>
              <w:cr/>
              <w:t>三档：提供项目管理方案，整体方案完整，但项目进度计划安排、安装调试及验收流程不合理，基本满足采购文件需求；</w:t>
              <w:cr/>
              <w:t>四档：提供项目管理方案，整体方案完整，供货组织方案贴合项目实际、项目进度计划安排合理、质量保证措施有力、安装调试及验收思路清晰，环节完整，完全满足采购文件需求。</w:t>
            </w:r>
          </w:p>
          <w:p/>
        </w:tc>
      </w:tr>
    </w:tbl>
    <w:p w:rsidR="00A77B3E">
      <w:r>
        <w:t xml:space="preserve">      </w:t>
      </w:r>
    </w:p>
    <w:p w:rsidR="00A77B3E"/>
    <w:p w:rsidR="00A77B3E">
      <w:bookmarkEnd w:id="58"/>
    </w:p>
    <w:p>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20" w:firstLineChars="200"/>
        <w:rPr>
          <w:rFonts w:ascii="宋体" w:hAnsi="宋体" w:cs="宋体"/>
          <w:b/>
          <w:bCs/>
          <w:szCs w:val="21"/>
        </w:rPr>
      </w:pPr>
      <w:r>
        <w:rPr>
          <w:rFonts w:ascii="宋体" w:hAnsi="宋体" w:cs="宋体" w:hint="eastAsia"/>
          <w:b/>
          <w:bCs/>
          <w:szCs w:val="21"/>
        </w:rPr>
        <w:t>一、项目概况及总体要求</w:t>
      </w:r>
    </w:p>
    <w:p>
      <w:pPr>
        <w:spacing w:line="360" w:lineRule="auto"/>
        <w:ind w:firstLine="420" w:firstLineChars="200"/>
        <w:rPr>
          <w:rFonts w:ascii="宋体" w:hAnsi="宋体"/>
          <w:szCs w:val="21"/>
        </w:rPr>
      </w:pPr>
      <w:r>
        <w:rPr>
          <w:rFonts w:ascii="宋体" w:hAnsi="宋体" w:hint="eastAsia"/>
          <w:szCs w:val="21"/>
        </w:rPr>
        <w:t>本次招标内容为河南省人工影响天气水资源保障工程项目人工影响天气作业装备升级子项目地面烟炉部分，包括地面烟炉升级改造和新建智能化烟炉作业系统两部分内容：地面烟炉升级改造共67套，新建平原型智能化烟炉作业系统20套，新建山地型智能化烟炉作业系统15套。招标内容所涵盖的系统、组件、设备、零部件等均要求质保不低于8年，质保期间厂家免费提供系统、组件升级维护、设备维护维修、零部件更换、以及项目运行所需的数据流量等服务。</w:t>
      </w:r>
    </w:p>
    <w:p>
      <w:pPr>
        <w:spacing w:line="360" w:lineRule="auto"/>
        <w:ind w:firstLine="420" w:firstLineChars="200"/>
        <w:rPr>
          <w:rFonts w:ascii="宋体" w:hAnsi="宋体" w:cs="宋体"/>
          <w:b/>
          <w:bCs/>
          <w:szCs w:val="21"/>
        </w:rPr>
      </w:pPr>
      <w:r>
        <w:rPr>
          <w:rFonts w:ascii="宋体" w:hAnsi="宋体" w:cs="宋体" w:hint="eastAsia"/>
          <w:b/>
          <w:bCs/>
          <w:szCs w:val="21"/>
        </w:rPr>
        <w:t>第一部分、地面烟炉升级改造</w:t>
      </w:r>
    </w:p>
    <w:p>
      <w:pPr>
        <w:spacing w:line="360" w:lineRule="auto"/>
        <w:ind w:firstLine="420" w:firstLineChars="200"/>
        <w:rPr>
          <w:rFonts w:ascii="宋体" w:hAnsi="宋体" w:cs="宋体"/>
          <w:b/>
          <w:bCs/>
          <w:szCs w:val="21"/>
        </w:rPr>
      </w:pPr>
      <w:r>
        <w:rPr>
          <w:rFonts w:ascii="宋体" w:hAnsi="宋体" w:cs="宋体" w:hint="eastAsia"/>
          <w:b/>
          <w:bCs/>
          <w:szCs w:val="21"/>
        </w:rPr>
        <w:t>（1）建设内容</w:t>
      </w:r>
    </w:p>
    <w:p>
      <w:pPr>
        <w:spacing w:line="360" w:lineRule="auto"/>
        <w:ind w:firstLine="420" w:firstLineChars="200"/>
        <w:rPr>
          <w:rFonts w:ascii="宋体" w:hAnsi="宋体"/>
          <w:szCs w:val="21"/>
        </w:rPr>
      </w:pPr>
      <w:r>
        <w:rPr>
          <w:rFonts w:ascii="宋体" w:hAnsi="宋体" w:hint="eastAsia"/>
          <w:szCs w:val="21"/>
        </w:rPr>
        <w:t>在</w:t>
      </w:r>
      <w:r>
        <w:rPr>
          <w:rFonts w:ascii="宋体" w:hAnsi="宋体"/>
          <w:szCs w:val="21"/>
        </w:rPr>
        <w:t>67</w:t>
      </w:r>
      <w:r>
        <w:rPr>
          <w:rFonts w:ascii="宋体" w:hAnsi="宋体" w:hint="eastAsia"/>
          <w:szCs w:val="21"/>
        </w:rPr>
        <w:t>套作业烟炉基础上进行改造，安装烟炉作业安全监控终端，改造完成后可将烟炉作业过程相关信息自动采集上传到“天工”平台。</w:t>
      </w:r>
    </w:p>
    <w:p>
      <w:pPr>
        <w:spacing w:line="360" w:lineRule="auto"/>
        <w:ind w:firstLine="420" w:firstLineChars="200"/>
        <w:rPr>
          <w:rFonts w:ascii="宋体" w:hAnsi="宋体" w:cs="宋体"/>
          <w:b/>
          <w:bCs/>
          <w:szCs w:val="21"/>
        </w:rPr>
      </w:pPr>
      <w:r>
        <w:rPr>
          <w:rFonts w:ascii="宋体" w:hAnsi="宋体" w:cs="宋体" w:hint="eastAsia"/>
          <w:b/>
          <w:bCs/>
          <w:szCs w:val="21"/>
        </w:rPr>
        <w:t>（2）具体情况</w:t>
      </w:r>
    </w:p>
    <w:p>
      <w:pPr>
        <w:spacing w:line="360" w:lineRule="auto"/>
        <w:ind w:firstLine="420" w:firstLineChars="200"/>
        <w:rPr>
          <w:rFonts w:ascii="宋体" w:hAnsi="宋体"/>
          <w:szCs w:val="21"/>
        </w:rPr>
      </w:pPr>
      <w:r>
        <w:rPr>
          <w:rFonts w:ascii="宋体" w:hAnsi="宋体" w:hint="eastAsia"/>
          <w:szCs w:val="21"/>
        </w:rPr>
        <w:t>67套需要加装烟炉作业监控终的烟炉分布于全区10个地市，详见下表：</w:t>
      </w:r>
    </w:p>
    <w:tbl>
      <w:tblPr>
        <w:tblStyle w:val="TableGrid"/>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102"/>
        <w:gridCol w:w="2159"/>
        <w:gridCol w:w="2159"/>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2102" w:type="dxa"/>
            <w:vAlign w:val="center"/>
          </w:tcPr>
          <w:p>
            <w:pPr>
              <w:spacing w:line="360" w:lineRule="auto"/>
              <w:jc w:val="center"/>
              <w:rPr>
                <w:rFonts w:ascii="宋体" w:hAnsi="宋体"/>
                <w:szCs w:val="21"/>
              </w:rPr>
            </w:pPr>
            <w:r>
              <w:rPr>
                <w:rFonts w:ascii="宋体" w:hAnsi="宋体" w:hint="eastAsia"/>
                <w:szCs w:val="21"/>
              </w:rPr>
              <w:t>序号</w:t>
            </w:r>
          </w:p>
        </w:tc>
        <w:tc>
          <w:tcPr>
            <w:tcW w:w="2159" w:type="dxa"/>
            <w:vAlign w:val="center"/>
          </w:tcPr>
          <w:p>
            <w:pPr>
              <w:spacing w:line="360" w:lineRule="auto"/>
              <w:jc w:val="center"/>
              <w:rPr>
                <w:rFonts w:ascii="宋体" w:hAnsi="宋体"/>
                <w:szCs w:val="21"/>
              </w:rPr>
            </w:pPr>
            <w:r>
              <w:rPr>
                <w:rFonts w:ascii="宋体" w:hAnsi="宋体" w:hint="eastAsia"/>
                <w:szCs w:val="21"/>
              </w:rPr>
              <w:t>所属地市</w:t>
            </w:r>
          </w:p>
        </w:tc>
        <w:tc>
          <w:tcPr>
            <w:tcW w:w="2159" w:type="dxa"/>
            <w:vAlign w:val="center"/>
          </w:tcPr>
          <w:p>
            <w:pPr>
              <w:spacing w:line="360" w:lineRule="auto"/>
              <w:jc w:val="center"/>
              <w:rPr>
                <w:rFonts w:ascii="宋体" w:hAnsi="宋体"/>
                <w:szCs w:val="21"/>
              </w:rPr>
            </w:pPr>
            <w:r>
              <w:rPr>
                <w:rFonts w:ascii="宋体" w:hAnsi="宋体" w:hint="eastAsia"/>
                <w:szCs w:val="21"/>
              </w:rPr>
              <w:t>套数</w:t>
            </w:r>
          </w:p>
        </w:tc>
      </w:tr>
      <w:tr>
        <w:tblPrEx>
          <w:tblW w:w="0" w:type="auto"/>
          <w:jc w:val="center"/>
          <w:tblCellMar>
            <w:top w:w="0" w:type="dxa"/>
            <w:left w:w="108" w:type="dxa"/>
            <w:bottom w:w="0" w:type="dxa"/>
            <w:right w:w="108" w:type="dxa"/>
          </w:tblCellMar>
        </w:tblPrEx>
        <w:trPr>
          <w:jc w:val="center"/>
        </w:trPr>
        <w:tc>
          <w:tcPr>
            <w:tcW w:w="2102" w:type="dxa"/>
            <w:vAlign w:val="center"/>
          </w:tcPr>
          <w:p>
            <w:pPr>
              <w:spacing w:line="360" w:lineRule="auto"/>
              <w:jc w:val="center"/>
              <w:rPr>
                <w:rFonts w:ascii="宋体" w:hAnsi="宋体"/>
                <w:szCs w:val="21"/>
              </w:rPr>
            </w:pPr>
            <w:r>
              <w:rPr>
                <w:rFonts w:ascii="宋体" w:hAnsi="宋体" w:hint="eastAsia"/>
                <w:szCs w:val="21"/>
              </w:rPr>
              <w:t>1</w:t>
            </w:r>
          </w:p>
        </w:tc>
        <w:tc>
          <w:tcPr>
            <w:tcW w:w="2159" w:type="dxa"/>
            <w:vAlign w:val="center"/>
          </w:tcPr>
          <w:p>
            <w:pPr>
              <w:spacing w:line="360" w:lineRule="auto"/>
              <w:jc w:val="center"/>
              <w:rPr>
                <w:rFonts w:ascii="宋体" w:hAnsi="宋体"/>
                <w:szCs w:val="21"/>
              </w:rPr>
            </w:pPr>
            <w:r>
              <w:rPr>
                <w:rFonts w:hint="eastAsia"/>
                <w:szCs w:val="22"/>
              </w:rPr>
              <w:t>郑州</w:t>
            </w:r>
          </w:p>
        </w:tc>
        <w:tc>
          <w:tcPr>
            <w:tcW w:w="2159" w:type="dxa"/>
            <w:vAlign w:val="center"/>
          </w:tcPr>
          <w:p>
            <w:pPr>
              <w:spacing w:line="360" w:lineRule="auto"/>
              <w:jc w:val="center"/>
              <w:rPr>
                <w:rFonts w:ascii="宋体" w:hAnsi="宋体"/>
                <w:szCs w:val="21"/>
              </w:rPr>
            </w:pPr>
            <w:r>
              <w:rPr>
                <w:rFonts w:hint="eastAsia"/>
                <w:color w:val="000000"/>
                <w:sz w:val="22"/>
                <w:szCs w:val="22"/>
              </w:rPr>
              <w:t>36</w:t>
            </w:r>
          </w:p>
        </w:tc>
      </w:tr>
      <w:tr>
        <w:tblPrEx>
          <w:tblW w:w="0" w:type="auto"/>
          <w:jc w:val="center"/>
          <w:tblCellMar>
            <w:top w:w="0" w:type="dxa"/>
            <w:left w:w="108" w:type="dxa"/>
            <w:bottom w:w="0" w:type="dxa"/>
            <w:right w:w="108" w:type="dxa"/>
          </w:tblCellMar>
        </w:tblPrEx>
        <w:trPr>
          <w:jc w:val="center"/>
        </w:trPr>
        <w:tc>
          <w:tcPr>
            <w:tcW w:w="2102" w:type="dxa"/>
            <w:vAlign w:val="center"/>
          </w:tcPr>
          <w:p>
            <w:pPr>
              <w:spacing w:line="360" w:lineRule="auto"/>
              <w:jc w:val="center"/>
              <w:rPr>
                <w:rFonts w:ascii="宋体" w:hAnsi="宋体"/>
                <w:szCs w:val="21"/>
              </w:rPr>
            </w:pPr>
            <w:r>
              <w:rPr>
                <w:rFonts w:ascii="宋体" w:hAnsi="宋体" w:hint="eastAsia"/>
                <w:szCs w:val="21"/>
              </w:rPr>
              <w:t>2</w:t>
            </w:r>
          </w:p>
        </w:tc>
        <w:tc>
          <w:tcPr>
            <w:tcW w:w="2159" w:type="dxa"/>
            <w:vAlign w:val="center"/>
          </w:tcPr>
          <w:p>
            <w:pPr>
              <w:spacing w:line="360" w:lineRule="auto"/>
              <w:jc w:val="center"/>
              <w:rPr>
                <w:rFonts w:ascii="宋体" w:hAnsi="宋体"/>
                <w:szCs w:val="21"/>
              </w:rPr>
            </w:pPr>
            <w:r>
              <w:rPr>
                <w:rFonts w:hint="eastAsia"/>
                <w:szCs w:val="22"/>
              </w:rPr>
              <w:t>洛阳</w:t>
            </w:r>
          </w:p>
        </w:tc>
        <w:tc>
          <w:tcPr>
            <w:tcW w:w="2159" w:type="dxa"/>
            <w:vAlign w:val="center"/>
          </w:tcPr>
          <w:p>
            <w:pPr>
              <w:spacing w:line="360" w:lineRule="auto"/>
              <w:jc w:val="center"/>
              <w:rPr>
                <w:rFonts w:ascii="宋体" w:hAnsi="宋体"/>
                <w:szCs w:val="21"/>
              </w:rPr>
            </w:pPr>
            <w:r>
              <w:rPr>
                <w:rFonts w:hint="eastAsia"/>
                <w:color w:val="000000"/>
                <w:sz w:val="22"/>
                <w:szCs w:val="22"/>
              </w:rPr>
              <w:t>2</w:t>
            </w:r>
          </w:p>
        </w:tc>
      </w:tr>
      <w:tr>
        <w:tblPrEx>
          <w:tblW w:w="0" w:type="auto"/>
          <w:jc w:val="center"/>
          <w:tblCellMar>
            <w:top w:w="0" w:type="dxa"/>
            <w:left w:w="108" w:type="dxa"/>
            <w:bottom w:w="0" w:type="dxa"/>
            <w:right w:w="108" w:type="dxa"/>
          </w:tblCellMar>
        </w:tblPrEx>
        <w:trPr>
          <w:jc w:val="center"/>
        </w:trPr>
        <w:tc>
          <w:tcPr>
            <w:tcW w:w="2102" w:type="dxa"/>
            <w:vAlign w:val="center"/>
          </w:tcPr>
          <w:p>
            <w:pPr>
              <w:spacing w:line="360" w:lineRule="auto"/>
              <w:jc w:val="center"/>
              <w:rPr>
                <w:rFonts w:ascii="宋体" w:hAnsi="宋体"/>
                <w:szCs w:val="21"/>
              </w:rPr>
            </w:pPr>
            <w:r>
              <w:rPr>
                <w:rFonts w:ascii="宋体" w:hAnsi="宋体" w:hint="eastAsia"/>
                <w:szCs w:val="21"/>
              </w:rPr>
              <w:t>3</w:t>
            </w:r>
          </w:p>
        </w:tc>
        <w:tc>
          <w:tcPr>
            <w:tcW w:w="2159" w:type="dxa"/>
            <w:vAlign w:val="center"/>
          </w:tcPr>
          <w:p>
            <w:pPr>
              <w:spacing w:line="360" w:lineRule="auto"/>
              <w:jc w:val="center"/>
              <w:rPr>
                <w:rFonts w:ascii="宋体" w:hAnsi="宋体"/>
                <w:szCs w:val="21"/>
              </w:rPr>
            </w:pPr>
            <w:r>
              <w:rPr>
                <w:rFonts w:hint="eastAsia"/>
                <w:szCs w:val="22"/>
              </w:rPr>
              <w:t>平顶山</w:t>
            </w:r>
          </w:p>
        </w:tc>
        <w:tc>
          <w:tcPr>
            <w:tcW w:w="2159" w:type="dxa"/>
            <w:vAlign w:val="center"/>
          </w:tcPr>
          <w:p>
            <w:pPr>
              <w:spacing w:line="360" w:lineRule="auto"/>
              <w:jc w:val="center"/>
              <w:rPr>
                <w:rFonts w:ascii="宋体" w:hAnsi="宋体"/>
                <w:szCs w:val="21"/>
              </w:rPr>
            </w:pPr>
            <w:r>
              <w:rPr>
                <w:rFonts w:hint="eastAsia"/>
                <w:color w:val="000000"/>
                <w:sz w:val="22"/>
                <w:szCs w:val="22"/>
              </w:rPr>
              <w:t>3</w:t>
            </w:r>
          </w:p>
        </w:tc>
      </w:tr>
      <w:tr>
        <w:tblPrEx>
          <w:tblW w:w="0" w:type="auto"/>
          <w:jc w:val="center"/>
          <w:tblCellMar>
            <w:top w:w="0" w:type="dxa"/>
            <w:left w:w="108" w:type="dxa"/>
            <w:bottom w:w="0" w:type="dxa"/>
            <w:right w:w="108" w:type="dxa"/>
          </w:tblCellMar>
        </w:tblPrEx>
        <w:trPr>
          <w:jc w:val="center"/>
        </w:trPr>
        <w:tc>
          <w:tcPr>
            <w:tcW w:w="2102" w:type="dxa"/>
            <w:vAlign w:val="center"/>
          </w:tcPr>
          <w:p>
            <w:pPr>
              <w:spacing w:line="360" w:lineRule="auto"/>
              <w:jc w:val="center"/>
              <w:rPr>
                <w:rFonts w:ascii="宋体" w:hAnsi="宋体"/>
                <w:szCs w:val="21"/>
              </w:rPr>
            </w:pPr>
            <w:r>
              <w:rPr>
                <w:rFonts w:ascii="宋体" w:hAnsi="宋体" w:hint="eastAsia"/>
                <w:szCs w:val="21"/>
              </w:rPr>
              <w:t>4</w:t>
            </w:r>
          </w:p>
        </w:tc>
        <w:tc>
          <w:tcPr>
            <w:tcW w:w="2159" w:type="dxa"/>
            <w:vAlign w:val="center"/>
          </w:tcPr>
          <w:p>
            <w:pPr>
              <w:spacing w:line="360" w:lineRule="auto"/>
              <w:jc w:val="center"/>
              <w:rPr>
                <w:rFonts w:ascii="宋体" w:hAnsi="宋体"/>
                <w:szCs w:val="21"/>
              </w:rPr>
            </w:pPr>
            <w:r>
              <w:rPr>
                <w:rFonts w:hint="eastAsia"/>
                <w:szCs w:val="22"/>
              </w:rPr>
              <w:t>安阳</w:t>
            </w:r>
          </w:p>
        </w:tc>
        <w:tc>
          <w:tcPr>
            <w:tcW w:w="2159" w:type="dxa"/>
            <w:vAlign w:val="center"/>
          </w:tcPr>
          <w:p>
            <w:pPr>
              <w:spacing w:line="360" w:lineRule="auto"/>
              <w:jc w:val="center"/>
              <w:rPr>
                <w:rFonts w:ascii="宋体" w:hAnsi="宋体"/>
                <w:szCs w:val="21"/>
              </w:rPr>
            </w:pPr>
            <w:r>
              <w:rPr>
                <w:rFonts w:hint="eastAsia"/>
                <w:color w:val="000000"/>
                <w:sz w:val="22"/>
                <w:szCs w:val="22"/>
              </w:rPr>
              <w:t>5</w:t>
            </w:r>
          </w:p>
        </w:tc>
      </w:tr>
      <w:tr>
        <w:tblPrEx>
          <w:tblW w:w="0" w:type="auto"/>
          <w:jc w:val="center"/>
          <w:tblCellMar>
            <w:top w:w="0" w:type="dxa"/>
            <w:left w:w="108" w:type="dxa"/>
            <w:bottom w:w="0" w:type="dxa"/>
            <w:right w:w="108" w:type="dxa"/>
          </w:tblCellMar>
        </w:tblPrEx>
        <w:trPr>
          <w:jc w:val="center"/>
        </w:trPr>
        <w:tc>
          <w:tcPr>
            <w:tcW w:w="2102" w:type="dxa"/>
            <w:vAlign w:val="center"/>
          </w:tcPr>
          <w:p>
            <w:pPr>
              <w:spacing w:line="360" w:lineRule="auto"/>
              <w:jc w:val="center"/>
              <w:rPr>
                <w:rFonts w:ascii="宋体" w:hAnsi="宋体"/>
                <w:szCs w:val="21"/>
              </w:rPr>
            </w:pPr>
            <w:r>
              <w:rPr>
                <w:rFonts w:ascii="宋体" w:hAnsi="宋体" w:hint="eastAsia"/>
                <w:szCs w:val="21"/>
              </w:rPr>
              <w:t>5</w:t>
            </w:r>
          </w:p>
        </w:tc>
        <w:tc>
          <w:tcPr>
            <w:tcW w:w="2159" w:type="dxa"/>
            <w:vAlign w:val="center"/>
          </w:tcPr>
          <w:p>
            <w:pPr>
              <w:spacing w:line="360" w:lineRule="auto"/>
              <w:jc w:val="center"/>
              <w:rPr>
                <w:rFonts w:ascii="宋体" w:hAnsi="宋体"/>
                <w:szCs w:val="21"/>
              </w:rPr>
            </w:pPr>
            <w:r>
              <w:rPr>
                <w:rFonts w:hint="eastAsia"/>
                <w:szCs w:val="22"/>
              </w:rPr>
              <w:t>鹤壁</w:t>
            </w:r>
          </w:p>
        </w:tc>
        <w:tc>
          <w:tcPr>
            <w:tcW w:w="2159" w:type="dxa"/>
            <w:vAlign w:val="center"/>
          </w:tcPr>
          <w:p>
            <w:pPr>
              <w:spacing w:line="360" w:lineRule="auto"/>
              <w:jc w:val="center"/>
              <w:rPr>
                <w:rFonts w:ascii="宋体" w:hAnsi="宋体"/>
                <w:szCs w:val="21"/>
              </w:rPr>
            </w:pPr>
            <w:r>
              <w:rPr>
                <w:rFonts w:hint="eastAsia"/>
                <w:color w:val="000000"/>
                <w:sz w:val="22"/>
                <w:szCs w:val="22"/>
              </w:rPr>
              <w:t>6</w:t>
            </w:r>
          </w:p>
        </w:tc>
      </w:tr>
      <w:tr>
        <w:tblPrEx>
          <w:tblW w:w="0" w:type="auto"/>
          <w:jc w:val="center"/>
          <w:tblCellMar>
            <w:top w:w="0" w:type="dxa"/>
            <w:left w:w="108" w:type="dxa"/>
            <w:bottom w:w="0" w:type="dxa"/>
            <w:right w:w="108" w:type="dxa"/>
          </w:tblCellMar>
        </w:tblPrEx>
        <w:trPr>
          <w:jc w:val="center"/>
        </w:trPr>
        <w:tc>
          <w:tcPr>
            <w:tcW w:w="2102" w:type="dxa"/>
            <w:vAlign w:val="center"/>
          </w:tcPr>
          <w:p>
            <w:pPr>
              <w:spacing w:line="360" w:lineRule="auto"/>
              <w:jc w:val="center"/>
              <w:rPr>
                <w:rFonts w:ascii="宋体" w:hAnsi="宋体"/>
                <w:szCs w:val="21"/>
              </w:rPr>
            </w:pPr>
            <w:r>
              <w:rPr>
                <w:rFonts w:ascii="宋体" w:hAnsi="宋体" w:hint="eastAsia"/>
                <w:szCs w:val="21"/>
              </w:rPr>
              <w:t>6</w:t>
            </w:r>
          </w:p>
        </w:tc>
        <w:tc>
          <w:tcPr>
            <w:tcW w:w="2159" w:type="dxa"/>
            <w:vAlign w:val="center"/>
          </w:tcPr>
          <w:p>
            <w:pPr>
              <w:spacing w:line="360" w:lineRule="auto"/>
              <w:jc w:val="center"/>
              <w:rPr>
                <w:rFonts w:ascii="宋体" w:hAnsi="宋体"/>
                <w:szCs w:val="21"/>
              </w:rPr>
            </w:pPr>
            <w:r>
              <w:rPr>
                <w:rFonts w:hint="eastAsia"/>
                <w:szCs w:val="22"/>
              </w:rPr>
              <w:t>新乡</w:t>
            </w:r>
          </w:p>
        </w:tc>
        <w:tc>
          <w:tcPr>
            <w:tcW w:w="2159" w:type="dxa"/>
            <w:vAlign w:val="center"/>
          </w:tcPr>
          <w:p>
            <w:pPr>
              <w:spacing w:line="360" w:lineRule="auto"/>
              <w:jc w:val="center"/>
              <w:rPr>
                <w:rFonts w:ascii="宋体" w:hAnsi="宋体"/>
                <w:szCs w:val="21"/>
              </w:rPr>
            </w:pPr>
            <w:r>
              <w:rPr>
                <w:rFonts w:hint="eastAsia"/>
                <w:color w:val="000000"/>
                <w:sz w:val="22"/>
                <w:szCs w:val="22"/>
              </w:rPr>
              <w:t>4</w:t>
            </w:r>
          </w:p>
        </w:tc>
      </w:tr>
      <w:tr>
        <w:tblPrEx>
          <w:tblW w:w="0" w:type="auto"/>
          <w:jc w:val="center"/>
          <w:tblCellMar>
            <w:top w:w="0" w:type="dxa"/>
            <w:left w:w="108" w:type="dxa"/>
            <w:bottom w:w="0" w:type="dxa"/>
            <w:right w:w="108" w:type="dxa"/>
          </w:tblCellMar>
        </w:tblPrEx>
        <w:trPr>
          <w:jc w:val="center"/>
        </w:trPr>
        <w:tc>
          <w:tcPr>
            <w:tcW w:w="2102" w:type="dxa"/>
            <w:vAlign w:val="center"/>
          </w:tcPr>
          <w:p>
            <w:pPr>
              <w:spacing w:line="360" w:lineRule="auto"/>
              <w:jc w:val="center"/>
              <w:rPr>
                <w:rFonts w:ascii="宋体" w:hAnsi="宋体"/>
                <w:szCs w:val="21"/>
              </w:rPr>
            </w:pPr>
            <w:r>
              <w:rPr>
                <w:rFonts w:ascii="宋体" w:hAnsi="宋体" w:hint="eastAsia"/>
                <w:szCs w:val="21"/>
              </w:rPr>
              <w:t>7</w:t>
            </w:r>
          </w:p>
        </w:tc>
        <w:tc>
          <w:tcPr>
            <w:tcW w:w="2159" w:type="dxa"/>
            <w:vAlign w:val="center"/>
          </w:tcPr>
          <w:p>
            <w:pPr>
              <w:spacing w:line="360" w:lineRule="auto"/>
              <w:jc w:val="center"/>
              <w:rPr>
                <w:rFonts w:ascii="宋体" w:hAnsi="宋体"/>
                <w:szCs w:val="21"/>
              </w:rPr>
            </w:pPr>
            <w:r>
              <w:rPr>
                <w:rFonts w:hint="eastAsia"/>
                <w:szCs w:val="22"/>
              </w:rPr>
              <w:t>焦作</w:t>
            </w:r>
          </w:p>
        </w:tc>
        <w:tc>
          <w:tcPr>
            <w:tcW w:w="2159" w:type="dxa"/>
            <w:vAlign w:val="center"/>
          </w:tcPr>
          <w:p>
            <w:pPr>
              <w:spacing w:line="360" w:lineRule="auto"/>
              <w:jc w:val="center"/>
              <w:rPr>
                <w:rFonts w:ascii="宋体" w:hAnsi="宋体"/>
                <w:szCs w:val="21"/>
              </w:rPr>
            </w:pPr>
            <w:r>
              <w:rPr>
                <w:rFonts w:hint="eastAsia"/>
                <w:color w:val="000000"/>
                <w:sz w:val="22"/>
                <w:szCs w:val="22"/>
              </w:rPr>
              <w:t>2</w:t>
            </w:r>
          </w:p>
        </w:tc>
      </w:tr>
      <w:tr>
        <w:tblPrEx>
          <w:tblW w:w="0" w:type="auto"/>
          <w:jc w:val="center"/>
          <w:tblCellMar>
            <w:top w:w="0" w:type="dxa"/>
            <w:left w:w="108" w:type="dxa"/>
            <w:bottom w:w="0" w:type="dxa"/>
            <w:right w:w="108" w:type="dxa"/>
          </w:tblCellMar>
        </w:tblPrEx>
        <w:trPr>
          <w:jc w:val="center"/>
        </w:trPr>
        <w:tc>
          <w:tcPr>
            <w:tcW w:w="2102" w:type="dxa"/>
            <w:vAlign w:val="center"/>
          </w:tcPr>
          <w:p>
            <w:pPr>
              <w:spacing w:line="360" w:lineRule="auto"/>
              <w:jc w:val="center"/>
              <w:rPr>
                <w:rFonts w:ascii="宋体" w:hAnsi="宋体"/>
                <w:szCs w:val="21"/>
              </w:rPr>
            </w:pPr>
            <w:r>
              <w:rPr>
                <w:rFonts w:ascii="宋体" w:hAnsi="宋体" w:hint="eastAsia"/>
                <w:szCs w:val="21"/>
              </w:rPr>
              <w:t>8</w:t>
            </w:r>
          </w:p>
        </w:tc>
        <w:tc>
          <w:tcPr>
            <w:tcW w:w="2159" w:type="dxa"/>
            <w:vAlign w:val="center"/>
          </w:tcPr>
          <w:p>
            <w:pPr>
              <w:spacing w:line="360" w:lineRule="auto"/>
              <w:jc w:val="center"/>
              <w:rPr>
                <w:rFonts w:ascii="宋体" w:hAnsi="宋体"/>
                <w:szCs w:val="21"/>
              </w:rPr>
            </w:pPr>
            <w:r>
              <w:rPr>
                <w:rFonts w:hint="eastAsia"/>
                <w:szCs w:val="22"/>
              </w:rPr>
              <w:t>南阳</w:t>
            </w:r>
          </w:p>
        </w:tc>
        <w:tc>
          <w:tcPr>
            <w:tcW w:w="2159" w:type="dxa"/>
            <w:vAlign w:val="center"/>
          </w:tcPr>
          <w:p>
            <w:pPr>
              <w:spacing w:line="360" w:lineRule="auto"/>
              <w:jc w:val="center"/>
              <w:rPr>
                <w:rFonts w:ascii="宋体" w:hAnsi="宋体"/>
                <w:szCs w:val="21"/>
              </w:rPr>
            </w:pPr>
            <w:r>
              <w:rPr>
                <w:rFonts w:hint="eastAsia"/>
                <w:color w:val="000000"/>
                <w:sz w:val="22"/>
                <w:szCs w:val="22"/>
              </w:rPr>
              <w:t>1</w:t>
            </w:r>
          </w:p>
        </w:tc>
      </w:tr>
      <w:tr>
        <w:tblPrEx>
          <w:tblW w:w="0" w:type="auto"/>
          <w:jc w:val="center"/>
          <w:tblCellMar>
            <w:top w:w="0" w:type="dxa"/>
            <w:left w:w="108" w:type="dxa"/>
            <w:bottom w:w="0" w:type="dxa"/>
            <w:right w:w="108" w:type="dxa"/>
          </w:tblCellMar>
        </w:tblPrEx>
        <w:trPr>
          <w:jc w:val="center"/>
        </w:trPr>
        <w:tc>
          <w:tcPr>
            <w:tcW w:w="2102" w:type="dxa"/>
            <w:vAlign w:val="center"/>
          </w:tcPr>
          <w:p>
            <w:pPr>
              <w:spacing w:line="360" w:lineRule="auto"/>
              <w:jc w:val="center"/>
              <w:rPr>
                <w:rFonts w:ascii="宋体" w:hAnsi="宋体"/>
                <w:szCs w:val="21"/>
              </w:rPr>
            </w:pPr>
            <w:r>
              <w:rPr>
                <w:rFonts w:ascii="宋体" w:hAnsi="宋体" w:hint="eastAsia"/>
                <w:szCs w:val="21"/>
              </w:rPr>
              <w:t>9</w:t>
            </w:r>
          </w:p>
        </w:tc>
        <w:tc>
          <w:tcPr>
            <w:tcW w:w="2159" w:type="dxa"/>
            <w:vAlign w:val="center"/>
          </w:tcPr>
          <w:p>
            <w:pPr>
              <w:spacing w:line="360" w:lineRule="auto"/>
              <w:jc w:val="center"/>
              <w:rPr>
                <w:rFonts w:ascii="宋体" w:hAnsi="宋体"/>
                <w:szCs w:val="21"/>
              </w:rPr>
            </w:pPr>
            <w:r>
              <w:rPr>
                <w:rFonts w:hint="eastAsia"/>
                <w:szCs w:val="22"/>
              </w:rPr>
              <w:t>信阳</w:t>
            </w:r>
          </w:p>
        </w:tc>
        <w:tc>
          <w:tcPr>
            <w:tcW w:w="2159" w:type="dxa"/>
            <w:vAlign w:val="center"/>
          </w:tcPr>
          <w:p>
            <w:pPr>
              <w:spacing w:line="360" w:lineRule="auto"/>
              <w:jc w:val="center"/>
              <w:rPr>
                <w:rFonts w:ascii="宋体" w:hAnsi="宋体"/>
                <w:szCs w:val="21"/>
              </w:rPr>
            </w:pPr>
            <w:r>
              <w:rPr>
                <w:rFonts w:hint="eastAsia"/>
                <w:color w:val="000000"/>
                <w:sz w:val="22"/>
                <w:szCs w:val="22"/>
              </w:rPr>
              <w:t>5</w:t>
            </w:r>
          </w:p>
        </w:tc>
      </w:tr>
      <w:tr>
        <w:tblPrEx>
          <w:tblW w:w="0" w:type="auto"/>
          <w:jc w:val="center"/>
          <w:tblCellMar>
            <w:top w:w="0" w:type="dxa"/>
            <w:left w:w="108" w:type="dxa"/>
            <w:bottom w:w="0" w:type="dxa"/>
            <w:right w:w="108" w:type="dxa"/>
          </w:tblCellMar>
        </w:tblPrEx>
        <w:trPr>
          <w:jc w:val="center"/>
        </w:trPr>
        <w:tc>
          <w:tcPr>
            <w:tcW w:w="2102" w:type="dxa"/>
            <w:vAlign w:val="center"/>
          </w:tcPr>
          <w:p>
            <w:pPr>
              <w:spacing w:line="360" w:lineRule="auto"/>
              <w:jc w:val="center"/>
              <w:rPr>
                <w:rFonts w:ascii="宋体" w:hAnsi="宋体"/>
                <w:szCs w:val="21"/>
              </w:rPr>
            </w:pPr>
            <w:r>
              <w:rPr>
                <w:rFonts w:ascii="宋体" w:hAnsi="宋体" w:hint="eastAsia"/>
                <w:szCs w:val="21"/>
              </w:rPr>
              <w:t>10</w:t>
            </w:r>
          </w:p>
        </w:tc>
        <w:tc>
          <w:tcPr>
            <w:tcW w:w="2159" w:type="dxa"/>
            <w:vAlign w:val="center"/>
          </w:tcPr>
          <w:p>
            <w:pPr>
              <w:spacing w:line="360" w:lineRule="auto"/>
              <w:jc w:val="center"/>
              <w:rPr>
                <w:szCs w:val="22"/>
              </w:rPr>
            </w:pPr>
            <w:r>
              <w:rPr>
                <w:rFonts w:hint="eastAsia"/>
                <w:szCs w:val="22"/>
              </w:rPr>
              <w:t>济源</w:t>
            </w:r>
          </w:p>
        </w:tc>
        <w:tc>
          <w:tcPr>
            <w:tcW w:w="2159" w:type="dxa"/>
            <w:vAlign w:val="center"/>
          </w:tcPr>
          <w:p>
            <w:pPr>
              <w:spacing w:line="360" w:lineRule="auto"/>
              <w:jc w:val="center"/>
              <w:rPr>
                <w:rFonts w:ascii="宋体" w:hAnsi="宋体"/>
                <w:szCs w:val="21"/>
              </w:rPr>
            </w:pPr>
            <w:r>
              <w:rPr>
                <w:rFonts w:hint="eastAsia"/>
                <w:color w:val="000000"/>
                <w:sz w:val="22"/>
                <w:szCs w:val="22"/>
              </w:rPr>
              <w:t>3</w:t>
            </w:r>
          </w:p>
        </w:tc>
      </w:tr>
      <w:tr>
        <w:tblPrEx>
          <w:tblW w:w="0" w:type="auto"/>
          <w:jc w:val="center"/>
          <w:tblCellMar>
            <w:top w:w="0" w:type="dxa"/>
            <w:left w:w="108" w:type="dxa"/>
            <w:bottom w:w="0" w:type="dxa"/>
            <w:right w:w="108" w:type="dxa"/>
          </w:tblCellMar>
        </w:tblPrEx>
        <w:trPr>
          <w:jc w:val="center"/>
        </w:trPr>
        <w:tc>
          <w:tcPr>
            <w:tcW w:w="4261" w:type="dxa"/>
            <w:gridSpan w:val="2"/>
            <w:vAlign w:val="center"/>
          </w:tcPr>
          <w:p>
            <w:pPr>
              <w:spacing w:line="360" w:lineRule="auto"/>
              <w:jc w:val="center"/>
              <w:rPr>
                <w:szCs w:val="22"/>
              </w:rPr>
            </w:pPr>
            <w:r>
              <w:rPr>
                <w:rFonts w:hint="eastAsia"/>
                <w:szCs w:val="22"/>
              </w:rPr>
              <w:t>合计</w:t>
            </w:r>
          </w:p>
        </w:tc>
        <w:tc>
          <w:tcPr>
            <w:tcW w:w="2159" w:type="dxa"/>
            <w:vAlign w:val="center"/>
          </w:tcPr>
          <w:p>
            <w:pPr>
              <w:spacing w:line="360" w:lineRule="auto"/>
              <w:jc w:val="center"/>
              <w:rPr>
                <w:color w:val="000000"/>
                <w:sz w:val="22"/>
                <w:szCs w:val="22"/>
              </w:rPr>
            </w:pPr>
            <w:r>
              <w:rPr>
                <w:rFonts w:hint="eastAsia"/>
                <w:color w:val="000000"/>
                <w:sz w:val="22"/>
                <w:szCs w:val="22"/>
              </w:rPr>
              <w:t>67</w:t>
            </w:r>
          </w:p>
        </w:tc>
      </w:tr>
    </w:tbl>
    <w:p>
      <w:pPr>
        <w:spacing w:line="360" w:lineRule="auto"/>
        <w:rPr>
          <w:rFonts w:ascii="宋体" w:hAnsi="宋体"/>
          <w:szCs w:val="21"/>
        </w:rPr>
      </w:pPr>
    </w:p>
    <w:p>
      <w:pPr>
        <w:spacing w:line="360" w:lineRule="auto"/>
        <w:ind w:firstLine="122" w:firstLineChars="58"/>
        <w:rPr>
          <w:rFonts w:ascii="宋体" w:hAnsi="宋体" w:cs="宋体"/>
          <w:b/>
          <w:bCs/>
          <w:szCs w:val="21"/>
        </w:rPr>
      </w:pPr>
      <w:r>
        <w:rPr>
          <w:rFonts w:ascii="宋体" w:hAnsi="宋体" w:cs="宋体" w:hint="eastAsia"/>
          <w:b/>
          <w:bCs/>
          <w:szCs w:val="21"/>
        </w:rPr>
        <w:t>第二部分、平原型智能化烟炉作业系统</w:t>
      </w:r>
    </w:p>
    <w:p>
      <w:pPr>
        <w:spacing w:line="360" w:lineRule="auto"/>
        <w:ind w:firstLine="246" w:firstLineChars="117"/>
        <w:rPr>
          <w:rFonts w:ascii="宋体" w:hAnsi="宋体" w:cs="宋体"/>
          <w:b/>
          <w:bCs/>
          <w:szCs w:val="21"/>
        </w:rPr>
      </w:pPr>
      <w:r>
        <w:rPr>
          <w:rFonts w:ascii="宋体" w:hAnsi="宋体" w:cs="宋体" w:hint="eastAsia"/>
          <w:b/>
          <w:bCs/>
          <w:szCs w:val="21"/>
        </w:rPr>
        <w:t>（1）建设内容</w:t>
      </w:r>
    </w:p>
    <w:p>
      <w:pPr>
        <w:spacing w:line="360" w:lineRule="auto"/>
        <w:ind w:firstLine="420" w:firstLineChars="200"/>
        <w:rPr>
          <w:rFonts w:ascii="宋体" w:hAnsi="宋体"/>
          <w:szCs w:val="21"/>
        </w:rPr>
      </w:pPr>
      <w:r>
        <w:rPr>
          <w:rFonts w:ascii="宋体" w:hAnsi="宋体" w:hint="eastAsia"/>
          <w:szCs w:val="21"/>
        </w:rPr>
        <w:t>新建20套平原型智能化烟炉作业系统，平原型智能化烟炉作业系统包含智能烟炉、集成多要素作业条件判别系统、烟炉作业安全监控终端，须支持冷暖云烟条，具备远程操控功能，作业状态实时监控、作业信息自动收集功能。配备集成式作业条件判别系统，实现对平原地形气象要素的自动感知、作业条件的自动判别，</w:t>
      </w:r>
      <w:r>
        <w:rPr>
          <w:rFonts w:ascii="宋体" w:hAnsi="宋体"/>
          <w:szCs w:val="21"/>
        </w:rPr>
        <w:t xml:space="preserve"> </w:t>
      </w:r>
      <w:r>
        <w:rPr>
          <w:rFonts w:ascii="宋体" w:hAnsi="宋体" w:hint="eastAsia"/>
          <w:szCs w:val="21"/>
        </w:rPr>
        <w:t>配备烟炉作业安全监控终端，自动采集信息上传到“天工”平台。</w:t>
      </w:r>
    </w:p>
    <w:p>
      <w:pPr>
        <w:spacing w:line="360" w:lineRule="auto"/>
        <w:ind w:firstLine="246" w:firstLineChars="117"/>
        <w:rPr>
          <w:rFonts w:ascii="宋体" w:hAnsi="宋体" w:cs="宋体"/>
          <w:b/>
          <w:bCs/>
          <w:szCs w:val="21"/>
        </w:rPr>
      </w:pPr>
      <w:r>
        <w:rPr>
          <w:rFonts w:ascii="宋体" w:hAnsi="宋体" w:cs="宋体" w:hint="eastAsia"/>
          <w:b/>
          <w:bCs/>
          <w:szCs w:val="21"/>
        </w:rPr>
        <w:t>（2）具体情况</w:t>
      </w:r>
    </w:p>
    <w:p>
      <w:pPr>
        <w:spacing w:line="360" w:lineRule="auto"/>
        <w:ind w:firstLine="420" w:firstLineChars="200"/>
        <w:rPr>
          <w:rFonts w:ascii="宋体" w:hAnsi="宋体"/>
          <w:szCs w:val="21"/>
        </w:rPr>
      </w:pPr>
      <w:r>
        <w:rPr>
          <w:rFonts w:ascii="宋体" w:hAnsi="宋体" w:hint="eastAsia"/>
          <w:szCs w:val="21"/>
        </w:rPr>
        <w:t>20套平原型智能化烟炉作业系统（智能烟炉、集成多要素作业条件判别系统、烟炉作业安全监控终端）分布于全省6个地市，详见下表：</w:t>
      </w:r>
    </w:p>
    <w:tbl>
      <w:tblPr>
        <w:tblStyle w:val="TableGrid"/>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102"/>
        <w:gridCol w:w="2159"/>
        <w:gridCol w:w="2159"/>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2102" w:type="dxa"/>
            <w:vAlign w:val="center"/>
          </w:tcPr>
          <w:p>
            <w:pPr>
              <w:spacing w:line="360" w:lineRule="auto"/>
              <w:jc w:val="center"/>
              <w:rPr>
                <w:rFonts w:ascii="宋体" w:hAnsi="宋体"/>
                <w:szCs w:val="21"/>
              </w:rPr>
            </w:pPr>
            <w:r>
              <w:rPr>
                <w:rFonts w:ascii="宋体" w:hAnsi="宋体" w:hint="eastAsia"/>
                <w:szCs w:val="21"/>
              </w:rPr>
              <w:t>序号</w:t>
            </w:r>
          </w:p>
        </w:tc>
        <w:tc>
          <w:tcPr>
            <w:tcW w:w="2159" w:type="dxa"/>
            <w:vAlign w:val="center"/>
          </w:tcPr>
          <w:p>
            <w:pPr>
              <w:spacing w:line="360" w:lineRule="auto"/>
              <w:jc w:val="center"/>
              <w:rPr>
                <w:rFonts w:ascii="宋体" w:hAnsi="宋体"/>
                <w:szCs w:val="21"/>
              </w:rPr>
            </w:pPr>
            <w:r>
              <w:rPr>
                <w:rFonts w:ascii="宋体" w:hAnsi="宋体" w:hint="eastAsia"/>
                <w:szCs w:val="21"/>
              </w:rPr>
              <w:t>所属地市</w:t>
            </w:r>
          </w:p>
        </w:tc>
        <w:tc>
          <w:tcPr>
            <w:tcW w:w="2159" w:type="dxa"/>
            <w:vAlign w:val="center"/>
          </w:tcPr>
          <w:p>
            <w:pPr>
              <w:spacing w:line="360" w:lineRule="auto"/>
              <w:jc w:val="center"/>
              <w:rPr>
                <w:rFonts w:ascii="宋体" w:hAnsi="宋体"/>
                <w:szCs w:val="21"/>
              </w:rPr>
            </w:pPr>
            <w:r>
              <w:rPr>
                <w:rFonts w:ascii="宋体" w:hAnsi="宋体" w:hint="eastAsia"/>
                <w:szCs w:val="21"/>
              </w:rPr>
              <w:t>套数</w:t>
            </w:r>
          </w:p>
        </w:tc>
      </w:tr>
      <w:tr>
        <w:tblPrEx>
          <w:tblW w:w="0" w:type="auto"/>
          <w:jc w:val="center"/>
          <w:tblCellMar>
            <w:top w:w="0" w:type="dxa"/>
            <w:left w:w="108" w:type="dxa"/>
            <w:bottom w:w="0" w:type="dxa"/>
            <w:right w:w="108" w:type="dxa"/>
          </w:tblCellMar>
        </w:tblPrEx>
        <w:trPr>
          <w:jc w:val="center"/>
        </w:trPr>
        <w:tc>
          <w:tcPr>
            <w:tcW w:w="2102" w:type="dxa"/>
            <w:vAlign w:val="center"/>
          </w:tcPr>
          <w:p>
            <w:pPr>
              <w:spacing w:line="360" w:lineRule="auto"/>
              <w:jc w:val="center"/>
              <w:rPr>
                <w:rFonts w:ascii="宋体" w:hAnsi="宋体"/>
                <w:szCs w:val="21"/>
              </w:rPr>
            </w:pPr>
            <w:r>
              <w:rPr>
                <w:rFonts w:ascii="宋体" w:hAnsi="宋体" w:hint="eastAsia"/>
                <w:szCs w:val="21"/>
              </w:rPr>
              <w:t>1</w:t>
            </w:r>
          </w:p>
        </w:tc>
        <w:tc>
          <w:tcPr>
            <w:tcW w:w="2159" w:type="dxa"/>
          </w:tcPr>
          <w:p>
            <w:pPr>
              <w:spacing w:line="360" w:lineRule="auto"/>
              <w:jc w:val="center"/>
              <w:rPr>
                <w:rFonts w:ascii="宋体" w:hAnsi="宋体"/>
                <w:szCs w:val="21"/>
              </w:rPr>
            </w:pPr>
            <w:r>
              <w:rPr>
                <w:rFonts w:hint="eastAsia"/>
                <w:szCs w:val="22"/>
              </w:rPr>
              <w:t>郑州</w:t>
            </w:r>
          </w:p>
        </w:tc>
        <w:tc>
          <w:tcPr>
            <w:tcW w:w="2159" w:type="dxa"/>
          </w:tcPr>
          <w:p>
            <w:pPr>
              <w:spacing w:line="360" w:lineRule="auto"/>
              <w:jc w:val="center"/>
              <w:rPr>
                <w:rFonts w:ascii="宋体" w:hAnsi="宋体"/>
                <w:szCs w:val="21"/>
              </w:rPr>
            </w:pPr>
            <w:r>
              <w:rPr>
                <w:szCs w:val="22"/>
              </w:rPr>
              <w:t>7</w:t>
            </w:r>
          </w:p>
        </w:tc>
      </w:tr>
      <w:tr>
        <w:tblPrEx>
          <w:tblW w:w="0" w:type="auto"/>
          <w:jc w:val="center"/>
          <w:tblCellMar>
            <w:top w:w="0" w:type="dxa"/>
            <w:left w:w="108" w:type="dxa"/>
            <w:bottom w:w="0" w:type="dxa"/>
            <w:right w:w="108" w:type="dxa"/>
          </w:tblCellMar>
        </w:tblPrEx>
        <w:trPr>
          <w:jc w:val="center"/>
        </w:trPr>
        <w:tc>
          <w:tcPr>
            <w:tcW w:w="2102" w:type="dxa"/>
            <w:vAlign w:val="center"/>
          </w:tcPr>
          <w:p>
            <w:pPr>
              <w:spacing w:line="360" w:lineRule="auto"/>
              <w:jc w:val="center"/>
              <w:rPr>
                <w:rFonts w:ascii="宋体" w:hAnsi="宋体"/>
                <w:szCs w:val="21"/>
              </w:rPr>
            </w:pPr>
            <w:r>
              <w:rPr>
                <w:rFonts w:ascii="宋体" w:hAnsi="宋体" w:hint="eastAsia"/>
                <w:szCs w:val="21"/>
              </w:rPr>
              <w:t>2</w:t>
            </w:r>
          </w:p>
        </w:tc>
        <w:tc>
          <w:tcPr>
            <w:tcW w:w="2159" w:type="dxa"/>
          </w:tcPr>
          <w:p>
            <w:pPr>
              <w:spacing w:line="360" w:lineRule="auto"/>
              <w:jc w:val="center"/>
              <w:rPr>
                <w:rFonts w:ascii="宋体" w:hAnsi="宋体"/>
                <w:szCs w:val="21"/>
              </w:rPr>
            </w:pPr>
            <w:r>
              <w:rPr>
                <w:rFonts w:hint="eastAsia"/>
                <w:szCs w:val="22"/>
              </w:rPr>
              <w:t>洛阳</w:t>
            </w:r>
          </w:p>
        </w:tc>
        <w:tc>
          <w:tcPr>
            <w:tcW w:w="2159" w:type="dxa"/>
          </w:tcPr>
          <w:p>
            <w:pPr>
              <w:spacing w:line="360" w:lineRule="auto"/>
              <w:jc w:val="center"/>
              <w:rPr>
                <w:rFonts w:ascii="宋体" w:hAnsi="宋体"/>
                <w:szCs w:val="21"/>
              </w:rPr>
            </w:pPr>
            <w:r>
              <w:rPr>
                <w:szCs w:val="22"/>
              </w:rPr>
              <w:t>2</w:t>
            </w:r>
          </w:p>
        </w:tc>
      </w:tr>
      <w:tr>
        <w:tblPrEx>
          <w:tblW w:w="0" w:type="auto"/>
          <w:jc w:val="center"/>
          <w:tblCellMar>
            <w:top w:w="0" w:type="dxa"/>
            <w:left w:w="108" w:type="dxa"/>
            <w:bottom w:w="0" w:type="dxa"/>
            <w:right w:w="108" w:type="dxa"/>
          </w:tblCellMar>
        </w:tblPrEx>
        <w:trPr>
          <w:jc w:val="center"/>
        </w:trPr>
        <w:tc>
          <w:tcPr>
            <w:tcW w:w="2102" w:type="dxa"/>
            <w:vAlign w:val="center"/>
          </w:tcPr>
          <w:p>
            <w:pPr>
              <w:spacing w:line="360" w:lineRule="auto"/>
              <w:jc w:val="center"/>
              <w:rPr>
                <w:rFonts w:ascii="宋体" w:hAnsi="宋体"/>
                <w:szCs w:val="21"/>
              </w:rPr>
            </w:pPr>
            <w:r>
              <w:rPr>
                <w:rFonts w:ascii="宋体" w:hAnsi="宋体" w:hint="eastAsia"/>
                <w:szCs w:val="21"/>
              </w:rPr>
              <w:t>3</w:t>
            </w:r>
          </w:p>
        </w:tc>
        <w:tc>
          <w:tcPr>
            <w:tcW w:w="2159" w:type="dxa"/>
          </w:tcPr>
          <w:p>
            <w:pPr>
              <w:spacing w:line="360" w:lineRule="auto"/>
              <w:jc w:val="center"/>
              <w:rPr>
                <w:rFonts w:ascii="宋体" w:hAnsi="宋体"/>
                <w:szCs w:val="21"/>
              </w:rPr>
            </w:pPr>
            <w:r>
              <w:rPr>
                <w:rFonts w:hint="eastAsia"/>
                <w:szCs w:val="22"/>
              </w:rPr>
              <w:t>平顶山</w:t>
            </w:r>
          </w:p>
        </w:tc>
        <w:tc>
          <w:tcPr>
            <w:tcW w:w="2159" w:type="dxa"/>
          </w:tcPr>
          <w:p>
            <w:pPr>
              <w:spacing w:line="360" w:lineRule="auto"/>
              <w:jc w:val="center"/>
              <w:rPr>
                <w:rFonts w:ascii="宋体" w:hAnsi="宋体"/>
                <w:szCs w:val="21"/>
              </w:rPr>
            </w:pPr>
            <w:r>
              <w:rPr>
                <w:szCs w:val="22"/>
              </w:rPr>
              <w:t>4</w:t>
            </w:r>
          </w:p>
        </w:tc>
      </w:tr>
      <w:tr>
        <w:tblPrEx>
          <w:tblW w:w="0" w:type="auto"/>
          <w:jc w:val="center"/>
          <w:tblCellMar>
            <w:top w:w="0" w:type="dxa"/>
            <w:left w:w="108" w:type="dxa"/>
            <w:bottom w:w="0" w:type="dxa"/>
            <w:right w:w="108" w:type="dxa"/>
          </w:tblCellMar>
        </w:tblPrEx>
        <w:trPr>
          <w:jc w:val="center"/>
        </w:trPr>
        <w:tc>
          <w:tcPr>
            <w:tcW w:w="2102" w:type="dxa"/>
            <w:vAlign w:val="center"/>
          </w:tcPr>
          <w:p>
            <w:pPr>
              <w:spacing w:line="360" w:lineRule="auto"/>
              <w:jc w:val="center"/>
              <w:rPr>
                <w:rFonts w:ascii="宋体" w:hAnsi="宋体"/>
                <w:szCs w:val="21"/>
              </w:rPr>
            </w:pPr>
            <w:r>
              <w:rPr>
                <w:rFonts w:ascii="宋体" w:hAnsi="宋体" w:hint="eastAsia"/>
                <w:szCs w:val="21"/>
              </w:rPr>
              <w:t>4</w:t>
            </w:r>
          </w:p>
        </w:tc>
        <w:tc>
          <w:tcPr>
            <w:tcW w:w="2159" w:type="dxa"/>
          </w:tcPr>
          <w:p>
            <w:pPr>
              <w:spacing w:line="360" w:lineRule="auto"/>
              <w:jc w:val="center"/>
              <w:rPr>
                <w:rFonts w:ascii="宋体" w:hAnsi="宋体"/>
                <w:szCs w:val="21"/>
              </w:rPr>
            </w:pPr>
            <w:r>
              <w:rPr>
                <w:rFonts w:hint="eastAsia"/>
                <w:szCs w:val="22"/>
              </w:rPr>
              <w:t>焦作</w:t>
            </w:r>
          </w:p>
        </w:tc>
        <w:tc>
          <w:tcPr>
            <w:tcW w:w="2159" w:type="dxa"/>
          </w:tcPr>
          <w:p>
            <w:pPr>
              <w:spacing w:line="360" w:lineRule="auto"/>
              <w:jc w:val="center"/>
              <w:rPr>
                <w:rFonts w:ascii="宋体" w:hAnsi="宋体"/>
                <w:szCs w:val="21"/>
              </w:rPr>
            </w:pPr>
            <w:r>
              <w:rPr>
                <w:szCs w:val="22"/>
              </w:rPr>
              <w:t>2</w:t>
            </w:r>
          </w:p>
        </w:tc>
      </w:tr>
      <w:tr>
        <w:tblPrEx>
          <w:tblW w:w="0" w:type="auto"/>
          <w:jc w:val="center"/>
          <w:tblCellMar>
            <w:top w:w="0" w:type="dxa"/>
            <w:left w:w="108" w:type="dxa"/>
            <w:bottom w:w="0" w:type="dxa"/>
            <w:right w:w="108" w:type="dxa"/>
          </w:tblCellMar>
        </w:tblPrEx>
        <w:trPr>
          <w:jc w:val="center"/>
        </w:trPr>
        <w:tc>
          <w:tcPr>
            <w:tcW w:w="2102" w:type="dxa"/>
            <w:vAlign w:val="center"/>
          </w:tcPr>
          <w:p>
            <w:pPr>
              <w:spacing w:line="360" w:lineRule="auto"/>
              <w:jc w:val="center"/>
              <w:rPr>
                <w:rFonts w:ascii="宋体" w:hAnsi="宋体"/>
                <w:szCs w:val="21"/>
              </w:rPr>
            </w:pPr>
            <w:r>
              <w:rPr>
                <w:rFonts w:ascii="宋体" w:hAnsi="宋体" w:hint="eastAsia"/>
                <w:szCs w:val="21"/>
              </w:rPr>
              <w:t>5</w:t>
            </w:r>
          </w:p>
        </w:tc>
        <w:tc>
          <w:tcPr>
            <w:tcW w:w="2159" w:type="dxa"/>
          </w:tcPr>
          <w:p>
            <w:pPr>
              <w:spacing w:line="360" w:lineRule="auto"/>
              <w:jc w:val="center"/>
              <w:rPr>
                <w:rFonts w:ascii="宋体" w:hAnsi="宋体"/>
                <w:szCs w:val="21"/>
              </w:rPr>
            </w:pPr>
            <w:r>
              <w:rPr>
                <w:rFonts w:hint="eastAsia"/>
                <w:szCs w:val="22"/>
              </w:rPr>
              <w:t>三门峡</w:t>
            </w:r>
          </w:p>
        </w:tc>
        <w:tc>
          <w:tcPr>
            <w:tcW w:w="2159" w:type="dxa"/>
          </w:tcPr>
          <w:p>
            <w:pPr>
              <w:spacing w:line="360" w:lineRule="auto"/>
              <w:jc w:val="center"/>
              <w:rPr>
                <w:rFonts w:ascii="宋体" w:hAnsi="宋体"/>
                <w:szCs w:val="21"/>
              </w:rPr>
            </w:pPr>
            <w:r>
              <w:rPr>
                <w:szCs w:val="22"/>
              </w:rPr>
              <w:t>2</w:t>
            </w:r>
          </w:p>
        </w:tc>
      </w:tr>
      <w:tr>
        <w:tblPrEx>
          <w:tblW w:w="0" w:type="auto"/>
          <w:jc w:val="center"/>
          <w:tblCellMar>
            <w:top w:w="0" w:type="dxa"/>
            <w:left w:w="108" w:type="dxa"/>
            <w:bottom w:w="0" w:type="dxa"/>
            <w:right w:w="108" w:type="dxa"/>
          </w:tblCellMar>
        </w:tblPrEx>
        <w:trPr>
          <w:jc w:val="center"/>
        </w:trPr>
        <w:tc>
          <w:tcPr>
            <w:tcW w:w="2102" w:type="dxa"/>
            <w:vAlign w:val="center"/>
          </w:tcPr>
          <w:p>
            <w:pPr>
              <w:spacing w:line="360" w:lineRule="auto"/>
              <w:jc w:val="center"/>
              <w:rPr>
                <w:rFonts w:ascii="宋体" w:hAnsi="宋体"/>
                <w:szCs w:val="21"/>
              </w:rPr>
            </w:pPr>
            <w:r>
              <w:rPr>
                <w:rFonts w:ascii="宋体" w:hAnsi="宋体" w:hint="eastAsia"/>
                <w:szCs w:val="21"/>
              </w:rPr>
              <w:t>6</w:t>
            </w:r>
          </w:p>
        </w:tc>
        <w:tc>
          <w:tcPr>
            <w:tcW w:w="2159" w:type="dxa"/>
          </w:tcPr>
          <w:p>
            <w:pPr>
              <w:spacing w:line="360" w:lineRule="auto"/>
              <w:jc w:val="center"/>
              <w:rPr>
                <w:szCs w:val="22"/>
              </w:rPr>
            </w:pPr>
            <w:r>
              <w:rPr>
                <w:rFonts w:hint="eastAsia"/>
                <w:szCs w:val="22"/>
              </w:rPr>
              <w:t>济源</w:t>
            </w:r>
          </w:p>
        </w:tc>
        <w:tc>
          <w:tcPr>
            <w:tcW w:w="2159" w:type="dxa"/>
          </w:tcPr>
          <w:p>
            <w:pPr>
              <w:spacing w:line="360" w:lineRule="auto"/>
              <w:jc w:val="center"/>
              <w:rPr>
                <w:color w:val="000000"/>
                <w:sz w:val="22"/>
                <w:szCs w:val="22"/>
              </w:rPr>
            </w:pPr>
            <w:r>
              <w:rPr>
                <w:szCs w:val="22"/>
              </w:rPr>
              <w:t>3</w:t>
            </w:r>
          </w:p>
        </w:tc>
      </w:tr>
      <w:tr>
        <w:tblPrEx>
          <w:tblW w:w="0" w:type="auto"/>
          <w:jc w:val="center"/>
          <w:tblCellMar>
            <w:top w:w="0" w:type="dxa"/>
            <w:left w:w="108" w:type="dxa"/>
            <w:bottom w:w="0" w:type="dxa"/>
            <w:right w:w="108" w:type="dxa"/>
          </w:tblCellMar>
        </w:tblPrEx>
        <w:trPr>
          <w:jc w:val="center"/>
        </w:trPr>
        <w:tc>
          <w:tcPr>
            <w:tcW w:w="4261" w:type="dxa"/>
            <w:gridSpan w:val="2"/>
            <w:vAlign w:val="center"/>
          </w:tcPr>
          <w:p>
            <w:pPr>
              <w:spacing w:line="360" w:lineRule="auto"/>
              <w:jc w:val="center"/>
              <w:rPr>
                <w:szCs w:val="22"/>
              </w:rPr>
            </w:pPr>
            <w:r>
              <w:rPr>
                <w:rFonts w:hint="eastAsia"/>
                <w:szCs w:val="22"/>
              </w:rPr>
              <w:t>合计</w:t>
            </w:r>
          </w:p>
        </w:tc>
        <w:tc>
          <w:tcPr>
            <w:tcW w:w="2159" w:type="dxa"/>
          </w:tcPr>
          <w:p>
            <w:pPr>
              <w:spacing w:line="360" w:lineRule="auto"/>
              <w:jc w:val="center"/>
              <w:rPr>
                <w:szCs w:val="22"/>
              </w:rPr>
            </w:pPr>
            <w:r>
              <w:rPr>
                <w:rFonts w:hint="eastAsia"/>
                <w:szCs w:val="22"/>
              </w:rPr>
              <w:t>20</w:t>
            </w:r>
          </w:p>
        </w:tc>
      </w:tr>
    </w:tbl>
    <w:p>
      <w:pPr>
        <w:spacing w:line="360" w:lineRule="auto"/>
        <w:ind w:firstLine="122" w:firstLineChars="58"/>
        <w:rPr>
          <w:rFonts w:ascii="宋体" w:hAnsi="宋体" w:cs="宋体"/>
          <w:b/>
          <w:bCs/>
          <w:szCs w:val="21"/>
        </w:rPr>
      </w:pPr>
    </w:p>
    <w:p>
      <w:pPr>
        <w:spacing w:line="360" w:lineRule="auto"/>
        <w:ind w:firstLine="122" w:firstLineChars="58"/>
        <w:rPr>
          <w:rFonts w:ascii="宋体" w:hAnsi="宋体" w:cs="宋体"/>
          <w:b/>
          <w:bCs/>
          <w:szCs w:val="21"/>
        </w:rPr>
      </w:pPr>
      <w:r>
        <w:rPr>
          <w:rFonts w:ascii="宋体" w:hAnsi="宋体" w:cs="宋体" w:hint="eastAsia"/>
          <w:b/>
          <w:bCs/>
          <w:szCs w:val="21"/>
        </w:rPr>
        <w:t>第三部分、山地型智能化烟炉作业系统</w:t>
      </w:r>
    </w:p>
    <w:p>
      <w:pPr>
        <w:spacing w:line="360" w:lineRule="auto"/>
        <w:ind w:firstLine="420" w:firstLineChars="200"/>
        <w:rPr>
          <w:rFonts w:ascii="宋体" w:hAnsi="宋体" w:cs="宋体"/>
          <w:b/>
          <w:bCs/>
          <w:szCs w:val="21"/>
        </w:rPr>
      </w:pPr>
      <w:r>
        <w:rPr>
          <w:rFonts w:ascii="宋体" w:hAnsi="宋体" w:cs="宋体" w:hint="eastAsia"/>
          <w:b/>
          <w:bCs/>
          <w:szCs w:val="21"/>
        </w:rPr>
        <w:t>（1）建设内容</w:t>
      </w:r>
    </w:p>
    <w:p>
      <w:pPr>
        <w:spacing w:line="360" w:lineRule="auto"/>
        <w:ind w:firstLine="420" w:firstLineChars="200"/>
        <w:rPr>
          <w:rFonts w:ascii="宋体" w:hAnsi="宋体"/>
          <w:szCs w:val="21"/>
        </w:rPr>
      </w:pPr>
      <w:r>
        <w:rPr>
          <w:rFonts w:ascii="宋体" w:hAnsi="宋体" w:hint="eastAsia"/>
          <w:szCs w:val="21"/>
        </w:rPr>
        <w:t>新建15套山地型智能化烟炉作业系统，山地型智能化烟炉作业系统包含智能烟炉、集成多要素作业条件判别系统、烟炉作业安全监控终端，须支持冷暖云烟条，具备远程操控功能，作业状态实时监控、作业信息自动收集功能。配备集成式作业条件判别系统，实现对山地地形气象要素的自动感知、作业条件的自动判别，</w:t>
      </w:r>
      <w:r>
        <w:rPr>
          <w:rFonts w:ascii="宋体" w:hAnsi="宋体"/>
          <w:szCs w:val="21"/>
        </w:rPr>
        <w:t xml:space="preserve"> </w:t>
      </w:r>
      <w:r>
        <w:rPr>
          <w:rFonts w:ascii="宋体" w:hAnsi="宋体" w:hint="eastAsia"/>
          <w:szCs w:val="21"/>
        </w:rPr>
        <w:t>配备烟炉作业安全监控终端，自动采集信息上传到“天工”平台。</w:t>
      </w:r>
    </w:p>
    <w:p>
      <w:pPr>
        <w:spacing w:line="360" w:lineRule="auto"/>
        <w:ind w:firstLine="420" w:firstLineChars="200"/>
        <w:rPr>
          <w:rFonts w:ascii="宋体" w:hAnsi="宋体" w:cs="宋体"/>
          <w:b/>
          <w:bCs/>
          <w:szCs w:val="21"/>
        </w:rPr>
      </w:pPr>
      <w:r>
        <w:rPr>
          <w:rFonts w:ascii="宋体" w:hAnsi="宋体" w:cs="宋体" w:hint="eastAsia"/>
          <w:b/>
          <w:bCs/>
          <w:szCs w:val="21"/>
        </w:rPr>
        <w:t>（2）具体情况</w:t>
      </w:r>
    </w:p>
    <w:p>
      <w:pPr>
        <w:spacing w:line="360" w:lineRule="auto"/>
        <w:ind w:firstLine="420" w:firstLineChars="200"/>
        <w:rPr>
          <w:rFonts w:ascii="宋体" w:hAnsi="宋体"/>
          <w:szCs w:val="21"/>
        </w:rPr>
      </w:pPr>
      <w:r>
        <w:rPr>
          <w:rFonts w:ascii="宋体" w:hAnsi="宋体" w:hint="eastAsia"/>
          <w:szCs w:val="21"/>
        </w:rPr>
        <w:t>15套山地型智能化烟炉作业系统（智能烟炉、集成多要素作业条件判别系统、烟炉作业安全监控终端）分布于全省4个地市，详见下表：</w:t>
      </w:r>
    </w:p>
    <w:tbl>
      <w:tblPr>
        <w:tblStyle w:val="TableGrid"/>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102"/>
        <w:gridCol w:w="2159"/>
        <w:gridCol w:w="2159"/>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2102" w:type="dxa"/>
            <w:vAlign w:val="center"/>
          </w:tcPr>
          <w:p>
            <w:pPr>
              <w:spacing w:line="360" w:lineRule="auto"/>
              <w:jc w:val="center"/>
              <w:rPr>
                <w:rFonts w:ascii="宋体" w:hAnsi="宋体"/>
                <w:szCs w:val="21"/>
              </w:rPr>
            </w:pPr>
            <w:r>
              <w:rPr>
                <w:rFonts w:ascii="宋体" w:hAnsi="宋体" w:hint="eastAsia"/>
                <w:szCs w:val="21"/>
              </w:rPr>
              <w:t>序号</w:t>
            </w:r>
          </w:p>
        </w:tc>
        <w:tc>
          <w:tcPr>
            <w:tcW w:w="2159" w:type="dxa"/>
            <w:vAlign w:val="center"/>
          </w:tcPr>
          <w:p>
            <w:pPr>
              <w:spacing w:line="360" w:lineRule="auto"/>
              <w:jc w:val="center"/>
              <w:rPr>
                <w:rFonts w:ascii="宋体" w:hAnsi="宋体"/>
                <w:szCs w:val="21"/>
              </w:rPr>
            </w:pPr>
            <w:r>
              <w:rPr>
                <w:rFonts w:ascii="宋体" w:hAnsi="宋体" w:hint="eastAsia"/>
                <w:szCs w:val="21"/>
              </w:rPr>
              <w:t>所属地市</w:t>
            </w:r>
          </w:p>
        </w:tc>
        <w:tc>
          <w:tcPr>
            <w:tcW w:w="2159" w:type="dxa"/>
            <w:vAlign w:val="center"/>
          </w:tcPr>
          <w:p>
            <w:pPr>
              <w:spacing w:line="360" w:lineRule="auto"/>
              <w:jc w:val="center"/>
              <w:rPr>
                <w:rFonts w:ascii="宋体" w:hAnsi="宋体"/>
                <w:szCs w:val="21"/>
              </w:rPr>
            </w:pPr>
            <w:r>
              <w:rPr>
                <w:rFonts w:ascii="宋体" w:hAnsi="宋体" w:hint="eastAsia"/>
                <w:szCs w:val="21"/>
              </w:rPr>
              <w:t>套数</w:t>
            </w:r>
          </w:p>
        </w:tc>
      </w:tr>
      <w:tr>
        <w:tblPrEx>
          <w:tblW w:w="0" w:type="auto"/>
          <w:jc w:val="center"/>
          <w:tblCellMar>
            <w:top w:w="0" w:type="dxa"/>
            <w:left w:w="108" w:type="dxa"/>
            <w:bottom w:w="0" w:type="dxa"/>
            <w:right w:w="108" w:type="dxa"/>
          </w:tblCellMar>
        </w:tblPrEx>
        <w:trPr>
          <w:jc w:val="center"/>
        </w:trPr>
        <w:tc>
          <w:tcPr>
            <w:tcW w:w="2102" w:type="dxa"/>
            <w:vAlign w:val="center"/>
          </w:tcPr>
          <w:p>
            <w:pPr>
              <w:spacing w:line="360" w:lineRule="auto"/>
              <w:jc w:val="center"/>
              <w:rPr>
                <w:rFonts w:ascii="宋体" w:hAnsi="宋体"/>
                <w:szCs w:val="21"/>
              </w:rPr>
            </w:pPr>
            <w:r>
              <w:rPr>
                <w:rFonts w:ascii="宋体" w:hAnsi="宋体" w:hint="eastAsia"/>
                <w:szCs w:val="21"/>
              </w:rPr>
              <w:t>1</w:t>
            </w:r>
          </w:p>
        </w:tc>
        <w:tc>
          <w:tcPr>
            <w:tcW w:w="2159" w:type="dxa"/>
          </w:tcPr>
          <w:p>
            <w:pPr>
              <w:spacing w:line="360" w:lineRule="auto"/>
              <w:jc w:val="center"/>
              <w:rPr>
                <w:rFonts w:ascii="宋体" w:hAnsi="宋体"/>
                <w:szCs w:val="21"/>
              </w:rPr>
            </w:pPr>
            <w:r>
              <w:rPr>
                <w:rFonts w:hint="eastAsia"/>
                <w:szCs w:val="22"/>
              </w:rPr>
              <w:t>安阳</w:t>
            </w:r>
          </w:p>
        </w:tc>
        <w:tc>
          <w:tcPr>
            <w:tcW w:w="2159" w:type="dxa"/>
          </w:tcPr>
          <w:p>
            <w:pPr>
              <w:spacing w:line="360" w:lineRule="auto"/>
              <w:jc w:val="center"/>
              <w:rPr>
                <w:rFonts w:ascii="宋体" w:hAnsi="宋体"/>
                <w:szCs w:val="21"/>
              </w:rPr>
            </w:pPr>
            <w:r>
              <w:rPr>
                <w:szCs w:val="22"/>
              </w:rPr>
              <w:t>3</w:t>
            </w:r>
          </w:p>
        </w:tc>
      </w:tr>
      <w:tr>
        <w:tblPrEx>
          <w:tblW w:w="0" w:type="auto"/>
          <w:jc w:val="center"/>
          <w:tblCellMar>
            <w:top w:w="0" w:type="dxa"/>
            <w:left w:w="108" w:type="dxa"/>
            <w:bottom w:w="0" w:type="dxa"/>
            <w:right w:w="108" w:type="dxa"/>
          </w:tblCellMar>
        </w:tblPrEx>
        <w:trPr>
          <w:jc w:val="center"/>
        </w:trPr>
        <w:tc>
          <w:tcPr>
            <w:tcW w:w="2102" w:type="dxa"/>
            <w:vAlign w:val="center"/>
          </w:tcPr>
          <w:p>
            <w:pPr>
              <w:spacing w:line="360" w:lineRule="auto"/>
              <w:jc w:val="center"/>
              <w:rPr>
                <w:rFonts w:ascii="宋体" w:hAnsi="宋体"/>
                <w:szCs w:val="21"/>
              </w:rPr>
            </w:pPr>
            <w:r>
              <w:rPr>
                <w:rFonts w:ascii="宋体" w:hAnsi="宋体" w:hint="eastAsia"/>
                <w:szCs w:val="21"/>
              </w:rPr>
              <w:t>2</w:t>
            </w:r>
          </w:p>
        </w:tc>
        <w:tc>
          <w:tcPr>
            <w:tcW w:w="2159" w:type="dxa"/>
          </w:tcPr>
          <w:p>
            <w:pPr>
              <w:spacing w:line="360" w:lineRule="auto"/>
              <w:jc w:val="center"/>
              <w:rPr>
                <w:rFonts w:ascii="宋体" w:hAnsi="宋体"/>
                <w:szCs w:val="21"/>
              </w:rPr>
            </w:pPr>
            <w:r>
              <w:rPr>
                <w:rFonts w:hint="eastAsia"/>
                <w:szCs w:val="22"/>
              </w:rPr>
              <w:t>鹤壁</w:t>
            </w:r>
          </w:p>
        </w:tc>
        <w:tc>
          <w:tcPr>
            <w:tcW w:w="2159" w:type="dxa"/>
          </w:tcPr>
          <w:p>
            <w:pPr>
              <w:spacing w:line="360" w:lineRule="auto"/>
              <w:jc w:val="center"/>
              <w:rPr>
                <w:rFonts w:ascii="宋体" w:hAnsi="宋体"/>
                <w:szCs w:val="21"/>
              </w:rPr>
            </w:pPr>
            <w:r>
              <w:rPr>
                <w:szCs w:val="22"/>
              </w:rPr>
              <w:t>2</w:t>
            </w:r>
          </w:p>
        </w:tc>
      </w:tr>
      <w:tr>
        <w:tblPrEx>
          <w:tblW w:w="0" w:type="auto"/>
          <w:jc w:val="center"/>
          <w:tblCellMar>
            <w:top w:w="0" w:type="dxa"/>
            <w:left w:w="108" w:type="dxa"/>
            <w:bottom w:w="0" w:type="dxa"/>
            <w:right w:w="108" w:type="dxa"/>
          </w:tblCellMar>
        </w:tblPrEx>
        <w:trPr>
          <w:jc w:val="center"/>
        </w:trPr>
        <w:tc>
          <w:tcPr>
            <w:tcW w:w="2102" w:type="dxa"/>
            <w:vAlign w:val="center"/>
          </w:tcPr>
          <w:p>
            <w:pPr>
              <w:spacing w:line="360" w:lineRule="auto"/>
              <w:jc w:val="center"/>
              <w:rPr>
                <w:rFonts w:ascii="宋体" w:hAnsi="宋体"/>
                <w:szCs w:val="21"/>
              </w:rPr>
            </w:pPr>
            <w:r>
              <w:rPr>
                <w:rFonts w:ascii="宋体" w:hAnsi="宋体" w:hint="eastAsia"/>
                <w:szCs w:val="21"/>
              </w:rPr>
              <w:t>3</w:t>
            </w:r>
          </w:p>
        </w:tc>
        <w:tc>
          <w:tcPr>
            <w:tcW w:w="2159" w:type="dxa"/>
          </w:tcPr>
          <w:p>
            <w:pPr>
              <w:spacing w:line="360" w:lineRule="auto"/>
              <w:jc w:val="center"/>
              <w:rPr>
                <w:rFonts w:ascii="宋体" w:hAnsi="宋体"/>
                <w:szCs w:val="21"/>
              </w:rPr>
            </w:pPr>
            <w:r>
              <w:rPr>
                <w:rFonts w:hint="eastAsia"/>
                <w:szCs w:val="22"/>
              </w:rPr>
              <w:t>南阳</w:t>
            </w:r>
          </w:p>
        </w:tc>
        <w:tc>
          <w:tcPr>
            <w:tcW w:w="2159" w:type="dxa"/>
          </w:tcPr>
          <w:p>
            <w:pPr>
              <w:spacing w:line="360" w:lineRule="auto"/>
              <w:jc w:val="center"/>
              <w:rPr>
                <w:rFonts w:ascii="宋体" w:hAnsi="宋体"/>
                <w:szCs w:val="21"/>
              </w:rPr>
            </w:pPr>
            <w:r>
              <w:rPr>
                <w:szCs w:val="22"/>
              </w:rPr>
              <w:t>7</w:t>
            </w:r>
          </w:p>
        </w:tc>
      </w:tr>
      <w:tr>
        <w:tblPrEx>
          <w:tblW w:w="0" w:type="auto"/>
          <w:jc w:val="center"/>
          <w:tblCellMar>
            <w:top w:w="0" w:type="dxa"/>
            <w:left w:w="108" w:type="dxa"/>
            <w:bottom w:w="0" w:type="dxa"/>
            <w:right w:w="108" w:type="dxa"/>
          </w:tblCellMar>
        </w:tblPrEx>
        <w:trPr>
          <w:jc w:val="center"/>
        </w:trPr>
        <w:tc>
          <w:tcPr>
            <w:tcW w:w="2102" w:type="dxa"/>
            <w:vAlign w:val="center"/>
          </w:tcPr>
          <w:p>
            <w:pPr>
              <w:spacing w:line="360" w:lineRule="auto"/>
              <w:jc w:val="center"/>
              <w:rPr>
                <w:rFonts w:ascii="宋体" w:hAnsi="宋体"/>
                <w:szCs w:val="21"/>
              </w:rPr>
            </w:pPr>
            <w:r>
              <w:rPr>
                <w:rFonts w:ascii="宋体" w:hAnsi="宋体" w:hint="eastAsia"/>
                <w:szCs w:val="21"/>
              </w:rPr>
              <w:t>4</w:t>
            </w:r>
          </w:p>
        </w:tc>
        <w:tc>
          <w:tcPr>
            <w:tcW w:w="2159" w:type="dxa"/>
          </w:tcPr>
          <w:p>
            <w:pPr>
              <w:spacing w:line="360" w:lineRule="auto"/>
              <w:jc w:val="center"/>
              <w:rPr>
                <w:szCs w:val="22"/>
              </w:rPr>
            </w:pPr>
            <w:r>
              <w:rPr>
                <w:rFonts w:hint="eastAsia"/>
                <w:szCs w:val="22"/>
              </w:rPr>
              <w:t>信阳</w:t>
            </w:r>
          </w:p>
        </w:tc>
        <w:tc>
          <w:tcPr>
            <w:tcW w:w="2159" w:type="dxa"/>
          </w:tcPr>
          <w:p>
            <w:pPr>
              <w:spacing w:line="360" w:lineRule="auto"/>
              <w:jc w:val="center"/>
              <w:rPr>
                <w:rFonts w:ascii="宋体" w:hAnsi="宋体"/>
                <w:szCs w:val="21"/>
              </w:rPr>
            </w:pPr>
            <w:r>
              <w:rPr>
                <w:szCs w:val="22"/>
              </w:rPr>
              <w:t>3</w:t>
            </w:r>
          </w:p>
        </w:tc>
      </w:tr>
      <w:tr>
        <w:tblPrEx>
          <w:tblW w:w="0" w:type="auto"/>
          <w:jc w:val="center"/>
          <w:tblCellMar>
            <w:top w:w="0" w:type="dxa"/>
            <w:left w:w="108" w:type="dxa"/>
            <w:bottom w:w="0" w:type="dxa"/>
            <w:right w:w="108" w:type="dxa"/>
          </w:tblCellMar>
        </w:tblPrEx>
        <w:trPr>
          <w:jc w:val="center"/>
        </w:trPr>
        <w:tc>
          <w:tcPr>
            <w:tcW w:w="4261" w:type="dxa"/>
            <w:gridSpan w:val="2"/>
            <w:vAlign w:val="center"/>
          </w:tcPr>
          <w:p>
            <w:pPr>
              <w:spacing w:line="360" w:lineRule="auto"/>
              <w:jc w:val="center"/>
              <w:rPr>
                <w:szCs w:val="22"/>
              </w:rPr>
            </w:pPr>
            <w:r>
              <w:rPr>
                <w:rFonts w:ascii="宋体" w:hAnsi="宋体" w:hint="eastAsia"/>
                <w:szCs w:val="21"/>
              </w:rPr>
              <w:t>合计</w:t>
            </w:r>
          </w:p>
        </w:tc>
        <w:tc>
          <w:tcPr>
            <w:tcW w:w="2159" w:type="dxa"/>
          </w:tcPr>
          <w:p>
            <w:pPr>
              <w:spacing w:line="360" w:lineRule="auto"/>
              <w:jc w:val="center"/>
              <w:rPr>
                <w:szCs w:val="22"/>
              </w:rPr>
            </w:pPr>
            <w:r>
              <w:rPr>
                <w:rFonts w:hint="eastAsia"/>
                <w:szCs w:val="22"/>
              </w:rPr>
              <w:t>15</w:t>
            </w:r>
          </w:p>
        </w:tc>
      </w:tr>
    </w:tbl>
    <w:p>
      <w:pPr>
        <w:spacing w:line="360" w:lineRule="auto"/>
        <w:ind w:firstLine="420" w:firstLineChars="200"/>
        <w:rPr>
          <w:rFonts w:ascii="宋体" w:hAnsi="宋体" w:cs="宋体"/>
          <w:b/>
          <w:bCs/>
          <w:szCs w:val="21"/>
        </w:rPr>
      </w:pPr>
      <w:r>
        <w:rPr>
          <w:rFonts w:ascii="宋体" w:hAnsi="宋体" w:cs="宋体" w:hint="eastAsia"/>
          <w:b/>
          <w:bCs/>
          <w:szCs w:val="21"/>
        </w:rPr>
        <w:t>二、设备需求一览表（见第七章 采购需求 附表）</w:t>
      </w:r>
    </w:p>
    <w:p>
      <w:pPr>
        <w:spacing w:line="360" w:lineRule="auto"/>
        <w:ind w:firstLine="420" w:firstLineChars="200"/>
        <w:rPr>
          <w:rFonts w:ascii="宋体" w:hAnsi="宋体" w:cs="宋体"/>
          <w:b/>
          <w:bCs/>
          <w:szCs w:val="21"/>
        </w:rPr>
      </w:pPr>
      <w:r>
        <w:rPr>
          <w:rFonts w:ascii="宋体" w:hAnsi="宋体" w:cs="宋体" w:hint="eastAsia"/>
          <w:b/>
          <w:bCs/>
          <w:szCs w:val="21"/>
        </w:rPr>
        <w:t>三、技术性能指标</w:t>
      </w:r>
    </w:p>
    <w:p>
      <w:pPr>
        <w:spacing w:line="360" w:lineRule="auto"/>
        <w:ind w:firstLine="567" w:firstLineChars="270"/>
        <w:rPr>
          <w:rFonts w:ascii="宋体" w:hAnsi="宋体"/>
          <w:szCs w:val="21"/>
        </w:rPr>
      </w:pPr>
      <w:r>
        <w:rPr>
          <w:rFonts w:ascii="宋体" w:hAnsi="宋体" w:hint="eastAsia"/>
          <w:szCs w:val="21"/>
        </w:rPr>
        <w:t>注：#代表重要指标，不满足该指标扣分处理。</w:t>
      </w:r>
    </w:p>
    <w:p>
      <w:pPr>
        <w:spacing w:line="360" w:lineRule="auto"/>
        <w:ind w:firstLine="420" w:firstLineChars="200"/>
        <w:rPr>
          <w:rFonts w:ascii="宋体" w:hAnsi="宋体"/>
          <w:szCs w:val="21"/>
        </w:rPr>
      </w:pPr>
      <w:r>
        <w:rPr>
          <w:rFonts w:ascii="宋体" w:hAnsi="宋体" w:hint="eastAsia"/>
          <w:szCs w:val="21"/>
        </w:rPr>
        <w:t>投标人必须提供“重要指标”相关指标项的证明材料，证明材料按照文件要求提供，未提供有效证明材料或证明材料中内容与所填报指标不一致的，按指标不满足处理。（共30项#）</w:t>
      </w:r>
    </w:p>
    <w:p>
      <w:pPr>
        <w:spacing w:line="360" w:lineRule="auto"/>
        <w:ind w:firstLine="420" w:firstLineChars="200"/>
        <w:jc w:val="center"/>
        <w:rPr>
          <w:rFonts w:ascii="宋体" w:hAnsi="宋体"/>
          <w:szCs w:val="21"/>
        </w:rPr>
      </w:pPr>
      <w:r>
        <w:rPr>
          <w:rFonts w:ascii="宋体" w:hAnsi="宋体" w:hint="eastAsia"/>
          <w:szCs w:val="21"/>
        </w:rPr>
        <w:t>表1 烟炉作业安全监控终端技术性能指标表</w:t>
      </w:r>
    </w:p>
    <w:tbl>
      <w:tblPr>
        <w:tblStyle w:val="TableGrid"/>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704"/>
        <w:gridCol w:w="709"/>
        <w:gridCol w:w="4809"/>
        <w:gridCol w:w="2074"/>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704"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序号</w:t>
            </w:r>
          </w:p>
        </w:tc>
        <w:tc>
          <w:tcPr>
            <w:tcW w:w="70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货物名称</w:t>
            </w:r>
          </w:p>
        </w:tc>
        <w:tc>
          <w:tcPr>
            <w:tcW w:w="4809" w:type="dxa"/>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r>
              <w:rPr>
                <w:rFonts w:ascii="宋体" w:hAnsi="宋体" w:hint="eastAsia"/>
                <w:szCs w:val="21"/>
              </w:rPr>
              <w:t>指标需求</w:t>
            </w:r>
          </w:p>
        </w:tc>
        <w:tc>
          <w:tcPr>
            <w:tcW w:w="2074" w:type="dxa"/>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r>
              <w:rPr>
                <w:rFonts w:ascii="宋体" w:hAnsi="宋体" w:hint="eastAsia"/>
                <w:szCs w:val="21"/>
              </w:rPr>
              <w:t>重要程度</w:t>
            </w:r>
          </w:p>
        </w:tc>
      </w:tr>
      <w:tr>
        <w:tblPrEx>
          <w:tblW w:w="0" w:type="auto"/>
          <w:jc w:val="center"/>
          <w:tblCellMar>
            <w:top w:w="0" w:type="dxa"/>
            <w:left w:w="108" w:type="dxa"/>
            <w:bottom w:w="0" w:type="dxa"/>
            <w:right w:w="108" w:type="dxa"/>
          </w:tblCellMar>
        </w:tblPrEx>
        <w:trPr>
          <w:jc w:val="center"/>
        </w:trPr>
        <w:tc>
          <w:tcPr>
            <w:tcW w:w="704"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1</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烟炉作业安全监控终端</w:t>
            </w:r>
          </w:p>
        </w:tc>
        <w:tc>
          <w:tcPr>
            <w:tcW w:w="4809" w:type="dxa"/>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r>
              <w:rPr>
                <w:rFonts w:ascii="宋体" w:hAnsi="宋体" w:hint="eastAsia"/>
                <w:szCs w:val="21"/>
              </w:rPr>
              <w:t>实时自动采集烟炉作业信息；</w:t>
            </w:r>
          </w:p>
        </w:tc>
        <w:tc>
          <w:tcPr>
            <w:tcW w:w="2074" w:type="dxa"/>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r>
      <w:tr>
        <w:tblPrEx>
          <w:tblW w:w="0" w:type="auto"/>
          <w:jc w:val="center"/>
          <w:tblCellMar>
            <w:top w:w="0" w:type="dxa"/>
            <w:left w:w="108" w:type="dxa"/>
            <w:bottom w:w="0" w:type="dxa"/>
            <w:right w:w="108" w:type="dxa"/>
          </w:tblCellMar>
        </w:tblPrEx>
        <w:trPr>
          <w:jc w:val="center"/>
        </w:trPr>
        <w:tc>
          <w:tcPr>
            <w:tcW w:w="704"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2</w:t>
            </w:r>
          </w:p>
        </w:tc>
        <w:tc>
          <w:tcPr>
            <w:tcW w:w="70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4809" w:type="dxa"/>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r>
              <w:rPr>
                <w:rFonts w:ascii="宋体" w:hAnsi="宋体" w:hint="eastAsia"/>
                <w:szCs w:val="21"/>
              </w:rPr>
              <w:t>支持北斗三号区域短报文通信，通信等级5级（1000汉字）</w:t>
            </w:r>
          </w:p>
        </w:tc>
        <w:tc>
          <w:tcPr>
            <w:tcW w:w="2074" w:type="dxa"/>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r>
      <w:tr>
        <w:tblPrEx>
          <w:tblW w:w="0" w:type="auto"/>
          <w:jc w:val="center"/>
          <w:tblCellMar>
            <w:top w:w="0" w:type="dxa"/>
            <w:left w:w="108" w:type="dxa"/>
            <w:bottom w:w="0" w:type="dxa"/>
            <w:right w:w="108" w:type="dxa"/>
          </w:tblCellMar>
        </w:tblPrEx>
        <w:trPr>
          <w:jc w:val="center"/>
        </w:trPr>
        <w:tc>
          <w:tcPr>
            <w:tcW w:w="704"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3</w:t>
            </w:r>
          </w:p>
        </w:tc>
        <w:tc>
          <w:tcPr>
            <w:tcW w:w="70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4809" w:type="dxa"/>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r>
              <w:rPr>
                <w:rFonts w:ascii="宋体" w:hAnsi="宋体" w:hint="eastAsia"/>
                <w:szCs w:val="21"/>
              </w:rPr>
              <w:t>支持4G或5G全网通，Wi-Fi，有线通信</w:t>
            </w:r>
          </w:p>
        </w:tc>
        <w:tc>
          <w:tcPr>
            <w:tcW w:w="2074" w:type="dxa"/>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r>
      <w:tr>
        <w:tblPrEx>
          <w:tblW w:w="0" w:type="auto"/>
          <w:jc w:val="center"/>
          <w:tblCellMar>
            <w:top w:w="0" w:type="dxa"/>
            <w:left w:w="108" w:type="dxa"/>
            <w:bottom w:w="0" w:type="dxa"/>
            <w:right w:w="108" w:type="dxa"/>
          </w:tblCellMar>
        </w:tblPrEx>
        <w:trPr>
          <w:jc w:val="center"/>
        </w:trPr>
        <w:tc>
          <w:tcPr>
            <w:tcW w:w="704"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4</w:t>
            </w:r>
          </w:p>
        </w:tc>
        <w:tc>
          <w:tcPr>
            <w:tcW w:w="70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4809" w:type="dxa"/>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r>
              <w:rPr>
                <w:rFonts w:ascii="宋体" w:hAnsi="宋体" w:hint="eastAsia"/>
                <w:szCs w:val="21"/>
              </w:rPr>
              <w:t>支持芯片级国密加密，硬件芯片级认证加解密数据传输</w:t>
            </w:r>
          </w:p>
        </w:tc>
        <w:tc>
          <w:tcPr>
            <w:tcW w:w="2074" w:type="dxa"/>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r>
      <w:tr>
        <w:tblPrEx>
          <w:tblW w:w="0" w:type="auto"/>
          <w:jc w:val="center"/>
          <w:tblCellMar>
            <w:top w:w="0" w:type="dxa"/>
            <w:left w:w="108" w:type="dxa"/>
            <w:bottom w:w="0" w:type="dxa"/>
            <w:right w:w="108" w:type="dxa"/>
          </w:tblCellMar>
        </w:tblPrEx>
        <w:trPr>
          <w:jc w:val="center"/>
        </w:trPr>
        <w:tc>
          <w:tcPr>
            <w:tcW w:w="704"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5</w:t>
            </w:r>
          </w:p>
        </w:tc>
        <w:tc>
          <w:tcPr>
            <w:tcW w:w="70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4809" w:type="dxa"/>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r>
              <w:rPr>
                <w:rFonts w:ascii="宋体" w:hAnsi="宋体" w:hint="eastAsia"/>
                <w:szCs w:val="21"/>
              </w:rPr>
              <w:t>具备接收天工平台的加密作业指令，并支持烟炉作业信息自动采集并加密上传到“天工”平台；</w:t>
            </w:r>
          </w:p>
        </w:tc>
        <w:tc>
          <w:tcPr>
            <w:tcW w:w="2074" w:type="dxa"/>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r>
      <w:tr>
        <w:tblPrEx>
          <w:tblW w:w="0" w:type="auto"/>
          <w:jc w:val="center"/>
          <w:tblCellMar>
            <w:top w:w="0" w:type="dxa"/>
            <w:left w:w="108" w:type="dxa"/>
            <w:bottom w:w="0" w:type="dxa"/>
            <w:right w:w="108" w:type="dxa"/>
          </w:tblCellMar>
        </w:tblPrEx>
        <w:trPr>
          <w:jc w:val="center"/>
        </w:trPr>
        <w:tc>
          <w:tcPr>
            <w:tcW w:w="704"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6</w:t>
            </w:r>
          </w:p>
        </w:tc>
        <w:tc>
          <w:tcPr>
            <w:tcW w:w="70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4809" w:type="dxa"/>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r>
              <w:rPr>
                <w:rFonts w:ascii="宋体" w:hAnsi="宋体" w:hint="eastAsia"/>
                <w:szCs w:val="21"/>
              </w:rPr>
              <w:t>支持将集成多要素观测数据和视频监控数据传输到“天工”平台；</w:t>
            </w:r>
          </w:p>
        </w:tc>
        <w:tc>
          <w:tcPr>
            <w:tcW w:w="2074" w:type="dxa"/>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r>
      <w:tr>
        <w:tblPrEx>
          <w:tblW w:w="0" w:type="auto"/>
          <w:jc w:val="center"/>
          <w:tblCellMar>
            <w:top w:w="0" w:type="dxa"/>
            <w:left w:w="108" w:type="dxa"/>
            <w:bottom w:w="0" w:type="dxa"/>
            <w:right w:w="108" w:type="dxa"/>
          </w:tblCellMar>
        </w:tblPrEx>
        <w:trPr>
          <w:jc w:val="center"/>
        </w:trPr>
        <w:tc>
          <w:tcPr>
            <w:tcW w:w="704"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7</w:t>
            </w:r>
          </w:p>
        </w:tc>
        <w:tc>
          <w:tcPr>
            <w:tcW w:w="70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4809" w:type="dxa"/>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r>
              <w:rPr>
                <w:rFonts w:ascii="宋体" w:hAnsi="宋体" w:hint="eastAsia"/>
                <w:szCs w:val="21"/>
              </w:rPr>
              <w:t>防护等级IP67，环境适应满足烟炉作业点实地要求。</w:t>
            </w:r>
          </w:p>
        </w:tc>
        <w:tc>
          <w:tcPr>
            <w:tcW w:w="2074" w:type="dxa"/>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r>
    </w:tbl>
    <w:p>
      <w:pPr>
        <w:spacing w:line="360" w:lineRule="auto"/>
        <w:ind w:firstLine="420" w:firstLineChars="200"/>
        <w:jc w:val="center"/>
        <w:rPr>
          <w:rFonts w:ascii="宋体" w:hAnsi="宋体"/>
          <w:szCs w:val="21"/>
        </w:rPr>
      </w:pPr>
    </w:p>
    <w:p>
      <w:pPr>
        <w:spacing w:line="360" w:lineRule="auto"/>
        <w:ind w:firstLine="420" w:firstLineChars="200"/>
        <w:jc w:val="center"/>
        <w:rPr>
          <w:rFonts w:ascii="宋体" w:hAnsi="宋体"/>
          <w:szCs w:val="21"/>
        </w:rPr>
      </w:pPr>
      <w:r>
        <w:rPr>
          <w:rFonts w:ascii="宋体" w:hAnsi="宋体" w:hint="eastAsia"/>
          <w:szCs w:val="21"/>
        </w:rPr>
        <w:t>表2 平原型智能化烟炉性能指标表</w:t>
      </w:r>
    </w:p>
    <w:tbl>
      <w:tblPr>
        <w:tblStyle w:val="TableGrid"/>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58"/>
        <w:gridCol w:w="1106"/>
        <w:gridCol w:w="1139"/>
        <w:gridCol w:w="3812"/>
        <w:gridCol w:w="180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序号</w:t>
            </w:r>
          </w:p>
        </w:tc>
        <w:tc>
          <w:tcPr>
            <w:tcW w:w="1106" w:type="dxa"/>
            <w:tcBorders>
              <w:top w:val="single" w:sz="4" w:space="0" w:color="auto"/>
              <w:left w:val="single" w:sz="4" w:space="0" w:color="auto"/>
              <w:right w:val="single" w:sz="4" w:space="0" w:color="auto"/>
            </w:tcBorders>
          </w:tcPr>
          <w:p>
            <w:pPr>
              <w:spacing w:line="360" w:lineRule="auto"/>
              <w:rPr>
                <w:rFonts w:ascii="宋体" w:hAnsi="宋体"/>
                <w:szCs w:val="21"/>
              </w:rPr>
            </w:pPr>
            <w:r>
              <w:rPr>
                <w:rFonts w:ascii="宋体" w:hAnsi="宋体" w:hint="eastAsia"/>
                <w:szCs w:val="21"/>
              </w:rPr>
              <w:t>货物名称</w:t>
            </w:r>
          </w:p>
        </w:tc>
        <w:tc>
          <w:tcPr>
            <w:tcW w:w="1139"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组成部分</w:t>
            </w: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指标需求</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重要程度</w:t>
            </w: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1</w:t>
            </w:r>
          </w:p>
        </w:tc>
        <w:tc>
          <w:tcPr>
            <w:tcW w:w="1106" w:type="dxa"/>
            <w:vMerge w:val="restart"/>
            <w:tcBorders>
              <w:left w:val="single" w:sz="4" w:space="0" w:color="auto"/>
              <w:right w:val="single" w:sz="4" w:space="0" w:color="auto"/>
            </w:tcBorders>
            <w:vAlign w:val="center"/>
          </w:tcPr>
          <w:p>
            <w:pPr>
              <w:spacing w:line="360" w:lineRule="auto"/>
              <w:jc w:val="center"/>
              <w:rPr>
                <w:rFonts w:ascii="宋体" w:hAnsi="宋体"/>
                <w:szCs w:val="21"/>
              </w:rPr>
            </w:pPr>
            <w:r>
              <w:rPr>
                <w:rFonts w:ascii="宋体" w:hAnsi="宋体" w:hint="eastAsia"/>
                <w:szCs w:val="21"/>
              </w:rPr>
              <w:t>平原型智能化烟炉作业系统</w:t>
            </w:r>
          </w:p>
        </w:tc>
        <w:tc>
          <w:tcPr>
            <w:tcW w:w="1139" w:type="dxa"/>
            <w:vMerge w:val="restart"/>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智能烟炉</w:t>
            </w: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1）具备远程操控、作业状态判断监控、作业信息收集功能。</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2</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2）炉体材质：304不锈钢</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3</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3）远控方式：4G或北斗</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4</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4）烟条装载量：不小于48支</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5</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5）单次点火数量：≤3支</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w:t>
            </w: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6</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6）可适配烟条型号：兼容ZBZ-DFL系列、YD-1系列、60/700系列、DT-46系列、TDRZ-YT系列烟条，支持混装和同时点火使用</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w:t>
            </w: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7</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7）点火接口方式：兼容引线、环形电极</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w:t>
            </w:r>
          </w:p>
        </w:tc>
      </w:tr>
      <w:tr>
        <w:tblPrEx>
          <w:tblW w:w="0" w:type="auto"/>
          <w:tblInd w:w="0" w:type="dxa"/>
          <w:tblCellMar>
            <w:top w:w="0" w:type="dxa"/>
            <w:left w:w="108" w:type="dxa"/>
            <w:bottom w:w="0" w:type="dxa"/>
            <w:right w:w="108" w:type="dxa"/>
          </w:tblCellMar>
        </w:tblPrEx>
        <w:trPr>
          <w:trHeight w:val="475"/>
        </w:trPr>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8</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8）烟条隔离方式：双段复合陶瓷管结构</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9</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9）视频监控方式：</w:t>
            </w:r>
          </w:p>
          <w:p>
            <w:pPr>
              <w:spacing w:line="360" w:lineRule="auto"/>
              <w:ind w:firstLine="420" w:firstLineChars="200"/>
              <w:rPr>
                <w:rFonts w:ascii="宋体" w:hAnsi="宋体"/>
                <w:szCs w:val="21"/>
              </w:rPr>
            </w:pPr>
            <w:r>
              <w:rPr>
                <w:rFonts w:ascii="宋体" w:hAnsi="宋体" w:hint="eastAsia"/>
                <w:szCs w:val="21"/>
              </w:rPr>
              <w:t>机型：工业4G/5G网络球机</w:t>
            </w:r>
          </w:p>
          <w:p>
            <w:pPr>
              <w:spacing w:line="360" w:lineRule="auto"/>
              <w:ind w:firstLine="420" w:firstLineChars="200"/>
              <w:rPr>
                <w:rFonts w:ascii="宋体" w:hAnsi="宋体"/>
                <w:szCs w:val="21"/>
              </w:rPr>
            </w:pPr>
            <w:r>
              <w:rPr>
                <w:rFonts w:ascii="宋体" w:hAnsi="宋体" w:hint="eastAsia"/>
                <w:szCs w:val="21"/>
              </w:rPr>
              <w:t>分辨率：≥200W像素</w:t>
            </w:r>
          </w:p>
          <w:p>
            <w:pPr>
              <w:spacing w:line="360" w:lineRule="auto"/>
              <w:ind w:firstLine="420" w:firstLineChars="200"/>
              <w:rPr>
                <w:rFonts w:ascii="宋体" w:hAnsi="宋体"/>
                <w:szCs w:val="21"/>
              </w:rPr>
            </w:pPr>
            <w:r>
              <w:rPr>
                <w:rFonts w:ascii="宋体" w:hAnsi="宋体" w:hint="eastAsia"/>
                <w:szCs w:val="21"/>
              </w:rPr>
              <w:t>夜视：红外≥50m</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10</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10）抗风等级：8级</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11</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11）炉体寿命：&gt;5年</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12</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12）工作环境：</w:t>
            </w:r>
          </w:p>
          <w:p>
            <w:pPr>
              <w:spacing w:line="360" w:lineRule="auto"/>
              <w:ind w:firstLine="420" w:firstLineChars="200"/>
              <w:rPr>
                <w:rFonts w:ascii="宋体" w:hAnsi="宋体"/>
                <w:szCs w:val="21"/>
              </w:rPr>
            </w:pPr>
            <w:r>
              <w:rPr>
                <w:rFonts w:ascii="宋体" w:hAnsi="宋体" w:hint="eastAsia"/>
                <w:szCs w:val="21"/>
              </w:rPr>
              <w:t>工作温度：-40℃～+70℃</w:t>
            </w:r>
          </w:p>
          <w:p>
            <w:pPr>
              <w:spacing w:line="360" w:lineRule="auto"/>
              <w:ind w:firstLine="420" w:firstLineChars="200"/>
              <w:rPr>
                <w:rFonts w:ascii="宋体" w:hAnsi="宋体"/>
                <w:szCs w:val="21"/>
              </w:rPr>
            </w:pPr>
            <w:r>
              <w:rPr>
                <w:rFonts w:ascii="宋体" w:hAnsi="宋体" w:hint="eastAsia"/>
                <w:szCs w:val="21"/>
              </w:rPr>
              <w:t>工作湿度：RH 20%～100%</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13</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13）供电方式：太阳能供电</w:t>
            </w:r>
          </w:p>
          <w:p>
            <w:pPr>
              <w:spacing w:line="360" w:lineRule="auto"/>
              <w:ind w:firstLine="420" w:firstLineChars="200"/>
              <w:rPr>
                <w:rFonts w:ascii="宋体" w:hAnsi="宋体"/>
                <w:szCs w:val="21"/>
              </w:rPr>
            </w:pPr>
            <w:r>
              <w:rPr>
                <w:rFonts w:ascii="宋体" w:hAnsi="宋体" w:hint="eastAsia"/>
                <w:szCs w:val="21"/>
              </w:rPr>
              <w:t>电池能量：7个连续阴天可靠工作</w:t>
            </w:r>
          </w:p>
          <w:p>
            <w:pPr>
              <w:spacing w:line="360" w:lineRule="auto"/>
              <w:ind w:firstLine="420" w:firstLineChars="200"/>
              <w:rPr>
                <w:rFonts w:ascii="宋体" w:hAnsi="宋体"/>
                <w:szCs w:val="21"/>
              </w:rPr>
            </w:pPr>
            <w:r>
              <w:rPr>
                <w:rFonts w:ascii="宋体" w:hAnsi="宋体" w:hint="eastAsia"/>
                <w:szCs w:val="21"/>
              </w:rPr>
              <w:t>电池寿命：&gt;3年</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14</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val="restart"/>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集成多要素作业条件判别系统</w:t>
            </w: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具备实时测量的UVW三个维度的风向、风速，结合空气温度、湿度、天空云量、太阳辐射观测等数据，实时判别烟炉作业条件并上传到天工系统，</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15</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温度测量范围：-40℃～+70℃；</w:t>
            </w:r>
          </w:p>
          <w:p>
            <w:pPr>
              <w:spacing w:line="360" w:lineRule="auto"/>
              <w:ind w:firstLine="420" w:firstLineChars="200"/>
              <w:rPr>
                <w:rFonts w:ascii="宋体" w:hAnsi="宋体"/>
                <w:szCs w:val="21"/>
              </w:rPr>
            </w:pPr>
            <w:r>
              <w:rPr>
                <w:rFonts w:ascii="宋体" w:hAnsi="宋体" w:hint="eastAsia"/>
                <w:szCs w:val="21"/>
              </w:rPr>
              <w:t>（提供计量站或具有CMA或CNAS检验资质的权威机构出具的检查报告）</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w:t>
            </w: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16</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温度分辨率：0.1℃；</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17</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温度最大允许误差：±0.5℃；</w:t>
            </w:r>
          </w:p>
          <w:p>
            <w:pPr>
              <w:spacing w:line="360" w:lineRule="auto"/>
              <w:ind w:firstLine="420" w:firstLineChars="200"/>
              <w:rPr>
                <w:rFonts w:ascii="宋体" w:hAnsi="宋体"/>
                <w:szCs w:val="21"/>
              </w:rPr>
            </w:pPr>
            <w:r>
              <w:rPr>
                <w:rFonts w:ascii="宋体" w:hAnsi="宋体" w:hint="eastAsia"/>
                <w:szCs w:val="21"/>
              </w:rPr>
              <w:t>（提供计量站或具有CMA或CNAS检验资质的权威机构出具的检查报告）</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w:t>
            </w: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18</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湿度测量范围：0%RH~100%RH；</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19</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湿度分辨率：0.1%RH；</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20</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湿度最大允许误差：±5%</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21</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输出：矢量U、V、W，水平风向风速、垂直风向风速，UVW三方向测量中心点必须处于同一位置</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22</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风速测量范围:0~60m/s；</w:t>
            </w:r>
          </w:p>
          <w:p>
            <w:pPr>
              <w:spacing w:line="360" w:lineRule="auto"/>
              <w:ind w:firstLine="420" w:firstLineChars="200"/>
              <w:rPr>
                <w:rFonts w:ascii="宋体" w:hAnsi="宋体"/>
                <w:szCs w:val="21"/>
              </w:rPr>
            </w:pPr>
            <w:r>
              <w:rPr>
                <w:rFonts w:ascii="宋体" w:hAnsi="宋体" w:hint="eastAsia"/>
                <w:szCs w:val="21"/>
              </w:rPr>
              <w:t>（提供计量站或具有CMA或CNAS检验资质的权威机构出具的检查报告）</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w:t>
            </w: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23</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风速分辨率：0.1m/s；</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24</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风速最大允许误差：≤±3%(&gt;30m/s)≤±2%(≤30m/s)</w:t>
            </w:r>
          </w:p>
          <w:p>
            <w:pPr>
              <w:spacing w:line="360" w:lineRule="auto"/>
              <w:ind w:firstLine="420" w:firstLineChars="200"/>
              <w:rPr>
                <w:rFonts w:ascii="宋体" w:hAnsi="宋体"/>
                <w:szCs w:val="21"/>
              </w:rPr>
            </w:pPr>
            <w:r>
              <w:rPr>
                <w:rFonts w:ascii="宋体" w:hAnsi="宋体" w:hint="eastAsia"/>
                <w:szCs w:val="21"/>
              </w:rPr>
              <w:t>（提供计量站或具有CMA或CNAS检验资质的权威机构出具的检查报告）</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w:t>
            </w: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25</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风向水平测量范围:0~359°</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26</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风向垂直测量范围：0~180°；</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27</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风向分辨率：0.1°；</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28</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风向最大允许误差（精度）：±2%；</w:t>
            </w:r>
          </w:p>
          <w:p>
            <w:pPr>
              <w:spacing w:line="360" w:lineRule="auto"/>
              <w:ind w:firstLine="420" w:firstLineChars="200"/>
              <w:rPr>
                <w:rFonts w:ascii="宋体" w:hAnsi="宋体"/>
                <w:szCs w:val="21"/>
              </w:rPr>
            </w:pPr>
            <w:r>
              <w:rPr>
                <w:rFonts w:ascii="宋体" w:hAnsi="宋体" w:hint="eastAsia"/>
                <w:szCs w:val="21"/>
              </w:rPr>
              <w:t>（提供计量站或具有CMA或CNAS检验资质的权威机构出具的检查报告）</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w:t>
            </w: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29</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 xml:space="preserve">太阳辐射辐照度：0-4000W/㎡ </w:t>
            </w:r>
          </w:p>
          <w:p>
            <w:pPr>
              <w:spacing w:line="360" w:lineRule="auto"/>
              <w:ind w:firstLine="420" w:firstLineChars="200"/>
              <w:rPr>
                <w:rFonts w:ascii="宋体" w:hAnsi="宋体"/>
                <w:szCs w:val="21"/>
              </w:rPr>
            </w:pPr>
            <w:r>
              <w:rPr>
                <w:rFonts w:ascii="宋体" w:hAnsi="宋体" w:hint="eastAsia"/>
                <w:szCs w:val="21"/>
              </w:rPr>
              <w:t>（提供计量站或具有CMA或CNAS检验资质的权威机构出具的检查报告）</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w:t>
            </w: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30</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天空云量：测量范围:0-100%;</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31</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全天空成像仪数据输出：时间、总云量、薄云量、厚云量、云状；</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32</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视场角：≥160°；</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33</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全天空成像仪云量计算精度≤10%</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34</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全天空成像仪具备可见光云量分析功能</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35</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集成多要素作业条件判别系统具有计算大气稳定度功能：判别系统可通过气象数据计算大气稳定度，大气稳定度等级应符合原始帕斯奎尔稳定度分类或环境影响评价技术导则中计算大气稳定度法。A级：极不稳定，B级：不稳定，C级：弱不稳定，D级：中性，E级：弱稳定，F级：稳定。</w:t>
            </w:r>
          </w:p>
          <w:p>
            <w:pPr>
              <w:spacing w:line="360" w:lineRule="auto"/>
              <w:ind w:firstLine="420" w:firstLineChars="200"/>
              <w:rPr>
                <w:rFonts w:ascii="宋体" w:hAnsi="宋体"/>
                <w:szCs w:val="21"/>
              </w:rPr>
            </w:pPr>
            <w:r>
              <w:rPr>
                <w:rFonts w:ascii="宋体" w:hAnsi="宋体" w:hint="eastAsia"/>
                <w:szCs w:val="21"/>
              </w:rPr>
              <w:t>（提供计量站或具有CMA或CNAS检验资质的权威机构出具的检查报告）</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w:t>
            </w: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36</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集成多要素作业条件判别系统具备估算催化剂扩散高度功能：判别系统的算法可结合设定的参数和观测数据，具备估算云中冰核最佳浓度时催化剂扩散的最大高度功能。</w:t>
            </w:r>
          </w:p>
          <w:p>
            <w:pPr>
              <w:spacing w:line="360" w:lineRule="auto"/>
              <w:ind w:firstLine="420" w:firstLineChars="200"/>
              <w:rPr>
                <w:rFonts w:ascii="宋体" w:hAnsi="宋体"/>
                <w:szCs w:val="21"/>
              </w:rPr>
            </w:pPr>
            <w:r>
              <w:rPr>
                <w:rFonts w:ascii="宋体" w:hAnsi="宋体" w:hint="eastAsia"/>
                <w:szCs w:val="21"/>
              </w:rPr>
              <w:t>（提供计量站或具有CMA或CNAS检验资质的权威机构出具的检查报告）</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w:t>
            </w: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37</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集成多要素作业条件判别系统具备评估作业适宜度功能：判别系统拥有识别作业条件适宜度的算法模型，可输出作业条件适宜度等级，等级至少包含非常适宜、较适宜、适宜、适中、不适宜。</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38</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集成多要素作业条件判别系统平均故障间隔时间（MTBF）≥5000h</w:t>
            </w:r>
          </w:p>
          <w:p>
            <w:pPr>
              <w:spacing w:line="360" w:lineRule="auto"/>
              <w:ind w:firstLine="420" w:firstLineChars="200"/>
              <w:rPr>
                <w:rFonts w:ascii="宋体" w:hAnsi="宋体"/>
                <w:szCs w:val="21"/>
              </w:rPr>
            </w:pPr>
            <w:r>
              <w:rPr>
                <w:rFonts w:ascii="宋体" w:hAnsi="宋体" w:hint="eastAsia"/>
                <w:szCs w:val="21"/>
              </w:rPr>
              <w:t>（提供计量站或具有CMA或CNAS检验资质的权威机构出具的检查报告）</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w:t>
            </w: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39</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集成多要素作业条件判别系统平均故障修复时间（MTTR）≤1h</w:t>
            </w:r>
          </w:p>
          <w:p>
            <w:pPr>
              <w:spacing w:line="360" w:lineRule="auto"/>
              <w:ind w:firstLine="420" w:firstLineChars="200"/>
              <w:rPr>
                <w:rFonts w:ascii="宋体" w:hAnsi="宋体"/>
                <w:szCs w:val="21"/>
              </w:rPr>
            </w:pPr>
            <w:r>
              <w:rPr>
                <w:rFonts w:ascii="宋体" w:hAnsi="宋体" w:hint="eastAsia"/>
                <w:szCs w:val="21"/>
              </w:rPr>
              <w:t>（提供计量站或具有CMA或CNAS检验资质的权威机构出具的检查报告）</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w:t>
            </w: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40</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针对当地平原地形地貌提供专门的催化剂扩散最大高度、作业条件适宜度相关算法</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41</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集成多要素作业条件判别系统数据可上传智能烟炉，并可在烟炉软件平台中查看判别系统数据，并且可上传数据至天工平台</w:t>
            </w:r>
          </w:p>
          <w:p>
            <w:pPr>
              <w:spacing w:line="360" w:lineRule="auto"/>
              <w:ind w:firstLine="420" w:firstLineChars="200"/>
              <w:rPr>
                <w:rFonts w:ascii="宋体" w:hAnsi="宋体"/>
                <w:szCs w:val="21"/>
              </w:rPr>
            </w:pPr>
            <w:r>
              <w:rPr>
                <w:rFonts w:ascii="宋体" w:hAnsi="宋体" w:hint="eastAsia"/>
                <w:szCs w:val="21"/>
              </w:rPr>
              <w:t>（提供计量站或具有CMA或CNAS检验资质的权威机构出具的检查报告）</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w:t>
            </w: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42</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集成多要素作业条件判别系统满足盐雾环境使用要求</w:t>
            </w:r>
          </w:p>
          <w:p>
            <w:pPr>
              <w:spacing w:line="360" w:lineRule="auto"/>
              <w:ind w:firstLine="420" w:firstLineChars="200"/>
              <w:rPr>
                <w:rFonts w:ascii="宋体" w:hAnsi="宋体"/>
                <w:szCs w:val="21"/>
              </w:rPr>
            </w:pPr>
            <w:r>
              <w:rPr>
                <w:rFonts w:ascii="宋体" w:hAnsi="宋体" w:hint="eastAsia"/>
                <w:szCs w:val="21"/>
              </w:rPr>
              <w:t>（提供计量站或具有CMA或CNAS检验资质的权威机构出具的检查报告）</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w:t>
            </w: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43</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集成多要素作业条件判别系统防护等级达到IP66及以上。</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44</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val="restart"/>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烟炉作业安全监控终端</w:t>
            </w: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实时自动采集烟炉作业信息；</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45</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支持北斗三号区域短报文通信，通信等级5级（1000汉字）</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rPr>
          <w:trHeight w:val="422"/>
        </w:trPr>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46</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支持4G或5G全网通，Wi-Fi，有线通信</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47</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支持芯片级国密加密，硬件芯片级认证加解密数据传输</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48</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具备接收天工平台的加密作业指令，并支持烟炉作业信息自动采集并加密上传到“天工”平台；</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49</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支持将集成多要素观测数据和视频监控数据传输到“天工”平台；</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50</w:t>
            </w:r>
          </w:p>
        </w:tc>
        <w:tc>
          <w:tcPr>
            <w:tcW w:w="1106" w:type="dxa"/>
            <w:vMerge/>
            <w:tcBorders>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防护等级IP67，环境适应满足烟炉作业点实地要求。</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bl>
    <w:p>
      <w:pPr>
        <w:spacing w:line="360" w:lineRule="auto"/>
        <w:ind w:firstLine="420" w:firstLineChars="200"/>
        <w:rPr>
          <w:rFonts w:ascii="宋体" w:hAnsi="宋体"/>
          <w:szCs w:val="21"/>
        </w:rPr>
      </w:pPr>
    </w:p>
    <w:p>
      <w:pPr>
        <w:spacing w:line="360" w:lineRule="auto"/>
        <w:ind w:firstLine="420" w:firstLineChars="200"/>
        <w:jc w:val="center"/>
        <w:rPr>
          <w:rFonts w:ascii="宋体" w:hAnsi="宋体"/>
          <w:szCs w:val="21"/>
        </w:rPr>
      </w:pPr>
      <w:r>
        <w:rPr>
          <w:rFonts w:ascii="宋体" w:hAnsi="宋体" w:hint="eastAsia"/>
          <w:szCs w:val="21"/>
        </w:rPr>
        <w:t>表3 山地型智能化烟炉性能指标表</w:t>
      </w:r>
    </w:p>
    <w:tbl>
      <w:tblPr>
        <w:tblStyle w:val="TableGrid"/>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58"/>
        <w:gridCol w:w="1106"/>
        <w:gridCol w:w="1139"/>
        <w:gridCol w:w="3812"/>
        <w:gridCol w:w="180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序号</w:t>
            </w:r>
          </w:p>
        </w:tc>
        <w:tc>
          <w:tcPr>
            <w:tcW w:w="1106"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货物名称</w:t>
            </w:r>
          </w:p>
        </w:tc>
        <w:tc>
          <w:tcPr>
            <w:tcW w:w="1139"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货物名称</w:t>
            </w: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指标需求</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重要程度</w:t>
            </w: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1</w:t>
            </w:r>
          </w:p>
        </w:tc>
        <w:tc>
          <w:tcPr>
            <w:tcW w:w="1106" w:type="dxa"/>
            <w:vMerge w:val="restart"/>
            <w:tcBorders>
              <w:top w:val="single" w:sz="4" w:space="0" w:color="auto"/>
              <w:left w:val="single" w:sz="4" w:space="0" w:color="auto"/>
              <w:right w:val="single" w:sz="4" w:space="0" w:color="auto"/>
            </w:tcBorders>
            <w:vAlign w:val="center"/>
          </w:tcPr>
          <w:p>
            <w:pPr>
              <w:spacing w:line="360" w:lineRule="auto"/>
              <w:jc w:val="center"/>
              <w:rPr>
                <w:rFonts w:ascii="宋体" w:hAnsi="宋体"/>
                <w:szCs w:val="21"/>
              </w:rPr>
            </w:pPr>
            <w:r>
              <w:rPr>
                <w:rFonts w:ascii="宋体" w:hAnsi="宋体" w:hint="eastAsia"/>
                <w:szCs w:val="21"/>
              </w:rPr>
              <w:t>山地型智能化烟炉作业系统</w:t>
            </w:r>
          </w:p>
        </w:tc>
        <w:tc>
          <w:tcPr>
            <w:tcW w:w="1139" w:type="dxa"/>
            <w:vMerge w:val="restart"/>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智能烟炉</w:t>
            </w: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1）具备远程操控、作业状态判断监控、作业信息收集功能。</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2</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2）炉体材质：304不锈钢</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3</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3）远控方式：4G或北斗</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4</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4）烟条装载量：不小于48支</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5</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5）单次点火数量：≤3支</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w:t>
            </w: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6</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6）可适配烟条型号：兼容ZBZ-DFL系列、YD-1系列、60/700系列、DT-46系列、TDRZ-YT系列烟条，支持混装和同时点火使用</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w:t>
            </w: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7</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7）点火接口方式：兼容引线、环形电极</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w:t>
            </w:r>
          </w:p>
        </w:tc>
      </w:tr>
      <w:tr>
        <w:tblPrEx>
          <w:tblW w:w="0" w:type="auto"/>
          <w:tblInd w:w="0" w:type="dxa"/>
          <w:tblCellMar>
            <w:top w:w="0" w:type="dxa"/>
            <w:left w:w="108" w:type="dxa"/>
            <w:bottom w:w="0" w:type="dxa"/>
            <w:right w:w="108" w:type="dxa"/>
          </w:tblCellMar>
        </w:tblPrEx>
        <w:trPr>
          <w:trHeight w:val="475"/>
        </w:trPr>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8</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8）烟条隔离方式：双段复合陶瓷管结构</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9</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9）视频监控方式：</w:t>
            </w:r>
          </w:p>
          <w:p>
            <w:pPr>
              <w:spacing w:line="360" w:lineRule="auto"/>
              <w:ind w:firstLine="420" w:firstLineChars="200"/>
              <w:rPr>
                <w:rFonts w:ascii="宋体" w:hAnsi="宋体"/>
                <w:szCs w:val="21"/>
              </w:rPr>
            </w:pPr>
            <w:r>
              <w:rPr>
                <w:rFonts w:ascii="宋体" w:hAnsi="宋体" w:hint="eastAsia"/>
                <w:szCs w:val="21"/>
              </w:rPr>
              <w:t>机型：工业4G/5G网络球机</w:t>
            </w:r>
          </w:p>
          <w:p>
            <w:pPr>
              <w:spacing w:line="360" w:lineRule="auto"/>
              <w:ind w:firstLine="420" w:firstLineChars="200"/>
              <w:rPr>
                <w:rFonts w:ascii="宋体" w:hAnsi="宋体"/>
                <w:szCs w:val="21"/>
              </w:rPr>
            </w:pPr>
            <w:r>
              <w:rPr>
                <w:rFonts w:ascii="宋体" w:hAnsi="宋体" w:hint="eastAsia"/>
                <w:szCs w:val="21"/>
              </w:rPr>
              <w:t>分辨率：≥200W像素</w:t>
            </w:r>
          </w:p>
          <w:p>
            <w:pPr>
              <w:spacing w:line="360" w:lineRule="auto"/>
              <w:ind w:firstLine="420" w:firstLineChars="200"/>
              <w:rPr>
                <w:rFonts w:ascii="宋体" w:hAnsi="宋体"/>
                <w:szCs w:val="21"/>
              </w:rPr>
            </w:pPr>
            <w:r>
              <w:rPr>
                <w:rFonts w:ascii="宋体" w:hAnsi="宋体" w:hint="eastAsia"/>
                <w:szCs w:val="21"/>
              </w:rPr>
              <w:t>夜视：红外≥50m</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10</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10）抗风等级：8级</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11</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11）炉体寿命：&gt;5年</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12</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12）工作环境：</w:t>
            </w:r>
          </w:p>
          <w:p>
            <w:pPr>
              <w:spacing w:line="360" w:lineRule="auto"/>
              <w:ind w:firstLine="420" w:firstLineChars="200"/>
              <w:rPr>
                <w:rFonts w:ascii="宋体" w:hAnsi="宋体"/>
                <w:szCs w:val="21"/>
              </w:rPr>
            </w:pPr>
            <w:r>
              <w:rPr>
                <w:rFonts w:ascii="宋体" w:hAnsi="宋体" w:hint="eastAsia"/>
                <w:szCs w:val="21"/>
              </w:rPr>
              <w:t>工作温度：-40℃～+70℃</w:t>
            </w:r>
          </w:p>
          <w:p>
            <w:pPr>
              <w:spacing w:line="360" w:lineRule="auto"/>
              <w:ind w:firstLine="420" w:firstLineChars="200"/>
              <w:rPr>
                <w:rFonts w:ascii="宋体" w:hAnsi="宋体"/>
                <w:szCs w:val="21"/>
              </w:rPr>
            </w:pPr>
            <w:r>
              <w:rPr>
                <w:rFonts w:ascii="宋体" w:hAnsi="宋体" w:hint="eastAsia"/>
                <w:szCs w:val="21"/>
              </w:rPr>
              <w:t>工作湿度：RH 20%～100%</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13</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13）供电方式：太阳能供电</w:t>
            </w:r>
          </w:p>
          <w:p>
            <w:pPr>
              <w:spacing w:line="360" w:lineRule="auto"/>
              <w:ind w:firstLine="420" w:firstLineChars="200"/>
              <w:rPr>
                <w:rFonts w:ascii="宋体" w:hAnsi="宋体"/>
                <w:szCs w:val="21"/>
              </w:rPr>
            </w:pPr>
            <w:r>
              <w:rPr>
                <w:rFonts w:ascii="宋体" w:hAnsi="宋体" w:hint="eastAsia"/>
                <w:szCs w:val="21"/>
              </w:rPr>
              <w:t>电池能量：7个连续阴天可靠工作</w:t>
            </w:r>
          </w:p>
          <w:p>
            <w:pPr>
              <w:spacing w:line="360" w:lineRule="auto"/>
              <w:ind w:firstLine="420" w:firstLineChars="200"/>
              <w:rPr>
                <w:rFonts w:ascii="宋体" w:hAnsi="宋体"/>
                <w:szCs w:val="21"/>
              </w:rPr>
            </w:pPr>
            <w:r>
              <w:rPr>
                <w:rFonts w:ascii="宋体" w:hAnsi="宋体" w:hint="eastAsia"/>
                <w:szCs w:val="21"/>
              </w:rPr>
              <w:t>电池寿命：&gt;3年</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14</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val="restart"/>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集成多要素作业条件判别系统</w:t>
            </w: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具备实时测量的UVW三个维度的风向、风速，结合空气温度、湿度、天空云量、太阳辐射观测等数据，实时判别烟炉作业条件并上传到天工系统，</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15</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温度测量范围：-40℃～+70℃；</w:t>
            </w:r>
          </w:p>
          <w:p>
            <w:pPr>
              <w:spacing w:line="360" w:lineRule="auto"/>
              <w:ind w:firstLine="420" w:firstLineChars="200"/>
              <w:rPr>
                <w:rFonts w:ascii="宋体" w:hAnsi="宋体"/>
                <w:szCs w:val="21"/>
              </w:rPr>
            </w:pPr>
            <w:r>
              <w:rPr>
                <w:rFonts w:ascii="宋体" w:hAnsi="宋体" w:hint="eastAsia"/>
                <w:szCs w:val="21"/>
              </w:rPr>
              <w:t>（提供计量站或具有CMA或CNAS检验资质的权威机构出具的检查报告）</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w:t>
            </w: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16</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温度分辨率：0.1℃；</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17</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温度最大允许误差：±0.5℃；</w:t>
            </w:r>
          </w:p>
          <w:p>
            <w:pPr>
              <w:spacing w:line="360" w:lineRule="auto"/>
              <w:ind w:firstLine="420" w:firstLineChars="200"/>
              <w:rPr>
                <w:rFonts w:ascii="宋体" w:hAnsi="宋体"/>
                <w:szCs w:val="21"/>
              </w:rPr>
            </w:pPr>
            <w:r>
              <w:rPr>
                <w:rFonts w:ascii="宋体" w:hAnsi="宋体" w:hint="eastAsia"/>
                <w:szCs w:val="21"/>
              </w:rPr>
              <w:t>（提供计量站或具有CMA或CNAS检验资质的权威机构出具的检查报告）</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w:t>
            </w: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18</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湿度测量范围：0%RH~100%RH；</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19</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湿度分辨率：0.1%RH；</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20</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湿度最大允许误差：±5%</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21</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输出：矢量U、V、W，水平风向风速、垂直风向风速，UVW三方向测量中心点必须处于同一位置</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22</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风速测量范围:0~60m/s；</w:t>
            </w:r>
          </w:p>
          <w:p>
            <w:pPr>
              <w:spacing w:line="360" w:lineRule="auto"/>
              <w:ind w:firstLine="420" w:firstLineChars="200"/>
              <w:rPr>
                <w:rFonts w:ascii="宋体" w:hAnsi="宋体"/>
                <w:szCs w:val="21"/>
              </w:rPr>
            </w:pPr>
            <w:r>
              <w:rPr>
                <w:rFonts w:ascii="宋体" w:hAnsi="宋体" w:hint="eastAsia"/>
                <w:szCs w:val="21"/>
              </w:rPr>
              <w:t>（提供计量站或具有CMA或CNAS检验资质的权威机构出具的检查报告）</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w:t>
            </w: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23</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风速分辨率：0.1m/s；</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24</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风速最大允许误差：≤±3%(&gt;30m/s)≤±2%(≤30m/s)</w:t>
            </w:r>
          </w:p>
          <w:p>
            <w:pPr>
              <w:spacing w:line="360" w:lineRule="auto"/>
              <w:ind w:firstLine="420" w:firstLineChars="200"/>
              <w:rPr>
                <w:rFonts w:ascii="宋体" w:hAnsi="宋体"/>
                <w:szCs w:val="21"/>
              </w:rPr>
            </w:pPr>
            <w:r>
              <w:rPr>
                <w:rFonts w:ascii="宋体" w:hAnsi="宋体" w:hint="eastAsia"/>
                <w:szCs w:val="21"/>
              </w:rPr>
              <w:t>（提供计量站或具有CMA或CNAS检验资质的权威机构出具的检查报告）</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w:t>
            </w: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25</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风向水平测量范围:0~359°</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26</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风向垂直测量范围：0~180°；</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27</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风向分辨率：0.1°；</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28</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风向最大允许误差（精度）：±2%；</w:t>
            </w:r>
          </w:p>
          <w:p>
            <w:pPr>
              <w:spacing w:line="360" w:lineRule="auto"/>
              <w:ind w:firstLine="420" w:firstLineChars="200"/>
              <w:rPr>
                <w:rFonts w:ascii="宋体" w:hAnsi="宋体"/>
                <w:szCs w:val="21"/>
              </w:rPr>
            </w:pPr>
            <w:r>
              <w:rPr>
                <w:rFonts w:ascii="宋体" w:hAnsi="宋体" w:hint="eastAsia"/>
                <w:szCs w:val="21"/>
              </w:rPr>
              <w:t>（提供计量站或具有CMA或CNAS检验资质的权威机构出具的检查报告）</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w:t>
            </w: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29</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 xml:space="preserve">太阳辐射辐照度：0-4000W/㎡ </w:t>
            </w:r>
          </w:p>
          <w:p>
            <w:pPr>
              <w:spacing w:line="360" w:lineRule="auto"/>
              <w:ind w:firstLine="420" w:firstLineChars="200"/>
              <w:rPr>
                <w:rFonts w:ascii="宋体" w:hAnsi="宋体"/>
                <w:szCs w:val="21"/>
              </w:rPr>
            </w:pPr>
            <w:r>
              <w:rPr>
                <w:rFonts w:ascii="宋体" w:hAnsi="宋体" w:hint="eastAsia"/>
                <w:szCs w:val="21"/>
              </w:rPr>
              <w:t>（提供计量站或具有CMA或CNAS检验资质的权威机构出具的检查报告）</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w:t>
            </w: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30</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天空云量：测量范围:0-100%;</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31</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全天空成像仪数据输出：时间、总云量、薄云量、厚云量、云状；</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32</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视场角：≥160°；</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33</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全天空成像仪云量计算精度≤10%</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34</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全天空成像仪具备可见光云量分析功能</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35</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集成多要素作业条件判别系统具有计算大气稳定度功能：判别系统可通过气象数据计算大气稳定度，大气稳定度等级应符合原始帕斯奎尔稳定度分类或环境影响评价技术导则中计算大气稳定度法。A级：极不稳定，B级：不稳定，C级：弱不稳定，D级：中性，E级：弱稳定，F级：稳定。</w:t>
            </w:r>
          </w:p>
          <w:p>
            <w:pPr>
              <w:spacing w:line="360" w:lineRule="auto"/>
              <w:ind w:firstLine="420" w:firstLineChars="200"/>
              <w:rPr>
                <w:rFonts w:ascii="宋体" w:hAnsi="宋体"/>
                <w:szCs w:val="21"/>
              </w:rPr>
            </w:pPr>
            <w:r>
              <w:rPr>
                <w:rFonts w:ascii="宋体" w:hAnsi="宋体" w:hint="eastAsia"/>
                <w:szCs w:val="21"/>
              </w:rPr>
              <w:t>（提供计量站或具有CMA或CNAS检验资质的权威机构出具的检查报告）</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w:t>
            </w: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36</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集成多要素作业条件判别系统具备估算催化剂扩散高度功能：判别系统的算法可结合设定的参数和观测数据，具备估算云中冰核最佳浓度时催化剂扩散的最大高度功能。</w:t>
            </w:r>
          </w:p>
          <w:p>
            <w:pPr>
              <w:spacing w:line="360" w:lineRule="auto"/>
              <w:ind w:firstLine="420" w:firstLineChars="200"/>
              <w:rPr>
                <w:rFonts w:ascii="宋体" w:hAnsi="宋体"/>
                <w:szCs w:val="21"/>
              </w:rPr>
            </w:pPr>
            <w:r>
              <w:rPr>
                <w:rFonts w:ascii="宋体" w:hAnsi="宋体" w:hint="eastAsia"/>
                <w:szCs w:val="21"/>
              </w:rPr>
              <w:t>（提供计量站或具有CMA或CNAS检验资质的权威机构出具的检查报告）</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w:t>
            </w: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37</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集成多要素作业条件判别系统具备评估作业适宜度功能：判别系统拥有识别作业条件适宜度的算法模型，可输出作业条件适宜度等级，等级至少包含非常适宜、较适宜、适宜、适中、不适宜。</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38</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集成多要素作业条件判别系统平均故障间隔时间（MTBF）≥5000h</w:t>
            </w:r>
          </w:p>
          <w:p>
            <w:pPr>
              <w:spacing w:line="360" w:lineRule="auto"/>
              <w:ind w:firstLine="420" w:firstLineChars="200"/>
              <w:rPr>
                <w:rFonts w:ascii="宋体" w:hAnsi="宋体"/>
                <w:szCs w:val="21"/>
              </w:rPr>
            </w:pPr>
            <w:r>
              <w:rPr>
                <w:rFonts w:ascii="宋体" w:hAnsi="宋体" w:hint="eastAsia"/>
                <w:szCs w:val="21"/>
              </w:rPr>
              <w:t>（提供计量站或具有CMA或CNAS检验资质的权威机构出具的检查报告）</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w:t>
            </w: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39</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集成多要素作业条件判别系统平均故障修复时间（MTTR）≤1h</w:t>
            </w:r>
          </w:p>
          <w:p>
            <w:pPr>
              <w:spacing w:line="360" w:lineRule="auto"/>
              <w:ind w:firstLine="420" w:firstLineChars="200"/>
              <w:rPr>
                <w:rFonts w:ascii="宋体" w:hAnsi="宋体"/>
                <w:szCs w:val="21"/>
              </w:rPr>
            </w:pPr>
            <w:r>
              <w:rPr>
                <w:rFonts w:ascii="宋体" w:hAnsi="宋体" w:hint="eastAsia"/>
                <w:szCs w:val="21"/>
              </w:rPr>
              <w:t>（提供计量站或具有CMA或CNAS检验资质的权威机构出具的检查报告）</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w:t>
            </w: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40</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针对当地山地地形地貌提供专门的催化剂扩散最大高度、作业条件适宜度相关算法</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41</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集成多要素作业条件判别系统数据可上传智能烟炉，并可在烟炉软件平台中查看判别系统数据，并且可上传数据至天工平台</w:t>
            </w:r>
          </w:p>
          <w:p>
            <w:pPr>
              <w:spacing w:line="360" w:lineRule="auto"/>
              <w:ind w:firstLine="420" w:firstLineChars="200"/>
              <w:rPr>
                <w:rFonts w:ascii="宋体" w:hAnsi="宋体"/>
                <w:szCs w:val="21"/>
              </w:rPr>
            </w:pPr>
            <w:r>
              <w:rPr>
                <w:rFonts w:ascii="宋体" w:hAnsi="宋体" w:hint="eastAsia"/>
                <w:szCs w:val="21"/>
              </w:rPr>
              <w:t>（提供计量站或具有CMA或CNAS检验资质的权威机构出具的检查报告）</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w:t>
            </w: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42</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集成多要素作业条件判别系统满足盐雾环境使用要求</w:t>
            </w:r>
          </w:p>
          <w:p>
            <w:pPr>
              <w:spacing w:line="360" w:lineRule="auto"/>
              <w:ind w:firstLine="420" w:firstLineChars="200"/>
              <w:rPr>
                <w:rFonts w:ascii="宋体" w:hAnsi="宋体"/>
                <w:szCs w:val="21"/>
              </w:rPr>
            </w:pPr>
            <w:r>
              <w:rPr>
                <w:rFonts w:ascii="宋体" w:hAnsi="宋体" w:hint="eastAsia"/>
                <w:szCs w:val="21"/>
              </w:rPr>
              <w:t>（提供计量站或具有CMA或CNAS检验资质的权威机构出具的检查报告）</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w:t>
            </w: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43</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集成多要素作业条件判别系统防护等级达到IP66及以上。</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44</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val="restart"/>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烟炉作业安全监控终端</w:t>
            </w: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实时自动采集烟炉作业信息；</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45</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支持北斗三号区域短报文通信，通信等级5级（1000汉字）</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rPr>
          <w:trHeight w:val="422"/>
        </w:trPr>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46</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支持4G或5G全网通，Wi-Fi，有线通信</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47</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支持芯片级国密加密，硬件芯片级认证加解密数据传输</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48</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具备接收天工平台的加密作业指令，并支持烟炉作业信息自动采集并加密上传到“天工”平台；</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49</w:t>
            </w:r>
          </w:p>
        </w:tc>
        <w:tc>
          <w:tcPr>
            <w:tcW w:w="1106" w:type="dxa"/>
            <w:vMerge/>
            <w:tcBorders>
              <w:left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支持将集成多要素观测数据和视频监控数据传输到“天工”平台；</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r>
        <w:tblPrEx>
          <w:tblW w:w="0" w:type="auto"/>
          <w:tblInd w:w="0" w:type="dxa"/>
          <w:tblCellMar>
            <w:top w:w="0" w:type="dxa"/>
            <w:left w:w="108" w:type="dxa"/>
            <w:bottom w:w="0" w:type="dxa"/>
            <w:right w:w="108" w:type="dxa"/>
          </w:tblCellMar>
        </w:tblPrEx>
        <w:tc>
          <w:tcPr>
            <w:tcW w:w="658"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rPr>
            </w:pPr>
            <w:r>
              <w:rPr>
                <w:rFonts w:ascii="宋体" w:hAnsi="宋体" w:hint="eastAsia"/>
                <w:szCs w:val="21"/>
              </w:rPr>
              <w:t>50</w:t>
            </w:r>
          </w:p>
        </w:tc>
        <w:tc>
          <w:tcPr>
            <w:tcW w:w="1106" w:type="dxa"/>
            <w:vMerge/>
            <w:tcBorders>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c>
          <w:tcPr>
            <w:tcW w:w="1139" w:type="dxa"/>
            <w:vMerge/>
            <w:tcBorders>
              <w:top w:val="single" w:sz="4" w:space="0" w:color="auto"/>
              <w:left w:val="single" w:sz="4" w:space="0" w:color="auto"/>
              <w:bottom w:val="single" w:sz="4" w:space="0" w:color="auto"/>
              <w:right w:val="single" w:sz="4" w:space="0" w:color="auto"/>
            </w:tcBorders>
            <w:vAlign w:val="center"/>
          </w:tcPr>
          <w:p>
            <w:pPr>
              <w:spacing w:line="360" w:lineRule="auto"/>
              <w:ind w:firstLine="420" w:firstLineChars="200"/>
              <w:rPr>
                <w:rFonts w:ascii="宋体" w:hAnsi="宋体"/>
                <w:szCs w:val="21"/>
              </w:rPr>
            </w:pPr>
          </w:p>
        </w:tc>
        <w:tc>
          <w:tcPr>
            <w:tcW w:w="3812"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r>
              <w:rPr>
                <w:rFonts w:ascii="宋体" w:hAnsi="宋体" w:hint="eastAsia"/>
                <w:szCs w:val="21"/>
              </w:rPr>
              <w:t>防护等级IP67，环境适应满足烟炉作业点实地要求。</w:t>
            </w:r>
          </w:p>
        </w:tc>
        <w:tc>
          <w:tcPr>
            <w:tcW w:w="1807" w:type="dxa"/>
            <w:tcBorders>
              <w:top w:val="single" w:sz="4" w:space="0" w:color="auto"/>
              <w:left w:val="single" w:sz="4" w:space="0" w:color="auto"/>
              <w:bottom w:val="single" w:sz="4" w:space="0" w:color="auto"/>
              <w:right w:val="single" w:sz="4" w:space="0" w:color="auto"/>
            </w:tcBorders>
          </w:tcPr>
          <w:p>
            <w:pPr>
              <w:spacing w:line="360" w:lineRule="auto"/>
              <w:ind w:firstLine="420" w:firstLineChars="200"/>
              <w:rPr>
                <w:rFonts w:ascii="宋体" w:hAnsi="宋体"/>
                <w:szCs w:val="21"/>
              </w:rPr>
            </w:pPr>
          </w:p>
        </w:tc>
      </w:tr>
    </w:tbl>
    <w:p>
      <w:pPr>
        <w:spacing w:line="360" w:lineRule="auto"/>
        <w:rPr>
          <w:rFonts w:ascii="宋体" w:hAnsi="宋体"/>
          <w:szCs w:val="21"/>
        </w:rPr>
      </w:pPr>
    </w:p>
    <w:p>
      <w:pPr>
        <w:spacing w:line="360" w:lineRule="auto"/>
        <w:ind w:firstLine="420" w:firstLineChars="200"/>
        <w:rPr>
          <w:rFonts w:ascii="宋体" w:hAnsi="宋体"/>
          <w:b/>
          <w:color w:val="auto"/>
          <w:szCs w:val="21"/>
          <w:highlight w:val="none"/>
        </w:rPr>
      </w:pPr>
      <w:r>
        <w:rPr>
          <w:rFonts w:ascii="宋体" w:hAnsi="宋体" w:hint="eastAsia"/>
          <w:b/>
          <w:color w:val="auto"/>
          <w:szCs w:val="21"/>
          <w:highlight w:val="none"/>
        </w:rPr>
        <w:t>四、“天工”烟炉作业指挥组件要求</w:t>
      </w:r>
    </w:p>
    <w:p>
      <w:pPr>
        <w:spacing w:line="343" w:lineRule="auto"/>
        <w:ind w:firstLine="420" w:firstLineChars="200"/>
        <w:rPr>
          <w:rFonts w:ascii="宋体" w:hAnsi="宋体"/>
          <w:color w:val="auto"/>
          <w:szCs w:val="21"/>
          <w:highlight w:val="none"/>
        </w:rPr>
      </w:pPr>
      <w:r>
        <w:rPr>
          <w:rFonts w:ascii="宋体" w:hAnsi="宋体" w:cs="仿宋"/>
          <w:color w:val="auto"/>
          <w:spacing w:val="-2"/>
          <w:szCs w:val="21"/>
          <w:highlight w:val="none"/>
        </w:rPr>
        <w:t>按天工组件化开发规范开发“天工</w:t>
      </w:r>
      <w:r>
        <w:rPr>
          <w:rFonts w:ascii="宋体" w:hAnsi="宋体" w:cs="仿宋"/>
          <w:color w:val="auto"/>
          <w:spacing w:val="-98"/>
          <w:szCs w:val="21"/>
          <w:highlight w:val="none"/>
        </w:rPr>
        <w:t xml:space="preserve"> </w:t>
      </w:r>
      <w:r>
        <w:rPr>
          <w:rFonts w:ascii="宋体" w:hAnsi="宋体" w:cs="仿宋"/>
          <w:color w:val="auto"/>
          <w:spacing w:val="-2"/>
          <w:szCs w:val="21"/>
          <w:highlight w:val="none"/>
        </w:rPr>
        <w:t>”烟炉作业指挥组件，兼容和</w:t>
      </w:r>
      <w:r>
        <w:rPr>
          <w:rFonts w:ascii="宋体" w:hAnsi="宋体" w:cs="仿宋"/>
          <w:color w:val="auto"/>
          <w:szCs w:val="21"/>
          <w:highlight w:val="none"/>
        </w:rPr>
        <w:t xml:space="preserve"> </w:t>
      </w:r>
      <w:r>
        <w:rPr>
          <w:rFonts w:ascii="宋体" w:hAnsi="宋体" w:cs="仿宋"/>
          <w:color w:val="auto"/>
          <w:spacing w:val="3"/>
          <w:szCs w:val="21"/>
          <w:highlight w:val="none"/>
        </w:rPr>
        <w:t>对接本次升级改造的烟炉和新建智能</w:t>
      </w:r>
      <w:r>
        <w:rPr>
          <w:rFonts w:ascii="宋体" w:hAnsi="宋体" w:cs="仿宋"/>
          <w:color w:val="auto"/>
          <w:spacing w:val="2"/>
          <w:szCs w:val="21"/>
          <w:highlight w:val="none"/>
        </w:rPr>
        <w:t>化地面烟炉，接入</w:t>
      </w:r>
      <w:r>
        <w:rPr>
          <w:rFonts w:ascii="宋体" w:hAnsi="宋体" w:cs="仿宋" w:hint="eastAsia"/>
          <w:color w:val="auto"/>
          <w:spacing w:val="-3"/>
          <w:szCs w:val="21"/>
          <w:highlight w:val="none"/>
        </w:rPr>
        <w:t>集成多要素作业条件判别系统</w:t>
      </w:r>
      <w:r>
        <w:rPr>
          <w:rFonts w:ascii="宋体" w:hAnsi="宋体" w:cs="仿宋"/>
          <w:color w:val="auto"/>
          <w:spacing w:val="-3"/>
          <w:szCs w:val="21"/>
          <w:highlight w:val="none"/>
        </w:rPr>
        <w:t>，实现作业条</w:t>
      </w:r>
      <w:r>
        <w:rPr>
          <w:rFonts w:ascii="宋体" w:hAnsi="宋体" w:cs="仿宋"/>
          <w:color w:val="auto"/>
          <w:spacing w:val="-4"/>
          <w:szCs w:val="21"/>
          <w:highlight w:val="none"/>
        </w:rPr>
        <w:t>件判别算法，</w:t>
      </w:r>
      <w:r>
        <w:rPr>
          <w:rFonts w:ascii="宋体" w:hAnsi="宋体" w:cs="仿宋"/>
          <w:color w:val="auto"/>
          <w:spacing w:val="-1"/>
          <w:szCs w:val="21"/>
          <w:highlight w:val="none"/>
        </w:rPr>
        <w:t>实现地图展示、作业指挥、监测分析、烟炉监控、系统配置管理等功能</w:t>
      </w:r>
      <w:r>
        <w:rPr>
          <w:rFonts w:ascii="宋体" w:hAnsi="宋体" w:cs="仿宋" w:hint="eastAsia"/>
          <w:color w:val="auto"/>
          <w:spacing w:val="-1"/>
          <w:szCs w:val="21"/>
          <w:highlight w:val="none"/>
        </w:rPr>
        <w:t>；</w:t>
      </w:r>
      <w:r>
        <w:rPr>
          <w:rFonts w:ascii="宋体" w:hAnsi="宋体" w:cs="仿宋"/>
          <w:color w:val="auto"/>
          <w:spacing w:val="-1"/>
          <w:szCs w:val="21"/>
          <w:highlight w:val="none"/>
        </w:rPr>
        <w:t>在作业完成后根据作业信息和观测资料进行快速效果评估，提供基于天工平台的人影地面增雨烟炉智能化作业指挥业务。通过地理信息平台接入</w:t>
      </w:r>
      <w:r>
        <w:rPr>
          <w:rFonts w:ascii="宋体" w:hAnsi="宋体" w:cs="仿宋" w:hint="eastAsia"/>
          <w:color w:val="auto"/>
          <w:spacing w:val="-1"/>
          <w:szCs w:val="21"/>
          <w:highlight w:val="none"/>
        </w:rPr>
        <w:t>气象网络中的国家标准坐标系</w:t>
      </w:r>
      <w:r>
        <w:rPr>
          <w:rFonts w:ascii="宋体" w:hAnsi="宋体" w:cs="仿宋"/>
          <w:color w:val="auto"/>
          <w:spacing w:val="-3"/>
          <w:szCs w:val="21"/>
          <w:highlight w:val="none"/>
        </w:rPr>
        <w:t>卫星影像</w:t>
      </w:r>
      <w:r>
        <w:rPr>
          <w:rFonts w:ascii="宋体" w:hAnsi="宋体" w:cs="仿宋" w:hint="eastAsia"/>
          <w:color w:val="auto"/>
          <w:spacing w:val="-3"/>
          <w:szCs w:val="21"/>
          <w:highlight w:val="none"/>
        </w:rPr>
        <w:t>地</w:t>
      </w:r>
      <w:r>
        <w:rPr>
          <w:rFonts w:ascii="宋体" w:hAnsi="宋体" w:cs="仿宋"/>
          <w:color w:val="auto"/>
          <w:spacing w:val="-3"/>
          <w:szCs w:val="21"/>
          <w:highlight w:val="none"/>
        </w:rPr>
        <w:t>图展示烟炉作业点信息。通过地图画面点选地</w:t>
      </w:r>
      <w:r>
        <w:rPr>
          <w:rFonts w:ascii="宋体" w:hAnsi="宋体" w:cs="仿宋"/>
          <w:color w:val="auto"/>
          <w:spacing w:val="-4"/>
          <w:szCs w:val="21"/>
          <w:highlight w:val="none"/>
        </w:rPr>
        <w:t>图烟炉图标，</w:t>
      </w:r>
      <w:r>
        <w:rPr>
          <w:rFonts w:ascii="宋体" w:hAnsi="宋体" w:cs="仿宋"/>
          <w:color w:val="auto"/>
          <w:spacing w:val="-1"/>
          <w:szCs w:val="21"/>
          <w:highlight w:val="none"/>
        </w:rPr>
        <w:t>可以查看、查询、控制烟炉。</w:t>
      </w:r>
    </w:p>
    <w:p>
      <w:pPr>
        <w:spacing w:line="360" w:lineRule="auto"/>
        <w:ind w:firstLine="420" w:firstLineChars="200"/>
        <w:rPr>
          <w:rFonts w:ascii="宋体" w:hAnsi="宋体"/>
          <w:b/>
          <w:color w:val="auto"/>
          <w:szCs w:val="21"/>
          <w:highlight w:val="none"/>
        </w:rPr>
      </w:pPr>
      <w:r>
        <w:rPr>
          <w:rFonts w:ascii="宋体" w:hAnsi="宋体" w:hint="eastAsia"/>
          <w:b/>
          <w:color w:val="auto"/>
          <w:szCs w:val="21"/>
          <w:highlight w:val="none"/>
        </w:rPr>
        <w:t>五、供货要求</w:t>
      </w:r>
    </w:p>
    <w:p>
      <w:pPr>
        <w:spacing w:line="360" w:lineRule="auto"/>
        <w:ind w:firstLine="420" w:firstLineChars="200"/>
        <w:rPr>
          <w:rFonts w:ascii="宋体" w:hAnsi="宋体"/>
          <w:color w:val="auto"/>
          <w:szCs w:val="21"/>
          <w:highlight w:val="none"/>
        </w:rPr>
      </w:pPr>
      <w:r>
        <w:rPr>
          <w:rFonts w:ascii="宋体" w:hAnsi="宋体" w:hint="eastAsia"/>
          <w:color w:val="auto"/>
          <w:szCs w:val="21"/>
          <w:highlight w:val="none"/>
        </w:rPr>
        <w:t>（1）包装：应按相关包装规范或者其他相关规定进行包装。</w:t>
      </w:r>
    </w:p>
    <w:p>
      <w:pPr>
        <w:spacing w:line="360" w:lineRule="auto"/>
        <w:ind w:firstLine="420" w:firstLineChars="200"/>
        <w:rPr>
          <w:rFonts w:ascii="宋体" w:hAnsi="宋体"/>
          <w:color w:val="auto"/>
          <w:szCs w:val="21"/>
          <w:highlight w:val="none"/>
        </w:rPr>
      </w:pPr>
      <w:r>
        <w:rPr>
          <w:rFonts w:ascii="宋体" w:hAnsi="宋体" w:hint="eastAsia"/>
          <w:color w:val="auto"/>
          <w:szCs w:val="21"/>
          <w:highlight w:val="none"/>
        </w:rPr>
        <w:t>（2）运输：出厂验收合格后，中标单位负责将产品运输到用户指定的地点，运输过程应当遵守国家有关管理的法律、法规。</w:t>
      </w:r>
    </w:p>
    <w:p>
      <w:pPr>
        <w:spacing w:line="360" w:lineRule="auto"/>
        <w:ind w:firstLine="420" w:firstLineChars="200"/>
        <w:rPr>
          <w:rFonts w:ascii="宋体" w:hAnsi="宋体"/>
          <w:b/>
          <w:color w:val="auto"/>
          <w:szCs w:val="21"/>
          <w:highlight w:val="none"/>
        </w:rPr>
      </w:pPr>
      <w:r>
        <w:rPr>
          <w:rFonts w:ascii="宋体" w:hAnsi="宋体" w:hint="eastAsia"/>
          <w:color w:val="auto"/>
          <w:szCs w:val="21"/>
          <w:highlight w:val="none"/>
        </w:rPr>
        <w:t>（</w:t>
      </w:r>
      <w:r>
        <w:rPr>
          <w:rFonts w:ascii="宋体" w:hAnsi="宋体"/>
          <w:color w:val="auto"/>
          <w:szCs w:val="21"/>
          <w:highlight w:val="none"/>
        </w:rPr>
        <w:t>3</w:t>
      </w:r>
      <w:r>
        <w:rPr>
          <w:rFonts w:ascii="宋体" w:hAnsi="宋体" w:hint="eastAsia"/>
          <w:color w:val="auto"/>
          <w:szCs w:val="21"/>
          <w:highlight w:val="none"/>
        </w:rPr>
        <w:t>）交货期</w:t>
      </w:r>
      <w:r>
        <w:rPr>
          <w:rFonts w:ascii="宋体" w:hAnsi="宋体"/>
          <w:color w:val="auto"/>
          <w:szCs w:val="21"/>
          <w:highlight w:val="none"/>
        </w:rPr>
        <w:t>：</w:t>
      </w:r>
      <w:r>
        <w:rPr>
          <w:rFonts w:ascii="微软雅黑" w:eastAsia="微软雅黑" w:hAnsi="微软雅黑" w:hint="eastAsia"/>
          <w:color w:val="auto"/>
          <w:szCs w:val="21"/>
          <w:highlight w:val="none"/>
          <w:shd w:val="clear" w:color="auto" w:fill="FFFFFF"/>
        </w:rPr>
        <w:t>合同签订后240天内交货、完成安装调试并具备验收条件。</w:t>
      </w:r>
    </w:p>
    <w:p>
      <w:pPr>
        <w:spacing w:line="360" w:lineRule="auto"/>
        <w:ind w:firstLine="420" w:firstLineChars="200"/>
        <w:rPr>
          <w:rFonts w:ascii="宋体" w:hAnsi="宋体"/>
          <w:b/>
          <w:color w:val="auto"/>
          <w:szCs w:val="21"/>
          <w:highlight w:val="none"/>
        </w:rPr>
      </w:pPr>
      <w:r>
        <w:rPr>
          <w:rFonts w:ascii="宋体" w:hAnsi="宋体" w:hint="eastAsia"/>
          <w:b/>
          <w:color w:val="auto"/>
          <w:szCs w:val="21"/>
          <w:highlight w:val="none"/>
        </w:rPr>
        <w:t>六、合同验收要求</w:t>
      </w:r>
    </w:p>
    <w:p>
      <w:pPr>
        <w:spacing w:line="360" w:lineRule="auto"/>
        <w:ind w:firstLine="420" w:firstLineChars="200"/>
        <w:rPr>
          <w:rFonts w:ascii="宋体" w:hAnsi="宋体"/>
          <w:color w:val="auto"/>
          <w:szCs w:val="21"/>
          <w:highlight w:val="none"/>
        </w:rPr>
      </w:pPr>
      <w:r>
        <w:rPr>
          <w:rFonts w:ascii="宋体" w:hAnsi="宋体" w:hint="eastAsia"/>
          <w:color w:val="auto"/>
          <w:szCs w:val="21"/>
          <w:highlight w:val="none"/>
        </w:rPr>
        <w:t>验收内容：确保升级后和新建的烟炉实现对周边气象要素的自动感知、作业条件的自动判别、作业自动启停，实现自动采集、记录、存储、作业状态、接收作业指令、上报作业信息及补传作业信息到“天工”平台，提高烟炉作业的精准性和科学性。具体验收测试按合同附表执行，所有验收项均测试合格方可通过合同验收。</w:t>
      </w:r>
    </w:p>
    <w:p>
      <w:pPr>
        <w:spacing w:line="360" w:lineRule="auto"/>
        <w:ind w:firstLine="420" w:firstLineChars="200"/>
        <w:rPr>
          <w:rFonts w:ascii="宋体" w:hAnsi="宋体"/>
          <w:b/>
          <w:color w:val="auto"/>
          <w:szCs w:val="21"/>
          <w:highlight w:val="none"/>
        </w:rPr>
      </w:pPr>
      <w:r>
        <w:rPr>
          <w:rFonts w:ascii="宋体" w:hAnsi="宋体" w:hint="eastAsia"/>
          <w:b/>
          <w:color w:val="auto"/>
          <w:szCs w:val="21"/>
          <w:highlight w:val="none"/>
        </w:rPr>
        <w:t>七、培训要求；</w:t>
      </w:r>
    </w:p>
    <w:p>
      <w:pPr>
        <w:spacing w:line="360" w:lineRule="auto"/>
        <w:ind w:firstLine="420" w:firstLineChars="200"/>
        <w:rPr>
          <w:rFonts w:ascii="宋体" w:hAnsi="宋体"/>
          <w:color w:val="auto"/>
          <w:szCs w:val="21"/>
          <w:highlight w:val="none"/>
        </w:rPr>
      </w:pPr>
      <w:r>
        <w:rPr>
          <w:rFonts w:ascii="宋体" w:hAnsi="宋体" w:hint="eastAsia"/>
          <w:color w:val="auto"/>
          <w:szCs w:val="21"/>
          <w:highlight w:val="none"/>
        </w:rPr>
        <w:t>（1）培训以产品操作使用说明书和软件手册为教材，分使用方法、操作程序、简易故障排除、保管保养方法以及使用注意事项等内容进行现场培训。</w:t>
      </w:r>
    </w:p>
    <w:p>
      <w:pPr>
        <w:spacing w:line="360" w:lineRule="auto"/>
        <w:ind w:firstLine="420" w:firstLineChars="200"/>
        <w:rPr>
          <w:rFonts w:ascii="宋体" w:hAnsi="宋体"/>
          <w:color w:val="auto"/>
          <w:szCs w:val="21"/>
          <w:highlight w:val="none"/>
        </w:rPr>
      </w:pPr>
      <w:r>
        <w:rPr>
          <w:rFonts w:ascii="宋体" w:hAnsi="宋体" w:hint="eastAsia"/>
          <w:color w:val="auto"/>
          <w:szCs w:val="21"/>
          <w:highlight w:val="none"/>
        </w:rPr>
        <w:t>（2）安装完成后，在现场对指定的操作人员在操作、保养和维护方面进行培训，培训时间不少于10个小时。</w:t>
      </w:r>
    </w:p>
    <w:p>
      <w:pPr>
        <w:spacing w:line="360" w:lineRule="auto"/>
        <w:ind w:firstLine="420" w:firstLineChars="200"/>
        <w:rPr>
          <w:rFonts w:ascii="宋体" w:hAnsi="宋体"/>
          <w:color w:val="auto"/>
          <w:szCs w:val="21"/>
          <w:highlight w:val="none"/>
        </w:rPr>
      </w:pPr>
      <w:r>
        <w:rPr>
          <w:rFonts w:ascii="宋体" w:hAnsi="宋体" w:hint="eastAsia"/>
          <w:color w:val="auto"/>
          <w:szCs w:val="21"/>
          <w:highlight w:val="none"/>
        </w:rPr>
        <w:t>（3）以市辖区为单位，确保各市人影指挥人员和烟炉作业人员掌握设备和系统的功能和操作，对设备和系统进行正常的日常维护，排除一般技术故障。</w:t>
      </w:r>
    </w:p>
    <w:p>
      <w:pPr>
        <w:spacing w:line="360" w:lineRule="auto"/>
        <w:ind w:firstLine="420" w:firstLineChars="200"/>
        <w:rPr>
          <w:rFonts w:ascii="宋体" w:hAnsi="宋体"/>
          <w:b/>
          <w:color w:val="auto"/>
          <w:szCs w:val="21"/>
          <w:highlight w:val="none"/>
        </w:rPr>
      </w:pPr>
      <w:r>
        <w:rPr>
          <w:rFonts w:ascii="宋体" w:hAnsi="宋体" w:hint="eastAsia"/>
          <w:b/>
          <w:color w:val="auto"/>
          <w:szCs w:val="21"/>
          <w:highlight w:val="none"/>
        </w:rPr>
        <w:t>八、售后服务要求</w:t>
      </w:r>
    </w:p>
    <w:p>
      <w:pPr>
        <w:spacing w:line="360" w:lineRule="auto"/>
        <w:ind w:firstLine="420" w:firstLineChars="200"/>
        <w:rPr>
          <w:rFonts w:ascii="宋体" w:hAnsi="宋体"/>
          <w:color w:val="auto"/>
          <w:szCs w:val="21"/>
          <w:highlight w:val="none"/>
        </w:rPr>
      </w:pPr>
      <w:r>
        <w:rPr>
          <w:rFonts w:ascii="宋体" w:hAnsi="宋体" w:hint="eastAsia"/>
          <w:color w:val="auto"/>
          <w:szCs w:val="21"/>
          <w:highlight w:val="none"/>
        </w:rPr>
        <w:t>（1）供应商应具备完善的售后服务体系，在保修期以及保修期外为用户提供广泛、及时的技术支持与售后服务，保修期为自项目验收之日起计算，质保期8年；</w:t>
      </w:r>
    </w:p>
    <w:p>
      <w:pPr>
        <w:spacing w:line="360" w:lineRule="auto"/>
        <w:ind w:firstLine="420" w:firstLineChars="200"/>
        <w:rPr>
          <w:rFonts w:ascii="宋体" w:hAnsi="宋体"/>
          <w:color w:val="auto"/>
          <w:szCs w:val="21"/>
          <w:highlight w:val="none"/>
        </w:rPr>
      </w:pPr>
      <w:r>
        <w:rPr>
          <w:rFonts w:ascii="宋体" w:hAnsi="宋体" w:hint="eastAsia"/>
          <w:color w:val="auto"/>
          <w:szCs w:val="21"/>
          <w:highlight w:val="none"/>
        </w:rPr>
        <w:t>（2）供应商应提供7*24小时的不间断电话热线服务，如确需上门服务的，在接到问题报告后48小时内派技术人员到达现场；</w:t>
      </w:r>
    </w:p>
    <w:p>
      <w:r>
        <w:rPr>
          <w:rFonts w:ascii="宋体" w:hAnsi="宋体" w:hint="eastAsia"/>
          <w:color w:val="auto"/>
          <w:szCs w:val="21"/>
          <w:highlight w:val="none"/>
        </w:rPr>
        <w:t>（3）售后服务内容包括但不限于日常</w:t>
      </w:r>
      <w:r>
        <w:rPr>
          <w:rFonts w:ascii="宋体" w:hAnsi="宋体" w:hint="eastAsia"/>
          <w:color w:val="auto"/>
          <w:szCs w:val="21"/>
          <w:highlight w:val="none"/>
        </w:rPr>
        <w:t>技术咨询、设备使用咨询、设备故障解决、备件更换、软件使用咨询等。</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56"/>
        <w:gridCol w:w="1916"/>
        <w:gridCol w:w="1076"/>
        <w:gridCol w:w="1496"/>
        <w:gridCol w:w="1706"/>
        <w:gridCol w:w="1076"/>
        <w:gridCol w:w="636"/>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烟炉作业监控终端</w:t>
            </w:r>
          </w:p>
        </w:tc>
        <w:tc>
          <w:tcPr/>
          <w:p>
            <w:pPr>
              <w:autoSpaceDE w:val="0"/>
              <w:jc w:val="center"/>
              <w:rPr>
                <w:rFonts w:asciiTheme="minorEastAsia" w:hAnsiTheme="minorEastAsia" w:cstheme="minorEastAsia"/>
                <w:kern w:val="0"/>
                <w:szCs w:val="21"/>
              </w:rPr>
            </w:pPr>
            <w:r>
              <w:t>67</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663,300.00</w:t>
            </w:r>
          </w:p>
        </w:tc>
        <w:tc>
          <w:tcPr/>
          <w:p>
            <w:pPr>
              <w:autoSpaceDE w:val="0"/>
              <w:jc w:val="center"/>
              <w:rPr>
                <w:rFonts w:asciiTheme="minorEastAsia" w:hAnsiTheme="minorEastAsia" w:cstheme="minorEastAsia" w:hint="eastAsia"/>
                <w:kern w:val="0"/>
                <w:szCs w:val="21"/>
              </w:rPr>
            </w:pPr>
            <w:r>
              <w:t>240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平原型智能化烟炉</w:t>
            </w:r>
          </w:p>
        </w:tc>
        <w:tc>
          <w:tcPr/>
          <w:p>
            <w:pPr>
              <w:autoSpaceDE w:val="0"/>
              <w:jc w:val="center"/>
              <w:rPr>
                <w:rFonts w:asciiTheme="minorEastAsia" w:hAnsiTheme="minorEastAsia" w:cstheme="minorEastAsia"/>
                <w:kern w:val="0"/>
                <w:szCs w:val="21"/>
              </w:rPr>
            </w:pPr>
            <w:r>
              <w:t>20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7,904,000.00</w:t>
            </w:r>
          </w:p>
        </w:tc>
        <w:tc>
          <w:tcPr/>
          <w:p>
            <w:pPr>
              <w:autoSpaceDE w:val="0"/>
              <w:jc w:val="center"/>
              <w:rPr>
                <w:rFonts w:asciiTheme="minorEastAsia" w:hAnsiTheme="minorEastAsia" w:cstheme="minorEastAsia" w:hint="eastAsia"/>
                <w:kern w:val="0"/>
                <w:szCs w:val="21"/>
              </w:rPr>
            </w:pPr>
            <w:r>
              <w:t>240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山地型智能化烟炉</w:t>
            </w:r>
          </w:p>
        </w:tc>
        <w:tc>
          <w:tcPr/>
          <w:p>
            <w:pPr>
              <w:autoSpaceDE w:val="0"/>
              <w:jc w:val="center"/>
              <w:rPr>
                <w:rFonts w:asciiTheme="minorEastAsia" w:hAnsiTheme="minorEastAsia" w:cstheme="minorEastAsia"/>
                <w:kern w:val="0"/>
                <w:szCs w:val="21"/>
              </w:rPr>
            </w:pPr>
            <w:r>
              <w:t>15</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5,928,000.00</w:t>
            </w:r>
          </w:p>
        </w:tc>
        <w:tc>
          <w:tcPr/>
          <w:p>
            <w:pPr>
              <w:autoSpaceDE w:val="0"/>
              <w:jc w:val="center"/>
              <w:rPr>
                <w:rFonts w:asciiTheme="minorEastAsia" w:hAnsiTheme="minorEastAsia" w:cstheme="minorEastAsia" w:hint="eastAsia"/>
                <w:kern w:val="0"/>
                <w:szCs w:val="21"/>
              </w:rPr>
            </w:pPr>
            <w:r>
              <w:t>240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14,495,300.00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19"/>
        <w:gridCol w:w="2429"/>
        <w:gridCol w:w="1516"/>
        <w:gridCol w:w="519"/>
        <w:gridCol w:w="1183"/>
        <w:gridCol w:w="986"/>
        <w:gridCol w:w="851"/>
        <w:gridCol w:w="51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郑州市局(001046023)</w:t>
            </w:r>
          </w:p>
        </w:tc>
        <w:tc>
          <w:tcPr/>
          <w:p>
            <w:r>
              <w:t>平原型智能化烟炉</w:t>
            </w:r>
          </w:p>
        </w:tc>
        <w:tc>
          <w:tcPr/>
          <w:p>
            <w:r>
              <w:t>7</w:t>
            </w:r>
          </w:p>
        </w:tc>
        <w:tc>
          <w:tcPr/>
          <w:p>
            <w:r>
              <w:t>2766400.00</w:t>
            </w:r>
          </w:p>
        </w:tc>
        <w:tc>
          <w:tcPr>
            <w:vMerge w:val="restart"/>
          </w:tcPr>
          <w:p>
            <w:r>
              <w:t xml:space="preserve">3122800.00  </w:t>
            </w:r>
          </w:p>
        </w:tc>
        <w:tc>
          <w:tcPr/>
          <w:p>
            <w:r>
              <w:t>郑州</w:t>
            </w:r>
          </w:p>
        </w:tc>
        <w:tc>
          <w:tcPr/>
          <w:p/>
        </w:tc>
      </w:tr>
      <w:tr>
        <w:tblPrEx>
          <w:tblW w:w="5000" w:type="pct"/>
          <w:tblCellMar>
            <w:left w:w="108" w:type="dxa"/>
            <w:right w:w="108" w:type="dxa"/>
          </w:tblCellMar>
        </w:tblPrEx>
        <w:tc>
          <w:tcPr/>
          <w:p>
            <w:r>
              <w:t>2</w:t>
            </w:r>
          </w:p>
        </w:tc>
        <w:tc>
          <w:tcPr>
            <w:vMerge/>
          </w:tcPr>
          <w:p>
            <w:r>
              <w:t>郑州市局(001046023)</w:t>
            </w:r>
          </w:p>
        </w:tc>
        <w:tc>
          <w:tcPr/>
          <w:p>
            <w:r>
              <w:t>烟炉作业监控终端</w:t>
            </w:r>
          </w:p>
        </w:tc>
        <w:tc>
          <w:tcPr/>
          <w:p>
            <w:r>
              <w:t>36</w:t>
            </w:r>
          </w:p>
        </w:tc>
        <w:tc>
          <w:tcPr/>
          <w:p>
            <w:r>
              <w:t>356400.00</w:t>
            </w:r>
          </w:p>
        </w:tc>
        <w:tc>
          <w:tcPr>
            <w:vMerge/>
          </w:tcPr>
          <w:p>
            <w:r>
              <w:t xml:space="preserve">3122800.00  </w:t>
            </w:r>
          </w:p>
        </w:tc>
        <w:tc>
          <w:tcPr/>
          <w:p>
            <w:r>
              <w:t>郑州</w:t>
            </w:r>
          </w:p>
        </w:tc>
        <w:tc>
          <w:tcPr/>
          <w:p/>
        </w:tc>
      </w:tr>
      <w:tr>
        <w:tblPrEx>
          <w:tblW w:w="5000" w:type="pct"/>
          <w:tblCellMar>
            <w:left w:w="108" w:type="dxa"/>
            <w:right w:w="108" w:type="dxa"/>
          </w:tblCellMar>
        </w:tblPrEx>
        <w:tc>
          <w:tcPr/>
          <w:p>
            <w:r>
              <w:t>3</w:t>
            </w:r>
          </w:p>
        </w:tc>
        <w:tc>
          <w:tcPr>
            <w:vMerge w:val="restart"/>
          </w:tcPr>
          <w:p>
            <w:r>
              <w:t>洛阳市局(001046025)</w:t>
            </w:r>
          </w:p>
        </w:tc>
        <w:tc>
          <w:tcPr/>
          <w:p>
            <w:r>
              <w:t>平原型智能化烟炉</w:t>
            </w:r>
          </w:p>
        </w:tc>
        <w:tc>
          <w:tcPr/>
          <w:p>
            <w:r>
              <w:t>2</w:t>
            </w:r>
          </w:p>
        </w:tc>
        <w:tc>
          <w:tcPr/>
          <w:p>
            <w:r>
              <w:t>790400.00</w:t>
            </w:r>
          </w:p>
        </w:tc>
        <w:tc>
          <w:tcPr>
            <w:vMerge w:val="restart"/>
          </w:tcPr>
          <w:p>
            <w:r>
              <w:t xml:space="preserve">810200.00 </w:t>
            </w:r>
          </w:p>
        </w:tc>
        <w:tc>
          <w:tcPr/>
          <w:p>
            <w:r>
              <w:t>洛阳</w:t>
            </w:r>
          </w:p>
        </w:tc>
        <w:tc>
          <w:tcPr/>
          <w:p/>
        </w:tc>
      </w:tr>
      <w:tr>
        <w:tblPrEx>
          <w:tblW w:w="5000" w:type="pct"/>
          <w:tblCellMar>
            <w:left w:w="108" w:type="dxa"/>
            <w:right w:w="108" w:type="dxa"/>
          </w:tblCellMar>
        </w:tblPrEx>
        <w:tc>
          <w:tcPr/>
          <w:p>
            <w:r>
              <w:t>4</w:t>
            </w:r>
          </w:p>
        </w:tc>
        <w:tc>
          <w:tcPr>
            <w:vMerge/>
          </w:tcPr>
          <w:p>
            <w:r>
              <w:t>洛阳市局(001046025)</w:t>
            </w:r>
          </w:p>
        </w:tc>
        <w:tc>
          <w:tcPr/>
          <w:p>
            <w:r>
              <w:t>烟炉作业监控终端</w:t>
            </w:r>
          </w:p>
        </w:tc>
        <w:tc>
          <w:tcPr/>
          <w:p>
            <w:r>
              <w:t>2</w:t>
            </w:r>
          </w:p>
        </w:tc>
        <w:tc>
          <w:tcPr/>
          <w:p>
            <w:r>
              <w:t>19800.00</w:t>
            </w:r>
          </w:p>
        </w:tc>
        <w:tc>
          <w:tcPr>
            <w:vMerge/>
          </w:tcPr>
          <w:p>
            <w:r>
              <w:t xml:space="preserve">810200.00 </w:t>
            </w:r>
          </w:p>
        </w:tc>
        <w:tc>
          <w:tcPr/>
          <w:p>
            <w:r>
              <w:t>洛阳</w:t>
            </w:r>
          </w:p>
        </w:tc>
        <w:tc>
          <w:tcPr/>
          <w:p/>
        </w:tc>
      </w:tr>
      <w:tr>
        <w:tblPrEx>
          <w:tblW w:w="5000" w:type="pct"/>
          <w:tblCellMar>
            <w:left w:w="108" w:type="dxa"/>
            <w:right w:w="108" w:type="dxa"/>
          </w:tblCellMar>
        </w:tblPrEx>
        <w:tc>
          <w:tcPr/>
          <w:p>
            <w:r>
              <w:t>5</w:t>
            </w:r>
          </w:p>
        </w:tc>
        <w:tc>
          <w:tcPr>
            <w:vMerge w:val="restart"/>
          </w:tcPr>
          <w:p>
            <w:r>
              <w:t>平顶山市局(001046026)</w:t>
            </w:r>
          </w:p>
        </w:tc>
        <w:tc>
          <w:tcPr/>
          <w:p>
            <w:r>
              <w:t>平原型智能化烟炉</w:t>
            </w:r>
          </w:p>
        </w:tc>
        <w:tc>
          <w:tcPr/>
          <w:p>
            <w:r>
              <w:t>4</w:t>
            </w:r>
          </w:p>
        </w:tc>
        <w:tc>
          <w:tcPr/>
          <w:p>
            <w:r>
              <w:t>1580800.00</w:t>
            </w:r>
          </w:p>
        </w:tc>
        <w:tc>
          <w:tcPr>
            <w:vMerge w:val="restart"/>
          </w:tcPr>
          <w:p>
            <w:r>
              <w:t xml:space="preserve">1610500.00  </w:t>
            </w:r>
          </w:p>
        </w:tc>
        <w:tc>
          <w:tcPr/>
          <w:p>
            <w:r>
              <w:t>平顶山</w:t>
            </w:r>
          </w:p>
        </w:tc>
        <w:tc>
          <w:tcPr/>
          <w:p/>
        </w:tc>
      </w:tr>
      <w:tr>
        <w:tblPrEx>
          <w:tblW w:w="5000" w:type="pct"/>
          <w:tblCellMar>
            <w:left w:w="108" w:type="dxa"/>
            <w:right w:w="108" w:type="dxa"/>
          </w:tblCellMar>
        </w:tblPrEx>
        <w:tc>
          <w:tcPr/>
          <w:p>
            <w:r>
              <w:t>6</w:t>
            </w:r>
          </w:p>
        </w:tc>
        <w:tc>
          <w:tcPr>
            <w:vMerge/>
          </w:tcPr>
          <w:p>
            <w:r>
              <w:t>平顶山市局(001046026)</w:t>
            </w:r>
          </w:p>
        </w:tc>
        <w:tc>
          <w:tcPr/>
          <w:p>
            <w:r>
              <w:t>烟炉作业监控终端</w:t>
            </w:r>
          </w:p>
        </w:tc>
        <w:tc>
          <w:tcPr/>
          <w:p>
            <w:r>
              <w:t>3</w:t>
            </w:r>
          </w:p>
        </w:tc>
        <w:tc>
          <w:tcPr/>
          <w:p>
            <w:r>
              <w:t>29700.00</w:t>
            </w:r>
          </w:p>
        </w:tc>
        <w:tc>
          <w:tcPr>
            <w:vMerge/>
          </w:tcPr>
          <w:p>
            <w:r>
              <w:t xml:space="preserve">1610500.00  </w:t>
            </w:r>
          </w:p>
        </w:tc>
        <w:tc>
          <w:tcPr/>
          <w:p>
            <w:r>
              <w:t>平顶山</w:t>
            </w:r>
          </w:p>
        </w:tc>
        <w:tc>
          <w:tcPr/>
          <w:p/>
        </w:tc>
      </w:tr>
      <w:tr>
        <w:tblPrEx>
          <w:tblW w:w="5000" w:type="pct"/>
          <w:tblCellMar>
            <w:left w:w="108" w:type="dxa"/>
            <w:right w:w="108" w:type="dxa"/>
          </w:tblCellMar>
        </w:tblPrEx>
        <w:tc>
          <w:tcPr/>
          <w:p>
            <w:r>
              <w:t>7</w:t>
            </w:r>
          </w:p>
        </w:tc>
        <w:tc>
          <w:tcPr>
            <w:vMerge w:val="restart"/>
          </w:tcPr>
          <w:p>
            <w:r>
              <w:t>安阳市局(001046027)</w:t>
            </w:r>
          </w:p>
        </w:tc>
        <w:tc>
          <w:tcPr/>
          <w:p>
            <w:r>
              <w:t>山地型智能化烟炉</w:t>
            </w:r>
          </w:p>
        </w:tc>
        <w:tc>
          <w:tcPr/>
          <w:p>
            <w:r>
              <w:t>3</w:t>
            </w:r>
          </w:p>
        </w:tc>
        <w:tc>
          <w:tcPr/>
          <w:p>
            <w:r>
              <w:t>1185600.00</w:t>
            </w:r>
          </w:p>
        </w:tc>
        <w:tc>
          <w:tcPr>
            <w:vMerge w:val="restart"/>
          </w:tcPr>
          <w:p>
            <w:r>
              <w:t xml:space="preserve">1235100.00 </w:t>
            </w:r>
          </w:p>
        </w:tc>
        <w:tc>
          <w:tcPr/>
          <w:p>
            <w:r>
              <w:t>安阳</w:t>
            </w:r>
          </w:p>
        </w:tc>
        <w:tc>
          <w:tcPr/>
          <w:p/>
        </w:tc>
      </w:tr>
      <w:tr>
        <w:tblPrEx>
          <w:tblW w:w="5000" w:type="pct"/>
          <w:tblCellMar>
            <w:left w:w="108" w:type="dxa"/>
            <w:right w:w="108" w:type="dxa"/>
          </w:tblCellMar>
        </w:tblPrEx>
        <w:tc>
          <w:tcPr/>
          <w:p>
            <w:r>
              <w:t>8</w:t>
            </w:r>
          </w:p>
        </w:tc>
        <w:tc>
          <w:tcPr>
            <w:vMerge/>
          </w:tcPr>
          <w:p>
            <w:r>
              <w:t>安阳市局(001046027)</w:t>
            </w:r>
          </w:p>
        </w:tc>
        <w:tc>
          <w:tcPr/>
          <w:p>
            <w:r>
              <w:t>烟炉作业监控终端</w:t>
            </w:r>
          </w:p>
        </w:tc>
        <w:tc>
          <w:tcPr/>
          <w:p>
            <w:r>
              <w:t>5</w:t>
            </w:r>
          </w:p>
        </w:tc>
        <w:tc>
          <w:tcPr/>
          <w:p>
            <w:r>
              <w:t>49500.00</w:t>
            </w:r>
          </w:p>
        </w:tc>
        <w:tc>
          <w:tcPr>
            <w:vMerge/>
          </w:tcPr>
          <w:p>
            <w:r>
              <w:t xml:space="preserve">1235100.00 </w:t>
            </w:r>
          </w:p>
        </w:tc>
        <w:tc>
          <w:tcPr/>
          <w:p>
            <w:r>
              <w:t>安阳</w:t>
            </w:r>
          </w:p>
        </w:tc>
        <w:tc>
          <w:tcPr/>
          <w:p/>
        </w:tc>
      </w:tr>
      <w:tr>
        <w:tblPrEx>
          <w:tblW w:w="5000" w:type="pct"/>
          <w:tblCellMar>
            <w:left w:w="108" w:type="dxa"/>
            <w:right w:w="108" w:type="dxa"/>
          </w:tblCellMar>
        </w:tblPrEx>
        <w:tc>
          <w:tcPr/>
          <w:p>
            <w:r>
              <w:t>9</w:t>
            </w:r>
          </w:p>
        </w:tc>
        <w:tc>
          <w:tcPr>
            <w:vMerge w:val="restart"/>
          </w:tcPr>
          <w:p>
            <w:r>
              <w:t>鹤壁市局(001046028)</w:t>
            </w:r>
          </w:p>
        </w:tc>
        <w:tc>
          <w:tcPr/>
          <w:p>
            <w:r>
              <w:t>山地型智能化烟炉</w:t>
            </w:r>
          </w:p>
        </w:tc>
        <w:tc>
          <w:tcPr/>
          <w:p>
            <w:r>
              <w:t>2</w:t>
            </w:r>
          </w:p>
        </w:tc>
        <w:tc>
          <w:tcPr/>
          <w:p>
            <w:r>
              <w:t>790400.00</w:t>
            </w:r>
          </w:p>
        </w:tc>
        <w:tc>
          <w:tcPr>
            <w:vMerge w:val="restart"/>
          </w:tcPr>
          <w:p>
            <w:r>
              <w:t xml:space="preserve">849800.00  </w:t>
            </w:r>
          </w:p>
        </w:tc>
        <w:tc>
          <w:tcPr/>
          <w:p>
            <w:r>
              <w:t>鹤壁</w:t>
            </w:r>
          </w:p>
        </w:tc>
        <w:tc>
          <w:tcPr/>
          <w:p/>
        </w:tc>
      </w:tr>
      <w:tr>
        <w:tblPrEx>
          <w:tblW w:w="5000" w:type="pct"/>
          <w:tblCellMar>
            <w:left w:w="108" w:type="dxa"/>
            <w:right w:w="108" w:type="dxa"/>
          </w:tblCellMar>
        </w:tblPrEx>
        <w:tc>
          <w:tcPr/>
          <w:p>
            <w:r>
              <w:t>10</w:t>
            </w:r>
          </w:p>
        </w:tc>
        <w:tc>
          <w:tcPr>
            <w:vMerge/>
          </w:tcPr>
          <w:p>
            <w:r>
              <w:t>鹤壁市局(001046028)</w:t>
            </w:r>
          </w:p>
        </w:tc>
        <w:tc>
          <w:tcPr/>
          <w:p>
            <w:r>
              <w:t>烟炉作业监控终端</w:t>
            </w:r>
          </w:p>
        </w:tc>
        <w:tc>
          <w:tcPr/>
          <w:p>
            <w:r>
              <w:t>6</w:t>
            </w:r>
          </w:p>
        </w:tc>
        <w:tc>
          <w:tcPr/>
          <w:p>
            <w:r>
              <w:t>59400.00</w:t>
            </w:r>
          </w:p>
        </w:tc>
        <w:tc>
          <w:tcPr>
            <w:vMerge/>
          </w:tcPr>
          <w:p>
            <w:r>
              <w:t xml:space="preserve">849800.00  </w:t>
            </w:r>
          </w:p>
        </w:tc>
        <w:tc>
          <w:tcPr/>
          <w:p>
            <w:r>
              <w:t>鹤壁</w:t>
            </w:r>
          </w:p>
        </w:tc>
        <w:tc>
          <w:tcPr/>
          <w:p/>
        </w:tc>
      </w:tr>
      <w:tr>
        <w:tblPrEx>
          <w:tblW w:w="5000" w:type="pct"/>
          <w:tblCellMar>
            <w:left w:w="108" w:type="dxa"/>
            <w:right w:w="108" w:type="dxa"/>
          </w:tblCellMar>
        </w:tblPrEx>
        <w:tc>
          <w:tcPr/>
          <w:p>
            <w:r>
              <w:t>11</w:t>
            </w:r>
          </w:p>
        </w:tc>
        <w:tc>
          <w:tcPr>
            <w:vMerge w:val="restart"/>
          </w:tcPr>
          <w:p>
            <w:r>
              <w:t>新乡市局(001046029)</w:t>
            </w:r>
          </w:p>
        </w:tc>
        <w:tc>
          <w:tcPr/>
          <w:p>
            <w:r>
              <w:t>烟炉作业监控终端</w:t>
            </w:r>
          </w:p>
        </w:tc>
        <w:tc>
          <w:tcPr/>
          <w:p>
            <w:r>
              <w:t>4</w:t>
            </w:r>
          </w:p>
        </w:tc>
        <w:tc>
          <w:tcPr/>
          <w:p>
            <w:r>
              <w:t>39600.00</w:t>
            </w:r>
          </w:p>
        </w:tc>
        <w:tc>
          <w:tcPr>
            <w:vMerge w:val="restart"/>
          </w:tcPr>
          <w:p>
            <w:r>
              <w:t xml:space="preserve">39600.00 </w:t>
            </w:r>
          </w:p>
        </w:tc>
        <w:tc>
          <w:tcPr/>
          <w:p>
            <w:r>
              <w:t>新乡</w:t>
            </w:r>
          </w:p>
        </w:tc>
        <w:tc>
          <w:tcPr/>
          <w:p/>
        </w:tc>
      </w:tr>
      <w:tr>
        <w:tblPrEx>
          <w:tblW w:w="5000" w:type="pct"/>
          <w:tblCellMar>
            <w:left w:w="108" w:type="dxa"/>
            <w:right w:w="108" w:type="dxa"/>
          </w:tblCellMar>
        </w:tblPrEx>
        <w:tc>
          <w:tcPr/>
          <w:p>
            <w:r>
              <w:t>12</w:t>
            </w:r>
          </w:p>
        </w:tc>
        <w:tc>
          <w:tcPr>
            <w:vMerge w:val="restart"/>
          </w:tcPr>
          <w:p>
            <w:r>
              <w:t>焦作市局(001046030)</w:t>
            </w:r>
          </w:p>
        </w:tc>
        <w:tc>
          <w:tcPr/>
          <w:p>
            <w:r>
              <w:t>平原型智能化烟炉</w:t>
            </w:r>
          </w:p>
        </w:tc>
        <w:tc>
          <w:tcPr/>
          <w:p>
            <w:r>
              <w:t>2</w:t>
            </w:r>
          </w:p>
        </w:tc>
        <w:tc>
          <w:tcPr/>
          <w:p>
            <w:r>
              <w:t>790400.00</w:t>
            </w:r>
          </w:p>
        </w:tc>
        <w:tc>
          <w:tcPr>
            <w:vMerge w:val="restart"/>
          </w:tcPr>
          <w:p>
            <w:r>
              <w:t xml:space="preserve">810200.00  </w:t>
            </w:r>
          </w:p>
        </w:tc>
        <w:tc>
          <w:tcPr/>
          <w:p>
            <w:r>
              <w:t>焦作</w:t>
            </w:r>
          </w:p>
        </w:tc>
        <w:tc>
          <w:tcPr/>
          <w:p/>
        </w:tc>
      </w:tr>
      <w:tr>
        <w:tblPrEx>
          <w:tblW w:w="5000" w:type="pct"/>
          <w:tblCellMar>
            <w:left w:w="108" w:type="dxa"/>
            <w:right w:w="108" w:type="dxa"/>
          </w:tblCellMar>
        </w:tblPrEx>
        <w:tc>
          <w:tcPr/>
          <w:p>
            <w:r>
              <w:t>13</w:t>
            </w:r>
          </w:p>
        </w:tc>
        <w:tc>
          <w:tcPr>
            <w:vMerge/>
          </w:tcPr>
          <w:p>
            <w:r>
              <w:t>焦作市局(001046030)</w:t>
            </w:r>
          </w:p>
        </w:tc>
        <w:tc>
          <w:tcPr/>
          <w:p>
            <w:r>
              <w:t>烟炉作业监控终端</w:t>
            </w:r>
          </w:p>
        </w:tc>
        <w:tc>
          <w:tcPr/>
          <w:p>
            <w:r>
              <w:t>2</w:t>
            </w:r>
          </w:p>
        </w:tc>
        <w:tc>
          <w:tcPr/>
          <w:p>
            <w:r>
              <w:t>19800.00</w:t>
            </w:r>
          </w:p>
        </w:tc>
        <w:tc>
          <w:tcPr>
            <w:vMerge/>
          </w:tcPr>
          <w:p>
            <w:r>
              <w:t xml:space="preserve">810200.00  </w:t>
            </w:r>
          </w:p>
        </w:tc>
        <w:tc>
          <w:tcPr/>
          <w:p>
            <w:r>
              <w:t>焦作</w:t>
            </w:r>
          </w:p>
        </w:tc>
        <w:tc>
          <w:tcPr/>
          <w:p/>
        </w:tc>
      </w:tr>
      <w:tr>
        <w:tblPrEx>
          <w:tblW w:w="5000" w:type="pct"/>
          <w:tblCellMar>
            <w:left w:w="108" w:type="dxa"/>
            <w:right w:w="108" w:type="dxa"/>
          </w:tblCellMar>
        </w:tblPrEx>
        <w:tc>
          <w:tcPr/>
          <w:p>
            <w:r>
              <w:t>14</w:t>
            </w:r>
          </w:p>
        </w:tc>
        <w:tc>
          <w:tcPr>
            <w:vMerge w:val="restart"/>
          </w:tcPr>
          <w:p>
            <w:r>
              <w:t>三门峡市局(001046034)</w:t>
            </w:r>
          </w:p>
        </w:tc>
        <w:tc>
          <w:tcPr/>
          <w:p>
            <w:r>
              <w:t>平原型智能化烟炉</w:t>
            </w:r>
          </w:p>
        </w:tc>
        <w:tc>
          <w:tcPr/>
          <w:p>
            <w:r>
              <w:t>2</w:t>
            </w:r>
          </w:p>
        </w:tc>
        <w:tc>
          <w:tcPr/>
          <w:p>
            <w:r>
              <w:t>790400.00</w:t>
            </w:r>
          </w:p>
        </w:tc>
        <w:tc>
          <w:tcPr>
            <w:vMerge w:val="restart"/>
          </w:tcPr>
          <w:p>
            <w:r>
              <w:t xml:space="preserve">790400.00 </w:t>
            </w:r>
          </w:p>
        </w:tc>
        <w:tc>
          <w:tcPr/>
          <w:p>
            <w:r>
              <w:t>三门峡</w:t>
            </w:r>
          </w:p>
        </w:tc>
        <w:tc>
          <w:tcPr/>
          <w:p/>
        </w:tc>
      </w:tr>
      <w:tr>
        <w:tblPrEx>
          <w:tblW w:w="5000" w:type="pct"/>
          <w:tblCellMar>
            <w:left w:w="108" w:type="dxa"/>
            <w:right w:w="108" w:type="dxa"/>
          </w:tblCellMar>
        </w:tblPrEx>
        <w:tc>
          <w:tcPr/>
          <w:p>
            <w:r>
              <w:t>15</w:t>
            </w:r>
          </w:p>
        </w:tc>
        <w:tc>
          <w:tcPr>
            <w:vMerge w:val="restart"/>
          </w:tcPr>
          <w:p>
            <w:r>
              <w:t>南阳市局(001046035)</w:t>
            </w:r>
          </w:p>
        </w:tc>
        <w:tc>
          <w:tcPr/>
          <w:p>
            <w:r>
              <w:t>山地型智能化烟炉</w:t>
            </w:r>
          </w:p>
        </w:tc>
        <w:tc>
          <w:tcPr/>
          <w:p>
            <w:r>
              <w:t>7</w:t>
            </w:r>
          </w:p>
        </w:tc>
        <w:tc>
          <w:tcPr/>
          <w:p>
            <w:r>
              <w:t>2766400.00</w:t>
            </w:r>
          </w:p>
        </w:tc>
        <w:tc>
          <w:tcPr>
            <w:vMerge w:val="restart"/>
          </w:tcPr>
          <w:p>
            <w:r>
              <w:t xml:space="preserve">2776300.00  </w:t>
            </w:r>
          </w:p>
        </w:tc>
        <w:tc>
          <w:tcPr/>
          <w:p>
            <w:r>
              <w:t>南阳</w:t>
            </w:r>
          </w:p>
        </w:tc>
        <w:tc>
          <w:tcPr/>
          <w:p/>
        </w:tc>
      </w:tr>
      <w:tr>
        <w:tblPrEx>
          <w:tblW w:w="5000" w:type="pct"/>
          <w:tblCellMar>
            <w:left w:w="108" w:type="dxa"/>
            <w:right w:w="108" w:type="dxa"/>
          </w:tblCellMar>
        </w:tblPrEx>
        <w:tc>
          <w:tcPr/>
          <w:p>
            <w:r>
              <w:t>16</w:t>
            </w:r>
          </w:p>
        </w:tc>
        <w:tc>
          <w:tcPr>
            <w:vMerge/>
          </w:tcPr>
          <w:p>
            <w:r>
              <w:t>南阳市局(001046035)</w:t>
            </w:r>
          </w:p>
        </w:tc>
        <w:tc>
          <w:tcPr/>
          <w:p>
            <w:r>
              <w:t>烟炉作业监控终端</w:t>
            </w:r>
          </w:p>
        </w:tc>
        <w:tc>
          <w:tcPr/>
          <w:p>
            <w:r>
              <w:t>1</w:t>
            </w:r>
          </w:p>
        </w:tc>
        <w:tc>
          <w:tcPr/>
          <w:p>
            <w:r>
              <w:t>9900.00</w:t>
            </w:r>
          </w:p>
        </w:tc>
        <w:tc>
          <w:tcPr>
            <w:vMerge/>
          </w:tcPr>
          <w:p>
            <w:r>
              <w:t xml:space="preserve">2776300.00  </w:t>
            </w:r>
          </w:p>
        </w:tc>
        <w:tc>
          <w:tcPr/>
          <w:p>
            <w:r>
              <w:t>南阳</w:t>
            </w:r>
          </w:p>
        </w:tc>
        <w:tc>
          <w:tcPr/>
          <w:p/>
        </w:tc>
      </w:tr>
      <w:tr>
        <w:tblPrEx>
          <w:tblW w:w="5000" w:type="pct"/>
          <w:tblCellMar>
            <w:left w:w="108" w:type="dxa"/>
            <w:right w:w="108" w:type="dxa"/>
          </w:tblCellMar>
        </w:tblPrEx>
        <w:tc>
          <w:tcPr/>
          <w:p>
            <w:r>
              <w:t>17</w:t>
            </w:r>
          </w:p>
        </w:tc>
        <w:tc>
          <w:tcPr>
            <w:vMerge w:val="restart"/>
          </w:tcPr>
          <w:p>
            <w:r>
              <w:t>信阳市局(001046037)</w:t>
            </w:r>
          </w:p>
        </w:tc>
        <w:tc>
          <w:tcPr/>
          <w:p>
            <w:r>
              <w:t>山地型智能化烟炉</w:t>
            </w:r>
          </w:p>
        </w:tc>
        <w:tc>
          <w:tcPr/>
          <w:p>
            <w:r>
              <w:t>3</w:t>
            </w:r>
          </w:p>
        </w:tc>
        <w:tc>
          <w:tcPr/>
          <w:p>
            <w:r>
              <w:t>1185600.00</w:t>
            </w:r>
          </w:p>
        </w:tc>
        <w:tc>
          <w:tcPr>
            <w:vMerge w:val="restart"/>
          </w:tcPr>
          <w:p>
            <w:r>
              <w:t xml:space="preserve">1235100.00 </w:t>
            </w:r>
          </w:p>
        </w:tc>
        <w:tc>
          <w:tcPr/>
          <w:p>
            <w:r>
              <w:t>信阳</w:t>
            </w:r>
          </w:p>
        </w:tc>
        <w:tc>
          <w:tcPr/>
          <w:p/>
        </w:tc>
      </w:tr>
      <w:tr>
        <w:tblPrEx>
          <w:tblW w:w="5000" w:type="pct"/>
          <w:tblCellMar>
            <w:left w:w="108" w:type="dxa"/>
            <w:right w:w="108" w:type="dxa"/>
          </w:tblCellMar>
        </w:tblPrEx>
        <w:tc>
          <w:tcPr/>
          <w:p>
            <w:r>
              <w:t>18</w:t>
            </w:r>
          </w:p>
        </w:tc>
        <w:tc>
          <w:tcPr>
            <w:vMerge/>
          </w:tcPr>
          <w:p>
            <w:r>
              <w:t>信阳市局(001046037)</w:t>
            </w:r>
          </w:p>
        </w:tc>
        <w:tc>
          <w:tcPr/>
          <w:p>
            <w:r>
              <w:t>烟炉作业监控终端</w:t>
            </w:r>
          </w:p>
        </w:tc>
        <w:tc>
          <w:tcPr/>
          <w:p>
            <w:r>
              <w:t>5</w:t>
            </w:r>
          </w:p>
        </w:tc>
        <w:tc>
          <w:tcPr/>
          <w:p>
            <w:r>
              <w:t>49500.00</w:t>
            </w:r>
          </w:p>
        </w:tc>
        <w:tc>
          <w:tcPr>
            <w:vMerge/>
          </w:tcPr>
          <w:p>
            <w:r>
              <w:t xml:space="preserve">1235100.00 </w:t>
            </w:r>
          </w:p>
        </w:tc>
        <w:tc>
          <w:tcPr/>
          <w:p>
            <w:r>
              <w:t>信阳</w:t>
            </w:r>
          </w:p>
        </w:tc>
        <w:tc>
          <w:tcPr/>
          <w:p/>
        </w:tc>
      </w:tr>
      <w:tr>
        <w:tblPrEx>
          <w:tblW w:w="5000" w:type="pct"/>
          <w:tblCellMar>
            <w:left w:w="108" w:type="dxa"/>
            <w:right w:w="108" w:type="dxa"/>
          </w:tblCellMar>
        </w:tblPrEx>
        <w:tc>
          <w:tcPr/>
          <w:p>
            <w:r>
              <w:t>19</w:t>
            </w:r>
          </w:p>
        </w:tc>
        <w:tc>
          <w:tcPr>
            <w:vMerge w:val="restart"/>
          </w:tcPr>
          <w:p>
            <w:r>
              <w:t>济源示范区气象局(001046040)</w:t>
            </w:r>
          </w:p>
        </w:tc>
        <w:tc>
          <w:tcPr/>
          <w:p>
            <w:r>
              <w:t>平原型智能化烟炉</w:t>
            </w:r>
          </w:p>
        </w:tc>
        <w:tc>
          <w:tcPr/>
          <w:p>
            <w:r>
              <w:t>3</w:t>
            </w:r>
          </w:p>
        </w:tc>
        <w:tc>
          <w:tcPr/>
          <w:p>
            <w:r>
              <w:t>1185600.00</w:t>
            </w:r>
          </w:p>
        </w:tc>
        <w:tc>
          <w:tcPr>
            <w:vMerge w:val="restart"/>
          </w:tcPr>
          <w:p>
            <w:r>
              <w:t xml:space="preserve">1215300.00  </w:t>
            </w:r>
          </w:p>
        </w:tc>
        <w:tc>
          <w:tcPr/>
          <w:p>
            <w:r>
              <w:t>济源</w:t>
            </w:r>
          </w:p>
        </w:tc>
        <w:tc>
          <w:tcPr/>
          <w:p/>
        </w:tc>
      </w:tr>
      <w:tr>
        <w:tblPrEx>
          <w:tblW w:w="5000" w:type="pct"/>
          <w:tblCellMar>
            <w:left w:w="108" w:type="dxa"/>
            <w:right w:w="108" w:type="dxa"/>
          </w:tblCellMar>
        </w:tblPrEx>
        <w:tc>
          <w:tcPr/>
          <w:p>
            <w:r>
              <w:t>20</w:t>
            </w:r>
          </w:p>
        </w:tc>
        <w:tc>
          <w:tcPr>
            <w:vMerge/>
          </w:tcPr>
          <w:p>
            <w:r>
              <w:t>济源示范区气象局(001046040)</w:t>
            </w:r>
          </w:p>
        </w:tc>
        <w:tc>
          <w:tcPr/>
          <w:p>
            <w:r>
              <w:t>烟炉作业监控终端</w:t>
            </w:r>
          </w:p>
        </w:tc>
        <w:tc>
          <w:tcPr/>
          <w:p>
            <w:r>
              <w:t>3</w:t>
            </w:r>
          </w:p>
        </w:tc>
        <w:tc>
          <w:tcPr/>
          <w:p>
            <w:r>
              <w:t>29700.00</w:t>
            </w:r>
          </w:p>
        </w:tc>
        <w:tc>
          <w:tcPr>
            <w:vMerge/>
          </w:tcPr>
          <w:p>
            <w:r>
              <w:t xml:space="preserve">1215300.00  </w:t>
            </w:r>
          </w:p>
        </w:tc>
        <w:tc>
          <w:tcPr/>
          <w:p>
            <w:r>
              <w:t>济源</w:t>
            </w:r>
          </w:p>
        </w:tc>
        <w:tc>
          <w:tcP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rsidR="00251D1F">
      <w:pPr>
        <w:tabs>
          <w:tab w:val="left" w:pos="1573"/>
        </w:tabs>
        <w:adjustRightInd w:val="0"/>
        <w:snapToGrid w:val="0"/>
        <w:spacing w:line="360" w:lineRule="auto"/>
        <w:jc w:val="center"/>
        <w:outlineLvl w:val="1"/>
        <w:rPr>
          <w:b/>
          <w:bCs/>
          <w:sz w:val="30"/>
          <w:szCs w:val="30"/>
        </w:rPr>
      </w:pPr>
      <w:bookmarkStart w:id="68"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251D1F">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95011A">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251D1F">
            <w:pPr>
              <w:rPr>
                <w:sz w:val="18"/>
                <w:szCs w:val="18"/>
              </w:rPr>
            </w:pPr>
            <w:r>
              <w:rPr>
                <w:rFonts w:hint="eastAsia"/>
                <w:sz w:val="18"/>
                <w:szCs w:val="18"/>
              </w:rPr>
              <w:t>序号</w:t>
            </w:r>
          </w:p>
        </w:tc>
        <w:tc>
          <w:tcPr>
            <w:tcW w:w="898" w:type="dxa"/>
            <w:vAlign w:val="center"/>
          </w:tcPr>
          <w:p w:rsidR="00251D1F">
            <w:pPr>
              <w:jc w:val="center"/>
              <w:rPr>
                <w:sz w:val="18"/>
                <w:szCs w:val="18"/>
              </w:rPr>
            </w:pPr>
            <w:r>
              <w:rPr>
                <w:rFonts w:hint="eastAsia"/>
                <w:sz w:val="18"/>
                <w:szCs w:val="18"/>
              </w:rPr>
              <w:t>对应</w:t>
            </w:r>
          </w:p>
          <w:p w:rsidR="00251D1F">
            <w:pPr>
              <w:jc w:val="center"/>
              <w:rPr>
                <w:sz w:val="18"/>
                <w:szCs w:val="18"/>
              </w:rPr>
            </w:pPr>
            <w:r>
              <w:rPr>
                <w:rFonts w:hint="eastAsia"/>
                <w:sz w:val="18"/>
                <w:szCs w:val="18"/>
              </w:rPr>
              <w:t>条款号</w:t>
            </w:r>
          </w:p>
        </w:tc>
        <w:tc>
          <w:tcPr>
            <w:tcW w:w="7347" w:type="dxa"/>
            <w:vAlign w:val="center"/>
          </w:tcPr>
          <w:p w:rsidR="00251D1F">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95011A">
        <w:tblPrEx>
          <w:tblW w:w="8789" w:type="dxa"/>
          <w:tblLayout w:type="fixed"/>
          <w:tblLook w:val="04A0"/>
        </w:tblPrEx>
        <w:trPr>
          <w:cantSplit/>
        </w:trPr>
        <w:tc>
          <w:tcPr>
            <w:tcW w:w="8789" w:type="dxa"/>
            <w:gridSpan w:val="3"/>
            <w:vAlign w:val="center"/>
          </w:tcPr>
          <w:p w:rsidR="00251D1F">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95011A">
        <w:tblPrEx>
          <w:tblW w:w="8789" w:type="dxa"/>
          <w:tblLayout w:type="fixed"/>
          <w:tblLook w:val="04A0"/>
        </w:tblPrEx>
        <w:trPr>
          <w:cantSplit/>
        </w:trPr>
        <w:tc>
          <w:tcPr>
            <w:tcW w:w="544" w:type="dxa"/>
            <w:vAlign w:val="center"/>
          </w:tcPr>
          <w:p w:rsidR="00251D1F">
            <w:pPr>
              <w:numPr>
                <w:ilvl w:val="0"/>
                <w:numId w:val="13"/>
              </w:numPr>
              <w:rPr>
                <w:rFonts w:ascii="宋体" w:hAnsi="宋体"/>
                <w:sz w:val="18"/>
                <w:szCs w:val="18"/>
              </w:rPr>
            </w:pPr>
          </w:p>
        </w:tc>
        <w:tc>
          <w:tcPr>
            <w:tcW w:w="898" w:type="dxa"/>
            <w:vAlign w:val="center"/>
          </w:tcPr>
          <w:p w:rsidR="00251D1F">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251D1F">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无</w:t>
            </w:r>
          </w:p>
        </w:tc>
      </w:tr>
      <w:tr w:rsidTr="0095011A">
        <w:tblPrEx>
          <w:tblW w:w="8789" w:type="dxa"/>
          <w:tblLayout w:type="fixed"/>
          <w:tblLook w:val="04A0"/>
        </w:tblPrEx>
        <w:trPr>
          <w:cantSplit/>
        </w:trPr>
        <w:tc>
          <w:tcPr>
            <w:tcW w:w="8789" w:type="dxa"/>
            <w:gridSpan w:val="3"/>
            <w:vAlign w:val="center"/>
          </w:tcPr>
          <w:p w:rsidR="00251D1F">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95011A">
        <w:tblPrEx>
          <w:tblW w:w="8789" w:type="dxa"/>
          <w:tblLayout w:type="fixed"/>
          <w:tblLook w:val="04A0"/>
        </w:tblPrEx>
        <w:trPr>
          <w:cantSplit/>
        </w:trPr>
        <w:tc>
          <w:tcPr>
            <w:tcW w:w="544" w:type="dxa"/>
            <w:vAlign w:val="center"/>
          </w:tcPr>
          <w:p w:rsidR="00251D1F">
            <w:pPr>
              <w:numPr>
                <w:ilvl w:val="0"/>
                <w:numId w:val="13"/>
              </w:numPr>
              <w:rPr>
                <w:rFonts w:ascii="宋体" w:hAnsi="宋体"/>
                <w:sz w:val="18"/>
                <w:szCs w:val="18"/>
              </w:rPr>
            </w:pPr>
          </w:p>
        </w:tc>
        <w:tc>
          <w:tcPr>
            <w:tcW w:w="898" w:type="dxa"/>
            <w:vAlign w:val="center"/>
          </w:tcPr>
          <w:p w:rsidR="0095011A" w:rsidP="0095011A">
            <w:pPr>
              <w:rPr>
                <w:rFonts w:ascii="宋体" w:hAnsi="宋体"/>
                <w:sz w:val="18"/>
                <w:szCs w:val="18"/>
              </w:rPr>
            </w:pPr>
          </w:p>
        </w:tc>
        <w:tc>
          <w:tcPr>
            <w:tcW w:w="7347" w:type="dxa"/>
            <w:vAlign w:val="center"/>
          </w:tcPr>
          <w:p w:rsidR="00251D1F">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无</w:t>
            </w:r>
          </w:p>
        </w:tc>
      </w:tr>
    </w:tbl>
    <w:p w:rsidR="00251D1F">
      <w:pPr>
        <w:spacing w:before="156" w:beforeLines="50" w:line="360" w:lineRule="auto"/>
        <w:ind w:firstLine="420"/>
      </w:pPr>
      <w:r>
        <w:rPr>
          <w:rFonts w:ascii="宋体" w:hAnsi="宋体" w:hint="eastAsia"/>
          <w:szCs w:val="21"/>
        </w:rPr>
        <w:t>注：根据项目具体情况，对投标人有具体要</w:t>
      </w:r>
      <w:r>
        <w:rPr>
          <w:rFonts w:ascii="宋体" w:hAnsi="宋体" w:hint="eastAsia"/>
          <w:szCs w:val="21"/>
        </w:rPr>
        <w:t>求，且投标人必须遵守的，逐条列出。</w:t>
      </w:r>
    </w:p>
    <w:p w:rsidR="00A77B3E"/>
    <w:p w:rsidR="00251D1F">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876E3B" w:rsidP="00DB5529">
      <w:pPr>
        <w:numPr>
          <w:ilvl w:val="0"/>
          <w:numId w:val="4"/>
        </w:numPr>
        <w:spacing w:line="360" w:lineRule="auto"/>
        <w:ind w:firstLine="3066" w:firstLineChars="1460"/>
        <w:jc w:val="left"/>
        <w:rPr>
          <w:b/>
          <w:bCs/>
          <w:szCs w:val="21"/>
        </w:rPr>
      </w:pPr>
      <w:bookmarkStart w:id="69" w:name="采购公告合同部分_ZBGGHT"/>
      <w:r>
        <w:rPr>
          <w:rFonts w:hint="eastAsia"/>
          <w:b/>
          <w:bCs/>
          <w:szCs w:val="21"/>
        </w:rPr>
        <w:t xml:space="preserve"> </w:t>
      </w:r>
      <w:r>
        <w:rPr>
          <w:rFonts w:hint="eastAsia"/>
          <w:b/>
          <w:bCs/>
          <w:szCs w:val="21"/>
        </w:rPr>
        <w:t>采购合同</w:t>
      </w:r>
    </w:p>
    <w:p w:rsidR="00876E3B">
      <w:pPr>
        <w:spacing w:line="360" w:lineRule="auto"/>
        <w:ind w:left="1680" w:firstLine="420"/>
        <w:jc w:val="left"/>
        <w:rPr>
          <w:b/>
          <w:bCs/>
          <w:szCs w:val="21"/>
        </w:rPr>
      </w:pPr>
      <w:r>
        <w:rPr>
          <w:rFonts w:hint="eastAsia"/>
          <w:b/>
          <w:bCs/>
          <w:szCs w:val="21"/>
        </w:rPr>
        <w:t>必须明确合同金额支付条件及支付比例</w:t>
      </w:r>
    </w:p>
    <w:p w:rsidR="00876E3B">
      <w:pPr>
        <w:pStyle w:val="BodyText"/>
        <w:spacing w:after="0"/>
        <w:jc w:val="center"/>
        <w:rPr>
          <w:rFonts w:ascii="宋体" w:hAnsi="宋体" w:cs="宋体"/>
          <w:b/>
          <w:bCs/>
          <w:spacing w:val="-20"/>
          <w:kern w:val="44"/>
          <w:sz w:val="48"/>
          <w:szCs w:val="48"/>
        </w:rPr>
      </w:pPr>
      <w:r>
        <w:rPr>
          <w:b/>
          <w:bCs/>
          <w:szCs w:val="21"/>
        </w:rPr>
        <w:br w:type="page"/>
      </w:r>
      <w:bookmarkStart w:id="70" w:name="_Toc3995"/>
    </w:p>
    <w:p w:rsidR="00876E3B">
      <w:pPr>
        <w:pStyle w:val="BodyText"/>
        <w:spacing w:after="0"/>
        <w:jc w:val="center"/>
        <w:rPr>
          <w:rFonts w:ascii="宋体" w:hAnsi="宋体" w:cs="宋体"/>
          <w:b/>
          <w:bCs/>
          <w:spacing w:val="-20"/>
          <w:kern w:val="44"/>
          <w:sz w:val="48"/>
          <w:szCs w:val="48"/>
        </w:rPr>
      </w:pPr>
    </w:p>
    <w:p w:rsidR="00876E3B">
      <w:pPr>
        <w:pStyle w:val="BodyText"/>
        <w:spacing w:after="0"/>
        <w:jc w:val="center"/>
        <w:rPr>
          <w:rFonts w:ascii="宋体" w:hAnsi="宋体" w:cs="宋体"/>
          <w:b/>
          <w:bCs/>
          <w:spacing w:val="-20"/>
          <w:kern w:val="44"/>
          <w:sz w:val="48"/>
          <w:szCs w:val="48"/>
        </w:rPr>
      </w:pPr>
    </w:p>
    <w:p w:rsidR="00876E3B">
      <w:pPr>
        <w:pStyle w:val="BodyText"/>
        <w:spacing w:after="0"/>
        <w:jc w:val="center"/>
        <w:rPr>
          <w:rFonts w:ascii="宋体" w:hAnsi="宋体" w:cs="宋体"/>
          <w:b/>
          <w:bCs/>
          <w:spacing w:val="-20"/>
          <w:kern w:val="44"/>
          <w:sz w:val="48"/>
          <w:szCs w:val="48"/>
        </w:rPr>
      </w:pPr>
    </w:p>
    <w:p w:rsidR="00876E3B">
      <w:pPr>
        <w:pStyle w:val="BodyText"/>
        <w:spacing w:after="0"/>
        <w:jc w:val="center"/>
        <w:rPr>
          <w:rFonts w:ascii="宋体" w:hAnsi="宋体" w:cs="宋体"/>
          <w:b/>
          <w:bCs/>
          <w:spacing w:val="-20"/>
          <w:kern w:val="44"/>
          <w:sz w:val="48"/>
          <w:szCs w:val="48"/>
        </w:rPr>
      </w:pPr>
    </w:p>
    <w:p w:rsidR="00876E3B">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876E3B">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876E3B">
      <w:pPr>
        <w:rPr>
          <w:rFonts w:ascii="宋体" w:hAnsi="宋体" w:cs="宋体"/>
          <w:b/>
          <w:bCs/>
          <w:spacing w:val="-20"/>
          <w:kern w:val="44"/>
          <w:sz w:val="40"/>
          <w:szCs w:val="40"/>
        </w:rPr>
      </w:pPr>
    </w:p>
    <w:p w:rsidR="00876E3B">
      <w:pPr>
        <w:rPr>
          <w:rFonts w:ascii="宋体" w:hAnsi="宋体" w:cs="宋体"/>
          <w:b/>
          <w:bCs/>
          <w:spacing w:val="-20"/>
          <w:kern w:val="44"/>
          <w:sz w:val="40"/>
          <w:szCs w:val="40"/>
        </w:rPr>
      </w:pPr>
    </w:p>
    <w:p w:rsidR="00876E3B">
      <w:pPr>
        <w:rPr>
          <w:rFonts w:ascii="宋体" w:hAnsi="宋体" w:cs="宋体"/>
          <w:b/>
          <w:bCs/>
          <w:spacing w:val="-20"/>
          <w:kern w:val="44"/>
          <w:sz w:val="40"/>
          <w:szCs w:val="40"/>
        </w:rPr>
      </w:pPr>
    </w:p>
    <w:p w:rsidR="00876E3B">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876E3B">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876E3B">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876E3B">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876E3B">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876E3B"/>
    <w:p w:rsidR="00876E3B">
      <w:pPr>
        <w:rPr>
          <w:rFonts w:eastAsia="黑体"/>
          <w:sz w:val="44"/>
          <w:szCs w:val="44"/>
        </w:rPr>
      </w:pPr>
      <w:r>
        <w:rPr>
          <w:rFonts w:eastAsia="黑体"/>
          <w:sz w:val="44"/>
          <w:szCs w:val="44"/>
        </w:rPr>
        <w:br w:type="page"/>
      </w:r>
    </w:p>
    <w:p w:rsidR="00876E3B">
      <w:pPr>
        <w:rPr>
          <w:rFonts w:eastAsia="黑体"/>
          <w:sz w:val="44"/>
          <w:szCs w:val="44"/>
        </w:rPr>
      </w:pPr>
    </w:p>
    <w:p w:rsidR="00876E3B">
      <w:pPr>
        <w:rPr>
          <w:rFonts w:eastAsia="黑体"/>
          <w:sz w:val="44"/>
          <w:szCs w:val="44"/>
        </w:rPr>
      </w:pPr>
    </w:p>
    <w:p w:rsidR="00876E3B">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876E3B">
      <w:pPr>
        <w:ind w:firstLine="640" w:firstLineChars="200"/>
        <w:rPr>
          <w:rFonts w:ascii="仿宋_GB2312" w:eastAsia="仿宋_GB2312" w:hAnsi="仿宋_GB2312" w:cs="仿宋_GB2312"/>
          <w:sz w:val="32"/>
          <w:szCs w:val="32"/>
        </w:rPr>
      </w:pPr>
    </w:p>
    <w:p w:rsidR="00876E3B">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876E3B">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876E3B">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876E3B">
      <w:pPr>
        <w:rPr>
          <w:rFonts w:eastAsia="黑体"/>
          <w:sz w:val="44"/>
          <w:szCs w:val="44"/>
        </w:rPr>
        <w:sectPr>
          <w:pgSz w:w="11906" w:h="16838"/>
          <w:pgMar w:top="1440" w:right="1800" w:bottom="1440" w:left="1800" w:header="851" w:footer="992" w:gutter="0"/>
          <w:cols w:space="425"/>
          <w:docGrid w:type="lines" w:linePitch="312"/>
        </w:sectPr>
      </w:pPr>
    </w:p>
    <w:p w:rsidR="00876E3B">
      <w:pPr>
        <w:pStyle w:val="Heading2"/>
        <w:numPr>
          <w:ilvl w:val="0"/>
          <w:numId w:val="0"/>
        </w:numPr>
        <w:adjustRightInd w:val="0"/>
        <w:snapToGrid w:val="0"/>
        <w:spacing w:line="400" w:lineRule="exact"/>
        <w:jc w:val="center"/>
        <w:rPr>
          <w:rFonts w:ascii="黑体" w:hAnsi="华文中宋"/>
          <w:b w:val="0"/>
          <w:bCs w:val="0"/>
          <w:sz w:val="28"/>
          <w:szCs w:val="28"/>
        </w:rPr>
      </w:pPr>
      <w:bookmarkStart w:id="71" w:name="_Toc22209"/>
      <w:bookmarkEnd w:id="70"/>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1"/>
    </w:p>
    <w:p w:rsidR="00876E3B">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文件约定的合同甲方）</w:t>
      </w:r>
    </w:p>
    <w:p w:rsidR="00876E3B">
      <w:pPr>
        <w:adjustRightInd w:val="0"/>
        <w:snapToGrid w:val="0"/>
        <w:spacing w:line="400" w:lineRule="exact"/>
        <w:rPr>
          <w:rFonts w:ascii="宋体" w:hAnsi="宋体"/>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rsidR="00876E3B">
      <w:pPr>
        <w:adjustRightInd w:val="0"/>
        <w:snapToGrid w:val="0"/>
        <w:spacing w:line="400" w:lineRule="exact"/>
        <w:rPr>
          <w:rFonts w:ascii="宋体" w:hAnsi="宋体"/>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rsidR="00876E3B">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876E3B">
      <w:pPr>
        <w:spacing w:line="400" w:lineRule="exact"/>
      </w:pPr>
    </w:p>
    <w:p w:rsidR="00876E3B">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876E3B" w:rsidP="00DB5529">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876E3B">
      <w:pPr>
        <w:pStyle w:val="BodyTextIndent"/>
        <w:numPr>
          <w:ilvl w:val="0"/>
          <w:numId w:val="6"/>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876E3B">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采购项目编号：</w:t>
      </w:r>
      <w:r>
        <w:rPr>
          <w:rFonts w:ascii="宋体" w:hAnsi="宋体"/>
          <w:szCs w:val="21"/>
          <w:u w:val="single"/>
        </w:rPr>
        <w:t xml:space="preserve">                                          </w:t>
      </w:r>
    </w:p>
    <w:p w:rsidR="00876E3B">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876E3B">
      <w:pPr>
        <w:adjustRightInd w:val="0"/>
        <w:snapToGrid w:val="0"/>
        <w:spacing w:line="400" w:lineRule="exact"/>
        <w:ind w:firstLine="420" w:firstLineChars="200"/>
        <w:rPr>
          <w:rFonts w:ascii="宋体" w:hAnsi="宋体"/>
          <w:szCs w:val="21"/>
        </w:rPr>
      </w:pPr>
      <w:r>
        <w:rPr>
          <w:rFonts w:ascii="宋体" w:hAnsi="宋体" w:hint="eastAsia"/>
          <w:szCs w:val="21"/>
        </w:rPr>
        <w:t>（3）项目内容：</w:t>
      </w:r>
    </w:p>
    <w:p w:rsidR="00876E3B">
      <w:pPr>
        <w:adjustRightInd w:val="0"/>
        <w:snapToGrid w:val="0"/>
        <w:spacing w:line="400" w:lineRule="exact"/>
        <w:ind w:firstLine="420" w:firstLineChars="200"/>
        <w:rPr>
          <w:rFonts w:ascii="宋体" w:hAnsi="宋体"/>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876E3B">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876E3B">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w:t>
      </w:r>
      <w:r>
        <w:rPr>
          <w:rFonts w:ascii="宋体" w:hAnsi="宋体" w:hint="eastAsia"/>
          <w:szCs w:val="21"/>
        </w:rPr>
        <w:t>的</w:t>
      </w:r>
      <w:r>
        <w:rPr>
          <w:rFonts w:ascii="宋体" w:hAnsi="宋体" w:hint="eastAsia"/>
          <w:szCs w:val="21"/>
        </w:rPr>
        <w:t>技术要求、商务要求具体见附件。</w:t>
      </w:r>
    </w:p>
    <w:p w:rsidR="00876E3B">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876E3B">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876E3B">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rsidR="00876E3B">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876E3B">
      <w:pPr>
        <w:pStyle w:val="AONormal"/>
        <w:ind w:firstLine="420"/>
        <w:rPr>
          <w:rFonts w:ascii="宋体" w:eastAsia="宋体" w:hAnsi="宋体" w:cs="宋体"/>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rsidR="00876E3B">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876E3B">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876E3B">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w:t>
      </w:r>
      <w:r>
        <w:rPr>
          <w:rFonts w:ascii="宋体" w:eastAsia="宋体" w:hAnsi="宋体" w:cs="宋体" w:hint="eastAsia"/>
          <w:sz w:val="21"/>
        </w:rPr>
        <w:t>《政府采购品目分类目录》底级品目</w:t>
      </w:r>
      <w:r>
        <w:rPr>
          <w:rFonts w:ascii="宋体" w:eastAsia="宋体" w:hAnsi="宋体" w:cs="宋体" w:hint="eastAsia"/>
          <w:sz w:val="21"/>
        </w:rPr>
        <w:t>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876E3B">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876E3B">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rsidR="00876E3B">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rsidR="00876E3B">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876E3B">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876E3B">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876E3B">
      <w:pPr>
        <w:adjustRightInd w:val="0"/>
        <w:snapToGrid w:val="0"/>
        <w:spacing w:line="400" w:lineRule="exact"/>
        <w:rPr>
          <w:rFonts w:ascii="宋体" w:hAnsi="宋体"/>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876E3B">
      <w:pPr>
        <w:adjustRightInd w:val="0"/>
        <w:snapToGrid w:val="0"/>
        <w:spacing w:line="400" w:lineRule="exact"/>
        <w:rPr>
          <w:rFonts w:ascii="宋体" w:hAnsi="宋体"/>
          <w:iCs/>
          <w:szCs w:val="21"/>
        </w:rPr>
      </w:pPr>
      <w:r>
        <w:rPr>
          <w:rFonts w:hint="eastAsia"/>
        </w:rPr>
        <w:t xml:space="preserve">         </w:t>
      </w:r>
      <w:r>
        <w:rPr>
          <w:rFonts w:hint="eastAsia"/>
        </w:rPr>
        <w:t>若本项目</w:t>
      </w:r>
      <w:r>
        <w:rPr>
          <w:rFonts w:hint="eastAsia"/>
        </w:rPr>
        <w:t>不</w:t>
      </w:r>
      <w:r>
        <w:rPr>
          <w:rFonts w:hint="eastAsia"/>
        </w:rPr>
        <w:t>专门面向中小企业采购，是否给予小</w:t>
      </w:r>
      <w:r>
        <w:rPr>
          <w:rFonts w:hint="eastAsia"/>
        </w:rPr>
        <w:t>微企业</w:t>
      </w:r>
      <w:r>
        <w:rPr>
          <w:rFonts w:hint="eastAsia"/>
        </w:rPr>
        <w:t>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876E3B">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876E3B">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876E3B">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876E3B">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分包主要内容：</w:t>
      </w:r>
      <w:r>
        <w:rPr>
          <w:rFonts w:ascii="宋体" w:hAnsi="宋体" w:hint="eastAsia"/>
          <w:szCs w:val="21"/>
          <w:u w:val="single"/>
        </w:rPr>
        <w:t xml:space="preserve">                                            </w:t>
      </w:r>
    </w:p>
    <w:p w:rsidR="00876E3B">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分包供应商/制造商名称（如供应商和制造商不同，请分别填写）：</w:t>
      </w:r>
    </w:p>
    <w:p w:rsidR="00876E3B">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876E3B">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分包供应商/制造商类型（如果供应商和制造商不同，只填写制造商类型）：</w:t>
      </w:r>
    </w:p>
    <w:p w:rsidR="00876E3B">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rsidR="00876E3B">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rsidR="00876E3B">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rsidR="00876E3B">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876E3B">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876E3B">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《政府采购品目分类目录》底级品目</w:t>
      </w:r>
      <w:r>
        <w:rPr>
          <w:rFonts w:ascii="宋体" w:hAnsi="宋体" w:cs="宋体" w:hint="eastAsia"/>
          <w:szCs w:val="21"/>
        </w:rPr>
        <w:t>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rsidR="00876E3B">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rsidR="00876E3B">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876E3B">
      <w:pPr>
        <w:tabs>
          <w:tab w:val="left" w:pos="740"/>
        </w:tabs>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rsidR="00876E3B">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876E3B">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876E3B">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876E3B">
      <w:pPr>
        <w:tabs>
          <w:tab w:val="left" w:pos="740"/>
        </w:tabs>
        <w:adjustRightInd w:val="0"/>
        <w:snapToGrid w:val="0"/>
        <w:spacing w:line="400" w:lineRule="exact"/>
        <w:rPr>
          <w:rFonts w:ascii="宋体" w:hAnsi="宋体"/>
          <w:szCs w:val="21"/>
        </w:rPr>
      </w:pPr>
      <w:r>
        <w:rPr>
          <w:rFonts w:ascii="宋体" w:hAnsi="宋体" w:hint="eastAsia"/>
          <w:szCs w:val="21"/>
        </w:rPr>
        <w:t xml:space="preserve">          是否涉及环境标志产品：</w:t>
      </w:r>
    </w:p>
    <w:p w:rsidR="00876E3B">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876E3B">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876E3B">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876E3B">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rsidR="00876E3B">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w:t>
      </w:r>
      <w:r>
        <w:rPr>
          <w:rFonts w:ascii="宋体" w:eastAsia="宋体" w:hAnsi="宋体" w:cs="Times New Roman" w:hint="eastAsia"/>
          <w:kern w:val="2"/>
          <w:sz w:val="21"/>
        </w:rPr>
        <w:t>的底级品目</w:t>
      </w:r>
      <w:r>
        <w:rPr>
          <w:rFonts w:ascii="宋体" w:eastAsia="宋体" w:hAnsi="宋体" w:cs="Times New Roman" w:hint="eastAsia"/>
          <w:kern w:val="2"/>
          <w:sz w:val="21"/>
        </w:rPr>
        <w:t>名称：</w:t>
      </w:r>
      <w:r>
        <w:rPr>
          <w:rFonts w:ascii="宋体" w:eastAsia="宋体" w:hAnsi="宋体" w:hint="eastAsia"/>
          <w:u w:val="single"/>
        </w:rPr>
        <w:t xml:space="preserve">         </w:t>
      </w:r>
    </w:p>
    <w:p w:rsidR="00876E3B">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876E3B">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876E3B">
      <w:pPr>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876E3B">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rsidR="00876E3B" w:rsidP="00DB5529">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876E3B">
      <w:pPr>
        <w:adjustRightInd w:val="0"/>
        <w:snapToGrid w:val="0"/>
        <w:spacing w:line="400" w:lineRule="exact"/>
        <w:ind w:firstLine="420" w:firstLineChars="200"/>
        <w:rPr>
          <w:rFonts w:ascii="宋体" w:hAnsi="宋体"/>
          <w:szCs w:val="21"/>
        </w:rPr>
      </w:pPr>
      <w:r>
        <w:rPr>
          <w:rFonts w:ascii="宋体" w:hAnsi="宋体" w:hint="eastAsia"/>
          <w:szCs w:val="21"/>
        </w:rPr>
        <w:t>（1）合同金额小写：</w:t>
      </w:r>
      <w:r>
        <w:rPr>
          <w:rFonts w:ascii="宋体" w:hAnsi="宋体" w:hint="eastAsia"/>
          <w:szCs w:val="21"/>
          <w:u w:val="single"/>
        </w:rPr>
        <w:t xml:space="preserve">                           </w:t>
      </w:r>
    </w:p>
    <w:p w:rsidR="00876E3B">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rsidR="00876E3B">
      <w:pPr>
        <w:adjustRightInd w:val="0"/>
        <w:snapToGrid w:val="0"/>
        <w:spacing w:line="400" w:lineRule="exact"/>
        <w:rPr>
          <w:rFonts w:ascii="宋体" w:hAnsi="宋体"/>
          <w:szCs w:val="21"/>
        </w:rPr>
      </w:pPr>
      <w:r>
        <w:rPr>
          <w:rFonts w:ascii="宋体" w:hAnsi="宋体" w:hint="eastAsia"/>
          <w:szCs w:val="21"/>
        </w:rPr>
        <w:t xml:space="preserve">         分包金额（如有）小写：</w:t>
      </w:r>
      <w:r>
        <w:rPr>
          <w:rFonts w:ascii="宋体" w:hAnsi="宋体" w:hint="eastAsia"/>
          <w:szCs w:val="21"/>
          <w:u w:val="single"/>
        </w:rPr>
        <w:t xml:space="preserve">                   </w:t>
      </w:r>
    </w:p>
    <w:p w:rsidR="00876E3B">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rsidR="00876E3B">
      <w:pPr>
        <w:adjustRightInd w:val="0"/>
        <w:snapToGrid w:val="0"/>
        <w:spacing w:line="400" w:lineRule="exact"/>
        <w:rPr>
          <w:rFonts w:ascii="宋体" w:hAnsi="宋体"/>
          <w:szCs w:val="21"/>
        </w:rPr>
      </w:pPr>
      <w:r>
        <w:rPr>
          <w:rFonts w:ascii="宋体" w:hAnsi="宋体" w:hint="eastAsia"/>
          <w:szCs w:val="21"/>
        </w:rPr>
        <w:t xml:space="preserve">    （注：固定单价合同应填写单价和最高限价）</w:t>
      </w:r>
    </w:p>
    <w:p w:rsidR="00876E3B">
      <w:pPr>
        <w:adjustRightInd w:val="0"/>
        <w:snapToGrid w:val="0"/>
        <w:spacing w:line="400" w:lineRule="exact"/>
        <w:rPr>
          <w:rFonts w:ascii="宋体" w:hAnsi="宋体"/>
          <w:szCs w:val="21"/>
        </w:rPr>
      </w:pPr>
      <w:r>
        <w:rPr>
          <w:rFonts w:ascii="宋体" w:hAnsi="宋体" w:hint="eastAsia"/>
          <w:szCs w:val="21"/>
        </w:rPr>
        <w:t xml:space="preserve">    （2）合同定价方式（采用组合定价方式的，</w:t>
      </w:r>
      <w:r>
        <w:rPr>
          <w:rFonts w:ascii="宋体" w:hAnsi="宋体" w:hint="eastAsia"/>
          <w:szCs w:val="21"/>
        </w:rPr>
        <w:t>可以勾选多项</w:t>
      </w:r>
      <w:r>
        <w:rPr>
          <w:rFonts w:ascii="宋体" w:hAnsi="宋体" w:hint="eastAsia"/>
          <w:szCs w:val="21"/>
        </w:rPr>
        <w:t>）：</w:t>
      </w:r>
    </w:p>
    <w:p w:rsidR="00876E3B">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876E3B">
      <w:pPr>
        <w:pStyle w:val="12"/>
        <w:spacing w:line="400" w:lineRule="exact"/>
      </w:pPr>
      <w:r>
        <w:rPr>
          <w:rFonts w:ascii="宋体" w:hAnsi="宋体" w:hint="eastAsia"/>
        </w:rPr>
        <w:t>（3）付款方式（按项目</w:t>
      </w:r>
      <w:r>
        <w:rPr>
          <w:rFonts w:ascii="宋体" w:hAnsi="宋体" w:hint="eastAsia"/>
        </w:rPr>
        <w:t>实际勾选填写</w:t>
      </w:r>
      <w:r>
        <w:rPr>
          <w:rFonts w:ascii="宋体" w:hAnsi="宋体" w:hint="eastAsia"/>
        </w:rPr>
        <w:t>）：</w:t>
      </w:r>
    </w:p>
    <w:p w:rsidR="00876E3B">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rsidR="00DB5529" w:rsidRPr="00DB5529" w:rsidP="00DB5529">
      <w:pPr>
        <w:snapToGrid w:val="0"/>
        <w:spacing w:line="400" w:lineRule="exact"/>
        <w:ind w:firstLine="630" w:firstLineChars="300"/>
        <w:rPr>
          <w:rFonts w:ascii="宋体" w:hAnsi="宋体"/>
          <w:szCs w:val="21"/>
          <w:u w:val="single"/>
        </w:rPr>
      </w:pPr>
      <w:r>
        <w:rPr>
          <w:rFonts w:ascii="Wingdings 2" w:hAnsi="Wingdings 2"/>
          <w:szCs w:val="21"/>
        </w:rPr>
        <w:sym w:font="Wingdings 2" w:char="F052"/>
      </w:r>
      <w:r w:rsidRPr="00DB5529" w:rsidR="007028DD">
        <w:rPr>
          <w:rFonts w:ascii="Wingdings" w:hAnsi="Wingdings" w:hint="eastAsia"/>
          <w:szCs w:val="21"/>
        </w:rPr>
        <w:t>分</w:t>
      </w:r>
      <w:r w:rsidR="007028DD">
        <w:rPr>
          <w:rFonts w:ascii="宋体" w:hAnsi="宋体" w:hint="eastAsia"/>
          <w:szCs w:val="21"/>
        </w:rPr>
        <w:t>期付款：</w:t>
      </w:r>
      <w:r w:rsidR="007028DD">
        <w:rPr>
          <w:rFonts w:ascii="宋体" w:hAnsi="宋体" w:hint="eastAsia"/>
          <w:szCs w:val="21"/>
          <w:u w:val="single"/>
        </w:rPr>
        <w:t xml:space="preserve">  </w:t>
      </w:r>
      <w:r w:rsidRPr="00DB5529">
        <w:rPr>
          <w:rFonts w:ascii="宋体" w:hAnsi="宋体" w:hint="eastAsia"/>
          <w:szCs w:val="21"/>
          <w:u w:val="single"/>
        </w:rPr>
        <w:t xml:space="preserve">（1）预付款：签订合同之日起 30 </w:t>
      </w:r>
      <w:r w:rsidRPr="00DB5529">
        <w:rPr>
          <w:rFonts w:ascii="宋体" w:hAnsi="宋体" w:hint="eastAsia"/>
          <w:szCs w:val="21"/>
          <w:u w:val="single"/>
        </w:rPr>
        <w:t>个</w:t>
      </w:r>
      <w:r w:rsidRPr="00DB5529">
        <w:rPr>
          <w:rFonts w:ascii="宋体" w:hAnsi="宋体" w:hint="eastAsia"/>
          <w:szCs w:val="21"/>
          <w:u w:val="single"/>
        </w:rPr>
        <w:t xml:space="preserve">工作日内，乙方向甲方提交总合同金额 10% 的履约保函，甲方向乙方支付合同总金额的 </w:t>
      </w:r>
      <w:r>
        <w:rPr>
          <w:rFonts w:ascii="宋体" w:hAnsi="宋体" w:hint="eastAsia"/>
          <w:szCs w:val="21"/>
          <w:u w:val="single"/>
        </w:rPr>
        <w:t>3</w:t>
      </w:r>
      <w:r w:rsidRPr="00DB5529">
        <w:rPr>
          <w:rFonts w:ascii="宋体" w:hAnsi="宋体" w:hint="eastAsia"/>
          <w:szCs w:val="21"/>
          <w:u w:val="single"/>
        </w:rPr>
        <w:t xml:space="preserve">0%的预付款，即        ，大写    </w:t>
      </w:r>
      <w:r>
        <w:rPr>
          <w:rFonts w:ascii="宋体" w:hAnsi="宋体" w:hint="eastAsia"/>
          <w:szCs w:val="21"/>
          <w:u w:val="single"/>
        </w:rPr>
        <w:t>。</w:t>
      </w:r>
    </w:p>
    <w:p w:rsidR="00DB5529" w:rsidRPr="00DB5529" w:rsidP="00DB5529">
      <w:pPr>
        <w:snapToGrid w:val="0"/>
        <w:spacing w:line="400" w:lineRule="exact"/>
        <w:ind w:firstLine="630" w:firstLineChars="300"/>
        <w:rPr>
          <w:rFonts w:ascii="宋体" w:hAnsi="宋体"/>
          <w:szCs w:val="21"/>
          <w:u w:val="single"/>
        </w:rPr>
      </w:pPr>
      <w:r w:rsidRPr="00DB5529">
        <w:rPr>
          <w:rFonts w:ascii="宋体" w:hAnsi="宋体" w:hint="eastAsia"/>
          <w:szCs w:val="21"/>
          <w:u w:val="single"/>
        </w:rPr>
        <w:t xml:space="preserve">（2）进度款：货物到达安装现场经甲方签收，完成安装、调试，经甲方初步验收合格后 30 </w:t>
      </w:r>
      <w:r w:rsidRPr="00DB5529">
        <w:rPr>
          <w:rFonts w:ascii="宋体" w:hAnsi="宋体" w:hint="eastAsia"/>
          <w:szCs w:val="21"/>
          <w:u w:val="single"/>
        </w:rPr>
        <w:t>个</w:t>
      </w:r>
      <w:r w:rsidRPr="00DB5529">
        <w:rPr>
          <w:rFonts w:ascii="宋体" w:hAnsi="宋体" w:hint="eastAsia"/>
          <w:szCs w:val="21"/>
          <w:u w:val="single"/>
        </w:rPr>
        <w:t xml:space="preserve">工作日内，甲方向乙方支付合同总金额的 40%，即 ¥       元人民币，大写：      。                  </w:t>
      </w:r>
    </w:p>
    <w:p w:rsidR="00876E3B" w:rsidP="00DB5529">
      <w:pPr>
        <w:snapToGrid w:val="0"/>
        <w:spacing w:line="400" w:lineRule="exact"/>
        <w:ind w:firstLine="630" w:firstLineChars="300"/>
        <w:rPr>
          <w:rFonts w:ascii="宋体" w:hAnsi="宋体" w:hint="eastAsia"/>
          <w:szCs w:val="21"/>
          <w:u w:val="single"/>
        </w:rPr>
      </w:pPr>
      <w:r w:rsidRPr="00DB5529">
        <w:rPr>
          <w:rFonts w:ascii="宋体" w:hAnsi="宋体" w:hint="eastAsia"/>
          <w:szCs w:val="21"/>
          <w:u w:val="single"/>
        </w:rPr>
        <w:t xml:space="preserve">（3）尾款：甲方进行货物最终验收，验收合格，并由甲乙双方签署验收报告后 30 </w:t>
      </w:r>
      <w:r w:rsidRPr="00DB5529">
        <w:rPr>
          <w:rFonts w:ascii="宋体" w:hAnsi="宋体" w:hint="eastAsia"/>
          <w:szCs w:val="21"/>
          <w:u w:val="single"/>
        </w:rPr>
        <w:t>个</w:t>
      </w:r>
      <w:r w:rsidRPr="00DB5529">
        <w:rPr>
          <w:rFonts w:ascii="宋体" w:hAnsi="宋体" w:hint="eastAsia"/>
          <w:szCs w:val="21"/>
          <w:u w:val="single"/>
        </w:rPr>
        <w:t xml:space="preserve">工作日内，甲方向乙方支付合同总金额的 </w:t>
      </w:r>
      <w:r>
        <w:rPr>
          <w:rFonts w:ascii="宋体" w:hAnsi="宋体" w:hint="eastAsia"/>
          <w:szCs w:val="21"/>
          <w:u w:val="single"/>
        </w:rPr>
        <w:t>3</w:t>
      </w:r>
      <w:r w:rsidRPr="00DB5529">
        <w:rPr>
          <w:rFonts w:ascii="宋体" w:hAnsi="宋体" w:hint="eastAsia"/>
          <w:szCs w:val="21"/>
          <w:u w:val="single"/>
        </w:rPr>
        <w:t>0%，即 ¥       元人民币，大写：</w:t>
      </w:r>
      <w:r>
        <w:rPr>
          <w:rFonts w:ascii="宋体" w:hAnsi="宋体" w:hint="eastAsia"/>
          <w:szCs w:val="21"/>
          <w:u w:val="single"/>
        </w:rPr>
        <w:t xml:space="preserve">         。</w:t>
      </w:r>
      <w:r w:rsidR="007028DD">
        <w:rPr>
          <w:rFonts w:ascii="宋体" w:hAnsi="宋体" w:hint="eastAsia"/>
          <w:szCs w:val="21"/>
          <w:u w:val="single"/>
        </w:rPr>
        <w:t xml:space="preserve"> </w:t>
      </w:r>
    </w:p>
    <w:p w:rsidR="00683378" w:rsidRPr="00683378" w:rsidP="00683378">
      <w:pPr>
        <w:snapToGrid w:val="0"/>
        <w:spacing w:line="400" w:lineRule="exact"/>
        <w:ind w:firstLine="630" w:firstLineChars="300"/>
        <w:rPr>
          <w:rFonts w:ascii="宋体" w:hAnsi="宋体"/>
          <w:szCs w:val="21"/>
          <w:u w:val="single"/>
        </w:rPr>
      </w:pPr>
      <w:r w:rsidRPr="00683378">
        <w:rPr>
          <w:rFonts w:ascii="宋体" w:hAnsi="宋体" w:hint="eastAsia"/>
          <w:szCs w:val="21"/>
          <w:u w:val="single"/>
        </w:rPr>
        <w:t xml:space="preserve">（4）在质量保修期届满且乙方履行完保修义务后 30 </w:t>
      </w:r>
      <w:r w:rsidRPr="00683378">
        <w:rPr>
          <w:rFonts w:ascii="宋体" w:hAnsi="宋体" w:hint="eastAsia"/>
          <w:szCs w:val="21"/>
          <w:u w:val="single"/>
        </w:rPr>
        <w:t>个</w:t>
      </w:r>
      <w:r w:rsidRPr="00683378">
        <w:rPr>
          <w:rFonts w:ascii="宋体" w:hAnsi="宋体" w:hint="eastAsia"/>
          <w:szCs w:val="21"/>
          <w:u w:val="single"/>
        </w:rPr>
        <w:t>工作日内，甲方向乙方返还履约保证金，即 ¥          元人民币，大写：         。</w:t>
      </w:r>
    </w:p>
    <w:p w:rsidR="00876E3B">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rsidR="00876E3B">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rsidR="00876E3B" w:rsidP="00DB5529">
      <w:pPr>
        <w:numPr>
          <w:ilvl w:val="0"/>
          <w:numId w:val="5"/>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876E3B">
      <w:pPr>
        <w:adjustRightInd w:val="0"/>
        <w:snapToGrid w:val="0"/>
        <w:spacing w:line="400" w:lineRule="exact"/>
        <w:ind w:firstLine="420" w:firstLineChars="200"/>
        <w:rPr>
          <w:rFonts w:ascii="宋体" w:hAnsi="宋体" w:cs="宋体"/>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876E3B">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rsidR="00876E3B">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rsidR="00876E3B">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rsidR="00876E3B">
      <w:pPr>
        <w:pStyle w:val="AONormal"/>
        <w:ind w:firstLine="420"/>
        <w:rPr>
          <w:rFonts w:ascii="宋体" w:eastAsia="宋体" w:hAnsi="宋体" w:cs="宋体"/>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rsidR="00876E3B">
      <w:pPr>
        <w:snapToGrid w:val="0"/>
        <w:spacing w:line="400" w:lineRule="exact"/>
        <w:ind w:firstLine="420" w:firstLineChars="200"/>
        <w:rPr>
          <w:rFonts w:ascii="宋体" w:hAnsi="宋体" w:cs="宋体"/>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rsidR="00876E3B">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rsidR="00876E3B">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876E3B" w:rsidP="00DB5529">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876E3B">
      <w:pPr>
        <w:numPr>
          <w:ilvl w:val="0"/>
          <w:numId w:val="7"/>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rsidR="00876E3B">
      <w:pPr>
        <w:adjustRightInd w:val="0"/>
        <w:snapToGrid w:val="0"/>
        <w:spacing w:line="400" w:lineRule="exact"/>
        <w:rPr>
          <w:rFonts w:ascii="宋体" w:hAnsi="宋体"/>
          <w:bCs/>
          <w:szCs w:val="21"/>
        </w:rPr>
      </w:pPr>
      <w:r>
        <w:rPr>
          <w:rFonts w:ascii="宋体" w:hAnsi="宋体" w:hint="eastAsia"/>
          <w:bCs/>
          <w:szCs w:val="21"/>
        </w:rPr>
        <w:t xml:space="preserve">         验收主体：</w:t>
      </w:r>
      <w:r>
        <w:rPr>
          <w:rFonts w:ascii="宋体" w:hAnsi="宋体" w:hint="eastAsia"/>
          <w:bCs/>
          <w:szCs w:val="21"/>
          <w:u w:val="single"/>
        </w:rPr>
        <w:t xml:space="preserve">                  </w:t>
      </w:r>
    </w:p>
    <w:p w:rsidR="00876E3B">
      <w:pPr>
        <w:adjustRightInd w:val="0"/>
        <w:snapToGrid w:val="0"/>
        <w:spacing w:line="400" w:lineRule="exact"/>
        <w:rPr>
          <w:rFonts w:ascii="宋体" w:hAnsi="宋体"/>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876E3B">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876E3B">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876E3B">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876E3B">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876E3B">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876E3B">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876E3B">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876E3B">
      <w:pPr>
        <w:adjustRightInd w:val="0"/>
        <w:snapToGrid w:val="0"/>
        <w:spacing w:line="400" w:lineRule="exact"/>
        <w:ind w:firstLine="420" w:firstLineChars="200"/>
        <w:rPr>
          <w:rFonts w:ascii="宋体" w:hAnsi="宋体"/>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rsidR="00876E3B">
      <w:pPr>
        <w:adjustRightInd w:val="0"/>
        <w:snapToGrid w:val="0"/>
        <w:spacing w:line="400" w:lineRule="exact"/>
        <w:ind w:firstLine="420" w:firstLineChars="200"/>
        <w:rPr>
          <w:rFonts w:ascii="宋体" w:hAnsi="宋体"/>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rsidR="00876E3B">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rsidR="00876E3B">
      <w:pPr>
        <w:adjustRightInd w:val="0"/>
        <w:snapToGrid w:val="0"/>
        <w:spacing w:line="400" w:lineRule="exact"/>
        <w:ind w:firstLine="420" w:firstLineChars="200"/>
        <w:rPr>
          <w:rFonts w:ascii="宋体" w:hAnsi="宋体"/>
          <w:bCs/>
          <w:szCs w:val="21"/>
        </w:rPr>
      </w:pPr>
      <w:r>
        <w:rPr>
          <w:rFonts w:ascii="宋体" w:hAnsi="宋体" w:hint="eastAsia"/>
          <w:bCs/>
          <w:szCs w:val="21"/>
        </w:rPr>
        <w:t>（4）履约验收程序：</w:t>
      </w:r>
      <w:r>
        <w:rPr>
          <w:rFonts w:ascii="宋体" w:hAnsi="宋体" w:hint="eastAsia"/>
          <w:bCs/>
          <w:szCs w:val="21"/>
          <w:u w:val="single"/>
        </w:rPr>
        <w:t xml:space="preserve">                                         </w:t>
      </w:r>
    </w:p>
    <w:p w:rsidR="00876E3B">
      <w:pPr>
        <w:adjustRightInd w:val="0"/>
        <w:snapToGrid w:val="0"/>
        <w:spacing w:line="400" w:lineRule="exact"/>
        <w:ind w:firstLine="420" w:firstLineChars="200"/>
        <w:rPr>
          <w:rFonts w:ascii="宋体" w:hAnsi="宋体"/>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876E3B">
      <w:pPr>
        <w:adjustRightInd w:val="0"/>
        <w:snapToGrid w:val="0"/>
        <w:spacing w:line="400" w:lineRule="exact"/>
        <w:ind w:firstLine="420" w:firstLineChars="200"/>
        <w:rPr>
          <w:rFonts w:ascii="宋体" w:hAnsi="宋体"/>
          <w:bCs/>
          <w:szCs w:val="21"/>
          <w:u w:val="single"/>
        </w:rPr>
      </w:pPr>
      <w:r>
        <w:rPr>
          <w:rFonts w:ascii="宋体" w:hAnsi="宋体" w:hint="eastAsia"/>
          <w:bCs/>
          <w:szCs w:val="21"/>
        </w:rPr>
        <w:t>（6）履约验收标准：</w:t>
      </w:r>
      <w:r>
        <w:rPr>
          <w:rFonts w:ascii="宋体" w:hAnsi="宋体" w:hint="eastAsia"/>
          <w:bCs/>
          <w:szCs w:val="21"/>
          <w:u w:val="single"/>
        </w:rPr>
        <w:t xml:space="preserve">                                         </w:t>
      </w:r>
    </w:p>
    <w:p w:rsidR="00876E3B">
      <w:pPr>
        <w:pStyle w:val="AONormal"/>
        <w:ind w:firstLine="420"/>
        <w:rPr>
          <w:rFonts w:ascii="宋体" w:eastAsia="宋体" w:hAnsi="宋体" w:cs="宋体"/>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rsidR="00876E3B">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rsidR="00876E3B" w:rsidP="00DB5529">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876E3B">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876E3B">
      <w:pPr>
        <w:adjustRightInd w:val="0"/>
        <w:snapToGrid w:val="0"/>
        <w:spacing w:line="400" w:lineRule="exact"/>
        <w:ind w:firstLine="420" w:firstLineChars="200"/>
        <w:rPr>
          <w:rFonts w:ascii="宋体" w:hAnsi="宋体"/>
          <w:szCs w:val="21"/>
        </w:rPr>
      </w:pPr>
      <w:r>
        <w:rPr>
          <w:rFonts w:ascii="宋体" w:hAnsi="宋体" w:hint="eastAsia"/>
          <w:szCs w:val="21"/>
        </w:rPr>
        <w:t>（1）政府采购合同协议书及其变更、补充协议</w:t>
      </w:r>
    </w:p>
    <w:p w:rsidR="00876E3B">
      <w:pPr>
        <w:adjustRightInd w:val="0"/>
        <w:snapToGrid w:val="0"/>
        <w:spacing w:line="400" w:lineRule="exact"/>
        <w:ind w:firstLine="420" w:firstLineChars="200"/>
        <w:rPr>
          <w:rFonts w:ascii="宋体" w:hAnsi="宋体"/>
          <w:szCs w:val="21"/>
        </w:rPr>
      </w:pPr>
      <w:r>
        <w:rPr>
          <w:rFonts w:ascii="宋体" w:hAnsi="宋体" w:hint="eastAsia"/>
          <w:szCs w:val="21"/>
        </w:rPr>
        <w:t>（2）政府采购合同专用条款</w:t>
      </w:r>
    </w:p>
    <w:p w:rsidR="00876E3B">
      <w:pPr>
        <w:adjustRightInd w:val="0"/>
        <w:snapToGrid w:val="0"/>
        <w:spacing w:line="400" w:lineRule="exact"/>
        <w:ind w:firstLine="420" w:firstLineChars="200"/>
        <w:rPr>
          <w:rFonts w:ascii="宋体" w:hAnsi="宋体"/>
          <w:szCs w:val="21"/>
        </w:rPr>
      </w:pPr>
      <w:r>
        <w:rPr>
          <w:rFonts w:ascii="宋体" w:hAnsi="宋体" w:hint="eastAsia"/>
          <w:szCs w:val="21"/>
        </w:rPr>
        <w:t>（3）政府采购合同通用条款</w:t>
      </w:r>
    </w:p>
    <w:p w:rsidR="00876E3B">
      <w:pPr>
        <w:adjustRightInd w:val="0"/>
        <w:snapToGrid w:val="0"/>
        <w:spacing w:line="400" w:lineRule="exact"/>
        <w:ind w:firstLine="420" w:firstLineChars="200"/>
        <w:rPr>
          <w:rFonts w:ascii="宋体" w:hAnsi="宋体"/>
          <w:szCs w:val="21"/>
        </w:rPr>
      </w:pPr>
      <w:r>
        <w:rPr>
          <w:rFonts w:ascii="宋体" w:hAnsi="宋体" w:hint="eastAsia"/>
          <w:szCs w:val="21"/>
        </w:rPr>
        <w:t>（4）中标（成交）通知书</w:t>
      </w:r>
    </w:p>
    <w:p w:rsidR="00876E3B">
      <w:pPr>
        <w:adjustRightInd w:val="0"/>
        <w:snapToGrid w:val="0"/>
        <w:spacing w:line="400" w:lineRule="exact"/>
        <w:ind w:firstLine="420" w:firstLineChars="200"/>
        <w:rPr>
          <w:rFonts w:ascii="宋体" w:hAnsi="宋体"/>
          <w:szCs w:val="21"/>
        </w:rPr>
      </w:pPr>
      <w:r>
        <w:rPr>
          <w:rFonts w:ascii="宋体" w:hAnsi="宋体" w:hint="eastAsia"/>
          <w:szCs w:val="21"/>
        </w:rPr>
        <w:t>（5）投标（响应）文件</w:t>
      </w:r>
    </w:p>
    <w:p w:rsidR="00876E3B">
      <w:pPr>
        <w:adjustRightInd w:val="0"/>
        <w:snapToGrid w:val="0"/>
        <w:spacing w:line="400" w:lineRule="exact"/>
        <w:ind w:firstLine="420" w:firstLineChars="200"/>
        <w:rPr>
          <w:rFonts w:ascii="宋体" w:hAnsi="宋体"/>
          <w:szCs w:val="21"/>
        </w:rPr>
      </w:pPr>
      <w:r>
        <w:rPr>
          <w:rFonts w:ascii="宋体" w:hAnsi="宋体" w:hint="eastAsia"/>
          <w:szCs w:val="21"/>
        </w:rPr>
        <w:t>（6）采购文件</w:t>
      </w:r>
    </w:p>
    <w:p w:rsidR="00876E3B">
      <w:pPr>
        <w:adjustRightInd w:val="0"/>
        <w:snapToGrid w:val="0"/>
        <w:spacing w:line="400" w:lineRule="exact"/>
        <w:ind w:firstLine="420" w:firstLineChars="200"/>
        <w:rPr>
          <w:rFonts w:ascii="宋体" w:hAnsi="宋体"/>
          <w:szCs w:val="21"/>
        </w:rPr>
      </w:pPr>
      <w:r>
        <w:rPr>
          <w:rFonts w:ascii="宋体" w:hAnsi="宋体" w:hint="eastAsia"/>
          <w:szCs w:val="21"/>
        </w:rPr>
        <w:t>（7）有关技术文件，图纸</w:t>
      </w:r>
    </w:p>
    <w:p w:rsidR="00876E3B">
      <w:pPr>
        <w:pStyle w:val="AONormal"/>
        <w:ind w:firstLine="420"/>
        <w:rPr>
          <w:rFonts w:ascii="宋体" w:eastAsia="宋体" w:hAnsi="宋体" w:cs="宋体"/>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rsidR="00876E3B" w:rsidP="00DB5529">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876E3B">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876E3B" w:rsidP="00DB5529">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876E3B">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876E3B">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876E3B">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876E3B">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876E3B">
      <w:r>
        <w:rPr>
          <w:rFonts w:hint="eastAsia"/>
        </w:rPr>
        <w:br w:type="page"/>
      </w:r>
    </w:p>
    <w:p w:rsidR="00876E3B">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8"/>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876E3B">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876E3B">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876E3B">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876E3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76E3B">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876E3B">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876E3B">
            <w:pPr>
              <w:adjustRightInd w:val="0"/>
              <w:snapToGrid w:val="0"/>
              <w:spacing w:line="300" w:lineRule="exact"/>
              <w:jc w:val="center"/>
              <w:rPr>
                <w:szCs w:val="21"/>
              </w:rPr>
            </w:pPr>
            <w:r>
              <w:rPr>
                <w:szCs w:val="21"/>
              </w:rPr>
              <w:t>法定代表人</w:t>
            </w:r>
          </w:p>
          <w:p w:rsidR="00876E3B">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876E3B">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876E3B">
            <w:pPr>
              <w:adjustRightInd w:val="0"/>
              <w:snapToGrid w:val="0"/>
              <w:spacing w:line="300" w:lineRule="exact"/>
              <w:jc w:val="center"/>
              <w:rPr>
                <w:szCs w:val="21"/>
              </w:rPr>
            </w:pPr>
            <w:r>
              <w:rPr>
                <w:szCs w:val="21"/>
              </w:rPr>
              <w:t>法定代表人</w:t>
            </w:r>
          </w:p>
          <w:p w:rsidR="00876E3B">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876E3B">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876E3B">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876E3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76E3B">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876E3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876E3B">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876E3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76E3B">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876E3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876E3B">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876E3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76E3B">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876E3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876E3B">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876E3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76E3B">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876E3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876E3B">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876E3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76E3B">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876E3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876E3B">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876E3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76E3B">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876E3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876E3B">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876E3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76E3B">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876E3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876E3B">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876E3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76E3B">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876E3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876E3B">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876E3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76E3B">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876E3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876E3B">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876E3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76E3B">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876E3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876E3B">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876E3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76E3B">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876E3B">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876E3B">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876E3B">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2" w:name="_Toc27624"/>
      <w:r>
        <w:rPr>
          <w:rFonts w:ascii="黑体" w:hAnsi="黑体" w:hint="eastAsia"/>
          <w:b w:val="0"/>
          <w:bCs w:val="0"/>
          <w:sz w:val="28"/>
          <w:szCs w:val="28"/>
        </w:rPr>
        <w:t>第二节 政府采购合同通用条款</w:t>
      </w:r>
      <w:bookmarkEnd w:id="72"/>
    </w:p>
    <w:p w:rsidR="00876E3B">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876E3B">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1.1合同当事人</w:t>
      </w:r>
    </w:p>
    <w:p w:rsidR="00876E3B">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（1）采购人（以下称甲方）是指使用财政性资金，通过政府采购方式向供应商购买货物及其相关服务的国家机关、事业单位、团体组织。</w:t>
      </w:r>
    </w:p>
    <w:p w:rsidR="00876E3B">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876E3B">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876E3B">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1.2本合同下列术语应解释为：</w:t>
      </w:r>
    </w:p>
    <w:p w:rsidR="00876E3B">
      <w:pPr>
        <w:adjustRightInd w:val="0"/>
        <w:snapToGrid w:val="0"/>
        <w:spacing w:line="400" w:lineRule="exact"/>
        <w:ind w:firstLine="420" w:firstLineChars="200"/>
        <w:jc w:val="left"/>
        <w:rPr>
          <w:rFonts w:ascii="宋体" w:hAnsi="宋体"/>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876E3B">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（2）“合同价款”系指根据本合同规定乙方在全面履行合同义务后甲方应支付给乙方的价款。</w:t>
      </w:r>
    </w:p>
    <w:p w:rsidR="00876E3B">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876E3B">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876E3B">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w:t>
      </w:r>
      <w:r>
        <w:rPr>
          <w:rFonts w:ascii="宋体" w:hAnsi="宋体" w:hint="eastAsia"/>
          <w:color w:val="000000"/>
          <w:szCs w:val="21"/>
        </w:rPr>
        <w:t>商履行</w:t>
      </w:r>
      <w:r>
        <w:rPr>
          <w:rFonts w:ascii="宋体" w:hAnsi="宋体" w:hint="eastAsia"/>
          <w:color w:val="000000"/>
          <w:szCs w:val="21"/>
        </w:rPr>
        <w:t>合同的行为。</w:t>
      </w:r>
    </w:p>
    <w:p w:rsidR="00876E3B">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876E3B">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rsidR="00876E3B">
      <w:pPr>
        <w:numPr>
          <w:ilvl w:val="0"/>
          <w:numId w:val="8"/>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876E3B">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876E3B">
      <w:pPr>
        <w:adjustRightInd w:val="0"/>
        <w:snapToGrid w:val="0"/>
        <w:spacing w:line="400" w:lineRule="exact"/>
        <w:jc w:val="left"/>
        <w:rPr>
          <w:rFonts w:ascii="宋体" w:hAnsi="宋体"/>
          <w:b/>
          <w:color w:val="000000"/>
        </w:rPr>
      </w:pPr>
      <w:r>
        <w:rPr>
          <w:rFonts w:ascii="宋体" w:hAnsi="宋体" w:hint="eastAsia"/>
          <w:b/>
          <w:color w:val="000000"/>
          <w:sz w:val="24"/>
        </w:rPr>
        <w:t>3. 履行合同的时间、地点和方式</w:t>
      </w:r>
    </w:p>
    <w:p w:rsidR="00876E3B">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876E3B">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4. 甲方的权利和义务</w:t>
      </w:r>
    </w:p>
    <w:p w:rsidR="00876E3B">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876E3B">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876E3B">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876E3B">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w:t>
      </w:r>
      <w:r>
        <w:rPr>
          <w:rFonts w:ascii="宋体" w:hAnsi="宋体" w:cs="宋体" w:hint="eastAsia"/>
          <w:szCs w:val="21"/>
        </w:rPr>
        <w:t>作出</w:t>
      </w:r>
      <w:r>
        <w:rPr>
          <w:rFonts w:ascii="宋体" w:hAnsi="宋体" w:cs="宋体" w:hint="eastAsia"/>
          <w:szCs w:val="21"/>
        </w:rPr>
        <w:t>任何说明的，</w:t>
      </w:r>
      <w:r>
        <w:rPr>
          <w:rFonts w:ascii="宋体" w:hAnsi="宋体" w:hint="eastAsia"/>
          <w:color w:val="000000"/>
          <w:szCs w:val="21"/>
        </w:rPr>
        <w:t>视为验收通过。</w:t>
      </w:r>
    </w:p>
    <w:p w:rsidR="00876E3B">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876E3B">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876E3B">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5. 乙方的权利和义务</w:t>
      </w:r>
    </w:p>
    <w:p w:rsidR="00876E3B">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876E3B">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876E3B">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876E3B">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876E3B">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876E3B">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876E3B">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876E3B">
      <w:pPr>
        <w:adjustRightInd w:val="0"/>
        <w:snapToGrid w:val="0"/>
        <w:spacing w:line="400" w:lineRule="exact"/>
        <w:jc w:val="left"/>
        <w:rPr>
          <w:rFonts w:ascii="宋体" w:hAnsi="宋体"/>
          <w:b/>
          <w:bCs/>
          <w:color w:val="000000"/>
        </w:rPr>
      </w:pPr>
      <w:r>
        <w:rPr>
          <w:rFonts w:ascii="宋体" w:hAnsi="宋体" w:hint="eastAsia"/>
          <w:b/>
          <w:bCs/>
          <w:color w:val="000000"/>
          <w:sz w:val="24"/>
        </w:rPr>
        <w:t>7. 货物包装、运输、保险和交付要求</w:t>
      </w:r>
    </w:p>
    <w:p w:rsidR="00876E3B">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876E3B">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876E3B">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876E3B">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876E3B">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876E3B">
      <w:pPr>
        <w:pStyle w:val="AONormal"/>
        <w:ind w:firstLine="420"/>
        <w:rPr>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rsidR="00876E3B">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876E3B">
      <w:pPr>
        <w:pStyle w:val="PlainText"/>
        <w:adjustRightInd w:val="0"/>
        <w:snapToGrid w:val="0"/>
        <w:spacing w:line="400" w:lineRule="exact"/>
        <w:ind w:firstLine="420" w:firstLineChars="200"/>
        <w:jc w:val="left"/>
        <w:rPr>
          <w:rFonts w:hAnsi="宋体"/>
          <w:b/>
        </w:rPr>
      </w:pPr>
      <w:r>
        <w:rPr>
          <w:rFonts w:hAnsi="宋体" w:hint="eastAsia"/>
        </w:rPr>
        <w:t>8.1 质量标准</w:t>
      </w:r>
    </w:p>
    <w:p w:rsidR="00876E3B">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876E3B">
      <w:pPr>
        <w:pStyle w:val="PlainText"/>
        <w:adjustRightInd w:val="0"/>
        <w:snapToGrid w:val="0"/>
        <w:spacing w:line="400" w:lineRule="exact"/>
        <w:ind w:firstLine="420" w:firstLineChars="200"/>
        <w:jc w:val="left"/>
        <w:rPr>
          <w:rFonts w:hAnsi="宋体"/>
        </w:rPr>
      </w:pPr>
      <w:r>
        <w:rPr>
          <w:rFonts w:hAnsi="宋体" w:hint="eastAsia"/>
        </w:rPr>
        <w:t>（2）采用中华人民共和国法定计量单位。</w:t>
      </w:r>
    </w:p>
    <w:p w:rsidR="00876E3B">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（3）乙方所提供的货物应符合国家有关安全、环保、卫生的规定。</w:t>
      </w:r>
    </w:p>
    <w:p w:rsidR="00876E3B">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（4）乙方应向甲方提交所提供货物的技术文件，包括相应的中文技术文件，如：产品目录、图纸、操作手册、使用说明、维护手册或服务指南等。上述文件应</w:t>
      </w:r>
      <w:r>
        <w:rPr>
          <w:rFonts w:ascii="宋体" w:hAnsi="宋体" w:hint="eastAsia"/>
          <w:szCs w:val="21"/>
        </w:rPr>
        <w:t>包装好随货物</w:t>
      </w:r>
      <w:r>
        <w:rPr>
          <w:rFonts w:ascii="宋体" w:hAnsi="宋体" w:hint="eastAsia"/>
          <w:szCs w:val="21"/>
        </w:rPr>
        <w:t>一同发运。</w:t>
      </w:r>
    </w:p>
    <w:p w:rsidR="00876E3B">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8.2 保证</w:t>
      </w:r>
    </w:p>
    <w:p w:rsidR="00876E3B">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w:t>
      </w:r>
      <w:r>
        <w:rPr>
          <w:rFonts w:ascii="宋体" w:hAnsi="宋体" w:hint="eastAsia"/>
          <w:szCs w:val="21"/>
        </w:rPr>
        <w:t>本保证</w:t>
      </w:r>
      <w:r>
        <w:rPr>
          <w:rFonts w:ascii="宋体" w:hAnsi="宋体" w:hint="eastAsia"/>
          <w:szCs w:val="21"/>
        </w:rPr>
        <w:t>保持有效。</w:t>
      </w:r>
    </w:p>
    <w:p w:rsidR="00876E3B">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（2）在质量保证期内所发现的缺陷，甲方应尽快以书面形式通知乙方。</w:t>
      </w:r>
    </w:p>
    <w:p w:rsidR="00876E3B">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876E3B">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876E3B">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876E3B">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876E3B">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9.1 乙方保证对其出售的货物享有合法的权利。</w:t>
      </w:r>
    </w:p>
    <w:p w:rsidR="00876E3B">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876E3B">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9.3 如甲方使用上述货物构成对第三人侵权的，则由乙方承担全部责任。</w:t>
      </w:r>
    </w:p>
    <w:p w:rsidR="00876E3B">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10. 知识产权保护</w:t>
      </w:r>
    </w:p>
    <w:p w:rsidR="00876E3B">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3"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3"/>
      <w:r>
        <w:rPr>
          <w:rFonts w:ascii="宋体" w:hAnsi="宋体" w:hint="eastAsia"/>
          <w:szCs w:val="21"/>
        </w:rPr>
        <w:t>。</w:t>
      </w:r>
    </w:p>
    <w:p w:rsidR="00876E3B">
      <w:pPr>
        <w:autoSpaceDE w:val="0"/>
        <w:autoSpaceDN w:val="0"/>
        <w:adjustRightInd w:val="0"/>
        <w:snapToGrid w:val="0"/>
        <w:spacing w:line="400" w:lineRule="exact"/>
        <w:jc w:val="left"/>
        <w:rPr>
          <w:rFonts w:ascii="宋体" w:hAnsi="宋体"/>
          <w:b/>
          <w:bCs/>
        </w:rPr>
      </w:pPr>
      <w:r>
        <w:rPr>
          <w:rFonts w:ascii="宋体" w:hAnsi="宋体" w:hint="eastAsia"/>
          <w:b/>
          <w:bCs/>
          <w:sz w:val="24"/>
        </w:rPr>
        <w:t>11. 保密义务</w:t>
      </w:r>
    </w:p>
    <w:p w:rsidR="00876E3B">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876E3B">
      <w:pPr>
        <w:autoSpaceDE w:val="0"/>
        <w:autoSpaceDN w:val="0"/>
        <w:adjustRightInd w:val="0"/>
        <w:snapToGrid w:val="0"/>
        <w:spacing w:line="400" w:lineRule="exact"/>
        <w:jc w:val="left"/>
        <w:rPr>
          <w:rFonts w:ascii="宋体" w:hAnsi="宋体"/>
          <w:b/>
          <w:bCs/>
        </w:rPr>
      </w:pPr>
      <w:r>
        <w:rPr>
          <w:rFonts w:ascii="宋体" w:hAnsi="宋体" w:hint="eastAsia"/>
          <w:b/>
          <w:bCs/>
          <w:sz w:val="24"/>
        </w:rPr>
        <w:t>12. 合同价款支付</w:t>
      </w:r>
    </w:p>
    <w:p w:rsidR="00876E3B">
      <w:pPr>
        <w:numPr>
          <w:ilvl w:val="1"/>
          <w:numId w:val="10"/>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876E3B">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876E3B">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876E3B">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876E3B">
      <w:pPr>
        <w:adjustRightInd w:val="0"/>
        <w:snapToGrid w:val="0"/>
        <w:spacing w:line="400" w:lineRule="exact"/>
        <w:ind w:firstLine="420" w:firstLineChars="200"/>
        <w:jc w:val="left"/>
        <w:rPr>
          <w:rFonts w:ascii="宋体" w:hAnsi="宋体"/>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876E3B">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876E3B">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876E3B">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w:t>
      </w:r>
      <w:r>
        <w:rPr>
          <w:rFonts w:ascii="宋体" w:hAnsi="宋体" w:hint="eastAsia"/>
          <w:szCs w:val="21"/>
        </w:rPr>
        <w:t>不涉及或采购活动中明确约定无须承担外，乙方还应提供下列服务：</w:t>
      </w:r>
    </w:p>
    <w:p w:rsidR="00876E3B">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（1）货物的现场移动、安装、调试、启动监督及技术支持；</w:t>
      </w:r>
    </w:p>
    <w:p w:rsidR="00876E3B">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（2）提供货物组装和维修所需的专用工具和辅助材料；</w:t>
      </w:r>
    </w:p>
    <w:p w:rsidR="00876E3B">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876E3B">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876E3B">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876E3B">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876E3B">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14.2 乙方提供的售后服务的费用已包含在合同价款中，甲方不再另行支付。</w:t>
      </w:r>
    </w:p>
    <w:p w:rsidR="00876E3B">
      <w:pPr>
        <w:adjustRightInd w:val="0"/>
        <w:snapToGrid w:val="0"/>
        <w:spacing w:line="400" w:lineRule="exact"/>
        <w:jc w:val="left"/>
        <w:rPr>
          <w:rFonts w:ascii="宋体" w:hAnsi="宋体"/>
          <w:b/>
          <w:bCs/>
        </w:rPr>
      </w:pPr>
      <w:r>
        <w:rPr>
          <w:rFonts w:ascii="宋体" w:hAnsi="宋体" w:hint="eastAsia"/>
          <w:b/>
          <w:bCs/>
          <w:sz w:val="24"/>
        </w:rPr>
        <w:t>15. 违约责任</w:t>
      </w:r>
    </w:p>
    <w:p w:rsidR="00876E3B">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15.1质量瑕疵的违约责任</w:t>
      </w:r>
    </w:p>
    <w:p w:rsidR="00876E3B">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876E3B">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15.2 迟延交货的违约责任</w:t>
      </w:r>
    </w:p>
    <w:p w:rsidR="00876E3B">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876E3B">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876E3B">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15.3 迟延支付的违约责任</w:t>
      </w:r>
    </w:p>
    <w:p w:rsidR="00876E3B">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876E3B">
      <w:pPr>
        <w:adjustRightInd w:val="0"/>
        <w:snapToGrid w:val="0"/>
        <w:spacing w:line="400" w:lineRule="exact"/>
        <w:ind w:firstLine="420" w:firstLineChars="200"/>
        <w:jc w:val="left"/>
        <w:rPr>
          <w:rFonts w:ascii="宋体" w:hAnsi="宋体"/>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876E3B">
      <w:pPr>
        <w:numPr>
          <w:ilvl w:val="0"/>
          <w:numId w:val="11"/>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876E3B">
      <w:pPr>
        <w:adjustRightInd w:val="0"/>
        <w:snapToGrid w:val="0"/>
        <w:spacing w:line="400" w:lineRule="exact"/>
        <w:jc w:val="left"/>
        <w:rPr>
          <w:rFonts w:ascii="宋体" w:hAnsi="宋体"/>
          <w:szCs w:val="21"/>
        </w:rPr>
      </w:pPr>
      <w:r>
        <w:rPr>
          <w:rFonts w:ascii="宋体" w:hAnsi="宋体" w:hint="eastAsia"/>
          <w:szCs w:val="21"/>
        </w:rPr>
        <w:t xml:space="preserve">    16.1合同的变更</w:t>
      </w:r>
    </w:p>
    <w:p w:rsidR="00876E3B">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876E3B">
      <w:pPr>
        <w:adjustRightInd w:val="0"/>
        <w:snapToGrid w:val="0"/>
        <w:spacing w:line="400" w:lineRule="exact"/>
        <w:ind w:firstLine="420" w:firstLineChars="200"/>
        <w:jc w:val="left"/>
        <w:rPr>
          <w:rFonts w:ascii="宋体" w:hAnsi="宋体"/>
          <w:szCs w:val="21"/>
        </w:rPr>
      </w:pPr>
      <w:r>
        <w:rPr>
          <w:rFonts w:ascii="宋体" w:hAnsi="宋体" w:hint="eastAsia"/>
          <w:szCs w:val="21"/>
        </w:rPr>
        <w:t>16.2合同的中止</w:t>
      </w:r>
    </w:p>
    <w:p w:rsidR="00876E3B">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（1）合同履行过程中因供应商就采购文件、采购过程或结果提起投诉的，甲方认为有必要的，可以中止合同的履行。</w:t>
      </w:r>
    </w:p>
    <w:p w:rsidR="00876E3B">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876E3B">
      <w:pPr>
        <w:pStyle w:val="AONormal"/>
        <w:ind w:firstLine="420"/>
        <w:jc w:val="both"/>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876E3B">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rsidR="00876E3B">
      <w:pPr>
        <w:adjustRightInd w:val="0"/>
        <w:snapToGrid w:val="0"/>
        <w:spacing w:line="400" w:lineRule="exact"/>
        <w:ind w:firstLine="420" w:firstLineChars="200"/>
        <w:jc w:val="left"/>
        <w:rPr>
          <w:rFonts w:ascii="宋体" w:hAnsi="宋体"/>
          <w:szCs w:val="21"/>
        </w:rPr>
      </w:pPr>
      <w:r>
        <w:rPr>
          <w:rFonts w:ascii="宋体" w:hAnsi="宋体" w:hint="eastAsia"/>
          <w:szCs w:val="21"/>
        </w:rPr>
        <w:t>16.3合同的终止</w:t>
      </w:r>
    </w:p>
    <w:p w:rsidR="00876E3B">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（1）合同因有效期限届满而终止；</w:t>
      </w:r>
    </w:p>
    <w:p w:rsidR="00876E3B">
      <w:pPr>
        <w:snapToGrid w:val="0"/>
        <w:spacing w:line="400" w:lineRule="exact"/>
        <w:ind w:firstLine="420" w:firstLineChars="200"/>
        <w:rPr>
          <w:rFonts w:ascii="宋体" w:hAnsi="宋体" w:cs="宋体"/>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876E3B">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876E3B">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876E3B">
      <w:pPr>
        <w:autoSpaceDE w:val="0"/>
        <w:autoSpaceDN w:val="0"/>
        <w:adjustRightInd w:val="0"/>
        <w:snapToGrid w:val="0"/>
        <w:spacing w:line="400" w:lineRule="exact"/>
        <w:jc w:val="left"/>
        <w:rPr>
          <w:rFonts w:ascii="宋体" w:hAnsi="宋体"/>
          <w:b/>
          <w:bCs/>
        </w:rPr>
      </w:pPr>
      <w:r>
        <w:rPr>
          <w:rFonts w:ascii="宋体" w:hAnsi="宋体" w:hint="eastAsia"/>
          <w:b/>
          <w:bCs/>
          <w:sz w:val="24"/>
        </w:rPr>
        <w:t>17. 合同分包</w:t>
      </w:r>
    </w:p>
    <w:p w:rsidR="00876E3B">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17.1 乙方不得将合同转包给其他供应商。涉及合同分包的，乙方应根据采购文件和投标（响应）文件规定进行合同分包。</w:t>
      </w:r>
    </w:p>
    <w:p w:rsidR="00876E3B">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rsidR="00876E3B">
      <w:pPr>
        <w:autoSpaceDE w:val="0"/>
        <w:autoSpaceDN w:val="0"/>
        <w:adjustRightInd w:val="0"/>
        <w:snapToGrid w:val="0"/>
        <w:spacing w:line="400" w:lineRule="exact"/>
        <w:jc w:val="left"/>
        <w:rPr>
          <w:rFonts w:ascii="宋体" w:hAnsi="宋体"/>
          <w:b/>
          <w:bCs/>
        </w:rPr>
      </w:pPr>
      <w:r>
        <w:rPr>
          <w:rFonts w:ascii="宋体" w:hAnsi="宋体" w:hint="eastAsia"/>
          <w:b/>
          <w:bCs/>
          <w:sz w:val="24"/>
        </w:rPr>
        <w:t>18. 不可抗力</w:t>
      </w:r>
    </w:p>
    <w:p w:rsidR="00876E3B">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18.1 不可抗力是指合同双方不能预见、不能避免且不能克服的客观情况。</w:t>
      </w:r>
    </w:p>
    <w:p w:rsidR="00876E3B">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18.2 任何一方对由于不可抗力造成的部分或全部不能履行合同不承担违约责任。但迟延履行后发生不可抗力的，不能免除责任。</w:t>
      </w:r>
    </w:p>
    <w:p w:rsidR="00876E3B">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876E3B">
      <w:pPr>
        <w:autoSpaceDE w:val="0"/>
        <w:autoSpaceDN w:val="0"/>
        <w:adjustRightInd w:val="0"/>
        <w:snapToGrid w:val="0"/>
        <w:spacing w:line="400" w:lineRule="exact"/>
        <w:jc w:val="left"/>
        <w:rPr>
          <w:rFonts w:ascii="宋体" w:hAnsi="宋体"/>
          <w:b/>
          <w:bCs/>
        </w:rPr>
      </w:pPr>
      <w:r>
        <w:rPr>
          <w:rFonts w:ascii="宋体" w:hAnsi="宋体" w:hint="eastAsia"/>
          <w:b/>
          <w:bCs/>
          <w:sz w:val="24"/>
        </w:rPr>
        <w:t>19. 解决争议的方法</w:t>
      </w:r>
    </w:p>
    <w:p w:rsidR="00876E3B">
      <w:pPr>
        <w:pStyle w:val="AONormal"/>
        <w:ind w:firstLine="420"/>
        <w:jc w:val="both"/>
        <w:rPr>
          <w:rFonts w:ascii="宋体" w:eastAsia="宋体" w:hAnsi="宋体" w:cs="宋体"/>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876E3B">
      <w:pPr>
        <w:pStyle w:val="AONormal"/>
        <w:ind w:firstLine="420"/>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876E3B">
      <w:pPr>
        <w:pStyle w:val="AONormal"/>
        <w:ind w:firstLine="420"/>
        <w:jc w:val="both"/>
        <w:rPr>
          <w:rFonts w:ascii="宋体" w:eastAsia="宋体" w:hAnsi="宋体" w:cs="宋体"/>
          <w:sz w:val="21"/>
        </w:rPr>
      </w:pPr>
      <w:r>
        <w:rPr>
          <w:rFonts w:ascii="宋体" w:eastAsia="宋体" w:hAnsi="宋体" w:cs="宋体" w:hint="eastAsia"/>
          <w:sz w:val="21"/>
        </w:rPr>
        <w:t>19.3 如甲乙双方有争议的事项不影响合同其他部分的履行，在争议解决期间，合同其他部分应当继续履行。</w:t>
      </w:r>
    </w:p>
    <w:p w:rsidR="00876E3B">
      <w:pPr>
        <w:autoSpaceDE w:val="0"/>
        <w:autoSpaceDN w:val="0"/>
        <w:adjustRightInd w:val="0"/>
        <w:snapToGrid w:val="0"/>
        <w:spacing w:line="400" w:lineRule="exact"/>
        <w:jc w:val="left"/>
        <w:rPr>
          <w:rFonts w:ascii="宋体" w:hAnsi="宋体"/>
        </w:rPr>
      </w:pPr>
      <w:r>
        <w:rPr>
          <w:rFonts w:ascii="宋体" w:hAnsi="宋体" w:hint="eastAsia"/>
          <w:b/>
          <w:sz w:val="24"/>
        </w:rPr>
        <w:t>20. 政府采购政策</w:t>
      </w:r>
    </w:p>
    <w:p w:rsidR="00876E3B">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876E3B">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876E3B">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w:t>
      </w:r>
      <w:r>
        <w:rPr>
          <w:rFonts w:ascii="宋体" w:hAnsi="宋体" w:hint="eastAsia"/>
          <w:color w:val="auto"/>
          <w:szCs w:val="21"/>
        </w:rPr>
        <w:t>包专门</w:t>
      </w:r>
      <w:r>
        <w:rPr>
          <w:rFonts w:ascii="宋体" w:hAnsi="宋体" w:hint="eastAsia"/>
          <w:color w:val="auto"/>
          <w:szCs w:val="21"/>
        </w:rPr>
        <w:t>预留、要求以联合体形</w:t>
      </w:r>
      <w:r>
        <w:rPr>
          <w:rFonts w:ascii="宋体" w:hAnsi="宋体" w:hint="eastAsia"/>
          <w:color w:val="auto"/>
          <w:szCs w:val="21"/>
        </w:rPr>
        <w:t>式参加</w:t>
      </w:r>
      <w:r>
        <w:rPr>
          <w:rFonts w:ascii="宋体" w:hAnsi="宋体" w:hint="eastAsia"/>
          <w:color w:val="auto"/>
          <w:szCs w:val="21"/>
        </w:rPr>
        <w:t>或者合同分包等措施签订的采购合同，应当明确标注本合同为中小企业预留合同。其中，要求以联合体形</w:t>
      </w:r>
      <w:r>
        <w:rPr>
          <w:rFonts w:ascii="宋体" w:hAnsi="宋体" w:hint="eastAsia"/>
          <w:color w:val="auto"/>
          <w:szCs w:val="21"/>
        </w:rPr>
        <w:t>式参加</w:t>
      </w:r>
      <w:r>
        <w:rPr>
          <w:rFonts w:ascii="宋体" w:hAnsi="宋体" w:hint="eastAsia"/>
          <w:color w:val="auto"/>
          <w:szCs w:val="21"/>
        </w:rPr>
        <w:t>采购活动或者合同分包的，须将联合协议或者分包意向协议作为采购合同的组成部分。</w:t>
      </w:r>
    </w:p>
    <w:p w:rsidR="00876E3B">
      <w:pPr>
        <w:autoSpaceDE w:val="0"/>
        <w:autoSpaceDN w:val="0"/>
        <w:adjustRightInd w:val="0"/>
        <w:snapToGrid w:val="0"/>
        <w:spacing w:line="400" w:lineRule="exact"/>
        <w:jc w:val="left"/>
        <w:rPr>
          <w:rFonts w:ascii="宋体" w:hAnsi="宋体"/>
          <w:b/>
        </w:rPr>
      </w:pPr>
      <w:r>
        <w:rPr>
          <w:rFonts w:ascii="宋体" w:hAnsi="宋体" w:hint="eastAsia"/>
          <w:b/>
          <w:sz w:val="24"/>
        </w:rPr>
        <w:t>21. 法律适用</w:t>
      </w:r>
    </w:p>
    <w:p w:rsidR="00876E3B">
      <w:pPr>
        <w:pStyle w:val="AONormal"/>
        <w:ind w:firstLine="420"/>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rsidR="00876E3B">
      <w:pPr>
        <w:pStyle w:val="AONormal"/>
        <w:ind w:firstLine="420"/>
        <w:jc w:val="both"/>
        <w:rPr>
          <w:rFonts w:ascii="宋体" w:eastAsia="宋体" w:hAnsi="宋体" w:cs="宋体"/>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rsidR="00876E3B">
      <w:pPr>
        <w:autoSpaceDE w:val="0"/>
        <w:autoSpaceDN w:val="0"/>
        <w:adjustRightInd w:val="0"/>
        <w:snapToGrid w:val="0"/>
        <w:spacing w:line="400" w:lineRule="exact"/>
        <w:jc w:val="left"/>
        <w:rPr>
          <w:rFonts w:ascii="宋体" w:hAnsi="宋体"/>
          <w:b/>
        </w:rPr>
      </w:pPr>
      <w:r>
        <w:rPr>
          <w:rFonts w:ascii="宋体" w:hAnsi="宋体" w:hint="eastAsia"/>
          <w:b/>
          <w:sz w:val="24"/>
        </w:rPr>
        <w:t>22. 通知</w:t>
      </w:r>
    </w:p>
    <w:p w:rsidR="00876E3B">
      <w:pPr>
        <w:pStyle w:val="AONormal"/>
        <w:ind w:firstLine="420"/>
        <w:jc w:val="both"/>
        <w:rPr>
          <w:rFonts w:ascii="宋体" w:eastAsia="宋体" w:hAnsi="宋体" w:cs="宋体"/>
          <w:sz w:val="21"/>
        </w:rPr>
      </w:pPr>
      <w:r>
        <w:rPr>
          <w:rFonts w:ascii="宋体" w:eastAsia="宋体" w:hAnsi="宋体" w:cs="宋体" w:hint="eastAsia"/>
          <w:sz w:val="21"/>
        </w:rPr>
        <w:t>22.1 本合同任何</w:t>
      </w:r>
      <w:r>
        <w:rPr>
          <w:rFonts w:ascii="宋体" w:eastAsia="宋体" w:hAnsi="宋体" w:cs="宋体" w:hint="eastAsia"/>
          <w:sz w:val="21"/>
        </w:rPr>
        <w:t>一</w:t>
      </w:r>
      <w:r>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rsidR="00876E3B">
      <w:pPr>
        <w:pStyle w:val="AONormal"/>
        <w:ind w:firstLine="0" w:firstLineChars="0"/>
        <w:jc w:val="both"/>
        <w:rPr>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876E3B">
      <w:pPr>
        <w:adjustRightInd w:val="0"/>
        <w:snapToGrid w:val="0"/>
        <w:spacing w:line="400" w:lineRule="exact"/>
        <w:ind w:firstLine="420" w:firstLineChars="200"/>
        <w:jc w:val="left"/>
        <w:rPr>
          <w:rFonts w:ascii="宋体" w:hAnsi="宋体"/>
          <w:szCs w:val="21"/>
        </w:rPr>
      </w:pPr>
      <w:r>
        <w:rPr>
          <w:rFonts w:ascii="宋体" w:hAnsi="宋体" w:hint="eastAsia"/>
          <w:szCs w:val="21"/>
        </w:rPr>
        <w:t>22.3本合同一方给另一方的通知均应采用书面形式，传真或快递送到本合同中规定的对方的地址和办理签收手续。</w:t>
      </w:r>
    </w:p>
    <w:p w:rsidR="00876E3B">
      <w:pPr>
        <w:adjustRightInd w:val="0"/>
        <w:snapToGrid w:val="0"/>
        <w:spacing w:line="400" w:lineRule="exact"/>
        <w:ind w:firstLine="420" w:firstLineChars="200"/>
        <w:jc w:val="left"/>
        <w:rPr>
          <w:rFonts w:ascii="宋体" w:hAnsi="宋体"/>
          <w:szCs w:val="21"/>
        </w:rPr>
      </w:pPr>
      <w:r>
        <w:rPr>
          <w:rFonts w:ascii="宋体" w:hAnsi="宋体" w:hint="eastAsia"/>
          <w:szCs w:val="21"/>
        </w:rPr>
        <w:t>22.4通知以送达之日或通知书中规定的生效之日起生效，两者中以较迟之日为准。</w:t>
      </w:r>
    </w:p>
    <w:p w:rsidR="00876E3B">
      <w:pPr>
        <w:numPr>
          <w:ilvl w:val="0"/>
          <w:numId w:val="12"/>
        </w:numPr>
        <w:adjustRightInd w:val="0"/>
        <w:snapToGrid w:val="0"/>
        <w:spacing w:line="400" w:lineRule="exact"/>
        <w:jc w:val="left"/>
        <w:rPr>
          <w:rFonts w:ascii="宋体" w:hAnsi="宋体"/>
          <w:b/>
          <w:bCs/>
        </w:rPr>
      </w:pPr>
      <w:r>
        <w:rPr>
          <w:rFonts w:ascii="宋体" w:hAnsi="宋体" w:hint="eastAsia"/>
          <w:b/>
          <w:bCs/>
          <w:sz w:val="24"/>
        </w:rPr>
        <w:t>合同未尽事项</w:t>
      </w:r>
    </w:p>
    <w:p w:rsidR="00876E3B">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rsidR="00876E3B">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合同附件与合同正文具有同等的法律效力。</w:t>
      </w:r>
      <w:bookmarkStart w:id="74" w:name="_Toc20313"/>
    </w:p>
    <w:p w:rsidR="00876E3B">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876E3B">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 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876E3B">
            <w:pPr>
              <w:adjustRightInd w:val="0"/>
              <w:snapToGrid w:val="0"/>
              <w:jc w:val="center"/>
              <w:rPr>
                <w:rFonts w:ascii="宋体" w:hAnsi="宋体"/>
                <w:szCs w:val="21"/>
              </w:rPr>
            </w:pPr>
            <w:r>
              <w:rPr>
                <w:rFonts w:ascii="宋体" w:hAnsi="宋体" w:hint="eastAsia"/>
                <w:szCs w:val="21"/>
              </w:rPr>
              <w:t>第二节</w:t>
            </w:r>
          </w:p>
          <w:p w:rsidR="00876E3B">
            <w:pPr>
              <w:adjustRightInd w:val="0"/>
              <w:snapToGrid w:val="0"/>
              <w:jc w:val="center"/>
              <w:rPr>
                <w:rFonts w:ascii="宋体" w:hAnsi="宋体"/>
                <w:szCs w:val="21"/>
              </w:rPr>
            </w:pPr>
            <w:r>
              <w:rPr>
                <w:rFonts w:ascii="宋体" w:hAnsi="宋体" w:hint="eastAsia"/>
                <w:szCs w:val="21"/>
              </w:rPr>
              <w:t>第1.2（6）项</w:t>
            </w:r>
          </w:p>
        </w:tc>
        <w:tc>
          <w:tcPr>
            <w:tcW w:w="1742" w:type="dxa"/>
            <w:vAlign w:val="center"/>
          </w:tcPr>
          <w:p w:rsidR="00876E3B">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876E3B">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876E3B">
            <w:pPr>
              <w:adjustRightInd w:val="0"/>
              <w:snapToGrid w:val="0"/>
              <w:jc w:val="center"/>
              <w:rPr>
                <w:rFonts w:ascii="宋体" w:hAnsi="宋体"/>
                <w:szCs w:val="21"/>
              </w:rPr>
            </w:pPr>
            <w:r>
              <w:rPr>
                <w:rFonts w:ascii="宋体" w:hAnsi="宋体" w:hint="eastAsia"/>
                <w:szCs w:val="21"/>
              </w:rPr>
              <w:t>第二节</w:t>
            </w:r>
          </w:p>
          <w:p w:rsidR="00876E3B">
            <w:pPr>
              <w:adjustRightInd w:val="0"/>
              <w:snapToGrid w:val="0"/>
              <w:jc w:val="center"/>
              <w:rPr>
                <w:rFonts w:ascii="宋体" w:hAnsi="宋体"/>
                <w:szCs w:val="21"/>
              </w:rPr>
            </w:pPr>
            <w:r>
              <w:rPr>
                <w:rFonts w:ascii="宋体" w:hAnsi="宋体" w:hint="eastAsia"/>
                <w:szCs w:val="21"/>
              </w:rPr>
              <w:t>第1.2（7）项</w:t>
            </w:r>
          </w:p>
        </w:tc>
        <w:tc>
          <w:tcPr>
            <w:tcW w:w="1742" w:type="dxa"/>
            <w:vAlign w:val="center"/>
          </w:tcPr>
          <w:p w:rsidR="00876E3B">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876E3B">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876E3B">
            <w:pPr>
              <w:adjustRightInd w:val="0"/>
              <w:snapToGrid w:val="0"/>
              <w:jc w:val="center"/>
              <w:rPr>
                <w:rFonts w:ascii="宋体" w:hAnsi="宋体"/>
                <w:szCs w:val="21"/>
              </w:rPr>
            </w:pPr>
            <w:r>
              <w:rPr>
                <w:rFonts w:ascii="宋体" w:hAnsi="宋体" w:hint="eastAsia"/>
                <w:szCs w:val="21"/>
              </w:rPr>
              <w:t>第二节</w:t>
            </w:r>
          </w:p>
          <w:p w:rsidR="00876E3B">
            <w:pPr>
              <w:adjustRightInd w:val="0"/>
              <w:snapToGrid w:val="0"/>
              <w:jc w:val="center"/>
              <w:rPr>
                <w:rFonts w:ascii="宋体" w:hAnsi="宋体"/>
                <w:szCs w:val="21"/>
              </w:rPr>
            </w:pPr>
            <w:r>
              <w:rPr>
                <w:rFonts w:ascii="宋体" w:hAnsi="宋体" w:hint="eastAsia"/>
                <w:szCs w:val="21"/>
              </w:rPr>
              <w:t>第4.4款</w:t>
            </w:r>
          </w:p>
        </w:tc>
        <w:tc>
          <w:tcPr>
            <w:tcW w:w="1742" w:type="dxa"/>
            <w:vAlign w:val="center"/>
          </w:tcPr>
          <w:p w:rsidR="00876E3B">
            <w:pPr>
              <w:adjustRightInd w:val="0"/>
              <w:snapToGrid w:val="0"/>
              <w:jc w:val="left"/>
              <w:rPr>
                <w:rFonts w:ascii="宋体" w:hAnsi="宋体"/>
                <w:szCs w:val="21"/>
              </w:rPr>
            </w:pPr>
            <w:r>
              <w:rPr>
                <w:rFonts w:ascii="宋体" w:hAnsi="宋体" w:hint="eastAsia"/>
                <w:szCs w:val="21"/>
              </w:rPr>
              <w:t>履约验收中甲方提出异议或</w:t>
            </w:r>
            <w:r>
              <w:rPr>
                <w:rFonts w:ascii="宋体" w:hAnsi="宋体" w:hint="eastAsia"/>
                <w:szCs w:val="21"/>
              </w:rPr>
              <w:t>作出</w:t>
            </w:r>
            <w:r>
              <w:rPr>
                <w:rFonts w:ascii="宋体" w:hAnsi="宋体" w:hint="eastAsia"/>
                <w:szCs w:val="21"/>
              </w:rPr>
              <w:t>说明的期限</w:t>
            </w:r>
          </w:p>
        </w:tc>
        <w:tc>
          <w:tcPr>
            <w:tcW w:w="5170" w:type="dxa"/>
            <w:vAlign w:val="center"/>
          </w:tcPr>
          <w:p w:rsidR="00876E3B">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876E3B">
            <w:pPr>
              <w:adjustRightInd w:val="0"/>
              <w:snapToGrid w:val="0"/>
              <w:jc w:val="center"/>
              <w:rPr>
                <w:rFonts w:ascii="宋体" w:hAnsi="宋体"/>
                <w:szCs w:val="21"/>
              </w:rPr>
            </w:pPr>
            <w:r>
              <w:rPr>
                <w:rFonts w:ascii="宋体" w:hAnsi="宋体" w:hint="eastAsia"/>
                <w:szCs w:val="21"/>
              </w:rPr>
              <w:t>第二节</w:t>
            </w:r>
          </w:p>
          <w:p w:rsidR="00876E3B">
            <w:pPr>
              <w:adjustRightInd w:val="0"/>
              <w:snapToGrid w:val="0"/>
              <w:jc w:val="center"/>
              <w:rPr>
                <w:rFonts w:ascii="宋体" w:hAnsi="宋体"/>
                <w:szCs w:val="21"/>
              </w:rPr>
            </w:pPr>
            <w:r>
              <w:rPr>
                <w:rFonts w:ascii="宋体" w:hAnsi="宋体" w:hint="eastAsia"/>
                <w:szCs w:val="21"/>
              </w:rPr>
              <w:t>第4.6款</w:t>
            </w:r>
          </w:p>
        </w:tc>
        <w:tc>
          <w:tcPr>
            <w:tcW w:w="1742" w:type="dxa"/>
            <w:vAlign w:val="center"/>
          </w:tcPr>
          <w:p w:rsidR="00876E3B">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876E3B">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876E3B">
            <w:pPr>
              <w:adjustRightInd w:val="0"/>
              <w:snapToGrid w:val="0"/>
              <w:jc w:val="center"/>
              <w:rPr>
                <w:rFonts w:ascii="宋体" w:hAnsi="宋体"/>
                <w:szCs w:val="21"/>
              </w:rPr>
            </w:pPr>
            <w:r>
              <w:rPr>
                <w:rFonts w:ascii="宋体" w:hAnsi="宋体" w:hint="eastAsia"/>
                <w:szCs w:val="21"/>
              </w:rPr>
              <w:t>第二节</w:t>
            </w:r>
          </w:p>
          <w:p w:rsidR="00876E3B">
            <w:pPr>
              <w:snapToGrid w:val="0"/>
              <w:jc w:val="center"/>
            </w:pPr>
            <w:r>
              <w:rPr>
                <w:rFonts w:ascii="宋体" w:hAnsi="宋体" w:hint="eastAsia"/>
                <w:szCs w:val="21"/>
              </w:rPr>
              <w:t>第5.4款</w:t>
            </w:r>
          </w:p>
        </w:tc>
        <w:tc>
          <w:tcPr>
            <w:tcW w:w="1742" w:type="dxa"/>
            <w:vAlign w:val="center"/>
          </w:tcPr>
          <w:p w:rsidR="00876E3B">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876E3B">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876E3B">
            <w:pPr>
              <w:adjustRightInd w:val="0"/>
              <w:snapToGrid w:val="0"/>
              <w:jc w:val="center"/>
              <w:rPr>
                <w:rFonts w:ascii="宋体" w:hAnsi="宋体"/>
                <w:szCs w:val="21"/>
              </w:rPr>
            </w:pPr>
            <w:r>
              <w:rPr>
                <w:rFonts w:ascii="宋体" w:hAnsi="宋体" w:hint="eastAsia"/>
                <w:szCs w:val="21"/>
              </w:rPr>
              <w:t>第二节</w:t>
            </w:r>
          </w:p>
          <w:p w:rsidR="00876E3B">
            <w:pPr>
              <w:snapToGrid w:val="0"/>
              <w:jc w:val="center"/>
              <w:rPr>
                <w:rFonts w:ascii="宋体" w:hAnsi="宋体"/>
                <w:szCs w:val="21"/>
              </w:rPr>
            </w:pPr>
            <w:r>
              <w:rPr>
                <w:rFonts w:ascii="宋体" w:hAnsi="宋体" w:hint="eastAsia"/>
                <w:szCs w:val="21"/>
              </w:rPr>
              <w:t>第6.1款</w:t>
            </w:r>
          </w:p>
        </w:tc>
        <w:tc>
          <w:tcPr>
            <w:tcW w:w="1742" w:type="dxa"/>
            <w:vAlign w:val="center"/>
          </w:tcPr>
          <w:p w:rsidR="00876E3B">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876E3B">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876E3B">
            <w:pPr>
              <w:adjustRightInd w:val="0"/>
              <w:snapToGrid w:val="0"/>
              <w:jc w:val="center"/>
              <w:rPr>
                <w:rFonts w:ascii="宋体" w:hAnsi="宋体"/>
                <w:szCs w:val="21"/>
              </w:rPr>
            </w:pPr>
            <w:r>
              <w:rPr>
                <w:rFonts w:ascii="宋体" w:hAnsi="宋体" w:hint="eastAsia"/>
                <w:szCs w:val="21"/>
              </w:rPr>
              <w:t>第二节</w:t>
            </w:r>
          </w:p>
          <w:p w:rsidR="00876E3B">
            <w:pPr>
              <w:adjustRightInd w:val="0"/>
              <w:snapToGrid w:val="0"/>
              <w:jc w:val="center"/>
              <w:rPr>
                <w:rFonts w:ascii="宋体" w:hAnsi="宋体"/>
                <w:szCs w:val="21"/>
              </w:rPr>
            </w:pPr>
            <w:r>
              <w:rPr>
                <w:rFonts w:ascii="宋体" w:hAnsi="宋体" w:hint="eastAsia"/>
                <w:szCs w:val="21"/>
              </w:rPr>
              <w:t>第7.1款</w:t>
            </w:r>
          </w:p>
        </w:tc>
        <w:tc>
          <w:tcPr>
            <w:tcW w:w="1742" w:type="dxa"/>
            <w:vAlign w:val="center"/>
          </w:tcPr>
          <w:p w:rsidR="00876E3B">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876E3B"/>
        </w:tc>
      </w:tr>
      <w:tr>
        <w:tblPrEx>
          <w:tblW w:w="8519" w:type="dxa"/>
          <w:tblInd w:w="108" w:type="dxa"/>
          <w:tblLayout w:type="fixed"/>
          <w:tblLook w:val="04A0"/>
        </w:tblPrEx>
        <w:trPr>
          <w:trHeight w:val="667"/>
        </w:trPr>
        <w:tc>
          <w:tcPr>
            <w:tcW w:w="1607" w:type="dxa"/>
            <w:vMerge/>
            <w:vAlign w:val="center"/>
          </w:tcPr>
          <w:p w:rsidR="00876E3B">
            <w:pPr>
              <w:adjustRightInd w:val="0"/>
              <w:snapToGrid w:val="0"/>
              <w:jc w:val="center"/>
              <w:rPr>
                <w:rFonts w:ascii="宋体" w:hAnsi="宋体"/>
                <w:szCs w:val="21"/>
              </w:rPr>
            </w:pPr>
          </w:p>
        </w:tc>
        <w:tc>
          <w:tcPr>
            <w:tcW w:w="1742" w:type="dxa"/>
            <w:vAlign w:val="center"/>
          </w:tcPr>
          <w:p w:rsidR="00876E3B">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876E3B"/>
        </w:tc>
      </w:tr>
      <w:tr>
        <w:tblPrEx>
          <w:tblW w:w="8519" w:type="dxa"/>
          <w:tblInd w:w="108" w:type="dxa"/>
          <w:tblLayout w:type="fixed"/>
          <w:tblLook w:val="04A0"/>
        </w:tblPrEx>
        <w:trPr>
          <w:trHeight w:val="772"/>
        </w:trPr>
        <w:tc>
          <w:tcPr>
            <w:tcW w:w="1607" w:type="dxa"/>
            <w:vAlign w:val="center"/>
          </w:tcPr>
          <w:p w:rsidR="00876E3B">
            <w:pPr>
              <w:adjustRightInd w:val="0"/>
              <w:snapToGrid w:val="0"/>
              <w:jc w:val="center"/>
              <w:rPr>
                <w:rFonts w:ascii="宋体" w:hAnsi="宋体"/>
                <w:szCs w:val="21"/>
              </w:rPr>
            </w:pPr>
            <w:r>
              <w:rPr>
                <w:rFonts w:ascii="宋体" w:hAnsi="宋体" w:hint="eastAsia"/>
                <w:szCs w:val="21"/>
              </w:rPr>
              <w:t>第二节</w:t>
            </w:r>
          </w:p>
          <w:p w:rsidR="00876E3B">
            <w:pPr>
              <w:adjustRightInd w:val="0"/>
              <w:snapToGrid w:val="0"/>
              <w:jc w:val="center"/>
              <w:rPr>
                <w:rFonts w:ascii="宋体" w:hAnsi="宋体"/>
                <w:szCs w:val="21"/>
              </w:rPr>
            </w:pPr>
            <w:r>
              <w:rPr>
                <w:rFonts w:ascii="宋体" w:hAnsi="宋体" w:hint="eastAsia"/>
                <w:szCs w:val="21"/>
              </w:rPr>
              <w:t>第7.2款</w:t>
            </w:r>
          </w:p>
        </w:tc>
        <w:tc>
          <w:tcPr>
            <w:tcW w:w="1742" w:type="dxa"/>
            <w:vAlign w:val="center"/>
          </w:tcPr>
          <w:p w:rsidR="00876E3B">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876E3B"/>
        </w:tc>
      </w:tr>
      <w:tr>
        <w:tblPrEx>
          <w:tblW w:w="8519" w:type="dxa"/>
          <w:tblInd w:w="108" w:type="dxa"/>
          <w:tblLayout w:type="fixed"/>
          <w:tblLook w:val="04A0"/>
        </w:tblPrEx>
        <w:trPr>
          <w:trHeight w:val="667"/>
        </w:trPr>
        <w:tc>
          <w:tcPr>
            <w:tcW w:w="1607" w:type="dxa"/>
            <w:vAlign w:val="center"/>
          </w:tcPr>
          <w:p w:rsidR="00876E3B">
            <w:pPr>
              <w:adjustRightInd w:val="0"/>
              <w:snapToGrid w:val="0"/>
              <w:jc w:val="center"/>
              <w:rPr>
                <w:rFonts w:ascii="宋体" w:hAnsi="宋体"/>
                <w:szCs w:val="21"/>
              </w:rPr>
            </w:pPr>
            <w:r>
              <w:rPr>
                <w:rFonts w:ascii="宋体" w:hAnsi="宋体" w:hint="eastAsia"/>
                <w:szCs w:val="21"/>
              </w:rPr>
              <w:t>第二节</w:t>
            </w:r>
          </w:p>
          <w:p w:rsidR="00876E3B">
            <w:pPr>
              <w:adjustRightInd w:val="0"/>
              <w:snapToGrid w:val="0"/>
              <w:jc w:val="center"/>
              <w:rPr>
                <w:rFonts w:ascii="宋体" w:hAnsi="宋体"/>
                <w:szCs w:val="21"/>
              </w:rPr>
            </w:pPr>
            <w:r>
              <w:rPr>
                <w:rFonts w:ascii="宋体" w:hAnsi="宋体" w:hint="eastAsia"/>
                <w:szCs w:val="21"/>
              </w:rPr>
              <w:t>第7.3款</w:t>
            </w:r>
          </w:p>
        </w:tc>
        <w:tc>
          <w:tcPr>
            <w:tcW w:w="1742" w:type="dxa"/>
            <w:vAlign w:val="center"/>
          </w:tcPr>
          <w:p w:rsidR="00876E3B">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876E3B"/>
        </w:tc>
      </w:tr>
      <w:tr>
        <w:tblPrEx>
          <w:tblW w:w="8519" w:type="dxa"/>
          <w:tblInd w:w="108" w:type="dxa"/>
          <w:tblLayout w:type="fixed"/>
          <w:tblLook w:val="04A0"/>
        </w:tblPrEx>
        <w:trPr>
          <w:trHeight w:val="736"/>
        </w:trPr>
        <w:tc>
          <w:tcPr>
            <w:tcW w:w="1607" w:type="dxa"/>
            <w:vAlign w:val="center"/>
          </w:tcPr>
          <w:p w:rsidR="00876E3B">
            <w:pPr>
              <w:adjustRightInd w:val="0"/>
              <w:snapToGrid w:val="0"/>
              <w:jc w:val="center"/>
              <w:rPr>
                <w:rFonts w:ascii="宋体" w:hAnsi="宋体"/>
                <w:szCs w:val="21"/>
              </w:rPr>
            </w:pPr>
            <w:r>
              <w:rPr>
                <w:rFonts w:ascii="宋体" w:hAnsi="宋体" w:hint="eastAsia"/>
                <w:szCs w:val="21"/>
              </w:rPr>
              <w:t>第二节</w:t>
            </w:r>
          </w:p>
          <w:p w:rsidR="00876E3B">
            <w:pPr>
              <w:adjustRightInd w:val="0"/>
              <w:snapToGrid w:val="0"/>
              <w:jc w:val="center"/>
              <w:rPr>
                <w:rFonts w:ascii="宋体" w:hAnsi="宋体"/>
                <w:szCs w:val="21"/>
              </w:rPr>
            </w:pPr>
            <w:r>
              <w:rPr>
                <w:rFonts w:ascii="宋体" w:hAnsi="宋体" w:hint="eastAsia"/>
                <w:szCs w:val="21"/>
              </w:rPr>
              <w:t>第8.2（1）项</w:t>
            </w:r>
          </w:p>
        </w:tc>
        <w:tc>
          <w:tcPr>
            <w:tcW w:w="1742" w:type="dxa"/>
            <w:vAlign w:val="center"/>
          </w:tcPr>
          <w:p w:rsidR="00876E3B">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876E3B">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876E3B">
            <w:pPr>
              <w:adjustRightInd w:val="0"/>
              <w:snapToGrid w:val="0"/>
              <w:jc w:val="center"/>
              <w:rPr>
                <w:rFonts w:ascii="宋体" w:hAnsi="宋体"/>
                <w:szCs w:val="21"/>
              </w:rPr>
            </w:pPr>
            <w:r>
              <w:rPr>
                <w:rFonts w:ascii="宋体" w:hAnsi="宋体" w:hint="eastAsia"/>
                <w:szCs w:val="21"/>
              </w:rPr>
              <w:t>第二节</w:t>
            </w:r>
          </w:p>
          <w:p w:rsidR="00876E3B">
            <w:pPr>
              <w:adjustRightInd w:val="0"/>
              <w:snapToGrid w:val="0"/>
              <w:jc w:val="center"/>
              <w:rPr>
                <w:rFonts w:ascii="宋体" w:hAnsi="宋体"/>
                <w:szCs w:val="21"/>
              </w:rPr>
            </w:pPr>
            <w:r>
              <w:rPr>
                <w:rFonts w:ascii="宋体" w:hAnsi="宋体" w:hint="eastAsia"/>
                <w:szCs w:val="21"/>
              </w:rPr>
              <w:t>第8.2（3）项</w:t>
            </w:r>
          </w:p>
        </w:tc>
        <w:tc>
          <w:tcPr>
            <w:tcW w:w="1742" w:type="dxa"/>
            <w:vAlign w:val="center"/>
          </w:tcPr>
          <w:p w:rsidR="00876E3B">
            <w:pPr>
              <w:adjustRightInd w:val="0"/>
              <w:snapToGrid w:val="0"/>
              <w:jc w:val="left"/>
              <w:rPr>
                <w:rFonts w:ascii="宋体" w:hAnsi="宋体"/>
                <w:szCs w:val="21"/>
              </w:rPr>
            </w:pPr>
            <w:r>
              <w:rPr>
                <w:rFonts w:ascii="宋体" w:hAnsi="宋体" w:hint="eastAsia"/>
                <w:szCs w:val="21"/>
              </w:rPr>
              <w:t>货物质量缺陷</w:t>
            </w:r>
          </w:p>
          <w:p w:rsidR="00876E3B">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876E3B">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876E3B">
            <w:pPr>
              <w:snapToGrid w:val="0"/>
              <w:jc w:val="center"/>
              <w:rPr>
                <w:rFonts w:ascii="宋体" w:hAnsi="宋体" w:cs="宋体"/>
                <w:szCs w:val="21"/>
              </w:rPr>
            </w:pPr>
            <w:r>
              <w:rPr>
                <w:rFonts w:ascii="宋体" w:hAnsi="宋体" w:cs="宋体" w:hint="eastAsia"/>
                <w:szCs w:val="21"/>
              </w:rPr>
              <w:t>第二节</w:t>
            </w:r>
          </w:p>
          <w:p w:rsidR="00876E3B">
            <w:pPr>
              <w:pStyle w:val="AONormal"/>
              <w:ind w:firstLine="0" w:firstLineChars="0"/>
              <w:jc w:val="center"/>
            </w:pPr>
            <w:r>
              <w:rPr>
                <w:rFonts w:ascii="宋体" w:eastAsia="宋体" w:hAnsi="宋体" w:cs="宋体" w:hint="eastAsia"/>
              </w:rPr>
              <w:t>第11.1款</w:t>
            </w:r>
          </w:p>
        </w:tc>
        <w:tc>
          <w:tcPr>
            <w:tcW w:w="1742" w:type="dxa"/>
            <w:vAlign w:val="center"/>
          </w:tcPr>
          <w:p w:rsidR="00876E3B">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876E3B">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876E3B">
            <w:pPr>
              <w:adjustRightInd w:val="0"/>
              <w:snapToGrid w:val="0"/>
              <w:jc w:val="center"/>
              <w:rPr>
                <w:rFonts w:ascii="宋体" w:hAnsi="宋体"/>
                <w:szCs w:val="21"/>
              </w:rPr>
            </w:pPr>
            <w:r>
              <w:rPr>
                <w:rFonts w:ascii="宋体" w:hAnsi="宋体" w:hint="eastAsia"/>
                <w:szCs w:val="21"/>
              </w:rPr>
              <w:t>第二节</w:t>
            </w:r>
          </w:p>
          <w:p w:rsidR="00876E3B">
            <w:pPr>
              <w:adjustRightInd w:val="0"/>
              <w:snapToGrid w:val="0"/>
              <w:jc w:val="center"/>
              <w:rPr>
                <w:rFonts w:ascii="宋体" w:hAnsi="宋体"/>
                <w:szCs w:val="21"/>
              </w:rPr>
            </w:pPr>
            <w:r>
              <w:rPr>
                <w:rFonts w:ascii="宋体" w:hAnsi="宋体" w:hint="eastAsia"/>
                <w:szCs w:val="21"/>
              </w:rPr>
              <w:t>第12.2款</w:t>
            </w:r>
          </w:p>
        </w:tc>
        <w:tc>
          <w:tcPr>
            <w:tcW w:w="1742" w:type="dxa"/>
            <w:vAlign w:val="center"/>
          </w:tcPr>
          <w:p w:rsidR="00876E3B">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876E3B">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876E3B">
            <w:pPr>
              <w:adjustRightInd w:val="0"/>
              <w:snapToGrid w:val="0"/>
              <w:jc w:val="center"/>
              <w:rPr>
                <w:rFonts w:ascii="宋体" w:hAnsi="宋体"/>
                <w:szCs w:val="21"/>
              </w:rPr>
            </w:pPr>
            <w:r>
              <w:rPr>
                <w:rFonts w:ascii="宋体" w:hAnsi="宋体" w:hint="eastAsia"/>
                <w:szCs w:val="21"/>
              </w:rPr>
              <w:t>第二节</w:t>
            </w:r>
          </w:p>
          <w:p w:rsidR="00876E3B">
            <w:pPr>
              <w:adjustRightInd w:val="0"/>
              <w:snapToGrid w:val="0"/>
              <w:jc w:val="center"/>
              <w:rPr>
                <w:rFonts w:ascii="宋体" w:hAnsi="宋体"/>
                <w:szCs w:val="21"/>
              </w:rPr>
            </w:pPr>
            <w:r>
              <w:rPr>
                <w:rFonts w:ascii="宋体" w:hAnsi="宋体" w:hint="eastAsia"/>
                <w:szCs w:val="21"/>
              </w:rPr>
              <w:t>第13.2款</w:t>
            </w:r>
          </w:p>
        </w:tc>
        <w:tc>
          <w:tcPr>
            <w:tcW w:w="1742" w:type="dxa"/>
            <w:vAlign w:val="center"/>
          </w:tcPr>
          <w:p w:rsidR="00876E3B">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876E3B">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876E3B">
            <w:pPr>
              <w:adjustRightInd w:val="0"/>
              <w:snapToGrid w:val="0"/>
              <w:jc w:val="center"/>
              <w:rPr>
                <w:rFonts w:ascii="宋体" w:hAnsi="宋体"/>
                <w:szCs w:val="21"/>
              </w:rPr>
            </w:pPr>
            <w:r>
              <w:rPr>
                <w:rFonts w:ascii="宋体" w:hAnsi="宋体" w:hint="eastAsia"/>
                <w:szCs w:val="21"/>
              </w:rPr>
              <w:t>第二节</w:t>
            </w:r>
          </w:p>
          <w:p w:rsidR="00876E3B">
            <w:pPr>
              <w:adjustRightInd w:val="0"/>
              <w:snapToGrid w:val="0"/>
              <w:jc w:val="center"/>
              <w:rPr>
                <w:rFonts w:ascii="宋体" w:hAnsi="宋体"/>
                <w:szCs w:val="21"/>
              </w:rPr>
            </w:pPr>
            <w:r>
              <w:rPr>
                <w:rFonts w:ascii="宋体" w:hAnsi="宋体" w:hint="eastAsia"/>
                <w:szCs w:val="21"/>
              </w:rPr>
              <w:t>第13.3款</w:t>
            </w:r>
          </w:p>
        </w:tc>
        <w:tc>
          <w:tcPr>
            <w:tcW w:w="1742" w:type="dxa"/>
            <w:vAlign w:val="center"/>
          </w:tcPr>
          <w:p w:rsidR="00876E3B">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876E3B">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876E3B">
            <w:pPr>
              <w:adjustRightInd w:val="0"/>
              <w:snapToGrid w:val="0"/>
              <w:jc w:val="center"/>
              <w:rPr>
                <w:rFonts w:ascii="宋体" w:hAnsi="宋体"/>
                <w:szCs w:val="21"/>
              </w:rPr>
            </w:pPr>
            <w:r>
              <w:rPr>
                <w:rFonts w:ascii="宋体" w:hAnsi="宋体" w:hint="eastAsia"/>
                <w:szCs w:val="21"/>
              </w:rPr>
              <w:t>第二节</w:t>
            </w:r>
          </w:p>
          <w:p w:rsidR="00876E3B">
            <w:pPr>
              <w:adjustRightInd w:val="0"/>
              <w:snapToGrid w:val="0"/>
              <w:jc w:val="center"/>
              <w:rPr>
                <w:rFonts w:ascii="宋体" w:hAnsi="宋体"/>
                <w:szCs w:val="21"/>
              </w:rPr>
            </w:pPr>
            <w:r>
              <w:rPr>
                <w:rFonts w:ascii="宋体" w:hAnsi="宋体" w:hint="eastAsia"/>
                <w:szCs w:val="21"/>
              </w:rPr>
              <w:t>第14.1（3）项</w:t>
            </w:r>
          </w:p>
        </w:tc>
        <w:tc>
          <w:tcPr>
            <w:tcW w:w="1742" w:type="dxa"/>
            <w:vAlign w:val="center"/>
          </w:tcPr>
          <w:p w:rsidR="00876E3B">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876E3B">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876E3B">
            <w:pPr>
              <w:adjustRightInd w:val="0"/>
              <w:snapToGrid w:val="0"/>
              <w:jc w:val="center"/>
              <w:rPr>
                <w:rFonts w:ascii="宋体" w:hAnsi="宋体"/>
                <w:szCs w:val="21"/>
              </w:rPr>
            </w:pPr>
            <w:r>
              <w:rPr>
                <w:rFonts w:ascii="宋体" w:hAnsi="宋体" w:hint="eastAsia"/>
                <w:szCs w:val="21"/>
              </w:rPr>
              <w:t>第二节</w:t>
            </w:r>
          </w:p>
          <w:p w:rsidR="00876E3B">
            <w:pPr>
              <w:adjustRightInd w:val="0"/>
              <w:snapToGrid w:val="0"/>
              <w:jc w:val="center"/>
              <w:rPr>
                <w:rFonts w:ascii="宋体" w:hAnsi="宋体"/>
                <w:szCs w:val="21"/>
              </w:rPr>
            </w:pPr>
            <w:r>
              <w:rPr>
                <w:rFonts w:ascii="宋体" w:hAnsi="宋体" w:hint="eastAsia"/>
                <w:szCs w:val="21"/>
              </w:rPr>
              <w:t>第14.1（5）项</w:t>
            </w:r>
          </w:p>
        </w:tc>
        <w:tc>
          <w:tcPr>
            <w:tcW w:w="1742" w:type="dxa"/>
            <w:vAlign w:val="center"/>
          </w:tcPr>
          <w:p w:rsidR="00876E3B">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876E3B">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876E3B">
            <w:pPr>
              <w:adjustRightInd w:val="0"/>
              <w:snapToGrid w:val="0"/>
              <w:jc w:val="center"/>
              <w:rPr>
                <w:rFonts w:ascii="宋体" w:hAnsi="宋体"/>
                <w:szCs w:val="21"/>
              </w:rPr>
            </w:pPr>
            <w:r>
              <w:rPr>
                <w:rFonts w:ascii="宋体" w:hAnsi="宋体" w:hint="eastAsia"/>
                <w:szCs w:val="21"/>
              </w:rPr>
              <w:t>第二节</w:t>
            </w:r>
          </w:p>
          <w:p w:rsidR="00876E3B">
            <w:pPr>
              <w:adjustRightInd w:val="0"/>
              <w:snapToGrid w:val="0"/>
              <w:jc w:val="center"/>
              <w:rPr>
                <w:rFonts w:ascii="宋体" w:hAnsi="宋体"/>
                <w:szCs w:val="21"/>
              </w:rPr>
            </w:pPr>
            <w:r>
              <w:rPr>
                <w:rFonts w:ascii="宋体" w:hAnsi="宋体" w:hint="eastAsia"/>
                <w:szCs w:val="21"/>
              </w:rPr>
              <w:t>第14.1（6）项</w:t>
            </w:r>
          </w:p>
        </w:tc>
        <w:tc>
          <w:tcPr>
            <w:tcW w:w="1742" w:type="dxa"/>
            <w:vAlign w:val="center"/>
          </w:tcPr>
          <w:p w:rsidR="00876E3B">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876E3B">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876E3B">
            <w:pPr>
              <w:adjustRightInd w:val="0"/>
              <w:snapToGrid w:val="0"/>
              <w:jc w:val="center"/>
              <w:rPr>
                <w:rFonts w:ascii="宋体" w:hAnsi="宋体"/>
                <w:szCs w:val="21"/>
              </w:rPr>
            </w:pPr>
            <w:r>
              <w:rPr>
                <w:rFonts w:ascii="宋体" w:hAnsi="宋体" w:hint="eastAsia"/>
                <w:szCs w:val="21"/>
              </w:rPr>
              <w:t>第二节</w:t>
            </w:r>
          </w:p>
          <w:p w:rsidR="00876E3B">
            <w:pPr>
              <w:adjustRightInd w:val="0"/>
              <w:snapToGrid w:val="0"/>
              <w:jc w:val="center"/>
              <w:rPr>
                <w:rFonts w:ascii="宋体" w:hAnsi="宋体"/>
                <w:szCs w:val="21"/>
              </w:rPr>
            </w:pPr>
            <w:r>
              <w:rPr>
                <w:rFonts w:ascii="宋体" w:hAnsi="宋体" w:hint="eastAsia"/>
                <w:szCs w:val="21"/>
              </w:rPr>
              <w:t>第15.1款</w:t>
            </w:r>
          </w:p>
        </w:tc>
        <w:tc>
          <w:tcPr>
            <w:tcW w:w="1742" w:type="dxa"/>
            <w:vAlign w:val="center"/>
          </w:tcPr>
          <w:p w:rsidR="00876E3B">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876E3B">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876E3B">
            <w:pPr>
              <w:adjustRightInd w:val="0"/>
              <w:snapToGrid w:val="0"/>
              <w:jc w:val="center"/>
              <w:rPr>
                <w:rFonts w:ascii="宋体" w:hAnsi="宋体"/>
                <w:szCs w:val="21"/>
              </w:rPr>
            </w:pPr>
            <w:r>
              <w:rPr>
                <w:rFonts w:ascii="宋体" w:hAnsi="宋体" w:hint="eastAsia"/>
                <w:szCs w:val="21"/>
              </w:rPr>
              <w:t>第二节</w:t>
            </w:r>
          </w:p>
          <w:p w:rsidR="00876E3B">
            <w:pPr>
              <w:adjustRightInd w:val="0"/>
              <w:snapToGrid w:val="0"/>
              <w:jc w:val="center"/>
              <w:rPr>
                <w:rFonts w:ascii="宋体" w:hAnsi="宋体"/>
                <w:szCs w:val="21"/>
              </w:rPr>
            </w:pPr>
            <w:r>
              <w:rPr>
                <w:rFonts w:ascii="宋体" w:hAnsi="宋体" w:hint="eastAsia"/>
                <w:szCs w:val="21"/>
              </w:rPr>
              <w:t>第15.2（2）项</w:t>
            </w:r>
          </w:p>
        </w:tc>
        <w:tc>
          <w:tcPr>
            <w:tcW w:w="1742" w:type="dxa"/>
            <w:vAlign w:val="center"/>
          </w:tcPr>
          <w:p w:rsidR="00876E3B">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876E3B">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876E3B">
            <w:pPr>
              <w:adjustRightInd w:val="0"/>
              <w:snapToGrid w:val="0"/>
              <w:jc w:val="center"/>
              <w:rPr>
                <w:rFonts w:ascii="宋体" w:hAnsi="宋体"/>
                <w:szCs w:val="21"/>
              </w:rPr>
            </w:pPr>
            <w:r>
              <w:rPr>
                <w:rFonts w:ascii="宋体" w:hAnsi="宋体" w:hint="eastAsia"/>
                <w:szCs w:val="21"/>
              </w:rPr>
              <w:t>第二节</w:t>
            </w:r>
          </w:p>
          <w:p w:rsidR="00876E3B">
            <w:pPr>
              <w:adjustRightInd w:val="0"/>
              <w:snapToGrid w:val="0"/>
              <w:jc w:val="center"/>
              <w:rPr>
                <w:rFonts w:ascii="宋体" w:hAnsi="宋体"/>
                <w:szCs w:val="21"/>
              </w:rPr>
            </w:pPr>
            <w:r>
              <w:rPr>
                <w:rFonts w:ascii="宋体" w:hAnsi="宋体" w:hint="eastAsia"/>
                <w:szCs w:val="21"/>
              </w:rPr>
              <w:t>第15.3款</w:t>
            </w:r>
          </w:p>
        </w:tc>
        <w:tc>
          <w:tcPr>
            <w:tcW w:w="1742" w:type="dxa"/>
            <w:vAlign w:val="center"/>
          </w:tcPr>
          <w:p w:rsidR="00876E3B">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876E3B">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876E3B">
            <w:pPr>
              <w:adjustRightInd w:val="0"/>
              <w:snapToGrid w:val="0"/>
              <w:jc w:val="center"/>
              <w:rPr>
                <w:rFonts w:ascii="宋体" w:hAnsi="宋体"/>
                <w:szCs w:val="21"/>
              </w:rPr>
            </w:pPr>
            <w:r>
              <w:rPr>
                <w:rFonts w:ascii="宋体" w:hAnsi="宋体" w:hint="eastAsia"/>
                <w:szCs w:val="21"/>
              </w:rPr>
              <w:t>第二节</w:t>
            </w:r>
          </w:p>
          <w:p w:rsidR="00876E3B">
            <w:pPr>
              <w:adjustRightInd w:val="0"/>
              <w:snapToGrid w:val="0"/>
              <w:jc w:val="center"/>
              <w:rPr>
                <w:rFonts w:ascii="宋体" w:hAnsi="宋体"/>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876E3B">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876E3B">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876E3B">
            <w:pPr>
              <w:adjustRightInd w:val="0"/>
              <w:snapToGrid w:val="0"/>
              <w:jc w:val="center"/>
              <w:rPr>
                <w:rFonts w:ascii="宋体" w:hAnsi="宋体"/>
                <w:szCs w:val="21"/>
              </w:rPr>
            </w:pPr>
            <w:r>
              <w:rPr>
                <w:rFonts w:ascii="宋体" w:hAnsi="宋体" w:hint="eastAsia"/>
                <w:szCs w:val="21"/>
              </w:rPr>
              <w:t>第二节</w:t>
            </w:r>
          </w:p>
          <w:p w:rsidR="00876E3B">
            <w:pPr>
              <w:adjustRightInd w:val="0"/>
              <w:snapToGrid w:val="0"/>
              <w:jc w:val="center"/>
              <w:rPr>
                <w:rFonts w:ascii="宋体" w:hAnsi="宋体"/>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876E3B">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876E3B">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876E3B">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876E3B">
            <w:pPr>
              <w:adjustRightInd w:val="0"/>
              <w:snapToGrid w:val="0"/>
              <w:jc w:val="left"/>
              <w:rPr>
                <w:rFonts w:ascii="宋体" w:hAnsi="宋体"/>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876E3B">
            <w:pPr>
              <w:adjustRightInd w:val="0"/>
              <w:snapToGrid w:val="0"/>
              <w:jc w:val="center"/>
              <w:rPr>
                <w:rFonts w:ascii="宋体" w:hAnsi="宋体"/>
                <w:szCs w:val="21"/>
              </w:rPr>
            </w:pPr>
            <w:r>
              <w:rPr>
                <w:rFonts w:ascii="宋体" w:hAnsi="宋体" w:hint="eastAsia"/>
                <w:szCs w:val="21"/>
              </w:rPr>
              <w:t>第二节</w:t>
            </w:r>
          </w:p>
          <w:p w:rsidR="00876E3B">
            <w:pPr>
              <w:adjustRightInd w:val="0"/>
              <w:snapToGrid w:val="0"/>
              <w:jc w:val="center"/>
              <w:rPr>
                <w:rFonts w:ascii="宋体" w:hAnsi="宋体"/>
                <w:szCs w:val="21"/>
              </w:rPr>
            </w:pPr>
            <w:r>
              <w:rPr>
                <w:rFonts w:ascii="宋体" w:hAnsi="宋体" w:hint="eastAsia"/>
                <w:szCs w:val="21"/>
              </w:rPr>
              <w:t>第23.1款</w:t>
            </w:r>
          </w:p>
        </w:tc>
        <w:tc>
          <w:tcPr>
            <w:tcW w:w="1742" w:type="dxa"/>
            <w:vAlign w:val="center"/>
          </w:tcPr>
          <w:p w:rsidR="00876E3B">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876E3B">
            <w:pPr>
              <w:adjustRightInd w:val="0"/>
              <w:snapToGrid w:val="0"/>
              <w:jc w:val="left"/>
              <w:rPr>
                <w:rFonts w:ascii="宋体" w:hAnsi="宋体"/>
                <w:szCs w:val="21"/>
              </w:rPr>
            </w:pPr>
          </w:p>
        </w:tc>
      </w:tr>
    </w:tbl>
    <w:p w:rsidR="00876E3B"/>
    <w:p w:rsidR="00876E3B">
      <w:pPr>
        <w:rPr>
          <w:b/>
          <w:bCs/>
          <w:sz w:val="44"/>
          <w:szCs w:val="44"/>
        </w:rPr>
      </w:pPr>
    </w:p>
    <w:p w:rsidR="00876E3B"/>
    <w:p w:rsidR="00A77B3E"/>
    <w:p w:rsidR="00876E3B" w:rsidP="00DB5529">
      <w:pPr>
        <w:numPr>
          <w:ilvl w:val="0"/>
          <w:numId w:val="4"/>
        </w:numPr>
        <w:spacing w:line="360" w:lineRule="auto"/>
        <w:ind w:firstLine="3066" w:firstLineChars="1460"/>
        <w:jc w:val="left"/>
        <w:rPr>
          <w:b/>
          <w:bCs/>
          <w:szCs w:val="21"/>
        </w:rPr>
      </w:pPr>
      <w:bookmarkEnd w:id="69"/>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variable"/>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1F"/>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3378"/>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8DD"/>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6E3B"/>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11A"/>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29"/>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