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2026年中国气象局综合信息管理系统运行维护项目-2026年局机关内网终端及外设及配套软件的使用和管理运维</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2026年中国气象局综合信息管理系统运行维护项目-2026年局机关内网终端及外设及配套软件的使用和管理运维</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自合同签订之日12个月内完成优化及运维服务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2026年07月13日 00:00:00</w:t>
      </w:r>
      <w:bookmarkEnd w:id="26"/>
      <w:r>
        <w:rPr>
          <w:rFonts w:ascii="宋体" w:hint="eastAsia"/>
          <w:szCs w:val="21"/>
          <w:highlight w:val="none"/>
        </w:rPr>
        <w:t>至</w:t>
      </w:r>
      <w:bookmarkStart w:id="27" w:name="项目公告_signUpLastTime"/>
      <w:r>
        <w:rPr>
          <w:rFonts w:ascii="宋体" w:hint="eastAsia"/>
          <w:szCs w:val="21"/>
          <w:highlight w:val="none"/>
        </w:rPr>
        <w:t>2026年07月20日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2026年08月04日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王甫棣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010-58994129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2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（1）标的：2026年中国气象局综合信息管理系统运行维护项目-2026年局机关内网终端及外设及配套软件的使用和管理运维，属于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是，代理服务费：1.4万元。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93.000000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93.000000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2、投标人具有ISO20000信息技术服务管理体系认证；</w:t>
              <w:cr/>
              <w:t>3、投标人具有ISO27001信息安全管理体系认证；</w:t>
              <w:cr/>
              <w:t>4、投标人具有ISO22301业务连续性管理体系认证；</w:t>
              <w:cr/>
              <w:t>每提供1个得2分，最高得8分。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区间打分</w:t>
            </w:r>
            <w:r>
              <w:t>(16)</w:t>
            </w:r>
          </w:p>
        </w:tc>
        <w:tc>
          <w:tcPr/>
          <w:p>
            <w:r>
              <w:t>评审标准：</w:t>
            </w:r>
          </w:p>
          <w:p>
            <w:r>
              <w:t>投标人应组成本项目服务团队，团队组织结构清晰，应设服务团队负责人（项目经理），人员专业背景齐全。具体如下：</w:t>
              <w:cr/>
              <w:t xml:space="preserve"> 1、服务团队中，每有1人具有高级信息系统项目管理师证书得4分，最多得8分；</w:t>
              <w:cr/>
              <w:t xml:space="preserve"> 2、在满足招标文件中第七章4.4节对运维团队员驻场数量要求的基础上，每承诺增加1名驻场运维人员的得4分，最多得8分。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6</w:t>
            </w:r>
          </w:p>
        </w:tc>
        <w:tc>
          <w:tcPr>
            <w:vMerge/>
          </w:tcPr>
          <w:p>
            <w:r>
              <w:t>服务部分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7</w:t>
            </w:r>
          </w:p>
        </w:tc>
        <w:tc>
          <w:tcPr>
            <w:vMerge/>
          </w:tcPr>
          <w:p>
            <w:r>
              <w:t>服务部分</w:t>
            </w:r>
          </w:p>
        </w:tc>
        <w:tc>
          <w:tcPr/>
          <w:p>
            <w:r>
              <w:t>培训方案</w:t>
            </w:r>
          </w:p>
        </w:tc>
        <w:tc>
          <w:tcPr/>
          <w:p>
            <w:r>
              <w:t>勾选打分</w:t>
            </w:r>
            <w:r>
              <w:t>(2)</w:t>
            </w:r>
          </w:p>
        </w:tc>
        <w:tc>
          <w:tcPr/>
          <w:p>
            <w:r>
              <w:t>评审标准：</w:t>
            </w:r>
          </w:p>
          <w:p>
            <w:r>
              <w:t>一档0分</w:t>
              <w:cr/>
              <w:t>二档0.5分</w:t>
              <w:cr/>
              <w:t>三档1分</w:t>
              <w:cr/>
              <w:t>四档2分</w:t>
            </w:r>
          </w:p>
          <w:p>
            <w:r>
              <w:t>评审标准说明：</w:t>
            </w:r>
          </w:p>
          <w:p>
            <w:r>
              <w:t xml:space="preserve">投标人应提供培训方案。具体标准评分如下： </w:t>
              <w:cr/>
              <w:t xml:space="preserve">一档：未提供培训方案；  </w:t>
              <w:cr/>
              <w:t xml:space="preserve">二档：培训方案不完整（指缺失培训计划、培训材料（讲义）、培训课表、主要授课教师介绍任意一项）；  </w:t>
              <w:cr/>
              <w:t xml:space="preserve">三档：培训方案完整，但课程设计重点不突出或针对性不强，基本满足采购文件需求；  </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(3)</w:t>
            </w:r>
          </w:p>
        </w:tc>
        <w:tc>
          <w:tcPr/>
          <w:p>
            <w:r>
              <w:t>评审标准：</w:t>
            </w:r>
          </w:p>
          <w:p>
            <w:r>
              <w:t>一档0分</w:t>
              <w:cr/>
              <w:t>二档1分</w:t>
              <w:cr/>
              <w:t>三档2分</w:t>
              <w:cr/>
              <w:t>四档3分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(27)</w:t>
            </w:r>
          </w:p>
        </w:tc>
        <w:tc>
          <w:tcPr/>
          <w:p>
            <w:r>
              <w:t>评审标准：</w:t>
            </w:r>
          </w:p>
          <w:p>
            <w:r>
              <w:t>针对以下每项服务内容提交具体服务方案：</w:t>
              <w:cr/>
              <w:t>1、硬件维保建议与维保</w:t>
              <w:cr/>
              <w:t>2、软件维保建议与维保</w:t>
              <w:cr/>
              <w:t>3、软件升级建议</w:t>
              <w:cr/>
              <w:t>4、台账及固定资产管理</w:t>
              <w:cr/>
              <w:t>5、终端使用情况统计分析</w:t>
              <w:cr/>
              <w:t>6、数据填报系统（数据统一报送系统）功能优化和技术支持服务</w:t>
              <w:cr/>
              <w:t>7、气象高质量发展管理与评估系统功能优化和技术支持服务</w:t>
              <w:cr/>
              <w:t>8、重保维护方案</w:t>
              <w:cr/>
              <w:t xml:space="preserve">9、应急保障方案 </w:t>
              <w:cr/>
              <w:t>以上每项服务内容：</w:t>
              <w:cr/>
              <w:t>一档0分</w:t>
              <w:cr/>
              <w:t>二档1分</w:t>
              <w:cr/>
              <w:t>三档2分</w:t>
              <w:cr/>
              <w:t>四档3分</w:t>
              <w:cr/>
              <w:t>以上共计9项服务内容，满分27分。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highlight w:val="none"/>
        </w:rPr>
      </w:pPr>
      <w:r>
        <w:rPr>
          <w:bCs/>
          <w:szCs w:val="21"/>
          <w:highlight w:val="none"/>
        </w:rPr>
        <w:br w:type="page"/>
      </w:r>
      <w:bookmarkStart w:id="58" w:name="插入_采购需求书"/>
      <w:r>
        <w:rPr>
          <w:rFonts w:ascii="宋体" w:eastAsia="宋体" w:hAnsi="宋体" w:cs="Times New Roman" w:hint="eastAsia"/>
          <w:b/>
          <w:sz w:val="30"/>
          <w:szCs w:val="30"/>
          <w:highlight w:val="none"/>
        </w:rPr>
        <w:t>第七章  采购需求</w:t>
      </w:r>
    </w:p>
    <w:p>
      <w:pPr>
        <w:jc w:val="left"/>
        <w:rPr>
          <w:rFonts w:ascii="Times New Roman" w:eastAsia="宋体" w:hAnsi="Times New Roman" w:cs="Times New Roman"/>
          <w:b/>
          <w:szCs w:val="21"/>
          <w:highlight w:val="none"/>
        </w:rPr>
      </w:pPr>
    </w:p>
    <w:p>
      <w:pPr>
        <w:pStyle w:val="Heading1"/>
        <w:numPr>
          <w:ilvl w:val="0"/>
          <w:numId w:val="4"/>
        </w:numPr>
        <w:spacing w:before="120" w:after="120" w:line="480" w:lineRule="auto"/>
        <w:ind w:left="505" w:hanging="505"/>
        <w:rPr>
          <w:rFonts w:ascii="宋体" w:hAnsi="宋体"/>
          <w:sz w:val="28"/>
        </w:rPr>
      </w:pPr>
      <w:bookmarkStart w:id="59" w:name="_Toc1596195706"/>
      <w:r>
        <w:rPr>
          <w:rFonts w:ascii="宋体" w:hAnsi="宋体" w:hint="eastAsia"/>
          <w:sz w:val="28"/>
        </w:rPr>
        <w:t>项目背景</w:t>
      </w:r>
      <w:bookmarkEnd w:id="59"/>
    </w:p>
    <w:p>
      <w:pPr>
        <w:tabs>
          <w:tab w:val="left" w:pos="5580"/>
        </w:tabs>
        <w:spacing w:line="360" w:lineRule="auto"/>
        <w:ind w:firstLine="480" w:firstLineChars="200"/>
        <w:rPr>
          <w:rFonts w:ascii="宋体" w:eastAsia="宋体" w:hAnsi="宋体" w:cs="Times New Roman"/>
        </w:rPr>
      </w:pPr>
      <w:r>
        <w:rPr>
          <w:rFonts w:ascii="宋体" w:eastAsia="宋体" w:hAnsi="宋体" w:cs="Times New Roman"/>
          <w:sz w:val="24"/>
          <w:szCs w:val="24"/>
        </w:rPr>
        <w:t>本项目采购的内容包括</w:t>
      </w:r>
      <w:r>
        <w:rPr>
          <w:rFonts w:ascii="宋体" w:eastAsia="宋体" w:hAnsi="宋体" w:cs="Times New Roman" w:hint="eastAsia"/>
          <w:sz w:val="24"/>
          <w:szCs w:val="24"/>
        </w:rPr>
        <w:t>局机关内网终端及外设及配套软件的使用和管理运维</w:t>
      </w:r>
      <w:r>
        <w:rPr>
          <w:rFonts w:ascii="宋体" w:eastAsia="宋体" w:hAnsi="宋体" w:cs="Times New Roman"/>
          <w:sz w:val="24"/>
          <w:szCs w:val="24"/>
        </w:rPr>
        <w:t>。维护期从202</w:t>
      </w:r>
      <w:r>
        <w:rPr>
          <w:rFonts w:ascii="宋体" w:eastAsia="宋体" w:hAnsi="宋体" w:cs="Times New Roman" w:hint="eastAsia"/>
          <w:sz w:val="24"/>
          <w:szCs w:val="24"/>
          <w:lang w:val="en-US" w:eastAsia="zh-CN"/>
        </w:rPr>
        <w:t>6</w:t>
      </w:r>
      <w:r>
        <w:rPr>
          <w:rFonts w:ascii="宋体" w:eastAsia="宋体" w:hAnsi="宋体" w:cs="Times New Roman"/>
          <w:sz w:val="24"/>
          <w:szCs w:val="24"/>
        </w:rPr>
        <w:t>年</w:t>
      </w:r>
      <w:r>
        <w:rPr>
          <w:rFonts w:ascii="宋体" w:eastAsia="宋体" w:hAnsi="宋体" w:cs="Times New Roman" w:hint="eastAsia"/>
          <w:sz w:val="24"/>
          <w:szCs w:val="24"/>
        </w:rPr>
        <w:t>9</w:t>
      </w:r>
      <w:r>
        <w:rPr>
          <w:rFonts w:ascii="宋体" w:eastAsia="宋体" w:hAnsi="宋体" w:cs="Times New Roman"/>
          <w:sz w:val="24"/>
          <w:szCs w:val="24"/>
        </w:rPr>
        <w:t>月1日至202</w:t>
      </w:r>
      <w:r>
        <w:rPr>
          <w:rFonts w:ascii="宋体" w:eastAsia="宋体" w:hAnsi="宋体" w:cs="Times New Roman" w:hint="eastAsia"/>
          <w:sz w:val="24"/>
          <w:szCs w:val="24"/>
          <w:lang w:val="en-US" w:eastAsia="zh-CN"/>
        </w:rPr>
        <w:t>7</w:t>
      </w:r>
      <w:r>
        <w:rPr>
          <w:rFonts w:ascii="宋体" w:eastAsia="宋体" w:hAnsi="宋体" w:cs="Times New Roman"/>
          <w:sz w:val="24"/>
          <w:szCs w:val="24"/>
        </w:rPr>
        <w:t>年</w:t>
      </w:r>
      <w:r>
        <w:rPr>
          <w:rFonts w:ascii="宋体" w:eastAsia="宋体" w:hAnsi="宋体" w:cs="Times New Roman" w:hint="eastAsia"/>
          <w:sz w:val="24"/>
          <w:szCs w:val="24"/>
        </w:rPr>
        <w:t>8</w:t>
      </w:r>
      <w:r>
        <w:rPr>
          <w:rFonts w:ascii="宋体" w:eastAsia="宋体" w:hAnsi="宋体" w:cs="Times New Roman"/>
          <w:sz w:val="24"/>
          <w:szCs w:val="24"/>
        </w:rPr>
        <w:t>月3</w:t>
      </w:r>
      <w:r>
        <w:rPr>
          <w:rFonts w:ascii="宋体" w:eastAsia="宋体" w:hAnsi="宋体" w:cs="Times New Roman" w:hint="eastAsia"/>
          <w:sz w:val="24"/>
          <w:szCs w:val="24"/>
        </w:rPr>
        <w:t>1</w:t>
      </w:r>
      <w:r>
        <w:rPr>
          <w:rFonts w:ascii="宋体" w:eastAsia="宋体" w:hAnsi="宋体" w:cs="Times New Roman"/>
          <w:sz w:val="24"/>
          <w:szCs w:val="24"/>
        </w:rPr>
        <w:t>日。为保障系统的正常运行，现对项目所涉及到的硬件、软件等的外包维护服务进行公开招标采购。</w:t>
      </w:r>
    </w:p>
    <w:p>
      <w:pPr>
        <w:pStyle w:val="Heading1"/>
        <w:numPr>
          <w:ilvl w:val="0"/>
          <w:numId w:val="4"/>
        </w:numPr>
        <w:spacing w:before="120" w:after="120" w:line="480" w:lineRule="auto"/>
        <w:ind w:left="505" w:hanging="505"/>
        <w:rPr>
          <w:rFonts w:ascii="宋体" w:hAnsi="宋体"/>
          <w:sz w:val="28"/>
        </w:rPr>
      </w:pPr>
      <w:bookmarkStart w:id="60" w:name="_Toc2134328138"/>
      <w:r>
        <w:rPr>
          <w:rFonts w:ascii="宋体" w:hAnsi="宋体" w:hint="eastAsia"/>
          <w:sz w:val="28"/>
        </w:rPr>
        <w:t>项目概述</w:t>
      </w:r>
      <w:bookmarkEnd w:id="60"/>
    </w:p>
    <w:p>
      <w:pPr>
        <w:tabs>
          <w:tab w:val="left" w:pos="5580"/>
        </w:tabs>
        <w:spacing w:line="360" w:lineRule="auto"/>
        <w:ind w:firstLine="480" w:firstLineChars="200"/>
        <w:rPr>
          <w:rFonts w:ascii="宋体" w:eastAsia="宋体" w:hAnsi="宋体" w:cs="Times New Roman"/>
        </w:rPr>
      </w:pPr>
      <w:r>
        <w:rPr>
          <w:rFonts w:ascii="宋体" w:eastAsia="宋体" w:hAnsi="宋体" w:cs="Times New Roman" w:hint="eastAsia"/>
          <w:sz w:val="24"/>
          <w:szCs w:val="24"/>
        </w:rPr>
        <w:t>本项目的主要内容为局机关（含老干办）内网终端、外设及配套软件的使用和管理运维</w:t>
      </w:r>
      <w:r>
        <w:rPr>
          <w:rFonts w:ascii="宋体" w:eastAsia="宋体" w:hAnsi="宋体" w:cs="Times New Roman" w:hint="eastAsia"/>
          <w:sz w:val="24"/>
          <w:szCs w:val="24"/>
          <w:lang w:eastAsia="zh-CN"/>
        </w:rPr>
        <w:t>，数据填报系统（数据统一报送系统）和气象高质量发展管理与评估系统功能优化和技术支持工作</w:t>
      </w:r>
      <w:r>
        <w:rPr>
          <w:rFonts w:ascii="宋体" w:eastAsia="宋体" w:hAnsi="宋体" w:cs="Times New Roman"/>
          <w:sz w:val="24"/>
          <w:szCs w:val="24"/>
        </w:rPr>
        <w:t>。</w:t>
      </w:r>
    </w:p>
    <w:p>
      <w:pPr>
        <w:tabs>
          <w:tab w:val="left" w:pos="5580"/>
        </w:tabs>
        <w:spacing w:line="360" w:lineRule="auto"/>
        <w:ind w:firstLine="480" w:firstLineChars="200"/>
        <w:rPr>
          <w:rFonts w:ascii="宋体" w:eastAsia="宋体" w:hAnsi="宋体" w:cs="Times New Roman"/>
        </w:rPr>
      </w:pPr>
      <w:r>
        <w:rPr>
          <w:rFonts w:ascii="宋体" w:eastAsia="宋体" w:hAnsi="宋体" w:cs="Times New Roman" w:hint="eastAsia"/>
          <w:b/>
          <w:bCs/>
          <w:sz w:val="24"/>
          <w:szCs w:val="24"/>
        </w:rPr>
        <w:t>（1）设备及配套软件维护及用户支持服务包括</w:t>
      </w:r>
      <w:r>
        <w:rPr>
          <w:rFonts w:ascii="宋体" w:eastAsia="宋体" w:hAnsi="宋体" w:cs="Times New Roman" w:hint="eastAsia"/>
          <w:sz w:val="24"/>
          <w:szCs w:val="24"/>
        </w:rPr>
        <w:t>：</w:t>
      </w:r>
    </w:p>
    <w:p>
      <w:pPr>
        <w:tabs>
          <w:tab w:val="left" w:pos="5580"/>
        </w:tabs>
        <w:spacing w:line="360" w:lineRule="auto"/>
        <w:ind w:firstLine="480" w:firstLineChars="200"/>
        <w:rPr>
          <w:rFonts w:ascii="宋体" w:eastAsia="宋体" w:hAnsi="宋体" w:cs="Times New Roman" w:hint="eastAsia"/>
        </w:rPr>
      </w:pPr>
      <w:r>
        <w:rPr>
          <w:rFonts w:ascii="宋体" w:eastAsia="宋体" w:hAnsi="宋体" w:cs="Times New Roman" w:hint="eastAsia"/>
          <w:sz w:val="24"/>
          <w:szCs w:val="24"/>
        </w:rPr>
        <w:t>设备的安装和初始化、常用软件（流式软件、版式软件、浏览器、防病毒等）安装和常见故障排查、网络连接设置与排查、外设故障处理。</w:t>
      </w:r>
    </w:p>
    <w:p>
      <w:pPr>
        <w:numPr>
          <w:ilvl w:val="0"/>
          <w:numId w:val="0"/>
        </w:numPr>
        <w:tabs>
          <w:tab w:val="left" w:pos="5580"/>
        </w:tabs>
        <w:spacing w:line="360" w:lineRule="auto"/>
        <w:ind w:left="0" w:firstLine="420" w:leftChars="0" w:firstLineChars="175"/>
        <w:rPr>
          <w:rFonts w:ascii="宋体" w:eastAsia="宋体" w:hAnsi="宋体" w:cs="Times New Roman" w:hint="eastAsia"/>
        </w:rPr>
      </w:pPr>
      <w:r>
        <w:rPr>
          <w:rFonts w:ascii="宋体" w:eastAsia="宋体" w:hAnsi="宋体" w:cs="Times New Roman" w:hint="eastAsia"/>
          <w:sz w:val="24"/>
          <w:szCs w:val="24"/>
        </w:rPr>
        <w:t>①硬件设备维护服务：负责终端（台式、便携式）及外设（打印机、一体机、扫描仪）的安装和初始化，常见硬件故障处理，协调设备原厂商（免费维保期内）进行配件维修或更换，直至设备恢复正常使用。</w:t>
      </w:r>
    </w:p>
    <w:p>
      <w:pPr>
        <w:numPr>
          <w:ilvl w:val="0"/>
          <w:numId w:val="0"/>
        </w:numPr>
        <w:tabs>
          <w:tab w:val="left" w:pos="5580"/>
        </w:tabs>
        <w:spacing w:line="360" w:lineRule="auto"/>
        <w:ind w:left="0" w:firstLine="420" w:leftChars="0" w:firstLineChars="175"/>
        <w:rPr>
          <w:rFonts w:ascii="宋体" w:eastAsia="宋体" w:hAnsi="宋体" w:cs="Times New Roman"/>
        </w:rPr>
      </w:pPr>
      <w:r>
        <w:rPr>
          <w:rFonts w:ascii="宋体" w:eastAsia="宋体" w:hAnsi="宋体" w:cs="Times New Roman" w:hint="eastAsia"/>
          <w:sz w:val="24"/>
          <w:szCs w:val="24"/>
        </w:rPr>
        <w:t>②软件维护服务：负责终端及外设配套软件的用户技术支持服务，包括终端操作系统、防病毒客户端、浏览器、流版签软件、相关适配软件等下载安装、配置、调试和联网使用，提供电话服务和上门服务。</w:t>
      </w:r>
    </w:p>
    <w:p>
      <w:pPr>
        <w:tabs>
          <w:tab w:val="left" w:pos="5580"/>
        </w:tabs>
        <w:spacing w:line="360" w:lineRule="auto"/>
        <w:ind w:firstLine="480" w:firstLineChars="200"/>
        <w:rPr>
          <w:rFonts w:ascii="宋体" w:eastAsia="宋体" w:hAnsi="宋体" w:cs="Times New Roman"/>
          <w:b/>
        </w:rPr>
      </w:pPr>
      <w:r>
        <w:rPr>
          <w:rFonts w:ascii="宋体" w:eastAsia="宋体" w:hAnsi="宋体" w:cs="Times New Roman" w:hint="eastAsia"/>
          <w:b/>
          <w:bCs/>
          <w:color w:val="000000"/>
          <w:sz w:val="24"/>
          <w:szCs w:val="24"/>
        </w:rPr>
        <w:t>（2）台账及固定资产管理</w:t>
      </w:r>
      <w:r>
        <w:rPr>
          <w:rFonts w:ascii="宋体" w:eastAsia="宋体" w:hAnsi="宋体" w:cs="Times New Roman" w:hint="eastAsia"/>
          <w:b/>
          <w:sz w:val="24"/>
          <w:szCs w:val="24"/>
        </w:rPr>
        <w:t>服务内容包括：</w:t>
      </w:r>
    </w:p>
    <w:p>
      <w:pPr>
        <w:tabs>
          <w:tab w:val="left" w:pos="5580"/>
        </w:tabs>
        <w:spacing w:line="360" w:lineRule="auto"/>
        <w:ind w:firstLine="480" w:firstLineChars="200"/>
        <w:rPr>
          <w:rFonts w:ascii="宋体" w:eastAsia="宋体" w:hAnsi="宋体" w:cs="Times New Roman"/>
        </w:rPr>
      </w:pPr>
      <w:r>
        <w:rPr>
          <w:rFonts w:ascii="宋体" w:eastAsia="宋体" w:hAnsi="宋体" w:cs="Times New Roman" w:hint="eastAsia"/>
          <w:sz w:val="24"/>
          <w:szCs w:val="24"/>
        </w:rPr>
        <w:t>负责专网设备台账登记和动态更新，设备分配固定资产编号后协助甲方办理固定资产登记，补充完善对应台账信息，并打印粘贴固定资产二维码标签</w:t>
      </w:r>
      <w:r>
        <w:rPr>
          <w:rFonts w:ascii="宋体" w:eastAsia="宋体" w:hAnsi="宋体" w:cs="Times New Roman"/>
          <w:sz w:val="24"/>
          <w:szCs w:val="24"/>
        </w:rPr>
        <w:t>。</w:t>
      </w:r>
    </w:p>
    <w:p>
      <w:pPr>
        <w:tabs>
          <w:tab w:val="left" w:pos="5580"/>
        </w:tabs>
        <w:spacing w:line="360" w:lineRule="auto"/>
        <w:ind w:firstLine="480" w:firstLineChars="200"/>
        <w:rPr>
          <w:rFonts w:ascii="宋体" w:eastAsia="宋体" w:hAnsi="宋体" w:cs="Times New Roman"/>
          <w:b/>
        </w:rPr>
      </w:pPr>
      <w:r>
        <w:rPr>
          <w:rFonts w:ascii="宋体" w:eastAsia="宋体" w:hAnsi="宋体" w:cs="Times New Roman" w:hint="eastAsia"/>
          <w:b/>
          <w:bCs/>
          <w:color w:val="000000"/>
          <w:sz w:val="24"/>
          <w:szCs w:val="24"/>
        </w:rPr>
        <w:t>（</w:t>
      </w:r>
      <w:r>
        <w:rPr>
          <w:rFonts w:ascii="宋体" w:eastAsia="宋体" w:hAnsi="宋体" w:cs="Times New Roman" w:hint="eastAsia"/>
          <w:b/>
          <w:bCs/>
          <w:color w:val="000000"/>
          <w:sz w:val="24"/>
          <w:szCs w:val="24"/>
          <w:lang w:val="en-US" w:eastAsia="zh-CN"/>
        </w:rPr>
        <w:t>3</w:t>
      </w:r>
      <w:r>
        <w:rPr>
          <w:rFonts w:ascii="宋体" w:eastAsia="宋体" w:hAnsi="宋体" w:cs="Times New Roman" w:hint="eastAsia"/>
          <w:b/>
          <w:bCs/>
          <w:color w:val="000000"/>
          <w:sz w:val="24"/>
          <w:szCs w:val="24"/>
        </w:rPr>
        <w:t>）数据填报系统（数据统一报送系统）</w:t>
      </w:r>
      <w:r>
        <w:rPr>
          <w:rFonts w:ascii="宋体" w:eastAsia="宋体" w:hAnsi="宋体" w:cs="Times New Roman" w:hint="eastAsia"/>
          <w:b/>
          <w:bCs/>
          <w:color w:val="000000"/>
          <w:sz w:val="24"/>
          <w:szCs w:val="24"/>
          <w:lang w:eastAsia="zh-CN"/>
        </w:rPr>
        <w:t>功能</w:t>
      </w:r>
      <w:r>
        <w:rPr>
          <w:rFonts w:ascii="宋体" w:eastAsia="宋体" w:hAnsi="宋体" w:cs="Times New Roman" w:hint="eastAsia"/>
          <w:b/>
          <w:bCs/>
          <w:color w:val="000000"/>
          <w:sz w:val="24"/>
          <w:szCs w:val="24"/>
        </w:rPr>
        <w:t>优化</w:t>
      </w:r>
      <w:r>
        <w:rPr>
          <w:rFonts w:ascii="宋体" w:eastAsia="宋体" w:hAnsi="宋体" w:cs="Times New Roman" w:hint="eastAsia"/>
          <w:b/>
          <w:bCs/>
          <w:color w:val="000000"/>
          <w:sz w:val="24"/>
          <w:szCs w:val="24"/>
          <w:lang w:eastAsia="zh-CN"/>
        </w:rPr>
        <w:t>和技术支持</w:t>
      </w:r>
      <w:r>
        <w:rPr>
          <w:rFonts w:ascii="宋体" w:eastAsia="宋体" w:hAnsi="宋体" w:cs="Times New Roman" w:hint="eastAsia"/>
          <w:b/>
          <w:sz w:val="24"/>
          <w:szCs w:val="24"/>
        </w:rPr>
        <w:t>服务内容包括：</w:t>
      </w:r>
    </w:p>
    <w:p>
      <w:pPr>
        <w:tabs>
          <w:tab w:val="left" w:pos="5580"/>
        </w:tabs>
        <w:spacing w:line="360" w:lineRule="auto"/>
        <w:ind w:firstLine="480" w:firstLineChars="200"/>
        <w:rPr>
          <w:rFonts w:ascii="宋体" w:eastAsia="宋体" w:hAnsi="宋体" w:cs="Times New Roman" w:hint="eastAsia"/>
        </w:rPr>
      </w:pPr>
      <w:r>
        <w:rPr>
          <w:rFonts w:ascii="宋体" w:eastAsia="宋体" w:hAnsi="宋体" w:cs="Times New Roman" w:hint="eastAsia"/>
          <w:sz w:val="24"/>
          <w:szCs w:val="24"/>
          <w:lang w:eastAsia="zh-CN"/>
        </w:rPr>
        <w:t>为响应局办公室“持续整治形式主义为基层减负”整改任务，优化建设数据填报系统（数据统一报送系统），并根据局办需求增加新的功能，包括支持国、省、市、县四级全国所有气象部门的数据报送，优化填报表创建，新增上级部门汇总审核流程等，并配合做好系统技术支持服务。</w:t>
      </w:r>
    </w:p>
    <w:p>
      <w:pPr>
        <w:tabs>
          <w:tab w:val="left" w:pos="5580"/>
        </w:tabs>
        <w:spacing w:line="360" w:lineRule="auto"/>
        <w:ind w:firstLine="480" w:firstLineChars="200"/>
        <w:rPr>
          <w:rFonts w:ascii="宋体" w:eastAsia="宋体" w:hAnsi="宋体" w:cs="Times New Roman" w:hint="default"/>
          <w:b/>
          <w:bCs/>
          <w:color w:val="000000"/>
        </w:rPr>
      </w:pPr>
      <w:r>
        <w:rPr>
          <w:rFonts w:ascii="宋体" w:eastAsia="宋体" w:hAnsi="宋体" w:cs="Times New Roman" w:hint="eastAsia"/>
          <w:b/>
          <w:bCs/>
          <w:color w:val="000000"/>
          <w:sz w:val="24"/>
          <w:szCs w:val="24"/>
          <w:lang w:val="en-US" w:eastAsia="zh-CN"/>
        </w:rPr>
        <w:t>（4）</w:t>
      </w:r>
      <w:r>
        <w:rPr>
          <w:rFonts w:ascii="宋体" w:eastAsia="宋体" w:hAnsi="宋体" w:cs="Times New Roman" w:hint="eastAsia"/>
          <w:b/>
          <w:bCs/>
          <w:color w:val="000000"/>
          <w:sz w:val="24"/>
          <w:szCs w:val="24"/>
          <w:lang w:eastAsia="zh-CN"/>
        </w:rPr>
        <w:t>气象高质量发展管理与评估系统功能</w:t>
      </w:r>
      <w:r>
        <w:rPr>
          <w:rFonts w:ascii="宋体" w:eastAsia="宋体" w:hAnsi="宋体" w:cs="Times New Roman" w:hint="eastAsia"/>
          <w:b/>
          <w:bCs/>
          <w:color w:val="000000"/>
          <w:sz w:val="24"/>
          <w:szCs w:val="24"/>
        </w:rPr>
        <w:t>优化</w:t>
      </w:r>
      <w:r>
        <w:rPr>
          <w:rFonts w:ascii="宋体" w:eastAsia="宋体" w:hAnsi="宋体" w:cs="Times New Roman" w:hint="eastAsia"/>
          <w:b/>
          <w:bCs/>
          <w:color w:val="000000"/>
          <w:sz w:val="24"/>
          <w:szCs w:val="24"/>
          <w:lang w:eastAsia="zh-CN"/>
        </w:rPr>
        <w:t>和技术支持</w:t>
      </w:r>
      <w:r>
        <w:rPr>
          <w:rFonts w:ascii="宋体" w:eastAsia="宋体" w:hAnsi="宋体" w:cs="Times New Roman" w:hint="eastAsia"/>
          <w:b/>
          <w:sz w:val="24"/>
          <w:szCs w:val="24"/>
        </w:rPr>
        <w:t>服务内容包括：</w:t>
      </w:r>
    </w:p>
    <w:p>
      <w:pPr>
        <w:tabs>
          <w:tab w:val="left" w:pos="5580"/>
        </w:tabs>
        <w:spacing w:line="360" w:lineRule="auto"/>
        <w:ind w:firstLine="480" w:firstLineChars="200"/>
        <w:rPr>
          <w:rFonts w:ascii="宋体" w:eastAsia="宋体" w:hAnsi="宋体" w:cs="Times New Roman" w:hint="eastAsia"/>
          <w:b/>
          <w:bCs/>
          <w:color w:val="000000"/>
        </w:rPr>
      </w:pPr>
      <w:r>
        <w:rPr>
          <w:rFonts w:ascii="宋体" w:eastAsia="宋体" w:hAnsi="宋体" w:cs="Times New Roman" w:hint="eastAsia"/>
          <w:sz w:val="24"/>
          <w:szCs w:val="24"/>
        </w:rPr>
        <w:t>根据局高质量发展与改革办要求，</w:t>
      </w:r>
      <w:r>
        <w:rPr>
          <w:rFonts w:ascii="宋体" w:eastAsia="宋体" w:hAnsi="宋体" w:cs="Times New Roman" w:hint="eastAsia"/>
          <w:sz w:val="24"/>
          <w:szCs w:val="24"/>
          <w:lang w:eastAsia="zh-CN"/>
        </w:rPr>
        <w:t>完成</w:t>
      </w:r>
      <w:r>
        <w:rPr>
          <w:rFonts w:ascii="宋体" w:eastAsia="宋体" w:hAnsi="宋体" w:cs="Times New Roman" w:hint="eastAsia"/>
          <w:sz w:val="24"/>
          <w:szCs w:val="24"/>
        </w:rPr>
        <w:t>气象高质量发展管理与评估系统</w:t>
      </w:r>
      <w:r>
        <w:rPr>
          <w:rFonts w:ascii="宋体" w:eastAsia="宋体" w:hAnsi="宋体" w:cs="Times New Roman" w:hint="eastAsia"/>
          <w:sz w:val="24"/>
          <w:szCs w:val="24"/>
          <w:lang w:eastAsia="zh-CN"/>
        </w:rPr>
        <w:t>本年度功能优化</w:t>
      </w:r>
      <w:r>
        <w:rPr>
          <w:rFonts w:ascii="宋体" w:eastAsia="宋体" w:hAnsi="宋体" w:cs="Times New Roman" w:hint="eastAsia"/>
          <w:sz w:val="24"/>
          <w:szCs w:val="24"/>
        </w:rPr>
        <w:t>，并配合做好</w:t>
      </w:r>
      <w:r>
        <w:rPr>
          <w:rFonts w:ascii="宋体" w:eastAsia="宋体" w:hAnsi="宋体" w:cs="Times New Roman" w:hint="eastAsia"/>
          <w:sz w:val="24"/>
          <w:szCs w:val="24"/>
          <w:lang w:val="en-US" w:eastAsia="zh-CN"/>
        </w:rPr>
        <w:t>2026</w:t>
      </w:r>
      <w:r>
        <w:rPr>
          <w:rFonts w:ascii="宋体" w:eastAsia="宋体" w:hAnsi="宋体" w:cs="Times New Roman" w:hint="eastAsia"/>
          <w:sz w:val="24"/>
          <w:szCs w:val="24"/>
        </w:rPr>
        <w:t>年底高质量发展评估技术支持工作</w:t>
      </w:r>
      <w:r>
        <w:rPr>
          <w:rFonts w:ascii="宋体" w:eastAsia="宋体" w:hAnsi="宋体" w:cs="Times New Roman" w:hint="eastAsia"/>
          <w:sz w:val="24"/>
          <w:szCs w:val="24"/>
          <w:lang w:val="en-US" w:eastAsia="zh-CN"/>
        </w:rPr>
        <w:t>。</w:t>
      </w:r>
    </w:p>
    <w:p>
      <w:pPr>
        <w:pStyle w:val="Heading1"/>
        <w:numPr>
          <w:ilvl w:val="0"/>
          <w:numId w:val="4"/>
        </w:numPr>
        <w:spacing w:before="120" w:after="120" w:line="480" w:lineRule="auto"/>
        <w:ind w:left="505" w:hanging="505"/>
        <w:rPr>
          <w:rFonts w:ascii="宋体" w:hAnsi="宋体"/>
          <w:sz w:val="28"/>
        </w:rPr>
      </w:pPr>
      <w:bookmarkStart w:id="61" w:name="_Toc973983376"/>
      <w:r>
        <w:rPr>
          <w:rFonts w:ascii="宋体" w:hAnsi="宋体" w:hint="eastAsia"/>
          <w:sz w:val="28"/>
        </w:rPr>
        <w:t>总体要求</w:t>
      </w:r>
      <w:bookmarkEnd w:id="61"/>
    </w:p>
    <w:p>
      <w:pPr>
        <w:tabs>
          <w:tab w:val="left" w:pos="5580"/>
        </w:tabs>
        <w:spacing w:line="360" w:lineRule="auto"/>
        <w:ind w:firstLine="480" w:firstLineChars="200"/>
        <w:rPr>
          <w:rFonts w:ascii="宋体" w:eastAsia="宋体" w:hAnsi="宋体" w:cs="Times New Roman"/>
        </w:rPr>
      </w:pPr>
      <w:r>
        <w:rPr>
          <w:rFonts w:ascii="宋体" w:eastAsia="宋体" w:hAnsi="宋体" w:cs="Times New Roman" w:hint="eastAsia"/>
          <w:sz w:val="24"/>
          <w:szCs w:val="24"/>
        </w:rPr>
        <w:t>本项目的总体要求是：投标人必须保证维保的软硬件的无故障、平稳运行，建立相应的维护文档，保证相关系统的无缝升级和运行正常。</w:t>
      </w:r>
    </w:p>
    <w:p>
      <w:pPr>
        <w:tabs>
          <w:tab w:val="left" w:pos="5580"/>
        </w:tabs>
        <w:spacing w:line="360" w:lineRule="auto"/>
        <w:ind w:firstLine="480" w:firstLineChars="200"/>
        <w:rPr>
          <w:rFonts w:ascii="宋体" w:eastAsia="宋体" w:hAnsi="宋体" w:cs="Times New Roman"/>
        </w:rPr>
      </w:pPr>
      <w:r>
        <w:rPr>
          <w:rFonts w:ascii="宋体" w:eastAsia="宋体" w:hAnsi="宋体" w:cs="Times New Roman" w:hint="eastAsia"/>
          <w:sz w:val="24"/>
          <w:szCs w:val="24"/>
        </w:rPr>
        <w:t>运维周期要求：</w:t>
      </w:r>
      <w:r>
        <w:rPr>
          <w:rFonts w:ascii="宋体" w:eastAsia="宋体" w:hAnsi="宋体" w:cs="Times New Roman"/>
          <w:sz w:val="24"/>
          <w:szCs w:val="24"/>
        </w:rPr>
        <w:t>20</w:t>
      </w:r>
      <w:r>
        <w:rPr>
          <w:rFonts w:ascii="宋体" w:eastAsia="宋体" w:hAnsi="宋体" w:cs="Times New Roman" w:hint="eastAsia"/>
          <w:sz w:val="24"/>
          <w:szCs w:val="24"/>
        </w:rPr>
        <w:t>2</w:t>
      </w:r>
      <w:r>
        <w:rPr>
          <w:rFonts w:ascii="宋体" w:eastAsia="宋体" w:hAnsi="宋体" w:cs="Times New Roman" w:hint="eastAsia"/>
          <w:sz w:val="24"/>
          <w:szCs w:val="24"/>
          <w:lang w:val="en-US" w:eastAsia="zh-CN"/>
        </w:rPr>
        <w:t>6</w:t>
      </w:r>
      <w:r>
        <w:rPr>
          <w:rFonts w:ascii="宋体" w:eastAsia="宋体" w:hAnsi="宋体" w:cs="Times New Roman"/>
          <w:sz w:val="24"/>
          <w:szCs w:val="24"/>
        </w:rPr>
        <w:t>年</w:t>
      </w:r>
      <w:r>
        <w:rPr>
          <w:rFonts w:ascii="宋体" w:eastAsia="宋体" w:hAnsi="宋体" w:cs="Times New Roman" w:hint="eastAsia"/>
          <w:sz w:val="24"/>
          <w:szCs w:val="24"/>
        </w:rPr>
        <w:t>9</w:t>
      </w:r>
      <w:r>
        <w:rPr>
          <w:rFonts w:ascii="宋体" w:eastAsia="宋体" w:hAnsi="宋体" w:cs="Times New Roman"/>
          <w:sz w:val="24"/>
          <w:szCs w:val="24"/>
        </w:rPr>
        <w:t>月1日至202</w:t>
      </w:r>
      <w:r>
        <w:rPr>
          <w:rFonts w:ascii="宋体" w:eastAsia="宋体" w:hAnsi="宋体" w:cs="Times New Roman" w:hint="eastAsia"/>
          <w:sz w:val="24"/>
          <w:szCs w:val="24"/>
          <w:lang w:val="en-US" w:eastAsia="zh-CN"/>
        </w:rPr>
        <w:t>7</w:t>
      </w:r>
      <w:r>
        <w:rPr>
          <w:rFonts w:ascii="宋体" w:eastAsia="宋体" w:hAnsi="宋体" w:cs="Times New Roman"/>
          <w:sz w:val="24"/>
          <w:szCs w:val="24"/>
        </w:rPr>
        <w:t>年</w:t>
      </w:r>
      <w:r>
        <w:rPr>
          <w:rFonts w:ascii="宋体" w:eastAsia="宋体" w:hAnsi="宋体" w:cs="Times New Roman" w:hint="eastAsia"/>
          <w:sz w:val="24"/>
          <w:szCs w:val="24"/>
        </w:rPr>
        <w:t>8</w:t>
      </w:r>
      <w:r>
        <w:rPr>
          <w:rFonts w:ascii="宋体" w:eastAsia="宋体" w:hAnsi="宋体" w:cs="Times New Roman"/>
          <w:sz w:val="24"/>
          <w:szCs w:val="24"/>
        </w:rPr>
        <w:t>月3</w:t>
      </w:r>
      <w:r>
        <w:rPr>
          <w:rFonts w:ascii="宋体" w:eastAsia="宋体" w:hAnsi="宋体" w:cs="Times New Roman" w:hint="eastAsia"/>
          <w:sz w:val="24"/>
          <w:szCs w:val="24"/>
        </w:rPr>
        <w:t>1</w:t>
      </w:r>
      <w:r>
        <w:rPr>
          <w:rFonts w:ascii="宋体" w:eastAsia="宋体" w:hAnsi="宋体" w:cs="Times New Roman"/>
          <w:sz w:val="24"/>
          <w:szCs w:val="24"/>
        </w:rPr>
        <w:t>日</w:t>
      </w:r>
      <w:r>
        <w:rPr>
          <w:rFonts w:ascii="宋体" w:eastAsia="宋体" w:hAnsi="宋体" w:cs="Times New Roman" w:hint="eastAsia"/>
          <w:sz w:val="24"/>
          <w:szCs w:val="24"/>
        </w:rPr>
        <w:t>。</w:t>
      </w:r>
    </w:p>
    <w:p>
      <w:pPr>
        <w:pStyle w:val="Heading1"/>
        <w:numPr>
          <w:ilvl w:val="0"/>
          <w:numId w:val="4"/>
        </w:numPr>
        <w:spacing w:before="120" w:after="120" w:line="480" w:lineRule="auto"/>
        <w:ind w:left="505" w:hanging="505"/>
        <w:rPr>
          <w:rFonts w:ascii="宋体" w:hAnsi="宋体"/>
          <w:sz w:val="28"/>
        </w:rPr>
      </w:pPr>
      <w:bookmarkStart w:id="62" w:name="_Toc228563864"/>
      <w:r>
        <w:rPr>
          <w:rFonts w:ascii="宋体" w:hAnsi="宋体" w:hint="eastAsia"/>
          <w:sz w:val="28"/>
        </w:rPr>
        <w:t>运维内容及要求</w:t>
      </w:r>
      <w:bookmarkEnd w:id="62"/>
    </w:p>
    <w:p>
      <w:pPr>
        <w:pStyle w:val="Heading3"/>
        <w:spacing w:before="240" w:after="240" w:line="360" w:lineRule="auto"/>
        <w:ind w:firstLine="560" w:firstLineChars="200"/>
        <w:rPr>
          <w:rFonts w:ascii="宋体" w:hAnsi="宋体" w:hint="eastAsia"/>
          <w:sz w:val="28"/>
        </w:rPr>
      </w:pPr>
      <w:bookmarkStart w:id="63" w:name="_Toc1616673898"/>
      <w:r>
        <w:rPr>
          <w:rFonts w:ascii="宋体" w:hAnsi="宋体" w:hint="eastAsia"/>
          <w:sz w:val="28"/>
        </w:rPr>
        <w:t>4</w:t>
      </w:r>
      <w:r>
        <w:rPr>
          <w:rFonts w:ascii="宋体" w:hAnsi="宋体"/>
          <w:sz w:val="28"/>
        </w:rPr>
        <w:t>.1</w:t>
      </w:r>
      <w:r>
        <w:rPr>
          <w:rFonts w:ascii="宋体" w:hAnsi="宋体" w:hint="eastAsia"/>
          <w:sz w:val="28"/>
        </w:rPr>
        <w:t>终端运维要求</w:t>
      </w:r>
      <w:bookmarkEnd w:id="63"/>
    </w:p>
    <w:p>
      <w:pPr>
        <w:spacing w:line="560" w:lineRule="exact"/>
        <w:ind w:firstLine="480" w:firstLineChars="200"/>
        <w:rPr>
          <w:rFonts w:ascii="宋体" w:eastAsia="宋体" w:hAnsi="宋体" w:cs="仿宋_GB2312"/>
        </w:rPr>
      </w:pPr>
      <w:r>
        <w:rPr>
          <w:rFonts w:ascii="宋体" w:eastAsia="宋体" w:hAnsi="宋体" w:cs="仿宋_GB2312" w:hint="eastAsia"/>
          <w:sz w:val="24"/>
          <w:szCs w:val="24"/>
        </w:rPr>
        <w:t>1.内网终端及外设：局机关及信息中心专网终端及外设及配套软件的使用和管理运维。</w:t>
      </w:r>
    </w:p>
    <w:p>
      <w:pPr>
        <w:widowControl/>
        <w:adjustRightInd w:val="0"/>
        <w:snapToGrid w:val="0"/>
        <w:spacing w:line="560" w:lineRule="exact"/>
        <w:ind w:firstLine="480" w:firstLineChars="200"/>
        <w:rPr>
          <w:rFonts w:ascii="宋体" w:eastAsia="宋体" w:hAnsi="宋体" w:cs="Times New Roman"/>
        </w:rPr>
      </w:pPr>
      <w:r>
        <w:rPr>
          <w:rFonts w:ascii="宋体" w:eastAsia="宋体" w:hAnsi="宋体" w:cs="Times New Roman" w:hint="eastAsia"/>
          <w:sz w:val="24"/>
          <w:szCs w:val="24"/>
        </w:rPr>
        <w:t>（1）设备及配套软件维护及用户支持服务</w:t>
      </w:r>
    </w:p>
    <w:p>
      <w:pPr>
        <w:widowControl/>
        <w:numPr>
          <w:ilvl w:val="0"/>
          <w:numId w:val="5"/>
        </w:numPr>
        <w:adjustRightInd w:val="0"/>
        <w:snapToGrid w:val="0"/>
        <w:spacing w:line="560" w:lineRule="exact"/>
        <w:ind w:left="0" w:firstLine="480" w:firstLineChars="200"/>
        <w:rPr>
          <w:rFonts w:ascii="宋体" w:eastAsia="宋体" w:hAnsi="宋体" w:cs="Times New Roman"/>
          <w:color w:val="000000"/>
        </w:rPr>
      </w:pPr>
      <w:r>
        <w:rPr>
          <w:rFonts w:ascii="宋体" w:eastAsia="宋体" w:hAnsi="宋体" w:cs="Times New Roman" w:hint="eastAsia"/>
          <w:color w:val="000000"/>
          <w:sz w:val="24"/>
          <w:szCs w:val="24"/>
        </w:rPr>
        <w:t>硬件设备维护服务：负责终端（台式、便携式）及外设（打印机、一体机、扫描仪）</w:t>
      </w:r>
      <w:r>
        <w:rPr>
          <w:rFonts w:ascii="宋体" w:eastAsia="宋体" w:hAnsi="宋体" w:cs="仿宋_GB2312" w:hint="eastAsia"/>
          <w:sz w:val="24"/>
          <w:szCs w:val="24"/>
        </w:rPr>
        <w:t>的安装和初始化，常见</w:t>
      </w:r>
      <w:r>
        <w:rPr>
          <w:rFonts w:ascii="宋体" w:eastAsia="宋体" w:hAnsi="宋体" w:cs="Times New Roman" w:hint="eastAsia"/>
          <w:color w:val="000000"/>
          <w:sz w:val="24"/>
          <w:szCs w:val="24"/>
        </w:rPr>
        <w:t>硬件故障处理，协调设备原厂商（免费维保期内）进行配件维修或更换，直至设备恢复正常使用。</w:t>
      </w:r>
    </w:p>
    <w:p>
      <w:pPr>
        <w:widowControl/>
        <w:numPr>
          <w:ilvl w:val="0"/>
          <w:numId w:val="5"/>
        </w:numPr>
        <w:adjustRightInd w:val="0"/>
        <w:snapToGrid w:val="0"/>
        <w:spacing w:line="560" w:lineRule="exact"/>
        <w:ind w:left="0" w:firstLine="480" w:firstLineChars="200"/>
        <w:rPr>
          <w:rFonts w:ascii="宋体" w:eastAsia="宋体" w:hAnsi="宋体" w:cs="Times New Roman"/>
          <w:color w:val="000000"/>
        </w:rPr>
      </w:pPr>
      <w:r>
        <w:rPr>
          <w:rFonts w:ascii="宋体" w:eastAsia="宋体" w:hAnsi="宋体" w:cs="Times New Roman" w:hint="eastAsia"/>
          <w:color w:val="000000"/>
          <w:sz w:val="24"/>
          <w:szCs w:val="24"/>
        </w:rPr>
        <w:t>软件维护服务：负责终端及外设配套软件的用户技术支持服务，包括终端操作系统、防病毒客户端、浏览器、流版签软件、CA软证书及工具、相关适配软件等下载安装、配置、调试和联网使用，提供电话服务和上门服务。负责可利旧打印机等外设驱动更新及与专网终端的联机使用。</w:t>
      </w:r>
    </w:p>
    <w:p>
      <w:pPr>
        <w:widowControl/>
        <w:adjustRightInd w:val="0"/>
        <w:snapToGrid w:val="0"/>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（2）台账及固定资产管理</w:t>
      </w:r>
    </w:p>
    <w:p>
      <w:pPr>
        <w:widowControl/>
        <w:adjustRightInd w:val="0"/>
        <w:snapToGrid w:val="0"/>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负责专网设备台账登记和动态更新，设备分配固定资产编号后协助甲方办理固定资产登记，补充完善对应台账信息，并打印粘贴固定资产二维码标签。</w:t>
      </w:r>
    </w:p>
    <w:p>
      <w:pPr>
        <w:widowControl/>
        <w:adjustRightInd w:val="0"/>
        <w:snapToGrid w:val="0"/>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（3）终端配套软件升级</w:t>
      </w:r>
    </w:p>
    <w:p>
      <w:pPr>
        <w:widowControl/>
        <w:adjustRightInd w:val="0"/>
        <w:snapToGrid w:val="0"/>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按甲方需求，负责通过国、省私有化应用商店，上传、发布终端操作系统及相关适配软件升级版本，协助做好相关软件升级的现场和远程技术支持服务。</w:t>
      </w:r>
    </w:p>
    <w:p>
      <w:pPr>
        <w:widowControl/>
        <w:adjustRightInd w:val="0"/>
        <w:snapToGrid w:val="0"/>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（4）终端使用情况统计分析</w:t>
      </w:r>
    </w:p>
    <w:p>
      <w:pPr>
        <w:widowControl/>
        <w:adjustRightInd w:val="0"/>
        <w:snapToGrid w:val="0"/>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利用专网安全控制中心、域管软件等按月提供局机关及信息中心专网终端使用情况统计分析报告。</w:t>
      </w:r>
    </w:p>
    <w:p>
      <w:pPr>
        <w:spacing w:line="560" w:lineRule="exact"/>
        <w:ind w:firstLine="480" w:firstLineChars="200"/>
        <w:rPr>
          <w:rFonts w:ascii="宋体" w:eastAsia="宋体" w:hAnsi="宋体" w:cs="Times New Roman" w:hint="eastAsia"/>
          <w:color w:val="000000"/>
        </w:rPr>
      </w:pPr>
      <w:r>
        <w:rPr>
          <w:rFonts w:ascii="宋体" w:eastAsia="宋体" w:hAnsi="宋体" w:cs="Times New Roman" w:hint="eastAsia"/>
          <w:color w:val="000000"/>
          <w:sz w:val="24"/>
          <w:szCs w:val="24"/>
        </w:rPr>
        <w:t>2.配合完成正版化软件检查、保密检查等工作。</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3.配合安全事件的排查。</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4.支持人员通过统一呼叫中心电话为系统用户提供支持服务，要求：</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（1）了解支持内容、支持时间要求、之前支持情况以及遗留问题等，并与用户确认；</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（2）支持结束后，经过客户确认是否已经解决问题，并得到客户肯定后，记为一次电话客户支持；</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（3）进行工单记录。</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5.需要现场解决的，到达客户现场提供支持服务，要求支持人员做到：</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（1）了解现场支持内容、到达时间要求、之前支持情况以及遗留问题，并与用户确认；</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（2）携带必要的应用工具、资料和需要用户签署确认的现场服务单；</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（3）根据现场支持的要求，提前做好准备工作；</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（4）与用户确认服务内容和操作流程后进行实施；</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（5）严格遵守用户现场的管理制度；</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（6）如果遇到无法解决的问题或用户提出额外要求，应及时通知上级获取支持，得到授权后再做处理；</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（7）解决问题结束后，签署上门服务单，确认现场服务工作情况；</w:t>
      </w:r>
    </w:p>
    <w:p>
      <w:pPr>
        <w:spacing w:line="560" w:lineRule="exact"/>
        <w:ind w:firstLine="480" w:firstLineChars="200"/>
        <w:rPr>
          <w:rFonts w:ascii="宋体" w:eastAsia="宋体" w:hAnsi="宋体" w:cs="Times New Roman"/>
          <w:color w:val="000000"/>
        </w:rPr>
      </w:pPr>
      <w:r>
        <w:rPr>
          <w:rFonts w:ascii="宋体" w:eastAsia="宋体" w:hAnsi="宋体" w:cs="Times New Roman" w:hint="eastAsia"/>
          <w:color w:val="000000"/>
          <w:sz w:val="24"/>
          <w:szCs w:val="24"/>
        </w:rPr>
        <w:t>（8）定期向客户提交上门服务单，并记录工单。</w:t>
      </w:r>
    </w:p>
    <w:p>
      <w:pPr>
        <w:spacing w:line="560" w:lineRule="exact"/>
        <w:ind w:firstLine="480" w:firstLineChars="200"/>
        <w:rPr>
          <w:rFonts w:ascii="宋体" w:eastAsia="宋体" w:hAnsi="宋体" w:cs="Times New Roman" w:hint="eastAsia"/>
          <w:color w:val="000000"/>
        </w:rPr>
      </w:pPr>
      <w:r>
        <w:rPr>
          <w:rFonts w:ascii="宋体" w:eastAsia="宋体" w:hAnsi="宋体" w:cs="Times New Roman"/>
          <w:color w:val="000000"/>
          <w:sz w:val="24"/>
          <w:szCs w:val="24"/>
        </w:rPr>
        <w:t>6</w:t>
      </w:r>
      <w:r>
        <w:rPr>
          <w:rFonts w:ascii="宋体" w:eastAsia="宋体" w:hAnsi="宋体" w:cs="Times New Roman" w:hint="eastAsia"/>
          <w:color w:val="000000"/>
          <w:sz w:val="24"/>
          <w:szCs w:val="24"/>
        </w:rPr>
        <w:t>.提供重保期间运维保障</w:t>
      </w:r>
      <w:r>
        <w:rPr>
          <w:rFonts w:ascii="宋体" w:eastAsia="宋体" w:hAnsi="宋体" w:cs="Times New Roman" w:hint="eastAsia"/>
          <w:color w:val="000000"/>
          <w:sz w:val="24"/>
          <w:szCs w:val="24"/>
          <w:lang w:eastAsia="zh-CN"/>
        </w:rPr>
        <w:t>。</w:t>
      </w:r>
    </w:p>
    <w:p>
      <w:pPr>
        <w:spacing w:line="560" w:lineRule="exact"/>
        <w:ind w:firstLine="480" w:firstLineChars="200"/>
        <w:rPr>
          <w:rFonts w:ascii="宋体" w:eastAsia="宋体" w:hAnsi="宋体" w:cs="Times New Roman" w:hint="eastAsia"/>
          <w:color w:val="000000"/>
        </w:rPr>
      </w:pPr>
      <w:r>
        <w:rPr>
          <w:rFonts w:ascii="宋体" w:eastAsia="宋体" w:hAnsi="宋体" w:cs="Times New Roman"/>
          <w:color w:val="000000"/>
          <w:sz w:val="24"/>
          <w:szCs w:val="24"/>
        </w:rPr>
        <w:t>7</w:t>
      </w:r>
      <w:r>
        <w:rPr>
          <w:rFonts w:ascii="宋体" w:eastAsia="宋体" w:hAnsi="宋体" w:cs="Times New Roman" w:hint="eastAsia"/>
          <w:color w:val="000000"/>
          <w:sz w:val="24"/>
          <w:szCs w:val="24"/>
        </w:rPr>
        <w:t>.提供应急服务保障</w:t>
      </w:r>
      <w:r>
        <w:rPr>
          <w:rFonts w:ascii="宋体" w:eastAsia="宋体" w:hAnsi="宋体" w:cs="Times New Roman" w:hint="eastAsia"/>
          <w:color w:val="000000"/>
          <w:sz w:val="24"/>
          <w:szCs w:val="24"/>
          <w:lang w:eastAsia="zh-CN"/>
        </w:rPr>
        <w:t>。</w:t>
      </w:r>
    </w:p>
    <w:p>
      <w:pPr>
        <w:pStyle w:val="Heading3"/>
        <w:spacing w:before="240" w:after="240" w:line="360" w:lineRule="auto"/>
        <w:ind w:firstLine="560" w:firstLineChars="200"/>
        <w:rPr>
          <w:rFonts w:ascii="宋体" w:hAnsi="宋体" w:hint="eastAsia"/>
          <w:sz w:val="28"/>
        </w:rPr>
      </w:pPr>
      <w:r>
        <w:rPr>
          <w:rFonts w:ascii="宋体" w:eastAsia="宋体" w:hAnsi="宋体" w:hint="eastAsia"/>
          <w:sz w:val="28"/>
        </w:rPr>
        <w:t>4.2数据填报系统（数据统一报送系统）</w:t>
      </w:r>
      <w:r>
        <w:rPr>
          <w:rFonts w:ascii="宋体" w:eastAsia="宋体" w:hAnsi="宋体" w:hint="eastAsia"/>
          <w:sz w:val="28"/>
          <w:lang w:eastAsia="zh-CN"/>
        </w:rPr>
        <w:t>功能</w:t>
      </w:r>
      <w:r>
        <w:rPr>
          <w:rFonts w:ascii="宋体" w:eastAsia="宋体" w:hAnsi="宋体" w:hint="eastAsia"/>
          <w:sz w:val="28"/>
        </w:rPr>
        <w:t>优化</w:t>
      </w:r>
      <w:r>
        <w:rPr>
          <w:rFonts w:ascii="宋体" w:eastAsia="宋体" w:hAnsi="宋体" w:hint="eastAsia"/>
          <w:sz w:val="28"/>
          <w:lang w:eastAsia="zh-CN"/>
        </w:rPr>
        <w:t>和技术支持服务</w:t>
      </w:r>
      <w:r>
        <w:rPr>
          <w:rFonts w:ascii="宋体" w:eastAsia="宋体" w:hAnsi="宋体" w:hint="eastAsia"/>
          <w:sz w:val="28"/>
        </w:rPr>
        <w:t>要求</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1.任务管理</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(1)业务表单功能优化：包括在动态表单中增加上传附件的功能，在审批与查询页面增加动态表格的附件下载功能，在表单创建时支持多个表单同时导入，以及数据查询、任务创建、任务下发等功能的优化。</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(2)业务表单功能扩展:对表单创建功能进行扩展，扩展总共5类混合表头的支持，包括纵向、横向、单个填报表的创建。</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(3)任务创建功能优化:支持对各种类型表头的预览功能;任务监视按照国、省、市、县4级结构进行设计，针对大量填报单位(3000个)的情况进行适配;展示每个填报单位的统计情况。</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2.填报管理</w:t>
      </w:r>
    </w:p>
    <w:p>
      <w:pPr>
        <w:spacing w:line="560" w:lineRule="exact"/>
        <w:ind w:firstLine="420"/>
        <w:rPr>
          <w:rFonts w:ascii="宋体" w:eastAsia="宋体" w:hAnsi="宋体" w:cs="Times New Roman" w:hint="eastAsia"/>
        </w:rPr>
      </w:pPr>
      <w:r>
        <w:rPr>
          <w:rFonts w:ascii="宋体" w:eastAsia="宋体" w:hAnsi="宋体" w:cs="Times New Roman" w:hint="eastAsia"/>
          <w:sz w:val="24"/>
          <w:szCs w:val="24"/>
        </w:rPr>
        <w:t>(1)查询功能优化：包括新增任务总览页面，可以查看填报中所有单位、所有人下发的填报表单。新增查看审核流程的功能页面，能看到数据流程，新增历史数据查看等功能。</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(2)填报流程优化:升级下发流程;增加任务转发功能;新增数据退回功能;修改数据报送流程;支持从国家级直接发送任务到省、市、县。</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(3)数据填报扩展:支持纵向、横向、单个填报表的填报，生成相应的excel模版;优化数据导入。</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(4)汇总流程升级:国、省、市、县填报数据逐级汇总;支持省、市、县直接提交到国家局;各级收集的数据进行汇总设计与实现。</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3.审核管理</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扩展数据审核功能;新增局领导审核节点;新增局领导审核界面。</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4.数据应用</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根据国、省、市、县四级结构进行改造;优化数据导出;优化数据的查询与展示。</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5.系统管理</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系统管理增设市级与县级管理员。</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6.性能优化</w:t>
      </w:r>
    </w:p>
    <w:p>
      <w:pPr>
        <w:ind w:firstLine="480" w:firstLineChars="200"/>
        <w:rPr>
          <w:rFonts w:ascii="宋体" w:eastAsia="宋体" w:hAnsi="宋体" w:cs="Times New Roman"/>
          <w:highlight w:val="yellow"/>
        </w:rPr>
      </w:pPr>
      <w:r>
        <w:rPr>
          <w:rFonts w:ascii="宋体" w:eastAsia="宋体" w:hAnsi="宋体" w:cs="Times New Roman" w:hint="eastAsia"/>
          <w:sz w:val="24"/>
          <w:szCs w:val="24"/>
        </w:rPr>
        <w:t>支持一个单位下发任务到不少于3</w:t>
      </w:r>
      <w:r>
        <w:rPr>
          <w:rFonts w:ascii="宋体" w:eastAsia="宋体" w:hAnsi="宋体" w:cs="Times New Roman"/>
          <w:sz w:val="24"/>
          <w:szCs w:val="24"/>
        </w:rPr>
        <w:t>000</w:t>
      </w:r>
      <w:r>
        <w:rPr>
          <w:rFonts w:ascii="宋体" w:eastAsia="宋体" w:hAnsi="宋体" w:cs="Times New Roman" w:hint="eastAsia"/>
          <w:sz w:val="24"/>
          <w:szCs w:val="24"/>
        </w:rPr>
        <w:t>个单位的填报情况，页面响应、数据加载、数据导出能够正常使用。</w:t>
      </w:r>
    </w:p>
    <w:p>
      <w:pPr>
        <w:spacing w:line="560" w:lineRule="exact"/>
        <w:ind w:firstLine="480" w:firstLineChars="200"/>
        <w:rPr>
          <w:rFonts w:ascii="宋体" w:eastAsia="宋体" w:hAnsi="宋体" w:cs="Times New Roman" w:hint="eastAsia"/>
          <w:highlight w:val="none"/>
        </w:rPr>
      </w:pPr>
      <w:r>
        <w:rPr>
          <w:rFonts w:ascii="宋体" w:eastAsia="宋体" w:hAnsi="宋体" w:cs="Times New Roman"/>
          <w:sz w:val="24"/>
          <w:szCs w:val="24"/>
          <w:highlight w:val="none"/>
        </w:rPr>
        <w:t>7</w:t>
      </w:r>
      <w:r>
        <w:rPr>
          <w:rFonts w:ascii="宋体" w:eastAsia="宋体" w:hAnsi="宋体" w:cs="Times New Roman" w:hint="eastAsia"/>
          <w:sz w:val="24"/>
          <w:szCs w:val="24"/>
          <w:highlight w:val="none"/>
        </w:rPr>
        <w:t>.系统软件的日常维护和技术支持工作，包括但不限于：</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系统安全漏洞修复；</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系统故障问题解决；</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用户使用问题支持；</w:t>
      </w:r>
    </w:p>
    <w:p>
      <w:pPr>
        <w:numPr>
          <w:ilvl w:val="0"/>
          <w:numId w:val="6"/>
        </w:numPr>
        <w:spacing w:line="560" w:lineRule="exact"/>
        <w:ind w:left="420" w:firstLine="640" w:leftChars="0" w:firstLineChars="0"/>
        <w:rPr>
          <w:rFonts w:ascii="宋体" w:eastAsia="宋体" w:hAnsi="宋体" w:cs="Times New Roman" w:hint="eastAsia"/>
          <w:highlight w:val="none"/>
        </w:rPr>
      </w:pPr>
      <w:r>
        <w:rPr>
          <w:rFonts w:ascii="宋体" w:eastAsia="宋体" w:hAnsi="宋体" w:cs="Times New Roman" w:hint="eastAsia"/>
          <w:sz w:val="24"/>
          <w:szCs w:val="24"/>
          <w:highlight w:val="none"/>
        </w:rPr>
        <w:t>系统技术支持。</w:t>
      </w:r>
    </w:p>
    <w:p>
      <w:pPr>
        <w:pStyle w:val="Heading3"/>
        <w:spacing w:before="240" w:after="240" w:line="360" w:lineRule="auto"/>
        <w:ind w:firstLine="560" w:firstLineChars="200"/>
        <w:rPr>
          <w:rFonts w:ascii="宋体" w:hAnsi="宋体" w:hint="eastAsia"/>
          <w:color w:val="000000"/>
          <w:sz w:val="24"/>
          <w:szCs w:val="24"/>
        </w:rPr>
      </w:pPr>
      <w:r>
        <w:rPr>
          <w:rFonts w:ascii="宋体" w:hAnsi="宋体" w:hint="eastAsia"/>
          <w:sz w:val="28"/>
        </w:rPr>
        <w:t>4</w:t>
      </w:r>
      <w:r>
        <w:rPr>
          <w:rFonts w:ascii="宋体" w:hAnsi="宋体"/>
          <w:sz w:val="28"/>
        </w:rPr>
        <w:t>.</w:t>
      </w:r>
      <w:r>
        <w:rPr>
          <w:rFonts w:ascii="宋体" w:hAnsi="宋体" w:hint="eastAsia"/>
          <w:sz w:val="28"/>
          <w:lang w:val="en-US" w:eastAsia="zh-CN"/>
        </w:rPr>
        <w:t>3</w:t>
      </w:r>
      <w:r>
        <w:rPr>
          <w:rFonts w:ascii="宋体" w:hAnsi="宋体" w:hint="eastAsia"/>
          <w:sz w:val="28"/>
        </w:rPr>
        <w:t>气象高质量发展管理与评估系统</w:t>
      </w:r>
      <w:r>
        <w:rPr>
          <w:rFonts w:ascii="宋体" w:hAnsi="宋体" w:hint="eastAsia"/>
          <w:sz w:val="28"/>
          <w:lang w:eastAsia="zh-CN"/>
        </w:rPr>
        <w:t>功能</w:t>
      </w:r>
      <w:r>
        <w:rPr>
          <w:rFonts w:ascii="宋体" w:hAnsi="宋体" w:hint="eastAsia"/>
          <w:sz w:val="28"/>
        </w:rPr>
        <w:t>优化</w:t>
      </w:r>
      <w:r>
        <w:rPr>
          <w:rFonts w:ascii="宋体" w:hAnsi="宋体" w:hint="eastAsia"/>
          <w:sz w:val="28"/>
          <w:lang w:eastAsia="zh-CN"/>
        </w:rPr>
        <w:t>和技术支持服务</w:t>
      </w:r>
      <w:r>
        <w:rPr>
          <w:rFonts w:ascii="宋体" w:hAnsi="宋体" w:hint="eastAsia"/>
          <w:sz w:val="28"/>
        </w:rPr>
        <w:t>要求</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1.指标体系维护：针对每年高质量发展指标体系的变动，及时梳理新的指标体系，并维护进入系统。</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2.指标算法配置：梳理每一项指标的算法，并完成系统配置。</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3.指标数据收集前的系统配置：设置指标的填报单位，创建指标的填报任务，将指标填报任务下发至各省与大城市。维护各省的管理员、填报人员、复核人员以及省局领导。</w:t>
      </w:r>
    </w:p>
    <w:p>
      <w:pPr>
        <w:spacing w:line="560" w:lineRule="exact"/>
        <w:ind w:firstLine="480" w:firstLineChars="200"/>
        <w:rPr>
          <w:rFonts w:ascii="宋体" w:eastAsia="宋体" w:hAnsi="宋体" w:cs="Times New Roman" w:hint="eastAsia"/>
        </w:rPr>
      </w:pPr>
      <w:r>
        <w:rPr>
          <w:rFonts w:ascii="宋体" w:eastAsia="宋体" w:hAnsi="宋体" w:cs="Times New Roman" w:hint="eastAsia"/>
          <w:sz w:val="24"/>
          <w:szCs w:val="24"/>
        </w:rPr>
        <w:t>4.系统使用培训：对各省及大城市的填报人员进行系统使用培训。</w:t>
      </w:r>
    </w:p>
    <w:p>
      <w:pPr>
        <w:tabs>
          <w:tab w:val="left" w:pos="5580"/>
        </w:tabs>
        <w:spacing w:line="360" w:lineRule="auto"/>
        <w:ind w:firstLine="480" w:firstLineChars="200"/>
        <w:rPr>
          <w:rFonts w:ascii="宋体" w:eastAsia="宋体" w:hAnsi="宋体" w:cs="Times New Roman" w:hint="eastAsia"/>
          <w:highlight w:val="yellow"/>
        </w:rPr>
      </w:pPr>
      <w:r>
        <w:rPr>
          <w:rFonts w:ascii="宋体" w:eastAsia="宋体" w:hAnsi="宋体" w:cs="Times New Roman" w:hint="eastAsia"/>
          <w:sz w:val="24"/>
          <w:szCs w:val="24"/>
        </w:rPr>
        <w:t>5.填报期间技术支持：为各内设机构、直属单位、各省及大城市提供填报期间的技术支持。</w:t>
      </w:r>
    </w:p>
    <w:p>
      <w:pPr>
        <w:spacing w:line="560" w:lineRule="exact"/>
        <w:ind w:firstLine="480" w:firstLineChars="200"/>
        <w:rPr>
          <w:rFonts w:ascii="宋体" w:eastAsia="宋体" w:hAnsi="宋体" w:cs="Times New Roman" w:hint="eastAsia"/>
          <w:highlight w:val="none"/>
        </w:rPr>
      </w:pPr>
      <w:r>
        <w:rPr>
          <w:rFonts w:ascii="宋体" w:eastAsia="宋体" w:hAnsi="宋体" w:cs="Times New Roman"/>
          <w:sz w:val="24"/>
          <w:szCs w:val="24"/>
          <w:highlight w:val="none"/>
        </w:rPr>
        <w:t>6</w:t>
      </w:r>
      <w:r>
        <w:rPr>
          <w:rFonts w:ascii="宋体" w:eastAsia="宋体" w:hAnsi="宋体" w:cs="Times New Roman" w:hint="eastAsia"/>
          <w:sz w:val="24"/>
          <w:szCs w:val="24"/>
          <w:highlight w:val="none"/>
        </w:rPr>
        <w:t>.系统软件的日常维护和技术支持工作，包括但不限于：</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系统安全漏洞修复；</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系统故障问题解决；</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用户使用问题支持；</w:t>
      </w:r>
    </w:p>
    <w:p>
      <w:pPr>
        <w:numPr>
          <w:ilvl w:val="0"/>
          <w:numId w:val="6"/>
        </w:numPr>
        <w:spacing w:line="560" w:lineRule="exact"/>
        <w:ind w:firstLine="640"/>
        <w:rPr>
          <w:rFonts w:ascii="宋体" w:eastAsia="宋体" w:hAnsi="宋体" w:cs="Times New Roman" w:hint="eastAsia"/>
          <w:highlight w:val="none"/>
        </w:rPr>
      </w:pPr>
      <w:r>
        <w:rPr>
          <w:rFonts w:ascii="宋体" w:eastAsia="宋体" w:hAnsi="宋体" w:cs="Times New Roman" w:hint="eastAsia"/>
          <w:sz w:val="24"/>
          <w:szCs w:val="24"/>
          <w:highlight w:val="none"/>
        </w:rPr>
        <w:t>系统技术支持。</w:t>
      </w:r>
    </w:p>
    <w:p>
      <w:pPr>
        <w:pStyle w:val="Heading3"/>
        <w:spacing w:before="240" w:after="240" w:line="360" w:lineRule="auto"/>
        <w:ind w:firstLine="560" w:firstLineChars="200"/>
        <w:rPr>
          <w:rFonts w:ascii="宋体" w:hAnsi="宋体" w:hint="eastAsia"/>
          <w:color w:val="000000"/>
          <w:sz w:val="24"/>
          <w:szCs w:val="24"/>
        </w:rPr>
      </w:pPr>
      <w:bookmarkStart w:id="64" w:name="_Toc423139229"/>
      <w:r>
        <w:rPr>
          <w:rFonts w:ascii="宋体" w:hAnsi="宋体" w:hint="eastAsia"/>
          <w:sz w:val="28"/>
        </w:rPr>
        <w:t>4</w:t>
      </w:r>
      <w:r>
        <w:rPr>
          <w:rFonts w:ascii="宋体" w:hAnsi="宋体"/>
          <w:sz w:val="28"/>
        </w:rPr>
        <w:t>.</w:t>
      </w:r>
      <w:r>
        <w:rPr>
          <w:rFonts w:ascii="宋体" w:hAnsi="宋体" w:hint="eastAsia"/>
          <w:sz w:val="28"/>
          <w:lang w:val="en-US" w:eastAsia="zh-CN"/>
        </w:rPr>
        <w:t>4</w:t>
      </w:r>
      <w:r>
        <w:rPr>
          <w:rFonts w:ascii="宋体" w:hAnsi="宋体" w:hint="eastAsia"/>
          <w:sz w:val="28"/>
        </w:rPr>
        <w:t>驻场服务人员要求</w:t>
      </w:r>
      <w:bookmarkEnd w:id="64"/>
    </w:p>
    <w:p>
      <w:pPr>
        <w:pStyle w:val="ListParagraph"/>
        <w:snapToGrid w:val="0"/>
        <w:spacing w:line="360" w:lineRule="auto"/>
        <w:ind w:firstLine="480"/>
        <w:rPr>
          <w:rFonts w:ascii="宋体" w:hAnsi="宋体" w:hint="eastAsia"/>
          <w:sz w:val="24"/>
          <w:szCs w:val="24"/>
        </w:rPr>
      </w:pPr>
      <w:r>
        <w:rPr>
          <w:rFonts w:ascii="宋体" w:hAnsi="宋体" w:hint="eastAsia"/>
          <w:sz w:val="24"/>
          <w:szCs w:val="24"/>
        </w:rPr>
        <w:t>本项目共需提供不少于2人在国家气象信息中心驻场专职提供内网终端及外设提供管理和运维服务。</w:t>
      </w:r>
    </w:p>
    <w:p>
      <w:pPr>
        <w:pStyle w:val="Heading1"/>
        <w:numPr>
          <w:ilvl w:val="0"/>
          <w:numId w:val="4"/>
        </w:numPr>
        <w:spacing w:before="120" w:after="120" w:line="480" w:lineRule="auto"/>
        <w:ind w:left="505" w:hanging="505"/>
        <w:rPr>
          <w:rFonts w:ascii="宋体" w:hAnsi="宋体" w:hint="eastAsia"/>
          <w:sz w:val="28"/>
        </w:rPr>
      </w:pPr>
      <w:r>
        <w:rPr>
          <w:rFonts w:ascii="宋体" w:eastAsia="宋体" w:hAnsi="宋体" w:hint="eastAsia"/>
          <w:sz w:val="28"/>
          <w:lang w:val="en-US" w:eastAsia="zh-CN"/>
        </w:rPr>
        <w:t>项目交付物</w:t>
      </w:r>
      <w:r>
        <w:rPr>
          <w:rFonts w:ascii="宋体" w:eastAsia="宋体" w:hAnsi="宋体" w:hint="eastAsia"/>
          <w:sz w:val="28"/>
        </w:rPr>
        <w:t>要求</w:t>
      </w:r>
    </w:p>
    <w:p>
      <w:pPr>
        <w:adjustRightInd w:val="0"/>
        <w:snapToGrid w:val="0"/>
        <w:spacing w:line="360" w:lineRule="auto"/>
        <w:ind w:firstLine="480" w:firstLineChars="200"/>
        <w:rPr>
          <w:rFonts w:ascii="宋体" w:eastAsia="宋体" w:hAnsi="宋体" w:cs="宋体"/>
          <w:highlight w:val="none"/>
        </w:rPr>
      </w:pPr>
      <w:r>
        <w:rPr>
          <w:rFonts w:ascii="宋体" w:eastAsia="宋体" w:hAnsi="宋体" w:cs="宋体" w:hint="eastAsia"/>
          <w:sz w:val="24"/>
          <w:szCs w:val="24"/>
          <w:highlight w:val="none"/>
          <w:lang w:eastAsia="zh-CN"/>
        </w:rPr>
        <w:t>（</w:t>
      </w:r>
      <w:r>
        <w:rPr>
          <w:rFonts w:ascii="宋体" w:eastAsia="宋体" w:hAnsi="宋体" w:cs="宋体" w:hint="eastAsia"/>
          <w:sz w:val="24"/>
          <w:szCs w:val="24"/>
          <w:highlight w:val="none"/>
          <w:lang w:val="en-US" w:eastAsia="zh-CN"/>
        </w:rPr>
        <w:t>1</w:t>
      </w:r>
      <w:r>
        <w:rPr>
          <w:rFonts w:ascii="宋体" w:eastAsia="宋体" w:hAnsi="宋体" w:cs="宋体" w:hint="eastAsia"/>
          <w:sz w:val="24"/>
          <w:szCs w:val="24"/>
          <w:highlight w:val="none"/>
          <w:lang w:eastAsia="zh-CN"/>
        </w:rPr>
        <w:t>）终端运维</w:t>
      </w:r>
      <w:r>
        <w:rPr>
          <w:rFonts w:ascii="宋体" w:eastAsia="宋体" w:hAnsi="宋体" w:cs="宋体" w:hint="eastAsia"/>
          <w:sz w:val="24"/>
          <w:szCs w:val="24"/>
          <w:highlight w:val="none"/>
        </w:rPr>
        <w:t>要求的提交物包括：</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nt="eastAsia"/>
          <w:highlight w:val="none"/>
        </w:rPr>
      </w:pPr>
      <w:r>
        <w:rPr>
          <w:rFonts w:ascii="Times New Roman" w:eastAsia="宋体" w:hAnsi="Times New Roman" w:cs="Times New Roman" w:hint="eastAsia"/>
          <w:sz w:val="24"/>
          <w:szCs w:val="24"/>
          <w:highlight w:val="none"/>
        </w:rPr>
        <w:t>①支持记录；</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nt="eastAsia"/>
          <w:highlight w:val="none"/>
        </w:rPr>
      </w:pPr>
      <w:r>
        <w:rPr>
          <w:rFonts w:ascii="Times New Roman" w:eastAsia="宋体" w:hAnsi="Times New Roman" w:cs="Times New Roman" w:hint="eastAsia"/>
          <w:sz w:val="24"/>
          <w:szCs w:val="24"/>
          <w:highlight w:val="none"/>
        </w:rPr>
        <w:t>②运维报告；</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nt="eastAsia"/>
          <w:highlight w:val="none"/>
        </w:rPr>
      </w:pPr>
      <w:r>
        <w:rPr>
          <w:rFonts w:ascii="Times New Roman" w:eastAsia="宋体" w:hAnsi="Times New Roman" w:cs="Times New Roman" w:hint="eastAsia"/>
          <w:sz w:val="24"/>
          <w:szCs w:val="24"/>
          <w:highlight w:val="none"/>
        </w:rPr>
        <w:t>③故障报告（按需）；</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ghlight w:val="none"/>
        </w:rPr>
      </w:pPr>
      <w:r>
        <w:rPr>
          <w:rFonts w:ascii="Times New Roman" w:eastAsia="宋体" w:hAnsi="Times New Roman" w:cs="Times New Roman" w:hint="eastAsia"/>
          <w:sz w:val="24"/>
          <w:szCs w:val="24"/>
          <w:highlight w:val="none"/>
        </w:rPr>
        <w:t>④重大气象服务报告（按需）</w:t>
      </w:r>
      <w:r>
        <w:rPr>
          <w:rFonts w:ascii="Times New Roman" w:eastAsia="宋体" w:hAnsi="Times New Roman" w:cs="Times New Roman" w:hint="eastAsia"/>
          <w:sz w:val="24"/>
          <w:szCs w:val="24"/>
          <w:highlight w:val="none"/>
          <w:lang w:eastAsia="zh-CN"/>
        </w:rPr>
        <w:t>。</w:t>
      </w:r>
    </w:p>
    <w:p>
      <w:pPr>
        <w:adjustRightInd w:val="0"/>
        <w:snapToGrid w:val="0"/>
        <w:spacing w:line="360" w:lineRule="auto"/>
        <w:ind w:firstLine="480" w:firstLineChars="200"/>
        <w:rPr>
          <w:rFonts w:ascii="宋体" w:eastAsia="宋体" w:hAnsi="宋体" w:cs="宋体"/>
          <w:highlight w:val="none"/>
        </w:rPr>
      </w:pPr>
      <w:r>
        <w:rPr>
          <w:rFonts w:ascii="宋体" w:eastAsia="宋体" w:hAnsi="宋体" w:cs="Times New Roman" w:hint="eastAsia"/>
          <w:sz w:val="24"/>
          <w:szCs w:val="24"/>
          <w:highlight w:val="none"/>
          <w:lang w:eastAsia="zh-CN"/>
        </w:rPr>
        <w:t>（</w:t>
      </w:r>
      <w:r>
        <w:rPr>
          <w:rFonts w:ascii="宋体" w:eastAsia="宋体" w:hAnsi="宋体" w:cs="Times New Roman" w:hint="eastAsia"/>
          <w:sz w:val="24"/>
          <w:szCs w:val="24"/>
          <w:highlight w:val="none"/>
          <w:lang w:val="en-US" w:eastAsia="zh-CN"/>
        </w:rPr>
        <w:t>2</w:t>
      </w:r>
      <w:r>
        <w:rPr>
          <w:rFonts w:ascii="宋体" w:eastAsia="宋体" w:hAnsi="宋体" w:cs="Times New Roman" w:hint="eastAsia"/>
          <w:sz w:val="24"/>
          <w:szCs w:val="24"/>
          <w:highlight w:val="none"/>
          <w:lang w:eastAsia="zh-CN"/>
        </w:rPr>
        <w:t>）软件功能优化要求的</w:t>
      </w:r>
      <w:r>
        <w:rPr>
          <w:rFonts w:ascii="宋体" w:eastAsia="宋体" w:hAnsi="宋体" w:cs="宋体" w:hint="eastAsia"/>
          <w:sz w:val="24"/>
          <w:szCs w:val="24"/>
          <w:highlight w:val="none"/>
        </w:rPr>
        <w:t>提交物包括：</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nt="eastAsia"/>
          <w:highlight w:val="none"/>
        </w:rPr>
      </w:pPr>
      <w:r>
        <w:rPr>
          <w:rFonts w:ascii="Times New Roman" w:eastAsia="宋体" w:hAnsi="Times New Roman" w:cs="Times New Roman" w:hint="eastAsia"/>
          <w:sz w:val="24"/>
          <w:szCs w:val="24"/>
          <w:highlight w:val="none"/>
        </w:rPr>
        <w:t>①提供软件</w:t>
      </w:r>
      <w:r>
        <w:rPr>
          <w:rFonts w:ascii="Times New Roman" w:eastAsia="宋体" w:hAnsi="Times New Roman" w:cs="Times New Roman" w:hint="eastAsia"/>
          <w:sz w:val="24"/>
          <w:szCs w:val="24"/>
          <w:highlight w:val="none"/>
          <w:lang w:eastAsia="zh-CN"/>
        </w:rPr>
        <w:t>优化</w:t>
      </w:r>
      <w:r>
        <w:rPr>
          <w:rFonts w:ascii="Times New Roman" w:eastAsia="宋体" w:hAnsi="Times New Roman" w:cs="Times New Roman" w:hint="eastAsia"/>
          <w:sz w:val="24"/>
          <w:szCs w:val="24"/>
          <w:highlight w:val="none"/>
        </w:rPr>
        <w:t>设计文档</w:t>
      </w:r>
      <w:r>
        <w:rPr>
          <w:rFonts w:ascii="Times New Roman" w:eastAsia="宋体" w:hAnsi="Times New Roman" w:cs="Times New Roman" w:hint="eastAsia"/>
          <w:sz w:val="24"/>
          <w:szCs w:val="24"/>
          <w:highlight w:val="none"/>
          <w:lang w:eastAsia="zh-CN"/>
        </w:rPr>
        <w:t>（</w:t>
      </w:r>
      <w:r>
        <w:rPr>
          <w:rFonts w:ascii="Times New Roman" w:eastAsia="宋体" w:hAnsi="Times New Roman" w:cs="Times New Roman" w:hint="eastAsia"/>
          <w:sz w:val="24"/>
          <w:szCs w:val="24"/>
          <w:highlight w:val="none"/>
        </w:rPr>
        <w:t>需求、设计</w:t>
      </w:r>
      <w:r>
        <w:rPr>
          <w:rFonts w:ascii="Times New Roman" w:eastAsia="宋体" w:hAnsi="Times New Roman" w:cs="Times New Roman" w:hint="eastAsia"/>
          <w:sz w:val="24"/>
          <w:szCs w:val="24"/>
          <w:highlight w:val="none"/>
          <w:lang w:eastAsia="zh-CN"/>
        </w:rPr>
        <w:t>、数据说明等</w:t>
      </w:r>
      <w:r>
        <w:rPr>
          <w:rFonts w:ascii="Times New Roman" w:eastAsia="宋体" w:hAnsi="Times New Roman" w:cs="Times New Roman" w:hint="eastAsia"/>
          <w:sz w:val="24"/>
          <w:szCs w:val="24"/>
          <w:highlight w:val="none"/>
        </w:rPr>
        <w:t>）、软件测试方案；</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nt="eastAsia"/>
          <w:highlight w:val="none"/>
        </w:rPr>
      </w:pPr>
      <w:r>
        <w:rPr>
          <w:rFonts w:ascii="Times New Roman" w:eastAsia="宋体" w:hAnsi="Times New Roman" w:cs="Times New Roman" w:hint="eastAsia"/>
          <w:sz w:val="24"/>
          <w:szCs w:val="24"/>
          <w:highlight w:val="none"/>
        </w:rPr>
        <w:t>②软件用户手册、系统维护手册（包括故障查找和排除指南）；</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eastAsia="宋体" w:hAnsi="Times New Roman" w:cs="Times New Roman"/>
          <w:highlight w:val="none"/>
        </w:rPr>
      </w:pPr>
      <w:r>
        <w:rPr>
          <w:rFonts w:ascii="Times New Roman" w:eastAsia="宋体" w:hAnsi="Times New Roman" w:cs="Times New Roman" w:hint="eastAsia"/>
          <w:sz w:val="24"/>
          <w:szCs w:val="24"/>
          <w:highlight w:val="none"/>
        </w:rPr>
        <w:t>③全部软件源代码、可执行代码等（以上文档提供电子版1套，硬拷贝1套）。；</w:t>
      </w:r>
    </w:p>
    <w:p>
      <w:pPr>
        <w:pStyle w:val="ListParagraph"/>
        <w:snapToGrid w:val="0"/>
        <w:spacing w:line="360" w:lineRule="auto"/>
        <w:ind w:firstLine="480"/>
        <w:rPr>
          <w:rFonts w:ascii="宋体" w:hAnsi="宋体" w:hint="eastAsia"/>
          <w:sz w:val="24"/>
          <w:szCs w:val="24"/>
          <w:highlight w:val="none"/>
        </w:rPr>
      </w:pPr>
      <w:r>
        <w:rPr>
          <w:rFonts w:hint="eastAsia"/>
          <w:sz w:val="24"/>
          <w:szCs w:val="24"/>
          <w:highlight w:val="none"/>
        </w:rPr>
        <w:t>④</w:t>
      </w:r>
      <w:r>
        <w:rPr>
          <w:rFonts w:ascii="宋体" w:eastAsia="宋体" w:hAnsi="宋体" w:hint="eastAsia"/>
          <w:sz w:val="24"/>
          <w:szCs w:val="24"/>
          <w:highlight w:val="none"/>
          <w:lang w:eastAsia="zh-CN"/>
        </w:rPr>
        <w:t>培训课件：提供</w:t>
      </w:r>
      <w:r>
        <w:rPr>
          <w:rFonts w:ascii="宋体" w:hAnsi="宋体" w:hint="eastAsia"/>
          <w:sz w:val="24"/>
          <w:szCs w:val="24"/>
          <w:highlight w:val="none"/>
          <w:lang w:eastAsia="zh-CN"/>
        </w:rPr>
        <w:t>满足用户培训需求</w:t>
      </w:r>
      <w:r>
        <w:rPr>
          <w:rFonts w:ascii="宋体" w:eastAsia="宋体" w:hAnsi="宋体" w:hint="eastAsia"/>
          <w:sz w:val="24"/>
          <w:szCs w:val="24"/>
          <w:highlight w:val="none"/>
          <w:lang w:eastAsia="zh-CN"/>
        </w:rPr>
        <w:t>的课件，包括但不限于功能介绍、用户使用、系统管理、技术交流等，并开展技术培训</w:t>
      </w:r>
      <w:r>
        <w:rPr>
          <w:rFonts w:ascii="宋体" w:hAnsi="宋体" w:hint="eastAsia"/>
          <w:sz w:val="24"/>
          <w:szCs w:val="24"/>
          <w:highlight w:val="none"/>
          <w:lang w:eastAsia="zh-CN"/>
        </w:rPr>
        <w:t>。</w:t>
      </w:r>
    </w:p>
    <w:p>
      <w:pPr>
        <w:pStyle w:val="Heading1"/>
        <w:numPr>
          <w:ilvl w:val="0"/>
          <w:numId w:val="4"/>
        </w:numPr>
        <w:spacing w:before="120" w:after="120" w:line="480" w:lineRule="auto"/>
        <w:ind w:left="505" w:hanging="505"/>
        <w:rPr>
          <w:rFonts w:ascii="宋体" w:hAnsi="宋体"/>
          <w:sz w:val="28"/>
        </w:rPr>
      </w:pPr>
      <w:bookmarkStart w:id="65" w:name="_Toc656121766"/>
      <w:r>
        <w:rPr>
          <w:rFonts w:ascii="宋体" w:hAnsi="宋体" w:hint="eastAsia"/>
          <w:sz w:val="28"/>
        </w:rPr>
        <w:t>罚则</w:t>
      </w:r>
      <w:bookmarkEnd w:id="65"/>
    </w:p>
    <w:p>
      <w:pPr>
        <w:pStyle w:val="ListParagraph"/>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出现未按要求提供</w:t>
      </w:r>
      <w:r>
        <w:rPr>
          <w:rFonts w:ascii="宋体" w:hAnsi="宋体"/>
          <w:sz w:val="24"/>
          <w:szCs w:val="24"/>
        </w:rPr>
        <w:t>7×24小时的电话技术支持</w:t>
      </w:r>
      <w:r>
        <w:rPr>
          <w:rFonts w:ascii="宋体" w:hAnsi="宋体" w:hint="eastAsia"/>
          <w:sz w:val="24"/>
          <w:szCs w:val="24"/>
        </w:rPr>
        <w:t>的，每出现</w:t>
      </w:r>
      <w:r>
        <w:rPr>
          <w:rFonts w:ascii="宋体" w:hAnsi="宋体"/>
          <w:sz w:val="24"/>
          <w:szCs w:val="24"/>
        </w:rPr>
        <w:t>1次扣除合同款3万元；</w:t>
      </w:r>
    </w:p>
    <w:p>
      <w:pPr>
        <w:pStyle w:val="ListParagraph"/>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出现未按用户需要按时到达用户现场进行故障详查和维修服务的，每出现</w:t>
      </w:r>
      <w:r>
        <w:rPr>
          <w:rFonts w:ascii="宋体" w:hAnsi="宋体"/>
          <w:sz w:val="24"/>
          <w:szCs w:val="24"/>
        </w:rPr>
        <w:t>1次扣除合同款5万元；</w:t>
      </w:r>
    </w:p>
    <w:p>
      <w:pPr>
        <w:pStyle w:val="ListParagraph"/>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故障未能在规定恢复时间内恢复的，每出现</w:t>
      </w:r>
      <w:r>
        <w:rPr>
          <w:rFonts w:ascii="宋体" w:hAnsi="宋体"/>
          <w:sz w:val="24"/>
          <w:szCs w:val="24"/>
        </w:rPr>
        <w:t>1次扣除5万元；</w:t>
      </w:r>
    </w:p>
    <w:p>
      <w:pPr>
        <w:pStyle w:val="ListParagraph"/>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未完全按照附件中系统维护备件库清单留有设备的，每少一件备件扣除</w:t>
      </w:r>
      <w:r>
        <w:rPr>
          <w:rFonts w:ascii="宋体" w:hAnsi="宋体"/>
          <w:sz w:val="24"/>
          <w:szCs w:val="24"/>
        </w:rPr>
        <w:t>10万元；</w:t>
      </w:r>
    </w:p>
    <w:p>
      <w:pPr>
        <w:pStyle w:val="ListParagraph"/>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未定期进行系统健康巡检并按时提交巡检报告的，每出现</w:t>
      </w:r>
      <w:r>
        <w:rPr>
          <w:rFonts w:ascii="宋体" w:hAnsi="宋体"/>
          <w:sz w:val="24"/>
          <w:szCs w:val="24"/>
        </w:rPr>
        <w:t>1次扣除5万元；</w:t>
      </w:r>
    </w:p>
    <w:p>
      <w:pPr>
        <w:pStyle w:val="ListParagraph"/>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未在合同到期前</w:t>
      </w:r>
      <w:r>
        <w:rPr>
          <w:rFonts w:ascii="宋体" w:hAnsi="宋体"/>
          <w:sz w:val="24"/>
          <w:szCs w:val="24"/>
        </w:rPr>
        <w:t>1个月提供系统维护服务总体报告的，扣除10万元；</w:t>
      </w:r>
    </w:p>
    <w:p>
      <w:pPr>
        <w:ind w:firstLine="581"/>
        <w:jc w:val="left"/>
        <w:rPr>
          <w:rFonts w:ascii="宋体" w:eastAsia="宋体" w:hAnsi="宋体" w:cs="Times New Roman"/>
        </w:rPr>
      </w:pPr>
      <w:r>
        <w:rPr>
          <w:rFonts w:ascii="宋体" w:eastAsia="宋体" w:hAnsi="宋体" w:cs="Times New Roman" w:hint="eastAsia"/>
          <w:sz w:val="24"/>
          <w:szCs w:val="24"/>
        </w:rPr>
        <w:t>双方约定罚金作为延长服务期的费用。</w:t>
      </w:r>
    </w:p>
    <w:p>
      <w:pPr>
        <w:snapToGrid w:val="0"/>
        <w:spacing w:line="360" w:lineRule="auto"/>
        <w:jc w:val="left"/>
        <w:rPr>
          <w:rFonts w:ascii="宋体" w:eastAsia="宋体" w:hAnsi="宋体" w:cs="Times New Roman"/>
          <w:szCs w:val="21"/>
          <w:highlight w:val="none"/>
        </w:rPr>
      </w:pPr>
    </w:p>
    <w:p>
      <w:pPr>
        <w:spacing w:line="360" w:lineRule="auto"/>
        <w:ind w:firstLine="420" w:firstLineChars="200"/>
        <w:rPr>
          <w:rFonts w:ascii="宋体" w:eastAsia="宋体" w:hAnsi="宋体" w:cs="Times New Roman"/>
          <w:szCs w:val="21"/>
          <w:highlight w:val="none"/>
        </w:rPr>
      </w:pPr>
    </w:p>
    <w:p w:rsidR="00A77B3E"/>
    <w:p>
      <w:pPr>
        <w:spacing w:before="156" w:beforeLines="50" w:line="360" w:lineRule="auto"/>
        <w:jc w:val="center"/>
        <w:outlineLvl w:val="1"/>
        <w:rPr>
          <w:rFonts w:ascii="宋体" w:hAnsi="宋体"/>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66"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03FE3">
      <w:pPr>
        <w:numPr>
          <w:ilvl w:val="0"/>
          <w:numId w:val="8"/>
        </w:numPr>
        <w:spacing w:line="360" w:lineRule="auto"/>
        <w:ind w:firstLine="3066" w:firstLineChars="1460"/>
        <w:jc w:val="left"/>
        <w:rPr>
          <w:rFonts w:ascii="Times New Roman" w:eastAsia="宋体" w:hAnsi="Times New Roman" w:cs="Times New Roman"/>
          <w:b/>
          <w:bCs/>
          <w:szCs w:val="21"/>
        </w:rPr>
      </w:pPr>
      <w:bookmarkStart w:id="67"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103FE3">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103FE3">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103FE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103FE3">
      <w:pPr>
        <w:rPr>
          <w:rFonts w:ascii="宋体" w:eastAsia="宋体" w:hAnsi="宋体" w:cs="宋体"/>
          <w:b/>
          <w:bCs/>
          <w:spacing w:val="-20"/>
          <w:kern w:val="44"/>
          <w:sz w:val="40"/>
          <w:szCs w:val="40"/>
        </w:rPr>
      </w:pPr>
    </w:p>
    <w:p w:rsidR="00103FE3">
      <w:pPr>
        <w:rPr>
          <w:rFonts w:ascii="宋体" w:eastAsia="宋体" w:hAnsi="宋体" w:cs="宋体"/>
          <w:b/>
          <w:bCs/>
          <w:spacing w:val="-20"/>
          <w:kern w:val="44"/>
          <w:sz w:val="40"/>
          <w:szCs w:val="40"/>
        </w:rPr>
      </w:pPr>
    </w:p>
    <w:p w:rsidR="00103FE3">
      <w:pPr>
        <w:rPr>
          <w:rFonts w:ascii="宋体" w:eastAsia="宋体" w:hAnsi="宋体" w:cs="宋体"/>
          <w:b/>
          <w:bCs/>
          <w:spacing w:val="-20"/>
          <w:kern w:val="44"/>
          <w:sz w:val="40"/>
          <w:szCs w:val="40"/>
        </w:rPr>
      </w:pPr>
    </w:p>
    <w:p w:rsidR="00103FE3">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103FE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103FE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03FE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03FE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103FE3">
      <w:pPr>
        <w:rPr>
          <w:rFonts w:ascii="Times New Roman" w:eastAsia="宋体" w:hAnsi="Times New Roman" w:cs="Times New Roman"/>
          <w:szCs w:val="20"/>
        </w:rPr>
      </w:pPr>
    </w:p>
    <w:p w:rsidR="00103FE3">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103FE3">
      <w:pPr>
        <w:rPr>
          <w:rFonts w:ascii="Times New Roman" w:eastAsia="黑体" w:hAnsi="Times New Roman" w:cs="Times New Roman"/>
          <w:sz w:val="44"/>
          <w:szCs w:val="44"/>
        </w:rPr>
      </w:pPr>
    </w:p>
    <w:p w:rsidR="00103FE3">
      <w:pPr>
        <w:rPr>
          <w:rFonts w:ascii="Times New Roman" w:eastAsia="黑体" w:hAnsi="Times New Roman" w:cs="Times New Roman"/>
          <w:sz w:val="44"/>
          <w:szCs w:val="44"/>
        </w:rPr>
      </w:pPr>
    </w:p>
    <w:p w:rsidR="00103FE3">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103FE3">
      <w:pPr>
        <w:ind w:firstLine="640" w:firstLineChars="200"/>
        <w:rPr>
          <w:rFonts w:ascii="仿宋_GB2312" w:eastAsia="仿宋_GB2312" w:hAnsi="仿宋_GB2312" w:cs="仿宋_GB2312"/>
          <w:sz w:val="32"/>
          <w:szCs w:val="32"/>
        </w:rPr>
      </w:pPr>
    </w:p>
    <w:p w:rsidR="00103FE3">
      <w:pPr>
        <w:numPr>
          <w:ilvl w:val="0"/>
          <w:numId w:val="9"/>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103FE3">
      <w:pPr>
        <w:numPr>
          <w:ilvl w:val="0"/>
          <w:numId w:val="9"/>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103FE3">
      <w:pPr>
        <w:numPr>
          <w:ilvl w:val="0"/>
          <w:numId w:val="9"/>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103FE3">
      <w:pPr>
        <w:widowControl/>
        <w:jc w:val="left"/>
        <w:rPr>
          <w:rFonts w:ascii="宋体" w:eastAsia="宋体" w:hAnsi="宋体" w:cs="Times New Roman"/>
          <w:szCs w:val="21"/>
        </w:rPr>
      </w:pPr>
      <w:r>
        <w:rPr>
          <w:rFonts w:ascii="宋体" w:eastAsia="宋体" w:hAnsi="宋体" w:cs="Times New Roman"/>
          <w:szCs w:val="21"/>
        </w:rPr>
        <w:br w:type="page"/>
      </w:r>
    </w:p>
    <w:p w:rsidR="00103FE3">
      <w:pPr>
        <w:snapToGrid w:val="0"/>
        <w:spacing w:line="360" w:lineRule="auto"/>
        <w:ind w:firstLine="420"/>
        <w:rPr>
          <w:rFonts w:ascii="宋体" w:eastAsia="宋体" w:hAnsi="宋体" w:cs="Times New Roman"/>
          <w:szCs w:val="21"/>
        </w:rPr>
      </w:pPr>
    </w:p>
    <w:p w:rsidR="00103FE3">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103FE3">
      <w:pPr>
        <w:snapToGrid w:val="0"/>
        <w:spacing w:line="360" w:lineRule="auto"/>
        <w:ind w:firstLine="420"/>
        <w:jc w:val="center"/>
        <w:rPr>
          <w:rFonts w:ascii="宋体" w:eastAsia="宋体" w:hAnsi="宋体" w:cs="Times New Roman"/>
          <w:szCs w:val="21"/>
        </w:rPr>
      </w:pPr>
    </w:p>
    <w:p w:rsidR="00103FE3">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103FE3">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103FE3">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103FE3">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103FE3">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103FE3">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103FE3">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103FE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103FE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103FE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103FE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103FE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103FE3">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03FE3">
            <w:pPr>
              <w:tabs>
                <w:tab w:val="left" w:pos="1573"/>
              </w:tabs>
              <w:autoSpaceDE w:val="0"/>
              <w:autoSpaceDN w:val="0"/>
              <w:adjustRightInd w:val="0"/>
              <w:snapToGrid w:val="0"/>
              <w:spacing w:line="360" w:lineRule="auto"/>
              <w:rPr>
                <w:rFonts w:ascii="宋体" w:eastAsia="宋体" w:hAnsi="宋体" w:cs="Times New Roman"/>
                <w:szCs w:val="21"/>
              </w:rPr>
            </w:pPr>
          </w:p>
        </w:tc>
      </w:tr>
    </w:tbl>
    <w:p w:rsidR="00103FE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F740A2" w:rsidP="00F740A2">
      <w:pPr>
        <w:adjustRightInd w:val="0"/>
        <w:snapToGrid w:val="0"/>
        <w:spacing w:line="360" w:lineRule="auto"/>
        <w:ind w:firstLine="420" w:firstLineChars="200"/>
        <w:rPr>
          <w:rFonts w:ascii="宋体" w:hAnsi="宋体"/>
          <w:bCs/>
          <w:szCs w:val="21"/>
          <w:shd w:val="clear" w:color="auto" w:fill="FFFF00"/>
        </w:rPr>
      </w:pPr>
      <w:r>
        <w:rPr>
          <w:rFonts w:ascii="宋体" w:hAnsi="宋体" w:hint="eastAsia"/>
          <w:bCs/>
          <w:szCs w:val="21"/>
          <w:shd w:val="clear" w:color="auto" w:fill="FFFF00"/>
        </w:rPr>
        <w:t>1.合同总金额为人民币</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元（大写）：</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元（小写）。</w:t>
      </w:r>
    </w:p>
    <w:p w:rsidR="00F740A2" w:rsidP="00F740A2">
      <w:pPr>
        <w:adjustRightInd w:val="0"/>
        <w:snapToGrid w:val="0"/>
        <w:spacing w:line="360" w:lineRule="auto"/>
        <w:ind w:firstLine="420" w:firstLineChars="200"/>
        <w:rPr>
          <w:rFonts w:ascii="宋体" w:hAnsi="宋体" w:hint="eastAsia"/>
          <w:bCs/>
          <w:szCs w:val="21"/>
          <w:shd w:val="clear" w:color="auto" w:fill="FFFF00"/>
        </w:rPr>
      </w:pPr>
      <w:r>
        <w:rPr>
          <w:rFonts w:ascii="宋体" w:hAnsi="宋体" w:hint="eastAsia"/>
          <w:bCs/>
          <w:szCs w:val="21"/>
          <w:shd w:val="clear" w:color="auto" w:fill="FFFF00"/>
        </w:rPr>
        <w:t>2、甲乙双方签署合同后</w:t>
      </w:r>
      <w:r>
        <w:rPr>
          <w:rFonts w:ascii="宋体" w:hAnsi="宋体" w:hint="eastAsia"/>
          <w:bCs/>
          <w:szCs w:val="21"/>
          <w:u w:val="single"/>
          <w:shd w:val="clear" w:color="auto" w:fill="FFFF00"/>
        </w:rPr>
        <w:t>10</w:t>
      </w:r>
      <w:r>
        <w:rPr>
          <w:rFonts w:ascii="宋体" w:hAnsi="宋体" w:hint="eastAsia"/>
          <w:bCs/>
          <w:szCs w:val="21"/>
          <w:shd w:val="clear" w:color="auto" w:fill="FFFF00"/>
        </w:rPr>
        <w:t>个工作日内，乙方向甲方提供合同总金额</w:t>
      </w:r>
      <w:r>
        <w:rPr>
          <w:rFonts w:ascii="宋体" w:hAnsi="宋体" w:hint="eastAsia"/>
          <w:bCs/>
          <w:szCs w:val="21"/>
          <w:u w:val="single"/>
          <w:shd w:val="clear" w:color="auto" w:fill="FFFF00"/>
        </w:rPr>
        <w:t>10%</w:t>
      </w:r>
      <w:r>
        <w:rPr>
          <w:rFonts w:ascii="宋体" w:hAnsi="宋体" w:hint="eastAsia"/>
          <w:bCs/>
          <w:szCs w:val="21"/>
          <w:shd w:val="clear" w:color="auto" w:fill="FFFF00"/>
        </w:rPr>
        <w:t>的履约保函，即人民币：</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元(大写)：</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元（小写），有效期截止</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年</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月</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日。甲方收到乙方提供的履约保函后</w:t>
      </w:r>
      <w:r>
        <w:rPr>
          <w:rFonts w:ascii="宋体" w:hAnsi="宋体" w:hint="eastAsia"/>
          <w:bCs/>
          <w:szCs w:val="21"/>
          <w:u w:val="single"/>
          <w:shd w:val="clear" w:color="auto" w:fill="FFFF00"/>
        </w:rPr>
        <w:t xml:space="preserve"> 10</w:t>
      </w:r>
      <w:r>
        <w:rPr>
          <w:rFonts w:ascii="宋体" w:hAnsi="宋体" w:hint="eastAsia"/>
          <w:bCs/>
          <w:szCs w:val="21"/>
          <w:shd w:val="clear" w:color="auto" w:fill="FFFF00"/>
        </w:rPr>
        <w:t>个工作日内，向乙方支付合同总金额的</w:t>
      </w:r>
      <w:r>
        <w:rPr>
          <w:rFonts w:ascii="宋体" w:hAnsi="宋体" w:hint="eastAsia"/>
          <w:bCs/>
          <w:szCs w:val="21"/>
          <w:u w:val="single"/>
          <w:shd w:val="clear" w:color="auto" w:fill="FFFF00"/>
        </w:rPr>
        <w:t>100%</w:t>
      </w:r>
      <w:r>
        <w:rPr>
          <w:rFonts w:ascii="宋体" w:hAnsi="宋体" w:hint="eastAsia"/>
          <w:bCs/>
          <w:szCs w:val="21"/>
          <w:shd w:val="clear" w:color="auto" w:fill="FFFF00"/>
        </w:rPr>
        <w:t>，即人民币</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元(大写)：</w:t>
      </w:r>
      <w:r>
        <w:rPr>
          <w:rFonts w:ascii="宋体" w:hAnsi="宋体" w:hint="eastAsia"/>
          <w:bCs/>
          <w:szCs w:val="21"/>
          <w:u w:val="single"/>
          <w:shd w:val="clear" w:color="auto" w:fill="FFFF00"/>
        </w:rPr>
        <w:t xml:space="preserve">         </w:t>
      </w:r>
      <w:r>
        <w:rPr>
          <w:rFonts w:ascii="宋体" w:hAnsi="宋体" w:hint="eastAsia"/>
          <w:bCs/>
          <w:szCs w:val="21"/>
          <w:shd w:val="clear" w:color="auto" w:fill="FFFF00"/>
        </w:rPr>
        <w:t>元（小写）。</w:t>
      </w:r>
    </w:p>
    <w:p w:rsidR="00F740A2" w:rsidP="00F740A2">
      <w:pPr>
        <w:adjustRightInd w:val="0"/>
        <w:snapToGrid w:val="0"/>
        <w:spacing w:line="360" w:lineRule="auto"/>
        <w:ind w:firstLine="420" w:firstLineChars="200"/>
        <w:rPr>
          <w:rFonts w:ascii="宋体" w:hAnsi="宋体" w:hint="eastAsia"/>
          <w:bCs/>
          <w:szCs w:val="21"/>
          <w:shd w:val="clear" w:color="auto" w:fill="FFFF00"/>
        </w:rPr>
      </w:pPr>
      <w:r>
        <w:rPr>
          <w:rFonts w:ascii="宋体" w:hAnsi="宋体" w:hint="eastAsia"/>
          <w:bCs/>
          <w:szCs w:val="21"/>
          <w:shd w:val="clear" w:color="auto" w:fill="FFFF00"/>
        </w:rPr>
        <w:t>3、项目终验合格且收到终验合格证明</w:t>
      </w:r>
      <w:r>
        <w:rPr>
          <w:rFonts w:ascii="宋体" w:hAnsi="宋体" w:hint="eastAsia"/>
          <w:bCs/>
          <w:szCs w:val="21"/>
          <w:u w:val="single"/>
          <w:shd w:val="clear" w:color="auto" w:fill="FFFF00"/>
        </w:rPr>
        <w:t>10</w:t>
      </w:r>
      <w:r>
        <w:rPr>
          <w:rFonts w:ascii="宋体" w:hAnsi="宋体" w:hint="eastAsia"/>
          <w:bCs/>
          <w:szCs w:val="21"/>
          <w:shd w:val="clear" w:color="auto" w:fill="FFFF00"/>
        </w:rPr>
        <w:t>个工作日内，甲方退还乙方履约保函。</w:t>
      </w:r>
    </w:p>
    <w:p w:rsidR="00103FE3" w:rsidRPr="00F740A2">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103FE3">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103FE3">
      <w:pPr>
        <w:tabs>
          <w:tab w:val="left" w:pos="1573"/>
        </w:tabs>
        <w:adjustRightInd w:val="0"/>
        <w:snapToGrid w:val="0"/>
        <w:spacing w:line="360" w:lineRule="auto"/>
        <w:ind w:firstLine="412" w:firstLineChars="196"/>
        <w:jc w:val="left"/>
        <w:rPr>
          <w:rFonts w:ascii="宋体" w:eastAsia="宋体" w:hAnsi="宋体" w:cs="Times New Roman"/>
          <w:szCs w:val="28"/>
        </w:rPr>
      </w:pP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103F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103F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103F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103FE3">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103FE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103FE3">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103FE3">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103FE3">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103FE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103FE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103F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103FE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103FE3">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103FE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103FE3">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03FE3">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103FE3">
      <w:pPr>
        <w:tabs>
          <w:tab w:val="left" w:pos="1573"/>
        </w:tabs>
        <w:adjustRightInd w:val="0"/>
        <w:snapToGrid w:val="0"/>
        <w:ind w:firstLine="315" w:firstLineChars="150"/>
        <w:jc w:val="left"/>
        <w:rPr>
          <w:rFonts w:ascii="宋体" w:eastAsia="宋体" w:hAnsi="宋体" w:cs="Times New Roman"/>
          <w:szCs w:val="21"/>
          <w:u w:val="single"/>
        </w:rPr>
      </w:pPr>
    </w:p>
    <w:p w:rsidR="00103FE3">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103FE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103FE3">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03FE3">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103FE3">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103FE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103FE3">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103FE3">
      <w:pPr>
        <w:tabs>
          <w:tab w:val="left" w:pos="1573"/>
        </w:tabs>
        <w:adjustRightInd w:val="0"/>
        <w:snapToGrid w:val="0"/>
        <w:spacing w:line="360" w:lineRule="auto"/>
        <w:ind w:firstLine="420" w:firstLineChars="200"/>
        <w:jc w:val="left"/>
        <w:rPr>
          <w:rFonts w:ascii="宋体" w:eastAsia="宋体" w:hAnsi="宋体" w:cs="Times New Roman"/>
          <w:b/>
          <w:szCs w:val="28"/>
        </w:rPr>
      </w:pPr>
    </w:p>
    <w:p w:rsidR="00103FE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103F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103FE3">
      <w:pPr>
        <w:tabs>
          <w:tab w:val="left" w:pos="1573"/>
        </w:tabs>
        <w:adjustRightInd w:val="0"/>
        <w:snapToGrid w:val="0"/>
        <w:spacing w:line="360" w:lineRule="auto"/>
        <w:ind w:firstLine="412" w:firstLineChars="196"/>
        <w:jc w:val="left"/>
        <w:rPr>
          <w:rFonts w:ascii="宋体" w:eastAsia="宋体" w:hAnsi="宋体" w:cs="Times New Roman"/>
          <w:b/>
          <w:szCs w:val="28"/>
        </w:rPr>
      </w:pPr>
    </w:p>
    <w:p w:rsidR="00103FE3">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103FE3">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103FE3">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103FE3">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103FE3">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103FE3">
      <w:pPr>
        <w:widowControl/>
        <w:jc w:val="left"/>
        <w:rPr>
          <w:rFonts w:ascii="宋体" w:eastAsia="宋体" w:hAnsi="宋体" w:cs="Times New Roman"/>
          <w:b/>
          <w:szCs w:val="21"/>
        </w:rPr>
      </w:pPr>
      <w:r>
        <w:rPr>
          <w:rFonts w:ascii="宋体" w:eastAsia="宋体" w:hAnsi="宋体" w:cs="Times New Roman"/>
          <w:b/>
          <w:szCs w:val="21"/>
        </w:rPr>
        <w:br w:type="page"/>
      </w:r>
    </w:p>
    <w:p w:rsidR="00103FE3">
      <w:pPr>
        <w:spacing w:line="360" w:lineRule="auto"/>
        <w:jc w:val="left"/>
        <w:rPr>
          <w:rFonts w:ascii="Times New Roman" w:eastAsia="宋体" w:hAnsi="Times New Roman" w:cs="Times New Roman"/>
          <w:b/>
          <w:bCs/>
          <w:sz w:val="44"/>
          <w:szCs w:val="44"/>
        </w:rPr>
      </w:pPr>
    </w:p>
    <w:p w:rsidR="00103FE3">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103FE3">
      <w:pPr>
        <w:tabs>
          <w:tab w:val="left" w:pos="1573"/>
        </w:tabs>
        <w:snapToGrid w:val="0"/>
        <w:spacing w:line="360" w:lineRule="auto"/>
        <w:jc w:val="center"/>
        <w:rPr>
          <w:rFonts w:ascii="宋体" w:eastAsia="宋体" w:hAnsi="宋体" w:cs="Times New Roman"/>
          <w:szCs w:val="21"/>
        </w:rPr>
      </w:pPr>
    </w:p>
    <w:p w:rsidR="00103FE3">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103FE3">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103FE3">
      <w:pPr>
        <w:numPr>
          <w:ilvl w:val="0"/>
          <w:numId w:val="10"/>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103FE3">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103FE3">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103FE3">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103FE3">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103FE3">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103FE3">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103FE3">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103FE3">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103FE3">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103FE3">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103FE3">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103FE3">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103F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103F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103F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103F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103F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103FE3">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103FE3">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103FE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103FE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103F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103F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103FE3">
      <w:pPr>
        <w:tabs>
          <w:tab w:val="left" w:pos="1573"/>
        </w:tabs>
        <w:adjustRightInd w:val="0"/>
        <w:snapToGrid w:val="0"/>
        <w:spacing w:line="360" w:lineRule="auto"/>
        <w:ind w:firstLine="412" w:firstLineChars="196"/>
        <w:jc w:val="left"/>
        <w:rPr>
          <w:rFonts w:ascii="宋体" w:eastAsia="宋体" w:hAnsi="宋体" w:cs="Times New Roman"/>
          <w:szCs w:val="21"/>
        </w:rPr>
      </w:pPr>
    </w:p>
    <w:p w:rsidR="00103FE3"/>
    <w:p w:rsidR="00A77B3E"/>
    <w:p w:rsidR="00103FE3">
      <w:pPr>
        <w:numPr>
          <w:ilvl w:val="0"/>
          <w:numId w:val="8"/>
        </w:numPr>
        <w:spacing w:line="360" w:lineRule="auto"/>
        <w:ind w:firstLine="3066" w:firstLineChars="1460"/>
        <w:jc w:val="left"/>
        <w:rPr>
          <w:rFonts w:ascii="Times New Roman" w:eastAsia="宋体" w:hAnsi="Times New Roman" w:cs="Times New Roman"/>
          <w:b/>
          <w:bCs/>
          <w:szCs w:val="21"/>
        </w:rPr>
      </w:pPr>
      <w:bookmarkEnd w:id="67"/>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variable"/>
    <w:sig w:usb0="00000203" w:usb1="288F0000" w:usb2="00000006" w:usb3="00000000" w:csb0="00040001" w:csb1="00000000"/>
  </w:font>
  <w:font w:name="Arial">
    <w:altName w:val="Times New Roman"/>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F6ECA37D"/>
    <w:multiLevelType w:val="singleLevel"/>
    <w:tmpl w:val="F6ECA37D"/>
    <w:lvl w:ilvl="0">
      <w:start w:val="1"/>
      <w:numFmt w:val="bullet"/>
      <w:lvlText w:val=""/>
      <w:lvlJc w:val="left"/>
      <w:pPr>
        <w:ind w:left="420" w:hanging="420"/>
      </w:pPr>
      <w:rPr>
        <w:rFonts w:ascii="Wingdings" w:hAnsi="Wingdings" w:hint="default"/>
      </w:rPr>
    </w:lvl>
  </w:abstractNum>
  <w:abstractNum w:abstractNumId="3">
    <w:nsid w:val="FBEE6B19"/>
    <w:multiLevelType w:val="singleLevel"/>
    <w:tmpl w:val="FBEE6B19"/>
    <w:lvl w:ilvl="0">
      <w:start w:val="1"/>
      <w:numFmt w:val="bullet"/>
      <w:lvlText w:val=""/>
      <w:lvlJc w:val="left"/>
      <w:pPr>
        <w:ind w:left="420" w:hanging="420"/>
      </w:pPr>
      <w:rPr>
        <w:rFonts w:ascii="Wingdings" w:hAnsi="Wingdings" w:hint="default"/>
      </w:r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6FC3379"/>
    <w:multiLevelType w:val="multilevel"/>
    <w:tmpl w:val="06FC3379"/>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3B97B9A"/>
    <w:multiLevelType w:val="multilevel"/>
    <w:tmpl w:val="33B97B9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5"/>
  </w:num>
  <w:num w:numId="2">
    <w:abstractNumId w:val="4"/>
  </w:num>
  <w:num w:numId="3">
    <w:abstractNumId w:val="7"/>
  </w:num>
  <w:num w:numId="4">
    <w:abstractNumId w:val="6"/>
  </w:num>
  <w:num w:numId="5">
    <w:abstractNumId w:val="2"/>
  </w:num>
  <w:num w:numId="6">
    <w:abstractNumId w:val="3"/>
  </w:num>
  <w:num w:numId="7">
    <w:abstractNumId w:val="10"/>
  </w:num>
  <w:num w:numId="8">
    <w:abstractNumId w:val="1"/>
  </w:num>
  <w:num w:numId="9">
    <w:abstractNumId w:val="0"/>
  </w:num>
  <w:num w:numId="10">
    <w:abstractNumId w:val="8"/>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3FE3"/>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0A2"/>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