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河北82mm人工影响天气火箭弹采购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ZQCD-26172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河北省气象局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河北82mm人工影响天气火箭弹采购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ZQCD-26172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合同签订后30天内交货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出厂验收合格后，中标供应商负责将产品运输到河北省气象局指定的地点，运输过程应当遵守国 家有关武器装备、爆炸物品管理的法律、法规。</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2026年08月27日 00:00:00</w:t>
      </w:r>
      <w:bookmarkEnd w:id="26"/>
      <w:r>
        <w:rPr>
          <w:rFonts w:ascii="宋体" w:hint="eastAsia"/>
          <w:szCs w:val="21"/>
          <w:highlight w:val="none"/>
        </w:rPr>
        <w:t>至</w:t>
      </w:r>
      <w:bookmarkStart w:id="27" w:name="项目公告_signUpLastTime"/>
      <w:r>
        <w:rPr>
          <w:rFonts w:ascii="宋体" w:hint="eastAsia"/>
          <w:szCs w:val="21"/>
          <w:highlight w:val="none"/>
        </w:rPr>
        <w:t>2026年09月02日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2026年09月17日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河北省气象局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顾夏天</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0311-67108010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石家庄</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河北省气象局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火箭弹  ，属于 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213.440000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213.440000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投标人具有 ISO9000系列或GJB9001B质量管理体系认证，得3分。否则不得分。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销售合同必须包括82毫米火箭弹，每提供1份合同得1分，最多得5分。否则不得分。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针对本项目采购的82毫米火箭弹，承诺每提前10天交货的得1分，否则不得分。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针对82毫米火箭弹，每提供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(6)</w:t>
            </w:r>
          </w:p>
        </w:tc>
        <w:tc>
          <w:tcPr/>
          <w:p>
            <w:r>
              <w:t>评审标准：</w:t>
            </w:r>
          </w:p>
          <w:p>
            <w:r>
              <w:t xml:space="preserve">1、投标人为本项目拟派的服务团队中项目经理应具有3年以上相关工作经验的得3分； </w:t>
              <w:cr/>
              <w:t>2、投标人为本项目拟派的服务团队中，除项目经理外至少5人具有2年及以上相关工作经验得3分；至少3人具有1年及以上相关工作经验得1分；其他不得分。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(36)</w:t>
            </w:r>
          </w:p>
        </w:tc>
        <w:tc>
          <w:tcPr/>
          <w:p>
            <w:r>
              <w:t>评审标准：</w:t>
            </w:r>
          </w:p>
          <w:p>
            <w:r>
              <w:t>标注#的重要指标共9项，每满足1项（如有多个下级指标，则每个下级指标均应满足）得4分，满分36分。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pStyle w:val="BodyText"/>
        <w:spacing w:line="408" w:lineRule="auto"/>
        <w:ind w:left="119" w:right="166" w:firstLine="422"/>
        <w:jc w:val="both"/>
        <w:rPr>
          <w:rFonts w:ascii="Calibri" w:eastAsia="Calibri" w:hAnsi="Calibri"/>
          <w:color w:val="000000"/>
          <w:kern w:val="2"/>
          <w:szCs w:val="21"/>
          <w:lang w:val="en-US"/>
        </w:rPr>
      </w:pPr>
      <w:r>
        <w:rPr>
          <w:rFonts w:ascii="宋体" w:eastAsia="宋体" w:hAnsi="宋体" w:cs="宋体" w:hint="eastAsia"/>
          <w:color w:val="000000"/>
          <w:kern w:val="2"/>
          <w:szCs w:val="21"/>
          <w:lang w:val="en-US"/>
        </w:rPr>
        <w:t>本项目所招产品为河北省气象局人影用火箭弹，根据中国气象局关于人工影响天气作业的安全管理要求，结合近年来各地出现的相关人影作业事故案例，本项目所招产品必须完全满足配套河北省</w:t>
      </w:r>
      <w:r>
        <w:rPr>
          <w:rFonts w:ascii="宋体" w:eastAsia="宋体" w:hAnsi="宋体" w:cs="宋体"/>
          <w:color w:val="000000"/>
          <w:kern w:val="2"/>
          <w:szCs w:val="21"/>
          <w:lang w:val="en-US"/>
        </w:rPr>
        <w:t>气象局</w:t>
      </w:r>
      <w:r>
        <w:rPr>
          <w:rFonts w:ascii="宋体" w:eastAsia="宋体" w:hAnsi="宋体" w:cs="宋体" w:hint="eastAsia"/>
          <w:color w:val="000000"/>
          <w:kern w:val="2"/>
          <w:szCs w:val="21"/>
          <w:lang w:val="en-US"/>
        </w:rPr>
        <w:t xml:space="preserve">现有火箭发射系统使用条件，以保证火箭作业的稳定性、安全性，出现事故后能够及时解决。 </w:t>
      </w:r>
    </w:p>
    <w:p>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szCs w:val="21"/>
        </w:rPr>
      </w:pPr>
      <w:r>
        <w:rPr>
          <w:rFonts w:ascii="宋体" w:hAnsi="宋体" w:hint="eastAsia"/>
          <w:szCs w:val="21"/>
        </w:rPr>
        <w:t>三、技术性能指标</w:t>
      </w:r>
    </w:p>
    <w:tbl>
      <w:tblPr>
        <w:tblStyle w:val="TableNormal"/>
        <w:tblW w:w="83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2485"/>
        <w:gridCol w:w="3284"/>
        <w:gridCol w:w="2541"/>
      </w:tblGrid>
      <w:tr>
        <w:tblPrEx>
          <w:tblW w:w="83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r>
              <w:rPr>
                <w:color w:val="000000"/>
                <w:szCs w:val="21"/>
              </w:rPr>
              <w:t>项目</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r>
              <w:rPr>
                <w:color w:val="000000"/>
                <w:szCs w:val="21"/>
              </w:rPr>
              <w:t>性能参数描述</w:t>
            </w:r>
          </w:p>
        </w:tc>
        <w:tc>
          <w:tcPr>
            <w:tcW w:w="2541"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r>
              <w:rPr>
                <w:rFonts w:hint="eastAsia"/>
                <w:color w:val="000000"/>
                <w:szCs w:val="21"/>
              </w:rPr>
              <w:t>说明</w:t>
            </w:r>
          </w:p>
        </w:tc>
      </w:tr>
      <w:tr>
        <w:tblPrEx>
          <w:tblW w:w="8310" w:type="dxa"/>
          <w:jc w:val="center"/>
          <w:tblLayout w:type="fixed"/>
          <w:tblCellMar>
            <w:top w:w="0" w:type="dxa"/>
            <w:left w:w="0" w:type="dxa"/>
            <w:bottom w:w="0" w:type="dxa"/>
            <w:right w:w="0" w:type="dxa"/>
          </w:tblCellMar>
        </w:tblPrEx>
        <w:trPr>
          <w:trHeight w:hRule="exact" w:val="551"/>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r>
              <w:rPr>
                <w:color w:val="000000"/>
                <w:szCs w:val="21"/>
              </w:rPr>
              <w:t>配套类型</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4"/>
              <w:jc w:val="center"/>
              <w:rPr>
                <w:color w:val="000000"/>
                <w:szCs w:val="21"/>
              </w:rPr>
            </w:pPr>
            <w:r>
              <w:rPr>
                <w:color w:val="000000"/>
                <w:szCs w:val="21"/>
              </w:rPr>
              <w:t>适用于</w:t>
            </w:r>
            <w:r>
              <w:rPr>
                <w:rFonts w:hint="eastAsia"/>
                <w:color w:val="000000"/>
                <w:szCs w:val="21"/>
              </w:rPr>
              <w:t>采购人现有</w:t>
            </w:r>
            <w:r>
              <w:rPr>
                <w:color w:val="000000"/>
                <w:szCs w:val="21"/>
              </w:rPr>
              <w:t>火箭发射架，安全有保障</w:t>
            </w:r>
          </w:p>
        </w:tc>
        <w:tc>
          <w:tcPr>
            <w:tcW w:w="2541" w:type="dxa"/>
            <w:vMerge w:val="restart"/>
            <w:tcBorders>
              <w:top w:val="single" w:sz="4" w:space="0" w:color="000000"/>
              <w:left w:val="single" w:sz="4" w:space="0" w:color="000000"/>
              <w:right w:val="single" w:sz="4" w:space="0" w:color="000000"/>
            </w:tcBorders>
            <w:vAlign w:val="center"/>
          </w:tcPr>
          <w:p>
            <w:pPr>
              <w:pStyle w:val="BodyText"/>
              <w:adjustRightInd w:val="0"/>
              <w:snapToGrid w:val="0"/>
              <w:spacing w:after="0" w:line="240" w:lineRule="exact"/>
              <w:ind w:left="544"/>
              <w:jc w:val="center"/>
              <w:rPr>
                <w:color w:val="000000"/>
                <w:szCs w:val="21"/>
              </w:rPr>
            </w:pPr>
            <w:r>
              <w:rPr>
                <w:rFonts w:hint="eastAsia"/>
                <w:color w:val="0000FF"/>
                <w:szCs w:val="21"/>
              </w:rPr>
              <w:t>需证明材料</w:t>
            </w: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rFonts w:hint="eastAsia"/>
                <w:color w:val="000000" w:themeColor="text1"/>
              </w:rPr>
              <w:t>弹径</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hint="eastAsia"/>
                <w:color w:val="000000" w:themeColor="text1"/>
              </w:rPr>
              <w:t>82mm</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rFonts w:hint="eastAsia"/>
                <w:color w:val="000000" w:themeColor="text1"/>
              </w:rPr>
              <w:t>箭长</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hint="eastAsia"/>
                <w:color w:val="000000" w:themeColor="text1"/>
              </w:rPr>
              <w:t>1450±5mm</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rFonts w:hint="eastAsia"/>
                <w:color w:val="000000" w:themeColor="text1"/>
              </w:rPr>
              <w:t>最大射高（85°）</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hint="eastAsia"/>
                <w:color w:val="000000" w:themeColor="text1"/>
              </w:rPr>
              <w:t>≮</w:t>
            </w:r>
            <w:r>
              <w:rPr>
                <w:rFonts w:hint="eastAsia"/>
                <w:color w:val="000000" w:themeColor="text1"/>
                <w:lang w:val="en-US"/>
              </w:rPr>
              <w:t>7.5</w:t>
            </w:r>
            <w:r>
              <w:rPr>
                <w:rFonts w:hint="eastAsia"/>
                <w:color w:val="000000" w:themeColor="text1"/>
              </w:rPr>
              <w:t>km</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color w:val="000000" w:themeColor="text1"/>
                <w:szCs w:val="21"/>
              </w:rPr>
              <w:t>焰剂携带量</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hint="eastAsia"/>
                <w:color w:val="000000" w:themeColor="text1"/>
              </w:rPr>
              <w:t>≥600g/枚</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rFonts w:hint="eastAsia"/>
                <w:color w:val="000000" w:themeColor="text1"/>
              </w:rPr>
              <w:t>碘化银成核率：</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hint="eastAsia"/>
                <w:color w:val="000000" w:themeColor="text1"/>
              </w:rPr>
              <w:t>1.8×10</w:t>
            </w:r>
            <w:r>
              <w:rPr>
                <w:rFonts w:hint="eastAsia"/>
                <w:color w:val="000000" w:themeColor="text1"/>
                <w:vertAlign w:val="superscript"/>
              </w:rPr>
              <w:t>15</w:t>
            </w:r>
            <w:r>
              <w:rPr>
                <w:rFonts w:hint="eastAsia"/>
                <w:color w:val="000000" w:themeColor="text1"/>
              </w:rPr>
              <w:t>个/g AgI（-10℃）</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rFonts w:hint="eastAsia"/>
                <w:color w:val="000000" w:themeColor="text1"/>
              </w:rPr>
              <w:t>降落方式</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hint="eastAsia"/>
                <w:color w:val="000000" w:themeColor="text1"/>
              </w:rPr>
              <w:t>伞降</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rFonts w:hint="eastAsia"/>
                <w:color w:val="000000" w:themeColor="text1"/>
              </w:rPr>
              <w:t>残骸落地速度</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hint="eastAsia"/>
                <w:color w:val="000000" w:themeColor="text1"/>
              </w:rPr>
              <w:t>≤8m/s</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rFonts w:hint="eastAsia"/>
                <w:color w:val="000000" w:themeColor="text1"/>
                <w:szCs w:val="21"/>
              </w:rPr>
              <w:t>贮存期</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rPr>
            </w:pPr>
            <w:r>
              <w:rPr>
                <w:rFonts w:hint="eastAsia"/>
                <w:color w:val="000000" w:themeColor="text1"/>
                <w:szCs w:val="21"/>
              </w:rPr>
              <w:t>3年</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color w:val="000000" w:themeColor="text1"/>
                <w:szCs w:val="21"/>
              </w:rPr>
              <w:t>使用温度</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hint="eastAsia"/>
                <w:color w:val="000000" w:themeColor="text1"/>
                <w:szCs w:val="21"/>
              </w:rPr>
              <w:t>-15~+45℃</w:t>
            </w:r>
          </w:p>
        </w:tc>
        <w:tc>
          <w:tcPr>
            <w:tcW w:w="2541" w:type="dxa"/>
            <w:vMerge/>
            <w:tcBorders>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bl>
    <w:p>
      <w:pPr>
        <w:spacing w:line="360" w:lineRule="auto"/>
        <w:rPr>
          <w:rFonts w:ascii="宋体" w:hAnsi="宋体"/>
          <w:szCs w:val="21"/>
        </w:rPr>
      </w:pPr>
    </w:p>
    <w:p>
      <w:pPr>
        <w:pStyle w:val="BodyText"/>
        <w:spacing w:before="66"/>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四、验收 </w:t>
      </w:r>
    </w:p>
    <w:p>
      <w:pPr>
        <w:adjustRightInd w:val="0"/>
        <w:snapToGrid w:val="0"/>
        <w:spacing w:line="360" w:lineRule="auto"/>
        <w:ind w:firstLine="420" w:firstLineChars="200"/>
        <w:rPr>
          <w:rFonts w:ascii="宋体" w:hAnsi="宋体" w:cs="宋体"/>
          <w:color w:val="000000"/>
          <w:szCs w:val="21"/>
        </w:rPr>
      </w:pPr>
      <w:r>
        <w:rPr>
          <w:rFonts w:ascii="宋体" w:hAnsi="宋体" w:cs="宋体" w:hint="eastAsia"/>
          <w:color w:val="000000"/>
          <w:szCs w:val="21"/>
        </w:rPr>
        <w:t>1、合同签订后30天内交货，产品质量达到设计要求。</w:t>
      </w:r>
    </w:p>
    <w:p>
      <w:pPr>
        <w:pStyle w:val="BodyText"/>
        <w:spacing w:before="66"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szCs w:val="21"/>
        </w:rPr>
        <w:t>2、到货验收。到货后用户检查包装并核对货物品种、数量以及完好性。未通过验收</w:t>
      </w:r>
      <w:r>
        <w:rPr>
          <w:rFonts w:ascii="宋体" w:eastAsia="宋体" w:hAnsi="宋体" w:cs="宋体" w:hint="eastAsia"/>
          <w:color w:val="000000"/>
          <w:kern w:val="2"/>
          <w:szCs w:val="21"/>
          <w:lang w:val="en-US"/>
        </w:rPr>
        <w:t xml:space="preserve">的货物，将不予接受。 </w:t>
      </w:r>
    </w:p>
    <w:p>
      <w:pPr>
        <w:pStyle w:val="BodyText"/>
        <w:spacing w:before="66"/>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五、包装和运输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1、包装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应按相关包装规范或者其他相关规定进行包装。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2、运输 </w:t>
      </w:r>
    </w:p>
    <w:p>
      <w:pPr>
        <w:pStyle w:val="BodyText"/>
        <w:spacing w:after="0" w:line="360" w:lineRule="auto"/>
        <w:ind w:firstLine="420" w:firstLineChars="200"/>
        <w:rPr>
          <w:rFonts w:ascii="宋体" w:eastAsia="宋体" w:hAnsi="宋体" w:cs="宋体"/>
          <w:color w:val="auto"/>
          <w:kern w:val="2"/>
          <w:szCs w:val="21"/>
          <w:lang w:val="en-US"/>
        </w:rPr>
      </w:pPr>
      <w:r>
        <w:rPr>
          <w:rFonts w:ascii="宋体" w:eastAsia="宋体" w:hAnsi="宋体" w:cs="宋体" w:hint="eastAsia"/>
          <w:color w:val="000000"/>
          <w:kern w:val="2"/>
          <w:szCs w:val="21"/>
          <w:lang w:val="en-US"/>
        </w:rPr>
        <w:t>出厂验收合格后，中标供应商负责用专用车辆将产品运输到用户指定的地点，运输过程应当遵守国家有关管理的法律、法规</w:t>
      </w:r>
      <w:r>
        <w:rPr>
          <w:rFonts w:ascii="宋体" w:eastAsia="宋体" w:hAnsi="宋体" w:cs="宋体" w:hint="eastAsia"/>
          <w:color w:val="auto"/>
          <w:kern w:val="2"/>
          <w:szCs w:val="21"/>
          <w:lang w:val="en-US"/>
        </w:rPr>
        <w:t>，</w:t>
      </w:r>
      <w:r>
        <w:rPr>
          <w:rFonts w:ascii="宋体" w:eastAsia="宋体" w:hAnsi="宋体" w:cs="宋体" w:hint="eastAsia"/>
          <w:color w:val="0000FF"/>
          <w:kern w:val="2"/>
          <w:szCs w:val="21"/>
          <w:lang w:val="en-US"/>
        </w:rPr>
        <w:t>运输费用由中标供应商承担</w:t>
      </w:r>
      <w:r>
        <w:rPr>
          <w:rFonts w:ascii="宋体" w:eastAsia="宋体" w:hAnsi="宋体" w:cs="宋体" w:hint="eastAsia"/>
          <w:color w:val="auto"/>
          <w:kern w:val="2"/>
          <w:szCs w:val="21"/>
          <w:lang w:val="en-US"/>
        </w:rPr>
        <w:t>。</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六、技术服务和质保期服务要求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1、培训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中标供应商应负责对采购单位人员进行专业培训，直至能完全操作。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2、技术支持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中标供应商提供服务电话、保障服务货物收发联系部门及人员的名称和联系方式。产品的更换按照采购单位要求在约定时间内完成。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3、技术资料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提供完整的技术资料，包括：性能参数、存储、运输、使用等安全保障手册；使用说明书及合同中要求的其他文件资料。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4、质保期内服务内容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（1）质保期为出厂验收后 3 年；</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（2）因产品质量问题所造成的直接或间接损失由中标供应商负责，并且中标供应商应负责免费更换合格品；</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（3）因产品质量原因造成人员伤亡等事故时，中标供应商应迅速赶赴现场，协助当地有关部门分析事故原因，承担应有的责任，并将产品质量原因分析报告报国务院气象主管机构。 </w:t>
      </w:r>
    </w:p>
    <w:p>
      <w:pPr>
        <w:pStyle w:val="BodyText"/>
        <w:spacing w:after="0" w:line="360" w:lineRule="auto"/>
        <w:ind w:left="4" w:firstLine="540" w:firstLineChars="257"/>
        <w:rPr>
          <w:rFonts w:ascii="宋体" w:eastAsia="宋体" w:hAnsi="宋体" w:cs="宋体"/>
          <w:color w:val="0000FF"/>
          <w:kern w:val="2"/>
          <w:szCs w:val="21"/>
          <w:lang w:val="en-US"/>
        </w:rPr>
      </w:pPr>
      <w:r>
        <w:rPr>
          <w:rFonts w:ascii="宋体" w:eastAsia="宋体" w:hAnsi="宋体" w:cs="宋体" w:hint="eastAsia"/>
          <w:color w:val="000000"/>
          <w:kern w:val="2"/>
          <w:szCs w:val="21"/>
          <w:lang w:val="en-US"/>
        </w:rPr>
        <w:t>（4）所供商品在使用过程中出现单批次故障率达千分之五时，中标供应商要立即召回该批次火箭弹，并于准运证批复24小时内完成该商品换新配送，</w:t>
      </w:r>
      <w:r>
        <w:rPr>
          <w:rFonts w:ascii="宋体" w:eastAsia="宋体" w:hAnsi="宋体" w:cs="宋体" w:hint="eastAsia"/>
          <w:color w:val="0000FF"/>
          <w:kern w:val="2"/>
          <w:szCs w:val="21"/>
          <w:lang w:val="en-US"/>
        </w:rPr>
        <w:t>同时次年该商品采购价优惠10%，每新增一批次故障则优惠额度累加5%。</w:t>
      </w:r>
    </w:p>
    <w:p>
      <w:pPr>
        <w:pStyle w:val="BodyText"/>
        <w:spacing w:after="0" w:line="360" w:lineRule="auto"/>
        <w:ind w:firstLine="420" w:firstLineChars="200"/>
        <w:rPr>
          <w:rFonts w:ascii="宋体" w:eastAsia="宋体" w:hAnsi="宋体" w:cs="宋体"/>
          <w:color w:val="000000"/>
          <w:kern w:val="2"/>
          <w:szCs w:val="21"/>
          <w:lang w:val="en-US"/>
        </w:rPr>
      </w:pPr>
    </w:p>
    <w:p>
      <w:pPr>
        <w:spacing w:line="360" w:lineRule="auto"/>
        <w:ind w:firstLine="600" w:firstLineChars="200"/>
        <w:rPr>
          <w:rFonts w:ascii="宋体" w:hAnsi="宋体"/>
          <w:szCs w:val="21"/>
        </w:rPr>
      </w:pPr>
      <w:r>
        <w:rPr>
          <w:b/>
          <w:sz w:val="30"/>
          <w:szCs w:val="30"/>
        </w:rPr>
        <w:br w:type="page"/>
      </w:r>
    </w:p>
    <w:p>
      <w:pPr>
        <w:spacing w:line="360" w:lineRule="auto"/>
        <w:ind w:firstLine="420" w:firstLineChars="200"/>
        <w:rPr>
          <w:rFonts w:ascii="宋体" w:hAnsi="宋体"/>
          <w:szCs w:val="21"/>
        </w:rPr>
      </w:pPr>
    </w:p>
    <w:p>
      <w:pPr>
        <w:spacing w:line="360" w:lineRule="auto"/>
        <w:rPr>
          <w:rFonts w:ascii="宋体" w:hAnsi="宋体"/>
          <w:szCs w:val="21"/>
        </w:rPr>
      </w:pPr>
      <w:r>
        <w:rPr>
          <w:rFonts w:ascii="宋体" w:hAnsi="宋体" w:hint="eastAsia"/>
          <w:szCs w:val="21"/>
        </w:rPr>
        <w:t>第七章 采购需求 附表</w:t>
      </w:r>
    </w:p>
    <w:p>
      <w:pPr>
        <w:spacing w:line="360" w:lineRule="auto"/>
        <w:ind w:firstLine="420" w:firstLineChars="200"/>
        <w:rPr>
          <w:rFonts w:ascii="宋体" w:hAnsi="宋体"/>
          <w:szCs w:val="21"/>
        </w:rPr>
      </w:pPr>
    </w:p>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4"/>
        <w:gridCol w:w="77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增雨防雹火箭</w:t>
            </w:r>
          </w:p>
        </w:tc>
        <w:tc>
          <w:tcPr/>
          <w:p>
            <w:pPr>
              <w:autoSpaceDE w:val="0"/>
              <w:jc w:val="center"/>
              <w:rPr>
                <w:rFonts w:asciiTheme="minorEastAsia" w:hAnsiTheme="minorEastAsia" w:cstheme="minorEastAsia"/>
                <w:kern w:val="0"/>
                <w:szCs w:val="21"/>
              </w:rPr>
            </w:pPr>
            <w:r>
              <w:t>693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2,134,400.00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2,134,400.00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81"/>
        <w:gridCol w:w="2070"/>
        <w:gridCol w:w="1325"/>
        <w:gridCol w:w="581"/>
        <w:gridCol w:w="1325"/>
        <w:gridCol w:w="1105"/>
        <w:gridCol w:w="953"/>
        <w:gridCol w:w="58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河北省气象局(001015)</w:t>
            </w:r>
          </w:p>
        </w:tc>
        <w:tc>
          <w:tcPr/>
          <w:p>
            <w:r>
              <w:t>增雨防雹火箭</w:t>
            </w:r>
          </w:p>
        </w:tc>
        <w:tc>
          <w:tcPr/>
          <w:p>
            <w:r>
              <w:t>693</w:t>
            </w:r>
          </w:p>
        </w:tc>
        <w:tc>
          <w:tcPr/>
          <w:p>
            <w:r>
              <w:t>2134400.00</w:t>
            </w:r>
          </w:p>
        </w:tc>
        <w:tc>
          <w:tcPr/>
          <w:p>
            <w:r>
              <w:t xml:space="preserve">2134400.00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B329CC">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ind w:firstLine="420"/>
        <w:rPr>
          <w:highlight w:val="none"/>
        </w:rPr>
      </w:pPr>
      <w:r>
        <w:rPr>
          <w:rFonts w:ascii="宋体" w:hAnsi="宋体" w:hint="eastAsia"/>
          <w:szCs w:val="21"/>
          <w:highlight w:val="none"/>
        </w:rPr>
        <w:t>注：根据项目具体情况，</w:t>
      </w:r>
      <w:r>
        <w:rPr>
          <w:rFonts w:ascii="宋体" w:hAnsi="宋体" w:hint="eastAsia"/>
          <w:szCs w:val="21"/>
          <w:highlight w:val="none"/>
        </w:rPr>
        <w:t>对投标人有具体要求，且投标人必须遵守的，逐条列出</w:t>
      </w:r>
      <w:r>
        <w:rPr>
          <w:rFonts w:ascii="宋体" w:hAnsi="宋体" w:hint="eastAsia"/>
          <w:szCs w:val="21"/>
          <w:highlight w:val="none"/>
        </w:rPr>
        <w:t>。</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69"/>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altName w:val="Noto Sans Syriac Eastern"/>
    <w:panose1 w:val="02040503050406030204"/>
    <w:charset w:val="00"/>
    <w:family w:val="roman"/>
    <w:pitch w:val="variable"/>
    <w:sig w:usb0="E00006FF" w:usb1="420024FF" w:usb2="02000000" w:usb3="00000000" w:csb0="2000019F" w:csb1="00000000"/>
  </w:font>
  <w:font w:name="微软雅黑">
    <w:altName w:val="黑体"/>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altName w:val="DejaVu Sans"/>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371"/>
    <w:rsid w:val="00B15EB9"/>
    <w:rsid w:val="00B162D5"/>
    <w:rsid w:val="00B16817"/>
    <w:rsid w:val="00B17887"/>
    <w:rsid w:val="00B17931"/>
    <w:rsid w:val="00B22599"/>
    <w:rsid w:val="00B22D06"/>
    <w:rsid w:val="00B23229"/>
    <w:rsid w:val="00B24FAA"/>
    <w:rsid w:val="00B2536B"/>
    <w:rsid w:val="00B310E8"/>
    <w:rsid w:val="00B329CC"/>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