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河北56mm人工影响天气火箭弹采购</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ZQCD-26171</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2026年08月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河北省气象局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河北56mm人工影响天气火箭弹采购</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ZQCD-26171</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合同签订后30天内交货</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出厂验收合格后，中标供应商负责将产品运输到河北省气象局指定的地点，运输过程应当遵守国 家有关武器装备、爆炸物品管理的法律、法规。</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2026年08月27日 00:00:00</w:t>
      </w:r>
      <w:bookmarkEnd w:id="26"/>
      <w:r>
        <w:rPr>
          <w:rFonts w:ascii="宋体" w:hint="eastAsia"/>
          <w:szCs w:val="21"/>
          <w:highlight w:val="none"/>
        </w:rPr>
        <w:t>至</w:t>
      </w:r>
      <w:bookmarkStart w:id="27" w:name="项目公告_signUpLastTime"/>
      <w:r>
        <w:rPr>
          <w:rFonts w:ascii="宋体" w:hint="eastAsia"/>
          <w:szCs w:val="21"/>
          <w:highlight w:val="none"/>
        </w:rPr>
        <w:t>2026年09月02日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eastAsia="宋体" w:hAnsi="宋体" w:cs="Times New Roman" w:hint="eastAsia"/>
          <w:b/>
          <w:bCs/>
          <w:i w:val="0"/>
          <w:iCs w:val="0"/>
          <w:caps w:val="0"/>
          <w:spacing w:val="0"/>
          <w:sz w:val="21"/>
          <w:szCs w:val="21"/>
          <w:shd w:val="clear" w:color="auto" w:fill="auto"/>
        </w:rPr>
      </w:pPr>
      <w:r>
        <w:rPr>
          <w:rFonts w:ascii="宋体" w:hint="eastAsia"/>
          <w:b/>
          <w:bCs/>
          <w:szCs w:val="21"/>
          <w:highlight w:val="none"/>
        </w:rPr>
        <w:t>五、</w:t>
      </w:r>
      <w:r>
        <w:rPr>
          <w:rFonts w:ascii="宋体" w:eastAsia="宋体" w:hAnsi="宋体" w:cs="Times New Roman" w:hint="eastAsia"/>
          <w:b/>
          <w:bCs/>
          <w:i w:val="0"/>
          <w:iCs w:val="0"/>
          <w:caps w:val="0"/>
          <w:spacing w:val="0"/>
          <w:sz w:val="21"/>
          <w:szCs w:val="21"/>
          <w:shd w:val="clear" w:color="auto" w:fill="auto"/>
        </w:rPr>
        <w:t>投标截止时间、投标方式及开标时间</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w:t>
      </w:r>
      <w:r>
        <w:rPr>
          <w:rFonts w:ascii="宋体" w:eastAsia="宋体" w:hAnsi="Times New Roman" w:cs="Times New Roman" w:hint="eastAsia"/>
          <w:b w:val="0"/>
          <w:bCs w:val="0"/>
          <w:i w:val="0"/>
          <w:iCs w:val="0"/>
          <w:caps w:val="0"/>
          <w:spacing w:val="0"/>
          <w:sz w:val="21"/>
          <w:szCs w:val="21"/>
          <w:shd w:val="clear" w:color="auto" w:fill="auto"/>
        </w:rPr>
        <w:t>投标</w:t>
      </w:r>
      <w:r>
        <w:rPr>
          <w:rFonts w:ascii="宋体" w:eastAsia="宋体" w:hAnsi="Times New Roman" w:cs="Times New Roman" w:hint="eastAsia"/>
          <w:b w:val="0"/>
          <w:bCs w:val="0"/>
          <w:i w:val="0"/>
          <w:iCs w:val="0"/>
          <w:caps w:val="0"/>
          <w:spacing w:val="0"/>
          <w:sz w:val="21"/>
          <w:szCs w:val="21"/>
          <w:shd w:val="clear" w:color="auto" w:fill="auto"/>
          <w:lang w:val="en-US" w:eastAsia="zh-CN"/>
        </w:rPr>
        <w:t>文件提交</w:t>
      </w:r>
      <w:r>
        <w:rPr>
          <w:rFonts w:ascii="宋体" w:eastAsia="宋体" w:hAnsi="Times New Roman" w:cs="Times New Roman" w:hint="eastAsia"/>
          <w:b w:val="0"/>
          <w:bCs w:val="0"/>
          <w:i w:val="0"/>
          <w:iCs w:val="0"/>
          <w:caps w:val="0"/>
          <w:spacing w:val="0"/>
          <w:sz w:val="21"/>
          <w:szCs w:val="21"/>
          <w:shd w:val="clear" w:color="auto" w:fill="auto"/>
        </w:rPr>
        <w:t>截止时间及开标时间</w:t>
      </w:r>
      <w:r>
        <w:rPr>
          <w:rFonts w:ascii="宋体" w:hint="eastAsia"/>
          <w:szCs w:val="21"/>
          <w:highlight w:val="none"/>
        </w:rPr>
        <w:t>：</w:t>
      </w:r>
      <w:bookmarkStart w:id="28" w:name="项目公告_openBidTime"/>
      <w:r>
        <w:rPr>
          <w:rFonts w:ascii="宋体" w:hAnsi="宋体" w:hint="eastAsia"/>
          <w:bCs/>
          <w:szCs w:val="21"/>
          <w:highlight w:val="none"/>
        </w:rPr>
        <w:t>2026年09月18日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杜建君</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河北省气象局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顾夏天</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0311-67108010</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石家庄</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河北省气象局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不允许（仅针对以下产品：所有标的不允许代理商投标）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 火箭弹：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是，中标服务费：2.4万元。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207.620000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207.620000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根据本项目实际情况，招标文件1.27.3第1项至第3项启动异常低价投标审查的数值标准为65%。</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(3)</w:t>
            </w:r>
          </w:p>
        </w:tc>
        <w:tc>
          <w:tcPr/>
          <w:p>
            <w:r>
              <w:t>评审标准：</w:t>
            </w:r>
          </w:p>
          <w:p>
            <w:r>
              <w:t>投标人具有 ISO9000系列或GJB9001B质量管理体系认证，得3分。否则不得分。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销售合同必须包括56mm火箭弹，每提供1份合同得1分，最多得5分。否则不得分。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(4)</w:t>
            </w:r>
          </w:p>
        </w:tc>
        <w:tc>
          <w:tcPr/>
          <w:p>
            <w:r>
              <w:t>评审标准：</w:t>
            </w:r>
          </w:p>
          <w:p>
            <w:r>
              <w:t>一档0分</w:t>
              <w:cr/>
              <w:t>二档1分</w:t>
              <w:cr/>
              <w:t>三档2分</w:t>
              <w:cr/>
              <w:t>四档4分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针对本项目采购的56mm火箭弹，承诺每提前10天交货的得1分。否则不得分。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针对56mm火箭弹，每提供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(6)</w:t>
            </w:r>
          </w:p>
        </w:tc>
        <w:tc>
          <w:tcPr/>
          <w:p>
            <w:r>
              <w:t>评审标准：</w:t>
            </w:r>
          </w:p>
          <w:p>
            <w:r>
              <w:t xml:space="preserve">1、投标人为本项目拟派的服务团队中项目经理应具有3年以上相关工作经验的得3分； </w:t>
              <w:cr/>
              <w:t>2、投标人为本项目拟派的服务团队中，除项目经理外至少5人具有2年及以上相关工作经验得3分；至少3人具有1年及以上相关工作经验得1分；其他不得分。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(36)</w:t>
            </w:r>
          </w:p>
        </w:tc>
        <w:tc>
          <w:tcPr/>
          <w:p>
            <w:r>
              <w:t>评审标准：</w:t>
            </w:r>
          </w:p>
          <w:p>
            <w:r>
              <w:t>标注#的重要指标共12项，每满足1项（如有多个下级指标，则每个下级指标均应满足）得3分，满分36分。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(4)</w:t>
            </w:r>
          </w:p>
        </w:tc>
        <w:tc>
          <w:tcPr/>
          <w:p>
            <w:r>
              <w:t>评审标准：</w:t>
            </w:r>
          </w:p>
          <w:p>
            <w:r>
              <w:t>一档0分</w:t>
              <w:cr/>
              <w:t>二档1分</w:t>
              <w:cr/>
              <w:t>三档2分</w:t>
              <w:cr/>
              <w:t>四档4分</w:t>
            </w:r>
          </w:p>
          <w:p>
            <w:r>
              <w:t>评审标准说明：</w:t>
            </w:r>
          </w:p>
          <w:p>
            <w:r>
              <w:t>根据投标人提供实施方案进行评分。实施方案应结合采购需求，包括投标产品的生产、运输、安装、调试及试运行等。具体评分标准如下：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bl>
    <w:p w:rsidR="00A77B3E">
      <w:r>
        <w:t xml:space="preserve">      </w:t>
      </w:r>
    </w:p>
    <w:p w:rsidR="00A77B3E"/>
    <w:p w:rsidR="00A77B3E">
      <w:bookmarkEnd w:id="58"/>
    </w:p>
    <w:p>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pPr>
        <w:spacing w:line="360" w:lineRule="auto"/>
        <w:ind w:firstLine="420" w:firstLineChars="200"/>
        <w:rPr>
          <w:rFonts w:ascii="宋体" w:hAnsi="宋体"/>
          <w:szCs w:val="21"/>
        </w:rPr>
      </w:pPr>
      <w:r>
        <w:rPr>
          <w:rFonts w:ascii="宋体" w:hAnsi="宋体" w:hint="eastAsia"/>
          <w:szCs w:val="21"/>
        </w:rPr>
        <w:t>一、项目概况及总体要求</w:t>
      </w:r>
    </w:p>
    <w:p>
      <w:pPr>
        <w:spacing w:line="360" w:lineRule="auto"/>
        <w:ind w:firstLine="420" w:firstLineChars="200"/>
        <w:rPr>
          <w:rFonts w:ascii="宋体" w:hAnsi="宋体" w:cs="宋体"/>
          <w:color w:val="000000"/>
          <w:szCs w:val="21"/>
        </w:rPr>
      </w:pPr>
      <w:r>
        <w:rPr>
          <w:rFonts w:ascii="宋体" w:hAnsi="宋体" w:cs="宋体" w:hint="eastAsia"/>
          <w:color w:val="000000"/>
          <w:szCs w:val="21"/>
        </w:rPr>
        <w:t>本项目所招产品为河北省气象局人工增雨防雹用火箭弹，根据中国气象局关于人工影响天气作业的安全管理要求，结合近年来各地出现的相关人影作业事故案例，本项目所招产品必须完全满足配套河北省气象局现有火箭发射系统使用条件，以保证火箭作业的稳定性、安全性，出现事故后能够及时解决。</w:t>
      </w:r>
    </w:p>
    <w:p>
      <w:pPr>
        <w:spacing w:line="360" w:lineRule="auto"/>
        <w:ind w:firstLine="420" w:firstLineChars="200"/>
        <w:rPr>
          <w:rFonts w:ascii="宋体" w:hAnsi="宋体"/>
          <w:szCs w:val="21"/>
        </w:rPr>
      </w:pPr>
      <w:r>
        <w:rPr>
          <w:rFonts w:ascii="宋体" w:hAnsi="宋体" w:hint="eastAsia"/>
          <w:szCs w:val="21"/>
        </w:rPr>
        <w:t>二、设备需求一览表（见第七章 采购需求 附表）</w:t>
      </w:r>
    </w:p>
    <w:p>
      <w:pPr>
        <w:spacing w:line="360" w:lineRule="auto"/>
        <w:ind w:firstLine="420" w:firstLineChars="200"/>
        <w:rPr>
          <w:rFonts w:ascii="宋体" w:hAnsi="宋体"/>
          <w:szCs w:val="21"/>
        </w:rPr>
      </w:pPr>
      <w:r>
        <w:rPr>
          <w:rFonts w:ascii="宋体" w:hAnsi="宋体" w:hint="eastAsia"/>
          <w:szCs w:val="21"/>
        </w:rPr>
        <w:t>三、技术性能指标</w:t>
      </w:r>
    </w:p>
    <w:tbl>
      <w:tblPr>
        <w:tblStyle w:val="TableNormal"/>
        <w:tblW w:w="60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
      <w:tblGrid>
        <w:gridCol w:w="2838"/>
        <w:gridCol w:w="3259"/>
      </w:tblGrid>
      <w:tr>
        <w:tblPrEx>
          <w:tblW w:w="60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Ex>
        <w:trPr>
          <w:trHeight w:hRule="exact" w:val="634"/>
          <w:jc w:val="center"/>
        </w:trPr>
        <w:tc>
          <w:tcPr>
            <w:tcW w:w="2838" w:type="dxa"/>
            <w:tcBorders>
              <w:top w:val="single" w:sz="4" w:space="0" w:color="000000"/>
              <w:left w:val="single" w:sz="4" w:space="0" w:color="000000"/>
              <w:bottom w:val="single" w:sz="4" w:space="0" w:color="000000"/>
              <w:right w:val="single" w:sz="4" w:space="0" w:color="000000"/>
            </w:tcBorders>
            <w:vAlign w:val="center"/>
          </w:tcPr>
          <w:p>
            <w:pPr>
              <w:pStyle w:val="TableParagraph"/>
              <w:spacing w:before="85"/>
              <w:ind w:right="903"/>
              <w:jc w:val="center"/>
              <w:rPr>
                <w:color w:val="000000"/>
                <w:szCs w:val="21"/>
              </w:rPr>
            </w:pPr>
            <w:r>
              <w:rPr>
                <w:rFonts w:hint="eastAsia"/>
                <w:color w:val="000000"/>
                <w:szCs w:val="21"/>
              </w:rPr>
              <w:t xml:space="preserve">          项目</w:t>
            </w:r>
          </w:p>
        </w:tc>
        <w:tc>
          <w:tcPr>
            <w:tcW w:w="3259" w:type="dxa"/>
            <w:tcBorders>
              <w:top w:val="single" w:sz="4" w:space="0" w:color="000000"/>
              <w:left w:val="single" w:sz="4" w:space="0" w:color="000000"/>
              <w:bottom w:val="single" w:sz="4" w:space="0" w:color="000000"/>
              <w:right w:val="single" w:sz="4" w:space="0" w:color="000000"/>
            </w:tcBorders>
            <w:vAlign w:val="center"/>
          </w:tcPr>
          <w:p>
            <w:pPr>
              <w:pStyle w:val="TableParagraph"/>
              <w:spacing w:before="85"/>
              <w:jc w:val="center"/>
              <w:rPr>
                <w:color w:val="000000"/>
                <w:szCs w:val="21"/>
              </w:rPr>
            </w:pPr>
            <w:r>
              <w:rPr>
                <w:rFonts w:hint="eastAsia"/>
                <w:color w:val="000000"/>
                <w:szCs w:val="21"/>
              </w:rPr>
              <w:t>性能参数描述</w:t>
            </w:r>
          </w:p>
        </w:tc>
      </w:tr>
      <w:tr>
        <w:tblPrEx>
          <w:tblW w:w="6097" w:type="dxa"/>
          <w:jc w:val="center"/>
          <w:tblLayout w:type="fixed"/>
          <w:tblCellMar>
            <w:top w:w="0" w:type="dxa"/>
            <w:left w:w="0" w:type="dxa"/>
            <w:bottom w:w="0" w:type="dxa"/>
            <w:right w:w="0" w:type="dxa"/>
          </w:tblCellMar>
        </w:tblPrEx>
        <w:trPr>
          <w:trHeight w:hRule="exact" w:val="876"/>
          <w:jc w:val="center"/>
        </w:trPr>
        <w:tc>
          <w:tcPr>
            <w:tcW w:w="2838" w:type="dxa"/>
            <w:tcBorders>
              <w:top w:val="single" w:sz="4" w:space="0" w:color="000000"/>
              <w:left w:val="single" w:sz="4" w:space="0" w:color="000000"/>
              <w:bottom w:val="single" w:sz="4" w:space="0" w:color="000000"/>
              <w:right w:val="single" w:sz="4" w:space="0" w:color="000000"/>
            </w:tcBorders>
            <w:vAlign w:val="center"/>
          </w:tcPr>
          <w:p>
            <w:pPr>
              <w:pStyle w:val="TableParagraph"/>
              <w:jc w:val="center"/>
              <w:rPr>
                <w:color w:val="000000"/>
                <w:szCs w:val="21"/>
              </w:rPr>
            </w:pPr>
            <w:r>
              <w:rPr>
                <w:rFonts w:hint="eastAsia"/>
                <w:color w:val="000000"/>
                <w:szCs w:val="21"/>
              </w:rPr>
              <w:t>配套类型</w:t>
            </w:r>
          </w:p>
        </w:tc>
        <w:tc>
          <w:tcPr>
            <w:tcW w:w="3259" w:type="dxa"/>
            <w:tcBorders>
              <w:top w:val="single" w:sz="4" w:space="0" w:color="000000"/>
              <w:left w:val="single" w:sz="4" w:space="0" w:color="000000"/>
              <w:bottom w:val="single" w:sz="4" w:space="0" w:color="000000"/>
              <w:right w:val="single" w:sz="4" w:space="0" w:color="000000"/>
            </w:tcBorders>
            <w:vAlign w:val="center"/>
          </w:tcPr>
          <w:p>
            <w:pPr>
              <w:pStyle w:val="TableParagraph"/>
              <w:spacing w:before="86"/>
              <w:ind w:right="136"/>
              <w:jc w:val="center"/>
              <w:rPr>
                <w:color w:val="000000"/>
                <w:szCs w:val="21"/>
              </w:rPr>
            </w:pPr>
            <w:r>
              <w:rPr>
                <w:rFonts w:hint="eastAsia"/>
                <w:color w:val="000000"/>
                <w:szCs w:val="21"/>
              </w:rPr>
              <w:t>适用于采购人现有火箭发射架，</w:t>
            </w:r>
          </w:p>
          <w:p>
            <w:pPr>
              <w:pStyle w:val="TableParagraph"/>
              <w:spacing w:before="86"/>
              <w:ind w:right="136"/>
              <w:jc w:val="center"/>
              <w:rPr>
                <w:color w:val="000000"/>
                <w:szCs w:val="21"/>
              </w:rPr>
            </w:pPr>
            <w:r>
              <w:rPr>
                <w:rFonts w:hint="eastAsia"/>
                <w:color w:val="000000"/>
                <w:szCs w:val="21"/>
              </w:rPr>
              <w:t>安全有保障</w:t>
            </w:r>
          </w:p>
        </w:tc>
      </w:tr>
      <w:tr>
        <w:tblPrEx>
          <w:tblW w:w="6097" w:type="dxa"/>
          <w:jc w:val="center"/>
          <w:tblLayout w:type="fixed"/>
          <w:tblCellMar>
            <w:top w:w="0" w:type="dxa"/>
            <w:left w:w="0" w:type="dxa"/>
            <w:bottom w:w="0" w:type="dxa"/>
            <w:right w:w="0" w:type="dxa"/>
          </w:tblCellMar>
        </w:tblPrEx>
        <w:trPr>
          <w:trHeight w:hRule="exact" w:val="411"/>
          <w:jc w:val="center"/>
        </w:trPr>
        <w:tc>
          <w:tcPr>
            <w:tcW w:w="2838" w:type="dxa"/>
            <w:tcBorders>
              <w:top w:val="single" w:sz="4" w:space="0" w:color="000000"/>
              <w:left w:val="single" w:sz="4" w:space="0" w:color="000000"/>
              <w:bottom w:val="single" w:sz="4" w:space="0" w:color="000000"/>
              <w:right w:val="single" w:sz="4" w:space="0" w:color="000000"/>
            </w:tcBorders>
            <w:vAlign w:val="center"/>
          </w:tcPr>
          <w:p>
            <w:pPr>
              <w:pStyle w:val="TableParagraph"/>
              <w:spacing w:before="85"/>
              <w:jc w:val="center"/>
              <w:rPr>
                <w:color w:val="000000"/>
                <w:szCs w:val="21"/>
              </w:rPr>
            </w:pPr>
            <w:r>
              <w:rPr>
                <w:rFonts w:ascii="Arial" w:hAnsi="Arial" w:cs="Arial"/>
                <w:color w:val="000000"/>
                <w:szCs w:val="21"/>
              </w:rPr>
              <w:t>＃</w:t>
            </w:r>
            <w:r>
              <w:rPr>
                <w:rFonts w:hint="eastAsia"/>
                <w:color w:val="000000"/>
                <w:szCs w:val="21"/>
              </w:rPr>
              <w:t>弹药类型</w:t>
            </w:r>
          </w:p>
        </w:tc>
        <w:tc>
          <w:tcPr>
            <w:tcW w:w="3259" w:type="dxa"/>
            <w:tcBorders>
              <w:top w:val="single" w:sz="4" w:space="0" w:color="000000"/>
              <w:left w:val="single" w:sz="4" w:space="0" w:color="000000"/>
              <w:bottom w:val="single" w:sz="4" w:space="0" w:color="000000"/>
              <w:right w:val="single" w:sz="4" w:space="0" w:color="000000"/>
            </w:tcBorders>
            <w:vAlign w:val="center"/>
          </w:tcPr>
          <w:p>
            <w:pPr>
              <w:pStyle w:val="TableParagraph"/>
              <w:spacing w:before="85"/>
              <w:jc w:val="center"/>
              <w:rPr>
                <w:color w:val="000000"/>
                <w:szCs w:val="21"/>
              </w:rPr>
            </w:pPr>
            <w:r>
              <w:rPr>
                <w:rFonts w:hint="eastAsia"/>
                <w:color w:val="000000"/>
                <w:szCs w:val="21"/>
              </w:rPr>
              <w:t>增雨防雹火箭</w:t>
            </w:r>
          </w:p>
        </w:tc>
      </w:tr>
      <w:tr>
        <w:tblPrEx>
          <w:tblW w:w="6097" w:type="dxa"/>
          <w:jc w:val="center"/>
          <w:tblLayout w:type="fixed"/>
          <w:tblCellMar>
            <w:top w:w="0" w:type="dxa"/>
            <w:left w:w="0" w:type="dxa"/>
            <w:bottom w:w="0" w:type="dxa"/>
            <w:right w:w="0" w:type="dxa"/>
          </w:tblCellMar>
        </w:tblPrEx>
        <w:trPr>
          <w:trHeight w:hRule="exact" w:val="406"/>
          <w:jc w:val="center"/>
        </w:trPr>
        <w:tc>
          <w:tcPr>
            <w:tcW w:w="2838" w:type="dxa"/>
            <w:tcBorders>
              <w:top w:val="single" w:sz="4" w:space="0" w:color="000000"/>
              <w:left w:val="single" w:sz="4" w:space="0" w:color="000000"/>
              <w:bottom w:val="single" w:sz="4" w:space="0" w:color="000000"/>
              <w:right w:val="single" w:sz="4" w:space="0" w:color="000000"/>
            </w:tcBorders>
            <w:vAlign w:val="center"/>
          </w:tcPr>
          <w:p>
            <w:pPr>
              <w:pStyle w:val="TableParagraph"/>
              <w:spacing w:before="86"/>
              <w:jc w:val="center"/>
              <w:rPr>
                <w:color w:val="000000"/>
                <w:szCs w:val="21"/>
              </w:rPr>
            </w:pPr>
            <w:r>
              <w:rPr>
                <w:rFonts w:ascii="Arial" w:hAnsi="Arial" w:cs="Arial"/>
                <w:color w:val="000000"/>
                <w:szCs w:val="21"/>
              </w:rPr>
              <w:t>＃</w:t>
            </w:r>
            <w:r>
              <w:rPr>
                <w:rFonts w:hint="eastAsia"/>
                <w:color w:val="000000"/>
                <w:szCs w:val="21"/>
              </w:rPr>
              <w:t>弹径</w:t>
            </w:r>
          </w:p>
        </w:tc>
        <w:tc>
          <w:tcPr>
            <w:tcW w:w="3259" w:type="dxa"/>
            <w:tcBorders>
              <w:top w:val="single" w:sz="4" w:space="0" w:color="000000"/>
              <w:left w:val="single" w:sz="4" w:space="0" w:color="000000"/>
              <w:bottom w:val="single" w:sz="4" w:space="0" w:color="000000"/>
              <w:right w:val="single" w:sz="4" w:space="0" w:color="000000"/>
            </w:tcBorders>
            <w:vAlign w:val="center"/>
          </w:tcPr>
          <w:p>
            <w:pPr>
              <w:pStyle w:val="TableParagraph"/>
              <w:spacing w:before="86"/>
              <w:ind w:right="136"/>
              <w:jc w:val="center"/>
              <w:rPr>
                <w:color w:val="000000"/>
                <w:szCs w:val="21"/>
              </w:rPr>
            </w:pPr>
            <w:r>
              <w:rPr>
                <w:rFonts w:hint="eastAsia"/>
                <w:color w:val="000000"/>
                <w:szCs w:val="21"/>
              </w:rPr>
              <w:t>56mm</w:t>
            </w:r>
          </w:p>
        </w:tc>
      </w:tr>
      <w:tr>
        <w:tblPrEx>
          <w:tblW w:w="6097" w:type="dxa"/>
          <w:jc w:val="center"/>
          <w:tblLayout w:type="fixed"/>
          <w:tblCellMar>
            <w:top w:w="0" w:type="dxa"/>
            <w:left w:w="0" w:type="dxa"/>
            <w:bottom w:w="0" w:type="dxa"/>
            <w:right w:w="0" w:type="dxa"/>
          </w:tblCellMar>
        </w:tblPrEx>
        <w:trPr>
          <w:trHeight w:hRule="exact" w:val="429"/>
          <w:jc w:val="center"/>
        </w:trPr>
        <w:tc>
          <w:tcPr>
            <w:tcW w:w="2838" w:type="dxa"/>
            <w:tcBorders>
              <w:top w:val="single" w:sz="4" w:space="0" w:color="000000"/>
              <w:left w:val="single" w:sz="4" w:space="0" w:color="000000"/>
              <w:bottom w:val="single" w:sz="4" w:space="0" w:color="000000"/>
              <w:right w:val="single" w:sz="4" w:space="0" w:color="000000"/>
            </w:tcBorders>
            <w:vAlign w:val="center"/>
          </w:tcPr>
          <w:p>
            <w:pPr>
              <w:pStyle w:val="TableParagraph"/>
              <w:spacing w:before="85"/>
              <w:ind w:right="1044"/>
              <w:jc w:val="center"/>
              <w:rPr>
                <w:color w:val="000000"/>
                <w:szCs w:val="21"/>
              </w:rPr>
            </w:pPr>
            <w:r>
              <w:rPr>
                <w:rFonts w:ascii="Times New Roman"/>
                <w:color w:val="000000"/>
                <w:szCs w:val="21"/>
              </w:rPr>
              <w:t xml:space="preserve">         </w:t>
            </w:r>
            <w:r>
              <w:rPr>
                <w:rFonts w:ascii="Arial" w:hAnsi="Arial" w:cs="Arial"/>
                <w:color w:val="000000"/>
                <w:szCs w:val="21"/>
              </w:rPr>
              <w:t>＃</w:t>
            </w:r>
            <w:r>
              <w:rPr>
                <w:rFonts w:hint="eastAsia"/>
                <w:color w:val="000000"/>
                <w:szCs w:val="21"/>
              </w:rPr>
              <w:t>箭长</w:t>
            </w:r>
          </w:p>
        </w:tc>
        <w:tc>
          <w:tcPr>
            <w:tcW w:w="3259" w:type="dxa"/>
            <w:tcBorders>
              <w:top w:val="single" w:sz="4" w:space="0" w:color="000000"/>
              <w:left w:val="single" w:sz="4" w:space="0" w:color="000000"/>
              <w:bottom w:val="single" w:sz="4" w:space="0" w:color="000000"/>
              <w:right w:val="single" w:sz="4" w:space="0" w:color="000000"/>
            </w:tcBorders>
            <w:vAlign w:val="center"/>
          </w:tcPr>
          <w:p>
            <w:pPr>
              <w:pStyle w:val="TableParagraph"/>
              <w:spacing w:before="85"/>
              <w:jc w:val="center"/>
              <w:rPr>
                <w:color w:val="000000"/>
                <w:szCs w:val="21"/>
              </w:rPr>
            </w:pPr>
            <w:r>
              <w:rPr>
                <w:rFonts w:hint="eastAsia"/>
                <w:color w:val="000000"/>
                <w:szCs w:val="21"/>
              </w:rPr>
              <w:t>789±3mm</w:t>
            </w:r>
          </w:p>
        </w:tc>
      </w:tr>
      <w:tr>
        <w:tblPrEx>
          <w:tblW w:w="6097" w:type="dxa"/>
          <w:jc w:val="center"/>
          <w:tblLayout w:type="fixed"/>
          <w:tblCellMar>
            <w:top w:w="0" w:type="dxa"/>
            <w:left w:w="0" w:type="dxa"/>
            <w:bottom w:w="0" w:type="dxa"/>
            <w:right w:w="0" w:type="dxa"/>
          </w:tblCellMar>
        </w:tblPrEx>
        <w:trPr>
          <w:trHeight w:hRule="exact" w:val="434"/>
          <w:jc w:val="center"/>
        </w:trPr>
        <w:tc>
          <w:tcPr>
            <w:tcW w:w="2838" w:type="dxa"/>
            <w:tcBorders>
              <w:top w:val="single" w:sz="4" w:space="0" w:color="000000"/>
              <w:left w:val="single" w:sz="4" w:space="0" w:color="000000"/>
              <w:bottom w:val="single" w:sz="4" w:space="0" w:color="000000"/>
              <w:right w:val="single" w:sz="4" w:space="0" w:color="000000"/>
            </w:tcBorders>
            <w:vAlign w:val="center"/>
          </w:tcPr>
          <w:p>
            <w:pPr>
              <w:pStyle w:val="TableParagraph"/>
              <w:spacing w:before="85"/>
              <w:jc w:val="center"/>
              <w:rPr>
                <w:color w:val="000000"/>
                <w:szCs w:val="21"/>
              </w:rPr>
            </w:pPr>
            <w:r>
              <w:rPr>
                <w:rFonts w:ascii="Arial" w:hAnsi="Arial" w:cs="Arial"/>
                <w:color w:val="000000"/>
                <w:szCs w:val="21"/>
              </w:rPr>
              <w:t>＃</w:t>
            </w:r>
            <w:r>
              <w:rPr>
                <w:rFonts w:hint="eastAsia"/>
                <w:color w:val="000000"/>
                <w:szCs w:val="21"/>
              </w:rPr>
              <w:t>最大射高（85°）</w:t>
            </w:r>
          </w:p>
        </w:tc>
        <w:tc>
          <w:tcPr>
            <w:tcW w:w="3259" w:type="dxa"/>
            <w:tcBorders>
              <w:top w:val="single" w:sz="4" w:space="0" w:color="000000"/>
              <w:left w:val="single" w:sz="4" w:space="0" w:color="000000"/>
              <w:bottom w:val="single" w:sz="4" w:space="0" w:color="000000"/>
              <w:right w:val="single" w:sz="4" w:space="0" w:color="000000"/>
            </w:tcBorders>
            <w:vAlign w:val="center"/>
          </w:tcPr>
          <w:p>
            <w:pPr>
              <w:pStyle w:val="TableParagraph"/>
              <w:spacing w:before="85"/>
              <w:jc w:val="center"/>
              <w:rPr>
                <w:color w:val="000000"/>
                <w:szCs w:val="21"/>
              </w:rPr>
            </w:pPr>
            <w:r>
              <w:rPr>
                <w:rFonts w:hint="eastAsia"/>
                <w:color w:val="000000"/>
                <w:szCs w:val="21"/>
              </w:rPr>
              <w:t>7.0±0.35km</w:t>
            </w:r>
          </w:p>
        </w:tc>
      </w:tr>
      <w:tr>
        <w:tblPrEx>
          <w:tblW w:w="6097" w:type="dxa"/>
          <w:jc w:val="center"/>
          <w:tblLayout w:type="fixed"/>
          <w:tblCellMar>
            <w:top w:w="0" w:type="dxa"/>
            <w:left w:w="0" w:type="dxa"/>
            <w:bottom w:w="0" w:type="dxa"/>
            <w:right w:w="0" w:type="dxa"/>
          </w:tblCellMar>
        </w:tblPrEx>
        <w:trPr>
          <w:trHeight w:hRule="exact" w:val="362"/>
          <w:jc w:val="center"/>
        </w:trPr>
        <w:tc>
          <w:tcPr>
            <w:tcW w:w="2838" w:type="dxa"/>
            <w:tcBorders>
              <w:top w:val="single" w:sz="4" w:space="0" w:color="000000"/>
              <w:left w:val="single" w:sz="4" w:space="0" w:color="000000"/>
              <w:bottom w:val="single" w:sz="4" w:space="0" w:color="000000"/>
              <w:right w:val="single" w:sz="4" w:space="0" w:color="000000"/>
            </w:tcBorders>
            <w:shd w:val="clear" w:color="auto" w:fill="auto"/>
          </w:tcPr>
          <w:p>
            <w:pPr>
              <w:pStyle w:val="TableParagraph"/>
              <w:spacing w:before="86"/>
              <w:jc w:val="center"/>
              <w:rPr>
                <w:color w:val="000000"/>
                <w:szCs w:val="21"/>
              </w:rPr>
            </w:pPr>
            <w:r>
              <w:rPr>
                <w:rFonts w:ascii="Arial" w:hAnsi="Arial" w:cs="Arial"/>
                <w:color w:val="000000"/>
                <w:szCs w:val="21"/>
              </w:rPr>
              <w:t>＃</w:t>
            </w:r>
            <w:r>
              <w:rPr>
                <w:rFonts w:hint="eastAsia"/>
                <w:color w:val="000000"/>
                <w:szCs w:val="21"/>
              </w:rPr>
              <w:t>催化剂播撒高度:km</w:t>
            </w:r>
          </w:p>
        </w:tc>
        <w:tc>
          <w:tcPr>
            <w:tcW w:w="3259" w:type="dxa"/>
            <w:tcBorders>
              <w:top w:val="single" w:sz="4" w:space="0" w:color="000000"/>
              <w:left w:val="single" w:sz="4" w:space="0" w:color="000000"/>
              <w:bottom w:val="single" w:sz="4" w:space="0" w:color="000000"/>
              <w:right w:val="single" w:sz="4" w:space="0" w:color="000000"/>
            </w:tcBorders>
            <w:shd w:val="clear" w:color="auto" w:fill="auto"/>
          </w:tcPr>
          <w:p>
            <w:pPr>
              <w:pStyle w:val="TableParagraph"/>
              <w:spacing w:before="86"/>
              <w:jc w:val="center"/>
              <w:rPr>
                <w:color w:val="000000"/>
                <w:szCs w:val="21"/>
              </w:rPr>
            </w:pPr>
            <w:r>
              <w:rPr>
                <w:rFonts w:hint="eastAsia"/>
                <w:color w:val="000000"/>
                <w:szCs w:val="21"/>
              </w:rPr>
              <w:t>3～7km</w:t>
            </w:r>
          </w:p>
        </w:tc>
      </w:tr>
      <w:tr>
        <w:tblPrEx>
          <w:tblW w:w="6097" w:type="dxa"/>
          <w:jc w:val="center"/>
          <w:tblLayout w:type="fixed"/>
          <w:tblCellMar>
            <w:top w:w="0" w:type="dxa"/>
            <w:left w:w="0" w:type="dxa"/>
            <w:bottom w:w="0" w:type="dxa"/>
            <w:right w:w="0" w:type="dxa"/>
          </w:tblCellMar>
        </w:tblPrEx>
        <w:trPr>
          <w:trHeight w:hRule="exact" w:val="403"/>
          <w:jc w:val="center"/>
        </w:trPr>
        <w:tc>
          <w:tcPr>
            <w:tcW w:w="2838" w:type="dxa"/>
            <w:tcBorders>
              <w:top w:val="single" w:sz="4" w:space="0" w:color="000000"/>
              <w:left w:val="single" w:sz="4" w:space="0" w:color="000000"/>
              <w:bottom w:val="single" w:sz="4" w:space="0" w:color="000000"/>
              <w:right w:val="single" w:sz="4" w:space="0" w:color="000000"/>
            </w:tcBorders>
            <w:shd w:val="clear" w:color="auto" w:fill="auto"/>
            <w:vAlign w:val="center"/>
          </w:tcPr>
          <w:p>
            <w:pPr>
              <w:pStyle w:val="TableParagraph"/>
              <w:spacing w:before="86"/>
              <w:jc w:val="center"/>
              <w:rPr>
                <w:color w:val="000000"/>
                <w:szCs w:val="21"/>
              </w:rPr>
            </w:pPr>
            <w:r>
              <w:rPr>
                <w:rFonts w:ascii="Arial" w:hAnsi="Arial" w:cs="Arial"/>
                <w:color w:val="000000"/>
                <w:szCs w:val="21"/>
              </w:rPr>
              <w:t>＃</w:t>
            </w:r>
            <w:r>
              <w:rPr>
                <w:rFonts w:hint="eastAsia"/>
                <w:color w:val="000000"/>
                <w:szCs w:val="21"/>
              </w:rPr>
              <w:t>火箭催化剂质量</w:t>
            </w:r>
          </w:p>
        </w:tc>
        <w:tc>
          <w:tcPr>
            <w:tcW w:w="3259" w:type="dxa"/>
            <w:tcBorders>
              <w:top w:val="single" w:sz="4" w:space="0" w:color="000000"/>
              <w:left w:val="single" w:sz="4" w:space="0" w:color="000000"/>
              <w:bottom w:val="single" w:sz="4" w:space="0" w:color="000000"/>
              <w:right w:val="single" w:sz="4" w:space="0" w:color="000000"/>
            </w:tcBorders>
            <w:shd w:val="clear" w:color="auto" w:fill="auto"/>
            <w:vAlign w:val="center"/>
          </w:tcPr>
          <w:p>
            <w:pPr>
              <w:pStyle w:val="TableParagraph"/>
              <w:spacing w:before="86"/>
              <w:jc w:val="center"/>
              <w:rPr>
                <w:color w:val="000000"/>
                <w:szCs w:val="21"/>
              </w:rPr>
            </w:pPr>
            <w:r>
              <w:rPr>
                <w:rFonts w:hint="eastAsia"/>
                <w:color w:val="000000"/>
                <w:szCs w:val="21"/>
              </w:rPr>
              <w:t>180g/枚</w:t>
            </w:r>
          </w:p>
        </w:tc>
      </w:tr>
      <w:tr>
        <w:tblPrEx>
          <w:tblW w:w="6097" w:type="dxa"/>
          <w:jc w:val="center"/>
          <w:tblLayout w:type="fixed"/>
          <w:tblCellMar>
            <w:top w:w="0" w:type="dxa"/>
            <w:left w:w="0" w:type="dxa"/>
            <w:bottom w:w="0" w:type="dxa"/>
            <w:right w:w="0" w:type="dxa"/>
          </w:tblCellMar>
        </w:tblPrEx>
        <w:trPr>
          <w:trHeight w:hRule="exact" w:val="382"/>
          <w:jc w:val="center"/>
        </w:trPr>
        <w:tc>
          <w:tcPr>
            <w:tcW w:w="2838" w:type="dxa"/>
            <w:tcBorders>
              <w:top w:val="single" w:sz="4" w:space="0" w:color="000000"/>
              <w:left w:val="single" w:sz="4" w:space="0" w:color="000000"/>
              <w:bottom w:val="single" w:sz="4" w:space="0" w:color="000000"/>
              <w:right w:val="single" w:sz="4" w:space="0" w:color="000000"/>
            </w:tcBorders>
            <w:shd w:val="clear" w:color="auto" w:fill="auto"/>
            <w:vAlign w:val="center"/>
          </w:tcPr>
          <w:p>
            <w:pPr>
              <w:pStyle w:val="TableParagraph"/>
              <w:spacing w:before="86"/>
              <w:jc w:val="center"/>
              <w:rPr>
                <w:color w:val="000000"/>
                <w:szCs w:val="21"/>
              </w:rPr>
            </w:pPr>
            <w:r>
              <w:rPr>
                <w:rFonts w:ascii="Arial" w:hAnsi="Arial" w:cs="Arial"/>
                <w:color w:val="000000"/>
                <w:szCs w:val="21"/>
              </w:rPr>
              <w:t>＃</w:t>
            </w:r>
            <w:r>
              <w:rPr>
                <w:rFonts w:hint="eastAsia"/>
                <w:color w:val="000000"/>
                <w:szCs w:val="21"/>
              </w:rPr>
              <w:t>碘化银含量：</w:t>
            </w:r>
          </w:p>
        </w:tc>
        <w:tc>
          <w:tcPr>
            <w:tcW w:w="3259" w:type="dxa"/>
            <w:tcBorders>
              <w:top w:val="single" w:sz="4" w:space="0" w:color="000000"/>
              <w:left w:val="single" w:sz="4" w:space="0" w:color="000000"/>
              <w:bottom w:val="single" w:sz="4" w:space="0" w:color="000000"/>
              <w:right w:val="single" w:sz="4" w:space="0" w:color="000000"/>
            </w:tcBorders>
            <w:shd w:val="clear" w:color="auto" w:fill="auto"/>
            <w:vAlign w:val="center"/>
          </w:tcPr>
          <w:p>
            <w:pPr>
              <w:pStyle w:val="TableParagraph"/>
              <w:spacing w:before="86"/>
              <w:jc w:val="center"/>
              <w:rPr>
                <w:color w:val="000000"/>
                <w:szCs w:val="21"/>
              </w:rPr>
            </w:pPr>
            <w:r>
              <w:rPr>
                <w:rFonts w:hint="eastAsia"/>
                <w:color w:val="000000"/>
                <w:szCs w:val="21"/>
              </w:rPr>
              <w:t>10.8g/枚</w:t>
            </w:r>
          </w:p>
        </w:tc>
      </w:tr>
      <w:tr>
        <w:tblPrEx>
          <w:tblW w:w="6097" w:type="dxa"/>
          <w:jc w:val="center"/>
          <w:tblLayout w:type="fixed"/>
          <w:tblCellMar>
            <w:top w:w="0" w:type="dxa"/>
            <w:left w:w="0" w:type="dxa"/>
            <w:bottom w:w="0" w:type="dxa"/>
            <w:right w:w="0" w:type="dxa"/>
          </w:tblCellMar>
        </w:tblPrEx>
        <w:trPr>
          <w:trHeight w:hRule="exact" w:val="416"/>
          <w:jc w:val="center"/>
        </w:trPr>
        <w:tc>
          <w:tcPr>
            <w:tcW w:w="2838" w:type="dxa"/>
            <w:tcBorders>
              <w:top w:val="single" w:sz="4" w:space="0" w:color="000000"/>
              <w:left w:val="single" w:sz="4" w:space="0" w:color="000000"/>
              <w:bottom w:val="single" w:sz="4" w:space="0" w:color="000000"/>
              <w:right w:val="single" w:sz="4" w:space="0" w:color="000000"/>
            </w:tcBorders>
            <w:shd w:val="clear" w:color="auto" w:fill="auto"/>
            <w:vAlign w:val="center"/>
          </w:tcPr>
          <w:p>
            <w:pPr>
              <w:pStyle w:val="TableParagraph"/>
              <w:spacing w:before="86"/>
              <w:jc w:val="center"/>
              <w:rPr>
                <w:color w:val="000000"/>
                <w:szCs w:val="21"/>
              </w:rPr>
            </w:pPr>
            <w:r>
              <w:rPr>
                <w:rFonts w:ascii="Arial" w:hAnsi="Arial" w:cs="Arial"/>
                <w:color w:val="000000"/>
                <w:szCs w:val="21"/>
              </w:rPr>
              <w:t>＃</w:t>
            </w:r>
            <w:r>
              <w:rPr>
                <w:rFonts w:hint="eastAsia"/>
                <w:color w:val="000000"/>
                <w:szCs w:val="21"/>
              </w:rPr>
              <w:t>降落方式</w:t>
            </w:r>
          </w:p>
        </w:tc>
        <w:tc>
          <w:tcPr>
            <w:tcW w:w="3259" w:type="dxa"/>
            <w:tcBorders>
              <w:top w:val="single" w:sz="4" w:space="0" w:color="000000"/>
              <w:left w:val="single" w:sz="4" w:space="0" w:color="000000"/>
              <w:bottom w:val="single" w:sz="4" w:space="0" w:color="000000"/>
              <w:right w:val="single" w:sz="4" w:space="0" w:color="000000"/>
            </w:tcBorders>
            <w:shd w:val="clear" w:color="auto" w:fill="auto"/>
            <w:vAlign w:val="center"/>
          </w:tcPr>
          <w:p>
            <w:pPr>
              <w:pStyle w:val="TableParagraph"/>
              <w:spacing w:before="86"/>
              <w:jc w:val="center"/>
              <w:rPr>
                <w:color w:val="000000"/>
                <w:szCs w:val="21"/>
              </w:rPr>
            </w:pPr>
            <w:r>
              <w:rPr>
                <w:rFonts w:hint="eastAsia"/>
                <w:color w:val="000000"/>
                <w:szCs w:val="21"/>
              </w:rPr>
              <w:t>自毁</w:t>
            </w:r>
          </w:p>
        </w:tc>
      </w:tr>
      <w:tr>
        <w:tblPrEx>
          <w:tblW w:w="6097" w:type="dxa"/>
          <w:jc w:val="center"/>
          <w:tblLayout w:type="fixed"/>
          <w:tblCellMar>
            <w:top w:w="0" w:type="dxa"/>
            <w:left w:w="0" w:type="dxa"/>
            <w:bottom w:w="0" w:type="dxa"/>
            <w:right w:w="0" w:type="dxa"/>
          </w:tblCellMar>
        </w:tblPrEx>
        <w:trPr>
          <w:trHeight w:hRule="exact" w:val="409"/>
          <w:jc w:val="center"/>
        </w:trPr>
        <w:tc>
          <w:tcPr>
            <w:tcW w:w="2838" w:type="dxa"/>
            <w:tcBorders>
              <w:top w:val="single" w:sz="4" w:space="0" w:color="000000"/>
              <w:left w:val="single" w:sz="4" w:space="0" w:color="000000"/>
              <w:bottom w:val="single" w:sz="4" w:space="0" w:color="000000"/>
              <w:right w:val="single" w:sz="4" w:space="0" w:color="000000"/>
            </w:tcBorders>
            <w:shd w:val="clear" w:color="auto" w:fill="auto"/>
            <w:vAlign w:val="center"/>
          </w:tcPr>
          <w:p>
            <w:pPr>
              <w:pStyle w:val="TableParagraph"/>
              <w:spacing w:before="86"/>
              <w:jc w:val="center"/>
              <w:rPr>
                <w:color w:val="000000"/>
                <w:szCs w:val="21"/>
              </w:rPr>
            </w:pPr>
            <w:r>
              <w:rPr>
                <w:rFonts w:ascii="Arial" w:hAnsi="Arial" w:cs="Arial"/>
                <w:color w:val="000000"/>
                <w:szCs w:val="21"/>
              </w:rPr>
              <w:t>＃</w:t>
            </w:r>
            <w:r>
              <w:rPr>
                <w:rFonts w:hint="eastAsia"/>
                <w:color w:val="000000"/>
                <w:szCs w:val="21"/>
              </w:rPr>
              <w:t>最大残骸质量</w:t>
            </w:r>
          </w:p>
        </w:tc>
        <w:tc>
          <w:tcPr>
            <w:tcW w:w="3259" w:type="dxa"/>
            <w:tcBorders>
              <w:top w:val="single" w:sz="4" w:space="0" w:color="000000"/>
              <w:left w:val="single" w:sz="4" w:space="0" w:color="000000"/>
              <w:bottom w:val="single" w:sz="4" w:space="0" w:color="000000"/>
              <w:right w:val="single" w:sz="4" w:space="0" w:color="000000"/>
            </w:tcBorders>
            <w:shd w:val="clear" w:color="auto" w:fill="auto"/>
            <w:vAlign w:val="center"/>
          </w:tcPr>
          <w:p>
            <w:pPr>
              <w:pStyle w:val="TableParagraph"/>
              <w:spacing w:before="86"/>
              <w:jc w:val="center"/>
              <w:rPr>
                <w:color w:val="000000"/>
                <w:szCs w:val="21"/>
              </w:rPr>
            </w:pPr>
            <w:r>
              <w:rPr>
                <w:rFonts w:hint="eastAsia"/>
                <w:color w:val="000000"/>
                <w:szCs w:val="21"/>
              </w:rPr>
              <w:t>≤100g/枚</w:t>
            </w:r>
          </w:p>
        </w:tc>
      </w:tr>
      <w:tr>
        <w:tblPrEx>
          <w:tblW w:w="6097" w:type="dxa"/>
          <w:jc w:val="center"/>
          <w:tblLayout w:type="fixed"/>
          <w:tblCellMar>
            <w:top w:w="0" w:type="dxa"/>
            <w:left w:w="0" w:type="dxa"/>
            <w:bottom w:w="0" w:type="dxa"/>
            <w:right w:w="0" w:type="dxa"/>
          </w:tblCellMar>
        </w:tblPrEx>
        <w:trPr>
          <w:trHeight w:hRule="exact" w:val="416"/>
          <w:jc w:val="center"/>
        </w:trPr>
        <w:tc>
          <w:tcPr>
            <w:tcW w:w="2838" w:type="dxa"/>
            <w:tcBorders>
              <w:top w:val="single" w:sz="4" w:space="0" w:color="000000"/>
              <w:left w:val="single" w:sz="4" w:space="0" w:color="000000"/>
              <w:bottom w:val="single" w:sz="4" w:space="0" w:color="000000"/>
              <w:right w:val="single" w:sz="4" w:space="0" w:color="000000"/>
            </w:tcBorders>
            <w:shd w:val="clear" w:color="auto" w:fill="auto"/>
          </w:tcPr>
          <w:p>
            <w:pPr>
              <w:pStyle w:val="TableParagraph"/>
              <w:spacing w:before="86"/>
              <w:jc w:val="center"/>
              <w:rPr>
                <w:color w:val="000000"/>
                <w:szCs w:val="21"/>
              </w:rPr>
            </w:pPr>
            <w:r>
              <w:rPr>
                <w:rFonts w:ascii="Arial" w:hAnsi="Arial" w:cs="Arial"/>
                <w:color w:val="000000"/>
                <w:szCs w:val="21"/>
              </w:rPr>
              <w:t>＃</w:t>
            </w:r>
            <w:r>
              <w:rPr>
                <w:rFonts w:hint="eastAsia"/>
                <w:color w:val="000000"/>
                <w:szCs w:val="21"/>
              </w:rPr>
              <w:t>使用温度：℃</w:t>
            </w:r>
          </w:p>
        </w:tc>
        <w:tc>
          <w:tcPr>
            <w:tcW w:w="3259" w:type="dxa"/>
            <w:tcBorders>
              <w:top w:val="single" w:sz="4" w:space="0" w:color="000000"/>
              <w:left w:val="single" w:sz="4" w:space="0" w:color="000000"/>
              <w:bottom w:val="single" w:sz="4" w:space="0" w:color="000000"/>
              <w:right w:val="single" w:sz="4" w:space="0" w:color="000000"/>
            </w:tcBorders>
            <w:shd w:val="clear" w:color="auto" w:fill="auto"/>
          </w:tcPr>
          <w:p>
            <w:pPr>
              <w:pStyle w:val="TableParagraph"/>
              <w:spacing w:before="86"/>
              <w:jc w:val="center"/>
              <w:rPr>
                <w:color w:val="000000"/>
                <w:szCs w:val="21"/>
              </w:rPr>
            </w:pPr>
            <w:r>
              <w:rPr>
                <w:rFonts w:hint="eastAsia"/>
                <w:color w:val="000000"/>
                <w:szCs w:val="21"/>
              </w:rPr>
              <w:t>-20～+50</w:t>
            </w:r>
          </w:p>
        </w:tc>
      </w:tr>
      <w:tr>
        <w:tblPrEx>
          <w:tblW w:w="6097" w:type="dxa"/>
          <w:jc w:val="center"/>
          <w:tblLayout w:type="fixed"/>
          <w:tblCellMar>
            <w:top w:w="0" w:type="dxa"/>
            <w:left w:w="0" w:type="dxa"/>
            <w:bottom w:w="0" w:type="dxa"/>
            <w:right w:w="0" w:type="dxa"/>
          </w:tblCellMar>
        </w:tblPrEx>
        <w:trPr>
          <w:trHeight w:hRule="exact" w:val="417"/>
          <w:jc w:val="center"/>
        </w:trPr>
        <w:tc>
          <w:tcPr>
            <w:tcW w:w="2838" w:type="dxa"/>
            <w:tcBorders>
              <w:top w:val="single" w:sz="4" w:space="0" w:color="000000"/>
              <w:left w:val="single" w:sz="4" w:space="0" w:color="000000"/>
              <w:bottom w:val="single" w:sz="4" w:space="0" w:color="000000"/>
              <w:right w:val="single" w:sz="4" w:space="0" w:color="000000"/>
            </w:tcBorders>
            <w:shd w:val="clear" w:color="auto" w:fill="auto"/>
          </w:tcPr>
          <w:p>
            <w:pPr>
              <w:pStyle w:val="TableParagraph"/>
              <w:spacing w:before="86"/>
              <w:jc w:val="center"/>
              <w:rPr>
                <w:color w:val="000000"/>
                <w:szCs w:val="21"/>
              </w:rPr>
            </w:pPr>
            <w:r>
              <w:rPr>
                <w:rFonts w:ascii="Arial" w:hAnsi="Arial" w:cs="Arial"/>
                <w:color w:val="000000"/>
                <w:szCs w:val="21"/>
              </w:rPr>
              <w:t>＃</w:t>
            </w:r>
            <w:r>
              <w:rPr>
                <w:rFonts w:hint="eastAsia"/>
                <w:color w:val="000000"/>
                <w:szCs w:val="21"/>
              </w:rPr>
              <w:t>贮存湿度：℃</w:t>
            </w:r>
          </w:p>
        </w:tc>
        <w:tc>
          <w:tcPr>
            <w:tcW w:w="3259" w:type="dxa"/>
            <w:tcBorders>
              <w:top w:val="single" w:sz="4" w:space="0" w:color="000000"/>
              <w:left w:val="single" w:sz="4" w:space="0" w:color="000000"/>
              <w:bottom w:val="single" w:sz="4" w:space="0" w:color="000000"/>
              <w:right w:val="single" w:sz="4" w:space="0" w:color="000000"/>
            </w:tcBorders>
            <w:shd w:val="clear" w:color="auto" w:fill="auto"/>
          </w:tcPr>
          <w:p>
            <w:pPr>
              <w:pStyle w:val="TableParagraph"/>
              <w:spacing w:before="86"/>
              <w:jc w:val="center"/>
              <w:rPr>
                <w:color w:val="000000"/>
                <w:szCs w:val="21"/>
              </w:rPr>
            </w:pPr>
            <w:r>
              <w:rPr>
                <w:rFonts w:hint="eastAsia"/>
                <w:color w:val="000000"/>
                <w:szCs w:val="21"/>
              </w:rPr>
              <w:t>≤75%RH</w:t>
            </w:r>
          </w:p>
        </w:tc>
      </w:tr>
      <w:tr>
        <w:tblPrEx>
          <w:tblW w:w="6097" w:type="dxa"/>
          <w:jc w:val="center"/>
          <w:tblLayout w:type="fixed"/>
          <w:tblCellMar>
            <w:top w:w="0" w:type="dxa"/>
            <w:left w:w="0" w:type="dxa"/>
            <w:bottom w:w="0" w:type="dxa"/>
            <w:right w:w="0" w:type="dxa"/>
          </w:tblCellMar>
        </w:tblPrEx>
        <w:trPr>
          <w:trHeight w:hRule="exact" w:val="389"/>
          <w:jc w:val="center"/>
        </w:trPr>
        <w:tc>
          <w:tcPr>
            <w:tcW w:w="2838" w:type="dxa"/>
            <w:tcBorders>
              <w:top w:val="single" w:sz="4" w:space="0" w:color="000000"/>
              <w:left w:val="single" w:sz="4" w:space="0" w:color="000000"/>
              <w:bottom w:val="single" w:sz="4" w:space="0" w:color="000000"/>
              <w:right w:val="single" w:sz="4" w:space="0" w:color="000000"/>
            </w:tcBorders>
            <w:shd w:val="clear" w:color="auto" w:fill="auto"/>
          </w:tcPr>
          <w:p>
            <w:pPr>
              <w:pStyle w:val="TableParagraph"/>
              <w:spacing w:before="86"/>
              <w:jc w:val="center"/>
              <w:rPr>
                <w:color w:val="000000"/>
                <w:szCs w:val="21"/>
              </w:rPr>
            </w:pPr>
            <w:r>
              <w:rPr>
                <w:rFonts w:ascii="Arial" w:hAnsi="Arial" w:cs="Arial"/>
                <w:color w:val="000000"/>
                <w:szCs w:val="21"/>
              </w:rPr>
              <w:t>＃</w:t>
            </w:r>
            <w:r>
              <w:rPr>
                <w:rFonts w:hint="eastAsia"/>
                <w:color w:val="000000"/>
                <w:szCs w:val="21"/>
              </w:rPr>
              <w:t>贮在年限：年</w:t>
            </w:r>
          </w:p>
        </w:tc>
        <w:tc>
          <w:tcPr>
            <w:tcW w:w="3259" w:type="dxa"/>
            <w:tcBorders>
              <w:top w:val="single" w:sz="4" w:space="0" w:color="000000"/>
              <w:left w:val="single" w:sz="4" w:space="0" w:color="000000"/>
              <w:bottom w:val="single" w:sz="4" w:space="0" w:color="000000"/>
              <w:right w:val="single" w:sz="4" w:space="0" w:color="000000"/>
            </w:tcBorders>
            <w:shd w:val="clear" w:color="auto" w:fill="auto"/>
          </w:tcPr>
          <w:p>
            <w:pPr>
              <w:pStyle w:val="TableParagraph"/>
              <w:spacing w:before="86"/>
              <w:jc w:val="center"/>
              <w:rPr>
                <w:color w:val="000000"/>
                <w:szCs w:val="21"/>
              </w:rPr>
            </w:pPr>
            <w:r>
              <w:rPr>
                <w:rFonts w:hint="eastAsia"/>
                <w:color w:val="000000"/>
                <w:szCs w:val="21"/>
              </w:rPr>
              <w:t>3</w:t>
            </w:r>
          </w:p>
        </w:tc>
      </w:tr>
    </w:tbl>
    <w:p>
      <w:pPr>
        <w:pStyle w:val="BodyText"/>
        <w:spacing w:before="66"/>
        <w:rPr>
          <w:rFonts w:ascii="宋体" w:eastAsia="宋体" w:hAnsi="宋体" w:cs="宋体"/>
          <w:b/>
          <w:bCs/>
          <w:color w:val="000000"/>
          <w:kern w:val="2"/>
          <w:szCs w:val="21"/>
          <w:lang w:val="en-US"/>
        </w:rPr>
      </w:pPr>
    </w:p>
    <w:p>
      <w:pPr>
        <w:spacing w:line="360" w:lineRule="auto"/>
        <w:ind w:firstLine="420" w:firstLineChars="200"/>
        <w:rPr>
          <w:rFonts w:ascii="宋体" w:hAnsi="宋体"/>
          <w:szCs w:val="21"/>
        </w:rPr>
      </w:pPr>
      <w:r>
        <w:rPr>
          <w:rFonts w:ascii="宋体" w:hAnsi="宋体" w:hint="eastAsia"/>
          <w:szCs w:val="21"/>
        </w:rPr>
        <w:t xml:space="preserve">四、验收 </w:t>
      </w:r>
    </w:p>
    <w:p>
      <w:pPr>
        <w:spacing w:line="360" w:lineRule="auto"/>
        <w:ind w:firstLine="420" w:firstLineChars="200"/>
        <w:rPr>
          <w:rFonts w:ascii="宋体" w:hAnsi="宋体" w:cs="宋体"/>
          <w:color w:val="000000"/>
          <w:szCs w:val="21"/>
        </w:rPr>
      </w:pPr>
      <w:r>
        <w:rPr>
          <w:rFonts w:ascii="宋体" w:hAnsi="宋体" w:cs="宋体" w:hint="eastAsia"/>
          <w:color w:val="000000"/>
          <w:szCs w:val="21"/>
        </w:rPr>
        <w:t>1、合同签订后30天内交货并验收合格。验收依据相关的内容和要求，产品质量达到设计要求。</w:t>
      </w:r>
    </w:p>
    <w:p>
      <w:pPr>
        <w:spacing w:line="360" w:lineRule="auto"/>
        <w:ind w:firstLine="420" w:firstLineChars="200"/>
        <w:rPr>
          <w:rFonts w:ascii="宋体" w:hAnsi="宋体" w:cs="宋体"/>
          <w:color w:val="000000"/>
          <w:szCs w:val="21"/>
        </w:rPr>
      </w:pPr>
      <w:r>
        <w:rPr>
          <w:rFonts w:ascii="宋体" w:hAnsi="宋体" w:cs="宋体" w:hint="eastAsia"/>
          <w:color w:val="000000"/>
          <w:szCs w:val="21"/>
        </w:rPr>
        <w:t xml:space="preserve">2、到货验收。到货后用户检查包装并核对货物品种、数量以及完好性。未通过验收的货物，将不予接受。 </w:t>
      </w:r>
    </w:p>
    <w:p>
      <w:pPr>
        <w:spacing w:line="360" w:lineRule="auto"/>
        <w:ind w:firstLine="420" w:firstLineChars="200"/>
        <w:rPr>
          <w:rFonts w:ascii="宋体" w:hAnsi="宋体"/>
          <w:szCs w:val="21"/>
        </w:rPr>
      </w:pPr>
      <w:r>
        <w:rPr>
          <w:rFonts w:ascii="宋体" w:hAnsi="宋体" w:hint="eastAsia"/>
          <w:szCs w:val="21"/>
        </w:rPr>
        <w:t xml:space="preserve">五、包装和运输 </w:t>
      </w:r>
    </w:p>
    <w:p>
      <w:pPr>
        <w:spacing w:line="360" w:lineRule="auto"/>
        <w:ind w:firstLine="420" w:firstLineChars="200"/>
        <w:rPr>
          <w:rFonts w:ascii="宋体" w:hAnsi="宋体" w:cs="宋体"/>
          <w:color w:val="000000"/>
          <w:szCs w:val="21"/>
        </w:rPr>
      </w:pPr>
      <w:r>
        <w:rPr>
          <w:rFonts w:ascii="宋体" w:hAnsi="宋体" w:cs="宋体" w:hint="eastAsia"/>
          <w:color w:val="000000"/>
          <w:szCs w:val="21"/>
        </w:rPr>
        <w:t xml:space="preserve">1、包装 </w:t>
      </w:r>
    </w:p>
    <w:p>
      <w:pPr>
        <w:spacing w:line="360" w:lineRule="auto"/>
        <w:ind w:firstLine="420" w:firstLineChars="200"/>
        <w:rPr>
          <w:rFonts w:ascii="宋体" w:hAnsi="宋体" w:cs="宋体"/>
          <w:color w:val="000000"/>
          <w:szCs w:val="21"/>
        </w:rPr>
      </w:pPr>
      <w:r>
        <w:rPr>
          <w:rFonts w:ascii="宋体" w:hAnsi="宋体" w:cs="宋体" w:hint="eastAsia"/>
          <w:color w:val="000000"/>
          <w:szCs w:val="21"/>
        </w:rPr>
        <w:t xml:space="preserve">应按相关包装规范或者其他相关规定进行包装。 </w:t>
      </w:r>
    </w:p>
    <w:p>
      <w:pPr>
        <w:spacing w:line="360" w:lineRule="auto"/>
        <w:ind w:firstLine="420" w:firstLineChars="200"/>
        <w:rPr>
          <w:rFonts w:ascii="宋体" w:hAnsi="宋体" w:cs="宋体"/>
          <w:color w:val="000000"/>
          <w:szCs w:val="21"/>
        </w:rPr>
      </w:pPr>
      <w:r>
        <w:rPr>
          <w:rFonts w:ascii="宋体" w:hAnsi="宋体" w:cs="宋体" w:hint="eastAsia"/>
          <w:color w:val="000000"/>
          <w:szCs w:val="21"/>
        </w:rPr>
        <w:t xml:space="preserve">2、运输 </w:t>
      </w:r>
    </w:p>
    <w:p>
      <w:pPr>
        <w:spacing w:line="360" w:lineRule="auto"/>
        <w:ind w:firstLine="420" w:firstLineChars="200"/>
        <w:rPr>
          <w:rFonts w:ascii="宋体" w:hAnsi="宋体" w:cs="宋体"/>
          <w:color w:val="000000"/>
          <w:szCs w:val="21"/>
        </w:rPr>
      </w:pPr>
      <w:r>
        <w:rPr>
          <w:rFonts w:ascii="宋体" w:hAnsi="宋体" w:cs="宋体" w:hint="eastAsia"/>
          <w:color w:val="000000"/>
          <w:szCs w:val="21"/>
        </w:rPr>
        <w:t xml:space="preserve">出厂验收合格后，中标供应商负责用专用车辆将产品运输到用户指定的地点，运输过程应当遵守国家有关管理的法律、法规，运输费用由中标供应商承担。 </w:t>
      </w:r>
    </w:p>
    <w:p>
      <w:pPr>
        <w:spacing w:line="360" w:lineRule="auto"/>
        <w:ind w:firstLine="420" w:firstLineChars="200"/>
        <w:rPr>
          <w:rFonts w:ascii="宋体" w:hAnsi="宋体"/>
          <w:szCs w:val="21"/>
        </w:rPr>
      </w:pPr>
      <w:r>
        <w:rPr>
          <w:rFonts w:ascii="宋体" w:hAnsi="宋体" w:hint="eastAsia"/>
          <w:szCs w:val="21"/>
        </w:rPr>
        <w:t>六、技术服务和质保期服务要求</w:t>
      </w:r>
    </w:p>
    <w:p>
      <w:pPr>
        <w:spacing w:line="360" w:lineRule="auto"/>
        <w:ind w:firstLine="420" w:firstLineChars="200"/>
        <w:rPr>
          <w:rFonts w:ascii="宋体" w:hAnsi="宋体" w:cs="宋体"/>
          <w:color w:val="000000"/>
          <w:szCs w:val="21"/>
        </w:rPr>
      </w:pPr>
      <w:r>
        <w:rPr>
          <w:rFonts w:ascii="宋体" w:hAnsi="宋体" w:cs="宋体" w:hint="eastAsia"/>
          <w:color w:val="000000"/>
          <w:szCs w:val="21"/>
        </w:rPr>
        <w:t xml:space="preserve">1、技术支持 </w:t>
      </w:r>
    </w:p>
    <w:p>
      <w:pPr>
        <w:spacing w:line="360" w:lineRule="auto"/>
        <w:ind w:firstLine="420" w:firstLineChars="200"/>
        <w:rPr>
          <w:rFonts w:ascii="宋体" w:hAnsi="宋体" w:cs="宋体"/>
          <w:color w:val="000000"/>
          <w:szCs w:val="21"/>
        </w:rPr>
      </w:pPr>
      <w:r>
        <w:rPr>
          <w:rFonts w:ascii="宋体" w:hAnsi="宋体" w:cs="宋体" w:hint="eastAsia"/>
          <w:color w:val="000000"/>
          <w:szCs w:val="21"/>
        </w:rPr>
        <w:t xml:space="preserve">中标供应商提供服务电话、保障服务货物收发联系部门及人员的名称和联系方式。产品的更换按照采购单位要求在约定时间内完成。 </w:t>
      </w:r>
    </w:p>
    <w:p>
      <w:pPr>
        <w:spacing w:line="360" w:lineRule="auto"/>
        <w:ind w:firstLine="420" w:firstLineChars="200"/>
        <w:rPr>
          <w:rFonts w:ascii="宋体" w:hAnsi="宋体" w:cs="宋体"/>
          <w:color w:val="000000"/>
          <w:szCs w:val="21"/>
        </w:rPr>
      </w:pPr>
      <w:r>
        <w:rPr>
          <w:rFonts w:ascii="宋体" w:hAnsi="宋体" w:cs="宋体" w:hint="eastAsia"/>
          <w:color w:val="000000"/>
          <w:szCs w:val="21"/>
        </w:rPr>
        <w:t xml:space="preserve">2、技术资料 </w:t>
      </w:r>
    </w:p>
    <w:p>
      <w:pPr>
        <w:spacing w:line="360" w:lineRule="auto"/>
        <w:ind w:firstLine="420" w:firstLineChars="200"/>
        <w:rPr>
          <w:rFonts w:ascii="宋体" w:hAnsi="宋体" w:cs="宋体"/>
          <w:color w:val="000000"/>
          <w:szCs w:val="21"/>
        </w:rPr>
      </w:pPr>
      <w:r>
        <w:rPr>
          <w:rFonts w:ascii="宋体" w:hAnsi="宋体" w:cs="宋体" w:hint="eastAsia"/>
          <w:color w:val="000000"/>
          <w:szCs w:val="21"/>
        </w:rPr>
        <w:t xml:space="preserve">提供完整的技术资料，包括：性能参数、存储、运输、使用等安全保障手册；使用说明书及合同中要求的其他文件资料。 </w:t>
      </w:r>
    </w:p>
    <w:p>
      <w:pPr>
        <w:spacing w:line="360" w:lineRule="auto"/>
        <w:ind w:firstLine="420" w:firstLineChars="200"/>
        <w:rPr>
          <w:rFonts w:ascii="宋体" w:hAnsi="宋体" w:cs="宋体"/>
          <w:color w:val="000000"/>
          <w:szCs w:val="21"/>
        </w:rPr>
      </w:pPr>
      <w:r>
        <w:rPr>
          <w:rFonts w:ascii="宋体" w:hAnsi="宋体" w:cs="宋体" w:hint="eastAsia"/>
          <w:color w:val="000000"/>
          <w:szCs w:val="21"/>
        </w:rPr>
        <w:t xml:space="preserve">3、质保期内服务内容 </w:t>
      </w:r>
    </w:p>
    <w:p>
      <w:pPr>
        <w:spacing w:line="360" w:lineRule="auto"/>
        <w:ind w:firstLine="420" w:firstLineChars="200"/>
        <w:rPr>
          <w:rFonts w:ascii="宋体" w:hAnsi="宋体" w:cs="宋体"/>
          <w:color w:val="000000"/>
          <w:szCs w:val="21"/>
        </w:rPr>
      </w:pPr>
      <w:r>
        <w:rPr>
          <w:rFonts w:ascii="宋体" w:hAnsi="宋体" w:cs="宋体" w:hint="eastAsia"/>
          <w:color w:val="000000"/>
          <w:szCs w:val="21"/>
        </w:rPr>
        <w:t>（1）质保期为出厂验收后 3 年；</w:t>
      </w:r>
    </w:p>
    <w:p>
      <w:pPr>
        <w:spacing w:line="360" w:lineRule="auto"/>
        <w:ind w:firstLine="420" w:firstLineChars="200"/>
        <w:rPr>
          <w:rFonts w:ascii="宋体" w:hAnsi="宋体" w:cs="宋体"/>
          <w:color w:val="000000"/>
          <w:szCs w:val="21"/>
        </w:rPr>
      </w:pPr>
      <w:r>
        <w:rPr>
          <w:rFonts w:ascii="宋体" w:hAnsi="宋体" w:cs="宋体" w:hint="eastAsia"/>
          <w:color w:val="000000"/>
          <w:szCs w:val="21"/>
        </w:rPr>
        <w:t>（2）因产品质量问题所造成的直接或间接损失由中标供应商负责，并且中标供应商应负责免费更换合格品；</w:t>
      </w:r>
    </w:p>
    <w:p>
      <w:pPr>
        <w:spacing w:line="360" w:lineRule="auto"/>
        <w:ind w:firstLine="420" w:firstLineChars="200"/>
        <w:rPr>
          <w:rFonts w:ascii="宋体" w:hAnsi="宋体" w:cs="宋体"/>
          <w:color w:val="000000"/>
          <w:szCs w:val="21"/>
        </w:rPr>
      </w:pPr>
      <w:r>
        <w:rPr>
          <w:rFonts w:ascii="宋体" w:hAnsi="宋体" w:cs="宋体" w:hint="eastAsia"/>
          <w:color w:val="000000"/>
          <w:szCs w:val="21"/>
        </w:rPr>
        <w:t xml:space="preserve">（3）因产品质量原因造成人员伤亡等事故时，中标供应商应迅速赶赴现场，协助当地有关部门分析事故原因，承担应有的责任，并将产品质量原因分析报告报国务院气象主管机构。 </w:t>
      </w:r>
    </w:p>
    <w:p>
      <w:pPr>
        <w:spacing w:line="360" w:lineRule="auto"/>
        <w:ind w:firstLine="420" w:firstLineChars="200"/>
        <w:rPr>
          <w:rFonts w:ascii="宋体" w:hAnsi="宋体" w:cs="宋体"/>
          <w:color w:val="000000"/>
          <w:szCs w:val="21"/>
        </w:rPr>
      </w:pPr>
      <w:r>
        <w:rPr>
          <w:rFonts w:ascii="宋体" w:hAnsi="宋体" w:cs="宋体" w:hint="eastAsia"/>
          <w:color w:val="000000"/>
          <w:szCs w:val="21"/>
        </w:rPr>
        <w:t>七、服务团队和培训要求</w:t>
      </w:r>
    </w:p>
    <w:p>
      <w:pPr>
        <w:spacing w:line="360" w:lineRule="auto"/>
        <w:ind w:firstLine="420" w:firstLineChars="200"/>
        <w:rPr>
          <w:rFonts w:ascii="宋体" w:hAnsi="宋体" w:cs="宋体"/>
          <w:color w:val="000000"/>
          <w:szCs w:val="21"/>
        </w:rPr>
      </w:pPr>
      <w:r>
        <w:rPr>
          <w:rFonts w:ascii="宋体" w:hAnsi="宋体" w:cs="宋体" w:hint="eastAsia"/>
          <w:color w:val="000000"/>
          <w:szCs w:val="21"/>
        </w:rPr>
        <w:t>1、服务团队</w:t>
      </w:r>
    </w:p>
    <w:p>
      <w:pPr>
        <w:spacing w:line="360" w:lineRule="auto"/>
        <w:ind w:firstLine="420" w:firstLineChars="200"/>
        <w:rPr>
          <w:rFonts w:ascii="宋体" w:hAnsi="宋体" w:cs="宋体"/>
          <w:color w:val="000000"/>
          <w:szCs w:val="21"/>
        </w:rPr>
      </w:pPr>
      <w:r>
        <w:rPr>
          <w:rFonts w:ascii="宋体" w:hAnsi="宋体" w:cs="宋体" w:hint="eastAsia"/>
          <w:color w:val="000000"/>
          <w:szCs w:val="21"/>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pPr>
        <w:spacing w:line="360" w:lineRule="auto"/>
        <w:ind w:firstLine="420" w:firstLineChars="200"/>
        <w:rPr>
          <w:rFonts w:ascii="宋体" w:hAnsi="宋体" w:cs="宋体"/>
          <w:color w:val="000000"/>
          <w:szCs w:val="21"/>
        </w:rPr>
      </w:pPr>
      <w:r>
        <w:rPr>
          <w:rFonts w:ascii="宋体" w:hAnsi="宋体" w:cs="宋体" w:hint="eastAsia"/>
          <w:color w:val="000000"/>
          <w:szCs w:val="21"/>
        </w:rPr>
        <w:t>2、培训要求</w:t>
      </w:r>
    </w:p>
    <w:p>
      <w:pPr>
        <w:spacing w:line="360" w:lineRule="auto"/>
        <w:ind w:firstLine="420" w:firstLineChars="200"/>
        <w:rPr>
          <w:rFonts w:ascii="宋体" w:hAnsi="宋体" w:cs="宋体"/>
          <w:color w:val="000000"/>
          <w:szCs w:val="21"/>
        </w:rPr>
      </w:pPr>
      <w:r>
        <w:rPr>
          <w:rFonts w:ascii="宋体" w:hAnsi="宋体" w:cs="宋体" w:hint="eastAsia"/>
          <w:color w:val="000000"/>
          <w:szCs w:val="21"/>
        </w:rPr>
        <w:t>通过培训，使工作人员掌握本项目各系统设备的基本结构和原理、操作规范和使用方法，具备常规操作、日常维护、中小故障排除的能力。书面承诺每种设备的培训讲师具有中级以上职称或从事该设备技术工作至少2年；</w:t>
      </w:r>
    </w:p>
    <w:p>
      <w:pPr>
        <w:spacing w:line="360" w:lineRule="auto"/>
        <w:ind w:firstLine="420" w:firstLineChars="200"/>
        <w:rPr>
          <w:rFonts w:ascii="宋体" w:hAnsi="宋体" w:cs="宋体"/>
          <w:color w:val="000000"/>
          <w:szCs w:val="21"/>
        </w:rPr>
      </w:pPr>
      <w:r>
        <w:rPr>
          <w:rFonts w:ascii="宋体" w:hAnsi="宋体" w:cs="宋体" w:hint="eastAsia"/>
          <w:color w:val="000000"/>
          <w:szCs w:val="21"/>
        </w:rPr>
        <w:t>设备供应商对每套招标产品提供至少2次技术培训，培训课时不少于10个课时，培训人数不少于10人。培训内容包括设备安装、使用、日常维护、保存环境等，培训时间及地点双方协商确定。</w:t>
      </w:r>
    </w:p>
    <w:p>
      <w:pPr>
        <w:spacing w:line="360" w:lineRule="auto"/>
        <w:rPr>
          <w:rFonts w:ascii="宋体" w:hAnsi="宋体"/>
          <w:szCs w:val="21"/>
        </w:rPr>
      </w:pPr>
    </w:p>
    <w:p>
      <w:pPr>
        <w:spacing w:line="360" w:lineRule="auto"/>
        <w:rPr>
          <w:rFonts w:ascii="宋体" w:hAnsi="宋体"/>
          <w:szCs w:val="21"/>
        </w:rPr>
      </w:pPr>
      <w:r>
        <w:rPr>
          <w:rFonts w:ascii="宋体" w:hAnsi="宋体" w:hint="eastAsia"/>
          <w:szCs w:val="21"/>
        </w:rPr>
        <w:t>第七章 采购需求 附表</w:t>
      </w:r>
    </w:p>
    <w:p>
      <w:pPr>
        <w:spacing w:line="360" w:lineRule="auto"/>
        <w:ind w:firstLine="420" w:firstLineChars="200"/>
        <w:rPr>
          <w:rFonts w:ascii="宋体" w:hAnsi="宋体"/>
          <w:szCs w:val="21"/>
        </w:rPr>
      </w:pPr>
    </w:p>
    <w:p/>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68"/>
        <w:gridCol w:w="1496"/>
        <w:gridCol w:w="1082"/>
        <w:gridCol w:w="1496"/>
        <w:gridCol w:w="1706"/>
        <w:gridCol w:w="1104"/>
        <w:gridCol w:w="772"/>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增雨防雹火箭</w:t>
            </w:r>
          </w:p>
        </w:tc>
        <w:tc>
          <w:tcPr/>
          <w:p>
            <w:pPr>
              <w:autoSpaceDE w:val="0"/>
              <w:jc w:val="center"/>
              <w:rPr>
                <w:rFonts w:asciiTheme="minorEastAsia" w:hAnsiTheme="minorEastAsia" w:cstheme="minorEastAsia"/>
                <w:kern w:val="0"/>
                <w:szCs w:val="21"/>
              </w:rPr>
            </w:pPr>
            <w:r>
              <w:t>1266</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2,076,200.00</w:t>
            </w:r>
          </w:p>
        </w:tc>
        <w:tc>
          <w:tcPr/>
          <w:p>
            <w:pPr>
              <w:autoSpaceDE w:val="0"/>
              <w:jc w:val="center"/>
              <w:rPr>
                <w:rFonts w:asciiTheme="minorEastAsia" w:hAnsiTheme="minorEastAsia" w:cstheme="minorEastAsia" w:hint="eastAsia"/>
                <w:kern w:val="0"/>
                <w:szCs w:val="21"/>
              </w:rPr>
            </w:pPr>
            <w:r>
              <w:t>30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2,076,200.00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81"/>
        <w:gridCol w:w="2068"/>
        <w:gridCol w:w="1325"/>
        <w:gridCol w:w="586"/>
        <w:gridCol w:w="1325"/>
        <w:gridCol w:w="1104"/>
        <w:gridCol w:w="953"/>
        <w:gridCol w:w="58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河北省气象局(001015)</w:t>
            </w:r>
          </w:p>
        </w:tc>
        <w:tc>
          <w:tcPr/>
          <w:p>
            <w:r>
              <w:t>增雨防雹火箭</w:t>
            </w:r>
          </w:p>
        </w:tc>
        <w:tc>
          <w:tcPr/>
          <w:p>
            <w:r>
              <w:t>1266</w:t>
            </w:r>
          </w:p>
        </w:tc>
        <w:tc>
          <w:tcPr/>
          <w:p>
            <w:r>
              <w:t>2076200.00</w:t>
            </w:r>
          </w:p>
        </w:tc>
        <w:tc>
          <w:tcPr/>
          <w:p>
            <w:r>
              <w:t xml:space="preserve">2076200.00  </w:t>
            </w:r>
          </w:p>
        </w:tc>
        <w:tc>
          <w:tcPr/>
          <w:p/>
        </w:tc>
        <w:tc>
          <w:tcPr/>
          <w:p/>
        </w:tc>
      </w:tr>
    </w:tbl>
    <w:p w:rsidR="00A77B3E"/>
    <w:p>
      <w:pPr>
        <w:spacing w:line="360" w:lineRule="auto"/>
        <w:rPr>
          <w:rFonts w:ascii="宋体" w:hAnsi="宋体"/>
          <w:szCs w:val="21"/>
        </w:rPr>
      </w:pPr>
      <w:bookmarkEnd w:id="6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rsidR="000D683F">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68"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rPr>
              <w:t>5</w:t>
            </w:r>
            <w:r>
              <w:rPr>
                <w:rFonts w:ascii="宋体" w:hAnsi="宋体"/>
                <w:sz w:val="18"/>
                <w:szCs w:val="18"/>
                <w:highlight w:val="none"/>
              </w:rPr>
              <w:t>.2</w:t>
            </w: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投标人应具有以下到投标截止日仍在有效期内的资质：1、xxxxxx；2、xxxxxx</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rPr>
                <w:rFonts w:cs="微软雅黑" w:hint="eastAsia"/>
                <w:b/>
                <w:color w:val="0000FF"/>
                <w:kern w:val="0"/>
                <w:sz w:val="18"/>
                <w:szCs w:val="18"/>
                <w:highlight w:val="none"/>
              </w:rPr>
            </w:pPr>
            <w:r>
              <w:rPr>
                <w:rFonts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bl>
    <w:p>
      <w:pPr>
        <w:spacing w:before="156" w:beforeLines="50" w:line="360" w:lineRule="auto"/>
        <w:ind w:firstLine="420"/>
        <w:rPr>
          <w:highlight w:val="none"/>
        </w:rPr>
      </w:pPr>
      <w:r>
        <w:rPr>
          <w:rFonts w:ascii="宋体" w:hAnsi="宋体" w:hint="eastAsia"/>
          <w:szCs w:val="21"/>
          <w:highlight w:val="none"/>
        </w:rPr>
        <w:t>注：根据项目具体情况，</w:t>
      </w:r>
      <w:r>
        <w:rPr>
          <w:rFonts w:ascii="宋体" w:hAnsi="宋体" w:hint="eastAsia"/>
          <w:szCs w:val="21"/>
          <w:highlight w:val="none"/>
        </w:rPr>
        <w:t>对投标人有具体要求，且投标人必须遵守的，逐条列出</w:t>
      </w:r>
      <w:r>
        <w:rPr>
          <w:rFonts w:ascii="宋体" w:hAnsi="宋体" w:hint="eastAsia"/>
          <w:szCs w:val="21"/>
          <w:highlight w:val="none"/>
        </w:rPr>
        <w:t>。</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4"/>
        </w:numPr>
        <w:spacing w:line="360" w:lineRule="auto"/>
        <w:ind w:firstLine="3066" w:firstLineChars="1460"/>
        <w:jc w:val="left"/>
        <w:rPr>
          <w:rFonts w:hint="eastAsia"/>
          <w:b/>
          <w:bCs/>
          <w:szCs w:val="21"/>
          <w:highlight w:val="none"/>
        </w:rPr>
      </w:pPr>
      <w:bookmarkStart w:id="69" w:name="采购公告合同部分_ZBGGHT"/>
      <w:r>
        <w:rPr>
          <w:rFonts w:hint="eastAsia"/>
          <w:b/>
          <w:bCs/>
          <w:szCs w:val="21"/>
          <w:highlight w:val="none"/>
        </w:rPr>
        <w:t xml:space="preserve"> 采购合同</w:t>
      </w:r>
    </w:p>
    <w:p>
      <w:pPr>
        <w:numPr>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0"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0"/>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1"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1"/>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6"/>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A8"/>
      </w:r>
      <w:r>
        <w:rPr>
          <w:rFonts w:ascii="宋体" w:hAnsi="宋体" w:hint="eastAsia"/>
          <w:szCs w:val="21"/>
          <w:highlight w:val="none"/>
        </w:rPr>
        <w:t>分期付款：</w:t>
      </w:r>
      <w:r>
        <w:rPr>
          <w:rFonts w:ascii="宋体" w:hAnsi="宋体" w:hint="eastAsia"/>
          <w:szCs w:val="21"/>
          <w:highlight w:val="none"/>
          <w:u w:val="single"/>
        </w:rPr>
        <w:t xml:space="preserve">  （应明确分期支付合同款项的各期比例和支付条件，各期支付条件应与分期履约验收情况挂钩）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5"/>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7"/>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2" w:name="_Toc27624"/>
      <w:r>
        <w:rPr>
          <w:rFonts w:ascii="黑体" w:hAnsi="黑体" w:hint="eastAsia"/>
          <w:b w:val="0"/>
          <w:bCs w:val="0"/>
          <w:sz w:val="28"/>
          <w:szCs w:val="28"/>
          <w:highlight w:val="none"/>
        </w:rPr>
        <w:t>第二节 政府采购合同通用条款</w:t>
      </w:r>
      <w:bookmarkEnd w:id="72"/>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8"/>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3"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3"/>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0"/>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1"/>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2"/>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4"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4"/>
        </w:numPr>
        <w:spacing w:line="360" w:lineRule="auto"/>
        <w:ind w:firstLine="3066" w:firstLineChars="1460"/>
        <w:jc w:val="left"/>
        <w:rPr>
          <w:rFonts w:hint="eastAsia"/>
          <w:b/>
          <w:bCs/>
          <w:szCs w:val="21"/>
          <w:highlight w:val="none"/>
        </w:rPr>
      </w:pPr>
      <w:bookmarkEnd w:id="69"/>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altName w:val="Noto Sans Syriac Eastern"/>
    <w:panose1 w:val="02040503050406030204"/>
    <w:charset w:val="00"/>
    <w:family w:val="roman"/>
    <w:pitch w:val="variable"/>
    <w:sig w:usb0="E00006FF" w:usb1="420024FF" w:usb2="02000000" w:usb3="00000000" w:csb0="2000019F" w:csb1="00000000"/>
  </w:font>
  <w:font w:name="微软雅黑">
    <w:altName w:val="黑体"/>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altName w:val="DejaVu Sans"/>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D683F"/>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0DB"/>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5E2A"/>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322"/>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68343B"/>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TableParagraph">
    <w:name w:val="Table Paragraph"/>
    <w:basedOn w:val="Normal"/>
    <w:uiPriority w:val="1"/>
    <w:qFormat/>
    <w:rPr>
      <w:rFonts w:ascii="宋体" w:hAnsi="宋体" w:eastAsiaTheme="minorEastAsia" w:cs="宋体"/>
      <w:szCs w:val="22"/>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17971</Words>
  <Characters>19012</Characters>
  <Application>Microsoft Office Word</Application>
  <DocSecurity>0</DocSecurity>
  <Lines>209</Lines>
  <Paragraphs>59</Paragraphs>
  <ScaleCrop>false</ScaleCrop>
  <Company>中国气象局</Company>
  <LinksUpToDate>false</LinksUpToDate>
  <CharactersWithSpaces>19110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2026-07-20T07:56:42Z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2052-12.1.0.26895</vt:lpwstr>
  </property>
  <property fmtid="{D5CDD505-2E9C-101B-9397-08002B2CF9AE}" pid="4" name="KSOTemplateDocerSaveRecord">
    <vt:lpwstr>eyJoZGlkIjoiM2FkMjdjNjAxZjdmYjI5MjMyNmE5MTA5ZjJkMDM4NmEiLCJ1c2VySWQiOiI0MTI2MjIxMDYifQ==</vt:lpwstr>
  </property>
</Properties>
</file>