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6492087">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：20250</w:t>
      </w:r>
      <w:r>
        <w:rPr>
          <w:rFonts w:ascii="宋体" w:eastAsia="宋体" w:hAnsi="宋体" w:cs="微软雅黑" w:hint="eastAsia"/>
          <w:b/>
          <w:kern w:val="0"/>
          <w:szCs w:val="21"/>
          <w:lang w:val="en-US" w:eastAsia="zh-CN"/>
        </w:rPr>
        <w:t>701</w:t>
      </w:r>
    </w:p>
    <w:p w14:paraId="64680A11">
      <w:pPr>
        <w:spacing w:line="360" w:lineRule="auto"/>
        <w:jc w:val="center"/>
        <w:rPr>
          <w:rFonts w:ascii="Times New Roman" w:eastAsia="宋体" w:hAnsi="Times New Roman" w:cs="Times New Roman"/>
          <w:b/>
          <w:sz w:val="28"/>
          <w:szCs w:val="28"/>
        </w:rPr>
      </w:pPr>
    </w:p>
    <w:p w14:paraId="738521AF">
      <w:pPr>
        <w:spacing w:line="360" w:lineRule="auto"/>
        <w:jc w:val="center"/>
        <w:rPr>
          <w:rFonts w:ascii="Times New Roman" w:eastAsia="宋体" w:hAnsi="Times New Roman" w:cs="Times New Roman"/>
          <w:b/>
          <w:sz w:val="28"/>
          <w:szCs w:val="28"/>
        </w:rPr>
      </w:pPr>
    </w:p>
    <w:p w14:paraId="5A9FA0B0">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竞争性磋商文件</w:t>
      </w:r>
    </w:p>
    <w:p w14:paraId="5B25FF77">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p>
    <w:p w14:paraId="2F15185A">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2025年新疆通量系统建设项目-高精度温室气体浓度观测系统</w:t>
      </w:r>
      <w:bookmarkEnd w:id="0"/>
    </w:p>
    <w:p w14:paraId="61E4ED62">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ZQCD-25492</w:t>
      </w:r>
      <w:bookmarkEnd w:id="1"/>
    </w:p>
    <w:p w14:paraId="3B05FE14">
      <w:pPr>
        <w:adjustRightInd w:val="0"/>
        <w:snapToGrid w:val="0"/>
        <w:spacing w:line="360" w:lineRule="auto"/>
        <w:ind w:firstLine="470" w:firstLineChars="147"/>
        <w:jc w:val="left"/>
        <w:rPr>
          <w:rFonts w:ascii="仿宋_GB2312" w:eastAsia="仿宋_GB2312" w:hAnsi="宋体" w:cs="Times New Roman"/>
          <w:b/>
          <w:sz w:val="32"/>
          <w:szCs w:val="32"/>
        </w:rPr>
      </w:pPr>
    </w:p>
    <w:p w14:paraId="086BCB9E">
      <w:pPr>
        <w:adjustRightInd w:val="0"/>
        <w:snapToGrid w:val="0"/>
        <w:spacing w:line="360" w:lineRule="auto"/>
        <w:ind w:firstLine="470" w:firstLineChars="147"/>
        <w:jc w:val="left"/>
        <w:rPr>
          <w:rFonts w:ascii="仿宋_GB2312" w:eastAsia="仿宋_GB2312" w:hAnsi="宋体" w:cs="Times New Roman"/>
          <w:b/>
          <w:sz w:val="32"/>
          <w:szCs w:val="32"/>
        </w:rPr>
      </w:pPr>
    </w:p>
    <w:p w14:paraId="4B75F03D">
      <w:pPr>
        <w:adjustRightInd w:val="0"/>
        <w:snapToGrid w:val="0"/>
        <w:spacing w:line="360" w:lineRule="auto"/>
        <w:ind w:firstLine="470" w:firstLineChars="147"/>
        <w:jc w:val="left"/>
        <w:rPr>
          <w:rFonts w:ascii="仿宋_GB2312" w:eastAsia="仿宋_GB2312" w:hAnsi="宋体" w:cs="Times New Roman"/>
          <w:b/>
          <w:sz w:val="32"/>
          <w:szCs w:val="32"/>
        </w:rPr>
      </w:pPr>
    </w:p>
    <w:p w14:paraId="65718988">
      <w:pPr>
        <w:adjustRightInd w:val="0"/>
        <w:snapToGrid w:val="0"/>
        <w:spacing w:line="360" w:lineRule="auto"/>
        <w:ind w:firstLine="470" w:firstLineChars="147"/>
        <w:jc w:val="left"/>
        <w:rPr>
          <w:rFonts w:ascii="仿宋_GB2312" w:eastAsia="仿宋_GB2312" w:hAnsi="宋体" w:cs="Times New Roman"/>
          <w:b/>
          <w:sz w:val="32"/>
          <w:szCs w:val="32"/>
        </w:rPr>
      </w:pPr>
    </w:p>
    <w:p w14:paraId="2BAFBFC5">
      <w:pPr>
        <w:adjustRightInd w:val="0"/>
        <w:snapToGrid w:val="0"/>
        <w:spacing w:line="360" w:lineRule="auto"/>
        <w:ind w:firstLine="470" w:firstLineChars="147"/>
        <w:jc w:val="left"/>
        <w:rPr>
          <w:rFonts w:ascii="仿宋_GB2312" w:eastAsia="仿宋_GB2312" w:hAnsi="宋体" w:cs="Times New Roman"/>
          <w:b/>
          <w:sz w:val="32"/>
          <w:szCs w:val="32"/>
        </w:rPr>
      </w:pPr>
    </w:p>
    <w:p w14:paraId="353CF91B">
      <w:pPr>
        <w:adjustRightInd w:val="0"/>
        <w:snapToGrid w:val="0"/>
        <w:spacing w:line="360" w:lineRule="auto"/>
        <w:ind w:firstLine="470" w:firstLineChars="147"/>
        <w:jc w:val="left"/>
        <w:rPr>
          <w:rFonts w:ascii="仿宋_GB2312" w:eastAsia="仿宋_GB2312" w:hAnsi="Times New Roman" w:cs="Times New Roman"/>
          <w:b/>
          <w:sz w:val="32"/>
          <w:szCs w:val="32"/>
        </w:rPr>
      </w:pPr>
    </w:p>
    <w:p w14:paraId="704E9AB0">
      <w:pPr>
        <w:adjustRightInd w:val="0"/>
        <w:snapToGrid w:val="0"/>
        <w:spacing w:line="360" w:lineRule="auto"/>
        <w:jc w:val="left"/>
        <w:rPr>
          <w:rFonts w:ascii="仿宋_GB2312" w:eastAsia="仿宋_GB2312" w:hAnsi="Times New Roman" w:cs="Times New Roman"/>
          <w:b/>
          <w:szCs w:val="21"/>
        </w:rPr>
      </w:pPr>
    </w:p>
    <w:p w14:paraId="13035241">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2025年12月</w:t>
      </w:r>
      <w:bookmarkEnd w:id="2"/>
    </w:p>
    <w:p w14:paraId="1691D9FF">
      <w:pPr>
        <w:spacing w:line="360" w:lineRule="auto"/>
        <w:jc w:val="center"/>
        <w:rPr>
          <w:rFonts w:ascii="Times New Roman" w:eastAsia="宋体" w:hAnsi="Times New Roman" w:cs="Times New Roman"/>
          <w:sz w:val="24"/>
          <w:szCs w:val="24"/>
        </w:rPr>
      </w:pPr>
    </w:p>
    <w:p w14:paraId="07103893">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6BFA8F5C">
      <w:pPr>
        <w:spacing w:line="360" w:lineRule="auto"/>
        <w:jc w:val="center"/>
        <w:rPr>
          <w:rFonts w:ascii="Times New Roman" w:eastAsia="宋体" w:hAnsi="Times New Roman" w:cs="Times New Roman"/>
          <w:sz w:val="24"/>
          <w:szCs w:val="24"/>
        </w:rPr>
      </w:pPr>
    </w:p>
    <w:p w14:paraId="7D9FDF2C">
      <w:pPr>
        <w:spacing w:line="360" w:lineRule="auto"/>
        <w:jc w:val="center"/>
        <w:rPr>
          <w:rFonts w:ascii="Times New Roman" w:eastAsia="宋体" w:hAnsi="Times New Roman" w:cs="Times New Roman"/>
          <w:sz w:val="24"/>
          <w:szCs w:val="24"/>
        </w:rPr>
      </w:pPr>
    </w:p>
    <w:p w14:paraId="1836BC05">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094F266">
      <w:pPr>
        <w:spacing w:line="360" w:lineRule="auto"/>
        <w:jc w:val="center"/>
        <w:rPr>
          <w:rFonts w:ascii="Times New Roman" w:eastAsia="宋体" w:hAnsi="Times New Roman" w:cs="Times New Roman"/>
          <w:b/>
          <w:sz w:val="28"/>
          <w:szCs w:val="28"/>
        </w:rPr>
      </w:pPr>
    </w:p>
    <w:p w14:paraId="62B16F4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1461D41F">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322660BD">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0218A7C4">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1033AB08">
      <w:pPr>
        <w:spacing w:line="360" w:lineRule="auto"/>
        <w:jc w:val="center"/>
        <w:rPr>
          <w:rFonts w:ascii="宋体" w:eastAsia="宋体" w:hAnsi="宋体" w:cs="Times New Roman"/>
          <w:b/>
          <w:sz w:val="28"/>
          <w:szCs w:val="28"/>
        </w:rPr>
      </w:pPr>
    </w:p>
    <w:p w14:paraId="6B48C44C">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07A62399">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磋商邀请书</w:t>
      </w:r>
    </w:p>
    <w:p w14:paraId="4838D25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037A6C81">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评审方法和评审标准</w:t>
      </w:r>
    </w:p>
    <w:p w14:paraId="45EA488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采购需求</w:t>
      </w:r>
    </w:p>
    <w:p w14:paraId="192DD8ED">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响应被拒绝条款专用部分</w:t>
      </w:r>
    </w:p>
    <w:p w14:paraId="18F8C7ED">
      <w:pPr>
        <w:spacing w:line="360" w:lineRule="auto"/>
        <w:jc w:val="center"/>
        <w:rPr>
          <w:rFonts w:ascii="宋体" w:eastAsia="宋体" w:hAnsi="宋体" w:cs="Times New Roman"/>
          <w:b/>
          <w:sz w:val="28"/>
          <w:szCs w:val="28"/>
        </w:rPr>
      </w:pPr>
    </w:p>
    <w:p w14:paraId="4FECE66D">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3115ABE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第九章  采购合同</w:t>
      </w:r>
    </w:p>
    <w:p w14:paraId="0D787590">
      <w:pPr>
        <w:spacing w:line="360" w:lineRule="auto"/>
        <w:ind w:left="2520" w:firstLine="420"/>
        <w:jc w:val="left"/>
        <w:rPr>
          <w:rFonts w:ascii="Times New Roman" w:eastAsia="宋体" w:hAnsi="Times New Roman" w:cs="Times New Roman"/>
          <w:b/>
          <w:szCs w:val="21"/>
        </w:rPr>
      </w:pPr>
    </w:p>
    <w:p w14:paraId="2D5004BD">
      <w:pPr>
        <w:spacing w:line="360" w:lineRule="auto"/>
        <w:ind w:left="2520" w:firstLine="420"/>
        <w:jc w:val="left"/>
        <w:rPr>
          <w:rFonts w:ascii="Times New Roman" w:eastAsia="宋体" w:hAnsi="Times New Roman" w:cs="Times New Roman"/>
          <w:b/>
          <w:szCs w:val="21"/>
        </w:rPr>
      </w:pPr>
    </w:p>
    <w:p w14:paraId="20EFD222">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6EADA583">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6E7B6D8A">
      <w:pPr>
        <w:spacing w:line="360" w:lineRule="auto"/>
        <w:rPr>
          <w:rFonts w:ascii="Times New Roman" w:eastAsia="宋体" w:hAnsi="Times New Roman" w:cs="Times New Roman"/>
          <w:b/>
          <w:bCs/>
          <w:sz w:val="28"/>
          <w:szCs w:val="28"/>
        </w:rPr>
      </w:pPr>
    </w:p>
    <w:p w14:paraId="6A4475DE">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4B497410">
      <w:pPr>
        <w:spacing w:line="360" w:lineRule="auto"/>
        <w:jc w:val="center"/>
        <w:rPr>
          <w:rFonts w:ascii="Times New Roman" w:eastAsia="宋体" w:hAnsi="Times New Roman" w:cs="Times New Roman"/>
          <w:b/>
          <w:bCs/>
          <w:sz w:val="28"/>
          <w:szCs w:val="28"/>
        </w:rPr>
      </w:pPr>
    </w:p>
    <w:p w14:paraId="3D5B5FF7">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0853AA8E">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7B2C8281">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3960F33D">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501D5C43">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7835AA1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367F4315">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本竞争性磋商文件（简称磋商文件）适用于以竞争性磋商方式采购本文件</w:t>
      </w:r>
      <w:r>
        <w:rPr>
          <w:rFonts w:ascii="宋体" w:eastAsia="宋体" w:hAnsi="宋体" w:cs="Times New Roman" w:hint="eastAsia"/>
          <w:b/>
          <w:bCs/>
          <w:szCs w:val="21"/>
        </w:rPr>
        <w:t>第七章采购需求</w:t>
      </w:r>
      <w:r>
        <w:rPr>
          <w:rFonts w:ascii="宋体" w:eastAsia="宋体" w:hAnsi="宋体" w:cs="Times New Roman" w:hint="eastAsia"/>
          <w:bCs/>
          <w:szCs w:val="21"/>
        </w:rPr>
        <w:t>中所述货物及相关服务。本项目属性确定为货物类采购。</w:t>
      </w:r>
    </w:p>
    <w:p w14:paraId="06AC7DA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2774AC6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3D17B12">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1.2.2“采购货物”指本磋商文件中</w:t>
      </w:r>
      <w:r>
        <w:rPr>
          <w:rFonts w:ascii="宋体" w:eastAsia="宋体" w:hAnsi="宋体" w:cs="Times New Roman" w:hint="eastAsia"/>
          <w:b/>
          <w:bCs/>
          <w:szCs w:val="21"/>
        </w:rPr>
        <w:t>第七章采购需求</w:t>
      </w:r>
      <w:r>
        <w:rPr>
          <w:rFonts w:ascii="宋体" w:eastAsia="宋体" w:hAnsi="宋体" w:cs="Times New Roman" w:hint="eastAsia"/>
          <w:bCs/>
          <w:szCs w:val="21"/>
        </w:rPr>
        <w:t>所述所有货物（包括不需要二次开发的软件）。</w:t>
      </w:r>
    </w:p>
    <w:p w14:paraId="2B99144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本磋商文件</w:t>
      </w:r>
      <w:r>
        <w:rPr>
          <w:rFonts w:ascii="宋体" w:eastAsia="宋体" w:hAnsi="宋体" w:cs="Times New Roman" w:hint="eastAsia"/>
          <w:b/>
          <w:bCs/>
          <w:szCs w:val="21"/>
        </w:rPr>
        <w:t>第七章采购需求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0BC8ECA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1.2.4“潜在响应人”指符合本磋商文件各项规定的供应商。</w:t>
      </w:r>
    </w:p>
    <w:p w14:paraId="6E7BAC8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1.2.5“响应人”如无特殊说明，指符合本磋商文件规定并参加响应的供应商。</w:t>
      </w:r>
    </w:p>
    <w:p w14:paraId="623C9C8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1.2.6本磋商文件各部分规定的期间以时、日、月、年计算。期间开始的日，不计算在期间内，而从次日开始计算。期间届满的最后一天是节假日的，以节假日后的第一日为期间届满的日期。</w:t>
      </w:r>
    </w:p>
    <w:p w14:paraId="0F6062E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1.2.7本磋商文件所称的复印件，包括原件经扫描或照相后的打印件、影印件等。复印件应清晰。</w:t>
      </w:r>
    </w:p>
    <w:p w14:paraId="44D7806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14603FE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磋商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448F763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磋商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5F91A03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40C7A263">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1.3.1具有本项目生产、制造、供应或实施能力，符合、承认并承诺履行本磋商文件各项规定的境内供应商均可参加响应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315090D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3C7AD748">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或购买磋商文件的供应商。</w:t>
      </w:r>
    </w:p>
    <w:p w14:paraId="0362A4F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kern w:val="0"/>
          <w:szCs w:val="21"/>
        </w:rPr>
        <w:t>，否则响应将被拒绝。</w:t>
      </w:r>
    </w:p>
    <w:p w14:paraId="6EA6130D">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463DF0B8">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1.3.4本次磋商是否允许代理商（指响应人提供的货物不是自己制造的，下同）响应，以及进口产品代理商响应应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第五章响应人须知专用部分5.3条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第五章响应人须知专用部分5.4条</w:t>
      </w:r>
      <w:r>
        <w:rPr>
          <w:rFonts w:ascii="宋体" w:eastAsia="宋体" w:hAnsi="宋体" w:cs="Times New Roman" w:hint="eastAsia"/>
          <w:szCs w:val="21"/>
        </w:rPr>
        <w:t>提交有关资料的，响应将被拒绝。</w:t>
      </w:r>
      <w:r>
        <w:rPr>
          <w:rFonts w:ascii="宋体" w:eastAsia="宋体" w:hAnsi="宋体" w:cs="Times New Roman" w:hint="eastAsia"/>
          <w:bCs/>
          <w:szCs w:val="21"/>
        </w:rPr>
        <w:t>制造商与一家或多家代理商参加相同品牌产品响应的处理规则详见</w:t>
      </w:r>
      <w:r>
        <w:rPr>
          <w:rFonts w:ascii="宋体" w:eastAsia="宋体" w:hAnsi="宋体" w:cs="Times New Roman" w:hint="eastAsia"/>
          <w:b/>
          <w:bCs/>
          <w:szCs w:val="21"/>
        </w:rPr>
        <w:t>1.28.12</w:t>
      </w:r>
      <w:r>
        <w:rPr>
          <w:rFonts w:ascii="宋体" w:eastAsia="宋体" w:hAnsi="宋体" w:cs="Times New Roman" w:hint="eastAsia"/>
          <w:bCs/>
          <w:szCs w:val="21"/>
        </w:rPr>
        <w:t>条。</w:t>
      </w:r>
    </w:p>
    <w:p w14:paraId="3DE5C0C7">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3F3F8C7B">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1.3.6</w:t>
      </w:r>
      <w:r>
        <w:rPr>
          <w:rFonts w:ascii="Times New Roman" w:eastAsia="宋体" w:hAnsi="Times New Roman" w:cs="Times New Roman" w:hint="eastAsia"/>
          <w:szCs w:val="20"/>
        </w:rPr>
        <w:t>本次磋商是否允许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1D613D4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69B5812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203A501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1CE429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63AE9A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27B7CC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磋商、响应、协议及其履行相关的责任，均仅应由联合体或其成员与该他方各自或承担连带责任，而联合体或其成员依据本次磋商、响应原所应承担的对采购中心与采购人的责任均并不因此被减免。</w:t>
      </w:r>
    </w:p>
    <w:p w14:paraId="0CD24EF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磋商的全部相关规定。</w:t>
      </w:r>
    </w:p>
    <w:p w14:paraId="345A37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586CF3B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2A9E76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1.3.8以提交首次响应文件截止日为基准日，响应人之前三年存在不良信用记录的，其响应将被作为无效响应被拒绝。</w:t>
      </w:r>
    </w:p>
    <w:p w14:paraId="7407F85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4151B3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7FEF6E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2B45C8E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12E649E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0D519A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15DBC1D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评审依据。采购中心或采购人查询之后，响应人的信用记录如发生变更，将不再作为评审依据，也不影响评审结果。</w:t>
      </w:r>
    </w:p>
    <w:p w14:paraId="25408D7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1.3.9响应人在响应过程中不得向采购人和采购中心提供、给予任何有价值的物品，一经发现，按照响应无效处理。</w:t>
      </w:r>
    </w:p>
    <w:p w14:paraId="7907000D">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1.3.10响应人没有其他不符合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本磋商文件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772F00B2">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1.3.11响应人所响应的货物如是国家法律、法规、政策禁止采购人采购的货物，或者响应人所响应的货物使用了国家法律、法规、政策禁止采购人采购的货物作为零件，响应将被拒绝。</w:t>
      </w:r>
    </w:p>
    <w:p w14:paraId="6B9FACF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1.3.12</w:t>
      </w:r>
      <w:r>
        <w:rPr>
          <w:rFonts w:ascii="宋体" w:eastAsia="宋体" w:hAnsi="宋体" w:cs="Times New Roman" w:hint="eastAsia"/>
          <w:szCs w:val="21"/>
        </w:rPr>
        <w:t>如响应人授权代表不是法定代表人，须在响应函中具有法定代表人的授权，否则响应将被拒绝。</w:t>
      </w:r>
    </w:p>
    <w:p w14:paraId="556F0CD7">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r>
        <w:rPr>
          <w:rFonts w:ascii="Times New Roman" w:eastAsia="宋体" w:hAnsi="Times New Roman" w:cs="Times New Roman" w:hint="eastAsia"/>
          <w:b/>
          <w:bCs/>
          <w:szCs w:val="20"/>
        </w:rPr>
        <w:t>1.4进口产品规定</w:t>
      </w:r>
    </w:p>
    <w:p w14:paraId="200D971B">
      <w:pPr>
        <w:tabs>
          <w:tab w:val="left" w:pos="8460"/>
        </w:tabs>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1.4.1本项目是否允许进口产品响应，见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5.8条有关进口产品响应要求的，响应将被拒绝。</w:t>
      </w:r>
    </w:p>
    <w:p w14:paraId="5892F5AD">
      <w:pPr>
        <w:tabs>
          <w:tab w:val="left" w:pos="8460"/>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14:paraId="3A1C839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1.5中小企业</w:t>
      </w:r>
    </w:p>
    <w:p w14:paraId="1D54934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26195CD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1.5.2以联合体形式参加本次采购活动的，如联合体各方均为中小企业，则联合体视同中小企业，其中联合体各方均为小微企业（小型和微型企业的简称，下同）的，则联合体视同小微企业。</w:t>
      </w:r>
    </w:p>
    <w:p w14:paraId="0ACA4B9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2CC0617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1.5.4 如本项目不是预留采购份额面向中小企业采购，则价格优惠政策如下：</w:t>
      </w:r>
    </w:p>
    <w:p w14:paraId="166BC94D">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将给予10%的扣除，用扣除后的价格参加评审；</w:t>
      </w:r>
    </w:p>
    <w:p w14:paraId="6D0FF55E">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16C8AAB5">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将对其响应报价给予4%的扣除，用扣除后的价格参加评审。</w:t>
      </w:r>
    </w:p>
    <w:p w14:paraId="70CEC69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4A969163">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1.5.6享受中小企业扶持政策获得本项目政府采购合同的，小微企业不得将合同分包给大中型企业，中型企业不得将合同分包给大型企业。</w:t>
      </w:r>
    </w:p>
    <w:p w14:paraId="4F0F2F95">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5940C974">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29B1E31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1.6.2如响应产品属于上述政府优先采购产品类别的，将在评审时将视情况予以优先采购，具体优先采购办法如有详见</w:t>
      </w:r>
      <w:r>
        <w:rPr>
          <w:rFonts w:ascii="宋体" w:eastAsia="宋体" w:hAnsi="宋体" w:cs="Times New Roman" w:hint="eastAsia"/>
          <w:b/>
          <w:szCs w:val="21"/>
        </w:rPr>
        <w:t>第六章评审方法和评审标准</w:t>
      </w:r>
      <w:r>
        <w:rPr>
          <w:rFonts w:ascii="宋体" w:eastAsia="宋体" w:hAnsi="宋体" w:cs="Times New Roman" w:hint="eastAsia"/>
          <w:szCs w:val="21"/>
        </w:rPr>
        <w:t>。</w:t>
      </w:r>
    </w:p>
    <w:p w14:paraId="0169579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28A64817">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47917A0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（1）法定代表人为同一人的响应人，同时参与本次磋商相同包的响应；</w:t>
      </w:r>
    </w:p>
    <w:p w14:paraId="16A705C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66B0537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38BFCDF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04C2BA0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60ED156C">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06488B20">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4085A18A">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67838F42">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1D78D25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07103EFB">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6C69EE9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564FE183">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（6）不同响应人的磋商保证金从同一单位或者同一个人的账户转出；</w:t>
      </w:r>
    </w:p>
    <w:p w14:paraId="0538530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6D77297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p w14:paraId="1A5964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179EE51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竞争性磋商公告或磋商邀请书中所述的采购人已经落实本次采购标的物的采购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5C34BF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2E6A173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43800546">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2DCC24A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1DD39E2E">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340A2839">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3735DC5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2D6B9CFA">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0DA1324B">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3D039BA0">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4E841A5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2514DA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磋商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磋商活动可以继续有效地进行。</w:t>
      </w:r>
    </w:p>
    <w:p w14:paraId="65D8D6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1.10.2本项目磋商文件发出之日起至提交首次响应文件截止日不少于10日。本项目竞争性磋商公告的公告期限为5个工作日，成交结果公告的公告期限为1个工作日。</w:t>
      </w:r>
    </w:p>
    <w:p w14:paraId="090CCB5B">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二、磋商文件</w:t>
      </w:r>
    </w:p>
    <w:p w14:paraId="2B6B2CC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1.11磋商文件的组成</w:t>
      </w:r>
    </w:p>
    <w:p w14:paraId="0D79A2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磋商文件由通用部分、专用部分和采购合同构成，具体包括</w:t>
      </w:r>
      <w:r>
        <w:rPr>
          <w:rFonts w:ascii="宋体" w:eastAsia="宋体" w:hAnsi="宋体" w:cs="Times New Roman"/>
          <w:szCs w:val="21"/>
        </w:rPr>
        <w:t>：</w:t>
      </w:r>
    </w:p>
    <w:p w14:paraId="1AB6019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42A0628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7FBB70B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0EEFFCD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60F3D6E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6062520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磋商邀请书</w:t>
      </w:r>
    </w:p>
    <w:p w14:paraId="40C85AC1">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053B643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评审方法和评审标准</w:t>
      </w:r>
    </w:p>
    <w:p w14:paraId="35C17F3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采购需求</w:t>
      </w:r>
    </w:p>
    <w:p w14:paraId="34D045D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响应被拒绝条款专用部分</w:t>
      </w:r>
    </w:p>
    <w:p w14:paraId="63D003B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0013D1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第九章  采购合同</w:t>
      </w:r>
    </w:p>
    <w:p w14:paraId="7F755D9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1.12提交首次响应文件截止日前磋商文件的澄清和修改</w:t>
      </w:r>
    </w:p>
    <w:p w14:paraId="498E58D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1.12.1任何已登记备案并领取了磋商文件的潜在响应人，均可要求对磋商文件进行澄清、修改</w:t>
      </w:r>
      <w:r>
        <w:rPr>
          <w:rFonts w:ascii="宋体" w:eastAsia="宋体" w:hAnsi="宋体" w:cs="Times New Roman" w:hint="eastAsia"/>
          <w:bCs/>
          <w:szCs w:val="21"/>
        </w:rPr>
        <w:t>。</w:t>
      </w:r>
    </w:p>
    <w:p w14:paraId="08C850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1A2EAF9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60020CA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磋商文件中的相关事项，用补充文件的方式进行澄清或修改。补充文件应当以当面交接、邮寄、传真或电子邮件、网站披露等其中至少一种方式，统一向全体，或分别向每一位(但不可以只向其中一部分)潜在响应人发出。</w:t>
      </w:r>
    </w:p>
    <w:p w14:paraId="4E6405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5日前，以书面形式通知所有获取磋商文件的潜在响应人；不足5日的，采购中心顺延提交响应文件的截止时间。可能影响响应文件编制的情况包括但不限于响应人需要重新考虑报价、重新编制响应方案、提供原未要求的文件资料等。</w:t>
      </w:r>
    </w:p>
    <w:p w14:paraId="7F9EE9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磋商文件作出了澄清、修改或进行其它答复，即刻发生效力，采购中心有关的补充文件，应当作为磋商文件的组成部分，对所有现实的或潜在的响应人均具有约束力，而无论是否已经实际收到该澄清或修改文件。同时，采购中心和响应人的权利及义务将受到新的截止期的约束。</w:t>
      </w:r>
    </w:p>
    <w:p w14:paraId="2C99C4D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1.12.7本次磋商是否组织现场考察或提交首次响应文件截止日前答疑会见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08258982">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3E6669A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2D7BFFB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5A77D09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磋商小组可以要求响应人提供附有公证书的中文翻译文件或者与原版文件签章相一致的中文翻译文件。</w:t>
      </w:r>
    </w:p>
    <w:p w14:paraId="03C9008A">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64E0EC2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1.13.3响应文件中所使用的计量单位，除磋商文件中有特殊要求外，应采用中华人民共和国法定计量单位。</w:t>
      </w:r>
    </w:p>
    <w:p w14:paraId="75F88AB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1.13.4对不符合上述规定情形的，磋商小组有权要求响应人限期提供相应文件或认定该文件无效。</w:t>
      </w:r>
    </w:p>
    <w:p w14:paraId="1388DE6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46FD740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磋商文件规定和成交后有能力履行合同的文件。</w:t>
      </w:r>
    </w:p>
    <w:p w14:paraId="0D6D4D0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0A166EA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4AAAF68">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384E01D4">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78E057A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1D3DC26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4BA7E8D7">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7C7D1B93">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2A89435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2B25EAC0">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47516345">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5648E265">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6B9C30E2">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1DDD7EB3">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7D75C692">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66A0FCA4">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1460F46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3DA9EA4D">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12</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第五章投标人须知专用部分5.2条</w:t>
      </w:r>
      <w:r>
        <w:rPr>
          <w:rFonts w:ascii="Times New Roman" w:eastAsia="宋体" w:hAnsi="Times New Roman" w:cs="Times New Roman" w:hint="eastAsia"/>
          <w:szCs w:val="20"/>
        </w:rPr>
        <w:t>规定应提交的特殊资质条件证明文件</w:t>
      </w:r>
    </w:p>
    <w:p w14:paraId="77945985">
      <w:pPr>
        <w:tabs>
          <w:tab w:val="left" w:pos="5580"/>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（6）*银行保函或磋商保证金说明函（本项目不要求提交磋商保证金的不提供）</w:t>
      </w:r>
    </w:p>
    <w:p w14:paraId="7E408EC9">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规定应提交的其他商务文件</w:t>
      </w:r>
    </w:p>
    <w:p w14:paraId="6C070EF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17B36CB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5E95051A">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4908BEFF">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21CA2445">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23BE34B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30D502F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39A3A98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7A149F2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4F34E9C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1.14.4响应文件对于上述商务和技术内容要有具体应答。有关文件的具体格式、填写要求及有关说明详见磋商文件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00534F8C">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4E306B2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6192504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4EBE7E2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4D33F46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磋商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7B3593F2">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1.15.5响应文件应字迹清楚、内容齐全。因响应文件字迹潦草或表达不清，或相关复印件（包括扫描件、影印件等）不清晰，导致在资格性审查、符合性审查和详细评审中发生误判，其责任应当由响应人承担。</w:t>
      </w:r>
    </w:p>
    <w:p w14:paraId="3FC436A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1.16磋商保证金</w:t>
      </w:r>
    </w:p>
    <w:p w14:paraId="6DC6D634">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1.16.1本项目是否要求响应人提供磋商保证金以及应提供的磋商保证金金额详见</w:t>
      </w:r>
      <w:r>
        <w:rPr>
          <w:rFonts w:ascii="宋体" w:eastAsia="宋体" w:hAnsi="宋体" w:cs="Times New Roman" w:hint="eastAsia"/>
          <w:b/>
          <w:bCs/>
          <w:szCs w:val="21"/>
        </w:rPr>
        <w:t>第五章响应人须知专用部分。</w:t>
      </w:r>
    </w:p>
    <w:p w14:paraId="741D6A1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要求响应人提供磋商保证金，则收取磋商保证金的要求如下：</w:t>
      </w:r>
    </w:p>
    <w:p w14:paraId="626D4F93">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（1）响应人应选择银行汇款等非现金方式提交磋商保证金。</w:t>
      </w:r>
    </w:p>
    <w:p w14:paraId="1FB13FA6">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磋商保证金的，请在汇款单上注明采购项目编号及“磋商保证金”字样，并办理向采购中心指定账户汇款的手续。如在提交首次响应文件截止日前一工作日，采购中心指定的账户未收到款项，无论响应人是否办理了向采购中心指定账户汇款手续，均视为未提交磋商保证金。采购中心指定的账户是否收到款项，以银行在有关票据上的收款签章时间或指定账户的银行对账单为准。</w:t>
      </w:r>
    </w:p>
    <w:p w14:paraId="20903201">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18A37CB7">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磋商保证金为银行保函的，请在提交首次响应文件截止时间前将银行保函原件按磋商邀请书中的地址要求送至或邮寄至采购中心（采取邮寄方式的，以签收时间为准，响应人应合理估计邮寄时间以确保在提交首次响应文件截止时间前寄达），否则将视为未提交磋商保证金。</w:t>
      </w:r>
    </w:p>
    <w:p w14:paraId="174D9FFA">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联合体响应的，可由联合体中的一方或者共同提交磋商保证金，以一方名义提交磋商保证金的，对联合体各方均有约束能力。</w:t>
      </w:r>
    </w:p>
    <w:p w14:paraId="24BDB87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要求响应人提供磋商保证金，响应人未提供，或者</w:t>
      </w:r>
      <w:r>
        <w:rPr>
          <w:rFonts w:ascii="宋体" w:eastAsia="宋体" w:hAnsi="宋体" w:cs="Times New Roman" w:hint="eastAsia"/>
          <w:szCs w:val="21"/>
        </w:rPr>
        <w:t>提交的磋商保证金的有效期限少于响应有效期，或所提交保证金金额小于本项目应提供磋商保证金额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2F1AC26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磋商保证金的退还按以下规定办理：</w:t>
      </w:r>
    </w:p>
    <w:p w14:paraId="59D7AC0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（1）成交供应商。成交供应商应当在采购合同签订后5个工作日内，向采购中心提交采购合同副本以及合同电子文档，采购中心确认后将磋商保证金退还成交供应商。</w:t>
      </w:r>
    </w:p>
    <w:p w14:paraId="6383E3C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（2）其他响应人。采购中心在成交通知书发出后5个工作日内退还其磋商保证金。</w:t>
      </w:r>
    </w:p>
    <w:p w14:paraId="3B22EF1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（3）竞争性磋商采购活动终止和因故取消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后5个工作日内，将磋商保证金退还所有响应人。</w:t>
      </w:r>
    </w:p>
    <w:p w14:paraId="4BD0568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协商退还磋商保证金事宜</w:t>
      </w:r>
      <w:r>
        <w:rPr>
          <w:rFonts w:ascii="宋体" w:eastAsia="宋体" w:hAnsi="宋体" w:cs="Times New Roman" w:hint="eastAsia"/>
          <w:szCs w:val="21"/>
        </w:rPr>
        <w:t>。</w:t>
      </w:r>
    </w:p>
    <w:p w14:paraId="10738D4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（5）在提交首次响应文件截止日前撤回响应的，对于已递交磋商保证金的，采购中心在收到响应人书面撤回响应通知之日起5个工作日内退还。</w:t>
      </w:r>
    </w:p>
    <w:p w14:paraId="4DCE98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（6）磋商保证金按原收取方式退还。</w:t>
      </w:r>
    </w:p>
    <w:p w14:paraId="1A008BE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1.16.5响应人存在下列情形的，磋商保证金不予退还，并被列入不良记录名单，响应人今后参与同类政府采购项目的机会可能会受到影响：</w:t>
      </w:r>
    </w:p>
    <w:p w14:paraId="787DEDB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2BA4538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0DD2C95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1ECCE1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（4）成交供应商不按本磋商文件的规定提交履约保证金的；</w:t>
      </w:r>
    </w:p>
    <w:p w14:paraId="097D34E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（5）成交供应商不按本磋商文件的规定缴纳代理服务费的</w:t>
      </w:r>
    </w:p>
    <w:p w14:paraId="755625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076DB62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（7）响应人其它未按磋商文件规定和合同约定履行义务的行为；</w:t>
      </w:r>
    </w:p>
    <w:p w14:paraId="789D93E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5AB4BF5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361D448A">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5DC68F62">
      <w:pPr>
        <w:tabs>
          <w:tab w:val="left" w:pos="1573"/>
        </w:tabs>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30EA0127">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1.17.3响应人要按分项报价表的内容填写货物单价（包括货物</w:t>
      </w:r>
      <w:r>
        <w:rPr>
          <w:rFonts w:ascii="宋体" w:eastAsia="宋体" w:hAnsi="宋体" w:cs="Times New Roman" w:hint="eastAsia"/>
          <w:szCs w:val="21"/>
        </w:rPr>
        <w:t>报价</w:t>
      </w:r>
      <w:r>
        <w:rPr>
          <w:rFonts w:ascii="宋体" w:eastAsia="宋体" w:hAnsi="宋体" w:cs="Times New Roman" w:hint="eastAsia"/>
          <w:szCs w:val="21"/>
        </w:rPr>
        <w:t>及品牌、型号、产地、</w:t>
      </w:r>
      <w:r>
        <w:rPr>
          <w:rFonts w:ascii="宋体" w:eastAsia="宋体" w:hAnsi="宋体" w:cs="Times New Roman" w:hint="eastAsia"/>
          <w:szCs w:val="21"/>
        </w:rPr>
        <w:t>装箱、包装、包装物料、运输和保险费用等）、总价及其他事项。</w:t>
      </w:r>
      <w:bookmarkStart w:id="3" w:name="_GoBack"/>
      <w:bookmarkEnd w:id="3"/>
    </w:p>
    <w:p w14:paraId="71A49C9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2670556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50C4EFA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1922486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4017FFB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1.17.5响应的报价优惠应对应报价一览表、分项报价表等提供相应的明细清单。除报价优惠外，任何超出磋商文件要求而额外赠送的货物、免费服务等其他形式的优惠，在评审时将不具有竞争优势。</w:t>
      </w:r>
    </w:p>
    <w:p w14:paraId="039F643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评审，但在任何情况下并不限制采购中心或采购人以其他条款签订合同的权利。</w:t>
      </w:r>
    </w:p>
    <w:p w14:paraId="4073769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1.17.7最低报价不能作为成交的保证。</w:t>
      </w:r>
    </w:p>
    <w:p w14:paraId="7B52612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31DB716D">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4F54D93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6E5A4038">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不符合磋商文件中有关分包规定的，其响应将被拒绝。</w:t>
      </w:r>
    </w:p>
    <w:p w14:paraId="4171608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1363D05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p>
    <w:p w14:paraId="18479F7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磋商文件的格式逐项填写，不得有空项。无相应内容可填的项应填写“无”、“未测试”、“没有相应指标”等明确的回答文字。响应文件未按规定提交或留有空项，将被视为响应文件完整性有缺陷。</w:t>
      </w:r>
    </w:p>
    <w:p w14:paraId="18BE931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1.19.3响应人必须保证响应文件所提供的全部资料真实可靠，并接受采购中心或磋商小组对其中任何资料进一步审查的要求。</w:t>
      </w:r>
    </w:p>
    <w:p w14:paraId="5E19F2B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4084F07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4C490DB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磋商保证金的有效期也相应延长。响应人可以拒绝接受延期要求而不会被不予退还保证金。同意延长有效期的响应人除按照采购中心要求修改响应文件有效期外，不能修改响应文件的其他内容。</w:t>
      </w:r>
    </w:p>
    <w:p w14:paraId="71FAE038">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16BF64B4">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7BAA050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磋商邀请书中规定的提交首次响应文件截止时间。如采购中心按本须知的规定，因修改磋商文件导致提交首次响应文件截止时间延长，提交首次响应文件截止时间为延长后新的截止时间。在此情况下，采购中心和响应人受截止时间制约的所有权利和义务均延长至新的截止时间。</w:t>
      </w:r>
    </w:p>
    <w:p w14:paraId="126ED73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234638FE">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C920C0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7BE7C05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2700375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1C538ADA">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27961335">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6FFC917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1.24.1采购中心按照磋商文件规定的时间、地点主持竞争性磋商。</w:t>
      </w:r>
    </w:p>
    <w:p w14:paraId="066C90A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08928F7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37512D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w:t>
      </w:r>
      <w:r>
        <w:rPr>
          <w:rFonts w:ascii="宋体" w:eastAsia="宋体" w:hAnsi="宋体" w:cs="Times New Roman"/>
          <w:szCs w:val="21"/>
        </w:rPr>
        <w:t xml:space="preserve"> </w:t>
      </w:r>
      <w:r>
        <w:rPr>
          <w:rFonts w:ascii="宋体" w:eastAsia="宋体" w:hAnsi="宋体" w:cs="Times New Roman" w:hint="eastAsia"/>
          <w:szCs w:val="21"/>
        </w:rPr>
        <w:t>根据《财政部关于政府采购竞争性磋商采购方式管理暂行办法有关问题的补充通知》（财库〔</w:t>
      </w:r>
      <w:r>
        <w:rPr>
          <w:rFonts w:ascii="宋体" w:eastAsia="宋体" w:hAnsi="宋体" w:cs="Times New Roman"/>
          <w:szCs w:val="21"/>
        </w:rPr>
        <w:t>2015〕124号），采用竞争性磋商采购方式采购的政府购买服务项目(含政府和社会资本合作项目)，在采购过程中符合要求的供应商(社会资本)只有2家的，竞争性磋商采购活动可以继续进行。</w:t>
      </w:r>
    </w:p>
    <w:p w14:paraId="0B87B0F4">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六、评审步骤和要求</w:t>
      </w:r>
    </w:p>
    <w:p w14:paraId="738D979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1.25组建磋商小组</w:t>
      </w:r>
    </w:p>
    <w:p w14:paraId="5DB7C2B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1.25.1采购中心根据有关法律法规和本磋商文件的规定，结合本采购项目的特点组建磋商小组。磋商小组由三人以上（含）单数组成，包括评审专家和采购人代表，其中评审专家不少于三分之二。</w:t>
      </w:r>
    </w:p>
    <w:p w14:paraId="0CA0865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符合财政部关于《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096C639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1.25.3采购人只能以采购人代表的身份参与评审，采购中心工作人员不得参加评审。</w:t>
      </w:r>
    </w:p>
    <w:p w14:paraId="71494E8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60356F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05CF079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磋商文件对响应人的资格材料等进行审查，以确定响应人是否具备响应资格。通过资格性审查的响应人不足3家（属于1.24.4情形的为不足2家）的，不再进行下一步评审。</w:t>
      </w:r>
    </w:p>
    <w:p w14:paraId="3203348F">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资格性审查内容是指响应人是否符合相关法律法规及磋商文件规定的响应人资格条件，包括：①响应人法人资格证明文件，②以提交首次响应文件截止日为基准日，近一年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DF82DD7">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审查由磋商小组负责。主要是指依据磋商文件的规定，审查响应人法定代表人身份证明或授权委托书、响应函、</w:t>
      </w:r>
      <w:r>
        <w:rPr>
          <w:rFonts w:ascii="宋体" w:eastAsia="宋体" w:hAnsi="宋体" w:cs="Times New Roman" w:hint="eastAsia"/>
          <w:bCs/>
          <w:szCs w:val="20"/>
        </w:rPr>
        <w:t>进口产品制造商授权书（若有）、</w:t>
      </w:r>
      <w:r>
        <w:rPr>
          <w:rFonts w:asciiTheme="minorEastAsia" w:hAnsiTheme="minorEastAsia" w:cs="Times New Roman" w:hint="eastAsia"/>
          <w:szCs w:val="21"/>
        </w:rPr>
        <w:t>中小企业声明函或残疾人福利性单位声明函或监狱企业证明文件（如有）、联合体协议（如有）、分包意向协议（如有）、分项报价表、技术偏离表、按照第五章响应人须知专用部分5.13条规定应提交的其他商务文件和技术文件、实质性*号条款响应等进行审查，以确定其是否满足磋商文件的实质性要求。没有通过初审的响应人不再进行详细评审。</w:t>
      </w:r>
    </w:p>
    <w:p w14:paraId="2F648D4D">
      <w:pPr>
        <w:tabs>
          <w:tab w:val="left" w:pos="426"/>
          <w:tab w:val="left" w:pos="1573"/>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1.26.2 在详细评审之前，磋商小组要审查每份响应文件是否实质上响应了磋商文件的要求。实质上响应是指与磋商文件的主要条款、条件和规格相符，没有重大偏离或保留。</w:t>
      </w:r>
    </w:p>
    <w:p w14:paraId="7A9ECA4E">
      <w:pPr>
        <w:tabs>
          <w:tab w:val="left" w:pos="5580"/>
        </w:tabs>
        <w:adjustRightInd w:val="0"/>
        <w:snapToGrid w:val="0"/>
        <w:spacing w:line="360" w:lineRule="auto"/>
        <w:ind w:left="781" w:hanging="357" w:leftChars="202"/>
        <w:jc w:val="left"/>
        <w:rPr>
          <w:rFonts w:asciiTheme="minorEastAsia" w:hAnsiTheme="minorEastAsia"/>
        </w:rPr>
      </w:pPr>
      <w:r>
        <w:rPr>
          <w:rFonts w:asciiTheme="minorEastAsia" w:hAnsiTheme="minorEastAsia" w:cs="Times New Roman"/>
          <w:szCs w:val="21"/>
        </w:rPr>
        <w:t>1.2</w:t>
      </w:r>
      <w:r>
        <w:rPr>
          <w:rFonts w:asciiTheme="minorEastAsia" w:hAnsiTheme="minorEastAsia" w:cs="Times New Roman" w:hint="eastAsia"/>
          <w:szCs w:val="21"/>
        </w:rPr>
        <w:t>6</w:t>
      </w:r>
      <w:r>
        <w:rPr>
          <w:rFonts w:asciiTheme="minorEastAsia" w:hAnsiTheme="minorEastAsia" w:cs="Times New Roman"/>
          <w:szCs w:val="21"/>
        </w:rPr>
        <w:t>.3</w:t>
      </w:r>
      <w:r>
        <w:rPr>
          <w:rFonts w:asciiTheme="minorEastAsia" w:hAnsiTheme="minorEastAsia" w:cs="Times New Roman" w:hint="eastAsia"/>
          <w:szCs w:val="21"/>
        </w:rPr>
        <w:t>响应文件报价出现前后不一致的，按照下列规定修正：</w:t>
      </w:r>
    </w:p>
    <w:p w14:paraId="45A04931">
      <w:pPr>
        <w:tabs>
          <w:tab w:val="left" w:pos="5580"/>
        </w:tabs>
        <w:adjustRightInd w:val="0"/>
        <w:snapToGrid w:val="0"/>
        <w:spacing w:line="360" w:lineRule="auto"/>
        <w:ind w:left="781" w:hanging="357" w:leftChars="202"/>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1）响应文件中报价一览表内容与响应文件中相应内容不一致的，以报价一览表为准；</w:t>
      </w:r>
    </w:p>
    <w:p w14:paraId="3205E888">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2）大写金额和小写金额不一致的，以大写金额为准；</w:t>
      </w:r>
    </w:p>
    <w:p w14:paraId="28EA702C">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3）单价金额小数点或者百分比有明显错位的，以报价一览表的总价为准，并修改单价；</w:t>
      </w:r>
    </w:p>
    <w:p w14:paraId="024DA5B0">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4）总价金额与按单价汇总金额不一致的，以单价金额计算结果为准。</w:t>
      </w:r>
    </w:p>
    <w:p w14:paraId="1F92D5FF">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5）同时出现两种以上不一致的，按照前款规定的顺序修正。修正后的报价经响应</w:t>
      </w:r>
      <w:r>
        <w:rPr>
          <w:rFonts w:asciiTheme="minorEastAsia" w:hAnsiTheme="minorEastAsia" w:cs="Times New Roman" w:hint="eastAsia"/>
          <w:szCs w:val="21"/>
        </w:rPr>
        <w:t>人确认后产生约束力，响应人不确认的，其响应无效。</w:t>
      </w:r>
    </w:p>
    <w:p w14:paraId="20C26FEE">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2F586BF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磋商小组在对响应文件的有效性、完整性和响应程度进行审查时，可以要求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的澄清、说明或者更正不得超出响应文件的范围或者改变响应文件的实质性内容。磋商小组要求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，并由磋商小组专家签字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响应人拒不按照要求对响应文件进行澄清、说明或者补正的，磋商小组可拒绝该响应</w:t>
      </w:r>
      <w:r>
        <w:rPr>
          <w:rFonts w:asciiTheme="minorEastAsia" w:hAnsiTheme="minorEastAsia" w:cs="微软雅黑" w:hint="eastAsia"/>
          <w:kern w:val="20"/>
          <w:szCs w:val="21"/>
          <w:lang w:val="zh-CN"/>
        </w:rPr>
        <w:t>。</w:t>
      </w:r>
    </w:p>
    <w:p w14:paraId="7893588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1.27.2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Cs w:val="21"/>
          <w:lang w:val="zh-CN"/>
        </w:rPr>
        <w:t>。</w:t>
      </w:r>
    </w:p>
    <w:p w14:paraId="0A39DA59">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1.28详细评审</w:t>
      </w:r>
    </w:p>
    <w:p w14:paraId="27B150F3">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1.28.1磋商小组所有成员应当集中与单一响应人分别进行磋商，并给予所有参加磋商的响应人平等的磋商机会</w:t>
      </w:r>
      <w:r>
        <w:rPr>
          <w:rFonts w:asciiTheme="minorEastAsia" w:hAnsiTheme="minorEastAsia" w:cs="微软雅黑" w:hint="eastAsia"/>
          <w:kern w:val="20"/>
          <w:szCs w:val="21"/>
          <w:lang w:val="zh-CN"/>
        </w:rPr>
        <w:t>。</w:t>
      </w:r>
    </w:p>
    <w:p w14:paraId="26C7715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响应人。响应人应当按照磋商文件的变动情况和磋商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35EE2BD9">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1.28.3符合《政府采购竞争性磋商采购方式管理暂行办法》的通知(财库〔2014〕214号)第三条第四项或《财政部关于政府采购竞争性磋商采购方式管理暂行办法有关问题的补充通知》（财库〔2015〕124号）情形的，提交最后报价的响应人可以为2家</w:t>
      </w:r>
      <w:r>
        <w:rPr>
          <w:rFonts w:asciiTheme="minorEastAsia" w:hAnsiTheme="minorEastAsia" w:cs="微软雅黑" w:hint="eastAsia"/>
          <w:kern w:val="20"/>
          <w:szCs w:val="21"/>
          <w:lang w:val="zh-CN"/>
        </w:rPr>
        <w:t>。</w:t>
      </w:r>
    </w:p>
    <w:p w14:paraId="42F36216">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1.28.4已提交响应文件的响应人，在提交最后报价之前，可以根据磋商情况退出磋商</w:t>
      </w:r>
      <w:r>
        <w:rPr>
          <w:rFonts w:asciiTheme="minorEastAsia" w:hAnsiTheme="minorEastAsia" w:cs="微软雅黑" w:hint="eastAsia"/>
          <w:kern w:val="20"/>
          <w:szCs w:val="21"/>
          <w:lang w:val="zh-CN"/>
        </w:rPr>
        <w:t>。</w:t>
      </w:r>
    </w:p>
    <w:p w14:paraId="23826F67">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1.28.5经磋商确定最终采购需求和提交最后报价的响应人后，由磋商小组采用综合评分法对提交最后报价的响应人的响应文件和最后报价进行综合评分。</w:t>
      </w:r>
    </w:p>
    <w:p w14:paraId="5458CD3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1.28.6综合评分法，是指响应文件满足磋商文件全部实质性要求且按评审因素的量化指标评审得分最高的响应人为成交候选响应人的评审方法。综合评分法评审标准中的分值设置应当与评审因素的量化指标相对应。磋商文件中没有规定的评审标准不得作为评审依据。</w:t>
      </w:r>
    </w:p>
    <w:p w14:paraId="293D77D9">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1.28.7评审时，磋商小组各成员应当独立对每个有效响应的文件进行评价、打分，然后汇总每个响应人每项评分因素的得分。</w:t>
      </w:r>
    </w:p>
    <w:p w14:paraId="7C6D106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1.28.8综合评分法</w:t>
      </w:r>
      <w:r>
        <w:rPr>
          <w:rFonts w:asciiTheme="minorEastAsia" w:hAnsiTheme="minorEastAsia" w:cs="微软雅黑" w:hint="eastAsia"/>
          <w:kern w:val="20"/>
          <w:szCs w:val="21"/>
          <w:lang w:val="zh-CN"/>
        </w:rPr>
        <w:t>货物项目的价格分值占总分值的比重不得低于30%。</w:t>
      </w:r>
      <w:r>
        <w:rPr>
          <w:rFonts w:asciiTheme="minorEastAsia" w:hAnsiTheme="minorEastAsia" w:cs="Times New Roman" w:hint="eastAsia"/>
          <w:kern w:val="20"/>
          <w:szCs w:val="21"/>
          <w:lang w:val="zh-CN"/>
        </w:rPr>
        <w:t>符合</w:t>
      </w:r>
      <w:r>
        <w:rPr>
          <w:rFonts w:asciiTheme="minorEastAsia" w:hAnsiTheme="minorEastAsia" w:cs="微软雅黑" w:hint="eastAsia"/>
          <w:kern w:val="20"/>
          <w:szCs w:val="21"/>
        </w:rPr>
        <w:t>《政府采购竞争性磋商采购方式管理暂行办法》的通知(财库〔2014〕214号)</w:t>
      </w:r>
      <w:r>
        <w:rPr>
          <w:rFonts w:asciiTheme="minorEastAsia" w:hAnsiTheme="minorEastAsia" w:cs="Times New Roman" w:hint="eastAsia"/>
          <w:kern w:val="20"/>
          <w:szCs w:val="21"/>
          <w:lang w:val="zh-CN"/>
        </w:rPr>
        <w:t>第三条第三项的规定和执行统一价格标准的项目，其价格不列为评分因素。</w:t>
      </w:r>
    </w:p>
    <w:p w14:paraId="19FAB72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1.28.9综合评分法中的价格分统一采用低价优先法计算，即满足磋商文件要求且最后报价最低的响应人的价格为磋商基准价，其价格分为满分。其他响应人的价格分统一按照下列公式计算：磋商报价得分=（磋商基准价/最后磋商报价）×价格权值×100。</w:t>
      </w:r>
    </w:p>
    <w:p w14:paraId="30176BF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1.28.10项目评审过程中，不得去掉最后报价中的最高报价和最低报价。</w:t>
      </w:r>
    </w:p>
    <w:p w14:paraId="55621028">
      <w:pPr>
        <w:widowControl/>
        <w:snapToGrid w:val="0"/>
        <w:spacing w:line="360" w:lineRule="auto"/>
        <w:ind w:firstLine="420" w:firstLineChars="200"/>
        <w:jc w:val="left"/>
        <w:rPr>
          <w:rFonts w:asciiTheme="minorEastAsia" w:hAnsiTheme="minorEastAsia" w:cs="Times New Roman"/>
          <w:b/>
          <w:kern w:val="20"/>
          <w:szCs w:val="21"/>
          <w:lang w:val="zh-CN"/>
        </w:rPr>
      </w:pPr>
      <w:r>
        <w:rPr>
          <w:rFonts w:asciiTheme="minorEastAsia" w:hAnsiTheme="minorEastAsia" w:cs="Times New Roman" w:hint="eastAsia"/>
          <w:kern w:val="20"/>
          <w:szCs w:val="21"/>
          <w:lang w:val="zh-CN"/>
        </w:rPr>
        <w:t>1.28.11磋商小组只对实质上响应磋商文件的响应进行评价和比较；评审应严格按照磋商文件的要求和条件进行；具体评审原则、方法和成交条件详见磋商文件</w:t>
      </w:r>
      <w:r>
        <w:rPr>
          <w:rFonts w:asciiTheme="minorEastAsia" w:hAnsiTheme="minorEastAsia" w:cs="Times New Roman" w:hint="eastAsia"/>
          <w:b/>
          <w:kern w:val="20"/>
          <w:szCs w:val="21"/>
          <w:lang w:val="zh-CN"/>
        </w:rPr>
        <w:t>第六章评审方法和评审标准。</w:t>
      </w:r>
    </w:p>
    <w:p w14:paraId="0A62D576">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1.28.12提供相同品牌产品且通过资格审查、符合性审查的不同响应人参加同一合同项下响应的，按一家响应人计算，评审后得分最高的同品牌响应人获得成交供应商推荐资格；评审得分相同的，响应报价低的获得成交供应商推荐资格，其他同品牌响应人不作为成交候选人。</w:t>
      </w:r>
    </w:p>
    <w:p w14:paraId="71928288">
      <w:pPr>
        <w:tabs>
          <w:tab w:val="left" w:pos="709"/>
          <w:tab w:val="left" w:pos="1573"/>
        </w:tabs>
        <w:adjustRightInd w:val="0"/>
        <w:snapToGrid w:val="0"/>
        <w:spacing w:line="360" w:lineRule="auto"/>
        <w:ind w:firstLine="420" w:firstLineChars="200"/>
        <w:rPr>
          <w:rFonts w:asciiTheme="minorEastAsia" w:hAnsiTheme="minorEastAsia" w:cs="Times New Roman"/>
          <w:b/>
          <w:bCs/>
          <w:szCs w:val="21"/>
        </w:rPr>
      </w:pPr>
      <w:r>
        <w:rPr>
          <w:rFonts w:asciiTheme="minorEastAsia" w:hAnsiTheme="minorEastAsia" w:cs="Times New Roman" w:hint="eastAsia"/>
          <w:szCs w:val="21"/>
        </w:rPr>
        <w:t>非单一产品采购项目，采购人应当根据采购项目技术构成、产品价格比重等合理确定核心产品。不同响应人提供的核心产品品牌相同的，按前款规定处理。本项目是否设有核心产品，详见</w:t>
      </w:r>
      <w:r>
        <w:rPr>
          <w:rFonts w:asciiTheme="minorEastAsia" w:hAnsiTheme="minorEastAsia" w:cs="Times New Roman" w:hint="eastAsia"/>
          <w:b/>
          <w:bCs/>
          <w:szCs w:val="21"/>
        </w:rPr>
        <w:t>第五章响应人须知专用部分。</w:t>
      </w:r>
    </w:p>
    <w:p w14:paraId="388FA322">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60649B32">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1.29.1磋商小组应当根据综合评分情况，按照评审得分由高到低顺序推荐至少3名成交候选响应人，并编写评审报告。符合财政部关于《政府采购竞争性磋商采购方式管理暂行办法》</w:t>
      </w:r>
      <w:r>
        <w:rPr>
          <w:rFonts w:asciiTheme="minorEastAsia" w:hAnsiTheme="minorEastAsia" w:cs="微软雅黑" w:hint="eastAsia"/>
          <w:kern w:val="20"/>
          <w:szCs w:val="21"/>
        </w:rPr>
        <w:t>的通知(财库〔2014〕214号)</w:t>
      </w:r>
      <w:r>
        <w:rPr>
          <w:rFonts w:asciiTheme="minorEastAsia" w:hAnsiTheme="minorEastAsia" w:cs="Times New Roman" w:hint="eastAsia"/>
          <w:kern w:val="20"/>
          <w:szCs w:val="21"/>
          <w:lang w:val="zh-CN"/>
        </w:rPr>
        <w:t>第二十一条第三款或《财政部关于政府采购竞争性磋商采购方式管理暂行办法有关问题的补充通知》（财库〔2015〕124号）情形的，可以推荐2家成交候选响应人。评审得分相同的，按照最后报价由低到高的顺序推荐。评审得分且最后报价相同的，按照技术指标优劣顺序推荐。</w:t>
      </w:r>
    </w:p>
    <w:p w14:paraId="527BEF3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1.29.2评审报告应当由磋商小组全体人员签字认可。磋商小组成员对评审报告有异议的，磋商小组按照少数服从多数的原则推荐成交候选响应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asciiTheme="minorEastAsia" w:hAnsiTheme="minorEastAsia" w:cs="微软雅黑" w:hint="eastAsia"/>
          <w:kern w:val="20"/>
          <w:szCs w:val="21"/>
          <w:lang w:val="zh-CN"/>
        </w:rPr>
        <w:t>。</w:t>
      </w:r>
    </w:p>
    <w:p w14:paraId="34ACCA4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1.29.3采购人将确定排名第一的成交候选人为成交供应商并向其授予合同。排名第一的成交候选人因不可抗力或者自身原因不能履行合同，或者本文件规定应当提交保证金而在规定期限未能提交的，采购人可以按照《政府采购竞争性磋商采购方式管理暂行办法》的通知(财库〔2014〕214号)第二十八条第二款规定的原则确定其他响应人作为成交供应商并签订政府采购合同。</w:t>
      </w:r>
    </w:p>
    <w:p w14:paraId="0CA55F5F">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1.29.4采购人也可授权磋商小组按本条规定直接确定成交供应商。</w:t>
      </w:r>
    </w:p>
    <w:p w14:paraId="4EE3ACFD">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1.29.5采购人不得通过对样品进行检测、对响应人进行考察等方式改变评审结果。</w:t>
      </w:r>
    </w:p>
    <w:p w14:paraId="65CE0D00">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1.30评审过程保密</w:t>
      </w:r>
    </w:p>
    <w:p w14:paraId="1CDE770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1.30.1响应截止时间之后，直到授予响应人合同止，凡是属于审查、澄清、评价和比较响应的有关资料以及授标意向等，均不向响应人或其他与评审无关的人员透露</w:t>
      </w:r>
      <w:r>
        <w:rPr>
          <w:rFonts w:asciiTheme="minorEastAsia" w:hAnsiTheme="minorEastAsia" w:cs="微软雅黑" w:hint="eastAsia"/>
          <w:kern w:val="20"/>
          <w:szCs w:val="21"/>
          <w:lang w:val="zh-CN"/>
        </w:rPr>
        <w:t>。</w:t>
      </w:r>
    </w:p>
    <w:p w14:paraId="6A01EFF5">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磋商小组在评审过程中发现响应人有行贿、提供虚假材料或者串通等违法行为的，应当及时向财政部门报告。评审专家在评审过程中受到非法干涉的，应当及时向财政、监察等部门举报。</w:t>
      </w:r>
    </w:p>
    <w:p w14:paraId="54A88921">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06AEA6FD">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无论基于何种原因，各项本应作拒绝处理的情形即便未被及时发现而使该响应人进入初审、详细评审或其它后续程序，包括已经签约的情形，一旦在任何时间被发现存在上述情形，则向财政部门反映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1F350FDC">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1.32竞争性磋商采购活动的终止</w:t>
      </w:r>
    </w:p>
    <w:p w14:paraId="08A6D43C">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有下列情形之一的，将终止本次竞争性磋商采购活动，采购中心将发布终止公告并说明原因。</w:t>
      </w:r>
    </w:p>
    <w:p w14:paraId="42F16BC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（1）因情况发生变化，不再符合竞争性磋商采购方式适用情形的；</w:t>
      </w:r>
    </w:p>
    <w:p w14:paraId="18EC639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6455935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政府采购竞争性磋商采购方式管理暂行办法》（财库[2014]214号）第二十一条第三款规定的情形，以及《关于政府采购竞争性磋商采购方式管理暂行办法有关问题的补充通知》（财库[2015]124号）规定的情形外，在采购过程中符合要求的供应商或者报价未超过采购预算的供应商不足3家的。</w:t>
      </w:r>
    </w:p>
    <w:p w14:paraId="79C74717">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七、成交通知及合同</w:t>
      </w:r>
    </w:p>
    <w:p w14:paraId="7F90A07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35DB3E0F">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磋商公告的媒体上发布成交结果公告，公告期限为１个工作日。成交结果公告内容包括采购人和采购代理机构的名称、地址、联系方式，项目名称和项目编号，成交供应商名称、地址和成交金额，主要成交标的的名称、规格型号、数量、单价、服务要求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32F5136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64678A9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0B9F0F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磋商文件和成交供应商的响应文件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5C13F5A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磋商文件、响应文件及评审过程中的有关澄清、说明或者补正文件的内容签订。成交供应商与采购人不得背离上述文件的实质性内容签订成交合同，也不得背离成交合同的实质性内容签订其他协议或发表声明。</w:t>
      </w:r>
    </w:p>
    <w:p w14:paraId="5A5DC1B0">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51DB4DD3">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3BFF0A31">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6F663F0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480C6B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p>
    <w:p w14:paraId="522C877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p>
    <w:p w14:paraId="5AC923F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第九章采购合同</w:t>
      </w:r>
      <w:r>
        <w:rPr>
          <w:rFonts w:ascii="宋体" w:eastAsia="宋体" w:hAnsi="宋体" w:cs="Times New Roman" w:hint="eastAsia"/>
          <w:szCs w:val="21"/>
        </w:rPr>
        <w:t>。</w:t>
      </w:r>
    </w:p>
    <w:p w14:paraId="5E292476">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4EAA9AE2">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7B10FD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05859433">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36633B3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1.37.1若响应人或潜在响应人认为磋商文件、磋商过程、成交结果使自己的合法权益受到损害的，可以在知道或者应知其权益受到损害之日起7个工作日内提出质疑。应知其权益受到损害之日是指：</w:t>
      </w:r>
    </w:p>
    <w:p w14:paraId="3DF3E7F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（1）对磋商文件提出质疑且在公告期满之后获得磋商文件的，为公告期满之日；</w:t>
      </w:r>
    </w:p>
    <w:p w14:paraId="20F588A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（2）对磋商文件提出质疑且在公告期满之前获得磋商文件的，为获得磋商文件之日；</w:t>
      </w:r>
    </w:p>
    <w:p w14:paraId="13481DE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（3）对磋商过程提出质疑的，为各磋商程序环节结束之日；</w:t>
      </w:r>
    </w:p>
    <w:p w14:paraId="6216DA3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（4）对成交结果提出质疑的，为成交结果公告期满之日。</w:t>
      </w:r>
    </w:p>
    <w:p w14:paraId="02A1E14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783D32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应当是参与所质疑项目采购活动的供应商。潜在响应人已依法获取其可质疑的磋商文件的，可以对该文件提出质疑。</w:t>
      </w:r>
    </w:p>
    <w:p w14:paraId="6214B4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1.37.3响应人已经参与响应，并于提交首次响应文件截止时间后对磋商文件提出质疑的，其质疑应当被视为无效质疑。</w:t>
      </w:r>
    </w:p>
    <w:p w14:paraId="2AD42BE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6DED81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7AABDC4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39B220E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47FB64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3C6CB6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394ED3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33E2157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16F44B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37D72D2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01B5A7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21E7873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582EBDE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3F7D53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6922309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0CDA6FC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2868619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3BEE3D5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4D8FB5C8">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5ACE8A7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5968F7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第四章磋商邀请书-采购中心联系方式</w:t>
      </w:r>
      <w:r>
        <w:rPr>
          <w:rFonts w:ascii="宋体" w:eastAsia="宋体" w:hAnsi="宋体" w:cs="Times New Roman" w:hint="eastAsia"/>
          <w:szCs w:val="21"/>
        </w:rPr>
        <w:t>。</w:t>
      </w:r>
    </w:p>
    <w:p w14:paraId="39EC34F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559329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p>
    <w:p w14:paraId="00E6D0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1BE4FFC0">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535261B5">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p w14:paraId="72596F9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1.39.1响应人自领取磋商文件之日起，须履行本采购项目下保密义务，不得将因本次磋商获得的信息向第三人外传。</w:t>
      </w:r>
    </w:p>
    <w:p w14:paraId="1C3E7E8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1.39.2提交首次响应文件截止时间之后，直到授予成交供应商合同为止，凡与本次磋商有关人员对属于审查、澄清、评价和比较响应的有关资料以及授标意向等，除1.39.3条和1.39.4条规定的情况外，均不得向响应人或其他无关的人员透露。</w:t>
      </w:r>
    </w:p>
    <w:p w14:paraId="0D1620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1.39.3采购中心有权将响应人提供的所有资料向有关政府部门或磋商小组披露。</w:t>
      </w:r>
    </w:p>
    <w:p w14:paraId="24BCC18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7C61965A">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376E9A4E">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1.40供应商诚信评价</w:t>
      </w:r>
    </w:p>
    <w:p w14:paraId="4B9ABFB9">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4C072B53">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4C6142C0">
      <w:pPr>
        <w:tabs>
          <w:tab w:val="left" w:pos="709"/>
          <w:tab w:val="left" w:pos="1573"/>
        </w:tabs>
        <w:spacing w:line="360" w:lineRule="auto"/>
        <w:ind w:firstLine="420" w:firstLineChars="200"/>
        <w:rPr>
          <w:rFonts w:ascii="宋体" w:eastAsia="宋体" w:hAnsi="宋体" w:cs="Times New Roman"/>
          <w:szCs w:val="44"/>
        </w:rPr>
      </w:pPr>
    </w:p>
    <w:p w14:paraId="50FB5B66">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668049FF">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1.14</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0492270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115EFC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309755C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磋商小组将应用响应人提交的资料并根据自己的判断，决定响应人履行合同的合格性及能力。</w:t>
      </w:r>
    </w:p>
    <w:p w14:paraId="128B0B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3A2F44F0">
      <w:pPr>
        <w:tabs>
          <w:tab w:val="left" w:pos="1573"/>
        </w:tabs>
        <w:adjustRightInd w:val="0"/>
        <w:snapToGrid w:val="0"/>
        <w:spacing w:line="360" w:lineRule="auto"/>
        <w:ind w:left="1573" w:hanging="1153" w:leftChars="200" w:hangingChars="549"/>
        <w:jc w:val="left"/>
        <w:rPr>
          <w:rFonts w:ascii="宋体" w:eastAsia="宋体" w:hAnsi="宋体" w:cs="Times New Roman"/>
          <w:bCs/>
          <w:szCs w:val="44"/>
        </w:rPr>
      </w:pPr>
    </w:p>
    <w:p w14:paraId="4FC56372">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4" w:name="_Toc175294337"/>
      <w:r>
        <w:rPr>
          <w:rFonts w:ascii="宋体" w:eastAsia="宋体" w:hAnsi="宋体" w:cs="Times New Roman" w:hint="eastAsia"/>
          <w:b/>
          <w:bCs/>
          <w:szCs w:val="44"/>
        </w:rPr>
        <w:t>响应文件商务部分</w:t>
      </w:r>
    </w:p>
    <w:p w14:paraId="78DFF84B">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5" w:name="插入_投标文件商务部分"/>
      <w:r>
        <w:rPr>
          <w:rFonts w:ascii="宋体" w:eastAsia="宋体" w:hAnsi="宋体" w:cs="Times New Roman" w:hint="eastAsia"/>
          <w:b/>
          <w:szCs w:val="20"/>
        </w:rPr>
        <w:t>2.6法定代表人身份证明或授权委托书</w:t>
      </w:r>
    </w:p>
    <w:p w14:paraId="5E97FC61">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6AAB7E92">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4D0CAFE6">
      <w:pPr>
        <w:tabs>
          <w:tab w:val="left" w:pos="5580"/>
        </w:tabs>
        <w:adjustRightInd w:val="0"/>
        <w:snapToGrid w:val="0"/>
        <w:spacing w:line="360" w:lineRule="auto"/>
        <w:jc w:val="center"/>
        <w:rPr>
          <w:rFonts w:ascii="华文楷体" w:eastAsia="华文楷体" w:hAnsi="华文楷体" w:cs="Times New Roman"/>
          <w:b/>
          <w:szCs w:val="21"/>
        </w:rPr>
      </w:pPr>
    </w:p>
    <w:p w14:paraId="349C2428">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10D3611F">
      <w:pPr>
        <w:widowControl/>
        <w:adjustRightInd w:val="0"/>
        <w:snapToGrid w:val="0"/>
        <w:spacing w:line="360" w:lineRule="auto"/>
        <w:ind w:firstLine="420" w:firstLineChars="200"/>
        <w:jc w:val="left"/>
        <w:rPr>
          <w:rFonts w:ascii="华文楷体" w:eastAsia="华文楷体" w:hAnsi="华文楷体" w:cs="Times New Roman"/>
          <w:szCs w:val="21"/>
        </w:rPr>
      </w:pPr>
    </w:p>
    <w:p w14:paraId="03E8B716">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70D091A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2DEA8A4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60C631E0">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69C2793A">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6CD2373C">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568653C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605DD8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6F58DFFC">
      <w:pPr>
        <w:tabs>
          <w:tab w:val="left" w:pos="1573"/>
        </w:tabs>
        <w:adjustRightInd w:val="0"/>
        <w:snapToGrid w:val="0"/>
        <w:spacing w:line="360" w:lineRule="auto"/>
        <w:ind w:firstLine="420" w:firstLineChars="200"/>
        <w:rPr>
          <w:rFonts w:ascii="宋体" w:eastAsia="宋体" w:hAnsi="宋体" w:cs="Times New Roman"/>
          <w:szCs w:val="21"/>
        </w:rPr>
      </w:pPr>
    </w:p>
    <w:p w14:paraId="105D7B81">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653F3CE2">
      <w:pPr>
        <w:tabs>
          <w:tab w:val="left" w:pos="1573"/>
        </w:tabs>
        <w:adjustRightInd w:val="0"/>
        <w:snapToGrid w:val="0"/>
        <w:spacing w:line="360" w:lineRule="auto"/>
        <w:ind w:firstLine="420" w:firstLineChars="200"/>
        <w:rPr>
          <w:rFonts w:ascii="宋体" w:eastAsia="宋体" w:hAnsi="宋体" w:cs="Times New Roman"/>
          <w:bCs/>
          <w:szCs w:val="20"/>
        </w:rPr>
      </w:pPr>
    </w:p>
    <w:p w14:paraId="03BAF0D7">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0159835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56ADCE4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451BE16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07C93A5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488832B5">
      <w:pPr>
        <w:widowControl/>
        <w:adjustRightInd w:val="0"/>
        <w:snapToGrid w:val="0"/>
        <w:spacing w:line="360" w:lineRule="auto"/>
        <w:ind w:firstLine="420" w:firstLineChars="200"/>
        <w:jc w:val="left"/>
        <w:rPr>
          <w:rFonts w:ascii="华文楷体" w:eastAsia="华文楷体" w:hAnsi="华文楷体" w:cs="Times New Roman"/>
          <w:szCs w:val="21"/>
        </w:rPr>
      </w:pPr>
    </w:p>
    <w:p w14:paraId="0DBBB4D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6460EF01">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4FF80D7">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2F404F88">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6491C0E9">
      <w:pPr>
        <w:widowControl/>
        <w:adjustRightInd w:val="0"/>
        <w:snapToGrid w:val="0"/>
        <w:spacing w:line="360" w:lineRule="auto"/>
        <w:ind w:firstLine="420" w:firstLineChars="200"/>
        <w:jc w:val="left"/>
        <w:rPr>
          <w:rFonts w:ascii="华文楷体" w:eastAsia="华文楷体" w:hAnsi="华文楷体" w:cs="Times New Roman"/>
          <w:szCs w:val="21"/>
        </w:rPr>
      </w:pPr>
      <w:bookmarkStart w:id="6" w:name="_Toc495992626"/>
      <w:r>
        <w:rPr>
          <w:rFonts w:ascii="华文楷体" w:eastAsia="华文楷体" w:hAnsi="华文楷体" w:cs="Times New Roman" w:hint="eastAsia"/>
          <w:szCs w:val="21"/>
        </w:rPr>
        <w:t>附：授权代表身份证复印件</w:t>
      </w:r>
    </w:p>
    <w:p w14:paraId="29A41BE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6"/>
    <w:p w14:paraId="3C91491C"/>
    <w:p w14:paraId="5B8FB51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1476053A">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54C3491C">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200E31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18B94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（包号）竞争性磋商的有关活动，并对此项目进行响应。为此，我方承诺如下：</w:t>
      </w:r>
    </w:p>
    <w:p w14:paraId="76D8927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1.我方同意在本项目磋商文件中规定的响应有效期内遵守本响应文件中的承诺且在此期限期满之前均具有约束力。</w:t>
      </w:r>
    </w:p>
    <w:p w14:paraId="5C3D80B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2.提供磋商文件规定的全部响应文件。</w:t>
      </w:r>
    </w:p>
    <w:p w14:paraId="7DDA3B5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7CB70C8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4.按磋商文件要求提供和交付的货物和服务的响应报价详见报价一览表。</w:t>
      </w:r>
    </w:p>
    <w:p w14:paraId="4927654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06926D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7D35FC3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4ACFDAC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8.完全理解磋商文件中的各项商务和技术要求，若有偏差，已在响应文件商务条款和技术要求偏离表中予以明确特别说明。</w:t>
      </w:r>
    </w:p>
    <w:p w14:paraId="1442671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9.完全理解贵方不一定接受最低价的响应或收到的任何响应。</w:t>
      </w:r>
    </w:p>
    <w:p w14:paraId="6A3A63B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05E6260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29C8EB3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12.采购人若需追加采购本项目磋商文件所列货物及相关服务的，在不改变合同其他实质性条款的前提下，按相同或更优惠的折扣率保证供货。</w:t>
      </w:r>
    </w:p>
    <w:p w14:paraId="45635F3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13.接受磋商文件中合同条款的全部条款且无任何异议。</w:t>
      </w:r>
    </w:p>
    <w:p w14:paraId="1FF3E92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5F17EC8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5040300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BB083E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7DAD03D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581D126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63EEB39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0449207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28FF7A0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7F11FC0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7E732B7A">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2C5CBE4D">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03EB539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13B92B8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714E807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69ED07C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3FF158D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59598E9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0B5456A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05CB44CA">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0EC60E03">
      <w:pPr>
        <w:tabs>
          <w:tab w:val="left" w:pos="1573"/>
        </w:tabs>
        <w:adjustRightInd w:val="0"/>
        <w:snapToGrid w:val="0"/>
        <w:spacing w:line="360" w:lineRule="auto"/>
        <w:ind w:firstLine="420" w:firstLineChars="200"/>
        <w:rPr>
          <w:rFonts w:ascii="宋体" w:eastAsia="宋体" w:hAnsi="宋体" w:cs="Times New Roman"/>
          <w:b/>
          <w:szCs w:val="21"/>
        </w:rPr>
      </w:pPr>
    </w:p>
    <w:p w14:paraId="638930F6">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032B6046"/>
    <w:p w14:paraId="26935BF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2400BD82">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3575204D">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3E85C3E4">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320BF195">
            <w:pPr>
              <w:ind w:right="-42" w:rightChars="-20"/>
              <w:rPr>
                <w:rFonts w:ascii="Arial" w:eastAsia="宋体" w:hAnsi="Arial" w:cs="Arial"/>
                <w:szCs w:val="20"/>
              </w:rPr>
            </w:pPr>
          </w:p>
        </w:tc>
      </w:tr>
      <w:tr w14:paraId="1A8D3DFC">
        <w:tblPrEx>
          <w:tblW w:w="5000" w:type="pct"/>
          <w:tblInd w:w="0" w:type="dxa"/>
          <w:tblCellMar>
            <w:top w:w="0" w:type="dxa"/>
            <w:left w:w="108" w:type="dxa"/>
            <w:bottom w:w="0" w:type="dxa"/>
            <w:right w:w="108" w:type="dxa"/>
          </w:tblCellMar>
        </w:tblPrEx>
        <w:trPr>
          <w:trHeight w:val="397"/>
        </w:trPr>
        <w:tc>
          <w:tcPr>
            <w:tcW w:w="796" w:type="pct"/>
            <w:vAlign w:val="center"/>
          </w:tcPr>
          <w:p w14:paraId="7270ACB3">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24AA96B8">
            <w:pPr>
              <w:ind w:right="-42" w:rightChars="-20"/>
              <w:rPr>
                <w:rFonts w:ascii="Arial" w:eastAsia="宋体" w:hAnsi="Arial" w:cs="Arial"/>
                <w:szCs w:val="20"/>
              </w:rPr>
            </w:pPr>
          </w:p>
        </w:tc>
      </w:tr>
      <w:tr w14:paraId="3899D86F">
        <w:tblPrEx>
          <w:tblW w:w="5000" w:type="pct"/>
          <w:tblInd w:w="0" w:type="dxa"/>
          <w:tblCellMar>
            <w:top w:w="0" w:type="dxa"/>
            <w:left w:w="108" w:type="dxa"/>
            <w:bottom w:w="0" w:type="dxa"/>
            <w:right w:w="108" w:type="dxa"/>
          </w:tblCellMar>
        </w:tblPrEx>
        <w:trPr>
          <w:trHeight w:val="397"/>
        </w:trPr>
        <w:tc>
          <w:tcPr>
            <w:tcW w:w="796" w:type="pct"/>
            <w:vAlign w:val="center"/>
          </w:tcPr>
          <w:p w14:paraId="36C07F77">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34B3F5B7">
            <w:pPr>
              <w:ind w:right="-42" w:rightChars="-20"/>
              <w:rPr>
                <w:rFonts w:ascii="Arial" w:eastAsia="宋体" w:hAnsi="Arial" w:cs="Arial"/>
                <w:szCs w:val="20"/>
              </w:rPr>
            </w:pPr>
          </w:p>
        </w:tc>
      </w:tr>
      <w:tr w14:paraId="1FA30078">
        <w:tblPrEx>
          <w:tblW w:w="5000" w:type="pct"/>
          <w:tblInd w:w="0" w:type="dxa"/>
          <w:tblCellMar>
            <w:top w:w="0" w:type="dxa"/>
            <w:left w:w="108" w:type="dxa"/>
            <w:bottom w:w="0" w:type="dxa"/>
            <w:right w:w="108" w:type="dxa"/>
          </w:tblCellMar>
        </w:tblPrEx>
        <w:trPr>
          <w:trHeight w:val="397"/>
        </w:trPr>
        <w:tc>
          <w:tcPr>
            <w:tcW w:w="796" w:type="pct"/>
            <w:vAlign w:val="center"/>
          </w:tcPr>
          <w:p w14:paraId="32B9D980">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01432748">
            <w:pPr>
              <w:ind w:right="-42" w:rightChars="-20"/>
              <w:rPr>
                <w:rFonts w:ascii="Arial" w:eastAsia="宋体" w:hAnsi="Arial" w:cs="Arial"/>
                <w:szCs w:val="20"/>
              </w:rPr>
            </w:pPr>
          </w:p>
        </w:tc>
        <w:tc>
          <w:tcPr>
            <w:tcW w:w="795" w:type="pct"/>
            <w:vAlign w:val="center"/>
          </w:tcPr>
          <w:p w14:paraId="124BF6E4">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17A88E47">
            <w:pPr>
              <w:ind w:right="-42" w:rightChars="-20"/>
              <w:jc w:val="center"/>
              <w:rPr>
                <w:rFonts w:ascii="Arial" w:eastAsia="黑体" w:hAnsi="Arial" w:cs="Arial"/>
                <w:szCs w:val="20"/>
              </w:rPr>
            </w:pPr>
          </w:p>
        </w:tc>
        <w:tc>
          <w:tcPr>
            <w:tcW w:w="796" w:type="pct"/>
            <w:gridSpan w:val="2"/>
            <w:vAlign w:val="center"/>
          </w:tcPr>
          <w:p w14:paraId="173D960C">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61AAD7EB">
            <w:pPr>
              <w:ind w:right="-42" w:rightChars="-20"/>
              <w:rPr>
                <w:rFonts w:ascii="Arial" w:eastAsia="宋体" w:hAnsi="Arial" w:cs="Arial"/>
                <w:szCs w:val="20"/>
              </w:rPr>
            </w:pPr>
          </w:p>
        </w:tc>
      </w:tr>
      <w:tr w14:paraId="30107C36">
        <w:tblPrEx>
          <w:tblW w:w="5000" w:type="pct"/>
          <w:tblInd w:w="0" w:type="dxa"/>
          <w:tblCellMar>
            <w:top w:w="0" w:type="dxa"/>
            <w:left w:w="108" w:type="dxa"/>
            <w:bottom w:w="0" w:type="dxa"/>
            <w:right w:w="108" w:type="dxa"/>
          </w:tblCellMar>
        </w:tblPrEx>
        <w:trPr>
          <w:trHeight w:val="397"/>
        </w:trPr>
        <w:tc>
          <w:tcPr>
            <w:tcW w:w="796" w:type="pct"/>
            <w:vAlign w:val="center"/>
          </w:tcPr>
          <w:p w14:paraId="3DAB2235">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333452C3">
            <w:pPr>
              <w:ind w:right="-42" w:rightChars="-20"/>
              <w:rPr>
                <w:rFonts w:ascii="Arial" w:eastAsia="宋体" w:hAnsi="Arial" w:cs="Arial"/>
                <w:szCs w:val="20"/>
              </w:rPr>
            </w:pPr>
          </w:p>
        </w:tc>
        <w:tc>
          <w:tcPr>
            <w:tcW w:w="795" w:type="pct"/>
            <w:vAlign w:val="center"/>
          </w:tcPr>
          <w:p w14:paraId="20101654">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5BE195D9">
            <w:pPr>
              <w:ind w:right="-42" w:rightChars="-20"/>
              <w:jc w:val="center"/>
              <w:rPr>
                <w:rFonts w:ascii="Arial" w:eastAsia="黑体" w:hAnsi="Arial" w:cs="Arial"/>
                <w:szCs w:val="20"/>
              </w:rPr>
            </w:pPr>
          </w:p>
        </w:tc>
        <w:tc>
          <w:tcPr>
            <w:tcW w:w="796" w:type="pct"/>
            <w:gridSpan w:val="2"/>
            <w:vAlign w:val="center"/>
          </w:tcPr>
          <w:p w14:paraId="75BC2E25">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24F7A85A">
            <w:pPr>
              <w:ind w:right="-42" w:rightChars="-20"/>
              <w:rPr>
                <w:rFonts w:ascii="Arial" w:eastAsia="宋体" w:hAnsi="Arial" w:cs="Arial"/>
                <w:szCs w:val="20"/>
              </w:rPr>
            </w:pPr>
          </w:p>
        </w:tc>
      </w:tr>
      <w:tr w14:paraId="52F34EBB">
        <w:tblPrEx>
          <w:tblW w:w="5000" w:type="pct"/>
          <w:tblInd w:w="0" w:type="dxa"/>
          <w:tblCellMar>
            <w:top w:w="0" w:type="dxa"/>
            <w:left w:w="108" w:type="dxa"/>
            <w:bottom w:w="0" w:type="dxa"/>
            <w:right w:w="108" w:type="dxa"/>
          </w:tblCellMar>
        </w:tblPrEx>
        <w:trPr>
          <w:trHeight w:val="397"/>
        </w:trPr>
        <w:tc>
          <w:tcPr>
            <w:tcW w:w="796" w:type="pct"/>
            <w:vAlign w:val="center"/>
          </w:tcPr>
          <w:p w14:paraId="66B3FDE1">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41DCB99C">
            <w:pPr>
              <w:ind w:right="-42" w:rightChars="-20"/>
              <w:rPr>
                <w:rFonts w:ascii="Arial" w:eastAsia="宋体" w:hAnsi="Arial" w:cs="Arial"/>
                <w:szCs w:val="20"/>
              </w:rPr>
            </w:pPr>
          </w:p>
        </w:tc>
      </w:tr>
      <w:tr w14:paraId="696CA603">
        <w:tblPrEx>
          <w:tblW w:w="5000" w:type="pct"/>
          <w:tblInd w:w="0" w:type="dxa"/>
          <w:tblCellMar>
            <w:top w:w="0" w:type="dxa"/>
            <w:left w:w="108" w:type="dxa"/>
            <w:bottom w:w="0" w:type="dxa"/>
            <w:right w:w="108" w:type="dxa"/>
          </w:tblCellMar>
        </w:tblPrEx>
        <w:trPr>
          <w:trHeight w:val="397"/>
        </w:trPr>
        <w:tc>
          <w:tcPr>
            <w:tcW w:w="796" w:type="pct"/>
            <w:vAlign w:val="center"/>
          </w:tcPr>
          <w:p w14:paraId="1ECDAA30">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673CB096">
            <w:pPr>
              <w:ind w:right="-42" w:rightChars="-20"/>
              <w:rPr>
                <w:rFonts w:ascii="Arial" w:eastAsia="宋体" w:hAnsi="Arial" w:cs="Arial"/>
                <w:szCs w:val="20"/>
              </w:rPr>
            </w:pPr>
          </w:p>
        </w:tc>
      </w:tr>
      <w:tr w14:paraId="02D9D1F0">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FBE3AB2">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690D6830">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657AF57A">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21137B99">
            <w:pPr>
              <w:ind w:right="-42" w:rightChars="-20"/>
              <w:rPr>
                <w:rFonts w:ascii="Arial" w:eastAsia="黑体" w:hAnsi="Arial" w:cs="Arial"/>
                <w:szCs w:val="20"/>
              </w:rPr>
            </w:pPr>
            <w:r>
              <w:rPr>
                <w:rFonts w:ascii="Arial" w:eastAsia="黑体" w:hAnsi="Arial" w:cs="Arial" w:hint="eastAsia"/>
                <w:szCs w:val="20"/>
              </w:rPr>
              <w:t>管理人员     人</w:t>
            </w:r>
          </w:p>
        </w:tc>
      </w:tr>
      <w:tr w14:paraId="77916FD2">
        <w:tblPrEx>
          <w:tblW w:w="5000" w:type="pct"/>
          <w:tblInd w:w="0" w:type="dxa"/>
          <w:tblCellMar>
            <w:top w:w="0" w:type="dxa"/>
            <w:left w:w="108" w:type="dxa"/>
            <w:bottom w:w="0" w:type="dxa"/>
            <w:right w:w="108" w:type="dxa"/>
          </w:tblCellMar>
        </w:tblPrEx>
        <w:trPr>
          <w:trHeight w:val="397"/>
        </w:trPr>
        <w:tc>
          <w:tcPr>
            <w:tcW w:w="796" w:type="pct"/>
            <w:vMerge/>
            <w:vAlign w:val="center"/>
          </w:tcPr>
          <w:p w14:paraId="769D75E9">
            <w:pPr>
              <w:ind w:right="-42" w:rightChars="-20"/>
              <w:jc w:val="center"/>
              <w:rPr>
                <w:rFonts w:ascii="Arial" w:eastAsia="黑体" w:hAnsi="Arial" w:cs="Arial"/>
                <w:szCs w:val="20"/>
              </w:rPr>
            </w:pPr>
          </w:p>
        </w:tc>
        <w:tc>
          <w:tcPr>
            <w:tcW w:w="678" w:type="pct"/>
            <w:vMerge/>
            <w:vAlign w:val="center"/>
          </w:tcPr>
          <w:p w14:paraId="7B97B5F5">
            <w:pPr>
              <w:snapToGrid w:val="0"/>
              <w:ind w:right="-42" w:rightChars="-20"/>
              <w:jc w:val="center"/>
              <w:rPr>
                <w:rFonts w:ascii="Arial" w:eastAsia="黑体" w:hAnsi="Arial" w:cs="Arial"/>
                <w:szCs w:val="20"/>
              </w:rPr>
            </w:pPr>
          </w:p>
        </w:tc>
        <w:tc>
          <w:tcPr>
            <w:tcW w:w="940" w:type="pct"/>
            <w:gridSpan w:val="3"/>
            <w:vMerge/>
            <w:vAlign w:val="center"/>
          </w:tcPr>
          <w:p w14:paraId="29E51BA4">
            <w:pPr>
              <w:snapToGrid w:val="0"/>
              <w:ind w:right="-42" w:rightChars="-20"/>
              <w:jc w:val="center"/>
              <w:rPr>
                <w:rFonts w:ascii="Arial" w:eastAsia="黑体" w:hAnsi="Arial" w:cs="Arial"/>
                <w:szCs w:val="20"/>
              </w:rPr>
            </w:pPr>
          </w:p>
        </w:tc>
        <w:tc>
          <w:tcPr>
            <w:tcW w:w="2586" w:type="pct"/>
            <w:gridSpan w:val="4"/>
          </w:tcPr>
          <w:p w14:paraId="2257B228">
            <w:pPr>
              <w:ind w:right="-42" w:rightChars="-20"/>
              <w:rPr>
                <w:rFonts w:ascii="Arial" w:eastAsia="黑体" w:hAnsi="Arial" w:cs="Arial"/>
                <w:szCs w:val="20"/>
              </w:rPr>
            </w:pPr>
            <w:r>
              <w:rPr>
                <w:rFonts w:ascii="Arial" w:eastAsia="黑体" w:hAnsi="Arial" w:cs="Arial" w:hint="eastAsia"/>
                <w:szCs w:val="20"/>
              </w:rPr>
              <w:t>技术人员     人</w:t>
            </w:r>
          </w:p>
        </w:tc>
      </w:tr>
      <w:tr w14:paraId="7BA693E7">
        <w:tblPrEx>
          <w:tblW w:w="5000" w:type="pct"/>
          <w:tblInd w:w="0" w:type="dxa"/>
          <w:tblCellMar>
            <w:top w:w="0" w:type="dxa"/>
            <w:left w:w="108" w:type="dxa"/>
            <w:bottom w:w="0" w:type="dxa"/>
            <w:right w:w="108" w:type="dxa"/>
          </w:tblCellMar>
        </w:tblPrEx>
        <w:trPr>
          <w:trHeight w:val="397"/>
        </w:trPr>
        <w:tc>
          <w:tcPr>
            <w:tcW w:w="796" w:type="pct"/>
            <w:vMerge/>
            <w:vAlign w:val="center"/>
          </w:tcPr>
          <w:p w14:paraId="440B7C9D">
            <w:pPr>
              <w:ind w:right="-42" w:rightChars="-20"/>
              <w:jc w:val="center"/>
              <w:rPr>
                <w:rFonts w:ascii="Arial" w:eastAsia="黑体" w:hAnsi="Arial" w:cs="Arial"/>
                <w:szCs w:val="20"/>
              </w:rPr>
            </w:pPr>
          </w:p>
        </w:tc>
        <w:tc>
          <w:tcPr>
            <w:tcW w:w="678" w:type="pct"/>
            <w:vAlign w:val="center"/>
          </w:tcPr>
          <w:p w14:paraId="6B247499">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7270F78C">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546D76F">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35878515">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20F411F6">
            <w:pPr>
              <w:ind w:right="-42" w:rightChars="-20"/>
              <w:jc w:val="center"/>
              <w:rPr>
                <w:rFonts w:ascii="Arial" w:eastAsia="黑体" w:hAnsi="Arial" w:cs="Arial"/>
                <w:szCs w:val="20"/>
              </w:rPr>
            </w:pPr>
            <w:r>
              <w:rPr>
                <w:rFonts w:ascii="Arial" w:eastAsia="黑体" w:hAnsi="Arial" w:cs="Arial"/>
                <w:szCs w:val="20"/>
              </w:rPr>
              <w:t>技工</w:t>
            </w:r>
          </w:p>
        </w:tc>
      </w:tr>
      <w:tr w14:paraId="6A6826F4">
        <w:tblPrEx>
          <w:tblW w:w="5000" w:type="pct"/>
          <w:tblInd w:w="0" w:type="dxa"/>
          <w:tblCellMar>
            <w:top w:w="0" w:type="dxa"/>
            <w:left w:w="108" w:type="dxa"/>
            <w:bottom w:w="0" w:type="dxa"/>
            <w:right w:w="108" w:type="dxa"/>
          </w:tblCellMar>
        </w:tblPrEx>
        <w:trPr>
          <w:trHeight w:val="397"/>
        </w:trPr>
        <w:tc>
          <w:tcPr>
            <w:tcW w:w="796" w:type="pct"/>
            <w:vMerge/>
            <w:vAlign w:val="center"/>
          </w:tcPr>
          <w:p w14:paraId="26D4DC61">
            <w:pPr>
              <w:ind w:right="-42" w:rightChars="-20"/>
              <w:jc w:val="center"/>
              <w:rPr>
                <w:rFonts w:ascii="Arial" w:eastAsia="黑体" w:hAnsi="Arial" w:cs="Arial"/>
                <w:szCs w:val="20"/>
              </w:rPr>
            </w:pPr>
          </w:p>
        </w:tc>
        <w:tc>
          <w:tcPr>
            <w:tcW w:w="678" w:type="pct"/>
            <w:vAlign w:val="center"/>
          </w:tcPr>
          <w:p w14:paraId="67D83B01">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2C5849FC">
            <w:pPr>
              <w:snapToGrid w:val="0"/>
              <w:ind w:right="-42" w:rightChars="-20"/>
              <w:rPr>
                <w:rFonts w:ascii="Arial" w:eastAsia="黑体" w:hAnsi="Arial" w:cs="Arial"/>
                <w:szCs w:val="20"/>
              </w:rPr>
            </w:pPr>
          </w:p>
        </w:tc>
        <w:tc>
          <w:tcPr>
            <w:tcW w:w="806" w:type="pct"/>
            <w:gridSpan w:val="2"/>
          </w:tcPr>
          <w:p w14:paraId="74224987">
            <w:pPr>
              <w:ind w:right="-42" w:rightChars="-20"/>
              <w:rPr>
                <w:rFonts w:ascii="Arial" w:eastAsia="黑体" w:hAnsi="Arial" w:cs="Arial"/>
                <w:szCs w:val="20"/>
              </w:rPr>
            </w:pPr>
          </w:p>
        </w:tc>
        <w:tc>
          <w:tcPr>
            <w:tcW w:w="757" w:type="pct"/>
          </w:tcPr>
          <w:p w14:paraId="28E48170">
            <w:pPr>
              <w:ind w:right="-42" w:rightChars="-20"/>
              <w:rPr>
                <w:rFonts w:ascii="Arial" w:eastAsia="黑体" w:hAnsi="Arial" w:cs="Arial"/>
                <w:szCs w:val="20"/>
              </w:rPr>
            </w:pPr>
          </w:p>
        </w:tc>
        <w:tc>
          <w:tcPr>
            <w:tcW w:w="1023" w:type="pct"/>
          </w:tcPr>
          <w:p w14:paraId="3B808D84">
            <w:pPr>
              <w:ind w:right="-42" w:rightChars="-20"/>
              <w:rPr>
                <w:rFonts w:ascii="Arial" w:eastAsia="黑体" w:hAnsi="Arial" w:cs="Arial"/>
                <w:szCs w:val="20"/>
              </w:rPr>
            </w:pPr>
          </w:p>
        </w:tc>
      </w:tr>
      <w:tr w14:paraId="562FB98C">
        <w:tblPrEx>
          <w:tblW w:w="5000" w:type="pct"/>
          <w:tblInd w:w="0" w:type="dxa"/>
          <w:tblCellMar>
            <w:top w:w="0" w:type="dxa"/>
            <w:left w:w="108" w:type="dxa"/>
            <w:bottom w:w="0" w:type="dxa"/>
            <w:right w:w="108" w:type="dxa"/>
          </w:tblCellMar>
        </w:tblPrEx>
        <w:trPr>
          <w:trHeight w:val="397"/>
        </w:trPr>
        <w:tc>
          <w:tcPr>
            <w:tcW w:w="796" w:type="pct"/>
            <w:vMerge/>
            <w:vAlign w:val="center"/>
          </w:tcPr>
          <w:p w14:paraId="545D316D">
            <w:pPr>
              <w:ind w:right="-42" w:rightChars="-20"/>
              <w:jc w:val="center"/>
              <w:rPr>
                <w:rFonts w:ascii="Arial" w:eastAsia="黑体" w:hAnsi="Arial" w:cs="Arial"/>
                <w:szCs w:val="20"/>
              </w:rPr>
            </w:pPr>
          </w:p>
        </w:tc>
        <w:tc>
          <w:tcPr>
            <w:tcW w:w="678" w:type="pct"/>
            <w:vMerge w:val="restart"/>
            <w:vAlign w:val="center"/>
          </w:tcPr>
          <w:p w14:paraId="1982538F">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7DE091BF">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759BC910">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467CEF40">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4F30E941">
            <w:pPr>
              <w:ind w:right="-42" w:firstLine="840" w:rightChars="-20" w:firstLineChars="400"/>
              <w:rPr>
                <w:rFonts w:ascii="Arial" w:eastAsia="黑体" w:hAnsi="Arial" w:cs="Arial"/>
                <w:szCs w:val="20"/>
              </w:rPr>
            </w:pPr>
            <w:r>
              <w:rPr>
                <w:rFonts w:ascii="Arial" w:eastAsia="黑体" w:hAnsi="Arial" w:cs="Arial"/>
                <w:szCs w:val="20"/>
              </w:rPr>
              <w:t>万元</w:t>
            </w:r>
          </w:p>
        </w:tc>
      </w:tr>
      <w:tr w14:paraId="2794B9F0">
        <w:tblPrEx>
          <w:tblW w:w="5000" w:type="pct"/>
          <w:tblInd w:w="0" w:type="dxa"/>
          <w:tblCellMar>
            <w:top w:w="0" w:type="dxa"/>
            <w:left w:w="108" w:type="dxa"/>
            <w:bottom w:w="0" w:type="dxa"/>
            <w:right w:w="108" w:type="dxa"/>
          </w:tblCellMar>
        </w:tblPrEx>
        <w:trPr>
          <w:trHeight w:val="397"/>
        </w:trPr>
        <w:tc>
          <w:tcPr>
            <w:tcW w:w="796" w:type="pct"/>
            <w:vMerge/>
            <w:vAlign w:val="center"/>
          </w:tcPr>
          <w:p w14:paraId="052A8BBE">
            <w:pPr>
              <w:ind w:right="-42" w:rightChars="-20"/>
              <w:jc w:val="center"/>
              <w:rPr>
                <w:rFonts w:ascii="Arial" w:eastAsia="黑体" w:hAnsi="Arial" w:cs="Arial"/>
                <w:szCs w:val="20"/>
              </w:rPr>
            </w:pPr>
          </w:p>
        </w:tc>
        <w:tc>
          <w:tcPr>
            <w:tcW w:w="678" w:type="pct"/>
            <w:vMerge/>
            <w:vAlign w:val="center"/>
          </w:tcPr>
          <w:p w14:paraId="1A9C5653">
            <w:pPr>
              <w:snapToGrid w:val="0"/>
              <w:ind w:right="-42" w:rightChars="-20"/>
              <w:rPr>
                <w:rFonts w:ascii="Arial" w:eastAsia="黑体" w:hAnsi="Arial" w:cs="Arial"/>
                <w:szCs w:val="20"/>
              </w:rPr>
            </w:pPr>
          </w:p>
        </w:tc>
        <w:tc>
          <w:tcPr>
            <w:tcW w:w="940" w:type="pct"/>
            <w:gridSpan w:val="3"/>
            <w:vMerge/>
            <w:vAlign w:val="center"/>
          </w:tcPr>
          <w:p w14:paraId="7E859B67">
            <w:pPr>
              <w:snapToGrid w:val="0"/>
              <w:ind w:right="-42" w:rightChars="-20"/>
              <w:rPr>
                <w:rFonts w:ascii="Arial" w:eastAsia="黑体" w:hAnsi="Arial" w:cs="Arial"/>
                <w:szCs w:val="20"/>
              </w:rPr>
            </w:pPr>
          </w:p>
        </w:tc>
        <w:tc>
          <w:tcPr>
            <w:tcW w:w="806" w:type="pct"/>
            <w:gridSpan w:val="2"/>
            <w:vMerge/>
            <w:vAlign w:val="center"/>
          </w:tcPr>
          <w:p w14:paraId="13D9FFAB">
            <w:pPr>
              <w:ind w:right="-42" w:rightChars="-20"/>
              <w:jc w:val="center"/>
              <w:rPr>
                <w:rFonts w:ascii="Arial" w:eastAsia="黑体" w:hAnsi="Arial" w:cs="Arial"/>
                <w:szCs w:val="20"/>
              </w:rPr>
            </w:pPr>
          </w:p>
        </w:tc>
        <w:tc>
          <w:tcPr>
            <w:tcW w:w="757" w:type="pct"/>
            <w:vAlign w:val="center"/>
          </w:tcPr>
          <w:p w14:paraId="07DACDFC">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3E47C8C6">
            <w:pPr>
              <w:ind w:right="-42" w:firstLine="840" w:rightChars="-20" w:firstLineChars="400"/>
              <w:rPr>
                <w:rFonts w:ascii="Arial" w:eastAsia="黑体" w:hAnsi="Arial" w:cs="Arial"/>
                <w:szCs w:val="20"/>
              </w:rPr>
            </w:pPr>
            <w:r>
              <w:rPr>
                <w:rFonts w:ascii="Arial" w:eastAsia="黑体" w:hAnsi="Arial" w:cs="Arial"/>
                <w:szCs w:val="20"/>
              </w:rPr>
              <w:t>万元</w:t>
            </w:r>
          </w:p>
        </w:tc>
      </w:tr>
      <w:tr w14:paraId="5A92003D">
        <w:tblPrEx>
          <w:tblW w:w="5000" w:type="pct"/>
          <w:tblInd w:w="0" w:type="dxa"/>
          <w:tblCellMar>
            <w:top w:w="0" w:type="dxa"/>
            <w:left w:w="108" w:type="dxa"/>
            <w:bottom w:w="0" w:type="dxa"/>
            <w:right w:w="108" w:type="dxa"/>
          </w:tblCellMar>
        </w:tblPrEx>
        <w:trPr>
          <w:trHeight w:val="397"/>
        </w:trPr>
        <w:tc>
          <w:tcPr>
            <w:tcW w:w="796" w:type="pct"/>
            <w:vMerge/>
            <w:vAlign w:val="center"/>
          </w:tcPr>
          <w:p w14:paraId="212392AD">
            <w:pPr>
              <w:ind w:right="-42" w:rightChars="-20"/>
              <w:jc w:val="center"/>
              <w:rPr>
                <w:rFonts w:ascii="Arial" w:eastAsia="黑体" w:hAnsi="Arial" w:cs="Arial"/>
                <w:szCs w:val="20"/>
              </w:rPr>
            </w:pPr>
          </w:p>
        </w:tc>
        <w:tc>
          <w:tcPr>
            <w:tcW w:w="678" w:type="pct"/>
            <w:vAlign w:val="center"/>
          </w:tcPr>
          <w:p w14:paraId="60836CF5">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3AE89FB6">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C94EE9D">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764790FB">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C1CA9DE">
            <w:pPr>
              <w:ind w:right="-42" w:firstLine="840" w:rightChars="-20" w:firstLineChars="400"/>
              <w:rPr>
                <w:rFonts w:ascii="Arial" w:eastAsia="黑体" w:hAnsi="Arial" w:cs="Arial"/>
                <w:szCs w:val="20"/>
              </w:rPr>
            </w:pPr>
            <w:r>
              <w:rPr>
                <w:rFonts w:ascii="Arial" w:eastAsia="黑体" w:hAnsi="Arial" w:cs="Arial"/>
                <w:szCs w:val="20"/>
              </w:rPr>
              <w:t>万元</w:t>
            </w:r>
          </w:p>
        </w:tc>
      </w:tr>
      <w:tr w14:paraId="4AB3743F">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2194A76">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510AFC70">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570A1486">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2892CD92">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735ED547">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378843F9">
            <w:pPr>
              <w:ind w:right="-42" w:rightChars="-20"/>
              <w:jc w:val="center"/>
              <w:rPr>
                <w:rFonts w:ascii="Arial" w:eastAsia="黑体" w:hAnsi="Arial" w:cs="Arial"/>
                <w:szCs w:val="20"/>
              </w:rPr>
            </w:pPr>
            <w:r>
              <w:rPr>
                <w:rFonts w:ascii="Arial" w:eastAsia="黑体" w:hAnsi="Arial" w:cs="Arial"/>
                <w:szCs w:val="20"/>
              </w:rPr>
              <w:t>负债总额</w:t>
            </w:r>
          </w:p>
        </w:tc>
      </w:tr>
      <w:tr w14:paraId="09B0AFD3">
        <w:tblPrEx>
          <w:tblW w:w="5000" w:type="pct"/>
          <w:tblInd w:w="0" w:type="dxa"/>
          <w:tblCellMar>
            <w:top w:w="0" w:type="dxa"/>
            <w:left w:w="108" w:type="dxa"/>
            <w:bottom w:w="0" w:type="dxa"/>
            <w:right w:w="108" w:type="dxa"/>
          </w:tblCellMar>
        </w:tblPrEx>
        <w:trPr>
          <w:trHeight w:val="397"/>
        </w:trPr>
        <w:tc>
          <w:tcPr>
            <w:tcW w:w="796" w:type="pct"/>
            <w:vMerge/>
            <w:vAlign w:val="center"/>
          </w:tcPr>
          <w:p w14:paraId="0B564E9B">
            <w:pPr>
              <w:ind w:right="-42" w:rightChars="-20"/>
              <w:jc w:val="center"/>
              <w:rPr>
                <w:rFonts w:ascii="Arial" w:eastAsia="黑体" w:hAnsi="Arial" w:cs="Arial"/>
                <w:szCs w:val="20"/>
              </w:rPr>
            </w:pPr>
          </w:p>
        </w:tc>
        <w:tc>
          <w:tcPr>
            <w:tcW w:w="678" w:type="pct"/>
            <w:vAlign w:val="center"/>
          </w:tcPr>
          <w:p w14:paraId="5D0675EA">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33AFD0BA">
            <w:pPr>
              <w:snapToGrid w:val="0"/>
              <w:ind w:right="-42" w:rightChars="-20"/>
              <w:rPr>
                <w:rFonts w:ascii="Arial" w:eastAsia="黑体" w:hAnsi="Arial" w:cs="Arial"/>
                <w:szCs w:val="20"/>
              </w:rPr>
            </w:pPr>
          </w:p>
        </w:tc>
        <w:tc>
          <w:tcPr>
            <w:tcW w:w="806" w:type="pct"/>
            <w:gridSpan w:val="2"/>
            <w:vAlign w:val="center"/>
          </w:tcPr>
          <w:p w14:paraId="6C519541">
            <w:pPr>
              <w:ind w:right="-42" w:rightChars="-20"/>
              <w:rPr>
                <w:rFonts w:ascii="Arial" w:eastAsia="黑体" w:hAnsi="Arial" w:cs="Arial"/>
                <w:szCs w:val="20"/>
              </w:rPr>
            </w:pPr>
          </w:p>
        </w:tc>
        <w:tc>
          <w:tcPr>
            <w:tcW w:w="757" w:type="pct"/>
            <w:vAlign w:val="center"/>
          </w:tcPr>
          <w:p w14:paraId="35B34B47">
            <w:pPr>
              <w:ind w:right="-42" w:rightChars="-20"/>
              <w:rPr>
                <w:rFonts w:ascii="Arial" w:eastAsia="黑体" w:hAnsi="Arial" w:cs="Arial"/>
                <w:szCs w:val="20"/>
              </w:rPr>
            </w:pPr>
          </w:p>
        </w:tc>
        <w:tc>
          <w:tcPr>
            <w:tcW w:w="1023" w:type="pct"/>
            <w:vAlign w:val="center"/>
          </w:tcPr>
          <w:p w14:paraId="16248A4D">
            <w:pPr>
              <w:ind w:right="-42" w:rightChars="-20"/>
              <w:rPr>
                <w:rFonts w:ascii="Arial" w:eastAsia="黑体" w:hAnsi="Arial" w:cs="Arial"/>
                <w:szCs w:val="20"/>
              </w:rPr>
            </w:pPr>
          </w:p>
        </w:tc>
      </w:tr>
    </w:tbl>
    <w:p w14:paraId="1BEB6BF7">
      <w:pPr>
        <w:tabs>
          <w:tab w:val="left" w:pos="5580"/>
        </w:tabs>
        <w:adjustRightInd w:val="0"/>
        <w:snapToGrid w:val="0"/>
        <w:spacing w:line="360" w:lineRule="auto"/>
        <w:jc w:val="center"/>
        <w:rPr>
          <w:rFonts w:ascii="宋体" w:eastAsia="宋体" w:hAnsi="宋体" w:cs="Times New Roman"/>
          <w:szCs w:val="21"/>
        </w:rPr>
      </w:pPr>
    </w:p>
    <w:p w14:paraId="552AA4AF">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7" w:name="OLE_LINK46"/>
      <w:r>
        <w:rPr>
          <w:rFonts w:ascii="Times New Roman" w:eastAsia="宋体" w:hAnsi="Times New Roman" w:cs="Times New Roman" w:hint="eastAsia"/>
          <w:szCs w:val="20"/>
        </w:rPr>
        <w:t>“微型企业”。</w:t>
      </w:r>
      <w:bookmarkEnd w:id="7"/>
      <w:r>
        <w:rPr>
          <w:rFonts w:ascii="Times New Roman" w:eastAsia="宋体" w:hAnsi="Times New Roman" w:cs="Times New Roman" w:hint="eastAsia"/>
          <w:szCs w:val="20"/>
        </w:rPr>
        <w:t>属于监狱企业的应填写为“监狱企业”，属于残疾人福利性单位的应填写为“残疾人福利性单位”。</w:t>
      </w:r>
    </w:p>
    <w:p w14:paraId="411DB8CA">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14AAB69"/>
    <w:p w14:paraId="2661F01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2A7E8921">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如响应人提交的响应文件商务条款及合同条款与磋商文件的要求存在偏离，需逐项填写；如响应人完全满足磋商文件的要求，则需应答“完全满足磋商文件的全部要求”；如</w:t>
      </w:r>
      <w:r>
        <w:rPr>
          <w:rFonts w:ascii="Times New Roman" w:eastAsia="宋体" w:hAnsi="Times New Roman" w:cs="Times New Roman" w:hint="eastAsia"/>
          <w:szCs w:val="20"/>
        </w:rPr>
        <w:t>项目分包的，应</w:t>
      </w:r>
      <w:r>
        <w:rPr>
          <w:rFonts w:ascii="Times New Roman" w:eastAsia="宋体" w:hAnsi="Times New Roman" w:cs="Times New Roman" w:hint="eastAsia"/>
          <w:szCs w:val="20"/>
        </w:rPr>
        <w:t>以包为单位分别填写；如未逐包分别填写，可能导致的不利后果由响应人承担。</w:t>
      </w:r>
    </w:p>
    <w:p w14:paraId="2BDB44F3">
      <w:pPr>
        <w:tabs>
          <w:tab w:val="left" w:pos="1573"/>
        </w:tabs>
        <w:adjustRightInd w:val="0"/>
        <w:snapToGrid w:val="0"/>
        <w:spacing w:line="360" w:lineRule="auto"/>
        <w:ind w:firstLine="412" w:firstLineChars="196"/>
        <w:rPr>
          <w:rFonts w:ascii="宋体" w:eastAsia="宋体" w:hAnsi="宋体" w:cs="Times New Roman"/>
          <w:szCs w:val="21"/>
        </w:rPr>
      </w:pPr>
    </w:p>
    <w:p w14:paraId="256491D1">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F950560">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25CDE546">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4674417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48D1DE8">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1701" w:type="dxa"/>
            <w:vAlign w:val="center"/>
          </w:tcPr>
          <w:p w14:paraId="675EAF3C">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磋商文件商务文件要求</w:t>
            </w:r>
          </w:p>
        </w:tc>
        <w:tc>
          <w:tcPr>
            <w:tcW w:w="1843" w:type="dxa"/>
            <w:vAlign w:val="center"/>
          </w:tcPr>
          <w:p w14:paraId="1188B181">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525A2F7A">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3DA7E881">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0CAB4C8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BC5F20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D5A7D5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876404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256C9A3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18F27ED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68A75E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0886B24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61A645B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263D10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08ECC0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84C75F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1FA6F9D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44C339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2B2F706B">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EC0248B">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793541C2">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C3F976C"/>
    <w:p w14:paraId="125B870F">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4E4AA36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2EDB58F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401D0BD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24139F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06D9E3E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414A7AB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7961D6A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6448363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0000C60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0B49FFE1">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191F9CDB">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79CCCEA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1E3BF39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455ED0F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5549FD3">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5E961AC">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045F26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B9BA130">
      <w:pPr>
        <w:adjustRightInd w:val="0"/>
        <w:snapToGrid w:val="0"/>
        <w:spacing w:line="360" w:lineRule="auto"/>
        <w:ind w:firstLine="412" w:firstLineChars="196"/>
        <w:rPr>
          <w:rFonts w:ascii="Times New Roman" w:eastAsia="宋体" w:hAnsi="Times New Roman" w:cs="Times New Roman"/>
          <w:szCs w:val="20"/>
        </w:rPr>
      </w:pPr>
    </w:p>
    <w:p w14:paraId="7C1120A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8" w:name="_Hlt509739007"/>
      <w:bookmarkEnd w:id="8"/>
      <w:r>
        <w:rPr>
          <w:rFonts w:ascii="宋体" w:eastAsia="宋体" w:hAnsi="宋体" w:cs="Times New Roman" w:hint="eastAsia"/>
          <w:b/>
          <w:szCs w:val="21"/>
        </w:rPr>
        <w:t>2.10.6响应人信用查询记录。</w:t>
      </w:r>
    </w:p>
    <w:p w14:paraId="720481C1">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w:t>
      </w:r>
      <w:r>
        <w:rPr>
          <w:rFonts w:ascii="宋体" w:eastAsia="宋体" w:hAnsi="宋体" w:cs="Times New Roman" w:hint="eastAsia"/>
          <w:szCs w:val="21"/>
        </w:rPr>
        <w:t>磋商文件发出</w:t>
      </w:r>
      <w:r>
        <w:rPr>
          <w:rFonts w:ascii="宋体" w:eastAsia="宋体" w:hAnsi="宋体" w:cs="Times New Roman" w:hint="eastAsia"/>
          <w:szCs w:val="20"/>
        </w:rPr>
        <w:t>之日后。</w:t>
      </w:r>
    </w:p>
    <w:p w14:paraId="7D91982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7FA3C71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Times New Roman" w:eastAsia="宋体" w:hAnsi="Times New Roman" w:cs="Times New Roman" w:hint="eastAsia"/>
          <w:kern w:val="0"/>
          <w:szCs w:val="20"/>
        </w:rPr>
        <w:t>且所载产品名称、规格型号应与响应货物的名称、规格型号一致</w:t>
      </w:r>
      <w:r>
        <w:rPr>
          <w:rFonts w:ascii="Times New Roman" w:eastAsia="宋体" w:hAnsi="Times New Roman" w:cs="Times New Roman" w:hint="eastAsia"/>
          <w:szCs w:val="20"/>
        </w:rPr>
        <w:t>。</w:t>
      </w:r>
    </w:p>
    <w:p w14:paraId="35E451C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1AF0B350">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2E21297A">
      <w:pPr>
        <w:adjustRightInd w:val="0"/>
        <w:snapToGrid w:val="0"/>
        <w:spacing w:line="360" w:lineRule="auto"/>
        <w:ind w:firstLine="412" w:firstLineChars="196"/>
        <w:rPr>
          <w:rFonts w:ascii="宋体" w:eastAsia="宋体" w:hAnsi="宋体" w:cs="Times New Roman"/>
          <w:szCs w:val="20"/>
        </w:rPr>
      </w:pPr>
    </w:p>
    <w:p w14:paraId="129FF0AD">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01A4666C">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438E3DD4">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2BDC6693">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磋商邀请要求提供的由我方制造的货物的有关事宜，并对我方具有约束力。</w:t>
      </w:r>
    </w:p>
    <w:p w14:paraId="0DF1CB1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（2）作为制造商，我方保证以响应合作者来约束自己，并对该响应共同和分别承担磋商文件中所规定的义务。</w:t>
      </w:r>
    </w:p>
    <w:p w14:paraId="584453B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323698E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4D5B4B8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7AC1008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2810F8C1">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0B8A121B">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62EC6EF2">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DF0225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0ABE51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9"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212B5C71">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格式文本中，除可填报内容外，对内容的任何实质性修改将被视为相关要求未得到响应，从而导致该响应被拒绝或者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14:paraId="5842AA56">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38495826">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1BB43C8B">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3B7B9F5E">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0E8D4062">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22AE5869">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（磋商文件中明确的所属行业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933E41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0CF0A89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70132D2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20B1E1B7">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1391790F">
      <w:pPr>
        <w:autoSpaceDN w:val="0"/>
        <w:spacing w:line="440" w:lineRule="exact"/>
        <w:ind w:right="170"/>
        <w:rPr>
          <w:rFonts w:ascii="华文楷体" w:eastAsia="华文楷体" w:hAnsi="华文楷体" w:cs="仿宋_GB2312"/>
          <w:szCs w:val="21"/>
        </w:rPr>
      </w:pPr>
    </w:p>
    <w:p w14:paraId="3163D3E1">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0EA0C82E">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2082DEC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1166916">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7231FF4F">
      <w:pPr>
        <w:tabs>
          <w:tab w:val="left" w:pos="1573"/>
        </w:tabs>
        <w:autoSpaceDN w:val="0"/>
        <w:adjustRightInd w:val="0"/>
        <w:snapToGrid w:val="0"/>
        <w:spacing w:line="360" w:lineRule="auto"/>
        <w:jc w:val="center"/>
        <w:rPr>
          <w:rFonts w:ascii="华文楷体" w:eastAsia="华文楷体" w:hAnsi="华文楷体" w:cs="仿宋_GB2312"/>
          <w:b/>
          <w:szCs w:val="21"/>
        </w:rPr>
      </w:pPr>
    </w:p>
    <w:p w14:paraId="3C609E1D">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0E2227A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166E9F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61EDFDBC">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4D1A8F48">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3903B952">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6DF9959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C7D7A86">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29A3C030">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6CD5E01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17303B00">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45A6B42B">
      <w:pPr>
        <w:tabs>
          <w:tab w:val="left" w:pos="1573"/>
        </w:tabs>
        <w:autoSpaceDN w:val="0"/>
        <w:adjustRightInd w:val="0"/>
        <w:snapToGrid w:val="0"/>
        <w:spacing w:line="360" w:lineRule="auto"/>
        <w:rPr>
          <w:rFonts w:ascii="宋体" w:eastAsia="宋体" w:hAnsi="宋体" w:cs="Times New Roman"/>
          <w:b/>
          <w:szCs w:val="21"/>
        </w:rPr>
      </w:pPr>
    </w:p>
    <w:p w14:paraId="51A5CF76">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15B5A86A">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A723BF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45FC050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4FE21500">
      <w:pPr>
        <w:spacing w:line="360" w:lineRule="auto"/>
        <w:ind w:firstLine="420" w:firstLineChars="200"/>
        <w:rPr>
          <w:rFonts w:ascii="华文楷体" w:eastAsia="华文楷体" w:hAnsi="华文楷体" w:cs="仿宋_GB2312"/>
          <w:szCs w:val="21"/>
          <w:u w:val="single"/>
        </w:rPr>
      </w:pPr>
      <w:bookmarkStart w:id="10" w:name="_Toc15561_WPSOffice_Level2"/>
      <w:bookmarkStart w:id="11" w:name="_Toc23749_WPSOffice_Level2"/>
      <w:r>
        <w:rPr>
          <w:rFonts w:ascii="华文楷体" w:eastAsia="华文楷体" w:hAnsi="华文楷体" w:cs="仿宋_GB2312" w:hint="eastAsia"/>
          <w:szCs w:val="21"/>
        </w:rPr>
        <w:t>1.</w:t>
      </w:r>
      <w:bookmarkEnd w:id="10"/>
      <w:bookmarkEnd w:id="11"/>
      <w:r>
        <w:rPr>
          <w:rFonts w:ascii="华文楷体" w:eastAsia="华文楷体" w:hAnsi="华文楷体" w:cs="仿宋_GB2312" w:hint="eastAsia"/>
          <w:szCs w:val="21"/>
          <w:u w:val="single"/>
        </w:rPr>
        <w:t xml:space="preserve">                  </w:t>
      </w:r>
    </w:p>
    <w:p w14:paraId="6BB13364">
      <w:pPr>
        <w:spacing w:line="360" w:lineRule="auto"/>
        <w:ind w:firstLine="420" w:firstLineChars="200"/>
        <w:rPr>
          <w:rFonts w:ascii="华文楷体" w:eastAsia="华文楷体" w:hAnsi="华文楷体" w:cs="仿宋_GB2312"/>
          <w:szCs w:val="21"/>
        </w:rPr>
      </w:pPr>
      <w:bookmarkStart w:id="12" w:name="_Toc405_WPSOffice_Level2"/>
      <w:bookmarkStart w:id="13" w:name="_Toc22173_WPSOffice_Level2"/>
      <w:r>
        <w:rPr>
          <w:rFonts w:ascii="华文楷体" w:eastAsia="华文楷体" w:hAnsi="华文楷体" w:cs="仿宋_GB2312" w:hint="eastAsia"/>
          <w:szCs w:val="21"/>
        </w:rPr>
        <w:t>2.</w:t>
      </w:r>
      <w:bookmarkEnd w:id="12"/>
      <w:bookmarkEnd w:id="13"/>
      <w:r>
        <w:rPr>
          <w:rFonts w:ascii="华文楷体" w:eastAsia="华文楷体" w:hAnsi="华文楷体" w:cs="仿宋_GB2312" w:hint="eastAsia"/>
          <w:szCs w:val="21"/>
          <w:u w:val="single"/>
        </w:rPr>
        <w:t xml:space="preserve">                  </w:t>
      </w:r>
    </w:p>
    <w:p w14:paraId="21B66163">
      <w:pPr>
        <w:spacing w:line="360" w:lineRule="auto"/>
        <w:ind w:firstLine="420" w:firstLineChars="200"/>
        <w:rPr>
          <w:rFonts w:ascii="华文楷体" w:eastAsia="华文楷体" w:hAnsi="华文楷体" w:cs="仿宋_GB2312"/>
          <w:szCs w:val="21"/>
        </w:rPr>
      </w:pPr>
      <w:bookmarkStart w:id="14" w:name="_Toc23482_WPSOffice_Level2"/>
      <w:bookmarkStart w:id="15" w:name="_Toc7084_WPSOffice_Level2"/>
      <w:r>
        <w:rPr>
          <w:rFonts w:ascii="华文楷体" w:eastAsia="华文楷体" w:hAnsi="华文楷体" w:cs="仿宋_GB2312" w:hint="eastAsia"/>
          <w:szCs w:val="21"/>
        </w:rPr>
        <w:t>3.</w:t>
      </w:r>
      <w:bookmarkEnd w:id="14"/>
      <w:bookmarkEnd w:id="15"/>
      <w:r>
        <w:rPr>
          <w:rFonts w:ascii="华文楷体" w:eastAsia="华文楷体" w:hAnsi="华文楷体" w:cs="仿宋_GB2312" w:hint="eastAsia"/>
          <w:szCs w:val="21"/>
          <w:u w:val="single"/>
        </w:rPr>
        <w:t xml:space="preserve">                  </w:t>
      </w:r>
    </w:p>
    <w:p w14:paraId="1EE0EC5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3FFFD956">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1447C10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四、联合体将严格按照磋商文件的各项要求，递交响应文件，参加响应，履行成交义务和成交后的合同，并向采购人承担连带责任。</w:t>
      </w:r>
    </w:p>
    <w:p w14:paraId="19B8B7DD">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7B657F1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5CEF453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3B667B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130475FC">
      <w:pPr>
        <w:spacing w:line="360" w:lineRule="auto"/>
        <w:ind w:firstLine="420" w:firstLineChars="200"/>
        <w:rPr>
          <w:rFonts w:ascii="华文楷体" w:eastAsia="华文楷体" w:hAnsi="华文楷体" w:cs="仿宋_GB2312"/>
          <w:szCs w:val="21"/>
        </w:rPr>
      </w:pPr>
    </w:p>
    <w:p w14:paraId="49BA31BD">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13F35F54">
      <w:pPr>
        <w:spacing w:line="360" w:lineRule="auto"/>
        <w:ind w:firstLine="2835" w:firstLineChars="1350"/>
        <w:rPr>
          <w:rFonts w:ascii="华文楷体" w:eastAsia="华文楷体" w:hAnsi="华文楷体" w:cs="仿宋_GB2312"/>
          <w:szCs w:val="21"/>
        </w:rPr>
      </w:pPr>
    </w:p>
    <w:p w14:paraId="09FB0D49">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5332C3A6">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7C1F2D82">
      <w:pPr>
        <w:spacing w:line="360" w:lineRule="exact"/>
        <w:ind w:right="1050" w:firstLine="2835" w:rightChars="500" w:firstLineChars="1350"/>
        <w:jc w:val="left"/>
        <w:rPr>
          <w:rFonts w:ascii="华文楷体" w:eastAsia="华文楷体" w:hAnsi="华文楷体" w:cs="仿宋_GB2312"/>
          <w:szCs w:val="21"/>
        </w:rPr>
      </w:pPr>
    </w:p>
    <w:p w14:paraId="3F7100C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2A965720">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77C4BF7D">
      <w:pPr>
        <w:spacing w:line="360" w:lineRule="exact"/>
        <w:ind w:right="1050" w:firstLine="2835" w:rightChars="500" w:firstLineChars="1350"/>
        <w:jc w:val="left"/>
        <w:rPr>
          <w:rFonts w:ascii="华文楷体" w:eastAsia="华文楷体" w:hAnsi="华文楷体" w:cs="仿宋_GB2312"/>
          <w:szCs w:val="21"/>
        </w:rPr>
      </w:pPr>
    </w:p>
    <w:p w14:paraId="29859F24">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19437040">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450A2E2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4384F48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5CBBD5A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13E41261">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66DBBBD0">
      <w:pPr>
        <w:autoSpaceDN w:val="0"/>
        <w:spacing w:line="440" w:lineRule="exact"/>
        <w:ind w:firstLine="420" w:firstLineChars="200"/>
        <w:rPr>
          <w:rFonts w:ascii="华文楷体" w:eastAsia="华文楷体" w:hAnsi="华文楷体" w:cs="仿宋_GB2312"/>
          <w:szCs w:val="21"/>
        </w:rPr>
      </w:pPr>
    </w:p>
    <w:p w14:paraId="16B1792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4DD7FB4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439163E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716D4C6">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670F08D9">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4051859A">
      <w:pPr>
        <w:tabs>
          <w:tab w:val="left" w:pos="1573"/>
        </w:tabs>
        <w:autoSpaceDN w:val="0"/>
        <w:adjustRightInd w:val="0"/>
        <w:snapToGrid w:val="0"/>
        <w:spacing w:line="360" w:lineRule="auto"/>
        <w:rPr>
          <w:rFonts w:ascii="宋体" w:eastAsia="宋体" w:hAnsi="宋体" w:cs="Times New Roman"/>
          <w:b/>
          <w:szCs w:val="21"/>
        </w:rPr>
      </w:pPr>
    </w:p>
    <w:bookmarkEnd w:id="9"/>
    <w:p w14:paraId="4DCB25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2FD988A8">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36F63E85"/>
    <w:p w14:paraId="671AD4F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1银行保函或磋商保证金说明函</w:t>
      </w:r>
    </w:p>
    <w:p w14:paraId="72C6EB73">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473AA6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需用带银行抬头的格式纸出具，使用银行保函提交磋商保证金的响应人提供。本项目不要求提交磋商保证金的，不提供。</w:t>
      </w:r>
    </w:p>
    <w:p w14:paraId="1819FE9C">
      <w:pPr>
        <w:rPr>
          <w:rFonts w:ascii="宋体" w:eastAsia="宋体" w:hAnsi="Courier New" w:cs="Times New Roman"/>
          <w:szCs w:val="21"/>
        </w:rPr>
      </w:pPr>
    </w:p>
    <w:p w14:paraId="6608720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6FF55995">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45002C0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728DDB8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（以下简称“响应人”）对中国气象局政府采购中心的磋商邀请提供的银行保函。响应项目名称为：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4E9EC88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4D141D0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1、响应人不接受按照磋商文件规定的方法对其响应价格算术错误更正的；</w:t>
      </w:r>
    </w:p>
    <w:p w14:paraId="2843CB4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7FE5B3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1FC3689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1349AC1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460F752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707DBA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23D8270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02A946D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7740A94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73A382D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00AF45E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4511B9B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7033169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D4F8A51">
      <w:pPr>
        <w:adjustRightInd w:val="0"/>
        <w:snapToGrid w:val="0"/>
        <w:spacing w:line="360" w:lineRule="auto"/>
        <w:ind w:firstLine="420" w:firstLineChars="200"/>
        <w:jc w:val="left"/>
        <w:rPr>
          <w:rFonts w:ascii="宋体" w:eastAsia="宋体" w:hAnsi="宋体" w:cs="Times New Roman"/>
          <w:szCs w:val="21"/>
        </w:rPr>
      </w:pPr>
    </w:p>
    <w:p w14:paraId="66AD44B7">
      <w:pPr>
        <w:tabs>
          <w:tab w:val="left" w:pos="1573"/>
        </w:tabs>
        <w:adjustRightInd w:val="0"/>
        <w:snapToGrid w:val="0"/>
        <w:spacing w:line="360" w:lineRule="auto"/>
        <w:ind w:firstLine="412" w:firstLineChars="196"/>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1.2磋商保证金说明函</w:t>
      </w:r>
    </w:p>
    <w:p w14:paraId="6D624CF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使用银行信汇、电汇、银行汇票缴纳磋商保证金的响应人提供。汇款凭证复印件应作为附件。本项目不要求提交磋商保证金的，不提供。</w:t>
      </w:r>
    </w:p>
    <w:p w14:paraId="7215AF53">
      <w:pPr>
        <w:adjustRightInd w:val="0"/>
        <w:snapToGrid w:val="0"/>
        <w:spacing w:line="360" w:lineRule="auto"/>
        <w:ind w:firstLine="420" w:firstLineChars="200"/>
        <w:jc w:val="left"/>
        <w:rPr>
          <w:rFonts w:ascii="宋体" w:eastAsia="宋体" w:hAnsi="宋体" w:cs="Times New Roman"/>
          <w:szCs w:val="21"/>
        </w:rPr>
      </w:pPr>
    </w:p>
    <w:p w14:paraId="1BBDC1D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4DDD349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09FD589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l、磋商保证金金额人民币(大写)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4784870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6001BA0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2C023E4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(2)成交供应商不按本磋商文件规定与采购人签订合同的；</w:t>
      </w:r>
    </w:p>
    <w:p w14:paraId="3029CC9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(3)成交供应商不按本磋商文件的规定提交履约保证金的；</w:t>
      </w:r>
    </w:p>
    <w:p w14:paraId="2A63A0E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(4)成交供应商不按本磋商文件的规定缴纳代理服务费的。</w:t>
      </w:r>
    </w:p>
    <w:p w14:paraId="18929E0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53EEB59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0F3C5137">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09371FC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770455A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2171C20"/>
    <w:p w14:paraId="544F066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2A93B34C">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p>
    <w:p w14:paraId="2CA72F59"/>
    <w:p w14:paraId="4E855F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74E0E4D8">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1BF73F57"/>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5"/>
    </w:p>
    <w:p w14:paraId="1CDE8B25">
      <w:pPr>
        <w:adjustRightInd w:val="0"/>
        <w:snapToGrid w:val="0"/>
        <w:spacing w:line="360" w:lineRule="auto"/>
        <w:ind w:firstLine="420"/>
        <w:outlineLvl w:val="9"/>
        <w:rPr>
          <w:rFonts w:ascii="宋体" w:eastAsia="宋体" w:hAnsi="宋体" w:cs="Times New Roman"/>
          <w:b/>
          <w:bCs/>
          <w:szCs w:val="44"/>
        </w:rPr>
      </w:pPr>
    </w:p>
    <w:p w14:paraId="1C7E712D">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bookmarkEnd w:id="4"/>
    <w:p w14:paraId="40586630">
      <w:pPr>
        <w:adjustRightInd w:val="0"/>
        <w:snapToGrid w:val="0"/>
        <w:spacing w:line="360" w:lineRule="auto"/>
        <w:ind w:firstLine="420"/>
        <w:outlineLvl w:val="3"/>
        <w:rPr>
          <w:rFonts w:ascii="宋体" w:eastAsia="宋体" w:hAnsi="宋体" w:cs="Times New Roman"/>
          <w:b/>
          <w:szCs w:val="21"/>
        </w:rPr>
      </w:pPr>
      <w:bookmarkStart w:id="16" w:name="插入_投标文件技术部分"/>
      <w:r>
        <w:rPr>
          <w:rFonts w:ascii="宋体" w:eastAsia="宋体" w:hAnsi="宋体" w:cs="Times New Roman" w:hint="eastAsia"/>
          <w:b/>
          <w:szCs w:val="21"/>
        </w:rPr>
        <w:t>2.14报价一览表</w:t>
      </w:r>
    </w:p>
    <w:p w14:paraId="7181AB6A">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0ABF6A4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27763416">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2092E70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6728C5C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DD201F8">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0C3E101D">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28FF90E2">
            <w:pPr>
              <w:tabs>
                <w:tab w:val="left" w:pos="5580"/>
              </w:tabs>
              <w:adjustRightInd w:val="0"/>
              <w:snapToGrid w:val="0"/>
              <w:spacing w:line="360" w:lineRule="auto"/>
              <w:jc w:val="center"/>
              <w:rPr>
                <w:rFonts w:ascii="华文楷体" w:eastAsia="华文楷体" w:hAnsi="华文楷体" w:cs="Times New Roman"/>
                <w:szCs w:val="21"/>
              </w:rPr>
            </w:pPr>
          </w:p>
        </w:tc>
      </w:tr>
      <w:tr w14:paraId="57CAA358">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7AA24B4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2350A097">
            <w:pPr>
              <w:tabs>
                <w:tab w:val="left" w:pos="5580"/>
              </w:tabs>
              <w:adjustRightInd w:val="0"/>
              <w:snapToGrid w:val="0"/>
              <w:spacing w:line="360" w:lineRule="auto"/>
              <w:jc w:val="center"/>
              <w:rPr>
                <w:rFonts w:ascii="华文楷体" w:eastAsia="华文楷体" w:hAnsi="华文楷体" w:cs="Times New Roman"/>
                <w:szCs w:val="21"/>
              </w:rPr>
            </w:pPr>
          </w:p>
        </w:tc>
      </w:tr>
    </w:tbl>
    <w:p w14:paraId="70C07D9C">
      <w:pPr>
        <w:adjustRightInd w:val="0"/>
        <w:snapToGrid w:val="0"/>
        <w:spacing w:line="360" w:lineRule="auto"/>
        <w:rPr>
          <w:rFonts w:ascii="华文楷体" w:eastAsia="华文楷体" w:hAnsi="华文楷体" w:cs="Times New Roman"/>
          <w:szCs w:val="21"/>
        </w:rPr>
      </w:pPr>
    </w:p>
    <w:p w14:paraId="73F1424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6A6323D4">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6E8F1C9A">
      <w:pPr>
        <w:tabs>
          <w:tab w:val="left" w:pos="5580"/>
        </w:tabs>
        <w:adjustRightInd w:val="0"/>
        <w:snapToGrid w:val="0"/>
        <w:spacing w:line="360" w:lineRule="auto"/>
        <w:jc w:val="left"/>
        <w:rPr>
          <w:rFonts w:ascii="华文楷体" w:eastAsia="华文楷体" w:hAnsi="华文楷体" w:cs="Times New Roman"/>
          <w:szCs w:val="21"/>
        </w:rPr>
      </w:pPr>
    </w:p>
    <w:p w14:paraId="3942490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3A528F8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3DB7D314">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1EC8680F">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53A9507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288C52B5"/>
    <w:p w14:paraId="25157600">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67D8802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 xml:space="preserve">   分项报价表</w:t>
      </w:r>
    </w:p>
    <w:p w14:paraId="508E302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p w14:paraId="681C686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0C2FE491">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AAEC5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271CF3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869E4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411E2E4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13E0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00FD076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F0EDEA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B3808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873A41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93DDB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CA5D7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34CA1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4DD88B35">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59D8BFA7">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6B44AB63">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5195C634">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78222C47">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12C759C5">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91E6D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777CF3D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4C6BB26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2B5305D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09C27A81">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5FB82D0C">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7C735A26">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4A734920">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4F9ED3BC">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64FAE319">
            <w:pPr>
              <w:widowControl/>
              <w:jc w:val="left"/>
              <w:rPr>
                <w:rFonts w:ascii="宋体" w:eastAsia="宋体" w:hAnsi="宋体" w:cs="宋体"/>
                <w:color w:val="000000"/>
                <w:kern w:val="0"/>
                <w:sz w:val="20"/>
                <w:szCs w:val="20"/>
              </w:rPr>
            </w:pPr>
          </w:p>
        </w:tc>
      </w:tr>
      <w:tr w14:paraId="61351BD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F436AE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40D521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62AD2D6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530CC4F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0E5ABC6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1292BBD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778192D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64A0B6E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57BE268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0D66758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7F80142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6230613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725D3D0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44C2735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1801385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1FE1EB2C">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0CDBFF0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76748F5C">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8348CB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4D48CAA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49F879F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0661FA0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5F2A6D5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23ED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AD8D4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484EEFB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78795A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615F1E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372FF0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33A2B5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0564824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4FE35E9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485B138">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778EB59">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CB193E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2F3C4A96">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7E5638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0468D20">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77B44C8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52FA2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43CC6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D6A4F94">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D5D51F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D822C83">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595491F1">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3B8721D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34F3234">
            <w:pPr>
              <w:widowControl/>
              <w:jc w:val="left"/>
              <w:rPr>
                <w:rFonts w:ascii="宋体" w:eastAsia="宋体" w:hAnsi="宋体" w:cs="宋体"/>
                <w:color w:val="000000"/>
                <w:kern w:val="0"/>
                <w:sz w:val="20"/>
                <w:szCs w:val="20"/>
              </w:rPr>
            </w:pPr>
          </w:p>
        </w:tc>
      </w:tr>
      <w:tr w14:paraId="204B667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40C80E2">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0513D51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8029F35">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6B4072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64E71F9">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4C2345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1620EEA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74CB8F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A351F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6A91DE78">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965EF3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51DFE615">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49494A2D">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388F9BA">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522E267C">
            <w:pPr>
              <w:widowControl/>
              <w:jc w:val="left"/>
              <w:rPr>
                <w:rFonts w:ascii="宋体" w:eastAsia="宋体" w:hAnsi="宋体" w:cs="宋体"/>
                <w:color w:val="000000"/>
                <w:kern w:val="0"/>
                <w:sz w:val="20"/>
                <w:szCs w:val="20"/>
              </w:rPr>
            </w:pPr>
          </w:p>
        </w:tc>
      </w:tr>
      <w:tr w14:paraId="14038899">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6D0B23E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52B38075">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586BCFF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5A9C87A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196F7F4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7C622D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2B57025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B5FB25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6E4871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81876D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60446E2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79204D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29F446C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099F951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BF5625C">
            <w:pPr>
              <w:widowControl/>
              <w:jc w:val="left"/>
              <w:rPr>
                <w:rFonts w:ascii="宋体" w:eastAsia="宋体" w:hAnsi="宋体" w:cs="宋体"/>
                <w:color w:val="000000"/>
                <w:kern w:val="0"/>
                <w:sz w:val="20"/>
                <w:szCs w:val="20"/>
              </w:rPr>
            </w:pPr>
          </w:p>
        </w:tc>
      </w:tr>
      <w:tr w14:paraId="283D33D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24B1E7B1">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6340B23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57489B31">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74978B9E">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03C61A32">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3BF868D">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1AEE847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7856D8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9A13E7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89D72BE">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E773041">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6BAFB11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7BABB9C2">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5070A131">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39E701F6">
            <w:pPr>
              <w:widowControl/>
              <w:jc w:val="left"/>
              <w:rPr>
                <w:rFonts w:ascii="宋体" w:eastAsia="宋体" w:hAnsi="宋体" w:cs="宋体"/>
                <w:color w:val="000000"/>
                <w:kern w:val="0"/>
                <w:sz w:val="20"/>
                <w:szCs w:val="20"/>
              </w:rPr>
            </w:pPr>
          </w:p>
        </w:tc>
      </w:tr>
      <w:tr w14:paraId="59214E5F">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399B9289">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2C5D09F4">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7A22082">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6327BFB8">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92A006A">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2B6D3F4E">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5B4088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CA1190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B24EFA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487A8D8A">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6B3DF5BA">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546CD29">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6836075">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7CE3F678">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D10A870">
            <w:pPr>
              <w:widowControl/>
              <w:jc w:val="left"/>
              <w:rPr>
                <w:rFonts w:ascii="宋体" w:eastAsia="宋体" w:hAnsi="宋体" w:cs="宋体"/>
                <w:color w:val="000000"/>
                <w:kern w:val="0"/>
                <w:sz w:val="20"/>
                <w:szCs w:val="20"/>
              </w:rPr>
            </w:pPr>
          </w:p>
        </w:tc>
      </w:tr>
      <w:tr w14:paraId="182E9CA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7357170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154D3FF">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61E0947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6D32E9C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19495C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B886427">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5AC6D68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23965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8E32F6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B7E0F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1C955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1789BA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1AE0EB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66B6A4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7ABD9EDF">
            <w:pPr>
              <w:widowControl/>
              <w:jc w:val="left"/>
              <w:rPr>
                <w:rFonts w:ascii="宋体" w:eastAsia="宋体" w:hAnsi="宋体" w:cs="宋体"/>
                <w:color w:val="000000"/>
                <w:kern w:val="0"/>
                <w:sz w:val="20"/>
                <w:szCs w:val="20"/>
              </w:rPr>
            </w:pPr>
          </w:p>
        </w:tc>
      </w:tr>
      <w:tr w14:paraId="7650D9A6">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42B48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BBFE393">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11706394">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1AB23BB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379F4CD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4351E4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0D995AB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A53039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4555BF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429F98B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131F0A7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119B1F6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6879C2D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6B5527C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598F3ED4">
            <w:pPr>
              <w:widowControl/>
              <w:jc w:val="left"/>
              <w:rPr>
                <w:rFonts w:ascii="宋体" w:eastAsia="宋体" w:hAnsi="宋体" w:cs="宋体"/>
                <w:color w:val="000000"/>
                <w:kern w:val="0"/>
                <w:sz w:val="20"/>
                <w:szCs w:val="20"/>
              </w:rPr>
            </w:pPr>
          </w:p>
        </w:tc>
      </w:tr>
      <w:tr w14:paraId="3F5925C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D06FCB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7D7F233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09AF441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550DC22B">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662F58B0">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1CF12A5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7117F07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9CA310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A15E7E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2B1419EC">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123C7D27">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1E44ED3D">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63F050BB">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6BA23E27">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7AB1ADB2">
            <w:pPr>
              <w:widowControl/>
              <w:jc w:val="left"/>
              <w:rPr>
                <w:rFonts w:ascii="宋体" w:eastAsia="宋体" w:hAnsi="宋体" w:cs="宋体"/>
                <w:color w:val="000000"/>
                <w:kern w:val="0"/>
                <w:sz w:val="20"/>
                <w:szCs w:val="20"/>
              </w:rPr>
            </w:pPr>
          </w:p>
        </w:tc>
      </w:tr>
      <w:tr w14:paraId="27300DF0">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CE06B5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420E8B62">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4282766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25E92AA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1A6BAFD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0D48B3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1E85158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C63C47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3C1C7B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8DB771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DC2B0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ECDD42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22471B4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1EC859C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AA176E2">
            <w:pPr>
              <w:widowControl/>
              <w:jc w:val="left"/>
              <w:rPr>
                <w:rFonts w:ascii="宋体" w:eastAsia="宋体" w:hAnsi="宋体" w:cs="宋体"/>
                <w:color w:val="000000"/>
                <w:kern w:val="0"/>
                <w:sz w:val="20"/>
                <w:szCs w:val="20"/>
              </w:rPr>
            </w:pPr>
          </w:p>
        </w:tc>
      </w:tr>
      <w:tr w14:paraId="07E92F15">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51E30CE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EC8F10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43A3D46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42045DE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509F89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023DA8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1811E1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54842D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F44A32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97FE8B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03BF0DA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C882F1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59A833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53D1B34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2A7F150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02F8F8B5">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8ACFBA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35742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668A85A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76AE761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0DD16BE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8D7642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0452AB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A28CBE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CD9527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DA34AD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7ED30FB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ED3522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510FC3D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0585A2A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06D16E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002F8A49">
      <w:pPr>
        <w:adjustRightInd w:val="0"/>
        <w:snapToGrid w:val="0"/>
        <w:spacing w:line="360" w:lineRule="auto"/>
        <w:rPr>
          <w:rFonts w:ascii="华文楷体" w:eastAsia="华文楷体" w:hAnsi="华文楷体" w:cs="Times New Roman"/>
          <w:szCs w:val="21"/>
        </w:rPr>
      </w:pPr>
    </w:p>
    <w:p w14:paraId="054CF21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7053315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3A774085">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7EAF6A92">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1BB5ABD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356077C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215315B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3867DF29">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1CBD622D">
      <w:pPr>
        <w:adjustRightInd w:val="0"/>
        <w:snapToGrid w:val="0"/>
        <w:spacing w:line="360" w:lineRule="auto"/>
        <w:ind w:firstLine="0" w:firstLineChars="0"/>
        <w:jc w:val="left"/>
        <w:rPr>
          <w:rFonts w:ascii="华文楷体" w:eastAsia="华文楷体" w:hAnsi="华文楷体" w:cs="Times New Roman"/>
          <w:b/>
          <w:szCs w:val="21"/>
        </w:rPr>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0324F0BD">
      <w:pPr>
        <w:adjustRightInd w:val="0"/>
        <w:snapToGrid w:val="0"/>
        <w:spacing w:line="360" w:lineRule="auto"/>
        <w:ind w:firstLine="525" w:firstLineChars="250"/>
        <w:jc w:val="left"/>
        <w:rPr>
          <w:rFonts w:ascii="华文楷体" w:eastAsia="华文楷体" w:hAnsi="华文楷体" w:cs="Times New Roman"/>
          <w:b/>
          <w:szCs w:val="21"/>
        </w:rPr>
      </w:pPr>
    </w:p>
    <w:p w14:paraId="77444480"/>
    <w:p w14:paraId="42E0658E">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2.16技术要求偏离表</w:t>
      </w:r>
    </w:p>
    <w:p w14:paraId="770B85F0">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159A5CA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1815C2AB">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01C764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5F8CBE7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41CD15C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磋商文件技术要求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521A041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7F67FEA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4641A08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6D95D15D">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659C1FAE">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4735C2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EDFEB1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9DEF002">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49A1FFFD">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451AC0F">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16C328FC">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110A3DF0">
            <w:pPr>
              <w:adjustRightInd w:val="0"/>
              <w:snapToGrid w:val="0"/>
              <w:spacing w:line="360" w:lineRule="auto"/>
              <w:jc w:val="left"/>
              <w:rPr>
                <w:rFonts w:ascii="华文楷体" w:eastAsia="华文楷体" w:hAnsi="华文楷体" w:cs="Times New Roman"/>
                <w:szCs w:val="21"/>
              </w:rPr>
            </w:pPr>
          </w:p>
        </w:tc>
      </w:tr>
      <w:tr w14:paraId="02ED4461">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BB7FBB5">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94B175C">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EF9D8D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273EBC3">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73EEFC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A206376">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253AF7B">
            <w:pPr>
              <w:adjustRightInd w:val="0"/>
              <w:snapToGrid w:val="0"/>
              <w:spacing w:line="360" w:lineRule="auto"/>
              <w:jc w:val="left"/>
              <w:rPr>
                <w:rFonts w:ascii="华文楷体" w:eastAsia="华文楷体" w:hAnsi="华文楷体" w:cs="Times New Roman"/>
                <w:szCs w:val="21"/>
              </w:rPr>
            </w:pPr>
          </w:p>
        </w:tc>
      </w:tr>
      <w:tr w14:paraId="6C20515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5420FC50">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F54E4BA">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430C6173">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71132F1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除以上内容，我司对磋商文件的其他技术要求完全响应，无偏离。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9435AF2">
            <w:pPr>
              <w:adjustRightInd w:val="0"/>
              <w:snapToGrid w:val="0"/>
              <w:spacing w:line="360" w:lineRule="auto"/>
              <w:jc w:val="left"/>
              <w:rPr>
                <w:rFonts w:ascii="华文楷体" w:eastAsia="华文楷体" w:hAnsi="华文楷体" w:cs="Times New Roman"/>
                <w:szCs w:val="21"/>
              </w:rPr>
            </w:pPr>
          </w:p>
        </w:tc>
      </w:tr>
    </w:tbl>
    <w:p w14:paraId="4F5D8A79">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磋商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792043CC">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2、采购需求标注为*的实质性条款应逐条应答，其余可填写完全满足磋商文件的全部要求；</w:t>
      </w:r>
    </w:p>
    <w:p w14:paraId="5EA3CF6D">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0606F405">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4840B2A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438711EE"/>
    <w:p w14:paraId="4A566ADF">
      <w:pPr>
        <w:adjustRightInd w:val="0"/>
        <w:snapToGrid w:val="0"/>
        <w:spacing w:line="360" w:lineRule="auto"/>
        <w:ind w:firstLine="420"/>
        <w:outlineLvl w:val="3"/>
        <w:rPr>
          <w:rFonts w:ascii="宋体" w:eastAsia="宋体" w:hAnsi="宋体" w:cs="Times New Roman"/>
          <w:b/>
          <w:szCs w:val="21"/>
        </w:rPr>
      </w:pPr>
      <w:bookmarkStart w:id="17" w:name="_Ref462505472"/>
      <w:r>
        <w:rPr>
          <w:rFonts w:ascii="宋体" w:eastAsia="宋体" w:hAnsi="宋体" w:cs="Times New Roman" w:hint="eastAsia"/>
          <w:b/>
          <w:szCs w:val="21"/>
        </w:rPr>
        <w:t>2.17主要标的信息表</w:t>
      </w:r>
      <w:bookmarkEnd w:id="17"/>
    </w:p>
    <w:p w14:paraId="3B5F4157">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E7064B2">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49E7B59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39B9BE5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50F3AB6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52E5808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77BA6DC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11582FA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45AF31B5">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0F2951F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47B58C4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3E6361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4E294503">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7081B14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29D8B43D">
            <w:pPr>
              <w:adjustRightInd w:val="0"/>
              <w:snapToGrid w:val="0"/>
              <w:spacing w:line="360" w:lineRule="auto"/>
              <w:jc w:val="center"/>
              <w:rPr>
                <w:rFonts w:ascii="华文楷体" w:eastAsia="华文楷体" w:hAnsi="华文楷体" w:cs="Times New Roman"/>
                <w:szCs w:val="21"/>
              </w:rPr>
            </w:pPr>
          </w:p>
        </w:tc>
      </w:tr>
      <w:tr w14:paraId="293134F0">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5DB449D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7EEDF5C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A12247A">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381D13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1B97755">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0264BFFA">
            <w:pPr>
              <w:adjustRightInd w:val="0"/>
              <w:snapToGrid w:val="0"/>
              <w:spacing w:line="360" w:lineRule="auto"/>
              <w:jc w:val="center"/>
              <w:rPr>
                <w:rFonts w:ascii="华文楷体" w:eastAsia="华文楷体" w:hAnsi="华文楷体" w:cs="Times New Roman"/>
                <w:szCs w:val="21"/>
              </w:rPr>
            </w:pPr>
          </w:p>
        </w:tc>
      </w:tr>
      <w:tr w14:paraId="78C52F4D">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719EA6B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5BCE86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3A33BF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D98229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00F9B8D3">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0EE25F6">
            <w:pPr>
              <w:adjustRightInd w:val="0"/>
              <w:snapToGrid w:val="0"/>
              <w:spacing w:line="360" w:lineRule="auto"/>
              <w:jc w:val="center"/>
              <w:rPr>
                <w:rFonts w:ascii="华文楷体" w:eastAsia="华文楷体" w:hAnsi="华文楷体" w:cs="Times New Roman"/>
                <w:szCs w:val="21"/>
              </w:rPr>
            </w:pPr>
          </w:p>
        </w:tc>
      </w:tr>
      <w:tr w14:paraId="20AB89BB">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8EBACC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4FC95DA5">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2D69BDB9">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4BABDC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38F0E2C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4D7A954">
            <w:pPr>
              <w:adjustRightInd w:val="0"/>
              <w:snapToGrid w:val="0"/>
              <w:spacing w:line="360" w:lineRule="auto"/>
              <w:jc w:val="center"/>
              <w:rPr>
                <w:rFonts w:ascii="华文楷体" w:eastAsia="华文楷体" w:hAnsi="华文楷体" w:cs="Times New Roman"/>
                <w:szCs w:val="21"/>
              </w:rPr>
            </w:pPr>
          </w:p>
        </w:tc>
      </w:tr>
    </w:tbl>
    <w:p w14:paraId="0B5949D7">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755FB2AB"/>
    <w:p w14:paraId="3515B93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2.18响应人项目实施和售后服务方案</w:t>
      </w:r>
    </w:p>
    <w:p w14:paraId="79A20000">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w:t>
      </w:r>
      <w:r>
        <w:rPr>
          <w:rFonts w:ascii="宋体" w:eastAsia="宋体" w:hAnsi="宋体" w:cs="Times New Roman" w:hint="eastAsia"/>
          <w:szCs w:val="20"/>
        </w:rPr>
        <w:t>格式由响应人自拟。</w:t>
      </w:r>
    </w:p>
    <w:p w14:paraId="6E9D8E4C"/>
    <w:p w14:paraId="3389FE3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2.19其他技术文件</w:t>
      </w:r>
    </w:p>
    <w:p w14:paraId="09677297">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按照第五章响应人须知专用部分5.13条规定应提交的各种技术文件。如磋商文件第七章采购需求等章节中有</w:t>
      </w:r>
      <w:r>
        <w:rPr>
          <w:rFonts w:ascii="宋体" w:eastAsia="宋体" w:hAnsi="宋体" w:cs="Times New Roman" w:hint="eastAsia"/>
          <w:szCs w:val="20"/>
        </w:rPr>
        <w:t>专门格式要求，按专门格式编写。如无专门格式要求，由响应人自拟格式编写。</w:t>
      </w:r>
    </w:p>
    <w:p w14:paraId="27F0C8E5"/>
    <w:p w14:paraId="760DAA8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2.20响应人自行编写的技术文件。</w:t>
      </w:r>
    </w:p>
    <w:p w14:paraId="56D8336F">
      <w:pPr>
        <w:adjustRightInd w:val="0"/>
        <w:snapToGrid w:val="0"/>
        <w:spacing w:line="360" w:lineRule="auto"/>
        <w:ind w:firstLine="412" w:firstLineChars="196"/>
        <w:rPr>
          <w:rFonts w:ascii="宋体" w:eastAsia="宋体" w:hAnsi="宋体" w:cs="Times New Roman"/>
          <w:szCs w:val="20"/>
        </w:rPr>
      </w:pPr>
      <w:r>
        <w:rPr>
          <w:rFonts w:ascii="Times New Roman" w:eastAsia="宋体" w:hAnsi="Times New Roman" w:cs="Times New Roman" w:hint="eastAsia"/>
          <w:szCs w:val="20"/>
        </w:rPr>
        <w:t>响应人</w:t>
      </w:r>
      <w:r>
        <w:rPr>
          <w:rFonts w:ascii="宋体" w:eastAsia="宋体" w:hAnsi="宋体" w:cs="Times New Roman" w:hint="eastAsia"/>
          <w:szCs w:val="20"/>
        </w:rPr>
        <w:t>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的规定以及磋商文件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中的要求自行编写，包括响应人认为需要提供的其它说明和资料。详尽、易于理解、评审和富于建设性的技术方案将在评审时具有优势。</w:t>
      </w:r>
    </w:p>
    <w:p w14:paraId="0134167B"/>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20"/>
          <w:docGrid w:type="linesAndChars" w:linePitch="312" w:charSpace="0"/>
        </w:sectPr>
      </w:pPr>
      <w:bookmarkEnd w:id="16"/>
    </w:p>
    <w:p w14:paraId="44474CBE">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16328EAE">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第八章响应被拒绝条款专用部分</w:t>
      </w:r>
      <w:r>
        <w:rPr>
          <w:rFonts w:ascii="Times New Roman" w:eastAsia="宋体" w:hAnsi="Times New Roman" w:cs="Times New Roman" w:hint="eastAsia"/>
          <w:szCs w:val="21"/>
        </w:rPr>
        <w:t>以外，其它内容均不得在评审中作为拒绝响应的条件。响应人若符合下表任何要求之一的，将导致响应被拒绝。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850"/>
        <w:gridCol w:w="7723"/>
      </w:tblGrid>
      <w:tr w14:paraId="23D926F7">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10D3707E">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1C48A171">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4358BCB0">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7CE360CF">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CA6889B">
        <w:tblPrEx>
          <w:tblW w:w="9248" w:type="dxa"/>
          <w:tblInd w:w="0" w:type="dxa"/>
          <w:tblLayout w:type="fixed"/>
          <w:tblCellMar>
            <w:top w:w="0" w:type="dxa"/>
            <w:left w:w="108" w:type="dxa"/>
            <w:bottom w:w="0" w:type="dxa"/>
            <w:right w:w="108" w:type="dxa"/>
          </w:tblCellMar>
        </w:tblPrEx>
        <w:trPr>
          <w:cantSplit/>
        </w:trPr>
        <w:tc>
          <w:tcPr>
            <w:tcW w:w="9248" w:type="dxa"/>
            <w:gridSpan w:val="3"/>
            <w:vAlign w:val="center"/>
          </w:tcPr>
          <w:p w14:paraId="62D583BC">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3282CEB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7844410">
            <w:pPr>
              <w:numPr>
                <w:ilvl w:val="0"/>
                <w:numId w:val="2"/>
              </w:numPr>
              <w:jc w:val="left"/>
              <w:rPr>
                <w:rFonts w:ascii="宋体" w:eastAsia="宋体" w:hAnsi="宋体" w:cs="Times New Roman"/>
                <w:sz w:val="18"/>
                <w:szCs w:val="18"/>
              </w:rPr>
            </w:pPr>
          </w:p>
        </w:tc>
        <w:tc>
          <w:tcPr>
            <w:tcW w:w="850" w:type="dxa"/>
            <w:vAlign w:val="center"/>
          </w:tcPr>
          <w:p w14:paraId="795D4A15">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58144450">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w:t>
            </w:r>
            <w:r>
              <w:rPr>
                <w:rFonts w:ascii="Times New Roman" w:eastAsia="宋体" w:hAnsi="Times New Roman" w:cs="Times New Roman" w:hint="eastAsia"/>
                <w:sz w:val="18"/>
                <w:szCs w:val="18"/>
              </w:rPr>
              <w:t>未在</w:t>
            </w:r>
            <w:r>
              <w:rPr>
                <w:rFonts w:ascii="Times New Roman" w:eastAsia="宋体" w:hAnsi="Times New Roman" w:cs="Times New Roman"/>
                <w:sz w:val="18"/>
                <w:szCs w:val="18"/>
              </w:rPr>
              <w:t>中国气象局政府采购中心登记并领取</w:t>
            </w:r>
            <w:r>
              <w:rPr>
                <w:rFonts w:ascii="Times New Roman" w:eastAsia="宋体" w:hAnsi="Times New Roman" w:cs="Times New Roman" w:hint="eastAsia"/>
                <w:sz w:val="18"/>
                <w:szCs w:val="18"/>
              </w:rPr>
              <w:t>或购买磋商文件的供应商将被拒绝。</w:t>
            </w:r>
          </w:p>
        </w:tc>
      </w:tr>
      <w:tr w14:paraId="6C85FDC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7C86F5D">
            <w:pPr>
              <w:numPr>
                <w:ilvl w:val="0"/>
                <w:numId w:val="2"/>
              </w:numPr>
              <w:jc w:val="left"/>
              <w:rPr>
                <w:rFonts w:ascii="宋体" w:eastAsia="宋体" w:hAnsi="宋体" w:cs="Times New Roman"/>
                <w:sz w:val="18"/>
                <w:szCs w:val="18"/>
              </w:rPr>
            </w:pPr>
          </w:p>
        </w:tc>
        <w:tc>
          <w:tcPr>
            <w:tcW w:w="850" w:type="dxa"/>
            <w:vAlign w:val="center"/>
          </w:tcPr>
          <w:p w14:paraId="74AE2A69">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3E06C1D7">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2258C2D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381398C">
            <w:pPr>
              <w:numPr>
                <w:ilvl w:val="0"/>
                <w:numId w:val="2"/>
              </w:numPr>
              <w:jc w:val="left"/>
              <w:rPr>
                <w:rFonts w:ascii="宋体" w:eastAsia="宋体" w:hAnsi="宋体" w:cs="Times New Roman"/>
                <w:sz w:val="18"/>
                <w:szCs w:val="18"/>
              </w:rPr>
            </w:pPr>
          </w:p>
        </w:tc>
        <w:tc>
          <w:tcPr>
            <w:tcW w:w="850" w:type="dxa"/>
            <w:vAlign w:val="center"/>
          </w:tcPr>
          <w:p w14:paraId="4DB352A2">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0EFE4EAB">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3327785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AFA5206">
            <w:pPr>
              <w:numPr>
                <w:ilvl w:val="0"/>
                <w:numId w:val="2"/>
              </w:numPr>
              <w:jc w:val="left"/>
              <w:rPr>
                <w:rFonts w:ascii="宋体" w:eastAsia="宋体" w:hAnsi="宋体" w:cs="Times New Roman"/>
                <w:sz w:val="18"/>
                <w:szCs w:val="18"/>
              </w:rPr>
            </w:pPr>
          </w:p>
        </w:tc>
        <w:tc>
          <w:tcPr>
            <w:tcW w:w="850" w:type="dxa"/>
            <w:vAlign w:val="center"/>
          </w:tcPr>
          <w:p w14:paraId="66A79504">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6C1D14B6">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本次磋商是否允许代理商（指响应人提供的货物不是自己制造的，下同）响应，以及进口产品代理商响应应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第五章响应人须知专用部分5.3条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第五章响应人须知专用部分5.4条</w:t>
            </w:r>
            <w:r>
              <w:rPr>
                <w:rFonts w:ascii="宋体" w:eastAsia="宋体" w:hAnsi="宋体" w:cs="Times New Roman" w:hint="eastAsia"/>
                <w:sz w:val="18"/>
                <w:szCs w:val="18"/>
              </w:rPr>
              <w:t>提交有关资料的，响应将被拒绝。</w:t>
            </w:r>
          </w:p>
        </w:tc>
      </w:tr>
      <w:tr w14:paraId="1BDCB92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D958AEB">
            <w:pPr>
              <w:numPr>
                <w:ilvl w:val="0"/>
                <w:numId w:val="2"/>
              </w:numPr>
              <w:jc w:val="left"/>
              <w:rPr>
                <w:rFonts w:ascii="宋体" w:eastAsia="宋体" w:hAnsi="宋体" w:cs="Times New Roman"/>
                <w:sz w:val="18"/>
                <w:szCs w:val="18"/>
              </w:rPr>
            </w:pPr>
          </w:p>
        </w:tc>
        <w:tc>
          <w:tcPr>
            <w:tcW w:w="850" w:type="dxa"/>
            <w:vAlign w:val="center"/>
          </w:tcPr>
          <w:p w14:paraId="743AF114">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2311CB37">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0E80B1F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A1D45C5">
            <w:pPr>
              <w:numPr>
                <w:ilvl w:val="0"/>
                <w:numId w:val="2"/>
              </w:numPr>
              <w:jc w:val="left"/>
              <w:rPr>
                <w:rFonts w:ascii="宋体" w:eastAsia="宋体" w:hAnsi="宋体" w:cs="Times New Roman"/>
                <w:sz w:val="18"/>
                <w:szCs w:val="18"/>
              </w:rPr>
            </w:pPr>
          </w:p>
        </w:tc>
        <w:tc>
          <w:tcPr>
            <w:tcW w:w="850" w:type="dxa"/>
            <w:vAlign w:val="center"/>
          </w:tcPr>
          <w:p w14:paraId="6EE07661">
            <w:pPr>
              <w:rPr>
                <w:rFonts w:ascii="宋体" w:eastAsia="宋体" w:hAnsi="宋体" w:cs="Times New Roman"/>
                <w:sz w:val="18"/>
                <w:szCs w:val="18"/>
              </w:rPr>
            </w:pPr>
            <w:r>
              <w:rPr>
                <w:rFonts w:ascii="宋体" w:eastAsia="宋体" w:hAnsi="宋体" w:cs="Times New Roman" w:hint="eastAsia"/>
                <w:sz w:val="18"/>
                <w:szCs w:val="18"/>
              </w:rPr>
              <w:t>1.3.6</w:t>
            </w:r>
          </w:p>
        </w:tc>
        <w:tc>
          <w:tcPr>
            <w:tcW w:w="7723" w:type="dxa"/>
            <w:vAlign w:val="center"/>
          </w:tcPr>
          <w:p w14:paraId="16EB2712">
            <w:pPr>
              <w:tabs>
                <w:tab w:val="left" w:pos="709"/>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果不允许联合体响应，则联合体响应将被拒绝。如果允许联合体响应，其响应被拒绝的情形如下：（1）联合体响应文件未附联合体协议的，其响应将被拒绝。（2）以联合体形式参加响应的，联合体各方均应当符合《中华人民共和国政府采购法》第二十二条第一款规定的条件。否则，其提交的联合响应将被拒绝。（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46893BF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F2D8AFE">
            <w:pPr>
              <w:numPr>
                <w:ilvl w:val="0"/>
                <w:numId w:val="2"/>
              </w:numPr>
              <w:jc w:val="left"/>
              <w:rPr>
                <w:rFonts w:ascii="宋体" w:eastAsia="宋体" w:hAnsi="宋体" w:cs="Times New Roman"/>
                <w:sz w:val="18"/>
                <w:szCs w:val="18"/>
              </w:rPr>
            </w:pPr>
          </w:p>
        </w:tc>
        <w:tc>
          <w:tcPr>
            <w:tcW w:w="850" w:type="dxa"/>
            <w:vAlign w:val="center"/>
          </w:tcPr>
          <w:p w14:paraId="7F1A822C">
            <w:pPr>
              <w:rPr>
                <w:rFonts w:ascii="宋体" w:eastAsia="宋体" w:hAnsi="宋体" w:cs="Times New Roman"/>
                <w:bCs/>
                <w:sz w:val="18"/>
                <w:szCs w:val="18"/>
              </w:rPr>
            </w:pPr>
            <w:r>
              <w:rPr>
                <w:rFonts w:ascii="宋体" w:eastAsia="宋体" w:hAnsi="宋体" w:cs="Times New Roman" w:hint="eastAsia"/>
                <w:bCs/>
                <w:sz w:val="18"/>
                <w:szCs w:val="18"/>
              </w:rPr>
              <w:t>1.3.7</w:t>
            </w:r>
          </w:p>
        </w:tc>
        <w:tc>
          <w:tcPr>
            <w:tcW w:w="7723" w:type="dxa"/>
            <w:vAlign w:val="center"/>
          </w:tcPr>
          <w:p w14:paraId="5D0A152A">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089A44D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301893E">
            <w:pPr>
              <w:numPr>
                <w:ilvl w:val="0"/>
                <w:numId w:val="2"/>
              </w:numPr>
              <w:jc w:val="left"/>
              <w:rPr>
                <w:rFonts w:ascii="宋体" w:eastAsia="宋体" w:hAnsi="宋体" w:cs="Times New Roman"/>
                <w:sz w:val="18"/>
                <w:szCs w:val="18"/>
              </w:rPr>
            </w:pPr>
          </w:p>
        </w:tc>
        <w:tc>
          <w:tcPr>
            <w:tcW w:w="850" w:type="dxa"/>
            <w:vAlign w:val="center"/>
          </w:tcPr>
          <w:p w14:paraId="2BF90040">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6331EF46">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648ECA4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58E870B">
            <w:pPr>
              <w:numPr>
                <w:ilvl w:val="0"/>
                <w:numId w:val="2"/>
              </w:numPr>
              <w:jc w:val="left"/>
              <w:rPr>
                <w:rFonts w:ascii="宋体" w:eastAsia="宋体" w:hAnsi="宋体" w:cs="Times New Roman"/>
                <w:sz w:val="18"/>
                <w:szCs w:val="18"/>
              </w:rPr>
            </w:pPr>
          </w:p>
        </w:tc>
        <w:tc>
          <w:tcPr>
            <w:tcW w:w="850" w:type="dxa"/>
            <w:vAlign w:val="center"/>
          </w:tcPr>
          <w:p w14:paraId="4D9A3731">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67F42326">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55E6132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ABAE7E5">
            <w:pPr>
              <w:numPr>
                <w:ilvl w:val="0"/>
                <w:numId w:val="2"/>
              </w:numPr>
              <w:jc w:val="left"/>
              <w:rPr>
                <w:rFonts w:ascii="宋体" w:eastAsia="宋体" w:hAnsi="宋体" w:cs="Times New Roman"/>
                <w:sz w:val="18"/>
                <w:szCs w:val="18"/>
              </w:rPr>
            </w:pPr>
          </w:p>
        </w:tc>
        <w:tc>
          <w:tcPr>
            <w:tcW w:w="850" w:type="dxa"/>
            <w:vAlign w:val="center"/>
          </w:tcPr>
          <w:p w14:paraId="69CAF57E">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2846ED66">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本磋商文件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24B3233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4EAE71E">
            <w:pPr>
              <w:numPr>
                <w:ilvl w:val="0"/>
                <w:numId w:val="2"/>
              </w:numPr>
              <w:jc w:val="left"/>
              <w:rPr>
                <w:rFonts w:ascii="宋体" w:eastAsia="宋体" w:hAnsi="宋体" w:cs="Times New Roman"/>
                <w:sz w:val="18"/>
                <w:szCs w:val="18"/>
              </w:rPr>
            </w:pPr>
          </w:p>
        </w:tc>
        <w:tc>
          <w:tcPr>
            <w:tcW w:w="850" w:type="dxa"/>
            <w:vAlign w:val="center"/>
          </w:tcPr>
          <w:p w14:paraId="3C177082">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10FAC9C4">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4567CF4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155B9DD">
            <w:pPr>
              <w:numPr>
                <w:ilvl w:val="0"/>
                <w:numId w:val="2"/>
              </w:numPr>
              <w:jc w:val="left"/>
              <w:rPr>
                <w:rFonts w:ascii="宋体" w:eastAsia="宋体" w:hAnsi="宋体" w:cs="Times New Roman"/>
                <w:sz w:val="18"/>
                <w:szCs w:val="18"/>
              </w:rPr>
            </w:pPr>
          </w:p>
        </w:tc>
        <w:tc>
          <w:tcPr>
            <w:tcW w:w="850" w:type="dxa"/>
            <w:vAlign w:val="center"/>
          </w:tcPr>
          <w:p w14:paraId="4D2EF8F1">
            <w:pPr>
              <w:rPr>
                <w:rFonts w:ascii="宋体" w:eastAsia="宋体" w:hAnsi="宋体" w:cs="Times New Roman"/>
                <w:sz w:val="18"/>
                <w:szCs w:val="18"/>
              </w:rPr>
            </w:pPr>
            <w:r>
              <w:rPr>
                <w:rFonts w:ascii="宋体" w:eastAsia="宋体" w:hAnsi="宋体" w:cs="Times New Roman" w:hint="eastAsia"/>
                <w:bCs/>
                <w:sz w:val="18"/>
                <w:szCs w:val="18"/>
              </w:rPr>
              <w:t>1.3.12</w:t>
            </w:r>
          </w:p>
        </w:tc>
        <w:tc>
          <w:tcPr>
            <w:tcW w:w="7723" w:type="dxa"/>
            <w:vAlign w:val="center"/>
          </w:tcPr>
          <w:p w14:paraId="1D1F54A5">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7196A836">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AC2DBEF">
            <w:pPr>
              <w:numPr>
                <w:ilvl w:val="0"/>
                <w:numId w:val="2"/>
              </w:numPr>
              <w:jc w:val="left"/>
              <w:rPr>
                <w:rFonts w:ascii="宋体" w:eastAsia="宋体" w:hAnsi="宋体" w:cs="Times New Roman"/>
                <w:sz w:val="18"/>
                <w:szCs w:val="18"/>
              </w:rPr>
            </w:pPr>
          </w:p>
        </w:tc>
        <w:tc>
          <w:tcPr>
            <w:tcW w:w="850" w:type="dxa"/>
            <w:vAlign w:val="center"/>
          </w:tcPr>
          <w:p w14:paraId="23919F26">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72249683">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5.8条有关进口产品响应要求的，响应将被拒绝。</w:t>
            </w:r>
          </w:p>
        </w:tc>
      </w:tr>
      <w:tr w14:paraId="7D91A7B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C290701">
            <w:pPr>
              <w:numPr>
                <w:ilvl w:val="0"/>
                <w:numId w:val="2"/>
              </w:numPr>
              <w:jc w:val="left"/>
              <w:rPr>
                <w:rFonts w:ascii="宋体" w:eastAsia="宋体" w:hAnsi="宋体" w:cs="Times New Roman"/>
                <w:sz w:val="18"/>
                <w:szCs w:val="18"/>
              </w:rPr>
            </w:pPr>
          </w:p>
        </w:tc>
        <w:tc>
          <w:tcPr>
            <w:tcW w:w="850" w:type="dxa"/>
            <w:vAlign w:val="center"/>
          </w:tcPr>
          <w:p w14:paraId="5E82ACE5">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093B221D">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32DA633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AA0FB93">
            <w:pPr>
              <w:numPr>
                <w:ilvl w:val="0"/>
                <w:numId w:val="2"/>
              </w:numPr>
              <w:jc w:val="left"/>
              <w:rPr>
                <w:rFonts w:ascii="宋体" w:eastAsia="宋体" w:hAnsi="宋体" w:cs="Times New Roman"/>
                <w:sz w:val="18"/>
                <w:szCs w:val="18"/>
              </w:rPr>
            </w:pPr>
          </w:p>
        </w:tc>
        <w:tc>
          <w:tcPr>
            <w:tcW w:w="850" w:type="dxa"/>
            <w:vAlign w:val="center"/>
          </w:tcPr>
          <w:p w14:paraId="275CF095">
            <w:pPr>
              <w:rPr>
                <w:rFonts w:ascii="宋体" w:eastAsia="宋体" w:hAnsi="宋体" w:cs="Times New Roman"/>
                <w:bCs/>
                <w:sz w:val="18"/>
                <w:szCs w:val="18"/>
              </w:rPr>
            </w:pPr>
            <w:r>
              <w:rPr>
                <w:rFonts w:ascii="宋体" w:eastAsia="宋体" w:hAnsi="宋体" w:cs="Times New Roman" w:hint="eastAsia"/>
                <w:bCs/>
                <w:sz w:val="18"/>
                <w:szCs w:val="18"/>
              </w:rPr>
              <w:t>1.6.1</w:t>
            </w:r>
          </w:p>
        </w:tc>
        <w:tc>
          <w:tcPr>
            <w:tcW w:w="7723" w:type="dxa"/>
            <w:vAlign w:val="center"/>
          </w:tcPr>
          <w:p w14:paraId="09F1DC49">
            <w:pPr>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0616B3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FAD808A">
            <w:pPr>
              <w:numPr>
                <w:ilvl w:val="0"/>
                <w:numId w:val="2"/>
              </w:numPr>
              <w:jc w:val="left"/>
              <w:rPr>
                <w:rFonts w:ascii="宋体" w:eastAsia="宋体" w:hAnsi="宋体" w:cs="Times New Roman"/>
                <w:sz w:val="18"/>
                <w:szCs w:val="18"/>
              </w:rPr>
            </w:pPr>
          </w:p>
        </w:tc>
        <w:tc>
          <w:tcPr>
            <w:tcW w:w="850" w:type="dxa"/>
            <w:vAlign w:val="center"/>
          </w:tcPr>
          <w:p w14:paraId="12697199">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7995626F">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（1）法定代表人为同一人的响应人，同时参与本次磋商相同包的响应；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68F93422">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737865EB">
            <w:pPr>
              <w:numPr>
                <w:ilvl w:val="0"/>
                <w:numId w:val="2"/>
              </w:numPr>
              <w:spacing w:line="360" w:lineRule="auto"/>
              <w:jc w:val="left"/>
              <w:rPr>
                <w:rFonts w:ascii="宋体" w:eastAsia="宋体" w:hAnsi="宋体" w:cs="Times New Roman"/>
                <w:bCs/>
                <w:sz w:val="18"/>
                <w:szCs w:val="18"/>
              </w:rPr>
            </w:pPr>
          </w:p>
        </w:tc>
        <w:tc>
          <w:tcPr>
            <w:tcW w:w="850" w:type="dxa"/>
            <w:vAlign w:val="center"/>
          </w:tcPr>
          <w:p w14:paraId="243C87B0">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66FA259F">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磋商保证金从同一单位或者同一个人的账户转出；</w:t>
            </w:r>
            <w:r>
              <w:rPr>
                <w:rFonts w:ascii="宋体" w:eastAsia="宋体" w:hAnsi="宋体" w:cs="Times New Roman" w:hint="eastAsia"/>
                <w:sz w:val="18"/>
                <w:szCs w:val="18"/>
              </w:rPr>
              <w:t>（7）不同响应人的响应文件为同一人签字。</w:t>
            </w:r>
          </w:p>
        </w:tc>
      </w:tr>
      <w:tr w14:paraId="7ABFDDB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F4BB358">
            <w:pPr>
              <w:numPr>
                <w:ilvl w:val="0"/>
                <w:numId w:val="2"/>
              </w:numPr>
              <w:jc w:val="left"/>
              <w:rPr>
                <w:rFonts w:ascii="宋体" w:eastAsia="宋体" w:hAnsi="宋体" w:cs="Times New Roman"/>
                <w:sz w:val="18"/>
                <w:szCs w:val="18"/>
              </w:rPr>
            </w:pPr>
          </w:p>
        </w:tc>
        <w:tc>
          <w:tcPr>
            <w:tcW w:w="850" w:type="dxa"/>
            <w:vAlign w:val="center"/>
          </w:tcPr>
          <w:p w14:paraId="44A1566B">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12CF6D71">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磋商小组在任何时候发现响应人以他人名义响应、相互串通响应，响应人提交的响应文件中提交虚假资料或失实资料的，或者以其他方式弄虚作假的，其响应将被拒绝并不予退还其磋商保证金，并视情况依法追究责任。</w:t>
            </w:r>
          </w:p>
        </w:tc>
      </w:tr>
      <w:tr w14:paraId="3A03F4A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F5DC386">
            <w:pPr>
              <w:numPr>
                <w:ilvl w:val="0"/>
                <w:numId w:val="2"/>
              </w:numPr>
              <w:jc w:val="left"/>
              <w:rPr>
                <w:rFonts w:ascii="宋体" w:eastAsia="宋体" w:hAnsi="宋体" w:cs="Times New Roman"/>
                <w:sz w:val="18"/>
                <w:szCs w:val="18"/>
              </w:rPr>
            </w:pPr>
          </w:p>
        </w:tc>
        <w:tc>
          <w:tcPr>
            <w:tcW w:w="850" w:type="dxa"/>
            <w:vAlign w:val="center"/>
          </w:tcPr>
          <w:p w14:paraId="022A455B">
            <w:pPr>
              <w:jc w:val="left"/>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69A104F4">
            <w:pPr>
              <w:tabs>
                <w:tab w:val="left" w:pos="5580"/>
              </w:tabs>
              <w:adjustRightInd w:val="0"/>
              <w:snapToGrid w:val="0"/>
              <w:spacing w:line="360" w:lineRule="auto"/>
              <w:jc w:val="left"/>
              <w:rPr>
                <w:rFonts w:ascii="宋体" w:eastAsia="宋体" w:hAnsi="宋体" w:cs="Times New Roman"/>
                <w:sz w:val="18"/>
                <w:szCs w:val="18"/>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③以提交首次响应文件截止日为基准日，近一年内的任何一期社会保障资金缴纳凭证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（响应货物</w:t>
            </w:r>
            <w:r>
              <w:rPr>
                <w:rFonts w:ascii="Times New Roman" w:eastAsia="宋体" w:hAnsi="Times New Roman" w:cs="Times New Roman" w:hint="eastAsia"/>
                <w:sz w:val="18"/>
                <w:szCs w:val="18"/>
              </w:rPr>
              <w:t>不必须取得《气象专用技术装备使用许可证》的，可以不提供）；</w:t>
            </w:r>
            <w:r>
              <w:rPr>
                <w:rFonts w:ascii="宋体" w:hAnsi="宋体" w:hint="eastAsia"/>
                <w:sz w:val="18"/>
                <w:szCs w:val="18"/>
              </w:rPr>
              <w:t>⑦进口产品制造商授权书（响应货物不是进口产品的，不提供）；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eastAsia="宋体" w:hAnsi="宋体" w:cs="Times New Roman" w:hint="eastAsia"/>
                <w:sz w:val="18"/>
                <w:szCs w:val="18"/>
              </w:rPr>
              <w:t>（4）银行保函或磋商保证金说明函（本项目不要求提交磋商保证金的不提供）。（5）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4D4372C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EA74AF5">
            <w:pPr>
              <w:numPr>
                <w:ilvl w:val="0"/>
                <w:numId w:val="2"/>
              </w:numPr>
              <w:jc w:val="left"/>
              <w:rPr>
                <w:rFonts w:ascii="宋体" w:eastAsia="宋体" w:hAnsi="宋体" w:cs="Times New Roman"/>
                <w:sz w:val="18"/>
                <w:szCs w:val="18"/>
              </w:rPr>
            </w:pPr>
          </w:p>
        </w:tc>
        <w:tc>
          <w:tcPr>
            <w:tcW w:w="850" w:type="dxa"/>
            <w:vAlign w:val="center"/>
          </w:tcPr>
          <w:p w14:paraId="3F102223">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549C6E4B">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响应人未提交全以下技术文件：1、报价一览表；2、分项报价表；3、技术要求偏离表；4、</w:t>
            </w:r>
          </w:p>
          <w:p w14:paraId="4A824727">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按照</w:t>
            </w:r>
            <w:r>
              <w:rPr>
                <w:rFonts w:ascii="宋体" w:eastAsia="宋体" w:hAnsi="宋体" w:cs="Times New Roman" w:hint="eastAsia"/>
                <w:b/>
                <w:sz w:val="18"/>
                <w:szCs w:val="18"/>
              </w:rPr>
              <w:t>第五章响应人须知专用部分5.13条</w:t>
            </w:r>
            <w:r>
              <w:rPr>
                <w:rFonts w:ascii="宋体" w:eastAsia="宋体" w:hAnsi="宋体" w:cs="Times New Roman" w:hint="eastAsia"/>
                <w:sz w:val="18"/>
                <w:szCs w:val="18"/>
              </w:rPr>
              <w:t>规定应提交的其他技术文件。</w:t>
            </w:r>
          </w:p>
        </w:tc>
      </w:tr>
      <w:tr w14:paraId="7C242CA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A94D1B4">
            <w:pPr>
              <w:numPr>
                <w:ilvl w:val="0"/>
                <w:numId w:val="2"/>
              </w:numPr>
              <w:jc w:val="left"/>
              <w:rPr>
                <w:rFonts w:ascii="宋体" w:eastAsia="宋体" w:hAnsi="宋体" w:cs="Times New Roman"/>
                <w:sz w:val="18"/>
                <w:szCs w:val="18"/>
              </w:rPr>
            </w:pPr>
          </w:p>
        </w:tc>
        <w:tc>
          <w:tcPr>
            <w:tcW w:w="850" w:type="dxa"/>
            <w:vAlign w:val="center"/>
          </w:tcPr>
          <w:p w14:paraId="3D81CECA">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34A1E7C3">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在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22C9CB3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1E9172B">
            <w:pPr>
              <w:numPr>
                <w:ilvl w:val="0"/>
                <w:numId w:val="2"/>
              </w:numPr>
              <w:jc w:val="left"/>
              <w:rPr>
                <w:rFonts w:ascii="宋体" w:eastAsia="宋体" w:hAnsi="宋体" w:cs="Times New Roman"/>
                <w:sz w:val="18"/>
                <w:szCs w:val="18"/>
              </w:rPr>
            </w:pPr>
          </w:p>
        </w:tc>
        <w:tc>
          <w:tcPr>
            <w:tcW w:w="850" w:type="dxa"/>
            <w:vAlign w:val="center"/>
          </w:tcPr>
          <w:p w14:paraId="12BB838A">
            <w:pPr>
              <w:jc w:val="left"/>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0E29F45D">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要求响应人提供磋商保证金，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提交的磋商保证金的有效期限少于响应有效期，或所提交保证金金额小于本项目应提供磋商保证金额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3052EAA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89BDE02">
            <w:pPr>
              <w:numPr>
                <w:ilvl w:val="0"/>
                <w:numId w:val="2"/>
              </w:numPr>
              <w:jc w:val="left"/>
              <w:rPr>
                <w:rFonts w:ascii="宋体" w:eastAsia="宋体" w:hAnsi="宋体" w:cs="Times New Roman"/>
                <w:sz w:val="18"/>
                <w:szCs w:val="18"/>
              </w:rPr>
            </w:pPr>
          </w:p>
        </w:tc>
        <w:tc>
          <w:tcPr>
            <w:tcW w:w="850" w:type="dxa"/>
            <w:vAlign w:val="center"/>
          </w:tcPr>
          <w:p w14:paraId="66E7E17D">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6C3617DF">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63D8BBB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2892CD5">
            <w:pPr>
              <w:numPr>
                <w:ilvl w:val="0"/>
                <w:numId w:val="2"/>
              </w:numPr>
              <w:jc w:val="left"/>
              <w:rPr>
                <w:rFonts w:ascii="宋体" w:eastAsia="宋体" w:hAnsi="宋体" w:cs="Times New Roman"/>
                <w:sz w:val="18"/>
                <w:szCs w:val="18"/>
              </w:rPr>
            </w:pPr>
          </w:p>
        </w:tc>
        <w:tc>
          <w:tcPr>
            <w:tcW w:w="850" w:type="dxa"/>
            <w:vAlign w:val="center"/>
          </w:tcPr>
          <w:p w14:paraId="7BE68B42">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0AAD90E4">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06E4E19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E7772B0">
            <w:pPr>
              <w:numPr>
                <w:ilvl w:val="0"/>
                <w:numId w:val="2"/>
              </w:numPr>
              <w:jc w:val="left"/>
              <w:rPr>
                <w:rFonts w:ascii="宋体" w:eastAsia="宋体" w:hAnsi="宋体" w:cs="Times New Roman"/>
                <w:sz w:val="18"/>
                <w:szCs w:val="18"/>
              </w:rPr>
            </w:pPr>
          </w:p>
        </w:tc>
        <w:tc>
          <w:tcPr>
            <w:tcW w:w="850" w:type="dxa"/>
            <w:vAlign w:val="center"/>
          </w:tcPr>
          <w:p w14:paraId="05457A24">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429821AA">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不符合磋商文件中有关分包规定的，其响应将被拒绝。</w:t>
            </w:r>
          </w:p>
        </w:tc>
      </w:tr>
      <w:tr w14:paraId="2655258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6037D27">
            <w:pPr>
              <w:numPr>
                <w:ilvl w:val="0"/>
                <w:numId w:val="2"/>
              </w:numPr>
              <w:jc w:val="left"/>
              <w:rPr>
                <w:rFonts w:ascii="宋体" w:eastAsia="宋体" w:hAnsi="宋体" w:cs="Times New Roman"/>
                <w:sz w:val="18"/>
                <w:szCs w:val="18"/>
              </w:rPr>
            </w:pPr>
          </w:p>
        </w:tc>
        <w:tc>
          <w:tcPr>
            <w:tcW w:w="850" w:type="dxa"/>
            <w:vAlign w:val="center"/>
          </w:tcPr>
          <w:p w14:paraId="1F804637">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1E2E5B19">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0F03D19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B293A5E"/>
        </w:tc>
        <w:tc>
          <w:tcPr>
            <w:tcW w:w="850" w:type="dxa"/>
            <w:vAlign w:val="center"/>
          </w:tcPr>
          <w:p w14:paraId="7A953FAD"/>
        </w:tc>
        <w:tc>
          <w:tcPr>
            <w:tcW w:w="7723" w:type="dxa"/>
            <w:vAlign w:val="center"/>
          </w:tcPr>
          <w:p w14:paraId="38CA1031"/>
        </w:tc>
      </w:tr>
      <w:tr w14:paraId="3DF3E67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1428D671">
            <w:pPr>
              <w:numPr>
                <w:ilvl w:val="0"/>
                <w:numId w:val="2"/>
              </w:numPr>
              <w:jc w:val="left"/>
              <w:rPr>
                <w:rFonts w:ascii="宋体" w:eastAsia="宋体" w:hAnsi="宋体" w:cs="Times New Roman"/>
                <w:sz w:val="18"/>
                <w:szCs w:val="18"/>
              </w:rPr>
            </w:pPr>
          </w:p>
        </w:tc>
        <w:tc>
          <w:tcPr>
            <w:tcW w:w="850" w:type="dxa"/>
            <w:vAlign w:val="center"/>
          </w:tcPr>
          <w:p w14:paraId="3F871908">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6E54A472">
            <w:pPr>
              <w:tabs>
                <w:tab w:val="left" w:pos="5580"/>
              </w:tabs>
              <w:adjustRightInd w:val="0"/>
              <w:snapToGrid w:val="0"/>
              <w:spacing w:line="360" w:lineRule="auto"/>
              <w:jc w:val="left"/>
              <w:rPr>
                <w:rFonts w:ascii="宋体" w:eastAsia="宋体" w:hAnsi="宋体" w:cs="Times New Roman"/>
                <w:bCs/>
                <w:sz w:val="18"/>
                <w:szCs w:val="18"/>
              </w:rPr>
            </w:pPr>
            <w:r>
              <w:rPr>
                <w:rFonts w:ascii="宋体" w:eastAsia="宋体" w:hAnsi="宋体" w:cs="Times New Roman" w:hint="eastAsia"/>
                <w:bCs/>
                <w:sz w:val="18"/>
                <w:szCs w:val="18"/>
              </w:rPr>
              <w:t>响应文件报价出现前后不一致的，按</w:t>
            </w:r>
            <w:r>
              <w:rPr>
                <w:rFonts w:ascii="宋体" w:eastAsia="宋体" w:hAnsi="宋体" w:cs="Times New Roman"/>
                <w:bCs/>
                <w:sz w:val="18"/>
                <w:szCs w:val="18"/>
              </w:rPr>
              <w:t>1.2</w:t>
            </w:r>
            <w:r>
              <w:rPr>
                <w:rFonts w:ascii="宋体" w:eastAsia="宋体" w:hAnsi="宋体" w:cs="Times New Roman" w:hint="eastAsia"/>
                <w:bCs/>
                <w:sz w:val="18"/>
                <w:szCs w:val="18"/>
              </w:rPr>
              <w:t>6</w:t>
            </w:r>
            <w:r>
              <w:rPr>
                <w:rFonts w:ascii="宋体" w:eastAsia="宋体" w:hAnsi="宋体" w:cs="Times New Roman"/>
                <w:bCs/>
                <w:sz w:val="18"/>
                <w:szCs w:val="18"/>
              </w:rPr>
              <w:t>.3</w:t>
            </w:r>
            <w:r>
              <w:rPr>
                <w:rFonts w:ascii="宋体" w:eastAsia="宋体" w:hAnsi="宋体" w:cs="Times New Roman" w:hint="eastAsia"/>
                <w:bCs/>
                <w:sz w:val="18"/>
                <w:szCs w:val="18"/>
              </w:rPr>
              <w:t>的规定修正并经响应人确认。响应人不确认的，其响应无效。</w:t>
            </w:r>
          </w:p>
        </w:tc>
      </w:tr>
      <w:tr w14:paraId="0A26E246">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09883613">
            <w:pPr>
              <w:numPr>
                <w:ilvl w:val="0"/>
                <w:numId w:val="2"/>
              </w:numPr>
              <w:jc w:val="left"/>
              <w:rPr>
                <w:rFonts w:ascii="宋体" w:eastAsia="宋体" w:hAnsi="宋体" w:cs="Times New Roman"/>
                <w:sz w:val="18"/>
                <w:szCs w:val="18"/>
              </w:rPr>
            </w:pPr>
          </w:p>
        </w:tc>
        <w:tc>
          <w:tcPr>
            <w:tcW w:w="850" w:type="dxa"/>
            <w:vAlign w:val="center"/>
          </w:tcPr>
          <w:p w14:paraId="7995F465">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31C1F3A1">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响应人拒不按照要求对响应文件进行澄清、说明或者补正的，磋商小组可拒绝该响应</w:t>
            </w:r>
            <w:r>
              <w:rPr>
                <w:rFonts w:asciiTheme="minorEastAsia" w:hAnsiTheme="minorEastAsia" w:cs="微软雅黑" w:hint="eastAsia"/>
                <w:kern w:val="20"/>
                <w:sz w:val="18"/>
                <w:szCs w:val="18"/>
                <w:lang w:val="zh-CN"/>
              </w:rPr>
              <w:t>。</w:t>
            </w:r>
          </w:p>
        </w:tc>
      </w:tr>
      <w:tr w14:paraId="7C70D818">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91625C8">
            <w:pPr>
              <w:numPr>
                <w:ilvl w:val="0"/>
                <w:numId w:val="2"/>
              </w:numPr>
              <w:jc w:val="left"/>
              <w:rPr>
                <w:rFonts w:ascii="宋体" w:eastAsia="宋体" w:hAnsi="宋体" w:cs="Times New Roman"/>
                <w:sz w:val="18"/>
                <w:szCs w:val="18"/>
              </w:rPr>
            </w:pPr>
          </w:p>
        </w:tc>
        <w:tc>
          <w:tcPr>
            <w:tcW w:w="850" w:type="dxa"/>
            <w:vAlign w:val="center"/>
          </w:tcPr>
          <w:p w14:paraId="6762B419">
            <w:pPr>
              <w:rPr>
                <w:rFonts w:ascii="宋体" w:eastAsia="宋体" w:hAnsi="宋体" w:cs="Times New Roman"/>
                <w:sz w:val="18"/>
                <w:szCs w:val="18"/>
              </w:rPr>
            </w:pPr>
            <w:r>
              <w:rPr>
                <w:rFonts w:ascii="宋体" w:eastAsia="宋体" w:hAnsi="宋体" w:cs="Times New Roman" w:hint="eastAsia"/>
                <w:sz w:val="18"/>
                <w:szCs w:val="18"/>
              </w:rPr>
              <w:t>1.27.2</w:t>
            </w:r>
          </w:p>
        </w:tc>
        <w:tc>
          <w:tcPr>
            <w:tcW w:w="7723" w:type="dxa"/>
            <w:vAlign w:val="center"/>
          </w:tcPr>
          <w:p w14:paraId="2DD9E57F">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如磋商小组一致认为某个响应人的报价与各响应人报价的平均报价价差较大，存在明显不合理，有低于成本价或降低质量、不能诚信履行的可能，影响公平竞争时，磋商小组有权决定是否通知响应人限期进行书面解释或提供相关证明材料。若已要求，而该响应人在规定期限内未做出解释、作出的解释不合理或不能提供证明材料的，磋商小组可拒绝该响应</w:t>
            </w:r>
            <w:r>
              <w:rPr>
                <w:rFonts w:asciiTheme="minorEastAsia" w:hAnsiTheme="minorEastAsia" w:cs="微软雅黑" w:hint="eastAsia"/>
                <w:kern w:val="20"/>
                <w:sz w:val="18"/>
                <w:szCs w:val="18"/>
                <w:lang w:val="zh-CN"/>
              </w:rPr>
              <w:t>。</w:t>
            </w:r>
          </w:p>
        </w:tc>
      </w:tr>
      <w:tr w14:paraId="49190DDE">
        <w:tblPrEx>
          <w:tblW w:w="9248" w:type="dxa"/>
          <w:tblInd w:w="0" w:type="dxa"/>
          <w:tblLayout w:type="fixed"/>
          <w:tblCellMar>
            <w:top w:w="0" w:type="dxa"/>
            <w:left w:w="108" w:type="dxa"/>
            <w:bottom w:w="0" w:type="dxa"/>
            <w:right w:w="108" w:type="dxa"/>
          </w:tblCellMar>
        </w:tblPrEx>
        <w:trPr>
          <w:cantSplit/>
          <w:trHeight w:val="376"/>
        </w:trPr>
        <w:tc>
          <w:tcPr>
            <w:tcW w:w="9248" w:type="dxa"/>
            <w:gridSpan w:val="3"/>
            <w:vAlign w:val="center"/>
          </w:tcPr>
          <w:p w14:paraId="5076AD97">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3ABB8F8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F5829F4">
            <w:pPr>
              <w:numPr>
                <w:ilvl w:val="0"/>
                <w:numId w:val="2"/>
              </w:numPr>
              <w:jc w:val="left"/>
              <w:rPr>
                <w:rFonts w:ascii="宋体" w:eastAsia="宋体" w:hAnsi="宋体" w:cs="Times New Roman"/>
                <w:sz w:val="18"/>
                <w:szCs w:val="18"/>
              </w:rPr>
            </w:pPr>
          </w:p>
        </w:tc>
        <w:tc>
          <w:tcPr>
            <w:tcW w:w="850" w:type="dxa"/>
            <w:vAlign w:val="center"/>
          </w:tcPr>
          <w:p w14:paraId="0D3714B8">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69A2D428">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03D1D28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D7D4F03">
            <w:pPr>
              <w:numPr>
                <w:ilvl w:val="0"/>
                <w:numId w:val="2"/>
              </w:numPr>
              <w:jc w:val="left"/>
              <w:rPr>
                <w:rFonts w:ascii="宋体" w:eastAsia="宋体" w:hAnsi="宋体" w:cs="Times New Roman"/>
                <w:sz w:val="18"/>
                <w:szCs w:val="18"/>
              </w:rPr>
            </w:pPr>
          </w:p>
        </w:tc>
        <w:tc>
          <w:tcPr>
            <w:tcW w:w="850" w:type="dxa"/>
            <w:vAlign w:val="center"/>
          </w:tcPr>
          <w:p w14:paraId="43393B5F">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4F4C49A8">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55897A50">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43A1610C">
            <w:pPr>
              <w:numPr>
                <w:ilvl w:val="0"/>
                <w:numId w:val="2"/>
              </w:numPr>
              <w:jc w:val="left"/>
              <w:rPr>
                <w:rFonts w:ascii="宋体" w:eastAsia="宋体" w:hAnsi="宋体" w:cs="Times New Roman"/>
                <w:sz w:val="18"/>
                <w:szCs w:val="18"/>
              </w:rPr>
            </w:pPr>
          </w:p>
        </w:tc>
        <w:tc>
          <w:tcPr>
            <w:tcW w:w="850" w:type="dxa"/>
            <w:vAlign w:val="center"/>
          </w:tcPr>
          <w:p w14:paraId="5BF6DAB1">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32044D53">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50A442F5">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41A31EE">
            <w:pPr>
              <w:numPr>
                <w:ilvl w:val="0"/>
                <w:numId w:val="2"/>
              </w:numPr>
              <w:jc w:val="left"/>
              <w:rPr>
                <w:rFonts w:ascii="宋体" w:eastAsia="宋体" w:hAnsi="宋体" w:cs="Times New Roman"/>
                <w:sz w:val="18"/>
                <w:szCs w:val="18"/>
              </w:rPr>
            </w:pPr>
          </w:p>
        </w:tc>
        <w:tc>
          <w:tcPr>
            <w:tcW w:w="850" w:type="dxa"/>
            <w:vAlign w:val="center"/>
          </w:tcPr>
          <w:p w14:paraId="335EA406">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0CD2C675">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482A3684">
      <w:pPr>
        <w:spacing w:line="360" w:lineRule="auto"/>
        <w:jc w:val="left"/>
        <w:rPr>
          <w:rFonts w:ascii="Times New Roman" w:eastAsia="宋体" w:hAnsi="Times New Roman" w:cs="Times New Roman"/>
          <w:b/>
          <w:bCs/>
          <w:sz w:val="44"/>
          <w:szCs w:val="44"/>
        </w:rPr>
      </w:pPr>
    </w:p>
    <w:p w14:paraId="5248076E">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0E199E1D">
      <w:pPr>
        <w:spacing w:line="360" w:lineRule="auto"/>
        <w:jc w:val="left"/>
        <w:rPr>
          <w:rFonts w:ascii="宋体" w:eastAsia="宋体" w:hAnsi="宋体" w:cs="微软雅黑"/>
          <w:b/>
          <w:color w:val="0000FF"/>
          <w:kern w:val="0"/>
          <w:szCs w:val="21"/>
        </w:rPr>
      </w:pPr>
    </w:p>
    <w:p w14:paraId="7C50B5B7">
      <w:pPr>
        <w:spacing w:line="360" w:lineRule="auto"/>
        <w:jc w:val="left"/>
        <w:rPr>
          <w:rFonts w:ascii="Times New Roman" w:eastAsia="宋体" w:hAnsi="Times New Roman" w:cs="Times New Roman"/>
          <w:b/>
          <w:bCs/>
          <w:sz w:val="44"/>
          <w:szCs w:val="44"/>
        </w:rPr>
      </w:pPr>
    </w:p>
    <w:p w14:paraId="51ADB798">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0EA499D5">
      <w:pPr>
        <w:spacing w:line="360" w:lineRule="auto"/>
        <w:rPr>
          <w:rFonts w:ascii="Times New Roman" w:eastAsia="宋体" w:hAnsi="Times New Roman" w:cs="Times New Roman"/>
          <w:szCs w:val="20"/>
        </w:rPr>
      </w:pPr>
    </w:p>
    <w:p w14:paraId="4BC1BD01">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1834C1A5">
      <w:pPr>
        <w:spacing w:line="360" w:lineRule="auto"/>
        <w:rPr>
          <w:rFonts w:ascii="Times New Roman" w:eastAsia="宋体" w:hAnsi="Times New Roman" w:cs="Times New Roman"/>
          <w:b/>
          <w:bCs/>
          <w:szCs w:val="21"/>
        </w:rPr>
      </w:pPr>
    </w:p>
    <w:p w14:paraId="6E469384">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磋商邀请书</w:t>
      </w:r>
    </w:p>
    <w:p w14:paraId="7D01B4AC">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152D0A2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评审方法和评审标准</w:t>
      </w:r>
    </w:p>
    <w:p w14:paraId="5E835763">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采购需求</w:t>
      </w:r>
    </w:p>
    <w:p w14:paraId="707C5D27">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第八章  响应被拒绝条款专用部分</w:t>
      </w:r>
    </w:p>
    <w:p w14:paraId="3C63A8FB">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1F65224F">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磋商邀请书</w:t>
      </w:r>
    </w:p>
    <w:p w14:paraId="5E6E77F4">
      <w:pPr>
        <w:spacing w:line="360" w:lineRule="auto"/>
        <w:jc w:val="center"/>
        <w:rPr>
          <w:rFonts w:ascii="Times New Roman" w:eastAsia="宋体" w:hAnsi="Times New Roman" w:cs="Times New Roman"/>
          <w:b/>
          <w:bCs/>
          <w:sz w:val="28"/>
          <w:szCs w:val="28"/>
        </w:rPr>
      </w:pPr>
    </w:p>
    <w:p w14:paraId="0CCF235E">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18" w:name="采购人_recorderOrgName"/>
      <w:r>
        <w:rPr>
          <w:rFonts w:ascii="宋体" w:hAnsi="宋体" w:cs="微软雅黑"/>
          <w:b/>
          <w:color w:val="0000FF"/>
          <w:kern w:val="0"/>
          <w:szCs w:val="21"/>
        </w:rPr>
        <w:t>新疆维吾尔自治区气象技术装备保障中心</w:t>
      </w:r>
      <w:bookmarkEnd w:id="18"/>
      <w:r>
        <w:rPr>
          <w:rFonts w:ascii="宋体" w:hAnsi="宋体"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的相关货物和有关服务采购进行境内竞争性磋商，邀请合格响应人参与。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w:t>
      </w:r>
      <w:r>
        <w:rPr>
          <w:rFonts w:ascii="宋体" w:hAnsi="宋体" w:hint="eastAsia"/>
          <w:b/>
          <w:szCs w:val="21"/>
        </w:rPr>
        <w:t>名称：</w:t>
      </w:r>
      <w:r>
        <w:rPr>
          <w:rFonts w:ascii="微软雅黑" w:eastAsia="微软雅黑" w:hAnsi="微软雅黑" w:cs="微软雅黑" w:hint="eastAsia"/>
          <w:color w:val="0000FF"/>
          <w:kern w:val="0"/>
          <w:szCs w:val="21"/>
        </w:rPr>
        <w:t xml:space="preserve"> </w:t>
      </w:r>
      <w:bookmarkStart w:id="19" w:name="项目名称_taskName"/>
      <w:r>
        <w:rPr>
          <w:rFonts w:ascii="宋体" w:hAnsi="宋体" w:cs="微软雅黑"/>
          <w:b/>
          <w:color w:val="0000FF"/>
          <w:kern w:val="0"/>
          <w:szCs w:val="21"/>
        </w:rPr>
        <w:t>2025年新疆通量系统建设项目-高精度温室气体浓度观测系统</w:t>
      </w:r>
      <w:bookmarkEnd w:id="19"/>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0" w:name="封面_projectNo_2"/>
      <w:r>
        <w:rPr>
          <w:rFonts w:ascii="宋体" w:hAnsi="宋体" w:cs="微软雅黑" w:hint="eastAsia"/>
          <w:b/>
          <w:color w:val="0000FF"/>
          <w:kern w:val="0"/>
          <w:szCs w:val="21"/>
        </w:rPr>
        <w:t>ZQCD-25492</w:t>
      </w:r>
      <w:bookmarkEnd w:id="20"/>
      <w:r>
        <w:rPr>
          <w:rFonts w:ascii="宋体" w:hAnsi="宋体" w:cs="宋体" w:hint="eastAsia"/>
          <w:b/>
          <w:bCs/>
          <w:szCs w:val="21"/>
        </w:rPr>
        <w:t>。</w:t>
      </w:r>
    </w:p>
    <w:p w14:paraId="5FC5DB99">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1FE4FA54">
      <w:pPr>
        <w:adjustRightInd/>
        <w:snapToGrid/>
        <w:spacing w:line="400" w:lineRule="exact"/>
        <w:ind w:firstLine="420" w:firstLineChars="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本次磋商</w:t>
      </w:r>
      <w:r>
        <w:rPr>
          <w:rFonts w:ascii="宋体" w:hAnsi="宋体" w:hint="eastAsia"/>
          <w:szCs w:val="21"/>
        </w:rPr>
        <w:t>共</w:t>
      </w:r>
      <w:r>
        <w:rPr>
          <w:rFonts w:ascii="宋体" w:hAnsi="宋体" w:cs="微软雅黑" w:hint="eastAsia"/>
          <w:b/>
          <w:color w:val="0000FF"/>
          <w:kern w:val="0"/>
          <w:szCs w:val="21"/>
        </w:rPr>
        <w:t xml:space="preserve"> </w:t>
      </w:r>
      <w:bookmarkStart w:id="21" w:name="包数量_packageCount"/>
      <w:r>
        <w:rPr>
          <w:rFonts w:ascii="宋体" w:hAnsi="宋体" w:cs="微软雅黑" w:hint="eastAsia"/>
          <w:color w:val="0000FF"/>
          <w:kern w:val="0"/>
          <w:szCs w:val="21"/>
        </w:rPr>
        <w:t>1</w:t>
      </w:r>
      <w:bookmarkEnd w:id="21"/>
      <w:r>
        <w:rPr>
          <w:rFonts w:ascii="宋体" w:hAnsi="宋体" w:cs="微软雅黑" w:hint="eastAsia"/>
          <w:b/>
          <w:color w:val="0000FF"/>
          <w:kern w:val="0"/>
          <w:szCs w:val="21"/>
        </w:rPr>
        <w:t xml:space="preserve"> </w:t>
      </w:r>
      <w:r>
        <w:rPr>
          <w:rFonts w:ascii="宋体" w:hAnsi="宋体" w:hint="eastAsia"/>
          <w:szCs w:val="21"/>
          <w:u w:val="single"/>
        </w:rPr>
        <w:t>包</w:t>
      </w:r>
      <w:r>
        <w:rPr>
          <w:rFonts w:ascii="宋体" w:eastAsia="宋体" w:hAnsi="宋体" w:cs="宋体" w:hint="eastAsia"/>
          <w:szCs w:val="21"/>
        </w:rPr>
        <w:t>。</w:t>
      </w:r>
    </w:p>
    <w:p w14:paraId="123C804A">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（详见第七章采购需求）</w:t>
      </w:r>
    </w:p>
    <w:p w14:paraId="69155CA7">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43E8D545">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磋商文件中第七章“采购需求”的相应规定为准。响应人的响应文件必须满足本次采购的实质目的，完全实现所应有的全部要求。响应人若存在任何理解上无法正确确定之处，均应当按照磋商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3267681C">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w:t>
      </w:r>
      <w:r>
        <w:rPr>
          <w:rFonts w:ascii="宋体" w:hAnsi="宋体" w:hint="eastAsia"/>
          <w:bCs/>
          <w:szCs w:val="21"/>
        </w:rPr>
        <w:t>时间：</w:t>
      </w:r>
      <w:bookmarkStart w:id="22" w:name="合同履约期限_contractPerformancePeriod"/>
      <w:r>
        <w:rPr>
          <w:rFonts w:ascii="宋体" w:hAnsi="宋体" w:cs="微软雅黑" w:hint="eastAsia"/>
          <w:b/>
          <w:color w:val="0000FF"/>
          <w:kern w:val="0"/>
          <w:szCs w:val="21"/>
        </w:rPr>
        <w:t>合同签订后120天内交货，180天内完成安装调试并具备验收条件</w:t>
      </w:r>
      <w:bookmarkEnd w:id="22"/>
      <w:r>
        <w:rPr>
          <w:rFonts w:ascii="宋体" w:hAnsi="宋体" w:cs="微软雅黑" w:hint="eastAsia"/>
          <w:b/>
          <w:color w:val="0000FF"/>
          <w:kern w:val="0"/>
          <w:szCs w:val="21"/>
        </w:rPr>
        <w:t>。</w:t>
      </w:r>
    </w:p>
    <w:p w14:paraId="0ABF32D9">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3" w:name="合同履约期限_performanceAddress"/>
      <w:r>
        <w:rPr>
          <w:rFonts w:ascii="宋体" w:hAnsi="宋体" w:cs="微软雅黑" w:hint="eastAsia"/>
          <w:b/>
          <w:color w:val="0000FF"/>
          <w:kern w:val="0"/>
          <w:szCs w:val="21"/>
        </w:rPr>
        <w:t>新疆区域内</w:t>
      </w:r>
      <w:bookmarkEnd w:id="23"/>
      <w:r>
        <w:rPr>
          <w:rFonts w:ascii="宋体" w:eastAsia="宋体" w:hAnsi="宋体" w:cs="微软雅黑" w:hint="eastAsia"/>
          <w:b/>
          <w:color w:val="0000FF"/>
          <w:kern w:val="0"/>
          <w:szCs w:val="21"/>
        </w:rPr>
        <w:t>。</w:t>
      </w:r>
    </w:p>
    <w:p w14:paraId="0DC22D21">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磋商文件获取</w:t>
      </w:r>
    </w:p>
    <w:p w14:paraId="53698B2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1、潜在响应人按以下步骤获取磋商文件：</w:t>
      </w:r>
    </w:p>
    <w:p w14:paraId="057A61C2">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04FB5969">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hAnsi="宋体"/>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18E18F10">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w:t>
      </w:r>
      <w:r>
        <w:rPr>
          <w:rFonts w:ascii="宋体" w:hint="eastAsia"/>
          <w:szCs w:val="21"/>
        </w:rPr>
        <w:t>时间：</w:t>
      </w:r>
      <w:bookmarkStart w:id="24" w:name="项目公告_signUpFirstTime"/>
      <w:r>
        <w:rPr>
          <w:rFonts w:ascii="宋体" w:eastAsia="宋体" w:hAnsi="宋体" w:cs="Times New Roman" w:hint="eastAsia"/>
          <w:szCs w:val="21"/>
          <w:highlight w:val="none"/>
        </w:rPr>
        <w:t>2025年12月17日 00:00:00</w:t>
      </w:r>
      <w:bookmarkEnd w:id="24"/>
      <w:r>
        <w:rPr>
          <w:rFonts w:ascii="宋体" w:eastAsia="宋体" w:hAnsi="宋体" w:cs="Times New Roman" w:hint="eastAsia"/>
          <w:szCs w:val="21"/>
          <w:highlight w:val="none"/>
        </w:rPr>
        <w:t>至</w:t>
      </w:r>
      <w:bookmarkStart w:id="25" w:name="项目公告_signUpLastTime"/>
      <w:r>
        <w:rPr>
          <w:rFonts w:ascii="宋体" w:eastAsia="宋体" w:hAnsi="宋体" w:cs="Times New Roman" w:hint="eastAsia"/>
          <w:szCs w:val="21"/>
          <w:highlight w:val="none"/>
        </w:rPr>
        <w:t>2025年12月28日 23:59:59</w:t>
      </w:r>
      <w:bookmarkEnd w:id="25"/>
      <w:r>
        <w:rPr>
          <w:rFonts w:ascii="宋体" w:hint="eastAsia"/>
          <w:szCs w:val="21"/>
          <w:highlight w:val="white"/>
        </w:rPr>
        <w:t>（北京时间）</w:t>
      </w:r>
      <w:r>
        <w:rPr>
          <w:rFonts w:ascii="宋体" w:eastAsia="宋体" w:hAnsi="宋体" w:cs="Times New Roman" w:hint="eastAsia"/>
          <w:szCs w:val="21"/>
        </w:rPr>
        <w:t>。请潜在响应人务必在网上报名截止时间前进行报名并按包号下载磋商文件，超过报名截止时间的将无法报名。</w:t>
      </w:r>
    </w:p>
    <w:p w14:paraId="346EA886">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第三步：下载磋商文件。潜在响应人报名成功后即可下载拟参加项目对应包号的磋商文件（如潜在响应人属于本次采购的被随机抽取或被推荐供应商无需报名即可直接下载磋商文件）。</w:t>
      </w:r>
    </w:p>
    <w:p w14:paraId="7209CB9C">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磋商文件公告期限届满（即报名截止时间）后仍允许下载磋商文件参加响应，但为提高采购效率，在公告期限届满之后下载磋商文件的，对磋商文件的质疑期限从公告期限届满之日起计算；在公告期限届满之前下载磋商文件的，对磋商文件的质疑期限从下载之日起计算。</w:t>
      </w:r>
    </w:p>
    <w:p w14:paraId="5D92D86F">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潜在响应人在报名及下载磋商文件的过程中，涉及系统平台操作的技术问题，可致电采购中心技术支持电话。</w:t>
      </w:r>
    </w:p>
    <w:p w14:paraId="1C5CA1B3">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3586A0D6">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w:t>
      </w:r>
      <w:r>
        <w:rPr>
          <w:rFonts w:ascii="宋体" w:hint="eastAsia"/>
          <w:szCs w:val="21"/>
        </w:rPr>
        <w:t>时间：</w:t>
      </w:r>
      <w:bookmarkStart w:id="26" w:name="项目公告_openBidTime"/>
      <w:r>
        <w:rPr>
          <w:rFonts w:ascii="宋体" w:eastAsia="宋体" w:hAnsi="宋体" w:cs="Times New Roman" w:hint="eastAsia"/>
          <w:bCs w:val="0"/>
          <w:szCs w:val="21"/>
          <w:highlight w:val="none"/>
        </w:rPr>
        <w:t>2025年12月28日 10:00:00</w:t>
      </w:r>
      <w:bookmarkEnd w:id="26"/>
      <w:r>
        <w:rPr>
          <w:rFonts w:ascii="宋体" w:eastAsia="宋体" w:hAnsi="宋体" w:cs="Times New Roman" w:hint="eastAsia"/>
          <w:bCs w:val="0"/>
          <w:szCs w:val="21"/>
          <w:highlight w:val="none"/>
        </w:rPr>
        <w:t>（</w:t>
      </w:r>
      <w:r>
        <w:rPr>
          <w:rFonts w:ascii="宋体" w:hint="eastAsia"/>
          <w:bCs/>
          <w:szCs w:val="21"/>
          <w:highlight w:val="white"/>
        </w:rPr>
        <w:t>北京时间）</w:t>
      </w:r>
      <w:r>
        <w:rPr>
          <w:rFonts w:ascii="宋体" w:eastAsia="宋体" w:hAnsi="Times New Roman" w:cs="Times New Roman" w:hint="eastAsia"/>
          <w:szCs w:val="21"/>
        </w:rPr>
        <w:t>。</w:t>
      </w:r>
    </w:p>
    <w:p w14:paraId="42F50ECD">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D9A5C96">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35F6959D">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53B9D438">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hAnsi="宋体" w:hint="eastAsia"/>
          <w:bCs/>
          <w:szCs w:val="21"/>
          <w:highlight w:val="none"/>
        </w:rPr>
      </w:pPr>
      <w:bookmarkStart w:id="27"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7"/>
    </w:p>
    <w:p w14:paraId="1D8269CB">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5713F2C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磋商，则采购公告已在“中国政府采购网”等媒体上发布。如本项目通过从省级以上财政部门建立的供应商库中随机抽取或采购人和采购专家分别书面推荐的方式邀请符合相应资格条件的供应商参与竞争性磋商，则磋商文件已向相关供应商发出。</w:t>
      </w:r>
    </w:p>
    <w:p w14:paraId="7CAFD7D9">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eastAsia="宋体" w:hAnsi="宋体" w:cs="Times New Roman" w:hint="eastAsia"/>
          <w:b/>
          <w:szCs w:val="21"/>
          <w:highlight w:val="none"/>
          <w:u w:val="single"/>
        </w:rPr>
        <w:t>局北区7号楼30</w:t>
      </w:r>
      <w:r>
        <w:rPr>
          <w:rFonts w:ascii="宋体" w:hAnsi="宋体" w:hint="eastAsia"/>
          <w:b/>
          <w:szCs w:val="21"/>
          <w:u w:val="single"/>
        </w:rPr>
        <w:t>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28" w:name="contactName"/>
      <w:r>
        <w:rPr>
          <w:rFonts w:ascii="宋体" w:hAnsi="宋体" w:cs="微软雅黑"/>
          <w:b/>
          <w:color w:val="0000FF"/>
          <w:kern w:val="0"/>
          <w:szCs w:val="21"/>
        </w:rPr>
        <w:t>陈龙光</w:t>
      </w:r>
      <w:bookmarkEnd w:id="28"/>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29" w:name="contactPhone"/>
      <w:r>
        <w:rPr>
          <w:rFonts w:ascii="宋体" w:hAnsi="宋体" w:cs="微软雅黑"/>
          <w:b/>
          <w:color w:val="0000FF"/>
          <w:kern w:val="0"/>
          <w:szCs w:val="21"/>
        </w:rPr>
        <w:t>010-5899515</w:t>
      </w:r>
      <w:bookmarkEnd w:id="29"/>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0" w:name="采购人1_recorderOrgName"/>
      <w:r>
        <w:rPr>
          <w:rFonts w:ascii="宋体" w:hAnsi="宋体" w:cs="微软雅黑"/>
          <w:b/>
          <w:color w:val="0000FF"/>
          <w:kern w:val="0"/>
          <w:szCs w:val="21"/>
        </w:rPr>
        <w:t>新疆维吾尔自治区气象技术装备保障中心</w:t>
      </w:r>
      <w:bookmarkEnd w:id="30"/>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1" w:name="采购项目负责人_contactsName"/>
      <w:r>
        <w:rPr>
          <w:rFonts w:ascii="宋体" w:hAnsi="宋体" w:cs="微软雅黑"/>
          <w:b/>
          <w:color w:val="0000FF"/>
          <w:kern w:val="0"/>
          <w:szCs w:val="21"/>
        </w:rPr>
        <w:t>冯婉悦</w:t>
      </w:r>
      <w:bookmarkEnd w:id="31"/>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2" w:name="采购项目负责人办公电话_contactsTel"/>
      <w:r>
        <w:rPr>
          <w:rFonts w:ascii="宋体" w:hAnsi="宋体" w:cs="微软雅黑"/>
          <w:b/>
          <w:color w:val="0000FF"/>
          <w:kern w:val="0"/>
          <w:szCs w:val="21"/>
        </w:rPr>
        <w:t>0991-3631560</w:t>
      </w:r>
      <w:bookmarkEnd w:id="32"/>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3" w:name="采购单位所在地址_recorderOrgAddress"/>
      <w:r>
        <w:rPr>
          <w:rFonts w:ascii="宋体" w:hAnsi="宋体" w:cs="微软雅黑"/>
          <w:b/>
          <w:color w:val="0000FF"/>
          <w:kern w:val="0"/>
          <w:szCs w:val="21"/>
        </w:rPr>
        <w:t>新疆乌鲁木齐市新市区天津南路215号</w:t>
      </w:r>
      <w:bookmarkEnd w:id="33"/>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4" w:name="技术电话_technicalSupportPhoneNumber"/>
      <w:r>
        <w:rPr>
          <w:rFonts w:ascii="宋体" w:hAnsi="宋体" w:cs="宋体" w:hint="eastAsia"/>
          <w:szCs w:val="21"/>
        </w:rPr>
        <w:t>010-68406701</w:t>
      </w:r>
      <w:bookmarkEnd w:id="34"/>
    </w:p>
    <w:p w14:paraId="144A1B0C">
      <w:pPr>
        <w:spacing w:line="360" w:lineRule="auto"/>
        <w:jc w:val="center"/>
        <w:outlineLvl w:val="1"/>
        <w:rPr>
          <w:rFonts w:ascii="Times New Roman" w:eastAsia="宋体" w:hAnsi="Times New Roman" w:cs="Times New Roman"/>
          <w:b/>
          <w:sz w:val="30"/>
          <w:szCs w:val="30"/>
        </w:rPr>
      </w:pPr>
      <w:r>
        <w:rPr>
          <w:rFonts w:ascii="Times New Roman" w:eastAsia="宋体" w:hAnsi="Times New Roman" w:cs="Times New Roman"/>
          <w:b/>
          <w:bCs/>
          <w:szCs w:val="21"/>
        </w:rPr>
        <w:br w:type="page"/>
      </w:r>
      <w:bookmarkStart w:id="35" w:name="投标人须知专用部分_TBXZ"/>
      <w:r>
        <w:rPr>
          <w:rFonts w:ascii="Times New Roman" w:eastAsia="宋体" w:hAnsi="Times New Roman" w:cs="Times New Roman" w:hint="eastAsia"/>
          <w:b/>
          <w:sz w:val="30"/>
          <w:szCs w:val="30"/>
        </w:rPr>
        <w:t>第五章  响应人须知专用部分</w:t>
      </w:r>
    </w:p>
    <w:p w14:paraId="0D9D6D82">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D669CFC">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表格中要求事项已列入第三章、第八章响应被拒绝条款的，若有缺失或无效，将导致响应被拒绝</w:t>
      </w:r>
      <w:r>
        <w:rPr>
          <w:rFonts w:ascii="宋体" w:eastAsia="宋体" w:hAnsi="宋体" w:cs="Times New Roman" w:hint="eastAsia"/>
          <w:szCs w:val="21"/>
        </w:rPr>
        <w:t>。响应人须知通用部分或磋商文件其余部分与本表不一致的，以本表要求为准。</w:t>
      </w:r>
    </w:p>
    <w:p w14:paraId="23180F86">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239462F5">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3C889365">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1F966C40">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6D673BE0">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6CFDDEA0">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32C31356">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4B333084">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680ED7E7">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5F585C28">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274D5CC8">
            <w:pPr>
              <w:rPr>
                <w:rFonts w:ascii="Times New Roman" w:eastAsia="宋体" w:hAnsi="Times New Roman" w:cs="Times New Roman"/>
                <w:szCs w:val="21"/>
              </w:rPr>
            </w:pPr>
            <w:bookmarkStart w:id="36" w:name="采购人1_recorderOrgName_0"/>
            <w:r>
              <w:rPr>
                <w:rFonts w:ascii="宋体" w:eastAsia="宋体" w:hAnsi="宋体" w:cs="微软雅黑" w:hint="eastAsia"/>
                <w:kern w:val="0"/>
                <w:szCs w:val="21"/>
              </w:rPr>
              <w:t>新疆维吾尔自治区气象技术装备保障中心</w:t>
            </w:r>
            <w:bookmarkEnd w:id="36"/>
          </w:p>
        </w:tc>
      </w:tr>
      <w:tr w14:paraId="3EC6D214">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1C1C7F0F">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1A851F49">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628B502F">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302BE23C">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37" w:name="资_bidderQualificationValidBeyondDeadline"/>
            <w:r>
              <w:rPr>
                <w:rFonts w:ascii="宋体" w:eastAsia="宋体" w:hAnsi="宋体" w:cs="微软雅黑" w:hint="eastAsia"/>
                <w:kern w:val="0"/>
                <w:szCs w:val="21"/>
              </w:rPr>
              <w:t>无</w:t>
            </w:r>
            <w:bookmarkEnd w:id="37"/>
          </w:p>
        </w:tc>
      </w:tr>
      <w:tr w14:paraId="2FC423F3">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29044522">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3ADD3C0F">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D2AF67">
            <w:pPr>
              <w:rPr>
                <w:rFonts w:ascii="Times New Roman" w:eastAsia="宋体" w:hAnsi="Times New Roman" w:cs="Times New Roman"/>
                <w:szCs w:val="21"/>
              </w:rPr>
            </w:pPr>
            <w:r>
              <w:rPr>
                <w:rFonts w:ascii="Times New Roman" w:eastAsia="宋体" w:hAnsi="Times New Roman" w:cs="Times New Roman" w:hint="eastAsia"/>
                <w:szCs w:val="21"/>
              </w:rPr>
              <w:t>是否允许代理商响应</w:t>
            </w:r>
          </w:p>
        </w:tc>
        <w:tc>
          <w:tcPr>
            <w:tcW w:w="5209" w:type="dxa"/>
            <w:vAlign w:val="center"/>
          </w:tcPr>
          <w:p w14:paraId="219211A2">
            <w:pPr>
              <w:rPr>
                <w:rFonts w:asciiTheme="minorEastAsia" w:hAnsiTheme="minorEastAsia" w:cstheme="minorEastAsia" w:hint="eastAsia"/>
                <w:kern w:val="0"/>
                <w:szCs w:val="21"/>
              </w:rPr>
            </w:pPr>
            <w:bookmarkStart w:id="38" w:name="代理商投标_agentFlagText"/>
            <w:r>
              <w:rPr>
                <w:rFonts w:asciiTheme="minorEastAsia" w:eastAsiaTheme="minorEastAsia" w:hAnsiTheme="minorEastAsia" w:cstheme="minorEastAsia" w:hint="eastAsia"/>
                <w:kern w:val="0"/>
                <w:szCs w:val="21"/>
              </w:rPr>
              <w:t>不允许（仅针对以下产品：高精度温室气体浓度观测系统不允许代理商响应）</w:t>
            </w:r>
            <w:bookmarkEnd w:id="38"/>
          </w:p>
        </w:tc>
      </w:tr>
      <w:tr w14:paraId="71B91D6F">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162E932B">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30758BD5">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3B708ED4">
            <w:pPr>
              <w:rPr>
                <w:rFonts w:ascii="Times New Roman" w:eastAsia="宋体" w:hAnsi="Times New Roman" w:cs="Times New Roman"/>
                <w:szCs w:val="21"/>
              </w:rPr>
            </w:pPr>
            <w:r>
              <w:rPr>
                <w:rFonts w:ascii="Times New Roman" w:eastAsia="宋体" w:hAnsi="Times New Roman" w:cs="Times New Roman" w:hint="eastAsia"/>
                <w:szCs w:val="21"/>
              </w:rPr>
              <w:t>进口产品代理商应提交资料</w:t>
            </w:r>
          </w:p>
        </w:tc>
        <w:tc>
          <w:tcPr>
            <w:tcW w:w="5209" w:type="dxa"/>
            <w:vAlign w:val="center"/>
          </w:tcPr>
          <w:p w14:paraId="16C761E7">
            <w:pPr>
              <w:rPr>
                <w:rFonts w:ascii="宋体" w:eastAsia="宋体" w:hAnsi="宋体" w:cs="微软雅黑"/>
                <w:kern w:val="0"/>
                <w:szCs w:val="21"/>
              </w:rPr>
            </w:pPr>
            <w:bookmarkStart w:id="39" w:name="进口产品_agentMaterials"/>
            <w:r>
              <w:rPr>
                <w:rFonts w:ascii="宋体" w:hAnsi="宋体" w:cs="微软雅黑" w:hint="eastAsia"/>
                <w:kern w:val="0"/>
                <w:szCs w:val="21"/>
                <w:highlight w:val="none"/>
              </w:rPr>
              <w:t>无</w:t>
            </w:r>
            <w:bookmarkEnd w:id="39"/>
          </w:p>
        </w:tc>
      </w:tr>
      <w:tr w14:paraId="6A2B45B8">
        <w:tblPrEx>
          <w:tblW w:w="9003" w:type="dxa"/>
          <w:tblInd w:w="0" w:type="dxa"/>
          <w:tblLayout w:type="fixed"/>
          <w:tblCellMar>
            <w:top w:w="0" w:type="dxa"/>
            <w:left w:w="108" w:type="dxa"/>
            <w:bottom w:w="0" w:type="dxa"/>
            <w:right w:w="108" w:type="dxa"/>
          </w:tblCellMar>
        </w:tblPrEx>
        <w:trPr>
          <w:trHeight w:val="460"/>
        </w:trPr>
        <w:tc>
          <w:tcPr>
            <w:tcW w:w="675" w:type="dxa"/>
            <w:vAlign w:val="center"/>
          </w:tcPr>
          <w:p w14:paraId="014E7CBA">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55E4ED45">
            <w:pPr>
              <w:rPr>
                <w:rFonts w:ascii="Times New Roman" w:eastAsia="宋体" w:hAnsi="Times New Roman" w:cs="Times New Roman"/>
                <w:szCs w:val="21"/>
              </w:rPr>
            </w:pPr>
            <w:r>
              <w:rPr>
                <w:rFonts w:ascii="Times New Roman" w:eastAsia="宋体" w:hAnsi="Times New Roman" w:cs="Times New Roman" w:hint="eastAsia"/>
                <w:szCs w:val="21"/>
              </w:rPr>
              <w:t>1.3.4，1.28.12</w:t>
            </w:r>
          </w:p>
        </w:tc>
        <w:tc>
          <w:tcPr>
            <w:tcW w:w="1701" w:type="dxa"/>
            <w:vAlign w:val="center"/>
          </w:tcPr>
          <w:p w14:paraId="60E8FE4A">
            <w:pPr>
              <w:rPr>
                <w:rFonts w:ascii="Times New Roman" w:eastAsia="宋体" w:hAnsi="Times New Roman" w:cs="Times New Roman"/>
                <w:szCs w:val="21"/>
              </w:rPr>
            </w:pPr>
            <w:r>
              <w:rPr>
                <w:rFonts w:ascii="Times New Roman" w:eastAsia="宋体" w:hAnsi="Times New Roman" w:cs="Times New Roman" w:hint="eastAsia"/>
                <w:szCs w:val="21"/>
              </w:rPr>
              <w:t>是否设有核心产品</w:t>
            </w:r>
          </w:p>
        </w:tc>
        <w:tc>
          <w:tcPr>
            <w:tcW w:w="5209" w:type="dxa"/>
            <w:vAlign w:val="center"/>
          </w:tcPr>
          <w:p w14:paraId="58B7CC81">
            <w:pPr>
              <w:rPr>
                <w:rFonts w:asciiTheme="minorEastAsia" w:hAnsiTheme="minorEastAsia" w:cstheme="minorEastAsia" w:hint="eastAsia"/>
                <w:kern w:val="0"/>
                <w:szCs w:val="21"/>
              </w:rPr>
            </w:pPr>
            <w:bookmarkStart w:id="40" w:name="是否设有核心产品_coreFlagText"/>
            <w:r>
              <w:rPr>
                <w:rFonts w:asciiTheme="minorEastAsia" w:eastAsiaTheme="minorEastAsia" w:hAnsiTheme="minorEastAsia" w:cstheme="minorEastAsia" w:hint="eastAsia"/>
                <w:kern w:val="0"/>
                <w:szCs w:val="21"/>
              </w:rPr>
              <w:t>设有，核心产品为高精度温室气体浓度观测系统</w:t>
            </w:r>
            <w:bookmarkEnd w:id="40"/>
          </w:p>
        </w:tc>
      </w:tr>
      <w:tr w14:paraId="5A8CBA0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50CA41B4">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46CC727">
            <w:pPr>
              <w:rPr>
                <w:rFonts w:ascii="Times New Roman" w:eastAsia="宋体" w:hAnsi="Times New Roman" w:cs="Times New Roman"/>
                <w:szCs w:val="21"/>
              </w:rPr>
            </w:pPr>
            <w:r>
              <w:rPr>
                <w:rFonts w:ascii="Times New Roman" w:eastAsia="宋体" w:hAnsi="Times New Roman" w:cs="Times New Roman" w:hint="eastAsia"/>
                <w:szCs w:val="21"/>
              </w:rPr>
              <w:t>1.3.6</w:t>
            </w:r>
          </w:p>
        </w:tc>
        <w:tc>
          <w:tcPr>
            <w:tcW w:w="1701" w:type="dxa"/>
            <w:vAlign w:val="center"/>
          </w:tcPr>
          <w:p w14:paraId="436BF52A">
            <w:pPr>
              <w:rPr>
                <w:rFonts w:ascii="Times New Roman" w:eastAsia="宋体" w:hAnsi="Times New Roman" w:cs="Times New Roman"/>
                <w:szCs w:val="21"/>
              </w:rPr>
            </w:pPr>
            <w:r>
              <w:rPr>
                <w:rFonts w:ascii="Times New Roman" w:eastAsia="宋体" w:hAnsi="Times New Roman" w:cs="Times New Roman" w:hint="eastAsia"/>
                <w:szCs w:val="21"/>
              </w:rPr>
              <w:t>是否允许联合体响应</w:t>
            </w:r>
          </w:p>
        </w:tc>
        <w:tc>
          <w:tcPr>
            <w:tcW w:w="5209" w:type="dxa"/>
            <w:vAlign w:val="center"/>
          </w:tcPr>
          <w:p w14:paraId="141607C6">
            <w:pPr>
              <w:rPr>
                <w:rFonts w:asciiTheme="minorEastAsia" w:hAnsiTheme="minorEastAsia" w:cstheme="minorEastAsia" w:hint="eastAsia"/>
                <w:kern w:val="0"/>
                <w:szCs w:val="21"/>
              </w:rPr>
            </w:pPr>
            <w:bookmarkStart w:id="41" w:name="联合体投标_jointFlagText"/>
            <w:r>
              <w:rPr>
                <w:rFonts w:asciiTheme="minorEastAsia" w:eastAsiaTheme="minorEastAsia" w:hAnsiTheme="minorEastAsia" w:cstheme="minorEastAsia" w:hint="eastAsia"/>
                <w:kern w:val="0"/>
                <w:szCs w:val="21"/>
              </w:rPr>
              <w:t>不允许</w:t>
            </w:r>
            <w:bookmarkEnd w:id="41"/>
          </w:p>
        </w:tc>
      </w:tr>
      <w:tr w14:paraId="0ED2512D">
        <w:tblPrEx>
          <w:tblW w:w="9003" w:type="dxa"/>
          <w:tblInd w:w="0" w:type="dxa"/>
          <w:tblLayout w:type="fixed"/>
          <w:tblCellMar>
            <w:top w:w="0" w:type="dxa"/>
            <w:left w:w="108" w:type="dxa"/>
            <w:bottom w:w="0" w:type="dxa"/>
            <w:right w:w="108" w:type="dxa"/>
          </w:tblCellMar>
        </w:tblPrEx>
        <w:tc>
          <w:tcPr>
            <w:tcW w:w="675" w:type="dxa"/>
            <w:vAlign w:val="center"/>
          </w:tcPr>
          <w:p w14:paraId="54F1A560">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53B7748">
            <w:pPr>
              <w:rPr>
                <w:rFonts w:ascii="Times New Roman" w:eastAsia="宋体" w:hAnsi="Times New Roman" w:cs="Times New Roman"/>
                <w:szCs w:val="21"/>
              </w:rPr>
            </w:pPr>
            <w:r>
              <w:rPr>
                <w:rFonts w:ascii="Times New Roman" w:eastAsia="宋体" w:hAnsi="Times New Roman" w:cs="Times New Roman" w:hint="eastAsia"/>
                <w:szCs w:val="21"/>
              </w:rPr>
              <w:t>1.3.7</w:t>
            </w:r>
          </w:p>
        </w:tc>
        <w:tc>
          <w:tcPr>
            <w:tcW w:w="1701" w:type="dxa"/>
            <w:vAlign w:val="center"/>
          </w:tcPr>
          <w:p w14:paraId="4275433B">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42" w:name="许可证_exclusiveLicenseFlagText"/>
            <w:r>
              <w:rPr>
                <w:rFonts w:asciiTheme="minorEastAsia" w:eastAsiaTheme="minorEastAsia" w:hAnsiTheme="minorEastAsia" w:cstheme="minorEastAsia" w:hint="eastAsia"/>
                <w:kern w:val="0"/>
                <w:szCs w:val="21"/>
              </w:rPr>
              <w:t>必须，以下产品需要提供至响应截止日仍有效的《气象专用技术装备使用许可证》：高精度温室气体浓度观测系统【许可证名称：光谱吸收法大气二氧化碳/甲烷高精度分析仪】</w:t>
            </w:r>
            <w:bookmarkEnd w:id="42"/>
          </w:p>
        </w:tc>
      </w:tr>
      <w:tr w14:paraId="15A61395">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0E7B942C">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5CD15B5D">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32FBD815">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rPr>
            </w:pPr>
            <w:bookmarkStart w:id="43" w:name="进口产品投标_entranceFlagText"/>
            <w:r>
              <w:rPr>
                <w:rFonts w:asciiTheme="minorEastAsia" w:eastAsiaTheme="minorEastAsia" w:hAnsiTheme="minorEastAsia" w:cstheme="minorEastAsia" w:hint="eastAsia"/>
                <w:kern w:val="0"/>
                <w:szCs w:val="21"/>
              </w:rPr>
              <w:t>不允许</w:t>
            </w:r>
            <w:bookmarkEnd w:id="43"/>
          </w:p>
        </w:tc>
      </w:tr>
      <w:tr w14:paraId="710D346E">
        <w:tblPrEx>
          <w:tblW w:w="9003" w:type="dxa"/>
          <w:tblInd w:w="0" w:type="dxa"/>
          <w:tblLayout w:type="fixed"/>
          <w:tblCellMar>
            <w:top w:w="0" w:type="dxa"/>
            <w:left w:w="108" w:type="dxa"/>
            <w:bottom w:w="0" w:type="dxa"/>
            <w:right w:w="108" w:type="dxa"/>
          </w:tblCellMar>
        </w:tblPrEx>
        <w:trPr>
          <w:trHeight w:val="1009"/>
        </w:trPr>
        <w:tc>
          <w:tcPr>
            <w:tcW w:w="675" w:type="dxa"/>
            <w:vAlign w:val="center"/>
          </w:tcPr>
          <w:p w14:paraId="669F0342">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6F8BE9F9">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13C402DC">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6512B18E">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4" w:name="行业_smeIndustryClassification"/>
            <w:r>
              <w:rPr>
                <w:rFonts w:ascii="宋体" w:hAnsi="宋体" w:cs="微软雅黑" w:hint="eastAsia"/>
                <w:kern w:val="0"/>
                <w:szCs w:val="21"/>
                <w:highlight w:val="none"/>
              </w:rPr>
              <w:t>（1）标的： 高精度温室气体浓度观测系统   ，属于  工业行业；</w:t>
            </w:r>
            <w:bookmarkEnd w:id="44"/>
          </w:p>
        </w:tc>
      </w:tr>
      <w:tr w14:paraId="46CAA645">
        <w:tblPrEx>
          <w:tblW w:w="9003" w:type="dxa"/>
          <w:tblInd w:w="0" w:type="dxa"/>
          <w:tblLayout w:type="fixed"/>
          <w:tblCellMar>
            <w:top w:w="0" w:type="dxa"/>
            <w:left w:w="108" w:type="dxa"/>
            <w:bottom w:w="0" w:type="dxa"/>
            <w:right w:w="108" w:type="dxa"/>
          </w:tblCellMar>
        </w:tblPrEx>
        <w:tc>
          <w:tcPr>
            <w:tcW w:w="675" w:type="dxa"/>
            <w:vAlign w:val="center"/>
          </w:tcPr>
          <w:p w14:paraId="0B356C25">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641CAE71">
            <w:pPr>
              <w:jc w:val="left"/>
              <w:rPr>
                <w:rFonts w:ascii="Times New Roman" w:eastAsia="宋体" w:hAnsi="Times New Roman" w:cs="Times New Roman"/>
                <w:szCs w:val="21"/>
              </w:rPr>
            </w:pPr>
            <w:r>
              <w:rPr>
                <w:rFonts w:ascii="Times New Roman" w:eastAsia="宋体" w:hAnsi="Times New Roman" w:cs="Times New Roman" w:hint="eastAsia"/>
                <w:szCs w:val="21"/>
              </w:rPr>
              <w:t>1.5.3</w:t>
            </w:r>
          </w:p>
        </w:tc>
        <w:tc>
          <w:tcPr>
            <w:tcW w:w="1701" w:type="dxa"/>
            <w:vAlign w:val="center"/>
          </w:tcPr>
          <w:p w14:paraId="38C95B04">
            <w:pPr>
              <w:rPr>
                <w:rFonts w:ascii="Times New Roman" w:eastAsia="宋体" w:hAnsi="Times New Roman" w:cs="Times New Roman"/>
                <w:szCs w:val="21"/>
              </w:rPr>
            </w:pPr>
            <w:r>
              <w:rPr>
                <w:rFonts w:ascii="Times New Roman" w:eastAsia="宋体" w:hAnsi="Times New Roman" w:cs="Times New Roman" w:hint="eastAsia"/>
                <w:szCs w:val="21"/>
              </w:rPr>
              <w:t>是否预留采购份额面向中小企业采购</w:t>
            </w:r>
          </w:p>
        </w:tc>
        <w:tc>
          <w:tcPr>
            <w:tcW w:w="5209" w:type="dxa"/>
            <w:vAlign w:val="center"/>
          </w:tcPr>
          <w:p w14:paraId="2FDBC8A6">
            <w:pPr>
              <w:rPr>
                <w:rFonts w:ascii="Wingdings 2" w:hAnsi="Wingdings 2" w:cs="微软雅黑" w:hint="eastAsia"/>
                <w:kern w:val="0"/>
                <w:szCs w:val="21"/>
                <w:highlight w:val="none"/>
              </w:rPr>
            </w:pPr>
            <w:bookmarkStart w:id="45" w:name="中小企业_minorEnterprisesFlagText"/>
            <w:r>
              <w:rPr>
                <w:rFonts w:ascii="Wingdings 2" w:hAnsi="Wingdings 2" w:cs="微软雅黑" w:hint="eastAsia"/>
                <w:kern w:val="0"/>
                <w:szCs w:val="21"/>
                <w:lang w:eastAsia="zh-CN"/>
              </w:rPr>
              <w:t>否</w:t>
            </w:r>
            <w:bookmarkEnd w:id="45"/>
          </w:p>
        </w:tc>
      </w:tr>
      <w:tr w14:paraId="0EBA7212">
        <w:tblPrEx>
          <w:tblW w:w="9003" w:type="dxa"/>
          <w:tblInd w:w="0" w:type="dxa"/>
          <w:tblLayout w:type="fixed"/>
          <w:tblCellMar>
            <w:top w:w="0" w:type="dxa"/>
            <w:left w:w="108" w:type="dxa"/>
            <w:bottom w:w="0" w:type="dxa"/>
            <w:right w:w="108" w:type="dxa"/>
          </w:tblCellMar>
        </w:tblPrEx>
        <w:tc>
          <w:tcPr>
            <w:tcW w:w="675" w:type="dxa"/>
            <w:vAlign w:val="center"/>
          </w:tcPr>
          <w:p w14:paraId="4A924896">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73AE463A">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CE0E785">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46" w:name="中标服务费_finalAmountText"/>
            <w:r>
              <w:rPr>
                <w:rFonts w:hint="eastAsia"/>
                <w:lang w:eastAsia="zh-CN"/>
              </w:rPr>
              <w:t>是，中标服务费：8.7万元。</w:t>
            </w:r>
            <w:bookmarkEnd w:id="46"/>
            <w:r>
              <w:rPr>
                <w:rFonts w:ascii="宋体" w:eastAsia="宋体" w:hAnsi="宋体" w:cs="微软雅黑" w:hint="eastAsia"/>
                <w:kern w:val="0"/>
                <w:szCs w:val="21"/>
              </w:rPr>
              <w:t xml:space="preserve"> </w:t>
            </w:r>
          </w:p>
        </w:tc>
      </w:tr>
      <w:tr w14:paraId="20920FAE">
        <w:tblPrEx>
          <w:tblW w:w="9003" w:type="dxa"/>
          <w:tblInd w:w="0" w:type="dxa"/>
          <w:tblLayout w:type="fixed"/>
          <w:tblCellMar>
            <w:top w:w="0" w:type="dxa"/>
            <w:left w:w="108" w:type="dxa"/>
            <w:bottom w:w="0" w:type="dxa"/>
            <w:right w:w="108" w:type="dxa"/>
          </w:tblCellMar>
        </w:tblPrEx>
        <w:tc>
          <w:tcPr>
            <w:tcW w:w="675" w:type="dxa"/>
            <w:vAlign w:val="center"/>
          </w:tcPr>
          <w:p w14:paraId="419275F7">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47FD9D1A">
            <w:pPr>
              <w:rPr>
                <w:rFonts w:ascii="Times New Roman" w:eastAsia="宋体" w:hAnsi="Times New Roman" w:cs="Times New Roman"/>
                <w:szCs w:val="21"/>
              </w:rPr>
            </w:pPr>
            <w:r>
              <w:rPr>
                <w:rFonts w:ascii="Times New Roman" w:eastAsia="宋体" w:hAnsi="Times New Roman" w:cs="Times New Roman" w:hint="eastAsia"/>
                <w:szCs w:val="21"/>
              </w:rPr>
              <w:t>1.12.7</w:t>
            </w:r>
          </w:p>
        </w:tc>
        <w:tc>
          <w:tcPr>
            <w:tcW w:w="1701" w:type="dxa"/>
            <w:vAlign w:val="center"/>
          </w:tcPr>
          <w:p w14:paraId="05DD1FFC">
            <w:pPr>
              <w:rPr>
                <w:rFonts w:ascii="Times New Roman" w:eastAsia="宋体" w:hAnsi="Times New Roman" w:cs="Times New Roman"/>
                <w:szCs w:val="21"/>
              </w:rPr>
            </w:pPr>
            <w:r>
              <w:rPr>
                <w:rFonts w:ascii="Times New Roman" w:eastAsia="宋体" w:hAnsi="Times New Roman" w:cs="Times New Roman" w:hint="eastAsia"/>
                <w:szCs w:val="21"/>
              </w:rPr>
              <w:t>是否组织现场考察或提交首次响应文件截止日前答疑会</w:t>
            </w:r>
          </w:p>
        </w:tc>
        <w:tc>
          <w:tcPr>
            <w:tcW w:w="5209" w:type="dxa"/>
            <w:vAlign w:val="center"/>
          </w:tcPr>
          <w:p w14:paraId="785E60C0">
            <w:pPr>
              <w:rPr>
                <w:rFonts w:ascii="宋体" w:hAnsi="宋体" w:cs="微软雅黑" w:hint="eastAsia"/>
                <w:kern w:val="0"/>
                <w:szCs w:val="21"/>
              </w:rPr>
            </w:pPr>
            <w:bookmarkStart w:id="47" w:name="答疑会_answeringQuestionFlagText"/>
            <w:r>
              <w:rPr>
                <w:rFonts w:ascii="宋体" w:hAnsi="宋体" w:cs="微软雅黑" w:hint="eastAsia"/>
                <w:kern w:val="0"/>
                <w:szCs w:val="21"/>
              </w:rPr>
              <w:t>否</w:t>
            </w:r>
            <w:bookmarkEnd w:id="47"/>
          </w:p>
        </w:tc>
      </w:tr>
      <w:tr w14:paraId="46BC4E7A">
        <w:tblPrEx>
          <w:tblW w:w="9003" w:type="dxa"/>
          <w:tblInd w:w="0" w:type="dxa"/>
          <w:tblLayout w:type="fixed"/>
          <w:tblCellMar>
            <w:top w:w="0" w:type="dxa"/>
            <w:left w:w="108" w:type="dxa"/>
            <w:bottom w:w="0" w:type="dxa"/>
            <w:right w:w="108" w:type="dxa"/>
          </w:tblCellMar>
        </w:tblPrEx>
        <w:tc>
          <w:tcPr>
            <w:tcW w:w="675" w:type="dxa"/>
            <w:vAlign w:val="center"/>
          </w:tcPr>
          <w:p w14:paraId="6D34D979">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52EBA345">
            <w:pPr>
              <w:rPr>
                <w:rFonts w:ascii="Times New Roman" w:eastAsia="宋体" w:hAnsi="Times New Roman" w:cs="Times New Roman"/>
                <w:szCs w:val="21"/>
              </w:rPr>
            </w:pPr>
            <w:r>
              <w:rPr>
                <w:rFonts w:ascii="Times New Roman" w:eastAsia="宋体" w:hAnsi="Times New Roman" w:cs="Times New Roman" w:hint="eastAsia"/>
                <w:szCs w:val="21"/>
              </w:rPr>
              <w:t>1.14.2、1.14.3</w:t>
            </w:r>
          </w:p>
        </w:tc>
        <w:tc>
          <w:tcPr>
            <w:tcW w:w="1701" w:type="dxa"/>
            <w:vAlign w:val="center"/>
          </w:tcPr>
          <w:p w14:paraId="4008214D">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30D2D019">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5B9F70E8">
            <w:pPr>
              <w:rPr>
                <w:rFonts w:ascii="Times New Roman" w:eastAsia="宋体" w:hAnsi="Times New Roman" w:cs="Times New Roman" w:hint="default"/>
                <w:kern w:val="0"/>
                <w:szCs w:val="21"/>
              </w:rPr>
            </w:pPr>
            <w:r>
              <w:rPr>
                <w:rFonts w:ascii="Times New Roman" w:eastAsia="宋体" w:hAnsi="Times New Roman" w:cs="Times New Roman" w:hint="eastAsia"/>
                <w:kern w:val="0"/>
                <w:szCs w:val="21"/>
                <w:lang w:val="en-US" w:eastAsia="zh-CN"/>
              </w:rPr>
              <w:t>无</w:t>
            </w:r>
          </w:p>
        </w:tc>
      </w:tr>
      <w:tr w14:paraId="000E6D13">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5AF31E42">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02CD5CC5">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28FA2EA2">
            <w:pPr>
              <w:rPr>
                <w:rFonts w:ascii="Times New Roman" w:eastAsia="宋体" w:hAnsi="Times New Roman" w:cs="Times New Roman"/>
                <w:szCs w:val="21"/>
              </w:rPr>
            </w:pPr>
            <w:r>
              <w:rPr>
                <w:rFonts w:ascii="Times New Roman" w:eastAsia="宋体" w:hAnsi="Times New Roman" w:cs="Times New Roman" w:hint="eastAsia"/>
                <w:szCs w:val="21"/>
              </w:rPr>
              <w:t>本次磋商是否需要提交磋商保证金</w:t>
            </w:r>
          </w:p>
        </w:tc>
        <w:tc>
          <w:tcPr>
            <w:tcW w:w="5209" w:type="dxa"/>
            <w:vAlign w:val="center"/>
          </w:tcPr>
          <w:p w14:paraId="0D8F3B95">
            <w:pPr>
              <w:rPr>
                <w:rFonts w:asciiTheme="minorEastAsia" w:hAnsiTheme="minorEastAsia" w:cstheme="minorEastAsia" w:hint="eastAsia"/>
                <w:kern w:val="0"/>
                <w:szCs w:val="21"/>
              </w:rPr>
            </w:pPr>
            <w:bookmarkStart w:id="48" w:name="标保证金_bailFlagText"/>
            <w:r>
              <w:rPr>
                <w:rFonts w:asciiTheme="minorEastAsia" w:eastAsiaTheme="minorEastAsia" w:hAnsiTheme="minorEastAsia" w:cstheme="minorEastAsia" w:hint="eastAsia"/>
                <w:kern w:val="0"/>
                <w:szCs w:val="21"/>
              </w:rPr>
              <w:t>否</w:t>
            </w:r>
            <w:bookmarkEnd w:id="48"/>
          </w:p>
        </w:tc>
      </w:tr>
      <w:tr w14:paraId="1C0BE902">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4635BEDB">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572BFA92">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06EC069B">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170CA50C">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49" w:name="预算金额_budgetAmount"/>
            <w:r>
              <w:rPr>
                <w:rFonts w:ascii="宋体" w:eastAsia="宋体" w:hAnsi="宋体" w:cs="微软雅黑" w:hint="eastAsia"/>
                <w:kern w:val="0"/>
                <w:szCs w:val="21"/>
              </w:rPr>
              <w:t>1,713.800000</w:t>
            </w:r>
            <w:bookmarkEnd w:id="49"/>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0" w:name="预算明细_packMoneyDetail"/>
            <w:r>
              <w:rPr>
                <w:rFonts w:hint="eastAsia"/>
                <w:szCs w:val="21"/>
                <w:highlight w:val="none"/>
              </w:rPr>
              <w:t>,包 1 采购预算(或最高限价)为人民币 1,713.800000 万元</w:t>
            </w:r>
            <w:bookmarkEnd w:id="50"/>
            <w:r>
              <w:rPr>
                <w:rFonts w:hint="eastAsia"/>
                <w:szCs w:val="21"/>
                <w:highlight w:val="none"/>
              </w:rPr>
              <w:t>。</w:t>
            </w:r>
          </w:p>
        </w:tc>
      </w:tr>
      <w:tr w14:paraId="6D83EA2F">
        <w:tblPrEx>
          <w:tblW w:w="9003" w:type="dxa"/>
          <w:tblInd w:w="0" w:type="dxa"/>
          <w:tblLayout w:type="fixed"/>
          <w:tblCellMar>
            <w:top w:w="0" w:type="dxa"/>
            <w:left w:w="108" w:type="dxa"/>
            <w:bottom w:w="0" w:type="dxa"/>
            <w:right w:w="108" w:type="dxa"/>
          </w:tblCellMar>
        </w:tblPrEx>
        <w:trPr>
          <w:trHeight w:val="268"/>
        </w:trPr>
        <w:tc>
          <w:tcPr>
            <w:tcW w:w="675" w:type="dxa"/>
            <w:vAlign w:val="center"/>
          </w:tcPr>
          <w:p w14:paraId="0CE390C1">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2C68BC21">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3062CB1F">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51" w:name="关键性工作_entrustingOthersFlagText"/>
            <w:r>
              <w:rPr>
                <w:rFonts w:ascii="Wingdings 2" w:hAnsi="Wingdings 2" w:cs="微软雅黑"/>
                <w:kern w:val="0"/>
                <w:szCs w:val="21"/>
              </w:rPr>
              <w:t>不允许</w:t>
            </w:r>
            <w:bookmarkEnd w:id="51"/>
          </w:p>
        </w:tc>
      </w:tr>
      <w:tr w14:paraId="5F8C5D29">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4B806D42">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1944D4E3">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30A8504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070D90DB">
            <w:pPr>
              <w:rPr>
                <w:rFonts w:ascii="Times New Roman" w:eastAsia="宋体" w:hAnsi="Times New Roman" w:cs="Times New Roman"/>
                <w:szCs w:val="21"/>
              </w:rPr>
            </w:pPr>
            <w:bookmarkStart w:id="52" w:name="投标有效期_bidExpirationDate"/>
            <w:r>
              <w:rPr>
                <w:rFonts w:hint="eastAsia"/>
                <w:szCs w:val="21"/>
              </w:rPr>
              <w:t>120日历天</w:t>
            </w:r>
            <w:bookmarkEnd w:id="52"/>
            <w:r>
              <w:rPr>
                <w:rFonts w:ascii="宋体" w:eastAsia="宋体" w:hAnsi="宋体" w:cs="微软雅黑" w:hint="eastAsia"/>
                <w:kern w:val="0"/>
                <w:szCs w:val="21"/>
              </w:rPr>
              <w:t>（从提交首次响应文件截止日起计算）</w:t>
            </w:r>
          </w:p>
        </w:tc>
      </w:tr>
      <w:tr w14:paraId="4B6D469B">
        <w:tblPrEx>
          <w:tblW w:w="9003" w:type="dxa"/>
          <w:tblInd w:w="0" w:type="dxa"/>
          <w:tblLayout w:type="fixed"/>
          <w:tblCellMar>
            <w:top w:w="0" w:type="dxa"/>
            <w:left w:w="108" w:type="dxa"/>
            <w:bottom w:w="0" w:type="dxa"/>
            <w:right w:w="108" w:type="dxa"/>
          </w:tblCellMar>
        </w:tblPrEx>
        <w:trPr>
          <w:trHeight w:val="878"/>
        </w:trPr>
        <w:tc>
          <w:tcPr>
            <w:tcW w:w="675" w:type="dxa"/>
            <w:vAlign w:val="center"/>
          </w:tcPr>
          <w:p w14:paraId="1E5858D0">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27DDBE54">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5FF64946">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1CCC6CBD">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7E687D00">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21153F01">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13A38FB8">
            <w:pPr>
              <w:rPr>
                <w:rFonts w:ascii="Times New Roman" w:eastAsia="宋体" w:hAnsi="Times New Roman" w:cs="Times New Roman"/>
                <w:szCs w:val="21"/>
              </w:rPr>
            </w:pPr>
          </w:p>
        </w:tc>
        <w:tc>
          <w:tcPr>
            <w:tcW w:w="1701" w:type="dxa"/>
            <w:vAlign w:val="center"/>
          </w:tcPr>
          <w:p w14:paraId="12FD1FBD">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72C4FEFB">
            <w:pPr>
              <w:rPr>
                <w:rFonts w:ascii="宋体" w:eastAsia="宋体" w:hAnsi="宋体" w:cs="Times New Roman"/>
                <w:szCs w:val="21"/>
              </w:rPr>
            </w:pPr>
            <w:r>
              <w:rPr>
                <w:rFonts w:ascii="宋体" w:eastAsia="宋体" w:hAnsi="宋体" w:cs="Times New Roman" w:hint="eastAsia"/>
                <w:szCs w:val="21"/>
              </w:rPr>
              <w:t>详见第九章采购合同</w:t>
            </w:r>
          </w:p>
        </w:tc>
      </w:tr>
      <w:tr w14:paraId="27570687">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0730AA5A">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6A5CA62A">
            <w:pPr>
              <w:rPr>
                <w:rFonts w:ascii="Times New Roman" w:eastAsia="宋体" w:hAnsi="Times New Roman" w:cs="Times New Roman"/>
                <w:szCs w:val="21"/>
              </w:rPr>
            </w:pPr>
          </w:p>
        </w:tc>
        <w:tc>
          <w:tcPr>
            <w:tcW w:w="1701" w:type="dxa"/>
            <w:vAlign w:val="center"/>
          </w:tcPr>
          <w:p w14:paraId="1CC4415B">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4202C251">
            <w:pPr>
              <w:rPr>
                <w:rFonts w:ascii="宋体" w:eastAsia="宋体" w:hAnsi="宋体" w:cs="Times New Roman"/>
                <w:szCs w:val="21"/>
              </w:rPr>
            </w:pPr>
            <w:bookmarkStart w:id="53" w:name="其他事项_ottherReemarks"/>
            <w:r>
              <w:rPr>
                <w:rFonts w:ascii="宋体" w:eastAsia="宋体" w:hAnsi="宋体" w:cs="微软雅黑" w:hint="eastAsia"/>
                <w:kern w:val="0"/>
                <w:szCs w:val="21"/>
              </w:rPr>
              <w:t>无</w:t>
            </w:r>
            <w:bookmarkEnd w:id="53"/>
          </w:p>
        </w:tc>
      </w:tr>
    </w:tbl>
    <w:p w14:paraId="3C249231"/>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5"/>
    </w:p>
    <w:p w14:paraId="7CBB2CF4">
      <w:pPr>
        <w:spacing w:before="156" w:beforeLines="50" w:line="360" w:lineRule="auto"/>
        <w:ind w:firstLine="0" w:firstLineChars="0"/>
        <w:jc w:val="center"/>
        <w:outlineLvl w:val="1"/>
        <w:rPr>
          <w:rFonts w:ascii="宋体" w:eastAsia="宋体" w:hAnsi="宋体" w:cs="Times New Roman"/>
          <w:b/>
          <w:sz w:val="30"/>
          <w:szCs w:val="30"/>
        </w:rPr>
      </w:pPr>
      <w:r>
        <w:rPr>
          <w:rFonts w:ascii="宋体" w:eastAsia="宋体" w:hAnsi="宋体" w:cs="Times New Roman" w:hint="eastAsia"/>
          <w:b/>
          <w:sz w:val="30"/>
          <w:szCs w:val="30"/>
        </w:rPr>
        <w:t>第六章  评审方法和评审标准</w:t>
      </w:r>
    </w:p>
    <w:p w14:paraId="50F785A6">
      <w:pPr>
        <w:spacing w:line="360" w:lineRule="auto"/>
        <w:ind w:firstLine="412" w:firstLineChars="196"/>
        <w:jc w:val="left"/>
        <w:rPr>
          <w:rFonts w:ascii="Times New Roman" w:eastAsia="宋体" w:hAnsi="Times New Roman" w:cs="Times New Roman"/>
          <w:szCs w:val="20"/>
        </w:rPr>
      </w:pPr>
      <w:r>
        <w:rPr>
          <w:rFonts w:ascii="宋体" w:eastAsia="宋体" w:hAnsi="宋体" w:cs="Times New Roman" w:hint="eastAsia"/>
          <w:b/>
          <w:szCs w:val="21"/>
        </w:rPr>
        <w:t>一、评审方法：</w:t>
      </w:r>
      <w:r>
        <w:rPr>
          <w:rFonts w:ascii="Times New Roman" w:eastAsia="宋体" w:hAnsi="Times New Roman" w:cs="Times New Roman"/>
          <w:szCs w:val="20"/>
        </w:rPr>
        <w:t xml:space="preserve"> </w:t>
      </w:r>
    </w:p>
    <w:p w14:paraId="0DE4B498">
      <w:pPr>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本次评审采用综合评分法，将响应人资质条件、响应产品质量、售后服务、价格等各项因素作为评价的基础，综合评选出最佳响应方案。每一响应人的最终得分为所有磋商小组成员给其评分的算数平均值。其中，客观分评审部分，需磋商小组成员共同认定、独立打分，存在不同意见的，磋商小组成员分别作出书面说明。</w:t>
      </w:r>
    </w:p>
    <w:p w14:paraId="12EE3355">
      <w:pPr>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二、评分标准：</w:t>
      </w:r>
    </w:p>
    <w:p w14:paraId="1CD4E07B">
      <w:pPr>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评分标准见下表</w:t>
      </w:r>
      <w:r>
        <w:rPr>
          <w:rFonts w:ascii="Times New Roman" w:eastAsia="宋体" w:hAnsi="Times New Roman" w:cs="Times New Roman" w:hint="eastAsia"/>
          <w:szCs w:val="20"/>
        </w:rPr>
        <w:t>。</w:t>
      </w:r>
    </w:p>
    <w:p w14:paraId="6026889A">
      <w:pPr>
        <w:spacing w:line="360" w:lineRule="auto"/>
        <w:ind w:firstLine="420" w:firstLineChars="200"/>
        <w:jc w:val="center"/>
        <w:rPr>
          <w:rFonts w:ascii="Times New Roman" w:eastAsia="宋体" w:hAnsi="Times New Roman" w:cs="Times New Roman"/>
          <w:b/>
          <w:szCs w:val="20"/>
        </w:rPr>
      </w:pPr>
      <w:r>
        <w:rPr>
          <w:rFonts w:ascii="Times New Roman" w:eastAsia="宋体" w:hAnsi="Times New Roman" w:cs="Times New Roman" w:hint="eastAsia"/>
          <w:b/>
          <w:szCs w:val="20"/>
        </w:rPr>
        <w:t>评分标准表</w:t>
      </w:r>
    </w:p>
    <w:p w14:paraId="2FCF7D3D">
      <w:pPr>
        <w:ind w:firstLine="420" w:firstLineChars="200"/>
        <w:rPr>
          <w:rFonts w:ascii="Calibri" w:hAnsi="Calibri"/>
          <w:b/>
          <w:szCs w:val="22"/>
        </w:rPr>
      </w:pPr>
    </w:p>
    <w:p w:rsidR="00A77B3E">
      <w:bookmarkStart w:id="54"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销售合同必须包括高精度温室气体浓度观测系统，每提供1份合同得1分，最多得5分。否则不得分。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针对本项目采购的高精度温室气体浓度观测系统，</w:t>
              <w:cr/>
              <w:t>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针对高精度温室气体浓度观测系统，每提供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 xml:space="preserve">根据投标人提供的技术方案和能证明投标产品技术性能的第三方测试报告进行评分，具体评分标准如下： </w:t>
              <w:cr/>
              <w:t xml:space="preserve">一档：未提供技术方案，或者投标产品综合技术性能不能满足采购文件要求。 </w:t>
              <w:cr/>
              <w:t xml:space="preserve">二档：技术方案能按照招标文件的格式进行响应，技术响应比较浅显，缺乏针对性，投标产品综合技术性能满足采购文件要求。 </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cr/>
              <w:cr/>
              <w:cr/>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针对高精度温室气体浓度观测系统，测试报告应涵盖气候环境、电磁环境测试、工作环境等内容，每包含一项得1分，最多得3分。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4"/>
    </w:p>
    <w:p>
      <w:pPr>
        <w:adjustRightInd w:val="0"/>
        <w:snapToGrid w:val="0"/>
        <w:spacing w:line="360" w:lineRule="auto"/>
        <w:jc w:val="center"/>
        <w:outlineLvl w:val="1"/>
        <w:rPr>
          <w:rFonts w:hint="default"/>
          <w:b/>
          <w:bCs/>
          <w:sz w:val="30"/>
          <w:szCs w:val="30"/>
        </w:rPr>
      </w:pPr>
      <w:r>
        <w:rPr>
          <w:rFonts w:ascii="Times New Roman" w:eastAsia="宋体" w:hAnsi="Times New Roman" w:cs="Times New Roman"/>
          <w:bCs/>
          <w:szCs w:val="21"/>
        </w:rPr>
        <w:br w:type="page"/>
      </w:r>
      <w:bookmarkStart w:id="55" w:name="插入_采购需求书"/>
      <w:bookmarkStart w:id="56" w:name="插入_采购需求标题"/>
      <w:r>
        <w:rPr>
          <w:rFonts w:hint="default"/>
          <w:b/>
          <w:bCs/>
          <w:sz w:val="30"/>
          <w:szCs w:val="30"/>
        </w:rPr>
        <w:t>第七章  采购需求</w:t>
      </w:r>
      <w:bookmarkEnd w:id="56"/>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b/>
          <w:bCs/>
          <w:sz w:val="28"/>
          <w:szCs w:val="20"/>
        </w:rPr>
      </w:pPr>
      <w:r>
        <w:rPr>
          <w:rFonts w:ascii="仿宋" w:eastAsia="仿宋" w:hAnsi="仿宋" w:cs="仿宋" w:hint="eastAsia"/>
          <w:b/>
          <w:bCs/>
          <w:sz w:val="28"/>
          <w:szCs w:val="20"/>
        </w:rPr>
        <w:t>光谱吸收法大气二氧化碳甲烷高精度浓度观测系统技术性能指标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24"/>
        <w:gridCol w:w="1381"/>
        <w:gridCol w:w="455"/>
        <w:gridCol w:w="1212"/>
        <w:gridCol w:w="5436"/>
      </w:tblGrid>
      <w:tr>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blHeader/>
          <w:jc w:val="center"/>
        </w:trPr>
        <w:tc>
          <w:tcPr>
            <w:tcW w:w="393" w:type="pct"/>
            <w:vAlign w:val="center"/>
          </w:tcPr>
          <w:p>
            <w:pPr>
              <w:rPr>
                <w:rFonts w:ascii="仿宋" w:eastAsia="仿宋" w:hAnsi="仿宋" w:cs="仿宋"/>
                <w:b/>
                <w:bCs/>
              </w:rPr>
            </w:pPr>
            <w:r>
              <w:rPr>
                <w:rFonts w:ascii="仿宋" w:eastAsia="仿宋" w:hAnsi="仿宋" w:cs="仿宋" w:hint="eastAsia"/>
                <w:b/>
                <w:bCs/>
                <w:sz w:val="24"/>
              </w:rPr>
              <w:t>序号</w:t>
            </w:r>
          </w:p>
        </w:tc>
        <w:tc>
          <w:tcPr>
            <w:tcW w:w="1655" w:type="pct"/>
            <w:gridSpan w:val="3"/>
            <w:vAlign w:val="center"/>
          </w:tcPr>
          <w:p>
            <w:pPr>
              <w:jc w:val="center"/>
              <w:rPr>
                <w:rFonts w:ascii="仿宋" w:eastAsia="仿宋" w:hAnsi="仿宋" w:cs="仿宋"/>
                <w:b/>
                <w:bCs/>
              </w:rPr>
            </w:pPr>
            <w:r>
              <w:rPr>
                <w:rFonts w:ascii="仿宋" w:eastAsia="仿宋" w:hAnsi="仿宋" w:cs="仿宋" w:hint="eastAsia"/>
                <w:b/>
                <w:bCs/>
                <w:sz w:val="24"/>
              </w:rPr>
              <w:t>名称</w:t>
            </w:r>
          </w:p>
        </w:tc>
        <w:tc>
          <w:tcPr>
            <w:tcW w:w="2951" w:type="pct"/>
            <w:vAlign w:val="center"/>
          </w:tcPr>
          <w:p>
            <w:pPr>
              <w:jc w:val="center"/>
              <w:rPr>
                <w:rFonts w:ascii="仿宋" w:eastAsia="仿宋" w:hAnsi="仿宋" w:cs="仿宋"/>
                <w:b/>
                <w:bCs/>
              </w:rPr>
            </w:pPr>
            <w:r>
              <w:rPr>
                <w:rFonts w:ascii="仿宋" w:eastAsia="仿宋" w:hAnsi="仿宋" w:cs="仿宋" w:hint="eastAsia"/>
                <w:b/>
                <w:bCs/>
                <w:sz w:val="24"/>
              </w:rPr>
              <w:t>技术要求</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restart"/>
            <w:vAlign w:val="center"/>
          </w:tcPr>
          <w:p>
            <w:pPr>
              <w:widowControl/>
              <w:spacing w:line="560" w:lineRule="exact"/>
              <w:jc w:val="center"/>
              <w:rPr>
                <w:rFonts w:ascii="仿宋" w:eastAsia="仿宋" w:hAnsi="仿宋" w:cs="仿宋"/>
                <w:b/>
                <w:bCs/>
                <w:sz w:val="28"/>
                <w:szCs w:val="20"/>
              </w:rPr>
            </w:pPr>
            <w:r>
              <w:rPr>
                <w:rFonts w:ascii="仿宋" w:eastAsia="仿宋" w:hAnsi="仿宋" w:cs="仿宋" w:hint="eastAsia"/>
                <w:b/>
                <w:bCs/>
                <w:sz w:val="28"/>
                <w:szCs w:val="20"/>
                <w:lang w:bidi="ar"/>
              </w:rPr>
              <w:t>光谱吸收法大气二氧化碳甲烷高精度分析仪（光腔衰荡法）</w:t>
            </w:r>
          </w:p>
          <w:p>
            <w:pPr>
              <w:rPr>
                <w:rFonts w:ascii="仿宋" w:eastAsia="仿宋" w:hAnsi="仿宋" w:cs="仿宋"/>
              </w:rPr>
            </w:pPr>
          </w:p>
        </w:tc>
        <w:tc>
          <w:tcPr>
            <w:tcW w:w="3856" w:type="pct"/>
            <w:gridSpan w:val="3"/>
            <w:vAlign w:val="center"/>
          </w:tcPr>
          <w:p>
            <w:pPr>
              <w:rPr>
                <w:rFonts w:ascii="仿宋" w:eastAsia="仿宋" w:hAnsi="仿宋" w:cs="仿宋"/>
              </w:rPr>
            </w:pPr>
            <w:r>
              <w:rPr>
                <w:rFonts w:ascii="仿宋" w:eastAsia="仿宋" w:hAnsi="仿宋" w:cs="仿宋" w:hint="eastAsia"/>
                <w:sz w:val="24"/>
              </w:rPr>
              <w:t>利用高、低浓度工作标气得出的线性矫正参数计算目标标气中CO</w:t>
            </w:r>
            <w:r>
              <w:rPr>
                <w:rFonts w:ascii="仿宋" w:eastAsia="仿宋" w:hAnsi="仿宋" w:cs="仿宋" w:hint="eastAsia"/>
                <w:sz w:val="24"/>
                <w:vertAlign w:val="subscript"/>
              </w:rPr>
              <w:t>2</w:t>
            </w:r>
            <w:r>
              <w:rPr>
                <w:rFonts w:ascii="仿宋" w:eastAsia="仿宋" w:hAnsi="仿宋" w:cs="仿宋" w:hint="eastAsia"/>
                <w:sz w:val="24"/>
              </w:rPr>
              <w:t>和CH</w:t>
            </w:r>
            <w:r>
              <w:rPr>
                <w:rFonts w:ascii="仿宋" w:eastAsia="仿宋" w:hAnsi="仿宋" w:cs="仿宋" w:hint="eastAsia"/>
                <w:sz w:val="24"/>
                <w:vertAlign w:val="subscript"/>
              </w:rPr>
              <w:t>4</w:t>
            </w:r>
            <w:r>
              <w:rPr>
                <w:rFonts w:ascii="仿宋" w:eastAsia="仿宋" w:hAnsi="仿宋" w:cs="仿宋" w:hint="eastAsia"/>
                <w:sz w:val="24"/>
              </w:rPr>
              <w:t>浓度校正值，校正值与标称值应满足CO</w:t>
            </w:r>
            <w:r>
              <w:rPr>
                <w:rFonts w:ascii="仿宋" w:eastAsia="仿宋" w:hAnsi="仿宋" w:cs="仿宋" w:hint="eastAsia"/>
                <w:sz w:val="24"/>
                <w:vertAlign w:val="subscript"/>
              </w:rPr>
              <w:t>2</w:t>
            </w:r>
            <w:r>
              <w:rPr>
                <w:rFonts w:ascii="仿宋" w:eastAsia="仿宋" w:hAnsi="仿宋" w:cs="仿宋" w:hint="eastAsia"/>
                <w:sz w:val="24"/>
              </w:rPr>
              <w:t>&lt; 0.1</w:t>
            </w:r>
            <w:r>
              <w:rPr>
                <w:rFonts w:ascii="仿宋" w:eastAsia="仿宋" w:hAnsi="仿宋" w:cs="仿宋" w:hint="eastAsia"/>
                <w:sz w:val="24"/>
              </w:rPr>
              <w:t>μ</w:t>
            </w:r>
            <w:r>
              <w:rPr>
                <w:rFonts w:ascii="仿宋" w:eastAsia="仿宋" w:hAnsi="仿宋" w:cs="仿宋" w:hint="eastAsia"/>
                <w:sz w:val="24"/>
              </w:rPr>
              <w:t>mol/mol（ppm） ；CH</w:t>
            </w:r>
            <w:r>
              <w:rPr>
                <w:rFonts w:ascii="仿宋" w:eastAsia="仿宋" w:hAnsi="仿宋" w:cs="仿宋" w:hint="eastAsia"/>
                <w:sz w:val="24"/>
                <w:vertAlign w:val="subscript"/>
              </w:rPr>
              <w:t>4</w:t>
            </w:r>
            <w:r>
              <w:rPr>
                <w:rFonts w:ascii="仿宋" w:eastAsia="仿宋" w:hAnsi="仿宋" w:cs="仿宋" w:hint="eastAsia"/>
                <w:sz w:val="24"/>
              </w:rPr>
              <w:t>&lt; 2 nmol/mol（ppb） ；</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Align w:val="center"/>
          </w:tcPr>
          <w:p>
            <w:pPr>
              <w:rPr>
                <w:rFonts w:ascii="仿宋" w:eastAsia="仿宋" w:hAnsi="仿宋" w:cs="仿宋"/>
              </w:rPr>
            </w:pPr>
            <w:r>
              <w:rPr>
                <w:rFonts w:ascii="仿宋" w:eastAsia="仿宋" w:hAnsi="仿宋" w:cs="仿宋" w:hint="eastAsia"/>
                <w:sz w:val="24"/>
              </w:rPr>
              <w:t>测量单元</w:t>
            </w:r>
          </w:p>
        </w:tc>
        <w:tc>
          <w:tcPr>
            <w:tcW w:w="657" w:type="pct"/>
            <w:vAlign w:val="center"/>
          </w:tcPr>
          <w:p>
            <w:pPr>
              <w:rPr>
                <w:rFonts w:ascii="仿宋" w:eastAsia="仿宋" w:hAnsi="仿宋" w:cs="仿宋"/>
              </w:rPr>
            </w:pPr>
            <w:r>
              <w:rPr>
                <w:rFonts w:ascii="仿宋" w:eastAsia="仿宋" w:hAnsi="仿宋" w:cs="仿宋" w:hint="eastAsia"/>
                <w:sz w:val="24"/>
              </w:rPr>
              <w:t>分析主机</w:t>
            </w:r>
          </w:p>
        </w:tc>
        <w:tc>
          <w:tcPr>
            <w:tcW w:w="2951" w:type="pct"/>
            <w:vAlign w:val="center"/>
          </w:tcPr>
          <w:p>
            <w:pPr>
              <w:rPr>
                <w:rFonts w:ascii="仿宋" w:eastAsia="仿宋" w:hAnsi="仿宋" w:cs="仿宋"/>
              </w:rPr>
            </w:pPr>
            <w:r>
              <w:rPr>
                <w:rFonts w:ascii="仿宋" w:eastAsia="仿宋" w:hAnsi="仿宋" w:cs="仿宋" w:hint="eastAsia"/>
                <w:sz w:val="24"/>
              </w:rPr>
              <w:t>（1）测量原理：光腔衰荡光谱法</w:t>
            </w:r>
          </w:p>
          <w:p>
            <w:pPr>
              <w:rPr>
                <w:rFonts w:ascii="仿宋" w:eastAsia="仿宋" w:hAnsi="仿宋" w:cs="仿宋"/>
                <w:highlight w:val="yellow"/>
              </w:rPr>
            </w:pPr>
            <w:r>
              <w:rPr>
                <w:rFonts w:ascii="仿宋" w:eastAsia="仿宋" w:hAnsi="仿宋" w:cs="仿宋" w:hint="eastAsia"/>
                <w:sz w:val="24"/>
              </w:rPr>
              <w:t>（2）</w:t>
            </w:r>
            <w:r>
              <w:rPr>
                <w:rFonts w:ascii="仿宋" w:eastAsia="仿宋" w:hAnsi="仿宋" w:cs="仿宋" w:hint="eastAsia"/>
                <w:sz w:val="24"/>
                <w:highlight w:val="yellow"/>
              </w:rPr>
              <w:t>#精度（标气条件下，计算5分钟均值的1倍标准差，24小时）</w:t>
            </w:r>
          </w:p>
          <w:p>
            <w:pPr>
              <w:rPr>
                <w:rFonts w:ascii="仿宋" w:eastAsia="仿宋" w:hAnsi="仿宋" w:cs="仿宋"/>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0.025ppm</w:t>
            </w:r>
          </w:p>
          <w:p>
            <w:pPr>
              <w:rPr>
                <w:rFonts w:ascii="仿宋" w:eastAsia="仿宋" w:hAnsi="仿宋" w:cs="仿宋"/>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0.22ppb</w:t>
            </w:r>
          </w:p>
          <w:p>
            <w:pPr>
              <w:rPr>
                <w:rFonts w:ascii="仿宋" w:eastAsia="仿宋" w:hAnsi="仿宋" w:cs="仿宋"/>
              </w:rPr>
            </w:pPr>
            <w:r>
              <w:rPr>
                <w:rFonts w:ascii="仿宋" w:eastAsia="仿宋" w:hAnsi="仿宋" w:cs="仿宋" w:hint="eastAsia"/>
                <w:sz w:val="24"/>
              </w:rPr>
              <w:t>（3）</w:t>
            </w:r>
            <w:r>
              <w:rPr>
                <w:rFonts w:ascii="仿宋" w:eastAsia="仿宋" w:hAnsi="仿宋" w:cs="仿宋" w:hint="eastAsia"/>
                <w:sz w:val="24"/>
                <w:highlight w:val="yellow"/>
              </w:rPr>
              <w:t>#量程</w:t>
            </w:r>
          </w:p>
          <w:p>
            <w:pPr>
              <w:rPr>
                <w:rFonts w:ascii="仿宋" w:eastAsia="仿宋" w:hAnsi="仿宋" w:cs="仿宋"/>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：0～1000ppm（精度保证：300ppm～700ppm）</w:t>
            </w:r>
          </w:p>
          <w:p>
            <w:pPr>
              <w:rPr>
                <w:rFonts w:ascii="仿宋" w:eastAsia="仿宋" w:hAnsi="仿宋" w:cs="仿宋"/>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：0～5ppm（精度保证：1ppm～3ppm）</w:t>
            </w:r>
          </w:p>
          <w:p>
            <w:pPr>
              <w:rPr>
                <w:rFonts w:ascii="仿宋" w:eastAsia="仿宋" w:hAnsi="仿宋" w:cs="仿宋"/>
              </w:rPr>
            </w:pPr>
            <w:r>
              <w:rPr>
                <w:rFonts w:ascii="仿宋" w:eastAsia="仿宋" w:hAnsi="仿宋" w:cs="仿宋" w:hint="eastAsia"/>
                <w:sz w:val="24"/>
              </w:rPr>
              <w:t>H</w:t>
            </w:r>
            <w:r>
              <w:rPr>
                <w:rFonts w:ascii="仿宋" w:eastAsia="仿宋" w:hAnsi="仿宋" w:cs="仿宋" w:hint="eastAsia"/>
                <w:sz w:val="24"/>
                <w:vertAlign w:val="subscript"/>
              </w:rPr>
              <w:t>2</w:t>
            </w:r>
            <w:r>
              <w:rPr>
                <w:rFonts w:ascii="仿宋" w:eastAsia="仿宋" w:hAnsi="仿宋" w:cs="仿宋" w:hint="eastAsia"/>
                <w:sz w:val="24"/>
              </w:rPr>
              <w:t>O：0-7%v 非冷凝（精度保证：0-3%</w:t>
            </w:r>
          </w:p>
          <w:p>
            <w:pPr>
              <w:rPr>
                <w:rFonts w:ascii="仿宋" w:eastAsia="仿宋" w:hAnsi="仿宋" w:cs="仿宋"/>
              </w:rPr>
            </w:pPr>
            <w:r>
              <w:rPr>
                <w:rFonts w:ascii="仿宋" w:eastAsia="仿宋" w:hAnsi="仿宋" w:cs="仿宋" w:hint="eastAsia"/>
                <w:sz w:val="24"/>
              </w:rPr>
              <w:t>非冷凝）</w:t>
            </w:r>
          </w:p>
          <w:p>
            <w:pPr>
              <w:rPr>
                <w:rFonts w:ascii="仿宋" w:eastAsia="仿宋" w:hAnsi="仿宋" w:cs="仿宋"/>
                <w:highlight w:val="yellow"/>
              </w:rPr>
            </w:pPr>
            <w:r>
              <w:rPr>
                <w:rFonts w:ascii="仿宋" w:eastAsia="仿宋" w:hAnsi="仿宋" w:cs="仿宋" w:hint="eastAsia"/>
                <w:sz w:val="24"/>
              </w:rPr>
              <w:t>（4）</w:t>
            </w:r>
            <w:r>
              <w:rPr>
                <w:rFonts w:ascii="仿宋" w:eastAsia="仿宋" w:hAnsi="仿宋" w:cs="仿宋" w:hint="eastAsia"/>
                <w:sz w:val="24"/>
                <w:highlight w:val="yellow"/>
              </w:rPr>
              <w:t>#最大漂移（标准温度压下，60分钟平均，24小时）</w:t>
            </w:r>
          </w:p>
          <w:p>
            <w:pPr>
              <w:rPr>
                <w:rFonts w:ascii="仿宋" w:eastAsia="仿宋" w:hAnsi="仿宋" w:cs="仿宋"/>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0.1 ppm</w:t>
            </w:r>
          </w:p>
          <w:p>
            <w:pPr>
              <w:rPr>
                <w:rFonts w:ascii="仿宋" w:eastAsia="仿宋" w:hAnsi="仿宋" w:cs="仿宋"/>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w:t>
            </w:r>
            <w:r>
              <w:rPr>
                <w:rFonts w:ascii="仿宋" w:eastAsia="仿宋" w:hAnsi="仿宋" w:cs="仿宋" w:hint="eastAsia"/>
                <w:sz w:val="24"/>
              </w:rPr>
              <w:t>≤</w:t>
            </w:r>
            <w:r>
              <w:rPr>
                <w:rFonts w:ascii="仿宋" w:eastAsia="仿宋" w:hAnsi="仿宋" w:cs="仿宋" w:hint="eastAsia"/>
                <w:sz w:val="24"/>
              </w:rPr>
              <w:t>1 ppb</w:t>
            </w:r>
          </w:p>
          <w:p>
            <w:pPr>
              <w:rPr>
                <w:rFonts w:ascii="仿宋" w:eastAsia="仿宋" w:hAnsi="仿宋" w:cs="仿宋"/>
                <w:highlight w:val="yellow"/>
              </w:rPr>
            </w:pPr>
            <w:r>
              <w:rPr>
                <w:rFonts w:ascii="仿宋" w:eastAsia="仿宋" w:hAnsi="仿宋" w:cs="仿宋" w:hint="eastAsia"/>
                <w:sz w:val="24"/>
                <w:highlight w:val="yellow"/>
              </w:rPr>
              <w:t>（5）#线性</w:t>
            </w:r>
          </w:p>
          <w:p>
            <w:pPr>
              <w:rPr>
                <w:rFonts w:ascii="仿宋" w:eastAsia="仿宋" w:hAnsi="仿宋" w:cs="仿宋"/>
              </w:rPr>
            </w:pPr>
            <w:r>
              <w:rPr>
                <w:rFonts w:ascii="仿宋" w:eastAsia="仿宋" w:hAnsi="仿宋" w:cs="仿宋" w:hint="eastAsia"/>
                <w:sz w:val="24"/>
              </w:rPr>
              <w:t>CO</w:t>
            </w:r>
            <w:r>
              <w:rPr>
                <w:rFonts w:ascii="仿宋" w:eastAsia="仿宋" w:hAnsi="仿宋" w:cs="仿宋" w:hint="eastAsia"/>
                <w:sz w:val="24"/>
                <w:vertAlign w:val="subscript"/>
              </w:rPr>
              <w:t>2</w:t>
            </w:r>
            <w:r>
              <w:rPr>
                <w:rFonts w:ascii="仿宋" w:eastAsia="仿宋" w:hAnsi="仿宋" w:cs="仿宋" w:hint="eastAsia"/>
                <w:sz w:val="24"/>
              </w:rPr>
              <w:t>：拟合优度：</w:t>
            </w:r>
            <w:r>
              <w:rPr>
                <w:rFonts w:ascii="仿宋" w:eastAsia="仿宋" w:hAnsi="仿宋" w:cs="仿宋" w:hint="eastAsia"/>
                <w:sz w:val="24"/>
              </w:rPr>
              <w:t>≥</w:t>
            </w:r>
            <w:r>
              <w:rPr>
                <w:rFonts w:ascii="仿宋" w:eastAsia="仿宋" w:hAnsi="仿宋" w:cs="仿宋" w:hint="eastAsia"/>
                <w:sz w:val="24"/>
              </w:rPr>
              <w:t>0.9999；拟合残差绝对值：</w:t>
            </w:r>
            <w:r>
              <w:rPr>
                <w:rFonts w:ascii="仿宋" w:eastAsia="仿宋" w:hAnsi="仿宋" w:cs="仿宋" w:hint="eastAsia"/>
                <w:sz w:val="24"/>
              </w:rPr>
              <w:t>≤</w:t>
            </w:r>
            <w:r>
              <w:rPr>
                <w:rFonts w:ascii="仿宋" w:eastAsia="仿宋" w:hAnsi="仿宋" w:cs="仿宋" w:hint="eastAsia"/>
                <w:sz w:val="24"/>
              </w:rPr>
              <w:t>0.1 ppm</w:t>
            </w:r>
          </w:p>
          <w:p>
            <w:pPr>
              <w:rPr>
                <w:rFonts w:ascii="仿宋" w:eastAsia="仿宋" w:hAnsi="仿宋" w:cs="仿宋"/>
              </w:rPr>
            </w:pPr>
            <w:r>
              <w:rPr>
                <w:rFonts w:ascii="仿宋" w:eastAsia="仿宋" w:hAnsi="仿宋" w:cs="仿宋" w:hint="eastAsia"/>
                <w:sz w:val="24"/>
              </w:rPr>
              <w:t>CH</w:t>
            </w:r>
            <w:r>
              <w:rPr>
                <w:rFonts w:ascii="仿宋" w:eastAsia="仿宋" w:hAnsi="仿宋" w:cs="仿宋" w:hint="eastAsia"/>
                <w:sz w:val="24"/>
                <w:vertAlign w:val="subscript"/>
              </w:rPr>
              <w:t>4</w:t>
            </w:r>
            <w:r>
              <w:rPr>
                <w:rFonts w:ascii="仿宋" w:eastAsia="仿宋" w:hAnsi="仿宋" w:cs="仿宋" w:hint="eastAsia"/>
                <w:sz w:val="24"/>
              </w:rPr>
              <w:t>：拟合优度：</w:t>
            </w:r>
            <w:r>
              <w:rPr>
                <w:rFonts w:ascii="仿宋" w:eastAsia="仿宋" w:hAnsi="仿宋" w:cs="仿宋" w:hint="eastAsia"/>
                <w:sz w:val="24"/>
              </w:rPr>
              <w:t>≥</w:t>
            </w:r>
            <w:r>
              <w:rPr>
                <w:rFonts w:ascii="仿宋" w:eastAsia="仿宋" w:hAnsi="仿宋" w:cs="仿宋" w:hint="eastAsia"/>
                <w:sz w:val="24"/>
              </w:rPr>
              <w:t>0.9999；拟合残差绝对值：</w:t>
            </w:r>
            <w:r>
              <w:rPr>
                <w:rFonts w:ascii="仿宋" w:eastAsia="仿宋" w:hAnsi="仿宋" w:cs="仿宋" w:hint="eastAsia"/>
                <w:sz w:val="24"/>
              </w:rPr>
              <w:t>≤</w:t>
            </w:r>
            <w:r>
              <w:rPr>
                <w:rFonts w:ascii="仿宋" w:eastAsia="仿宋" w:hAnsi="仿宋" w:cs="仿宋" w:hint="eastAsia"/>
                <w:sz w:val="24"/>
              </w:rPr>
              <w:t>1 ppb</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restart"/>
            <w:vAlign w:val="center"/>
          </w:tcPr>
          <w:p>
            <w:pPr>
              <w:rPr>
                <w:rFonts w:ascii="仿宋" w:eastAsia="仿宋" w:hAnsi="仿宋" w:cs="仿宋"/>
              </w:rPr>
            </w:pPr>
            <w:r>
              <w:rPr>
                <w:rFonts w:ascii="仿宋" w:eastAsia="仿宋" w:hAnsi="仿宋" w:cs="仿宋" w:hint="eastAsia"/>
                <w:sz w:val="24"/>
              </w:rPr>
              <w:t>样气采集单元</w:t>
            </w:r>
          </w:p>
        </w:tc>
        <w:tc>
          <w:tcPr>
            <w:tcW w:w="657" w:type="pct"/>
            <w:vAlign w:val="center"/>
          </w:tcPr>
          <w:p>
            <w:pPr>
              <w:rPr>
                <w:rFonts w:ascii="仿宋" w:eastAsia="仿宋" w:hAnsi="仿宋" w:cs="仿宋"/>
              </w:rPr>
            </w:pPr>
            <w:r>
              <w:rPr>
                <w:rFonts w:ascii="仿宋" w:eastAsia="仿宋" w:hAnsi="仿宋" w:cs="仿宋" w:hint="eastAsia"/>
                <w:sz w:val="24"/>
              </w:rPr>
              <w:t>采样泵</w:t>
            </w:r>
          </w:p>
        </w:tc>
        <w:tc>
          <w:tcPr>
            <w:tcW w:w="2951" w:type="pct"/>
            <w:vAlign w:val="center"/>
          </w:tcPr>
          <w:p>
            <w:pPr>
              <w:rPr>
                <w:rFonts w:ascii="仿宋" w:eastAsia="仿宋" w:hAnsi="仿宋" w:cs="仿宋"/>
              </w:rPr>
            </w:pPr>
            <w:r>
              <w:rPr>
                <w:rFonts w:ascii="仿宋" w:eastAsia="仿宋" w:hAnsi="仿宋" w:cs="仿宋" w:hint="eastAsia"/>
                <w:sz w:val="24"/>
              </w:rPr>
              <w:t>采样泵规格：无油隔膜式气泵</w:t>
            </w:r>
          </w:p>
          <w:p>
            <w:pPr>
              <w:rPr>
                <w:rFonts w:ascii="仿宋" w:eastAsia="仿宋" w:hAnsi="仿宋" w:cs="仿宋"/>
              </w:rPr>
            </w:pPr>
            <w:r>
              <w:rPr>
                <w:rFonts w:ascii="仿宋" w:eastAsia="仿宋" w:hAnsi="仿宋" w:cs="仿宋" w:hint="eastAsia"/>
                <w:sz w:val="24"/>
              </w:rPr>
              <w:t>采样泵抽气/排气速度：＞10L/min</w:t>
            </w:r>
          </w:p>
          <w:p>
            <w:pPr>
              <w:rPr>
                <w:rFonts w:ascii="仿宋" w:eastAsia="仿宋" w:hAnsi="仿宋" w:cs="仿宋"/>
              </w:rPr>
            </w:pPr>
            <w:r>
              <w:rPr>
                <w:rFonts w:ascii="仿宋" w:eastAsia="仿宋" w:hAnsi="仿宋" w:cs="仿宋" w:hint="eastAsia"/>
                <w:sz w:val="24"/>
              </w:rPr>
              <w:t>采样泵最大真空度：＞100mbar abs</w:t>
            </w:r>
          </w:p>
          <w:p>
            <w:pPr>
              <w:rPr>
                <w:rFonts w:ascii="仿宋" w:eastAsia="仿宋" w:hAnsi="仿宋" w:cs="仿宋"/>
              </w:rPr>
            </w:pPr>
            <w:r>
              <w:rPr>
                <w:rFonts w:ascii="仿宋" w:eastAsia="仿宋" w:hAnsi="仿宋" w:cs="仿宋" w:hint="eastAsia"/>
                <w:sz w:val="24"/>
              </w:rPr>
              <w:t>采样泵操作压力：6.0/87.0（bar rel./psig）</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采样管</w:t>
            </w:r>
          </w:p>
        </w:tc>
        <w:tc>
          <w:tcPr>
            <w:tcW w:w="2951" w:type="pct"/>
            <w:vAlign w:val="center"/>
          </w:tcPr>
          <w:p>
            <w:pPr>
              <w:rPr>
                <w:rFonts w:ascii="仿宋" w:eastAsia="仿宋" w:hAnsi="仿宋" w:cs="仿宋"/>
              </w:rPr>
            </w:pPr>
            <w:r>
              <w:rPr>
                <w:rFonts w:ascii="仿宋" w:eastAsia="仿宋" w:hAnsi="仿宋" w:cs="仿宋" w:hint="eastAsia"/>
                <w:sz w:val="24"/>
                <w:highlight w:val="yellow"/>
              </w:rPr>
              <w:t>#具有耐老化、无污染、无碳渗透的黑胶铝管（外径</w:t>
            </w:r>
            <w:r>
              <w:rPr>
                <w:rFonts w:ascii="仿宋" w:eastAsia="仿宋" w:hAnsi="仿宋" w:cs="仿宋" w:hint="eastAsia"/>
                <w:sz w:val="24"/>
                <w:highlight w:val="yellow"/>
              </w:rPr>
              <w:t>≥</w:t>
            </w:r>
            <w:r>
              <w:rPr>
                <w:rFonts w:ascii="仿宋" w:eastAsia="仿宋" w:hAnsi="仿宋" w:cs="仿宋" w:hint="eastAsia"/>
                <w:sz w:val="24"/>
                <w:highlight w:val="yellow"/>
              </w:rPr>
              <w:t>10mm）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采样口过滤器</w:t>
            </w:r>
          </w:p>
        </w:tc>
        <w:tc>
          <w:tcPr>
            <w:tcW w:w="2951" w:type="pct"/>
            <w:vAlign w:val="center"/>
          </w:tcPr>
          <w:p>
            <w:pPr>
              <w:rPr>
                <w:rFonts w:ascii="仿宋" w:eastAsia="仿宋" w:hAnsi="仿宋" w:cs="仿宋"/>
              </w:rPr>
            </w:pPr>
            <w:r>
              <w:rPr>
                <w:rFonts w:ascii="仿宋" w:eastAsia="仿宋" w:hAnsi="仿宋" w:cs="仿宋" w:hint="eastAsia"/>
                <w:sz w:val="24"/>
                <w:highlight w:val="yellow"/>
              </w:rPr>
              <w:t>#过滤粒径应</w:t>
            </w:r>
            <w:r>
              <w:rPr>
                <w:rFonts w:ascii="仿宋" w:eastAsia="仿宋" w:hAnsi="仿宋" w:cs="仿宋" w:hint="eastAsia"/>
                <w:sz w:val="24"/>
                <w:highlight w:val="yellow"/>
              </w:rPr>
              <w:t>≤</w:t>
            </w:r>
            <w:r>
              <w:rPr>
                <w:rFonts w:ascii="仿宋" w:eastAsia="仿宋" w:hAnsi="仿宋" w:cs="仿宋" w:hint="eastAsia"/>
                <w:sz w:val="24"/>
                <w:highlight w:val="yellow"/>
              </w:rPr>
              <w:t>7</w:t>
            </w:r>
            <w:r>
              <w:rPr>
                <w:rFonts w:ascii="仿宋" w:eastAsia="仿宋" w:hAnsi="仿宋" w:cs="仿宋" w:hint="eastAsia"/>
                <w:sz w:val="24"/>
                <w:highlight w:val="yellow"/>
              </w:rPr>
              <w:t>μ</w:t>
            </w:r>
            <w:r>
              <w:rPr>
                <w:rFonts w:ascii="仿宋" w:eastAsia="仿宋" w:hAnsi="仿宋" w:cs="仿宋" w:hint="eastAsia"/>
                <w:sz w:val="24"/>
                <w:highlight w:val="yellow"/>
              </w:rPr>
              <w:t xml:space="preserve">m </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采样泵过滤器</w:t>
            </w:r>
          </w:p>
        </w:tc>
        <w:tc>
          <w:tcPr>
            <w:tcW w:w="2951" w:type="pct"/>
            <w:vAlign w:val="center"/>
          </w:tcPr>
          <w:p>
            <w:pPr>
              <w:rPr>
                <w:rFonts w:ascii="仿宋" w:eastAsia="仿宋" w:hAnsi="仿宋" w:cs="仿宋"/>
              </w:rPr>
            </w:pPr>
            <w:r>
              <w:rPr>
                <w:rFonts w:ascii="仿宋" w:eastAsia="仿宋" w:hAnsi="仿宋" w:cs="仿宋" w:hint="eastAsia"/>
                <w:sz w:val="24"/>
              </w:rPr>
              <w:t>7</w:t>
            </w:r>
            <w:r>
              <w:rPr>
                <w:rFonts w:ascii="仿宋" w:eastAsia="仿宋" w:hAnsi="仿宋" w:cs="仿宋" w:hint="eastAsia"/>
                <w:sz w:val="24"/>
              </w:rPr>
              <w:t>μ</w:t>
            </w:r>
            <w:r>
              <w:rPr>
                <w:rFonts w:ascii="仿宋" w:eastAsia="仿宋" w:hAnsi="仿宋" w:cs="仿宋" w:hint="eastAsia"/>
                <w:sz w:val="24"/>
              </w:rPr>
              <w:t>m孔径烧结过滤器</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restart"/>
            <w:vAlign w:val="center"/>
          </w:tcPr>
          <w:p>
            <w:pPr>
              <w:rPr>
                <w:rFonts w:ascii="仿宋" w:eastAsia="仿宋" w:hAnsi="仿宋" w:cs="仿宋"/>
              </w:rPr>
            </w:pPr>
            <w:r>
              <w:rPr>
                <w:rFonts w:ascii="仿宋" w:eastAsia="仿宋" w:hAnsi="仿宋" w:cs="仿宋" w:hint="eastAsia"/>
                <w:sz w:val="24"/>
              </w:rPr>
              <w:t>样气处理单元</w:t>
            </w:r>
          </w:p>
        </w:tc>
        <w:tc>
          <w:tcPr>
            <w:tcW w:w="3608" w:type="pct"/>
            <w:gridSpan w:val="2"/>
            <w:vAlign w:val="center"/>
          </w:tcPr>
          <w:p>
            <w:pPr>
              <w:rPr>
                <w:rFonts w:ascii="仿宋" w:eastAsia="仿宋" w:hAnsi="仿宋" w:cs="仿宋"/>
              </w:rPr>
            </w:pPr>
            <w:r>
              <w:rPr>
                <w:rFonts w:ascii="仿宋" w:eastAsia="仿宋" w:hAnsi="仿宋" w:cs="仿宋" w:hint="eastAsia"/>
                <w:sz w:val="24"/>
              </w:rPr>
              <w:t>除湿装置应对CO</w:t>
            </w:r>
            <w:r>
              <w:rPr>
                <w:rFonts w:ascii="仿宋" w:eastAsia="仿宋" w:hAnsi="仿宋" w:cs="仿宋" w:hint="eastAsia"/>
                <w:sz w:val="24"/>
                <w:vertAlign w:val="subscript"/>
              </w:rPr>
              <w:t>2</w:t>
            </w:r>
            <w:r>
              <w:rPr>
                <w:rFonts w:ascii="仿宋" w:eastAsia="仿宋" w:hAnsi="仿宋" w:cs="仿宋" w:hint="eastAsia"/>
                <w:sz w:val="24"/>
              </w:rPr>
              <w:t>等被测气体无明显吸附或污染；</w:t>
            </w:r>
          </w:p>
          <w:p>
            <w:pPr>
              <w:rPr>
                <w:rFonts w:ascii="仿宋" w:eastAsia="仿宋" w:hAnsi="仿宋" w:cs="仿宋"/>
              </w:rPr>
            </w:pPr>
            <w:r>
              <w:rPr>
                <w:rFonts w:ascii="仿宋" w:eastAsia="仿宋" w:hAnsi="仿宋" w:cs="仿宋" w:hint="eastAsia"/>
                <w:sz w:val="24"/>
                <w:highlight w:val="yellow"/>
              </w:rPr>
              <w:t>#除湿后，水汽浓度应低于40ppm；</w:t>
            </w:r>
            <w:r>
              <w:rPr>
                <w:rFonts w:ascii="仿宋" w:eastAsia="仿宋" w:hAnsi="仿宋" w:cs="仿宋" w:hint="eastAsia"/>
                <w:sz w:val="24"/>
              </w:rPr>
              <w:t></w:t>
            </w:r>
            <w:r>
              <w:rPr>
                <w:rFonts w:ascii="仿宋" w:eastAsia="仿宋" w:hAnsi="仿宋" w:cs="仿宋" w:hint="eastAsia"/>
                <w:sz w:val="24"/>
              </w:rPr>
              <w:tab/>
            </w:r>
          </w:p>
          <w:p>
            <w:pPr>
              <w:rPr>
                <w:rFonts w:ascii="仿宋" w:eastAsia="仿宋" w:hAnsi="仿宋" w:cs="仿宋"/>
              </w:rPr>
            </w:pPr>
            <w:r>
              <w:rPr>
                <w:rFonts w:ascii="仿宋" w:eastAsia="仿宋" w:hAnsi="仿宋" w:cs="仿宋" w:hint="eastAsia"/>
                <w:sz w:val="24"/>
              </w:rPr>
              <w:t>除湿装置应具有工作状态、温度等信息输出功能。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气体冷却器</w:t>
            </w:r>
          </w:p>
        </w:tc>
        <w:tc>
          <w:tcPr>
            <w:tcW w:w="2951" w:type="pct"/>
            <w:vAlign w:val="center"/>
          </w:tcPr>
          <w:p>
            <w:pPr>
              <w:rPr>
                <w:rFonts w:ascii="仿宋" w:eastAsia="仿宋" w:hAnsi="仿宋" w:cs="仿宋"/>
              </w:rPr>
            </w:pPr>
            <w:r>
              <w:rPr>
                <w:rFonts w:ascii="仿宋" w:eastAsia="仿宋" w:hAnsi="仿宋" w:cs="仿宋" w:hint="eastAsia"/>
                <w:sz w:val="24"/>
              </w:rPr>
              <w:t>双路进气除水，通过压缩机冷却控制系统将射流热交换管稳定在恒定的露点温度，蠕动泵将冷凝液排出。</w:t>
            </w:r>
          </w:p>
          <w:p>
            <w:pPr>
              <w:rPr>
                <w:rFonts w:ascii="仿宋" w:eastAsia="仿宋" w:hAnsi="仿宋" w:cs="仿宋"/>
              </w:rPr>
            </w:pPr>
            <w:r>
              <w:rPr>
                <w:rFonts w:ascii="仿宋" w:eastAsia="仿宋" w:hAnsi="仿宋" w:cs="仿宋" w:hint="eastAsia"/>
                <w:sz w:val="24"/>
              </w:rPr>
              <w:t>除湿温度应控制在1</w:t>
            </w:r>
            <w:r>
              <w:rPr>
                <w:rFonts w:ascii="仿宋" w:eastAsia="仿宋" w:hAnsi="仿宋" w:cs="仿宋" w:hint="eastAsia"/>
                <w:sz w:val="24"/>
              </w:rPr>
              <w:t>℃</w:t>
            </w:r>
            <w:r>
              <w:rPr>
                <w:rFonts w:ascii="仿宋" w:eastAsia="仿宋" w:hAnsi="仿宋" w:cs="仿宋" w:hint="eastAsia"/>
                <w:sz w:val="24"/>
              </w:rPr>
              <w:t>～3</w:t>
            </w:r>
            <w:r>
              <w:rPr>
                <w:rFonts w:ascii="仿宋" w:eastAsia="仿宋" w:hAnsi="仿宋" w:cs="仿宋" w:hint="eastAsia"/>
                <w:sz w:val="24"/>
              </w:rPr>
              <w:t>℃</w:t>
            </w:r>
            <w:r>
              <w:rPr>
                <w:rFonts w:ascii="仿宋" w:eastAsia="仿宋" w:hAnsi="仿宋" w:cs="仿宋" w:hint="eastAsia"/>
                <w:sz w:val="24"/>
              </w:rPr>
              <w:t>范围。</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Merge w:val="restart"/>
            <w:vAlign w:val="center"/>
          </w:tcPr>
          <w:p>
            <w:pPr>
              <w:rPr>
                <w:rFonts w:ascii="仿宋" w:eastAsia="仿宋" w:hAnsi="仿宋" w:cs="仿宋"/>
              </w:rPr>
            </w:pPr>
            <w:r>
              <w:rPr>
                <w:rFonts w:ascii="仿宋" w:eastAsia="仿宋" w:hAnsi="仿宋" w:cs="仿宋" w:hint="eastAsia"/>
                <w:sz w:val="24"/>
              </w:rPr>
              <w:t>渗透膜除水系统</w:t>
            </w:r>
          </w:p>
        </w:tc>
        <w:tc>
          <w:tcPr>
            <w:tcW w:w="2951" w:type="pct"/>
            <w:vMerge w:val="restart"/>
            <w:vAlign w:val="center"/>
          </w:tcPr>
          <w:p>
            <w:pPr>
              <w:rPr>
                <w:rFonts w:ascii="仿宋" w:eastAsia="仿宋" w:hAnsi="仿宋" w:cs="仿宋"/>
              </w:rPr>
            </w:pPr>
            <w:r>
              <w:rPr>
                <w:rFonts w:ascii="仿宋" w:eastAsia="仿宋" w:hAnsi="仿宋" w:cs="仿宋" w:hint="eastAsia"/>
                <w:sz w:val="24"/>
              </w:rPr>
              <w:t>采用气体干燥管进行除湿，气体干燥管选择性渗透膜应为Nafion聚合物材料，吹扫气体应为干燥的空气或其他气体。</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Merge/>
            <w:vAlign w:val="center"/>
          </w:tcPr>
          <w:p>
            <w:pPr>
              <w:rPr>
                <w:rFonts w:ascii="仿宋" w:eastAsia="仿宋" w:hAnsi="仿宋" w:cs="仿宋"/>
              </w:rPr>
            </w:pPr>
          </w:p>
        </w:tc>
        <w:tc>
          <w:tcPr>
            <w:tcW w:w="2951" w:type="pct"/>
            <w:vMerge/>
            <w:vAlign w:val="center"/>
          </w:tcPr>
          <w:p>
            <w:pPr>
              <w:rPr>
                <w:rFonts w:ascii="仿宋" w:eastAsia="仿宋" w:hAnsi="仿宋" w:cs="仿宋"/>
                <w:b/>
                <w:bCs/>
              </w:rPr>
            </w:pP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Merge/>
            <w:vAlign w:val="center"/>
          </w:tcPr>
          <w:p>
            <w:pPr>
              <w:rPr>
                <w:rFonts w:ascii="仿宋" w:eastAsia="仿宋" w:hAnsi="仿宋" w:cs="仿宋"/>
              </w:rPr>
            </w:pPr>
          </w:p>
        </w:tc>
        <w:tc>
          <w:tcPr>
            <w:tcW w:w="2951" w:type="pct"/>
            <w:vMerge/>
            <w:vAlign w:val="center"/>
          </w:tcPr>
          <w:p>
            <w:pPr>
              <w:rPr>
                <w:rFonts w:ascii="仿宋" w:eastAsia="仿宋" w:hAnsi="仿宋" w:cs="仿宋"/>
                <w:b/>
                <w:bCs/>
              </w:rPr>
            </w:pP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超低温冷阱</w:t>
            </w:r>
          </w:p>
        </w:tc>
        <w:tc>
          <w:tcPr>
            <w:tcW w:w="2951" w:type="pct"/>
            <w:vAlign w:val="center"/>
          </w:tcPr>
          <w:p>
            <w:pPr>
              <w:rPr>
                <w:rFonts w:ascii="仿宋" w:eastAsia="仿宋" w:hAnsi="仿宋" w:cs="仿宋"/>
                <w:highlight w:val="yellow"/>
              </w:rPr>
            </w:pPr>
            <w:r>
              <w:rPr>
                <w:rFonts w:ascii="仿宋" w:eastAsia="仿宋" w:hAnsi="仿宋" w:cs="仿宋" w:hint="eastAsia"/>
                <w:sz w:val="24"/>
                <w:highlight w:val="yellow"/>
              </w:rPr>
              <w:t>#除湿温度应控制在-50</w:t>
            </w:r>
            <w:r>
              <w:rPr>
                <w:rFonts w:ascii="仿宋" w:eastAsia="仿宋" w:hAnsi="仿宋" w:cs="仿宋" w:hint="eastAsia"/>
                <w:sz w:val="24"/>
                <w:highlight w:val="yellow"/>
              </w:rPr>
              <w:t>℃</w:t>
            </w:r>
            <w:r>
              <w:rPr>
                <w:rFonts w:ascii="仿宋" w:eastAsia="仿宋" w:hAnsi="仿宋" w:cs="仿宋" w:hint="eastAsia"/>
                <w:sz w:val="24"/>
                <w:highlight w:val="yellow"/>
              </w:rPr>
              <w:t>～-75</w:t>
            </w:r>
            <w:r>
              <w:rPr>
                <w:rFonts w:ascii="仿宋" w:eastAsia="仿宋" w:hAnsi="仿宋" w:cs="仿宋" w:hint="eastAsia"/>
                <w:sz w:val="24"/>
                <w:highlight w:val="yellow"/>
              </w:rPr>
              <w:t>℃</w:t>
            </w:r>
            <w:r>
              <w:rPr>
                <w:rFonts w:ascii="仿宋" w:eastAsia="仿宋" w:hAnsi="仿宋" w:cs="仿宋" w:hint="eastAsia"/>
                <w:sz w:val="24"/>
                <w:highlight w:val="yellow"/>
              </w:rPr>
              <w:t>范围。</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室内管路及接头</w:t>
            </w:r>
          </w:p>
        </w:tc>
        <w:tc>
          <w:tcPr>
            <w:tcW w:w="2951" w:type="pct"/>
            <w:vAlign w:val="center"/>
          </w:tcPr>
          <w:p>
            <w:pPr>
              <w:rPr>
                <w:rFonts w:ascii="仿宋" w:eastAsia="仿宋" w:hAnsi="仿宋" w:cs="仿宋"/>
              </w:rPr>
            </w:pPr>
            <w:r>
              <w:rPr>
                <w:rFonts w:ascii="仿宋" w:eastAsia="仿宋" w:hAnsi="仿宋" w:cs="仿宋" w:hint="eastAsia"/>
                <w:sz w:val="24"/>
              </w:rPr>
              <w:t>进气管线为1/4in不锈钢管和铝塑管，标气管线为应使用316/316L无缝不锈钢管（外径</w:t>
            </w:r>
            <w:r>
              <w:rPr>
                <w:rFonts w:ascii="仿宋" w:eastAsia="仿宋" w:hAnsi="仿宋" w:cs="仿宋" w:hint="eastAsia"/>
                <w:sz w:val="24"/>
              </w:rPr>
              <w:t>≤</w:t>
            </w:r>
            <w:r>
              <w:rPr>
                <w:rFonts w:ascii="仿宋" w:eastAsia="仿宋" w:hAnsi="仿宋" w:cs="仿宋" w:hint="eastAsia"/>
                <w:sz w:val="24"/>
              </w:rPr>
              <w:t>1/8in）。</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Align w:val="center"/>
          </w:tcPr>
          <w:p>
            <w:pPr>
              <w:rPr>
                <w:rFonts w:ascii="仿宋" w:eastAsia="仿宋" w:hAnsi="仿宋" w:cs="仿宋"/>
              </w:rPr>
            </w:pPr>
            <w:r>
              <w:rPr>
                <w:rFonts w:ascii="仿宋" w:eastAsia="仿宋" w:hAnsi="仿宋" w:cs="仿宋" w:hint="eastAsia"/>
                <w:sz w:val="24"/>
              </w:rPr>
              <w:t>样气选择单元</w:t>
            </w:r>
          </w:p>
        </w:tc>
        <w:tc>
          <w:tcPr>
            <w:tcW w:w="657" w:type="pct"/>
            <w:vAlign w:val="center"/>
          </w:tcPr>
          <w:p>
            <w:pPr>
              <w:rPr>
                <w:rFonts w:ascii="仿宋" w:eastAsia="仿宋" w:hAnsi="仿宋" w:cs="仿宋"/>
              </w:rPr>
            </w:pPr>
            <w:r>
              <w:rPr>
                <w:rFonts w:ascii="仿宋" w:eastAsia="仿宋" w:hAnsi="仿宋" w:cs="仿宋" w:hint="eastAsia"/>
                <w:sz w:val="24"/>
              </w:rPr>
              <w:t>进样阀箱</w:t>
            </w:r>
          </w:p>
        </w:tc>
        <w:tc>
          <w:tcPr>
            <w:tcW w:w="2951" w:type="pct"/>
            <w:vAlign w:val="center"/>
          </w:tcPr>
          <w:p>
            <w:pPr>
              <w:rPr>
                <w:rFonts w:ascii="仿宋" w:eastAsia="仿宋" w:hAnsi="仿宋" w:cs="仿宋"/>
              </w:rPr>
            </w:pPr>
            <w:r>
              <w:rPr>
                <w:rFonts w:ascii="仿宋" w:eastAsia="仿宋" w:hAnsi="仿宋" w:cs="仿宋" w:hint="eastAsia"/>
                <w:sz w:val="24"/>
              </w:rPr>
              <w:t>包括质量流量控制器、样气选择模块（可选用电磁阀或多口阀等）。</w:t>
            </w:r>
          </w:p>
          <w:p>
            <w:pPr>
              <w:rPr>
                <w:rFonts w:ascii="仿宋" w:eastAsia="仿宋" w:hAnsi="仿宋" w:cs="仿宋"/>
              </w:rPr>
            </w:pPr>
            <w:r>
              <w:rPr>
                <w:rFonts w:ascii="仿宋" w:eastAsia="仿宋" w:hAnsi="仿宋" w:cs="仿宋" w:hint="eastAsia"/>
                <w:sz w:val="24"/>
              </w:rPr>
              <w:t>选择阀：应使用对CO</w:t>
            </w:r>
            <w:r>
              <w:rPr>
                <w:rFonts w:ascii="仿宋" w:eastAsia="仿宋" w:hAnsi="仿宋" w:cs="仿宋" w:hint="eastAsia"/>
                <w:sz w:val="24"/>
                <w:vertAlign w:val="subscript"/>
              </w:rPr>
              <w:t>2</w:t>
            </w:r>
            <w:r>
              <w:rPr>
                <w:rFonts w:ascii="仿宋" w:eastAsia="仿宋" w:hAnsi="仿宋" w:cs="仿宋" w:hint="eastAsia"/>
                <w:sz w:val="24"/>
              </w:rPr>
              <w:t>等被测气体无明显吸附、无污染和反应作用的不锈钢材质，不同气路切换时应无漏气和交叉污染；具有通讯接口，可程控切换。</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restart"/>
            <w:vAlign w:val="center"/>
          </w:tcPr>
          <w:p>
            <w:pPr>
              <w:rPr>
                <w:rFonts w:ascii="仿宋" w:eastAsia="仿宋" w:hAnsi="仿宋" w:cs="仿宋"/>
              </w:rPr>
            </w:pPr>
            <w:r>
              <w:rPr>
                <w:rFonts w:ascii="仿宋" w:eastAsia="仿宋" w:hAnsi="仿宋" w:cs="仿宋" w:hint="eastAsia"/>
                <w:sz w:val="24"/>
              </w:rPr>
              <w:t>标气单元</w:t>
            </w:r>
          </w:p>
          <w:p>
            <w:pPr>
              <w:jc w:val="cente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气瓶</w:t>
            </w:r>
          </w:p>
        </w:tc>
        <w:tc>
          <w:tcPr>
            <w:tcW w:w="2951" w:type="pct"/>
            <w:vAlign w:val="center"/>
          </w:tcPr>
          <w:p>
            <w:pPr>
              <w:rPr>
                <w:rFonts w:ascii="仿宋" w:eastAsia="仿宋" w:hAnsi="仿宋" w:cs="仿宋"/>
              </w:rPr>
            </w:pPr>
            <w:r>
              <w:rPr>
                <w:rFonts w:ascii="仿宋" w:eastAsia="仿宋" w:hAnsi="仿宋" w:cs="仿宋" w:hint="eastAsia"/>
                <w:sz w:val="24"/>
              </w:rPr>
              <w:t>内抛光专用铝合金气瓶，最高耐压不低于3500psi。</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高精度减压阀</w:t>
            </w:r>
          </w:p>
        </w:tc>
        <w:tc>
          <w:tcPr>
            <w:tcW w:w="2951" w:type="pct"/>
            <w:vAlign w:val="center"/>
          </w:tcPr>
          <w:p>
            <w:pPr>
              <w:rPr>
                <w:rFonts w:ascii="仿宋" w:eastAsia="仿宋" w:hAnsi="仿宋" w:cs="仿宋"/>
              </w:rPr>
            </w:pPr>
            <w:r>
              <w:rPr>
                <w:rFonts w:ascii="仿宋" w:eastAsia="仿宋" w:hAnsi="仿宋" w:cs="仿宋" w:hint="eastAsia"/>
                <w:sz w:val="24"/>
              </w:rPr>
              <w:t>不锈钢或黄铜镀镍层材质，不锈钢横膈膜；输入压力范围：0～3000psi，输出压力范围：0～100psi。</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混合标气（不含瓶）</w:t>
            </w:r>
          </w:p>
        </w:tc>
        <w:tc>
          <w:tcPr>
            <w:tcW w:w="2951" w:type="pct"/>
            <w:vAlign w:val="center"/>
          </w:tcPr>
          <w:p>
            <w:pPr>
              <w:rPr>
                <w:rFonts w:ascii="仿宋" w:eastAsia="仿宋" w:hAnsi="仿宋" w:cs="仿宋"/>
                <w:highlight w:val="yellow"/>
              </w:rPr>
            </w:pPr>
            <w:r>
              <w:rPr>
                <w:rFonts w:ascii="仿宋" w:eastAsia="仿宋" w:hAnsi="仿宋" w:cs="仿宋" w:hint="eastAsia"/>
                <w:sz w:val="24"/>
                <w:highlight w:val="yellow"/>
              </w:rPr>
              <w:t>#应溯源至气象部门最高计量标准，并经过国家气象计量站审核认证。</w:t>
            </w:r>
          </w:p>
          <w:p>
            <w:pPr>
              <w:rPr>
                <w:rFonts w:ascii="仿宋" w:eastAsia="仿宋" w:hAnsi="仿宋" w:cs="仿宋"/>
              </w:rPr>
            </w:pPr>
            <w:r>
              <w:rPr>
                <w:rFonts w:ascii="仿宋" w:eastAsia="仿宋" w:hAnsi="仿宋" w:cs="仿宋" w:hint="eastAsia"/>
                <w:sz w:val="24"/>
              </w:rPr>
              <w:t>高浓度与低浓度工作标气：以自然大气为底气，CO</w:t>
            </w:r>
            <w:r>
              <w:rPr>
                <w:rFonts w:ascii="仿宋" w:eastAsia="仿宋" w:hAnsi="仿宋" w:cs="仿宋" w:hint="eastAsia"/>
                <w:sz w:val="24"/>
                <w:vertAlign w:val="subscript"/>
              </w:rPr>
              <w:t>2</w:t>
            </w:r>
            <w:r>
              <w:rPr>
                <w:rFonts w:ascii="仿宋" w:eastAsia="仿宋" w:hAnsi="仿宋" w:cs="仿宋" w:hint="eastAsia"/>
                <w:sz w:val="24"/>
              </w:rPr>
              <w:t>等浓度应涵盖观测点大气CO</w:t>
            </w:r>
            <w:r>
              <w:rPr>
                <w:rFonts w:ascii="仿宋" w:eastAsia="仿宋" w:hAnsi="仿宋" w:cs="仿宋" w:hint="eastAsia"/>
                <w:sz w:val="24"/>
                <w:vertAlign w:val="subscript"/>
              </w:rPr>
              <w:t>2</w:t>
            </w:r>
            <w:r>
              <w:rPr>
                <w:rFonts w:ascii="仿宋" w:eastAsia="仿宋" w:hAnsi="仿宋" w:cs="仿宋" w:hint="eastAsia"/>
                <w:sz w:val="24"/>
              </w:rPr>
              <w:t>等浓度变化范围。标气水气含量</w:t>
            </w:r>
            <w:r>
              <w:rPr>
                <w:rFonts w:ascii="仿宋" w:eastAsia="仿宋" w:hAnsi="仿宋" w:cs="仿宋" w:hint="eastAsia"/>
                <w:sz w:val="24"/>
              </w:rPr>
              <w:t>≤</w:t>
            </w:r>
            <w:r>
              <w:rPr>
                <w:rFonts w:ascii="仿宋" w:eastAsia="仿宋" w:hAnsi="仿宋" w:cs="仿宋" w:hint="eastAsia"/>
                <w:sz w:val="24"/>
              </w:rPr>
              <w:t>5ppm。</w:t>
            </w:r>
          </w:p>
          <w:p>
            <w:pPr>
              <w:rPr>
                <w:rFonts w:ascii="仿宋" w:eastAsia="仿宋" w:hAnsi="仿宋" w:cs="仿宋"/>
              </w:rPr>
            </w:pPr>
            <w:r>
              <w:rPr>
                <w:rFonts w:ascii="仿宋" w:eastAsia="仿宋" w:hAnsi="仿宋" w:cs="仿宋" w:hint="eastAsia"/>
                <w:sz w:val="24"/>
              </w:rPr>
              <w:t>目标标气：以自然大气为底气，CO</w:t>
            </w:r>
            <w:r>
              <w:rPr>
                <w:rFonts w:ascii="仿宋" w:eastAsia="仿宋" w:hAnsi="仿宋" w:cs="仿宋" w:hint="eastAsia"/>
                <w:sz w:val="24"/>
                <w:vertAlign w:val="subscript"/>
              </w:rPr>
              <w:t>2</w:t>
            </w:r>
            <w:r>
              <w:rPr>
                <w:rFonts w:ascii="仿宋" w:eastAsia="仿宋" w:hAnsi="仿宋" w:cs="仿宋" w:hint="eastAsia"/>
                <w:sz w:val="24"/>
              </w:rPr>
              <w:t>等浓度应接近观测点大气CO</w:t>
            </w:r>
            <w:r>
              <w:rPr>
                <w:rFonts w:ascii="仿宋" w:eastAsia="仿宋" w:hAnsi="仿宋" w:cs="仿宋" w:hint="eastAsia"/>
                <w:sz w:val="24"/>
                <w:vertAlign w:val="subscript"/>
              </w:rPr>
              <w:t>2</w:t>
            </w:r>
            <w:r>
              <w:rPr>
                <w:rFonts w:ascii="仿宋" w:eastAsia="仿宋" w:hAnsi="仿宋" w:cs="仿宋" w:hint="eastAsia"/>
                <w:sz w:val="24"/>
              </w:rPr>
              <w:t>等平均浓度。</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气瓶架</w:t>
            </w:r>
          </w:p>
        </w:tc>
        <w:tc>
          <w:tcPr>
            <w:tcW w:w="2951" w:type="pct"/>
            <w:vAlign w:val="center"/>
          </w:tcPr>
          <w:p>
            <w:pPr>
              <w:rPr>
                <w:rFonts w:ascii="仿宋" w:eastAsia="仿宋" w:hAnsi="仿宋" w:cs="仿宋"/>
              </w:rPr>
            </w:pPr>
            <w:r>
              <w:rPr>
                <w:rFonts w:ascii="仿宋" w:eastAsia="仿宋" w:hAnsi="仿宋" w:cs="仿宋" w:hint="eastAsia"/>
                <w:sz w:val="24"/>
              </w:rPr>
              <w:t>（三瓶横置）宽深高100</w:t>
            </w:r>
            <w:r>
              <w:rPr>
                <w:rFonts w:ascii="仿宋" w:eastAsia="仿宋" w:hAnsi="仿宋" w:cs="仿宋" w:hint="eastAsia"/>
                <w:sz w:val="24"/>
              </w:rPr>
              <w:t>×</w:t>
            </w:r>
            <w:r>
              <w:rPr>
                <w:rFonts w:ascii="仿宋" w:eastAsia="仿宋" w:hAnsi="仿宋" w:cs="仿宋" w:hint="eastAsia"/>
                <w:sz w:val="24"/>
              </w:rPr>
              <w:t>40</w:t>
            </w:r>
            <w:r>
              <w:rPr>
                <w:rFonts w:ascii="仿宋" w:eastAsia="仿宋" w:hAnsi="仿宋" w:cs="仿宋" w:hint="eastAsia"/>
                <w:sz w:val="24"/>
              </w:rPr>
              <w:t>×</w:t>
            </w:r>
            <w:r>
              <w:rPr>
                <w:rFonts w:ascii="仿宋" w:eastAsia="仿宋" w:hAnsi="仿宋" w:cs="仿宋" w:hint="eastAsia"/>
                <w:sz w:val="24"/>
              </w:rPr>
              <w:t>120cm。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restart"/>
            <w:vAlign w:val="center"/>
          </w:tcPr>
          <w:p>
            <w:pPr>
              <w:rPr>
                <w:rFonts w:ascii="仿宋" w:eastAsia="仿宋" w:hAnsi="仿宋" w:cs="仿宋"/>
              </w:rPr>
            </w:pPr>
            <w:r>
              <w:rPr>
                <w:rFonts w:ascii="仿宋" w:eastAsia="仿宋" w:hAnsi="仿宋" w:cs="仿宋" w:hint="eastAsia"/>
                <w:sz w:val="24"/>
              </w:rPr>
              <w:t>数据采集与处理单元</w:t>
            </w:r>
          </w:p>
        </w:tc>
        <w:tc>
          <w:tcPr>
            <w:tcW w:w="3608" w:type="pct"/>
            <w:gridSpan w:val="2"/>
            <w:vAlign w:val="center"/>
          </w:tcPr>
          <w:p>
            <w:pPr>
              <w:rPr>
                <w:rFonts w:ascii="仿宋" w:eastAsia="仿宋" w:hAnsi="仿宋" w:cs="仿宋"/>
              </w:rPr>
            </w:pPr>
            <w:r>
              <w:rPr>
                <w:rFonts w:ascii="仿宋" w:eastAsia="仿宋" w:hAnsi="仿宋" w:cs="仿宋" w:hint="eastAsia"/>
                <w:sz w:val="24"/>
              </w:rPr>
              <w:t>具备自动控制样气选择单元，并可设定样气种类、进气顺序和时长等，实现阀位的自动切换。</w:t>
            </w:r>
          </w:p>
          <w:p>
            <w:pPr>
              <w:rPr>
                <w:rFonts w:ascii="仿宋" w:eastAsia="仿宋" w:hAnsi="仿宋" w:cs="仿宋"/>
              </w:rPr>
            </w:pPr>
            <w:r>
              <w:rPr>
                <w:rFonts w:ascii="仿宋" w:eastAsia="仿宋" w:hAnsi="仿宋" w:cs="仿宋" w:hint="eastAsia"/>
                <w:sz w:val="24"/>
              </w:rPr>
              <w:t>具有小时数据存贮、打包、上传及实时显示等功能。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工控机</w:t>
            </w:r>
          </w:p>
        </w:tc>
        <w:tc>
          <w:tcPr>
            <w:tcW w:w="2951" w:type="pct"/>
            <w:vAlign w:val="center"/>
          </w:tcPr>
          <w:p>
            <w:pPr>
              <w:rPr>
                <w:rFonts w:ascii="仿宋" w:eastAsia="仿宋" w:hAnsi="仿宋" w:cs="仿宋"/>
              </w:rPr>
            </w:pPr>
            <w:r>
              <w:rPr>
                <w:rFonts w:ascii="仿宋" w:eastAsia="仿宋" w:hAnsi="仿宋" w:cs="仿宋" w:hint="eastAsia"/>
                <w:sz w:val="24"/>
              </w:rPr>
              <w:t>CPU主频：3GHz或更高。</w:t>
            </w:r>
          </w:p>
          <w:p>
            <w:pPr>
              <w:rPr>
                <w:rFonts w:ascii="仿宋" w:eastAsia="仿宋" w:hAnsi="仿宋" w:cs="仿宋"/>
              </w:rPr>
            </w:pPr>
            <w:r>
              <w:rPr>
                <w:rFonts w:ascii="仿宋" w:eastAsia="仿宋" w:hAnsi="仿宋" w:cs="仿宋" w:hint="eastAsia"/>
                <w:sz w:val="24"/>
              </w:rPr>
              <w:t>内存容量：4G或更高。</w:t>
            </w:r>
          </w:p>
          <w:p>
            <w:pPr>
              <w:rPr>
                <w:rFonts w:ascii="仿宋" w:eastAsia="仿宋" w:hAnsi="仿宋" w:cs="仿宋"/>
              </w:rPr>
            </w:pPr>
            <w:r>
              <w:rPr>
                <w:rFonts w:ascii="仿宋" w:eastAsia="仿宋" w:hAnsi="仿宋" w:cs="仿宋" w:hint="eastAsia"/>
                <w:sz w:val="24"/>
              </w:rPr>
              <w:t>硬盘容量：机械500G或更高。</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监测报警系统</w:t>
            </w:r>
          </w:p>
        </w:tc>
        <w:tc>
          <w:tcPr>
            <w:tcW w:w="2951" w:type="pct"/>
            <w:vAlign w:val="center"/>
          </w:tcPr>
          <w:p>
            <w:pPr>
              <w:rPr>
                <w:rFonts w:ascii="仿宋" w:eastAsia="仿宋" w:hAnsi="仿宋" w:cs="仿宋"/>
              </w:rPr>
            </w:pPr>
            <w:r>
              <w:rPr>
                <w:rFonts w:ascii="仿宋" w:eastAsia="仿宋" w:hAnsi="仿宋" w:cs="仿宋" w:hint="eastAsia"/>
                <w:sz w:val="24"/>
              </w:rPr>
              <w:t>具有气瓶压力、样气流量、阀位信息、除湿装置运行信息等采集、存贮及异常报警功能。</w:t>
            </w:r>
          </w:p>
          <w:p>
            <w:pPr>
              <w:rPr>
                <w:rFonts w:ascii="仿宋" w:eastAsia="仿宋" w:hAnsi="仿宋" w:cs="仿宋"/>
              </w:rPr>
            </w:pPr>
            <w:r>
              <w:rPr>
                <w:rFonts w:ascii="仿宋" w:eastAsia="仿宋" w:hAnsi="仿宋" w:cs="仿宋" w:hint="eastAsia"/>
                <w:sz w:val="24"/>
              </w:rPr>
              <w:t>具有观测系统运行监控与报警功能。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机柜</w:t>
            </w:r>
          </w:p>
        </w:tc>
        <w:tc>
          <w:tcPr>
            <w:tcW w:w="2951" w:type="pct"/>
            <w:vAlign w:val="center"/>
          </w:tcPr>
          <w:p>
            <w:pPr>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宽600</w:t>
            </w:r>
            <w:r>
              <w:rPr>
                <w:rFonts w:ascii="仿宋" w:eastAsia="仿宋" w:hAnsi="仿宋" w:cs="仿宋" w:hint="eastAsia"/>
                <w:sz w:val="24"/>
              </w:rPr>
              <w:t>×</w:t>
            </w:r>
            <w:r>
              <w:rPr>
                <w:rFonts w:ascii="仿宋" w:eastAsia="仿宋" w:hAnsi="仿宋" w:cs="仿宋" w:hint="eastAsia"/>
                <w:sz w:val="24"/>
              </w:rPr>
              <w:t>深1000</w:t>
            </w:r>
            <w:r>
              <w:rPr>
                <w:rFonts w:ascii="仿宋" w:eastAsia="仿宋" w:hAnsi="仿宋" w:cs="仿宋" w:hint="eastAsia"/>
                <w:sz w:val="24"/>
              </w:rPr>
              <w:t>×</w:t>
            </w:r>
            <w:r>
              <w:rPr>
                <w:rFonts w:ascii="仿宋" w:eastAsia="仿宋" w:hAnsi="仿宋" w:cs="仿宋" w:hint="eastAsia"/>
                <w:sz w:val="24"/>
              </w:rPr>
              <w:t>高2000mm</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restart"/>
            <w:vAlign w:val="center"/>
          </w:tcPr>
          <w:p>
            <w:pPr>
              <w:rPr>
                <w:rFonts w:ascii="仿宋" w:eastAsia="仿宋" w:hAnsi="仿宋" w:cs="仿宋"/>
              </w:rPr>
            </w:pPr>
            <w:r>
              <w:rPr>
                <w:rFonts w:ascii="仿宋" w:eastAsia="仿宋" w:hAnsi="仿宋" w:cs="仿宋" w:hint="eastAsia"/>
                <w:sz w:val="24"/>
              </w:rPr>
              <w:t>三维超声风速观测系统</w:t>
            </w:r>
          </w:p>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三维超声传感器</w:t>
            </w:r>
          </w:p>
        </w:tc>
        <w:tc>
          <w:tcPr>
            <w:tcW w:w="2951" w:type="pct"/>
            <w:vAlign w:val="center"/>
          </w:tcPr>
          <w:p>
            <w:pPr>
              <w:rPr>
                <w:rFonts w:ascii="仿宋" w:eastAsia="仿宋" w:hAnsi="仿宋" w:cs="仿宋"/>
              </w:rPr>
            </w:pPr>
            <w:r>
              <w:rPr>
                <w:rFonts w:ascii="仿宋" w:eastAsia="仿宋" w:hAnsi="仿宋" w:cs="仿宋" w:hint="eastAsia"/>
                <w:sz w:val="24"/>
              </w:rPr>
              <w:t>水平风速：范围0～40.0m/s；分辨力0.01m/s；最大允许误差</w:t>
            </w:r>
            <w:r>
              <w:rPr>
                <w:rFonts w:ascii="仿宋" w:eastAsia="仿宋" w:hAnsi="仿宋" w:cs="仿宋" w:hint="eastAsia"/>
                <w:sz w:val="24"/>
              </w:rPr>
              <w:t>±</w:t>
            </w:r>
            <w:r>
              <w:rPr>
                <w:rFonts w:ascii="仿宋" w:eastAsia="仿宋" w:hAnsi="仿宋" w:cs="仿宋" w:hint="eastAsia"/>
                <w:sz w:val="24"/>
              </w:rPr>
              <w:t>2%。</w:t>
            </w:r>
          </w:p>
          <w:p>
            <w:pPr>
              <w:rPr>
                <w:rFonts w:ascii="仿宋" w:eastAsia="仿宋" w:hAnsi="仿宋" w:cs="仿宋"/>
              </w:rPr>
            </w:pPr>
            <w:r>
              <w:rPr>
                <w:rFonts w:ascii="仿宋" w:eastAsia="仿宋" w:hAnsi="仿宋" w:cs="仿宋" w:hint="eastAsia"/>
                <w:sz w:val="24"/>
              </w:rPr>
              <w:t>垂直风速：范围0～8.0m/s；分辨力0.01m/s；最大允许误差</w:t>
            </w:r>
            <w:r>
              <w:rPr>
                <w:rFonts w:ascii="仿宋" w:eastAsia="仿宋" w:hAnsi="仿宋" w:cs="仿宋" w:hint="eastAsia"/>
                <w:sz w:val="24"/>
              </w:rPr>
              <w:t>±</w:t>
            </w:r>
            <w:r>
              <w:rPr>
                <w:rFonts w:ascii="仿宋" w:eastAsia="仿宋" w:hAnsi="仿宋" w:cs="仿宋" w:hint="eastAsia"/>
                <w:sz w:val="24"/>
              </w:rPr>
              <w:t>2%。</w:t>
            </w:r>
          </w:p>
          <w:p>
            <w:pPr>
              <w:rPr>
                <w:rFonts w:ascii="仿宋" w:eastAsia="仿宋" w:hAnsi="仿宋" w:cs="仿宋"/>
              </w:rPr>
            </w:pPr>
            <w:r>
              <w:rPr>
                <w:rFonts w:ascii="仿宋" w:eastAsia="仿宋" w:hAnsi="仿宋" w:cs="仿宋" w:hint="eastAsia"/>
                <w:sz w:val="24"/>
              </w:rPr>
              <w:t>超声虚温；范围0～50</w:t>
            </w:r>
            <w:r>
              <w:rPr>
                <w:rFonts w:ascii="仿宋" w:eastAsia="仿宋" w:hAnsi="仿宋" w:cs="仿宋" w:hint="eastAsia"/>
                <w:sz w:val="24"/>
              </w:rPr>
              <w:t>℃</w:t>
            </w:r>
            <w:r>
              <w:rPr>
                <w:rFonts w:ascii="仿宋" w:eastAsia="仿宋" w:hAnsi="仿宋" w:cs="仿宋" w:hint="eastAsia"/>
                <w:sz w:val="24"/>
              </w:rPr>
              <w:t>；分辨力0.01</w:t>
            </w:r>
            <w:r>
              <w:rPr>
                <w:rFonts w:ascii="仿宋" w:eastAsia="仿宋" w:hAnsi="仿宋" w:cs="仿宋" w:hint="eastAsia"/>
                <w:sz w:val="24"/>
              </w:rPr>
              <w:t>℃</w:t>
            </w:r>
            <w:r>
              <w:rPr>
                <w:rFonts w:ascii="仿宋" w:eastAsia="仿宋" w:hAnsi="仿宋" w:cs="仿宋" w:hint="eastAsia"/>
                <w:sz w:val="24"/>
              </w:rPr>
              <w:t>，最大允许误差</w:t>
            </w:r>
            <w:r>
              <w:rPr>
                <w:rFonts w:ascii="仿宋" w:eastAsia="仿宋" w:hAnsi="仿宋" w:cs="仿宋" w:hint="eastAsia"/>
                <w:sz w:val="24"/>
              </w:rPr>
              <w:t>±</w:t>
            </w:r>
            <w:r>
              <w:rPr>
                <w:rFonts w:ascii="仿宋" w:eastAsia="仿宋" w:hAnsi="仿宋" w:cs="仿宋" w:hint="eastAsia"/>
                <w:sz w:val="24"/>
              </w:rPr>
              <w:t>0.15</w:t>
            </w:r>
            <w:r>
              <w:rPr>
                <w:rFonts w:ascii="仿宋" w:eastAsia="仿宋" w:hAnsi="仿宋" w:cs="仿宋" w:hint="eastAsia"/>
                <w:sz w:val="24"/>
              </w:rPr>
              <w:t>℃</w:t>
            </w:r>
            <w:r>
              <w:rPr>
                <w:rFonts w:ascii="仿宋" w:eastAsia="仿宋" w:hAnsi="仿宋" w:cs="仿宋" w:hint="eastAsia"/>
                <w:sz w:val="24"/>
              </w:rPr>
              <w:t>。</w:t>
            </w:r>
          </w:p>
          <w:p>
            <w:pPr>
              <w:rPr>
                <w:rFonts w:ascii="仿宋" w:eastAsia="仿宋" w:hAnsi="仿宋" w:cs="仿宋"/>
              </w:rPr>
            </w:pPr>
            <w:r>
              <w:rPr>
                <w:rFonts w:ascii="仿宋" w:eastAsia="仿宋" w:hAnsi="仿宋" w:cs="仿宋" w:hint="eastAsia"/>
                <w:sz w:val="24"/>
              </w:rPr>
              <w:t>测量速率：1Hz～60Hz（可选）。</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供电单元</w:t>
            </w:r>
          </w:p>
        </w:tc>
        <w:tc>
          <w:tcPr>
            <w:tcW w:w="2951" w:type="pct"/>
            <w:vAlign w:val="center"/>
          </w:tcPr>
          <w:p>
            <w:pPr>
              <w:rPr>
                <w:rFonts w:ascii="仿宋" w:eastAsia="仿宋" w:hAnsi="仿宋" w:cs="仿宋"/>
              </w:rPr>
            </w:pPr>
            <w:r>
              <w:rPr>
                <w:rFonts w:ascii="仿宋" w:eastAsia="仿宋" w:hAnsi="仿宋" w:cs="仿宋" w:hint="eastAsia"/>
                <w:sz w:val="24"/>
              </w:rPr>
              <w:t>配置电源过压、过载和漏电保护装置，并有良好的接地线路。</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restart"/>
            <w:vAlign w:val="center"/>
          </w:tcPr>
          <w:p>
            <w:pPr>
              <w:rPr>
                <w:rFonts w:ascii="仿宋" w:eastAsia="仿宋" w:hAnsi="仿宋" w:cs="仿宋"/>
              </w:rPr>
            </w:pPr>
            <w:r>
              <w:rPr>
                <w:rFonts w:ascii="仿宋" w:eastAsia="仿宋" w:hAnsi="仿宋" w:cs="仿宋" w:hint="eastAsia"/>
                <w:sz w:val="24"/>
              </w:rPr>
              <w:t>配套设施</w:t>
            </w:r>
          </w:p>
        </w:tc>
        <w:tc>
          <w:tcPr>
            <w:tcW w:w="657" w:type="pct"/>
            <w:vAlign w:val="center"/>
          </w:tcPr>
          <w:p>
            <w:pPr>
              <w:rPr>
                <w:rFonts w:ascii="仿宋" w:eastAsia="仿宋" w:hAnsi="仿宋" w:cs="仿宋"/>
              </w:rPr>
            </w:pPr>
            <w:r>
              <w:rPr>
                <w:rFonts w:ascii="仿宋" w:eastAsia="仿宋" w:hAnsi="仿宋" w:cs="仿宋" w:hint="eastAsia"/>
                <w:sz w:val="24"/>
              </w:rPr>
              <w:t>采样塔</w:t>
            </w:r>
          </w:p>
        </w:tc>
        <w:tc>
          <w:tcPr>
            <w:tcW w:w="2951" w:type="pct"/>
            <w:vAlign w:val="center"/>
          </w:tcPr>
          <w:p>
            <w:pPr>
              <w:rPr>
                <w:rFonts w:ascii="仿宋" w:eastAsia="仿宋" w:hAnsi="仿宋" w:cs="仿宋"/>
              </w:rPr>
            </w:pPr>
            <w:r>
              <w:rPr>
                <w:rFonts w:ascii="仿宋" w:eastAsia="仿宋" w:hAnsi="仿宋" w:cs="仿宋" w:hint="eastAsia"/>
                <w:sz w:val="24"/>
              </w:rPr>
              <w:t>（1）大气采样塔主要用于安装温室气体观测系统的采样管、常规气象要素和三维超声风速仪等观测设备或设施。</w:t>
            </w:r>
          </w:p>
          <w:p>
            <w:pPr>
              <w:rPr>
                <w:rFonts w:ascii="仿宋" w:eastAsia="仿宋" w:hAnsi="仿宋" w:cs="仿宋"/>
                <w:highlight w:val="yellow"/>
              </w:rPr>
            </w:pPr>
            <w:r>
              <w:rPr>
                <w:rFonts w:ascii="仿宋" w:eastAsia="仿宋" w:hAnsi="仿宋" w:cs="仿宋" w:hint="eastAsia"/>
                <w:sz w:val="24"/>
              </w:rPr>
              <w:t>（2）根据站点的地理环境和下垫面条件单独建设。可选用拉线塔或自立塔，</w:t>
            </w:r>
            <w:r>
              <w:rPr>
                <w:rFonts w:ascii="仿宋" w:eastAsia="仿宋" w:hAnsi="仿宋" w:cs="仿宋" w:hint="eastAsia"/>
                <w:sz w:val="24"/>
                <w:highlight w:val="yellow"/>
              </w:rPr>
              <w:t>#塔身有效高度应能满足采样管进气口高出下垫面冠层至少30m的要求。</w:t>
            </w:r>
          </w:p>
          <w:p>
            <w:pPr>
              <w:rPr>
                <w:rFonts w:ascii="仿宋" w:eastAsia="仿宋" w:hAnsi="仿宋" w:cs="仿宋"/>
              </w:rPr>
            </w:pPr>
            <w:r>
              <w:rPr>
                <w:rFonts w:ascii="仿宋" w:eastAsia="仿宋" w:hAnsi="仿宋" w:cs="仿宋" w:hint="eastAsia"/>
                <w:sz w:val="24"/>
              </w:rPr>
              <w:t>（3）具有较强的抗震能力，抗震烈度不低于8度，塔体不产生永久形变，设计使用寿命不小于20年。</w:t>
            </w:r>
          </w:p>
          <w:p>
            <w:pPr>
              <w:rPr>
                <w:rFonts w:ascii="仿宋" w:eastAsia="仿宋" w:hAnsi="仿宋" w:cs="仿宋"/>
              </w:rPr>
            </w:pPr>
            <w:r>
              <w:rPr>
                <w:rFonts w:ascii="仿宋" w:eastAsia="仿宋" w:hAnsi="仿宋" w:cs="仿宋" w:hint="eastAsia"/>
                <w:sz w:val="24"/>
              </w:rPr>
              <w:t>（4）观测塔所有材料的质量符合国家标准，塔架制作工艺和质量必须符合国家相关行业规定（如焊接、镀锌等），同时满足相关观测的要求。</w:t>
            </w:r>
          </w:p>
          <w:p>
            <w:pPr>
              <w:rPr>
                <w:rFonts w:ascii="仿宋" w:eastAsia="仿宋" w:hAnsi="仿宋" w:cs="仿宋"/>
              </w:rPr>
            </w:pPr>
            <w:r>
              <w:rPr>
                <w:rFonts w:ascii="仿宋" w:eastAsia="仿宋" w:hAnsi="仿宋" w:cs="仿宋" w:hint="eastAsia"/>
                <w:sz w:val="24"/>
              </w:rPr>
              <w:t>（5）观测塔各构件间的连接坚固，防腐工艺采用热镀锌处理，并具较强的抗腐蚀、抗锈蚀和抗风能力。</w:t>
            </w:r>
          </w:p>
          <w:p>
            <w:pPr>
              <w:rPr>
                <w:rFonts w:ascii="仿宋" w:eastAsia="仿宋" w:hAnsi="仿宋" w:cs="仿宋"/>
              </w:rPr>
            </w:pPr>
            <w:r>
              <w:rPr>
                <w:rFonts w:ascii="仿宋" w:eastAsia="仿宋" w:hAnsi="仿宋" w:cs="仿宋" w:hint="eastAsia"/>
                <w:sz w:val="24"/>
              </w:rPr>
              <w:t>（6）观测塔结构尽可能减小塔体对气流的阻挡，建议采用通风性能良好的格构式结构。</w:t>
            </w:r>
          </w:p>
          <w:p>
            <w:pPr>
              <w:rPr>
                <w:rFonts w:ascii="仿宋" w:eastAsia="仿宋" w:hAnsi="仿宋" w:cs="仿宋"/>
              </w:rPr>
            </w:pPr>
            <w:r>
              <w:rPr>
                <w:rFonts w:ascii="仿宋" w:eastAsia="仿宋" w:hAnsi="仿宋" w:cs="仿宋" w:hint="eastAsia"/>
                <w:sz w:val="24"/>
              </w:rPr>
              <w:t>（7）观测塔的安装符合防雷电及接地装置的相关标准要求，接地电阻小于4</w:t>
            </w:r>
            <w:r>
              <w:rPr>
                <w:rFonts w:ascii="仿宋" w:eastAsia="仿宋" w:hAnsi="仿宋" w:cs="仿宋" w:hint="eastAsia"/>
                <w:sz w:val="24"/>
              </w:rPr>
              <w:t>Ω</w:t>
            </w:r>
            <w:r>
              <w:rPr>
                <w:rFonts w:ascii="仿宋" w:eastAsia="仿宋" w:hAnsi="仿宋" w:cs="仿宋" w:hint="eastAsia"/>
                <w:sz w:val="24"/>
              </w:rPr>
              <w:t>。</w:t>
            </w:r>
          </w:p>
          <w:p>
            <w:pPr>
              <w:rPr>
                <w:rFonts w:ascii="仿宋" w:eastAsia="仿宋" w:hAnsi="仿宋" w:cs="仿宋"/>
              </w:rPr>
            </w:pPr>
            <w:r>
              <w:rPr>
                <w:rFonts w:ascii="仿宋" w:eastAsia="仿宋" w:hAnsi="仿宋" w:cs="仿宋" w:hint="eastAsia"/>
                <w:sz w:val="24"/>
              </w:rPr>
              <w:t>（8）观测塔爬梯有安全防护措施，配有上塔安全防护装备，并应设有醒目、安全、合理的警示牌。</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方舱</w:t>
            </w:r>
          </w:p>
        </w:tc>
        <w:tc>
          <w:tcPr>
            <w:tcW w:w="2951" w:type="pct"/>
            <w:vAlign w:val="center"/>
          </w:tcPr>
          <w:p>
            <w:pPr>
              <w:rPr>
                <w:rFonts w:ascii="仿宋" w:eastAsia="仿宋" w:hAnsi="仿宋" w:cs="仿宋"/>
              </w:rPr>
            </w:pPr>
            <w:r>
              <w:rPr>
                <w:rFonts w:ascii="仿宋" w:eastAsia="仿宋" w:hAnsi="仿宋" w:cs="仿宋" w:hint="eastAsia"/>
                <w:sz w:val="24"/>
              </w:rPr>
              <w:t>（1）观测室主要用于安装温室气体观测系统，观测室的面积应能保证观测仪器设备的安装、运行以及操作等，并预留一定的仪器检修、校准和未来发展的空间；一般情况下，观测室面积不小于6m</w:t>
            </w:r>
            <w:r>
              <w:rPr>
                <w:rFonts w:ascii="仿宋" w:eastAsia="仿宋" w:hAnsi="仿宋" w:cs="仿宋" w:hint="eastAsia"/>
                <w:sz w:val="24"/>
                <w:vertAlign w:val="superscript"/>
              </w:rPr>
              <w:t>2</w:t>
            </w:r>
            <w:r>
              <w:rPr>
                <w:rFonts w:ascii="仿宋" w:eastAsia="仿宋" w:hAnsi="仿宋" w:cs="仿宋" w:hint="eastAsia"/>
                <w:sz w:val="24"/>
              </w:rPr>
              <w:t>。</w:t>
            </w:r>
          </w:p>
          <w:p>
            <w:pPr>
              <w:rPr>
                <w:rFonts w:ascii="仿宋" w:eastAsia="仿宋" w:hAnsi="仿宋" w:cs="仿宋"/>
              </w:rPr>
            </w:pPr>
            <w:r>
              <w:rPr>
                <w:rFonts w:ascii="仿宋" w:eastAsia="仿宋" w:hAnsi="仿宋" w:cs="仿宋" w:hint="eastAsia"/>
                <w:sz w:val="24"/>
              </w:rPr>
              <w:t>（2）观测室入口处宜设有缓冲区域或空间，以保持温度和湿度的稳定，防止灰尘和泥土直接带入观测室。</w:t>
            </w:r>
          </w:p>
          <w:p>
            <w:pPr>
              <w:rPr>
                <w:rFonts w:ascii="仿宋" w:eastAsia="仿宋" w:hAnsi="仿宋" w:cs="仿宋"/>
              </w:rPr>
            </w:pPr>
            <w:r>
              <w:rPr>
                <w:rFonts w:ascii="仿宋" w:eastAsia="仿宋" w:hAnsi="仿宋" w:cs="仿宋" w:hint="eastAsia"/>
                <w:sz w:val="24"/>
              </w:rPr>
              <w:t>（3）观测室内地面、墙壁、顶棚应采用不易起尘的环保材料。观测室应不受强震动、强电磁辐射的干扰。</w:t>
            </w:r>
          </w:p>
          <w:p>
            <w:pPr>
              <w:rPr>
                <w:rFonts w:ascii="仿宋" w:eastAsia="仿宋" w:hAnsi="仿宋" w:cs="仿宋"/>
              </w:rPr>
            </w:pPr>
            <w:r>
              <w:rPr>
                <w:rFonts w:ascii="仿宋" w:eastAsia="仿宋" w:hAnsi="仿宋" w:cs="仿宋" w:hint="eastAsia"/>
                <w:sz w:val="24"/>
              </w:rPr>
              <w:t>（4）室内环境保持整洁，室内温度、湿度按照仪器运行的环境要求保持相对稳定，取暖采用空调或电暖气设备。根据当地的环境特点，采取适当的防虫措施。</w:t>
            </w:r>
          </w:p>
          <w:p>
            <w:pPr>
              <w:rPr>
                <w:rFonts w:ascii="仿宋" w:eastAsia="仿宋" w:hAnsi="仿宋" w:cs="仿宋"/>
              </w:rPr>
            </w:pPr>
            <w:r>
              <w:rPr>
                <w:rFonts w:ascii="仿宋" w:eastAsia="仿宋" w:hAnsi="仿宋" w:cs="仿宋" w:hint="eastAsia"/>
                <w:sz w:val="24"/>
              </w:rPr>
              <w:t>（5）观测室内安装温湿度控制设备，使室内温度能控制在25</w:t>
            </w:r>
            <w:r>
              <w:rPr>
                <w:rFonts w:ascii="仿宋" w:eastAsia="仿宋" w:hAnsi="仿宋" w:cs="仿宋" w:hint="eastAsia"/>
                <w:sz w:val="24"/>
              </w:rPr>
              <w:t>℃±</w:t>
            </w:r>
            <w:r>
              <w:rPr>
                <w:rFonts w:ascii="仿宋" w:eastAsia="仿宋" w:hAnsi="仿宋" w:cs="仿宋" w:hint="eastAsia"/>
                <w:sz w:val="24"/>
              </w:rPr>
              <w:t>5</w:t>
            </w:r>
            <w:r>
              <w:rPr>
                <w:rFonts w:ascii="仿宋" w:eastAsia="仿宋" w:hAnsi="仿宋" w:cs="仿宋" w:hint="eastAsia"/>
                <w:sz w:val="24"/>
              </w:rPr>
              <w:t>℃</w:t>
            </w:r>
            <w:r>
              <w:rPr>
                <w:rFonts w:ascii="仿宋" w:eastAsia="仿宋" w:hAnsi="仿宋" w:cs="仿宋" w:hint="eastAsia"/>
                <w:sz w:val="24"/>
              </w:rPr>
              <w:t>。</w:t>
            </w:r>
          </w:p>
          <w:p>
            <w:pPr>
              <w:rPr>
                <w:rFonts w:ascii="仿宋" w:eastAsia="仿宋" w:hAnsi="仿宋" w:cs="仿宋"/>
              </w:rPr>
            </w:pPr>
            <w:r>
              <w:rPr>
                <w:rFonts w:ascii="仿宋" w:eastAsia="仿宋" w:hAnsi="仿宋" w:cs="仿宋" w:hint="eastAsia"/>
                <w:sz w:val="24"/>
              </w:rPr>
              <w:t>（6）观测室具有良好的通风条件和排风设施，以保持室内空气清洁。</w:t>
            </w:r>
          </w:p>
          <w:p>
            <w:pPr>
              <w:rPr>
                <w:rFonts w:ascii="仿宋" w:eastAsia="仿宋" w:hAnsi="仿宋" w:cs="仿宋"/>
              </w:rPr>
            </w:pPr>
            <w:r>
              <w:rPr>
                <w:rFonts w:ascii="仿宋" w:eastAsia="仿宋" w:hAnsi="仿宋" w:cs="仿宋" w:hint="eastAsia"/>
                <w:sz w:val="24"/>
              </w:rPr>
              <w:t>（7）根据观测项目的技术要求，可预先在观测室顶部及侧壁的适当位置预留管线孔洞。</w:t>
            </w:r>
          </w:p>
          <w:p>
            <w:pPr>
              <w:rPr>
                <w:rFonts w:ascii="仿宋" w:eastAsia="仿宋" w:hAnsi="仿宋" w:cs="仿宋"/>
              </w:rPr>
            </w:pPr>
            <w:r>
              <w:rPr>
                <w:rFonts w:ascii="仿宋" w:eastAsia="仿宋" w:hAnsi="仿宋" w:cs="仿宋" w:hint="eastAsia"/>
                <w:sz w:val="24"/>
              </w:rPr>
              <w:t>（8）观测室内设有可靠的网络、通讯线路等。</w:t>
            </w:r>
          </w:p>
          <w:p>
            <w:pPr>
              <w:rPr>
                <w:rFonts w:ascii="仿宋" w:eastAsia="仿宋" w:hAnsi="仿宋" w:cs="仿宋"/>
              </w:rPr>
            </w:pPr>
            <w:r>
              <w:rPr>
                <w:rFonts w:ascii="仿宋" w:eastAsia="仿宋" w:hAnsi="仿宋" w:cs="仿宋" w:hint="eastAsia"/>
                <w:sz w:val="24"/>
              </w:rPr>
              <w:t>（9）观测室配备专门的消防设施和器材，对危险物品还应配备监控装置和设施。</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numPr>
                <w:ilvl w:val="0"/>
                <w:numId w:val="3"/>
              </w:numPr>
              <w:ind w:left="0" w:firstLine="0"/>
              <w:rPr>
                <w:rFonts w:ascii="仿宋" w:eastAsia="仿宋" w:hAnsi="仿宋" w:cs="仿宋"/>
              </w:rPr>
            </w:pPr>
          </w:p>
        </w:tc>
        <w:tc>
          <w:tcPr>
            <w:tcW w:w="750" w:type="pct"/>
            <w:vMerge/>
            <w:vAlign w:val="center"/>
          </w:tcPr>
          <w:p>
            <w:pPr>
              <w:rPr>
                <w:rFonts w:ascii="仿宋" w:eastAsia="仿宋" w:hAnsi="仿宋" w:cs="仿宋"/>
              </w:rPr>
            </w:pPr>
          </w:p>
        </w:tc>
        <w:tc>
          <w:tcPr>
            <w:tcW w:w="247" w:type="pct"/>
            <w:vMerge/>
            <w:vAlign w:val="center"/>
          </w:tcPr>
          <w:p>
            <w:pPr>
              <w:rPr>
                <w:rFonts w:ascii="仿宋" w:eastAsia="仿宋" w:hAnsi="仿宋" w:cs="仿宋"/>
              </w:rPr>
            </w:pPr>
          </w:p>
        </w:tc>
        <w:tc>
          <w:tcPr>
            <w:tcW w:w="657" w:type="pct"/>
            <w:vAlign w:val="center"/>
          </w:tcPr>
          <w:p>
            <w:pPr>
              <w:rPr>
                <w:rFonts w:ascii="仿宋" w:eastAsia="仿宋" w:hAnsi="仿宋" w:cs="仿宋"/>
              </w:rPr>
            </w:pPr>
            <w:r>
              <w:rPr>
                <w:rFonts w:ascii="仿宋" w:eastAsia="仿宋" w:hAnsi="仿宋" w:cs="仿宋" w:hint="eastAsia"/>
                <w:sz w:val="24"/>
              </w:rPr>
              <w:t>UPS</w:t>
            </w:r>
          </w:p>
        </w:tc>
        <w:tc>
          <w:tcPr>
            <w:tcW w:w="2951" w:type="pct"/>
            <w:vAlign w:val="center"/>
          </w:tcPr>
          <w:p>
            <w:pPr>
              <w:rPr>
                <w:rFonts w:ascii="仿宋" w:eastAsia="仿宋" w:hAnsi="仿宋" w:cs="仿宋"/>
              </w:rPr>
            </w:pPr>
            <w:r>
              <w:rPr>
                <w:rFonts w:ascii="仿宋" w:eastAsia="仿宋" w:hAnsi="仿宋" w:cs="仿宋" w:hint="eastAsia"/>
                <w:sz w:val="24"/>
              </w:rPr>
              <w:t>UPS不间断电源应能在市电中断后继续供电，保证测量单元和数据采集与处理单元稳定运行2小时以上。</w:t>
            </w:r>
          </w:p>
        </w:tc>
      </w:tr>
    </w:tbl>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w:t>
      </w:r>
      <w:r>
        <w:rPr>
          <w:rFonts w:ascii="仿宋" w:eastAsia="仿宋" w:hAnsi="仿宋" w:cs="仿宋" w:hint="eastAsia"/>
          <w:sz w:val="28"/>
          <w:szCs w:val="20"/>
          <w:highlight w:val="yellow"/>
        </w:rPr>
        <w:t>高精度温室气体浓度观测系统6年*</w:t>
      </w:r>
      <w:r>
        <w:rPr>
          <w:rFonts w:ascii="仿宋" w:eastAsia="仿宋" w:hAnsi="仿宋" w:cs="仿宋" w:hint="eastAsia"/>
          <w:sz w:val="28"/>
          <w:szCs w:val="20"/>
        </w:rPr>
        <w:t>，从双方签署现场安装测试报告之日起开始计算质保期。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质保期服务内容要求：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（1）质保期内，因设备故障，投标人进行设备维修保障或更换时，需自备维修保障耗材和更换配件。</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（2）每年需进行1次现场巡检，同时需提供必要的软件升级服务。</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（3）质保期满后，仍有义务提供远程技术服务等支持。</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keepNext/>
        <w:keepLine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设备的技术性能指标除满足三、技术性能指标外，设备出厂、包装运输、安装调试、设备验收、保修服务、工程进度方面还应满足以下要求：</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5.1设备出厂</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（1）保证所提供产品的数量、质量。</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（2)出厂前要经买方人员严格测试和检查，确保设备长期稳定、可靠地运行。</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5.2包装和运输要求</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（1）中标人须在合同签定后按约定时间将设备运到招标人指定的地点，运费由中标人承担。</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（2）设备的精密部件要用木箱包装，箱内应有填充物，以防振动。箱外要有防水、朝上标记或</w:t>
      </w:r>
      <w:r>
        <w:rPr>
          <w:rFonts w:ascii="仿宋" w:eastAsia="仿宋" w:hAnsi="仿宋" w:cs="仿宋" w:hint="eastAsia"/>
          <w:sz w:val="28"/>
          <w:szCs w:val="20"/>
        </w:rPr>
        <w:t>“</w:t>
      </w:r>
      <w:r>
        <w:rPr>
          <w:rFonts w:ascii="仿宋" w:eastAsia="仿宋" w:hAnsi="仿宋" w:cs="仿宋" w:hint="eastAsia"/>
          <w:sz w:val="28"/>
          <w:szCs w:val="20"/>
        </w:rPr>
        <w:t>小心轻放</w:t>
      </w:r>
      <w:r>
        <w:rPr>
          <w:rFonts w:ascii="仿宋" w:eastAsia="仿宋" w:hAnsi="仿宋" w:cs="仿宋" w:hint="eastAsia"/>
          <w:sz w:val="28"/>
          <w:szCs w:val="20"/>
        </w:rPr>
        <w:t>”</w:t>
      </w:r>
      <w:r>
        <w:rPr>
          <w:rFonts w:ascii="仿宋" w:eastAsia="仿宋" w:hAnsi="仿宋" w:cs="仿宋" w:hint="eastAsia"/>
          <w:sz w:val="28"/>
          <w:szCs w:val="20"/>
        </w:rPr>
        <w:t>字样。一般不易损坏的零部件可用纸箱或其它方式包装。如因乙方包装不当等原因造成损坏和丢失，应由中标人负责免费修复或补缺，因此而拖延的工期，按照延迟发货对待。</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5.3安装、调试</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（1）设备安装由中标人负责。</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5.4设备验收</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调试达到功能规格需求书规定的指标后，可进行初步验收。验收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（2）设备经过1个月试运行期，达到功能规格需求书的要求时，可进行最终验收。在试运行期间，由于设备质量等造成某些指标达不到要求，允许中标人更换或进行修复，但试运行期另加1个月。</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numPr>
          <w:ilvl w:val="0"/>
          <w:numId w:val="4"/>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中标人已提供合同中签署的全部货物及完整技术资料；</w:t>
      </w:r>
    </w:p>
    <w:p>
      <w:pPr>
        <w:numPr>
          <w:ilvl w:val="0"/>
          <w:numId w:val="4"/>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货物符合技术规格，性能满足要求；</w:t>
      </w:r>
    </w:p>
    <w:p>
      <w:pPr>
        <w:numPr>
          <w:ilvl w:val="0"/>
          <w:numId w:val="4"/>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安装工程符合技术要求，系统性能满足要求，设备正常运行。</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5.5保修服务</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w:t>
      </w:r>
      <w:r>
        <w:rPr>
          <w:rFonts w:ascii="仿宋" w:eastAsia="仿宋" w:hAnsi="仿宋" w:cs="仿宋" w:hint="eastAsia"/>
          <w:kern w:val="0"/>
          <w:sz w:val="28"/>
          <w:szCs w:val="20"/>
          <w:lang w:bidi="ar"/>
        </w:rPr>
        <w:t>单次故障恢复时间不超过 72小时的要求，在规定时间内完成故障站点现场维修。并承诺团队人员在本项目服务期不随意更换，若出现人员变动，须经采购人同意。</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5.6工程进度</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（1）合同签订后根据招标人的要求安排发货。</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pPr>
        <w:spacing w:line="560" w:lineRule="exact"/>
        <w:ind w:left="630"/>
        <w:rPr>
          <w:rFonts w:ascii="仿宋" w:eastAsia="仿宋" w:hAnsi="仿宋" w:cs="仿宋"/>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sz w:val="28"/>
          <w:szCs w:val="20"/>
        </w:rPr>
      </w:pPr>
    </w:p>
    <w:p>
      <w:pPr>
        <w:spacing w:line="240" w:lineRule="auto"/>
        <w:ind w:firstLine="0" w:firstLineChars="0"/>
        <w:jc w:val="left"/>
        <w:outlineLvl w:val="9"/>
        <w:rPr>
          <w:rFonts w:ascii="黑体" w:eastAsia="黑体" w:hAnsi="黑体" w:hint="eastAsia"/>
          <w:bCs/>
          <w:snapToGrid w:val="0"/>
          <w:kern w:val="0"/>
          <w:sz w:val="44"/>
          <w:szCs w:val="44"/>
        </w:rPr>
      </w:pPr>
      <w:r>
        <w:rPr>
          <w:rFonts w:ascii="Times New Roman" w:hAnsi="Times New Roman" w:cs="Times New Roman"/>
        </w:rPr>
        <w:t>采购需求 附表</w:t>
      </w: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67"/>
        <w:gridCol w:w="2603"/>
        <w:gridCol w:w="603"/>
        <w:gridCol w:w="838"/>
        <w:gridCol w:w="956"/>
        <w:gridCol w:w="603"/>
        <w:gridCol w:w="2591"/>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57" w:name="货物一览表_index"/>
            <w:r>
              <w:rPr>
                <w:rFonts w:asciiTheme="minorEastAsia" w:eastAsiaTheme="minorEastAsia" w:hAnsiTheme="minorEastAsia" w:cstheme="minorEastAsia" w:hint="eastAsia"/>
                <w:kern w:val="0"/>
                <w:szCs w:val="21"/>
              </w:rPr>
              <w:t>序号</w:t>
            </w:r>
            <w:bookmarkEnd w:id="57"/>
          </w:p>
        </w:tc>
        <w:tc>
          <w:tcPr>
            <w:tcW w:w="1135" w:type="dxa"/>
          </w:tcPr>
          <w:p w14:paraId="6B7F00AC">
            <w:pPr>
              <w:autoSpaceDE w:val="0"/>
              <w:jc w:val="center"/>
              <w:rPr>
                <w:rFonts w:asciiTheme="minorEastAsia" w:hAnsiTheme="minorEastAsia" w:cstheme="minorEastAsia"/>
                <w:kern w:val="0"/>
                <w:szCs w:val="21"/>
              </w:rPr>
            </w:pPr>
            <w:bookmarkStart w:id="58" w:name="货物一览表_goodsName"/>
            <w:r>
              <w:rPr>
                <w:rFonts w:asciiTheme="minorEastAsia" w:eastAsiaTheme="minorEastAsia" w:hAnsiTheme="minorEastAsia" w:cstheme="minorEastAsia" w:hint="eastAsia"/>
                <w:kern w:val="0"/>
                <w:szCs w:val="21"/>
              </w:rPr>
              <w:t>设备名称</w:t>
            </w:r>
            <w:bookmarkEnd w:id="58"/>
          </w:p>
        </w:tc>
        <w:tc>
          <w:tcPr>
            <w:tcW w:w="965" w:type="dxa"/>
          </w:tcPr>
          <w:p w14:paraId="7B8390AF">
            <w:pPr>
              <w:autoSpaceDE w:val="0"/>
              <w:jc w:val="center"/>
              <w:rPr>
                <w:rFonts w:asciiTheme="minorEastAsia" w:hAnsiTheme="minorEastAsia" w:cstheme="minorEastAsia"/>
                <w:kern w:val="0"/>
                <w:szCs w:val="21"/>
              </w:rPr>
            </w:pPr>
            <w:bookmarkStart w:id="59" w:name="货物一览表_nums"/>
            <w:r>
              <w:rPr>
                <w:rFonts w:asciiTheme="minorEastAsia" w:eastAsiaTheme="minorEastAsia" w:hAnsiTheme="minorEastAsia" w:cstheme="minorEastAsia" w:hint="eastAsia"/>
                <w:kern w:val="0"/>
                <w:szCs w:val="21"/>
              </w:rPr>
              <w:t>采购数量</w:t>
            </w:r>
            <w:bookmarkEnd w:id="59"/>
          </w:p>
        </w:tc>
        <w:tc>
          <w:tcPr>
            <w:tcW w:w="1062" w:type="dxa"/>
          </w:tcPr>
          <w:p w14:paraId="72F33D6D">
            <w:pPr>
              <w:autoSpaceDE w:val="0"/>
              <w:jc w:val="center"/>
              <w:rPr>
                <w:rFonts w:asciiTheme="minorEastAsia" w:hAnsiTheme="minorEastAsia" w:cstheme="minorEastAsia"/>
                <w:kern w:val="0"/>
                <w:szCs w:val="21"/>
              </w:rPr>
            </w:pPr>
            <w:bookmarkStart w:id="60" w:name="货物一览表_units"/>
            <w:r>
              <w:rPr>
                <w:rFonts w:asciiTheme="minorEastAsia" w:eastAsiaTheme="minorEastAsia" w:hAnsiTheme="minorEastAsia" w:cstheme="minorEastAsia" w:hint="eastAsia"/>
                <w:kern w:val="0"/>
                <w:szCs w:val="21"/>
              </w:rPr>
              <w:t>计量单位</w:t>
            </w:r>
            <w:bookmarkEnd w:id="60"/>
          </w:p>
        </w:tc>
        <w:tc>
          <w:tcPr>
            <w:tcW w:w="1220" w:type="dxa"/>
          </w:tcPr>
          <w:p w14:paraId="24892D20">
            <w:pPr>
              <w:autoSpaceDE w:val="0"/>
              <w:jc w:val="center"/>
              <w:rPr>
                <w:rFonts w:asciiTheme="minorEastAsia" w:hAnsiTheme="minorEastAsia" w:cstheme="minorEastAsia"/>
                <w:kern w:val="0"/>
                <w:szCs w:val="21"/>
              </w:rPr>
            </w:pPr>
            <w:bookmarkStart w:id="61" w:name="货物一览表_procurementBudget"/>
            <w:r>
              <w:rPr>
                <w:rFonts w:asciiTheme="minorEastAsia" w:eastAsiaTheme="minorEastAsia" w:hAnsiTheme="minorEastAsia" w:cstheme="minorEastAsia" w:hint="eastAsia"/>
                <w:kern w:val="0"/>
                <w:szCs w:val="21"/>
              </w:rPr>
              <w:t>采购预算（元）</w:t>
            </w:r>
            <w:bookmarkEnd w:id="61"/>
          </w:p>
        </w:tc>
        <w:tc>
          <w:tcPr>
            <w:tcW w:w="1329" w:type="dxa"/>
          </w:tcPr>
          <w:p w14:paraId="27138270">
            <w:pPr>
              <w:autoSpaceDE w:val="0"/>
              <w:jc w:val="center"/>
              <w:rPr>
                <w:rFonts w:asciiTheme="minorEastAsia" w:hAnsiTheme="minorEastAsia" w:cstheme="minorEastAsia" w:hint="eastAsia"/>
                <w:kern w:val="0"/>
                <w:szCs w:val="21"/>
              </w:rPr>
            </w:pPr>
            <w:bookmarkStart w:id="62"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2"/>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3" w:name="货物一览表_remark"/>
            <w:r>
              <w:rPr>
                <w:rFonts w:asciiTheme="minorEastAsia" w:eastAsiaTheme="minorEastAsia" w:hAnsiTheme="minorEastAsia" w:cstheme="minorEastAsia" w:hint="eastAsia"/>
                <w:kern w:val="0"/>
                <w:szCs w:val="21"/>
              </w:rPr>
              <w:t>备注</w:t>
            </w:r>
            <w:bookmarkEnd w:id="63"/>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通量观测系统（高精度温室气体浓度观测系统）</w:t>
            </w:r>
          </w:p>
        </w:tc>
        <w:tc>
          <w:tcPr/>
          <w:p>
            <w:pPr>
              <w:autoSpaceDE w:val="0"/>
              <w:jc w:val="center"/>
              <w:rPr>
                <w:rFonts w:asciiTheme="minorEastAsia" w:hAnsiTheme="minorEastAsia" w:cstheme="minorEastAsia"/>
                <w:kern w:val="0"/>
                <w:szCs w:val="21"/>
              </w:rPr>
            </w:pPr>
            <w:r>
              <w:t>8</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17,138,000.00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含7套采样塔、8套方舱及环境控制系统、8套UPS</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17,138,000.00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78"/>
        <w:gridCol w:w="989"/>
        <w:gridCol w:w="1968"/>
        <w:gridCol w:w="278"/>
        <w:gridCol w:w="634"/>
        <w:gridCol w:w="573"/>
        <w:gridCol w:w="2857"/>
        <w:gridCol w:w="94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4"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质量室(001059019003)</w:t>
            </w:r>
          </w:p>
        </w:tc>
        <w:tc>
          <w:tcPr/>
          <w:p>
            <w:r>
              <w:t>通量观测系统（高精度温室气体浓度观测系统）</w:t>
            </w:r>
          </w:p>
        </w:tc>
        <w:tc>
          <w:tcPr/>
          <w:p>
            <w:r>
              <w:t>8</w:t>
            </w:r>
          </w:p>
        </w:tc>
        <w:tc>
          <w:tcPr/>
          <w:p>
            <w:r>
              <w:t>17138000.00</w:t>
            </w:r>
          </w:p>
        </w:tc>
        <w:tc>
          <w:tcPr/>
          <w:p>
            <w:r>
              <w:t xml:space="preserve">17138000.00  </w:t>
            </w:r>
          </w:p>
        </w:tc>
        <w:tc>
          <w:tcPr/>
          <w:p>
            <w:r>
              <w:t>吐鲁番、库尔勒、石河子、阿克苏、哈密、博乐、和田地区、乌鲁木齐</w:t>
            </w:r>
          </w:p>
        </w:tc>
        <w:tc>
          <w:tcPr/>
          <w:p>
            <w:r>
              <w:t>冯婉悦，13809953585</w:t>
            </w:r>
          </w:p>
        </w:tc>
      </w:tr>
    </w:tbl>
    <w:p w:rsidR="00A77B3E"/>
    <w:p w14:paraId="51954372">
      <w:pPr>
        <w:spacing w:line="360" w:lineRule="auto"/>
        <w:rPr>
          <w:rFonts w:ascii="宋体" w:hAnsi="宋体"/>
          <w:szCs w:val="21"/>
        </w:rPr>
      </w:pPr>
      <w:bookmarkEnd w:id="64"/>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14:paraId="6344BFA3">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14:paraId="6D50BE31">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14:paraId="3E0E8C88">
      <w:pPr>
        <w:ind w:firstLine="560" w:firstLineChars="200"/>
        <w:rPr>
          <w:rFonts w:ascii="仿宋" w:eastAsia="仿宋" w:hAnsi="仿宋" w:cs="仿宋" w:hint="eastAsia"/>
          <w:sz w:val="28"/>
          <w:szCs w:val="20"/>
        </w:rPr>
      </w:pPr>
      <w:r>
        <w:rPr>
          <w:rFonts w:ascii="仿宋" w:eastAsia="仿宋" w:hAnsi="仿宋" w:cs="仿宋" w:hint="eastAsia"/>
          <w:sz w:val="28"/>
          <w:szCs w:val="20"/>
        </w:rPr>
        <w:t>依据2025年站网和雷达工程项目安排，需在新疆</w:t>
      </w:r>
      <w:r>
        <w:rPr>
          <w:rFonts w:ascii="仿宋" w:eastAsia="仿宋" w:hAnsi="仿宋" w:cs="仿宋" w:hint="eastAsia"/>
          <w:sz w:val="28"/>
          <w:szCs w:val="20"/>
          <w:lang w:val="en-US" w:eastAsia="zh-CN"/>
        </w:rPr>
        <w:t>建设8</w:t>
      </w:r>
      <w:r>
        <w:rPr>
          <w:rFonts w:ascii="仿宋" w:eastAsia="仿宋" w:hAnsi="仿宋" w:cs="仿宋" w:hint="eastAsia"/>
          <w:sz w:val="28"/>
          <w:szCs w:val="20"/>
        </w:rPr>
        <w:t>套</w:t>
      </w:r>
      <w:r>
        <w:rPr>
          <w:rFonts w:ascii="仿宋" w:eastAsia="仿宋" w:hAnsi="仿宋" w:cs="仿宋" w:hint="eastAsia"/>
          <w:sz w:val="28"/>
          <w:szCs w:val="20"/>
          <w:lang w:val="en-US" w:eastAsia="zh-CN"/>
        </w:rPr>
        <w:t>通量高精度温室气体浓度观测系统</w:t>
      </w:r>
      <w:r>
        <w:rPr>
          <w:rFonts w:ascii="仿宋" w:eastAsia="仿宋" w:hAnsi="仿宋" w:cs="仿宋" w:hint="eastAsia"/>
          <w:sz w:val="28"/>
          <w:szCs w:val="20"/>
        </w:rPr>
        <w:t>，对大气湍流结构等反映大气边界层湍流过程的湍流参数及其三维方向上的变化速率进行温室气体的源区排放动态监测，提升新疆气候变化监测能力，服务“碳达峰、碳中和”国家战略。充分利用和发挥气象部门现有观测站网与资源优势，加强沟通与协调，多元投入，快速构建覆盖我国主要城市和区域的温室气体浓度高精度观测网。对大气湍流结构等反映大气边界层湍流过程的湍流参数及其三维方向上的变化速率进行温室气体的源区排放动态监测。</w:t>
      </w:r>
    </w:p>
    <w:p w14:paraId="6B895618">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14:paraId="3D4D7DB4">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14:paraId="2B08985D">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14:paraId="62F811E9">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14:paraId="63AC3995">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设备供应商对每套投标产品提供至少2次技术培训，培训课时</w:t>
      </w:r>
      <w:r>
        <w:rPr>
          <w:rFonts w:ascii="仿宋" w:eastAsia="仿宋" w:hAnsi="仿宋" w:cs="仿宋"/>
          <w:sz w:val="28"/>
          <w:szCs w:val="20"/>
        </w:rPr>
        <w:t>不少于</w:t>
      </w:r>
      <w:r>
        <w:rPr>
          <w:rFonts w:ascii="仿宋" w:eastAsia="仿宋" w:hAnsi="仿宋" w:cs="仿宋" w:hint="eastAsia"/>
          <w:sz w:val="28"/>
          <w:szCs w:val="20"/>
          <w:lang w:val="en-US" w:eastAsia="zh-CN"/>
        </w:rPr>
        <w:t>24</w:t>
      </w:r>
      <w:r>
        <w:rPr>
          <w:rFonts w:ascii="仿宋" w:eastAsia="仿宋" w:hAnsi="仿宋" w:cs="仿宋" w:hint="eastAsia"/>
          <w:sz w:val="28"/>
          <w:szCs w:val="20"/>
        </w:rPr>
        <w:t>个</w:t>
      </w:r>
      <w:r>
        <w:rPr>
          <w:rFonts w:ascii="仿宋" w:eastAsia="仿宋" w:hAnsi="仿宋" w:cs="仿宋"/>
          <w:sz w:val="28"/>
          <w:szCs w:val="20"/>
        </w:rPr>
        <w:t>课时，培训人数不少于</w:t>
      </w:r>
      <w:r>
        <w:rPr>
          <w:rFonts w:ascii="仿宋" w:eastAsia="仿宋" w:hAnsi="仿宋" w:cs="仿宋" w:hint="eastAsia"/>
          <w:sz w:val="28"/>
          <w:szCs w:val="20"/>
          <w:lang w:val="en-US" w:eastAsia="zh-CN"/>
        </w:rPr>
        <w:t>16</w:t>
      </w:r>
      <w:r>
        <w:rPr>
          <w:rFonts w:ascii="仿宋" w:eastAsia="仿宋" w:hAnsi="仿宋" w:cs="仿宋" w:hint="eastAsia"/>
          <w:sz w:val="28"/>
          <w:szCs w:val="20"/>
        </w:rPr>
        <w:t>人</w:t>
      </w:r>
      <w:r>
        <w:rPr>
          <w:rFonts w:ascii="仿宋" w:eastAsia="仿宋" w:hAnsi="仿宋" w:cs="仿宋"/>
          <w:sz w:val="28"/>
          <w:szCs w:val="20"/>
        </w:rPr>
        <w:t>。</w:t>
      </w:r>
      <w:r>
        <w:rPr>
          <w:rFonts w:ascii="仿宋" w:eastAsia="仿宋" w:hAnsi="仿宋" w:cs="仿宋" w:hint="eastAsia"/>
          <w:sz w:val="28"/>
          <w:szCs w:val="20"/>
        </w:rPr>
        <w:t>培训内容包括设备安装、使用、日常维护、观测原理及产品应用，培训时间及地点双方协商确定。</w:t>
      </w:r>
    </w:p>
    <w:p w14:paraId="6CD52B29">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14:paraId="73B6E6CD">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中标供应商将所有设备运送至新疆吐鲁番、库尔勒、石河子、阿克苏、哈密、博乐、和田地区、乌鲁木齐（运输相关费用由供应商负责），并负责安装调试。</w:t>
      </w:r>
    </w:p>
    <w:p w14:paraId="3AAC63CA">
      <w:pPr>
        <w:ind w:firstLine="560" w:firstLineChars="200"/>
        <w:rPr>
          <w:rFonts w:ascii="仿宋" w:eastAsia="仿宋" w:hAnsi="仿宋" w:cs="仿宋"/>
          <w:sz w:val="28"/>
          <w:szCs w:val="20"/>
        </w:rPr>
      </w:pPr>
      <w:r>
        <w:rPr>
          <w:rFonts w:ascii="仿宋" w:eastAsia="仿宋" w:hAnsi="仿宋" w:cs="仿宋" w:hint="eastAsia"/>
          <w:sz w:val="28"/>
          <w:szCs w:val="20"/>
        </w:rPr>
        <w:t>合同签订后120天内完成供货，180天内完成安装调试并具备验收条件。</w:t>
      </w:r>
    </w:p>
    <w:p w14:paraId="42399382">
      <w:pPr>
        <w:ind w:firstLine="560" w:firstLineChars="200"/>
        <w:rPr>
          <w:rFonts w:ascii="仿宋" w:eastAsia="仿宋" w:hAnsi="仿宋" w:cs="仿宋"/>
          <w:b/>
          <w:bCs/>
          <w:sz w:val="28"/>
          <w:szCs w:val="20"/>
        </w:rPr>
      </w:pPr>
      <w:r>
        <w:rPr>
          <w:rFonts w:ascii="仿宋" w:eastAsia="仿宋" w:hAnsi="仿宋" w:cs="仿宋" w:hint="eastAsia"/>
          <w:b/>
          <w:bCs/>
          <w:sz w:val="28"/>
          <w:szCs w:val="20"/>
        </w:rPr>
        <w:t>五、服务团队要求</w:t>
      </w:r>
    </w:p>
    <w:p w14:paraId="5F72B737">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14:paraId="2C1F7F3C">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14:paraId="3C553F5D">
      <w:pPr>
        <w:ind w:firstLine="560" w:firstLineChars="200"/>
        <w:rPr>
          <w:rFonts w:ascii="仿宋" w:eastAsia="仿宋" w:hAnsi="仿宋" w:cs="仿宋"/>
          <w:sz w:val="28"/>
          <w:szCs w:val="20"/>
        </w:rPr>
      </w:pPr>
      <w:r>
        <w:rPr>
          <w:rFonts w:ascii="仿宋" w:eastAsia="仿宋" w:hAnsi="仿宋" w:cs="仿宋" w:hint="eastAsia"/>
          <w:sz w:val="28"/>
          <w:szCs w:val="20"/>
        </w:rPr>
        <w:t>设备软件兼容性强，设备数据传输模式、数据格式、数据通讯协议满足中国气象局下发的相关要求，可无缝接入气象业务内网网络系统，实现与气象业务内网网络系统、天元、天衡天衍、天擎及省级业务平台无缝接入，完全符合甲方相关要求和规范，保证其系统的兼容性和功能的完整性。</w:t>
      </w:r>
    </w:p>
    <w:p w14:paraId="5CFBB91C">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133"/>
        <w:gridCol w:w="2133"/>
        <w:gridCol w:w="2133"/>
      </w:tblGrid>
      <w:tr w14:paraId="325EBB00">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jc w:val="center"/>
        </w:trPr>
        <w:tc>
          <w:tcPr>
            <w:tcW w:w="2133" w:type="dxa"/>
          </w:tcPr>
          <w:p w14:paraId="0FB26F6D">
            <w:pPr>
              <w:jc w:val="center"/>
              <w:rPr>
                <w:rFonts w:ascii="仿宋" w:eastAsia="仿宋" w:hAnsi="仿宋" w:cs="仿宋" w:hint="default"/>
                <w:sz w:val="28"/>
                <w:szCs w:val="20"/>
                <w:vertAlign w:val="baseline"/>
              </w:rPr>
            </w:pPr>
            <w:r>
              <w:rPr>
                <w:rFonts w:ascii="仿宋" w:eastAsia="仿宋" w:hAnsi="仿宋" w:cs="仿宋" w:hint="eastAsia"/>
                <w:sz w:val="28"/>
                <w:szCs w:val="20"/>
                <w:vertAlign w:val="baseline"/>
                <w:lang w:val="en-US" w:eastAsia="zh-CN"/>
              </w:rPr>
              <w:t>设备名称</w:t>
            </w:r>
          </w:p>
        </w:tc>
        <w:tc>
          <w:tcPr>
            <w:tcW w:w="2133" w:type="dxa"/>
            <w:shd w:val="clear" w:color="auto" w:fill="auto"/>
            <w:vAlign w:val="top"/>
          </w:tcPr>
          <w:p w14:paraId="2CAE7345">
            <w:pPr>
              <w:jc w:val="center"/>
              <w:rPr>
                <w:rFonts w:ascii="仿宋" w:eastAsia="仿宋" w:hAnsi="仿宋" w:cs="仿宋" w:hint="eastAsia"/>
                <w:sz w:val="28"/>
                <w:szCs w:val="20"/>
                <w:vertAlign w:val="baseline"/>
              </w:rPr>
            </w:pPr>
            <w:r>
              <w:rPr>
                <w:rFonts w:ascii="仿宋" w:eastAsia="仿宋" w:hAnsi="仿宋" w:cs="仿宋" w:hint="eastAsia"/>
                <w:sz w:val="28"/>
                <w:szCs w:val="20"/>
                <w:vertAlign w:val="baseline"/>
                <w:lang w:val="en-US" w:eastAsia="zh-CN"/>
              </w:rPr>
              <w:t>数量</w:t>
            </w:r>
          </w:p>
        </w:tc>
        <w:tc>
          <w:tcPr>
            <w:tcW w:w="2133" w:type="dxa"/>
            <w:shd w:val="clear" w:color="auto" w:fill="auto"/>
            <w:vAlign w:val="top"/>
          </w:tcPr>
          <w:p w14:paraId="3FD6699F">
            <w:pPr>
              <w:jc w:val="center"/>
              <w:rPr>
                <w:rFonts w:ascii="仿宋" w:eastAsia="仿宋" w:hAnsi="仿宋" w:cs="仿宋" w:hint="default"/>
                <w:sz w:val="28"/>
                <w:szCs w:val="20"/>
                <w:vertAlign w:val="baseline"/>
              </w:rPr>
            </w:pPr>
            <w:r>
              <w:rPr>
                <w:rFonts w:ascii="仿宋" w:eastAsia="仿宋" w:hAnsi="仿宋" w:cs="仿宋" w:hint="eastAsia"/>
                <w:kern w:val="2"/>
                <w:sz w:val="28"/>
                <w:szCs w:val="20"/>
                <w:vertAlign w:val="baseline"/>
                <w:lang w:val="en-US" w:eastAsia="zh-CN" w:bidi="ar-SA"/>
              </w:rPr>
              <w:t>单位</w:t>
            </w:r>
          </w:p>
        </w:tc>
      </w:tr>
      <w:tr w14:paraId="68179224">
        <w:tblPrEx>
          <w:tblW w:w="0" w:type="auto"/>
          <w:jc w:val="center"/>
          <w:tblCellMar>
            <w:left w:w="108" w:type="dxa"/>
            <w:right w:w="108" w:type="dxa"/>
          </w:tblCellMar>
        </w:tblPrEx>
        <w:trPr>
          <w:jc w:val="center"/>
        </w:trPr>
        <w:tc>
          <w:tcPr>
            <w:tcW w:w="2133" w:type="dxa"/>
            <w:vAlign w:val="center"/>
          </w:tcPr>
          <w:p w14:paraId="1FE9F810">
            <w:pPr>
              <w:jc w:val="center"/>
              <w:rPr>
                <w:rFonts w:ascii="仿宋" w:eastAsia="仿宋" w:hAnsi="仿宋" w:cs="仿宋" w:hint="default"/>
                <w:sz w:val="28"/>
                <w:szCs w:val="20"/>
                <w:vertAlign w:val="baseline"/>
              </w:rPr>
            </w:pPr>
            <w:r>
              <w:rPr>
                <w:rFonts w:ascii="仿宋_GB2312" w:eastAsia="仿宋_GB2312" w:hAnsi="仿宋_GB2312" w:cs="仿宋_GB2312" w:hint="eastAsia"/>
                <w:color w:val="000000"/>
                <w:kern w:val="0"/>
                <w:sz w:val="24"/>
                <w:szCs w:val="24"/>
                <w:lang w:val="en-US" w:eastAsia="zh-CN"/>
              </w:rPr>
              <w:t>高精度温室气体浓度观测系统</w:t>
            </w:r>
          </w:p>
        </w:tc>
        <w:tc>
          <w:tcPr>
            <w:tcW w:w="2133" w:type="dxa"/>
            <w:shd w:val="clear" w:color="auto" w:fill="auto"/>
            <w:vAlign w:val="center"/>
          </w:tcPr>
          <w:p w14:paraId="64A9F4E8">
            <w:pPr>
              <w:jc w:val="center"/>
              <w:rPr>
                <w:rFonts w:ascii="仿宋" w:eastAsia="仿宋" w:hAnsi="仿宋" w:cs="仿宋" w:hint="default"/>
                <w:sz w:val="28"/>
                <w:szCs w:val="20"/>
                <w:vertAlign w:val="baseline"/>
              </w:rPr>
            </w:pPr>
            <w:r>
              <w:rPr>
                <w:rFonts w:ascii="仿宋" w:eastAsia="仿宋" w:hAnsi="仿宋" w:cs="仿宋" w:hint="eastAsia"/>
                <w:kern w:val="2"/>
                <w:sz w:val="28"/>
                <w:szCs w:val="20"/>
                <w:vertAlign w:val="baseline"/>
                <w:lang w:val="en-US" w:eastAsia="zh-CN" w:bidi="ar-SA"/>
              </w:rPr>
              <w:t>8</w:t>
            </w:r>
          </w:p>
        </w:tc>
        <w:tc>
          <w:tcPr>
            <w:tcW w:w="2133" w:type="dxa"/>
            <w:shd w:val="clear" w:color="auto" w:fill="auto"/>
            <w:vAlign w:val="center"/>
          </w:tcPr>
          <w:p w14:paraId="46DE8BAA">
            <w:pPr>
              <w:jc w:val="center"/>
              <w:rPr>
                <w:rFonts w:ascii="仿宋" w:eastAsia="仿宋" w:hAnsi="仿宋" w:cs="仿宋" w:hint="default"/>
                <w:sz w:val="28"/>
                <w:szCs w:val="20"/>
                <w:vertAlign w:val="baseline"/>
              </w:rPr>
            </w:pPr>
            <w:r>
              <w:rPr>
                <w:rFonts w:ascii="仿宋" w:eastAsia="仿宋" w:hAnsi="仿宋" w:cs="仿宋" w:hint="eastAsia"/>
                <w:kern w:val="2"/>
                <w:sz w:val="28"/>
                <w:szCs w:val="20"/>
                <w:vertAlign w:val="baseline"/>
                <w:lang w:val="en-US" w:eastAsia="zh-CN" w:bidi="ar-SA"/>
              </w:rPr>
              <w:t>套</w:t>
            </w:r>
          </w:p>
        </w:tc>
      </w:tr>
      <w:tr w14:paraId="021A9AEA">
        <w:tblPrEx>
          <w:tblW w:w="0" w:type="auto"/>
          <w:jc w:val="center"/>
          <w:tblCellMar>
            <w:left w:w="108" w:type="dxa"/>
            <w:right w:w="108" w:type="dxa"/>
          </w:tblCellMar>
        </w:tblPrEx>
        <w:trPr>
          <w:jc w:val="center"/>
        </w:trPr>
        <w:tc>
          <w:tcPr>
            <w:tcW w:w="2133" w:type="dxa"/>
            <w:vAlign w:val="center"/>
          </w:tcPr>
          <w:p w14:paraId="279E2F63">
            <w:pPr>
              <w:jc w:val="center"/>
              <w:rPr>
                <w:rFonts w:ascii="仿宋" w:eastAsia="仿宋" w:hAnsi="仿宋" w:cs="仿宋"/>
                <w:sz w:val="28"/>
                <w:szCs w:val="20"/>
                <w:vertAlign w:val="baseline"/>
              </w:rPr>
            </w:pPr>
            <w:r>
              <w:rPr>
                <w:rFonts w:ascii="仿宋_GB2312" w:eastAsia="仿宋_GB2312" w:hAnsi="仿宋_GB2312" w:cs="仿宋_GB2312" w:hint="eastAsia"/>
                <w:color w:val="000000"/>
                <w:kern w:val="0"/>
                <w:sz w:val="24"/>
                <w:szCs w:val="24"/>
                <w:lang w:val="en-US" w:eastAsia="zh-CN"/>
              </w:rPr>
              <w:t>采样塔</w:t>
            </w:r>
          </w:p>
        </w:tc>
        <w:tc>
          <w:tcPr>
            <w:tcW w:w="2133" w:type="dxa"/>
            <w:vAlign w:val="center"/>
          </w:tcPr>
          <w:p w14:paraId="6DA8A2D3">
            <w:pPr>
              <w:jc w:val="center"/>
              <w:rPr>
                <w:rFonts w:ascii="仿宋" w:eastAsia="仿宋" w:hAnsi="仿宋" w:cs="仿宋" w:hint="eastAsia"/>
                <w:sz w:val="28"/>
                <w:szCs w:val="20"/>
                <w:vertAlign w:val="baseline"/>
              </w:rPr>
            </w:pPr>
            <w:r>
              <w:rPr>
                <w:rFonts w:ascii="仿宋" w:eastAsia="仿宋" w:hAnsi="仿宋" w:cs="仿宋" w:hint="eastAsia"/>
                <w:sz w:val="28"/>
                <w:szCs w:val="20"/>
                <w:vertAlign w:val="baseline"/>
                <w:lang w:val="en-US" w:eastAsia="zh-CN"/>
              </w:rPr>
              <w:t>7</w:t>
            </w:r>
          </w:p>
        </w:tc>
        <w:tc>
          <w:tcPr>
            <w:tcW w:w="2133" w:type="dxa"/>
            <w:shd w:val="clear" w:color="auto" w:fill="auto"/>
            <w:vAlign w:val="center"/>
          </w:tcPr>
          <w:p w14:paraId="0521E839">
            <w:pPr>
              <w:jc w:val="center"/>
              <w:rPr>
                <w:rFonts w:ascii="仿宋" w:eastAsia="仿宋" w:hAnsi="仿宋" w:cs="仿宋"/>
                <w:sz w:val="28"/>
                <w:szCs w:val="20"/>
                <w:vertAlign w:val="baseline"/>
              </w:rPr>
            </w:pPr>
            <w:r>
              <w:rPr>
                <w:rFonts w:ascii="仿宋" w:eastAsia="仿宋" w:hAnsi="仿宋" w:cs="仿宋" w:hint="eastAsia"/>
                <w:kern w:val="2"/>
                <w:sz w:val="28"/>
                <w:szCs w:val="20"/>
                <w:vertAlign w:val="baseline"/>
                <w:lang w:val="en-US" w:eastAsia="zh-CN" w:bidi="ar-SA"/>
              </w:rPr>
              <w:t>套</w:t>
            </w:r>
          </w:p>
        </w:tc>
      </w:tr>
      <w:tr w14:paraId="08F47B22">
        <w:tblPrEx>
          <w:tblW w:w="0" w:type="auto"/>
          <w:jc w:val="center"/>
          <w:tblCellMar>
            <w:left w:w="108" w:type="dxa"/>
            <w:right w:w="108" w:type="dxa"/>
          </w:tblCellMar>
        </w:tblPrEx>
        <w:trPr>
          <w:jc w:val="center"/>
        </w:trPr>
        <w:tc>
          <w:tcPr>
            <w:tcW w:w="2133" w:type="dxa"/>
            <w:vAlign w:val="center"/>
          </w:tcPr>
          <w:p w14:paraId="61412DA9">
            <w:pPr>
              <w:jc w:val="center"/>
              <w:rPr>
                <w:rFonts w:ascii="仿宋_GB2312" w:eastAsia="仿宋_GB2312" w:hAnsi="仿宋_GB2312" w:cs="仿宋_GB2312" w:hint="eastAsia"/>
                <w:color w:val="000000"/>
                <w:kern w:val="0"/>
              </w:rPr>
            </w:pPr>
            <w:r>
              <w:rPr>
                <w:rFonts w:ascii="仿宋_GB2312" w:eastAsia="仿宋_GB2312" w:hAnsi="仿宋_GB2312" w:cs="仿宋_GB2312" w:hint="eastAsia"/>
                <w:color w:val="000000"/>
                <w:kern w:val="0"/>
                <w:sz w:val="24"/>
                <w:szCs w:val="24"/>
                <w:lang w:val="en-US" w:eastAsia="zh-CN"/>
              </w:rPr>
              <w:t>方舱</w:t>
            </w:r>
          </w:p>
        </w:tc>
        <w:tc>
          <w:tcPr>
            <w:tcW w:w="2133" w:type="dxa"/>
            <w:vAlign w:val="center"/>
          </w:tcPr>
          <w:p w14:paraId="06841095">
            <w:pPr>
              <w:jc w:val="center"/>
              <w:rPr>
                <w:rFonts w:ascii="仿宋" w:eastAsia="仿宋" w:hAnsi="仿宋" w:cs="仿宋" w:hint="eastAsia"/>
                <w:sz w:val="28"/>
                <w:szCs w:val="20"/>
                <w:vertAlign w:val="baseline"/>
              </w:rPr>
            </w:pPr>
            <w:r>
              <w:rPr>
                <w:rFonts w:ascii="仿宋" w:eastAsia="仿宋" w:hAnsi="仿宋" w:cs="仿宋" w:hint="eastAsia"/>
                <w:sz w:val="28"/>
                <w:szCs w:val="20"/>
                <w:vertAlign w:val="baseline"/>
                <w:lang w:val="en-US" w:eastAsia="zh-CN"/>
              </w:rPr>
              <w:t>8</w:t>
            </w:r>
          </w:p>
        </w:tc>
        <w:tc>
          <w:tcPr>
            <w:tcW w:w="2133" w:type="dxa"/>
            <w:shd w:val="clear" w:color="auto" w:fill="auto"/>
            <w:vAlign w:val="center"/>
          </w:tcPr>
          <w:p w14:paraId="3381B5D3">
            <w:pPr>
              <w:jc w:val="center"/>
              <w:rPr>
                <w:rFonts w:ascii="仿宋" w:eastAsia="仿宋" w:hAnsi="仿宋" w:cs="仿宋"/>
                <w:sz w:val="28"/>
                <w:szCs w:val="20"/>
                <w:vertAlign w:val="baseline"/>
              </w:rPr>
            </w:pPr>
            <w:r>
              <w:rPr>
                <w:rFonts w:ascii="仿宋" w:eastAsia="仿宋" w:hAnsi="仿宋" w:cs="仿宋" w:hint="eastAsia"/>
                <w:kern w:val="2"/>
                <w:sz w:val="28"/>
                <w:szCs w:val="20"/>
                <w:vertAlign w:val="baseline"/>
                <w:lang w:val="en-US" w:eastAsia="zh-CN" w:bidi="ar-SA"/>
              </w:rPr>
              <w:t>套</w:t>
            </w:r>
          </w:p>
        </w:tc>
      </w:tr>
      <w:tr w14:paraId="7B1D7B78">
        <w:tblPrEx>
          <w:tblW w:w="0" w:type="auto"/>
          <w:jc w:val="center"/>
          <w:tblCellMar>
            <w:left w:w="108" w:type="dxa"/>
            <w:right w:w="108" w:type="dxa"/>
          </w:tblCellMar>
        </w:tblPrEx>
        <w:trPr>
          <w:jc w:val="center"/>
        </w:trPr>
        <w:tc>
          <w:tcPr>
            <w:tcW w:w="2133" w:type="dxa"/>
            <w:vAlign w:val="center"/>
          </w:tcPr>
          <w:p w14:paraId="60783C56">
            <w:pPr>
              <w:jc w:val="center"/>
              <w:rPr>
                <w:rFonts w:ascii="仿宋_GB2312" w:eastAsia="仿宋_GB2312" w:hAnsi="仿宋_GB2312" w:cs="仿宋_GB2312" w:hint="default"/>
                <w:color w:val="000000"/>
                <w:kern w:val="0"/>
              </w:rPr>
            </w:pPr>
            <w:r>
              <w:rPr>
                <w:rFonts w:ascii="仿宋_GB2312" w:eastAsia="仿宋_GB2312" w:hAnsi="仿宋_GB2312" w:cs="仿宋_GB2312" w:hint="eastAsia"/>
                <w:color w:val="000000"/>
                <w:kern w:val="0"/>
                <w:sz w:val="24"/>
                <w:szCs w:val="24"/>
                <w:lang w:val="en-US" w:eastAsia="zh-CN"/>
              </w:rPr>
              <w:t>UPS</w:t>
            </w:r>
          </w:p>
        </w:tc>
        <w:tc>
          <w:tcPr>
            <w:tcW w:w="2133" w:type="dxa"/>
            <w:vAlign w:val="center"/>
          </w:tcPr>
          <w:p w14:paraId="0D6EC59A">
            <w:pPr>
              <w:jc w:val="center"/>
              <w:rPr>
                <w:rFonts w:ascii="仿宋" w:eastAsia="仿宋" w:hAnsi="仿宋" w:cs="仿宋" w:hint="eastAsia"/>
                <w:sz w:val="28"/>
                <w:szCs w:val="20"/>
                <w:vertAlign w:val="baseline"/>
              </w:rPr>
            </w:pPr>
            <w:r>
              <w:rPr>
                <w:rFonts w:ascii="仿宋" w:eastAsia="仿宋" w:hAnsi="仿宋" w:cs="仿宋" w:hint="eastAsia"/>
                <w:sz w:val="28"/>
                <w:szCs w:val="20"/>
                <w:vertAlign w:val="baseline"/>
                <w:lang w:val="en-US" w:eastAsia="zh-CN"/>
              </w:rPr>
              <w:t>8</w:t>
            </w:r>
          </w:p>
        </w:tc>
        <w:tc>
          <w:tcPr>
            <w:tcW w:w="2133" w:type="dxa"/>
            <w:shd w:val="clear" w:color="auto" w:fill="auto"/>
            <w:vAlign w:val="center"/>
          </w:tcPr>
          <w:p w14:paraId="1EE50AEE">
            <w:pPr>
              <w:jc w:val="center"/>
              <w:rPr>
                <w:rFonts w:ascii="仿宋" w:eastAsia="仿宋" w:hAnsi="仿宋" w:cs="仿宋"/>
                <w:sz w:val="28"/>
                <w:szCs w:val="20"/>
                <w:vertAlign w:val="baseline"/>
              </w:rPr>
            </w:pPr>
            <w:r>
              <w:rPr>
                <w:rFonts w:ascii="仿宋" w:eastAsia="仿宋" w:hAnsi="仿宋" w:cs="仿宋" w:hint="eastAsia"/>
                <w:kern w:val="2"/>
                <w:sz w:val="28"/>
                <w:szCs w:val="20"/>
                <w:vertAlign w:val="baseline"/>
                <w:lang w:val="en-US" w:eastAsia="zh-CN" w:bidi="ar-SA"/>
              </w:rPr>
              <w:t>套</w:t>
            </w:r>
          </w:p>
        </w:tc>
      </w:tr>
    </w:tbl>
    <w:p w14:paraId="723511FC">
      <w:pPr>
        <w:ind w:firstLine="560" w:firstLineChars="200"/>
        <w:rPr>
          <w:rFonts w:ascii="仿宋" w:eastAsia="仿宋" w:hAnsi="仿宋" w:cs="仿宋"/>
          <w:sz w:val="28"/>
          <w:szCs w:val="20"/>
        </w:rPr>
      </w:pP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num="1" w:space="720"/>
          <w:docGrid w:type="linesAndChars" w:linePitch="312" w:charSpace="0"/>
        </w:sectPr>
      </w:pPr>
      <w:bookmarkEnd w:id="55"/>
    </w:p>
    <w:p>
      <w:pPr>
        <w:tabs>
          <w:tab w:val="left" w:pos="1573"/>
        </w:tabs>
        <w:adjustRightInd w:val="0"/>
        <w:snapToGrid w:val="0"/>
        <w:spacing w:line="360" w:lineRule="auto"/>
        <w:jc w:val="center"/>
        <w:outlineLvl w:val="1"/>
        <w:rPr>
          <w:rFonts w:ascii="Times New Roman" w:hAnsi="Times New Roman" w:cs="Times New Roman"/>
          <w:b/>
          <w:bCs/>
          <w:sz w:val="30"/>
          <w:szCs w:val="30"/>
        </w:rPr>
      </w:pPr>
      <w:bookmarkStart w:id="65" w:name="投标被拒绝条款专用部分_JJTK"/>
      <w:r>
        <w:rPr>
          <w:rFonts w:ascii="Times New Roman" w:eastAsia="宋体" w:hAnsi="Times New Roman" w:cs="Times New Roman" w:hint="eastAsia"/>
          <w:b/>
          <w:sz w:val="30"/>
          <w:szCs w:val="30"/>
        </w:rPr>
        <w:t>第八章  响应被拒绝条款专用部分</w:t>
      </w:r>
    </w:p>
    <w:p>
      <w:pPr>
        <w:adjustRightInd w:val="0"/>
        <w:snapToGrid w:val="0"/>
        <w:spacing w:before="156" w:beforeLines="50" w:line="360" w:lineRule="auto"/>
        <w:ind w:firstLine="420"/>
        <w:rPr>
          <w:rFonts w:ascii="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以外，其它内容均不得在评审中作为拒绝响应的条件。下表具体内容以采购中心编制的磋商文件为准。响应人若不符合下表任何要求之一的，将导致响应被拒绝。</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600"/>
      </w:tblPr>
      <w:tblGrid>
        <w:gridCol w:w="544"/>
        <w:gridCol w:w="898"/>
        <w:gridCol w:w="7347"/>
      </w:tblGrid>
      <w:tr>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600"/>
        </w:tblPrEx>
        <w:trPr>
          <w:cantSplit/>
          <w:trHeight w:val="746"/>
        </w:trPr>
        <w:tc>
          <w:tcPr>
            <w:tcW w:w="544" w:type="dxa"/>
            <w:vAlign w:val="center"/>
          </w:tcPr>
          <w:p>
            <w:pPr>
              <w:rPr>
                <w:rFonts w:ascii="Times New Roman"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pPr>
              <w:jc w:val="center"/>
              <w:rPr>
                <w:rFonts w:ascii="Times New Roman" w:hAnsi="Times New Roman" w:cs="Times New Roman"/>
                <w:sz w:val="18"/>
                <w:szCs w:val="18"/>
              </w:rPr>
            </w:pPr>
            <w:r>
              <w:rPr>
                <w:rFonts w:ascii="Times New Roman" w:eastAsia="宋体" w:hAnsi="Times New Roman" w:cs="Times New Roman" w:hint="eastAsia"/>
                <w:sz w:val="18"/>
                <w:szCs w:val="18"/>
              </w:rPr>
              <w:t>对应</w:t>
            </w:r>
          </w:p>
          <w:p>
            <w:pPr>
              <w:jc w:val="center"/>
              <w:rPr>
                <w:rFonts w:ascii="Times New Roman"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pPr>
              <w:jc w:val="center"/>
              <w:rPr>
                <w:rFonts w:ascii="Times New Roman" w:hAnsi="Times New Roman" w:cs="Times New Roman"/>
                <w:sz w:val="18"/>
                <w:szCs w:val="18"/>
              </w:rPr>
            </w:pPr>
            <w:r>
              <w:rPr>
                <w:rFonts w:ascii="Times New Roman" w:eastAsia="宋体" w:hAnsi="Times New Roman" w:cs="Times New Roman" w:hint="eastAsia"/>
                <w:sz w:val="18"/>
                <w:szCs w:val="18"/>
              </w:rPr>
              <w:t>内 容</w:t>
            </w:r>
          </w:p>
        </w:tc>
      </w:tr>
      <w:tr>
        <w:tblPrEx>
          <w:tblW w:w="8789" w:type="dxa"/>
          <w:tblLayout w:type="fixed"/>
          <w:tblCellMar>
            <w:top w:w="0" w:type="dxa"/>
            <w:left w:w="108" w:type="dxa"/>
            <w:bottom w:w="0" w:type="dxa"/>
            <w:right w:w="108" w:type="dxa"/>
          </w:tblCellMar>
          <w:tblLook w:val="0600"/>
        </w:tblPrEx>
        <w:trPr>
          <w:cantSplit/>
        </w:trPr>
        <w:tc>
          <w:tcPr>
            <w:tcW w:w="8789" w:type="dxa"/>
            <w:gridSpan w:val="3"/>
            <w:vAlign w:val="center"/>
          </w:tcPr>
          <w:p>
            <w:pPr>
              <w:jc w:val="center"/>
              <w:rPr>
                <w:rFonts w:ascii="Times New Roman"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tblPrEx>
          <w:tblW w:w="8789" w:type="dxa"/>
          <w:tblLayout w:type="fixed"/>
          <w:tblCellMar>
            <w:top w:w="0" w:type="dxa"/>
            <w:left w:w="108" w:type="dxa"/>
            <w:bottom w:w="0" w:type="dxa"/>
            <w:right w:w="108" w:type="dxa"/>
          </w:tblCellMar>
          <w:tblLook w:val="0600"/>
        </w:tblPrEx>
        <w:trPr>
          <w:cantSplit/>
        </w:trPr>
        <w:tc>
          <w:tcPr>
            <w:tcW w:w="544" w:type="dxa"/>
            <w:vAlign w:val="center"/>
          </w:tcPr>
          <w:p>
            <w:pPr>
              <w:numPr>
                <w:ilvl w:val="0"/>
                <w:numId w:val="13"/>
              </w:numPr>
              <w:rPr>
                <w:rFonts w:ascii="宋体" w:hAnsi="宋体" w:cs="Times New Roman"/>
                <w:sz w:val="18"/>
                <w:szCs w:val="18"/>
              </w:rPr>
            </w:pPr>
          </w:p>
        </w:tc>
        <w:tc>
          <w:tcPr>
            <w:tcW w:w="898" w:type="dxa"/>
            <w:tcBorders>
              <w:left w:val="single" w:sz="4" w:space="0" w:color="auto"/>
            </w:tcBorders>
            <w:vAlign w:val="center"/>
          </w:tcPr>
          <w:p>
            <w:pPr>
              <w:jc w:val="center"/>
              <w:rPr>
                <w:rFonts w:ascii="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.7</w:t>
            </w:r>
          </w:p>
        </w:tc>
        <w:tc>
          <w:tcPr>
            <w:tcW w:w="7347" w:type="dxa"/>
            <w:tcBorders>
              <w:left w:val="single" w:sz="4" w:space="0" w:color="auto"/>
            </w:tcBorders>
          </w:tcPr>
          <w:p>
            <w:pPr>
              <w:tabs>
                <w:tab w:val="left" w:pos="709"/>
              </w:tabs>
              <w:spacing w:line="360" w:lineRule="auto"/>
              <w:jc w:val="left"/>
              <w:rPr>
                <w:rFonts w:ascii="宋体" w:hAnsi="宋体" w:cs="微软雅黑"/>
                <w:b/>
                <w:color w:val="0000FF"/>
                <w:kern w:val="0"/>
                <w:sz w:val="18"/>
                <w:szCs w:val="18"/>
              </w:rPr>
            </w:pPr>
            <w:r>
              <w:rPr>
                <w:rFonts w:ascii="宋体" w:eastAsia="宋体" w:hAnsi="宋体" w:cs="微软雅黑" w:hint="eastAsia"/>
                <w:b/>
                <w:color w:val="0000FF"/>
                <w:kern w:val="0"/>
                <w:sz w:val="18"/>
                <w:szCs w:val="18"/>
              </w:rPr>
              <w:t>响应人应具有以下到提交首次响应文件截止日仍在有效期内的</w:t>
            </w:r>
            <w:r>
              <w:rPr>
                <w:rFonts w:ascii="宋体" w:hAnsi="宋体" w:cs="微软雅黑" w:hint="eastAsia"/>
                <w:b/>
                <w:color w:val="0000FF"/>
                <w:kern w:val="0"/>
                <w:sz w:val="18"/>
                <w:szCs w:val="18"/>
              </w:rPr>
              <w:t>《气象专用技术装备使用许可证》：</w:t>
            </w:r>
            <w:r>
              <w:rPr>
                <w:rFonts w:ascii="宋体" w:hAnsi="宋体" w:cs="微软雅黑"/>
                <w:b/>
                <w:color w:val="0000FF"/>
                <w:kern w:val="0"/>
                <w:sz w:val="18"/>
                <w:szCs w:val="18"/>
              </w:rPr>
              <w:t>光谱吸收法大气二氧化碳/甲烷高精度分析仪</w:t>
            </w:r>
          </w:p>
        </w:tc>
      </w:tr>
      <w:tr>
        <w:tblPrEx>
          <w:tblW w:w="8789" w:type="dxa"/>
          <w:tblLayout w:type="fixed"/>
          <w:tblCellMar>
            <w:top w:w="0" w:type="dxa"/>
            <w:left w:w="108" w:type="dxa"/>
            <w:bottom w:w="0" w:type="dxa"/>
            <w:right w:w="108" w:type="dxa"/>
          </w:tblCellMar>
          <w:tblLook w:val="0600"/>
        </w:tblPrEx>
        <w:trPr>
          <w:cantSplit/>
        </w:trPr>
        <w:tc>
          <w:tcPr>
            <w:tcW w:w="8789" w:type="dxa"/>
            <w:gridSpan w:val="3"/>
            <w:vAlign w:val="center"/>
          </w:tcPr>
          <w:p>
            <w:pPr>
              <w:jc w:val="center"/>
              <w:rPr>
                <w:rFonts w:ascii="Times New Roman" w:hAnsi="Times New Roman" w:cs="Times New Roman"/>
                <w:sz w:val="18"/>
                <w:szCs w:val="18"/>
              </w:rPr>
            </w:pPr>
            <w:r>
              <w:rPr>
                <w:rFonts w:ascii="Times New Roman" w:eastAsia="宋体" w:hAnsi="Times New Roman" w:cs="Times New Roman" w:hint="eastAsia"/>
                <w:b/>
                <w:sz w:val="18"/>
                <w:szCs w:val="18"/>
              </w:rPr>
              <w:t>第七章  采购需求</w:t>
            </w:r>
          </w:p>
        </w:tc>
      </w:tr>
      <w:tr>
        <w:tblPrEx>
          <w:tblW w:w="8789" w:type="dxa"/>
          <w:tblLayout w:type="fixed"/>
          <w:tblCellMar>
            <w:top w:w="0" w:type="dxa"/>
            <w:left w:w="108" w:type="dxa"/>
            <w:bottom w:w="0" w:type="dxa"/>
            <w:right w:w="108" w:type="dxa"/>
          </w:tblCellMar>
          <w:tblLook w:val="0600"/>
        </w:tblPrEx>
        <w:trPr>
          <w:cantSplit/>
        </w:trPr>
        <w:tc>
          <w:tcPr>
            <w:tcW w:w="544" w:type="dxa"/>
            <w:vAlign w:val="center"/>
          </w:tcPr>
          <w:p>
            <w:pPr>
              <w:numPr>
                <w:ilvl w:val="0"/>
                <w:numId w:val="13"/>
              </w:numPr>
              <w:rPr>
                <w:rFonts w:ascii="宋体" w:hAnsi="宋体" w:cs="Times New Roman"/>
                <w:sz w:val="18"/>
                <w:szCs w:val="18"/>
              </w:rPr>
            </w:pPr>
          </w:p>
        </w:tc>
        <w:tc>
          <w:tcPr>
            <w:tcW w:w="898" w:type="dxa"/>
            <w:tcBorders>
              <w:left w:val="single" w:sz="4" w:space="0" w:color="auto"/>
            </w:tcBorders>
            <w:vAlign w:val="center"/>
          </w:tcPr>
          <w:p>
            <w:pPr>
              <w:jc w:val="center"/>
              <w:rPr>
                <w:rFonts w:ascii="宋体" w:hAnsi="宋体" w:cs="Times New Roman"/>
                <w:sz w:val="18"/>
                <w:szCs w:val="18"/>
              </w:rPr>
            </w:pPr>
            <w:r>
              <w:rPr>
                <w:rFonts w:ascii="宋体" w:eastAsia="宋体" w:hAnsi="宋体" w:cs="Times New Roman"/>
                <w:sz w:val="18"/>
                <w:szCs w:val="18"/>
              </w:rPr>
              <w:t>第七章第四部分</w:t>
            </w:r>
            <w:r>
              <w:rPr>
                <w:rFonts w:ascii="宋体" w:hAnsi="宋体" w:cs="Times New Roman" w:hint="eastAsia"/>
                <w:sz w:val="18"/>
                <w:szCs w:val="18"/>
              </w:rPr>
              <w:t>质保服务要求</w:t>
            </w:r>
          </w:p>
        </w:tc>
        <w:tc>
          <w:tcPr>
            <w:tcW w:w="7347" w:type="dxa"/>
            <w:tcBorders>
              <w:left w:val="single" w:sz="4" w:space="0" w:color="auto"/>
            </w:tcBorders>
            <w:vAlign w:val="center"/>
          </w:tcPr>
          <w:p>
            <w:pPr>
              <w:tabs>
                <w:tab w:val="left" w:pos="709"/>
              </w:tabs>
              <w:spacing w:line="360" w:lineRule="auto"/>
              <w:jc w:val="left"/>
              <w:rPr>
                <w:rFonts w:ascii="Times New Roman" w:hAnsi="Times New Roman" w:cs="微软雅黑"/>
                <w:b/>
                <w:color w:val="0000FF"/>
                <w:kern w:val="0"/>
                <w:sz w:val="18"/>
                <w:szCs w:val="18"/>
              </w:rPr>
            </w:pPr>
            <w:r>
              <w:rPr>
                <w:rFonts w:ascii="宋体" w:hAnsi="宋体" w:cs="微软雅黑" w:hint="eastAsia"/>
                <w:b/>
                <w:color w:val="0000FF"/>
                <w:kern w:val="0"/>
                <w:sz w:val="18"/>
                <w:szCs w:val="18"/>
              </w:rPr>
              <w:t>高精度温室气体浓度观测系统6年*</w:t>
            </w:r>
          </w:p>
        </w:tc>
      </w:tr>
    </w:tbl>
    <w:p>
      <w:pPr>
        <w:spacing w:before="156" w:beforeLines="50" w:line="360" w:lineRule="auto"/>
        <w:ind w:firstLine="420"/>
        <w:rPr>
          <w:rFonts w:ascii="宋体" w:hAnsi="宋体" w:cs="Times New Roman"/>
          <w:szCs w:val="21"/>
        </w:rPr>
      </w:pPr>
      <w:r>
        <w:rPr>
          <w:rFonts w:ascii="宋体" w:eastAsia="宋体" w:hAnsi="宋体" w:cs="Times New Roman" w:hint="eastAsia"/>
          <w:szCs w:val="21"/>
        </w:rPr>
        <w:t>注：根据项目具体情况，对响应人有具体要求，且响应人必须遵守的，逐条列出。</w:t>
      </w:r>
    </w:p>
    <w:p/>
    <w:p w:rsidR="00A77B3E"/>
    <w:p>
      <w:pPr>
        <w:tabs>
          <w:tab w:val="left" w:pos="1573"/>
        </w:tabs>
        <w:adjustRightInd w:val="0"/>
        <w:snapToGrid w:val="0"/>
        <w:spacing w:line="360" w:lineRule="auto"/>
        <w:jc w:val="center"/>
        <w:outlineLvl w:val="1"/>
        <w:rPr>
          <w:rFonts w:ascii="Times New Roman" w:hAnsi="Times New Roman" w:cs="Times New Roman"/>
          <w:b/>
          <w:bCs/>
          <w:sz w:val="30"/>
          <w:szCs w:val="30"/>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65"/>
    </w:p>
    <w:p w14:paraId="15B12512">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4FEAF601">
      <w:pPr>
        <w:spacing w:line="360" w:lineRule="auto"/>
        <w:rPr>
          <w:rFonts w:ascii="Times New Roman" w:eastAsia="宋体" w:hAnsi="Times New Roman" w:cs="Times New Roman"/>
          <w:b/>
          <w:bCs/>
          <w:sz w:val="28"/>
          <w:szCs w:val="28"/>
        </w:rPr>
      </w:pPr>
    </w:p>
    <w:p>
      <w:pPr>
        <w:spacing w:line="360" w:lineRule="auto"/>
        <w:ind w:firstLine="3066" w:firstLineChars="1460"/>
        <w:jc w:val="left"/>
        <w:rPr>
          <w:rFonts w:ascii="Times New Roman" w:hAnsi="Times New Roman" w:cs="Times New Roman"/>
          <w:b/>
          <w:bCs/>
          <w:szCs w:val="21"/>
        </w:rPr>
      </w:pPr>
      <w:bookmarkStart w:id="66" w:name="采购公告合同部分_ZBGGHT"/>
      <w:r>
        <w:rPr>
          <w:rFonts w:ascii="Times New Roman" w:eastAsia="宋体" w:hAnsi="Times New Roman" w:cs="Times New Roman" w:hint="eastAsia"/>
          <w:b/>
          <w:bCs/>
          <w:szCs w:val="21"/>
        </w:rPr>
        <w:t>第九章  采购合同</w:t>
      </w:r>
    </w:p>
    <w:p>
      <w:pPr>
        <w:spacing w:line="360" w:lineRule="auto"/>
        <w:ind w:left="1680" w:firstLine="420"/>
        <w:jc w:val="left"/>
        <w:rPr>
          <w:rFonts w:hint="eastAsia"/>
          <w:b/>
          <w:bCs/>
          <w:szCs w:val="21"/>
        </w:rPr>
        <w:sectPr>
          <w:pgSz w:w="11906" w:h="16838"/>
          <w:pgMar w:top="1440" w:right="1800" w:bottom="1440" w:left="1800" w:header="851" w:footer="992" w:gutter="0"/>
          <w:cols w:num="1" w:space="425"/>
          <w:docGrid w:type="lines" w:linePitch="312" w:charSpace="0"/>
        </w:sectPr>
      </w:pPr>
      <w:r>
        <w:rPr>
          <w:rFonts w:hint="eastAsia"/>
          <w:b/>
          <w:bCs/>
          <w:szCs w:val="21"/>
        </w:rPr>
        <w:t>必须明确合同金额支付条件及支付比例</w:t>
      </w:r>
    </w:p>
    <w:p>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政府采购货物买卖合同</w:t>
      </w:r>
    </w:p>
    <w:p>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（试行）</w:t>
      </w:r>
    </w:p>
    <w:p>
      <w:pPr>
        <w:rPr>
          <w:rFonts w:ascii="宋体" w:hAnsi="宋体" w:cs="宋体"/>
          <w:b/>
          <w:bCs/>
          <w:spacing w:val="-20"/>
          <w:kern w:val="44"/>
          <w:sz w:val="40"/>
          <w:szCs w:val="40"/>
        </w:rPr>
      </w:pPr>
    </w:p>
    <w:p>
      <w:pPr>
        <w:rPr>
          <w:rFonts w:ascii="宋体" w:hAnsi="宋体" w:cs="宋体"/>
          <w:b/>
          <w:bCs/>
          <w:spacing w:val="-20"/>
          <w:kern w:val="44"/>
          <w:sz w:val="40"/>
          <w:szCs w:val="40"/>
        </w:rPr>
      </w:pPr>
    </w:p>
    <w:p>
      <w:pPr>
        <w:rPr>
          <w:rFonts w:ascii="宋体" w:hAnsi="宋体" w:cs="宋体"/>
          <w:b/>
          <w:bCs/>
          <w:spacing w:val="-20"/>
          <w:kern w:val="44"/>
          <w:sz w:val="40"/>
          <w:szCs w:val="40"/>
        </w:rPr>
      </w:pPr>
    </w:p>
    <w:p>
      <w:pPr>
        <w:spacing w:line="360" w:lineRule="auto"/>
        <w:ind w:left="420" w:leftChars="200"/>
        <w:rPr>
          <w:rFonts w:ascii="Times New Roman"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pPr>
        <w:spacing w:line="360" w:lineRule="auto"/>
        <w:ind w:left="420" w:leftChars="200"/>
        <w:rPr>
          <w:rFonts w:ascii="Times New Roman"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pPr>
        <w:spacing w:line="360" w:lineRule="auto"/>
        <w:ind w:left="420" w:leftChars="200"/>
        <w:rPr>
          <w:rFonts w:ascii="Times New Roman" w:hAnsi="Times New Roman" w:cs="Times New Roman"/>
          <w:sz w:val="32"/>
          <w:szCs w:val="32"/>
        </w:rPr>
      </w:pPr>
      <w:r>
        <w:rPr>
          <w:rFonts w:ascii="Times New Roman" w:eastAsia="宋体" w:hAnsi="Times New Roman" w:cs="Times New Roman" w:hint="eastAsia"/>
          <w:sz w:val="32"/>
          <w:szCs w:val="32"/>
        </w:rPr>
        <w:t>甲    方：</w:t>
      </w:r>
      <w:r>
        <w:rPr>
          <w:rFonts w:ascii="Times New Roman" w:eastAsia="宋体" w:hAnsi="Times New Roman" w:cs="Times New Roman" w:hint="eastAsia"/>
          <w:sz w:val="32"/>
          <w:szCs w:val="32"/>
          <w:u w:val="single"/>
        </w:rPr>
        <w:t xml:space="preserve">                             </w:t>
      </w:r>
    </w:p>
    <w:p>
      <w:pPr>
        <w:spacing w:line="360" w:lineRule="auto"/>
        <w:ind w:left="420" w:leftChars="200"/>
        <w:rPr>
          <w:rFonts w:ascii="Times New Roman" w:hAnsi="Times New Roman" w:cs="Times New Roman"/>
          <w:sz w:val="32"/>
          <w:szCs w:val="32"/>
          <w:u w:val="single"/>
        </w:rPr>
      </w:pPr>
      <w:r>
        <w:rPr>
          <w:rFonts w:ascii="Times New Roman" w:eastAsia="宋体" w:hAnsi="Times New Roman" w:cs="Times New Roman" w:hint="eastAsia"/>
          <w:sz w:val="32"/>
          <w:szCs w:val="32"/>
        </w:rPr>
        <w:t>乙    方：</w:t>
      </w:r>
      <w:r>
        <w:rPr>
          <w:rFonts w:ascii="Times New Roman" w:eastAsia="宋体" w:hAnsi="Times New Roman" w:cs="Times New Roman" w:hint="eastAsia"/>
          <w:sz w:val="32"/>
          <w:szCs w:val="32"/>
          <w:u w:val="single"/>
        </w:rPr>
        <w:t xml:space="preserve">                             </w:t>
      </w:r>
    </w:p>
    <w:p>
      <w:pPr>
        <w:spacing w:line="360" w:lineRule="auto"/>
        <w:ind w:left="420" w:leftChars="200"/>
        <w:rPr>
          <w:rFonts w:ascii="Times New Roman"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pPr>
        <w:rPr>
          <w:rFonts w:ascii="Times New Roman" w:hAnsi="Times New Roman" w:cs="Times New Roman"/>
          <w:szCs w:val="20"/>
        </w:rPr>
      </w:pPr>
    </w:p>
    <w:p>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pPr>
        <w:rPr>
          <w:rFonts w:ascii="Times New Roman" w:eastAsia="黑体" w:hAnsi="Times New Roman" w:cs="Times New Roman"/>
          <w:sz w:val="44"/>
          <w:szCs w:val="44"/>
        </w:rPr>
      </w:pPr>
    </w:p>
    <w:p>
      <w:pPr>
        <w:rPr>
          <w:rFonts w:ascii="Times New Roman" w:eastAsia="黑体" w:hAnsi="Times New Roman" w:cs="Times New Roman"/>
          <w:sz w:val="44"/>
          <w:szCs w:val="44"/>
        </w:rPr>
      </w:pPr>
    </w:p>
    <w:p>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 用 说 明</w:t>
      </w:r>
    </w:p>
    <w:p>
      <w:pPr>
        <w:ind w:firstLine="640" w:firstLineChars="200"/>
        <w:rPr>
          <w:rFonts w:ascii="仿宋_GB2312" w:eastAsia="仿宋_GB2312" w:hAnsi="仿宋_GB2312" w:cs="仿宋_GB2312"/>
          <w:sz w:val="32"/>
          <w:szCs w:val="32"/>
        </w:rPr>
      </w:pP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pPr>
        <w:rPr>
          <w:rFonts w:ascii="Times New Roman" w:eastAsia="黑体" w:hAnsi="Times New Roman" w:cs="Times New Roman"/>
          <w:sz w:val="44"/>
          <w:szCs w:val="44"/>
        </w:rPr>
      </w:pPr>
      <w:r>
        <w:rPr>
          <w:rFonts w:ascii="Times New Roman" w:eastAsia="黑体" w:hAnsi="Times New Roman" w:cs="Times New Roman"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pPr>
        <w:rPr>
          <w:rFonts w:ascii="Times New Roman" w:eastAsia="黑体" w:hAnsi="Times New Roman" w:cs="Times New Roman"/>
          <w:sz w:val="44"/>
          <w:szCs w:val="44"/>
        </w:rPr>
        <w:sectPr>
          <w:pgSz w:w="11906" w:h="16838"/>
          <w:pgMar w:top="1440" w:right="1800" w:bottom="1440" w:left="1800" w:header="851" w:footer="992" w:gutter="0"/>
          <w:cols w:num="1" w:space="425"/>
          <w:docGrid w:type="lines" w:linePitch="312" w:charSpace="0"/>
        </w:sectPr>
      </w:pPr>
    </w:p>
    <w:p>
      <w:pPr>
        <w:keepNext/>
        <w:keepLines/>
        <w:adjustRightInd w:val="0"/>
        <w:snapToGrid w:val="0"/>
        <w:spacing w:before="260" w:after="260" w:line="400" w:lineRule="exact"/>
        <w:jc w:val="center"/>
        <w:outlineLvl w:val="1"/>
        <w:rPr>
          <w:rFonts w:ascii="黑体" w:eastAsia="黑体" w:hAnsi="华文中宋" w:cs="Times New Roman"/>
          <w:sz w:val="28"/>
          <w:szCs w:val="28"/>
        </w:rPr>
      </w:pPr>
      <w:bookmarkStart w:id="67" w:name="_Toc22209"/>
      <w:r>
        <w:rPr>
          <w:rFonts w:ascii="黑体" w:eastAsia="黑体" w:hAnsi="黑体" w:cs="Times New Roman" w:hint="eastAsia"/>
          <w:sz w:val="28"/>
          <w:szCs w:val="28"/>
        </w:rPr>
        <w:t xml:space="preserve">第一节 </w:t>
      </w:r>
      <w:r>
        <w:rPr>
          <w:rFonts w:ascii="黑体" w:eastAsia="黑体" w:hAnsi="华文中宋" w:cs="Times New Roman" w:hint="eastAsia"/>
          <w:sz w:val="28"/>
          <w:szCs w:val="28"/>
        </w:rPr>
        <w:t>政府采购合同协议书</w:t>
      </w:r>
      <w:bookmarkEnd w:id="67"/>
    </w:p>
    <w:p>
      <w:pPr>
        <w:adjustRightInd w:val="0"/>
        <w:snapToGrid w:val="0"/>
        <w:spacing w:line="400" w:lineRule="exact"/>
        <w:rPr>
          <w:rFonts w:ascii="宋体" w:hAnsi="宋体" w:cs="Times New Roman"/>
          <w:szCs w:val="21"/>
        </w:rPr>
      </w:pPr>
      <w:r>
        <w:rPr>
          <w:rFonts w:ascii="宋体" w:eastAsia="宋体" w:hAnsi="宋体" w:cs="Times New Roman" w:hint="eastAsia"/>
          <w:szCs w:val="21"/>
        </w:rPr>
        <w:t>甲方（全称）：</w:t>
      </w:r>
      <w:r>
        <w:rPr>
          <w:rFonts w:ascii="宋体" w:eastAsia="宋体" w:hAnsi="宋体" w:cs="Times New Roman" w:hint="eastAsia"/>
          <w:szCs w:val="21"/>
          <w:u w:val="single"/>
        </w:rPr>
        <w:t xml:space="preserve">                        </w:t>
      </w:r>
      <w:r>
        <w:rPr>
          <w:rFonts w:ascii="宋体" w:eastAsia="宋体" w:hAnsi="宋体" w:cs="Times New Roman" w:hint="eastAsia"/>
          <w:szCs w:val="21"/>
        </w:rPr>
        <w:t>（采购人、受采购人委托签订合同的单位或采购</w:t>
        <w:tab/>
        <w:t xml:space="preserve">                                   文件约定的合同甲方）</w:t>
      </w:r>
    </w:p>
    <w:p>
      <w:pPr>
        <w:adjustRightInd w:val="0"/>
        <w:snapToGrid w:val="0"/>
        <w:spacing w:line="400" w:lineRule="exact"/>
        <w:rPr>
          <w:rFonts w:ascii="宋体" w:hAnsi="宋体" w:cs="Times New Roman"/>
          <w:szCs w:val="21"/>
        </w:rPr>
      </w:pPr>
      <w:r>
        <w:rPr>
          <w:rFonts w:ascii="宋体" w:eastAsia="宋体" w:hAnsi="宋体" w:cs="Times New Roman" w:hint="eastAsia"/>
          <w:szCs w:val="21"/>
        </w:rPr>
        <w:t>乙方1（全称）：</w:t>
      </w:r>
      <w:r>
        <w:rPr>
          <w:rFonts w:ascii="宋体" w:eastAsia="宋体" w:hAnsi="宋体" w:cs="Times New Roman" w:hint="eastAsia"/>
          <w:szCs w:val="21"/>
          <w:u w:val="single"/>
        </w:rPr>
        <w:t xml:space="preserve">                       </w:t>
      </w:r>
      <w:r>
        <w:rPr>
          <w:rFonts w:ascii="宋体" w:eastAsia="宋体" w:hAnsi="宋体" w:cs="Times New Roman" w:hint="eastAsia"/>
          <w:szCs w:val="21"/>
        </w:rPr>
        <w:t>（供应商）</w:t>
      </w:r>
    </w:p>
    <w:p>
      <w:pPr>
        <w:adjustRightInd w:val="0"/>
        <w:snapToGrid w:val="0"/>
        <w:spacing w:line="400" w:lineRule="exact"/>
        <w:rPr>
          <w:rFonts w:ascii="宋体" w:hAnsi="宋体" w:cs="Times New Roman"/>
          <w:szCs w:val="21"/>
        </w:rPr>
      </w:pPr>
      <w:r>
        <w:rPr>
          <w:rFonts w:ascii="宋体" w:eastAsia="宋体" w:hAnsi="宋体" w:cs="Times New Roman" w:hint="eastAsia"/>
          <w:szCs w:val="21"/>
        </w:rPr>
        <w:t>乙方2（全称）：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pPr>
        <w:adjustRightInd w:val="0"/>
        <w:snapToGrid w:val="0"/>
        <w:spacing w:line="400" w:lineRule="exact"/>
        <w:rPr>
          <w:rFonts w:ascii="宋体" w:hAnsi="宋体" w:cs="Times New Roman"/>
          <w:szCs w:val="21"/>
        </w:rPr>
      </w:pPr>
      <w:r>
        <w:rPr>
          <w:rFonts w:ascii="Times New Roman" w:eastAsia="宋体" w:hAnsi="Times New Roman" w:cs="Times New Roman" w:hint="eastAsia"/>
          <w:szCs w:val="20"/>
        </w:rPr>
        <w:t>乙方</w:t>
      </w:r>
      <w:r>
        <w:rPr>
          <w:rFonts w:ascii="宋体" w:eastAsia="宋体" w:hAnsi="宋体" w:cs="Times New Roman" w:hint="eastAsia"/>
          <w:szCs w:val="21"/>
        </w:rPr>
        <w:t>3</w:t>
      </w:r>
      <w:r>
        <w:rPr>
          <w:rFonts w:ascii="Times New Roman" w:eastAsia="宋体" w:hAnsi="Times New Roman" w:cs="Times New Roman" w:hint="eastAsia"/>
          <w:szCs w:val="20"/>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pPr>
        <w:spacing w:line="400" w:lineRule="exact"/>
        <w:rPr>
          <w:rFonts w:ascii="Times New Roman" w:hAnsi="Times New Roman" w:cs="Times New Roman"/>
          <w:szCs w:val="20"/>
        </w:rPr>
      </w:pPr>
    </w:p>
    <w:p>
      <w:pPr>
        <w:adjustRightInd w:val="0"/>
        <w:snapToGrid w:val="0"/>
        <w:spacing w:line="400" w:lineRule="exact"/>
        <w:ind w:firstLine="420" w:firstLineChars="200"/>
        <w:rPr>
          <w:rFonts w:ascii="宋体" w:hAnsi="宋体" w:cs="Times New Roman"/>
          <w:szCs w:val="21"/>
        </w:rPr>
      </w:pPr>
      <w:r>
        <w:rPr>
          <w:rFonts w:ascii="宋体" w:eastAsia="宋体" w:hAnsi="宋体" w:cs="Times New Roman"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left="0" w:firstLine="420" w:firstLineChars="200"/>
        <w:rPr>
          <w:rFonts w:ascii="宋体" w:hAnsi="宋体" w:cs="Times New Roman"/>
          <w:b/>
          <w:szCs w:val="21"/>
        </w:rPr>
      </w:pPr>
      <w:r>
        <w:rPr>
          <w:rFonts w:ascii="宋体" w:eastAsia="宋体" w:hAnsi="宋体" w:cs="Times New Roman" w:hint="eastAsia"/>
          <w:b/>
          <w:szCs w:val="21"/>
        </w:rPr>
        <w:t>项目信息</w:t>
      </w:r>
    </w:p>
    <w:p>
      <w:pPr>
        <w:numPr>
          <w:ilvl w:val="0"/>
          <w:numId w:val="6"/>
        </w:numPr>
        <w:adjustRightInd w:val="0"/>
        <w:snapToGrid w:val="0"/>
        <w:spacing w:line="400" w:lineRule="exact"/>
        <w:ind w:left="0" w:firstLine="420" w:firstLineChars="200"/>
        <w:rPr>
          <w:rFonts w:ascii="宋体" w:hAnsi="宋体" w:cs="Times New Roman"/>
          <w:szCs w:val="21"/>
          <w:u w:val="single"/>
        </w:rPr>
      </w:pPr>
      <w:r>
        <w:rPr>
          <w:rFonts w:ascii="宋体" w:eastAsia="宋体" w:hAnsi="宋体" w:cs="Times New Roman" w:hint="eastAsia"/>
          <w:szCs w:val="21"/>
        </w:rPr>
        <w:t>采购项目名称：</w:t>
      </w:r>
      <w:r>
        <w:rPr>
          <w:rFonts w:ascii="宋体" w:eastAsia="宋体" w:hAnsi="宋体" w:cs="Times New Roman"/>
          <w:szCs w:val="21"/>
          <w:u w:val="single"/>
        </w:rPr>
        <w:t xml:space="preserve">                                          </w:t>
      </w:r>
    </w:p>
    <w:p>
      <w:pPr>
        <w:tabs>
          <w:tab w:val="left" w:pos="999"/>
        </w:tabs>
        <w:adjustRightInd w:val="0"/>
        <w:snapToGrid w:val="0"/>
        <w:spacing w:line="400" w:lineRule="exact"/>
        <w:rPr>
          <w:rFonts w:ascii="宋体" w:hAnsi="宋体" w:cs="Times New Roman"/>
          <w:szCs w:val="21"/>
        </w:rPr>
      </w:pPr>
      <w:r>
        <w:rPr>
          <w:rFonts w:ascii="宋体" w:eastAsia="宋体" w:hAnsi="宋体" w:cs="Times New Roman" w:hint="eastAsia"/>
          <w:szCs w:val="21"/>
        </w:rPr>
        <w:t xml:space="preserve">         采购项目编号：</w:t>
      </w:r>
      <w:r>
        <w:rPr>
          <w:rFonts w:ascii="宋体" w:eastAsia="宋体" w:hAnsi="宋体" w:cs="Times New Roman"/>
          <w:szCs w:val="21"/>
          <w:u w:val="single"/>
        </w:rPr>
        <w:t xml:space="preserve">                                          </w:t>
      </w:r>
    </w:p>
    <w:p>
      <w:pPr>
        <w:adjustRightInd w:val="0"/>
        <w:snapToGrid w:val="0"/>
        <w:spacing w:line="400" w:lineRule="exact"/>
        <w:ind w:firstLine="420" w:firstLineChars="200"/>
        <w:rPr>
          <w:rFonts w:ascii="宋体" w:hAnsi="宋体" w:cs="Times New Roman"/>
          <w:szCs w:val="21"/>
        </w:rPr>
      </w:pPr>
      <w:r>
        <w:rPr>
          <w:rFonts w:ascii="宋体" w:eastAsia="宋体" w:hAnsi="宋体" w:cs="Times New Roman" w:hint="eastAsia"/>
          <w:szCs w:val="21"/>
        </w:rPr>
        <w:t>（2）采购计划编号：</w:t>
      </w:r>
      <w:r>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szCs w:val="21"/>
        </w:rPr>
        <w:t xml:space="preserve"> </w:t>
      </w:r>
    </w:p>
    <w:p>
      <w:pPr>
        <w:adjustRightInd w:val="0"/>
        <w:snapToGrid w:val="0"/>
        <w:spacing w:line="400" w:lineRule="exact"/>
        <w:ind w:firstLine="420" w:firstLineChars="200"/>
        <w:rPr>
          <w:rFonts w:ascii="宋体" w:hAnsi="宋体" w:cs="Times New Roman"/>
          <w:szCs w:val="21"/>
        </w:rPr>
      </w:pPr>
      <w:r>
        <w:rPr>
          <w:rFonts w:ascii="宋体" w:eastAsia="宋体" w:hAnsi="宋体" w:cs="Times New Roman" w:hint="eastAsia"/>
          <w:szCs w:val="21"/>
        </w:rPr>
        <w:t>（3）项目内容：</w:t>
      </w:r>
    </w:p>
    <w:p>
      <w:pPr>
        <w:adjustRightInd w:val="0"/>
        <w:snapToGrid w:val="0"/>
        <w:spacing w:line="400" w:lineRule="exact"/>
        <w:ind w:firstLine="420" w:firstLineChars="200"/>
        <w:rPr>
          <w:rFonts w:ascii="宋体" w:hAnsi="宋体" w:cs="Times New Roman"/>
          <w:szCs w:val="21"/>
        </w:rPr>
      </w:pPr>
      <w:r>
        <w:rPr>
          <w:rFonts w:ascii="宋体" w:eastAsia="宋体" w:hAnsi="宋体" w:cs="Times New Roman" w:hint="eastAsia"/>
          <w:szCs w:val="21"/>
        </w:rPr>
        <w:t xml:space="preserve">     采购标的及数量（台/套</w:t>
      </w:r>
      <w:r>
        <w:rPr>
          <w:rFonts w:ascii="宋体" w:eastAsia="宋体" w:hAnsi="宋体" w:cs="Times New Roman"/>
          <w:szCs w:val="21"/>
        </w:rPr>
        <w:t>/</w:t>
      </w:r>
      <w:r>
        <w:rPr>
          <w:rFonts w:ascii="宋体" w:eastAsia="宋体" w:hAnsi="宋体" w:cs="Times New Roman" w:hint="eastAsia"/>
          <w:szCs w:val="21"/>
        </w:rPr>
        <w:t>个</w:t>
      </w:r>
      <w:r>
        <w:rPr>
          <w:rFonts w:ascii="宋体" w:eastAsia="宋体" w:hAnsi="宋体" w:cs="Times New Roman"/>
          <w:szCs w:val="21"/>
        </w:rPr>
        <w:t>/</w:t>
      </w:r>
      <w:r>
        <w:rPr>
          <w:rFonts w:ascii="宋体" w:eastAsia="宋体" w:hAnsi="宋体" w:cs="Times New Roman" w:hint="eastAsia"/>
          <w:szCs w:val="21"/>
        </w:rPr>
        <w:t>架</w:t>
      </w:r>
      <w:r>
        <w:rPr>
          <w:rFonts w:ascii="宋体" w:eastAsia="宋体" w:hAnsi="宋体" w:cs="Times New Roman"/>
          <w:szCs w:val="21"/>
        </w:rPr>
        <w:t>/</w:t>
      </w:r>
      <w:r>
        <w:rPr>
          <w:rFonts w:ascii="宋体" w:eastAsia="宋体" w:hAnsi="宋体" w:cs="Times New Roman" w:hint="eastAsia"/>
          <w:szCs w:val="21"/>
        </w:rPr>
        <w:t>组等）：</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p>
    <w:p>
      <w:pPr>
        <w:adjustRightInd w:val="0"/>
        <w:snapToGrid w:val="0"/>
        <w:spacing w:line="400" w:lineRule="exact"/>
        <w:ind w:left="0" w:firstLine="420" w:firstLineChars="200"/>
        <w:rPr>
          <w:rFonts w:ascii="宋体" w:hAnsi="宋体" w:cs="宋体"/>
          <w:szCs w:val="21"/>
        </w:rPr>
      </w:pPr>
      <w:r>
        <w:rPr>
          <w:rFonts w:ascii="宋体" w:eastAsia="宋体" w:hAnsi="宋体" w:cs="Times New Roman" w:hint="eastAsia"/>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rPr>
        <w:t xml:space="preserve">     </w:t>
      </w:r>
      <w:r>
        <w:rPr>
          <w:rFonts w:ascii="宋体" w:eastAsia="宋体" w:hAnsi="宋体" w:cs="宋体" w:hint="eastAsia"/>
          <w:szCs w:val="21"/>
        </w:rPr>
        <w:t>规格型号：</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adjustRightInd w:val="0"/>
        <w:snapToGrid w:val="0"/>
        <w:spacing w:line="400" w:lineRule="exact"/>
        <w:ind w:firstLine="945" w:firstLineChars="450"/>
        <w:rPr>
          <w:rFonts w:ascii="宋体" w:hAnsi="宋体" w:cs="Times New Roman"/>
          <w:szCs w:val="21"/>
          <w:u w:val="single"/>
        </w:rPr>
      </w:pPr>
      <w:r>
        <w:rPr>
          <w:rFonts w:ascii="宋体" w:eastAsia="宋体" w:hAnsi="宋体" w:cs="Times New Roman" w:hint="eastAsia"/>
          <w:szCs w:val="21"/>
        </w:rPr>
        <w:t>采购标的的技术要求、商务要求具体见附件。</w:t>
      </w:r>
    </w:p>
    <w:p>
      <w:pPr>
        <w:adjustRightInd w:val="0"/>
        <w:snapToGrid w:val="0"/>
        <w:spacing w:line="400" w:lineRule="exact"/>
        <w:ind w:left="0"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eastAsia="宋体" w:hAnsi="宋体" w:cs="宋体" w:hint="eastAsia"/>
          <w:szCs w:val="21"/>
        </w:rPr>
        <w:t>涉及信息类产品，请填写该产品关键部件的品牌、型号：</w:t>
      </w:r>
    </w:p>
    <w:p>
      <w:pPr>
        <w:adjustRightInd w:val="0"/>
        <w:snapToGrid w:val="0"/>
        <w:spacing w:line="400" w:lineRule="exact"/>
        <w:ind w:left="0" w:firstLine="420" w:firstLineChars="200"/>
        <w:rPr>
          <w:rFonts w:ascii="宋体" w:hAnsi="宋体" w:cs="宋体"/>
          <w:kern w:val="0"/>
          <w:szCs w:val="21"/>
          <w:u w:val="single"/>
        </w:rPr>
      </w:pPr>
      <w:r>
        <w:rPr>
          <w:rFonts w:ascii="宋体" w:eastAsia="宋体" w:hAnsi="宋体" w:cs="宋体" w:hint="eastAsia"/>
          <w:szCs w:val="21"/>
        </w:rPr>
        <w:t xml:space="preserve">     标的名称：</w:t>
      </w:r>
      <w:r>
        <w:rPr>
          <w:rFonts w:ascii="宋体" w:eastAsia="宋体" w:hAnsi="宋体" w:cs="宋体" w:hint="eastAsia"/>
          <w:kern w:val="0"/>
          <w:szCs w:val="21"/>
          <w:u w:val="single"/>
        </w:rPr>
        <w:t xml:space="preserve">      </w:t>
      </w:r>
      <w:r>
        <w:rPr>
          <w:rFonts w:ascii="宋体" w:eastAsia="宋体" w:hAnsi="宋体" w:cs="宋体"/>
          <w:kern w:val="0"/>
          <w:szCs w:val="21"/>
          <w:u w:val="single"/>
        </w:rPr>
        <w:t xml:space="preserve">               </w:t>
      </w:r>
      <w:r>
        <w:rPr>
          <w:rFonts w:ascii="宋体" w:eastAsia="宋体" w:hAnsi="宋体" w:cs="宋体" w:hint="eastAsia"/>
          <w:kern w:val="0"/>
          <w:szCs w:val="21"/>
          <w:u w:val="single"/>
        </w:rPr>
        <w:t xml:space="preserve">    </w:t>
      </w:r>
    </w:p>
    <w:p>
      <w:pPr>
        <w:adjustRightInd w:val="0"/>
        <w:snapToGrid w:val="0"/>
        <w:spacing w:line="400" w:lineRule="exact"/>
        <w:ind w:left="0" w:firstLine="420" w:firstLineChars="200"/>
        <w:rPr>
          <w:rFonts w:ascii="宋体" w:hAnsi="宋体" w:cs="宋体"/>
          <w:szCs w:val="21"/>
        </w:rPr>
      </w:pPr>
      <w:r>
        <w:rPr>
          <w:rFonts w:ascii="宋体" w:eastAsia="宋体" w:hAnsi="宋体" w:cs="宋体" w:hint="eastAsia"/>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hint="eastAsia"/>
          <w:szCs w:val="21"/>
        </w:rPr>
        <w:t xml:space="preserve"> 型号：</w:t>
      </w:r>
      <w:r>
        <w:rPr>
          <w:rFonts w:ascii="宋体" w:eastAsia="宋体" w:hAnsi="宋体" w:cs="宋体" w:hint="eastAsia"/>
          <w:szCs w:val="21"/>
          <w:u w:val="single"/>
        </w:rPr>
        <w:t xml:space="preserve">       </w:t>
      </w:r>
      <w:r>
        <w:rPr>
          <w:rFonts w:ascii="宋体" w:eastAsia="宋体" w:hAnsi="宋体" w:cs="宋体" w:hint="eastAsia"/>
          <w:szCs w:val="21"/>
        </w:rPr>
        <w:t xml:space="preserve"> </w:t>
      </w:r>
    </w:p>
    <w:p>
      <w:pPr>
        <w:widowControl/>
        <w:autoSpaceDE w:val="0"/>
        <w:autoSpaceDN w:val="0"/>
        <w:adjustRightInd w:val="0"/>
        <w:spacing w:line="400" w:lineRule="exact"/>
        <w:ind w:firstLine="420" w:firstLineChars="200"/>
        <w:jc w:val="left"/>
        <w:rPr>
          <w:rFonts w:ascii="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szCs w:val="21"/>
        </w:rPr>
        <w:t>关键部件</w:t>
      </w:r>
      <w:r>
        <w:rPr>
          <w:rFonts w:ascii="宋体" w:eastAsia="宋体" w:hAnsi="宋体" w:cs="宋体" w:hint="eastAsia"/>
          <w:kern w:val="0"/>
          <w:szCs w:val="21"/>
        </w:rPr>
        <w:t>：</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pPr>
        <w:widowControl/>
        <w:autoSpaceDE w:val="0"/>
        <w:autoSpaceDN w:val="0"/>
        <w:adjustRightInd w:val="0"/>
        <w:spacing w:line="400" w:lineRule="exact"/>
        <w:ind w:firstLine="420" w:firstLineChars="200"/>
        <w:jc w:val="left"/>
        <w:rPr>
          <w:rFonts w:ascii="宋体" w:hAnsi="宋体" w:cs="宋体"/>
          <w:kern w:val="0"/>
          <w:szCs w:val="21"/>
        </w:rPr>
      </w:pPr>
      <w:r>
        <w:rPr>
          <w:rFonts w:ascii="宋体" w:eastAsia="宋体" w:hAnsi="宋体" w:cs="宋体" w:hint="eastAsia"/>
          <w:kern w:val="0"/>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p>
    <w:p>
      <w:pPr>
        <w:widowControl/>
        <w:autoSpaceDE w:val="0"/>
        <w:autoSpaceDN w:val="0"/>
        <w:adjustRightInd w:val="0"/>
        <w:snapToGrid w:val="0"/>
        <w:spacing w:line="400" w:lineRule="exact"/>
        <w:jc w:val="left"/>
        <w:rPr>
          <w:rFonts w:ascii="宋体" w:hAnsi="宋体" w:cs="宋体"/>
          <w:kern w:val="0"/>
          <w:szCs w:val="21"/>
        </w:rPr>
      </w:pPr>
      <w:r>
        <w:rPr>
          <w:rFonts w:ascii="宋体" w:eastAsia="宋体" w:hAnsi="宋体" w:cs="宋体" w:hint="eastAsia"/>
          <w:kern w:val="0"/>
          <w:szCs w:val="21"/>
        </w:rPr>
        <w:t xml:space="preserve">   （注：关键部件是指财政部会同有关部门发布的政府采购需求标准规定的需要通过国家有关部门指定的测评机构开展的安全可靠测评的软硬件，如CPU芯片、操作系统、数据库等。）</w:t>
      </w:r>
    </w:p>
    <w:p>
      <w:pPr>
        <w:widowControl/>
        <w:autoSpaceDE w:val="0"/>
        <w:autoSpaceDN w:val="0"/>
        <w:adjustRightInd w:val="0"/>
        <w:snapToGrid w:val="0"/>
        <w:spacing w:line="400" w:lineRule="exact"/>
        <w:jc w:val="left"/>
        <w:rPr>
          <w:rFonts w:ascii="宋体" w:hAnsi="宋体" w:cs="宋体"/>
          <w:kern w:val="0"/>
          <w:szCs w:val="21"/>
        </w:rPr>
      </w:pPr>
      <w:r>
        <w:rPr>
          <w:rFonts w:ascii="宋体" w:eastAsia="宋体" w:hAnsi="宋体" w:cs="宋体" w:hint="eastAsia"/>
          <w:kern w:val="0"/>
          <w:szCs w:val="21"/>
        </w:rPr>
        <w:t xml:space="preserve">         </w:t>
      </w:r>
      <w:r>
        <w:rPr>
          <w:rFonts w:ascii="汉仪书宋二S" w:eastAsia="汉仪书宋二S" w:hAnsi="汉仪书宋二S" w:cs="汉仪书宋二S" w:hint="eastAsia"/>
          <w:kern w:val="0"/>
          <w:szCs w:val="21"/>
        </w:rPr>
        <w:t>②</w:t>
      </w:r>
      <w:r>
        <w:rPr>
          <w:rFonts w:ascii="宋体" w:eastAsia="宋体" w:hAnsi="宋体" w:cs="宋体" w:hint="eastAsia"/>
          <w:kern w:val="0"/>
          <w:szCs w:val="21"/>
        </w:rPr>
        <w:t>涉及车辆采购，请填写是否属于新能源汽车：</w:t>
      </w:r>
    </w:p>
    <w:p>
      <w:pPr>
        <w:widowControl/>
        <w:autoSpaceDE w:val="0"/>
        <w:autoSpaceDN w:val="0"/>
        <w:adjustRightInd w:val="0"/>
        <w:snapToGrid w:val="0"/>
        <w:spacing w:line="400" w:lineRule="exact"/>
        <w:jc w:val="left"/>
        <w:rPr>
          <w:rFonts w:ascii="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是，《政府采购品目分类目录》底级品目名称：</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数量：</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金额：</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pPr>
        <w:widowControl/>
        <w:autoSpaceDE w:val="0"/>
        <w:autoSpaceDN w:val="0"/>
        <w:adjustRightInd w:val="0"/>
        <w:snapToGrid w:val="0"/>
        <w:spacing w:line="400" w:lineRule="exact"/>
        <w:jc w:val="left"/>
        <w:rPr>
          <w:rFonts w:ascii="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否</w:t>
      </w:r>
    </w:p>
    <w:p>
      <w:pPr>
        <w:widowControl/>
        <w:autoSpaceDE w:val="0"/>
        <w:autoSpaceDN w:val="0"/>
        <w:adjustRightInd w:val="0"/>
        <w:snapToGrid w:val="0"/>
        <w:spacing w:line="400" w:lineRule="exact"/>
        <w:jc w:val="left"/>
        <w:rPr>
          <w:rFonts w:ascii="宋体" w:hAnsi="宋体" w:cs="宋体"/>
          <w:kern w:val="0"/>
          <w:szCs w:val="21"/>
        </w:rPr>
      </w:pPr>
      <w:r>
        <w:rPr>
          <w:rFonts w:ascii="宋体" w:eastAsia="宋体" w:hAnsi="宋体" w:cs="宋体" w:hint="eastAsia"/>
          <w:kern w:val="0"/>
          <w:szCs w:val="21"/>
        </w:rPr>
        <w:t xml:space="preserve">    （</w:t>
      </w:r>
      <w:r>
        <w:rPr>
          <w:rFonts w:ascii="宋体" w:eastAsia="宋体" w:hAnsi="宋体" w:cs="宋体"/>
          <w:kern w:val="0"/>
          <w:szCs w:val="21"/>
        </w:rPr>
        <w:t>4</w:t>
      </w:r>
      <w:r>
        <w:rPr>
          <w:rFonts w:ascii="宋体" w:eastAsia="宋体" w:hAnsi="宋体" w:cs="宋体" w:hint="eastAsia"/>
          <w:kern w:val="0"/>
          <w:szCs w:val="21"/>
        </w:rPr>
        <w:t>）政府采购组织形式：</w:t>
      </w:r>
      <w:r>
        <w:rPr>
          <w:rFonts w:ascii="Wingdings" w:eastAsia="宋体" w:hAnsi="Wingdings" w:cs="宋体"/>
          <w:kern w:val="0"/>
          <w:szCs w:val="21"/>
        </w:rPr>
        <w:sym w:font="Wingdings" w:char="F0A8"/>
      </w:r>
      <w:r>
        <w:rPr>
          <w:rFonts w:ascii="宋体" w:eastAsia="宋体" w:hAnsi="宋体" w:cs="宋体" w:hint="eastAsia"/>
          <w:kern w:val="0"/>
          <w:szCs w:val="21"/>
        </w:rPr>
        <w:t xml:space="preserve">政府集中采购  </w:t>
      </w:r>
      <w:r>
        <w:rPr>
          <w:rFonts w:ascii="Wingdings" w:eastAsia="宋体" w:hAnsi="Wingdings" w:cs="宋体"/>
          <w:kern w:val="0"/>
          <w:szCs w:val="21"/>
        </w:rPr>
        <w:sym w:font="Wingdings" w:char="F0A8"/>
      </w:r>
      <w:r>
        <w:rPr>
          <w:rFonts w:ascii="宋体" w:eastAsia="宋体" w:hAnsi="宋体" w:cs="宋体" w:hint="eastAsia"/>
          <w:kern w:val="0"/>
          <w:szCs w:val="21"/>
        </w:rPr>
        <w:t xml:space="preserve">部门集中采购  </w:t>
      </w:r>
      <w:r>
        <w:rPr>
          <w:rFonts w:ascii="Wingdings" w:eastAsia="宋体" w:hAnsi="Wingdings" w:cs="宋体"/>
          <w:kern w:val="0"/>
          <w:szCs w:val="21"/>
        </w:rPr>
        <w:sym w:font="Wingdings" w:char="F0A8"/>
      </w:r>
      <w:r>
        <w:rPr>
          <w:rFonts w:ascii="宋体" w:eastAsia="宋体" w:hAnsi="宋体" w:cs="宋体" w:hint="eastAsia"/>
          <w:kern w:val="0"/>
          <w:szCs w:val="21"/>
        </w:rPr>
        <w:t>分散采购</w:t>
      </w:r>
    </w:p>
    <w:p>
      <w:pPr>
        <w:widowControl/>
        <w:autoSpaceDE w:val="0"/>
        <w:autoSpaceDN w:val="0"/>
        <w:adjustRightInd w:val="0"/>
        <w:snapToGrid w:val="0"/>
        <w:spacing w:line="400" w:lineRule="exact"/>
        <w:ind w:left="0" w:firstLine="420"/>
        <w:jc w:val="left"/>
        <w:rPr>
          <w:rFonts w:ascii="宋体" w:hAnsi="宋体" w:cs="宋体"/>
          <w:kern w:val="0"/>
          <w:szCs w:val="21"/>
        </w:rPr>
      </w:pPr>
      <w:r>
        <w:rPr>
          <w:rFonts w:ascii="宋体" w:eastAsia="宋体" w:hAnsi="宋体" w:cs="宋体" w:hint="eastAsia"/>
          <w:kern w:val="0"/>
          <w:szCs w:val="21"/>
        </w:rPr>
        <w:t>（</w:t>
      </w:r>
      <w:r>
        <w:rPr>
          <w:rFonts w:ascii="宋体" w:eastAsia="宋体" w:hAnsi="宋体" w:cs="宋体"/>
          <w:kern w:val="0"/>
          <w:szCs w:val="21"/>
        </w:rPr>
        <w:t>5</w:t>
      </w:r>
      <w:r>
        <w:rPr>
          <w:rFonts w:ascii="宋体" w:eastAsia="宋体" w:hAnsi="宋体" w:cs="宋体" w:hint="eastAsia"/>
          <w:kern w:val="0"/>
          <w:szCs w:val="21"/>
        </w:rPr>
        <w:t>）政府采购方式：</w:t>
      </w:r>
      <w:r>
        <w:rPr>
          <w:rFonts w:ascii="Wingdings" w:eastAsia="宋体" w:hAnsi="Wingdings" w:cs="宋体"/>
          <w:kern w:val="0"/>
          <w:szCs w:val="21"/>
        </w:rPr>
        <w:sym w:font="Wingdings" w:char="F0A8"/>
      </w:r>
      <w:r>
        <w:rPr>
          <w:rFonts w:ascii="宋体" w:eastAsia="宋体" w:hAnsi="宋体" w:cs="宋体" w:hint="eastAsia"/>
          <w:kern w:val="0"/>
          <w:szCs w:val="21"/>
        </w:rPr>
        <w:t xml:space="preserve">公开招标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邀请招标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竞争性谈判 </w:t>
      </w:r>
      <w:r>
        <w:rPr>
          <w:rFonts w:ascii="Wingdings" w:eastAsia="宋体" w:hAnsi="Wingdings" w:cs="宋体"/>
          <w:kern w:val="0"/>
          <w:szCs w:val="21"/>
        </w:rPr>
        <w:sym w:font="Wingdings" w:char="F0A8"/>
      </w:r>
      <w:r>
        <w:rPr>
          <w:rFonts w:ascii="宋体" w:eastAsia="宋体" w:hAnsi="宋体" w:cs="宋体" w:hint="eastAsia"/>
          <w:kern w:val="0"/>
          <w:szCs w:val="21"/>
        </w:rPr>
        <w:t>竞争性磋商</w:t>
      </w:r>
    </w:p>
    <w:p>
      <w:pPr>
        <w:widowControl/>
        <w:autoSpaceDE w:val="0"/>
        <w:autoSpaceDN w:val="0"/>
        <w:adjustRightInd w:val="0"/>
        <w:snapToGrid w:val="0"/>
        <w:spacing w:line="400" w:lineRule="exact"/>
        <w:ind w:left="0" w:firstLine="420"/>
        <w:jc w:val="left"/>
        <w:rPr>
          <w:rFonts w:ascii="宋体" w:hAnsi="宋体" w:cs="宋体"/>
          <w:kern w:val="0"/>
          <w:szCs w:val="21"/>
          <w:u w:val="single"/>
        </w:rPr>
      </w:pPr>
      <w:r>
        <w:rPr>
          <w:rFonts w:ascii="宋体" w:eastAsia="华文楷体" w:hAnsi="宋体" w:cs="宋体" w:hint="eastAsia"/>
          <w:kern w:val="0"/>
          <w:sz w:val="22"/>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 xml:space="preserve">询价 </w:t>
      </w:r>
      <w:r>
        <w:rPr>
          <w:rFonts w:ascii="Wingdings" w:eastAsia="宋体" w:hAnsi="Wingdings" w:cs="宋体"/>
          <w:kern w:val="0"/>
          <w:szCs w:val="21"/>
        </w:rPr>
        <w:sym w:font="Wingdings" w:char="F0A8"/>
      </w:r>
      <w:r>
        <w:rPr>
          <w:rFonts w:ascii="宋体" w:eastAsia="宋体" w:hAnsi="宋体" w:cs="宋体" w:hint="eastAsia"/>
          <w:kern w:val="0"/>
          <w:szCs w:val="21"/>
        </w:rPr>
        <w:t xml:space="preserve">单一来源 </w:t>
      </w:r>
      <w:r>
        <w:rPr>
          <w:rFonts w:ascii="Wingdings" w:eastAsia="宋体" w:hAnsi="Wingdings" w:cs="宋体"/>
          <w:kern w:val="0"/>
          <w:szCs w:val="21"/>
        </w:rPr>
        <w:sym w:font="Wingdings" w:char="F0A8"/>
      </w:r>
      <w:r>
        <w:rPr>
          <w:rFonts w:ascii="宋体" w:eastAsia="宋体" w:hAnsi="宋体" w:cs="宋体" w:hint="eastAsia"/>
          <w:kern w:val="0"/>
          <w:szCs w:val="21"/>
        </w:rPr>
        <w:t xml:space="preserve">框架协议 </w:t>
      </w:r>
      <w:r>
        <w:rPr>
          <w:rFonts w:ascii="Wingdings" w:eastAsia="宋体" w:hAnsi="Wingdings" w:cs="宋体"/>
          <w:kern w:val="0"/>
          <w:szCs w:val="21"/>
        </w:rPr>
        <w:sym w:font="Wingdings" w:char="F0A8"/>
      </w:r>
      <w:r>
        <w:rPr>
          <w:rFonts w:ascii="宋体" w:eastAsia="宋体" w:hAnsi="宋体" w:cs="宋体" w:hint="eastAsia"/>
          <w:kern w:val="0"/>
          <w:szCs w:val="21"/>
        </w:rPr>
        <w:t>其他：</w:t>
      </w:r>
      <w:r>
        <w:rPr>
          <w:rFonts w:ascii="宋体" w:eastAsia="宋体" w:hAnsi="宋体" w:cs="宋体" w:hint="eastAsia"/>
          <w:kern w:val="0"/>
          <w:szCs w:val="21"/>
          <w:u w:val="single"/>
        </w:rPr>
        <w:t xml:space="preserve">          </w:t>
      </w:r>
    </w:p>
    <w:p>
      <w:pPr>
        <w:widowControl/>
        <w:autoSpaceDE w:val="0"/>
        <w:autoSpaceDN w:val="0"/>
        <w:adjustRightInd w:val="0"/>
        <w:snapToGrid w:val="0"/>
        <w:spacing w:line="400" w:lineRule="exact"/>
        <w:ind w:left="0" w:firstLine="420"/>
        <w:jc w:val="left"/>
        <w:rPr>
          <w:rFonts w:ascii="宋体" w:hAnsi="宋体" w:cs="宋体"/>
          <w:kern w:val="0"/>
          <w:szCs w:val="21"/>
        </w:rPr>
      </w:pPr>
      <w:r>
        <w:rPr>
          <w:rFonts w:ascii="宋体" w:eastAsia="宋体" w:hAnsi="宋体" w:cs="宋体" w:hint="eastAsia"/>
          <w:kern w:val="0"/>
          <w:szCs w:val="21"/>
        </w:rPr>
        <w:t>（注：在框架协议采购的第二阶段，可选择使用该合同文本）</w:t>
      </w:r>
    </w:p>
    <w:p>
      <w:pPr>
        <w:widowControl/>
        <w:autoSpaceDE w:val="0"/>
        <w:autoSpaceDN w:val="0"/>
        <w:adjustRightInd w:val="0"/>
        <w:snapToGrid w:val="0"/>
        <w:spacing w:line="400" w:lineRule="exact"/>
        <w:ind w:left="0" w:firstLine="220" w:firstLineChars="100"/>
        <w:jc w:val="left"/>
        <w:rPr>
          <w:rFonts w:ascii="宋体" w:hAnsi="宋体" w:cs="Times New Roman"/>
          <w:szCs w:val="21"/>
        </w:rPr>
      </w:pPr>
      <w:r>
        <w:rPr>
          <w:rFonts w:ascii="宋体" w:eastAsia="华文楷体" w:hAnsi="宋体" w:cs="华文楷体" w:hint="eastAsia"/>
          <w:kern w:val="0"/>
          <w:sz w:val="22"/>
          <w:szCs w:val="21"/>
        </w:rPr>
        <w:t xml:space="preserve"> （</w:t>
      </w:r>
      <w:r>
        <w:rPr>
          <w:rFonts w:ascii="宋体" w:eastAsia="华文楷体" w:hAnsi="宋体" w:cs="华文楷体"/>
          <w:kern w:val="0"/>
          <w:sz w:val="22"/>
          <w:szCs w:val="21"/>
        </w:rPr>
        <w:t>6</w:t>
      </w:r>
      <w:r>
        <w:rPr>
          <w:rFonts w:ascii="宋体" w:eastAsia="华文楷体" w:hAnsi="宋体" w:cs="华文楷体" w:hint="eastAsia"/>
          <w:kern w:val="0"/>
          <w:sz w:val="22"/>
          <w:szCs w:val="21"/>
        </w:rPr>
        <w:t>）</w:t>
      </w:r>
      <w:r>
        <w:rPr>
          <w:rFonts w:ascii="宋体" w:eastAsia="宋体" w:hAnsi="宋体" w:cs="Times New Roman" w:hint="eastAsia"/>
          <w:szCs w:val="21"/>
        </w:rPr>
        <w:t>中标（成交）采购标的制造商是否为中小企业：</w:t>
      </w: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否</w:t>
      </w:r>
    </w:p>
    <w:p>
      <w:pPr>
        <w:adjustRightInd w:val="0"/>
        <w:snapToGrid w:val="0"/>
        <w:spacing w:line="400" w:lineRule="exact"/>
        <w:rPr>
          <w:rFonts w:ascii="宋体" w:hAnsi="宋体" w:cs="Times New Roman"/>
          <w:iCs/>
          <w:szCs w:val="21"/>
        </w:rPr>
      </w:pPr>
      <w:r>
        <w:rPr>
          <w:rFonts w:ascii="宋体" w:eastAsia="宋体" w:hAnsi="宋体" w:cs="Times New Roman" w:hint="eastAsia"/>
          <w:szCs w:val="21"/>
        </w:rPr>
        <w:t xml:space="preserve">         本合同是否为专门面向中小企业的采购合同（中小企业预留合同）：</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pPr>
        <w:adjustRightInd w:val="0"/>
        <w:snapToGrid w:val="0"/>
        <w:spacing w:line="400" w:lineRule="exact"/>
        <w:rPr>
          <w:rFonts w:ascii="宋体" w:hAnsi="宋体" w:cs="Times New Roman"/>
          <w:iCs/>
          <w:szCs w:val="21"/>
        </w:rPr>
      </w:pPr>
      <w:r>
        <w:rPr>
          <w:rFonts w:ascii="Times New Roman" w:eastAsia="宋体" w:hAnsi="Times New Roman" w:cs="Times New Roman" w:hint="eastAsia"/>
          <w:szCs w:val="20"/>
        </w:rPr>
        <w:t xml:space="preserve">         若本项目不专门面向中小企业采购，是否给予小微企业评审优惠：</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pPr>
        <w:adjustRightInd w:val="0"/>
        <w:snapToGrid w:val="0"/>
        <w:spacing w:line="400" w:lineRule="exact"/>
        <w:rPr>
          <w:rFonts w:ascii="宋体" w:hAnsi="宋体" w:cs="Times New Roman"/>
          <w:iCs/>
          <w:szCs w:val="21"/>
        </w:rPr>
      </w:pPr>
      <w:r>
        <w:rPr>
          <w:rFonts w:ascii="Times New Roman" w:eastAsia="宋体" w:hAnsi="Times New Roman" w:cs="Times New Roman" w:hint="eastAsia"/>
          <w:szCs w:val="20"/>
        </w:rPr>
        <w:t xml:space="preserve">         中标（成交）采购标的制造商是否为残疾人福利性单位：</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pPr>
        <w:snapToGrid w:val="0"/>
        <w:spacing w:line="400" w:lineRule="exact"/>
        <w:rPr>
          <w:rFonts w:ascii="Times New Roman" w:hAnsi="Times New Roman" w:cs="Times New Roman"/>
          <w:szCs w:val="20"/>
        </w:rPr>
      </w:pPr>
      <w:r>
        <w:rPr>
          <w:rFonts w:ascii="Times New Roman" w:eastAsia="宋体" w:hAnsi="Times New Roman" w:cs="Times New Roman" w:hint="eastAsia"/>
          <w:szCs w:val="20"/>
        </w:rPr>
        <w:t xml:space="preserve">         中标（成交）采购标的制造商是否为监狱企业：</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pPr>
        <w:adjustRightInd w:val="0"/>
        <w:snapToGrid w:val="0"/>
        <w:spacing w:line="400" w:lineRule="exact"/>
        <w:ind w:firstLine="420" w:firstLineChars="200"/>
        <w:rPr>
          <w:rFonts w:ascii="宋体" w:hAnsi="宋体" w:cs="Times New Roman"/>
          <w:szCs w:val="21"/>
        </w:rPr>
      </w:pPr>
      <w:r>
        <w:rPr>
          <w:rFonts w:ascii="宋体" w:eastAsia="宋体" w:hAnsi="宋体" w:cs="Times New Roman" w:hint="eastAsia"/>
          <w:szCs w:val="21"/>
        </w:rPr>
        <w:t>（</w:t>
      </w:r>
      <w:r>
        <w:rPr>
          <w:rFonts w:ascii="宋体" w:eastAsia="宋体" w:hAnsi="宋体" w:cs="Times New Roman"/>
          <w:szCs w:val="21"/>
        </w:rPr>
        <w:t>7</w:t>
      </w:r>
      <w:r>
        <w:rPr>
          <w:rFonts w:ascii="宋体" w:eastAsia="宋体" w:hAnsi="宋体" w:cs="Times New Roman" w:hint="eastAsia"/>
          <w:szCs w:val="21"/>
        </w:rPr>
        <w:t>）合同是否分包：</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pPr>
        <w:adjustRightInd w:val="0"/>
        <w:snapToGrid w:val="0"/>
        <w:spacing w:line="400" w:lineRule="exact"/>
        <w:ind w:firstLine="840" w:firstLineChars="400"/>
        <w:rPr>
          <w:rFonts w:ascii="宋体" w:hAnsi="宋体" w:cs="Times New Roman"/>
          <w:szCs w:val="21"/>
          <w:u w:val="single"/>
        </w:rPr>
      </w:pPr>
      <w:r>
        <w:rPr>
          <w:rFonts w:ascii="宋体" w:eastAsia="宋体" w:hAnsi="宋体" w:cs="Times New Roman" w:hint="eastAsia"/>
          <w:szCs w:val="21"/>
        </w:rPr>
        <w:t xml:space="preserve"> 分包主要内容：</w:t>
      </w:r>
      <w:r>
        <w:rPr>
          <w:rFonts w:ascii="宋体" w:eastAsia="宋体" w:hAnsi="宋体" w:cs="Times New Roman" w:hint="eastAsia"/>
          <w:szCs w:val="21"/>
          <w:u w:val="single"/>
        </w:rPr>
        <w:t xml:space="preserve">                                            </w:t>
      </w:r>
    </w:p>
    <w:p>
      <w:pPr>
        <w:adjustRightInd w:val="0"/>
        <w:snapToGrid w:val="0"/>
        <w:spacing w:line="400" w:lineRule="exact"/>
        <w:ind w:firstLine="840" w:firstLineChars="400"/>
        <w:rPr>
          <w:rFonts w:ascii="宋体" w:hAnsi="宋体" w:cs="Times New Roman"/>
          <w:szCs w:val="21"/>
        </w:rPr>
      </w:pPr>
      <w:r>
        <w:rPr>
          <w:rFonts w:ascii="宋体" w:eastAsia="宋体" w:hAnsi="宋体" w:cs="Times New Roman" w:hint="eastAsia"/>
          <w:szCs w:val="21"/>
        </w:rPr>
        <w:t xml:space="preserve"> 分包供应商/制造商名称（如供应商和制造商不同，请分别填写）：</w:t>
      </w:r>
    </w:p>
    <w:p>
      <w:pPr>
        <w:adjustRightInd w:val="0"/>
        <w:snapToGrid w:val="0"/>
        <w:spacing w:line="400" w:lineRule="exact"/>
        <w:ind w:firstLine="840" w:firstLineChars="400"/>
        <w:rPr>
          <w:rFonts w:ascii="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pPr>
        <w:adjustRightInd w:val="0"/>
        <w:snapToGrid w:val="0"/>
        <w:spacing w:line="400" w:lineRule="exact"/>
        <w:ind w:firstLine="840" w:firstLineChars="400"/>
        <w:rPr>
          <w:rFonts w:ascii="宋体" w:hAnsi="宋体" w:cs="Times New Roman"/>
          <w:szCs w:val="21"/>
        </w:rPr>
      </w:pPr>
      <w:r>
        <w:rPr>
          <w:rFonts w:ascii="宋体" w:eastAsia="宋体" w:hAnsi="宋体" w:cs="Times New Roman" w:hint="eastAsia"/>
          <w:szCs w:val="21"/>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大型企业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中型企业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小微型企业  </w:t>
      </w:r>
    </w:p>
    <w:p>
      <w:pPr>
        <w:adjustRightInd w:val="0"/>
        <w:snapToGrid w:val="0"/>
        <w:spacing w:line="400" w:lineRule="exact"/>
        <w:ind w:firstLine="840" w:firstLineChars="400"/>
        <w:rPr>
          <w:rFonts w:ascii="Times New Roman" w:eastAsia="华文楷体" w:hAnsi="Times New Roman" w:cs="Times New Roman"/>
          <w:szCs w:val="20"/>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残疾人福利性单位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监狱企业 </w:t>
      </w:r>
      <w:r>
        <w:rPr>
          <w:rFonts w:ascii="Wingdings" w:eastAsia="宋体" w:hAnsi="Wingdings" w:cs="Times New Roman"/>
          <w:iCs/>
          <w:szCs w:val="21"/>
        </w:rPr>
        <w:sym w:font="Wingdings" w:char="F0A8"/>
      </w:r>
      <w:r>
        <w:rPr>
          <w:rFonts w:ascii="宋体" w:eastAsia="宋体" w:hAnsi="宋体" w:cs="Times New Roman" w:hint="eastAsia"/>
          <w:iCs/>
          <w:szCs w:val="21"/>
        </w:rPr>
        <w:t>其他</w:t>
      </w:r>
    </w:p>
    <w:p>
      <w:pPr>
        <w:adjustRightInd w:val="0"/>
        <w:snapToGrid w:val="0"/>
        <w:spacing w:line="400" w:lineRule="exact"/>
        <w:rPr>
          <w:rFonts w:ascii="宋体" w:hAnsi="宋体" w:cs="宋体"/>
          <w:iCs/>
          <w:szCs w:val="21"/>
        </w:rPr>
      </w:pPr>
      <w:r>
        <w:rPr>
          <w:rFonts w:ascii="宋体" w:eastAsia="宋体" w:hAnsi="宋体" w:cs="Times New Roman" w:hint="eastAsia"/>
          <w:szCs w:val="21"/>
        </w:rPr>
        <w:t xml:space="preserve">    </w:t>
      </w:r>
      <w:r>
        <w:rPr>
          <w:rFonts w:ascii="宋体" w:eastAsia="宋体" w:hAnsi="宋体" w:cs="宋体" w:hint="eastAsia"/>
          <w:szCs w:val="21"/>
        </w:rPr>
        <w:t>（</w:t>
      </w:r>
      <w:r>
        <w:rPr>
          <w:rFonts w:ascii="宋体" w:eastAsia="宋体" w:hAnsi="宋体" w:cs="宋体"/>
          <w:szCs w:val="21"/>
        </w:rPr>
        <w:t>8</w:t>
      </w:r>
      <w:r>
        <w:rPr>
          <w:rFonts w:ascii="宋体" w:eastAsia="宋体" w:hAnsi="宋体" w:cs="宋体" w:hint="eastAsia"/>
          <w:szCs w:val="21"/>
        </w:rPr>
        <w:t>）中标（成交）供应商是否为外商投资企业：</w:t>
      </w:r>
      <w:r>
        <w:rPr>
          <w:rFonts w:ascii="Wingdings" w:eastAsia="宋体" w:hAnsi="Wingdings" w:cs="宋体"/>
          <w:iCs/>
          <w:szCs w:val="21"/>
        </w:rPr>
        <w:sym w:font="Wingdings" w:char="F0A8"/>
      </w:r>
      <w:r>
        <w:rPr>
          <w:rFonts w:ascii="宋体" w:eastAsia="宋体" w:hAnsi="宋体" w:cs="宋体" w:hint="eastAsia"/>
          <w:iCs/>
          <w:szCs w:val="21"/>
        </w:rPr>
        <w:t xml:space="preserve">是       </w:t>
      </w:r>
      <w:r>
        <w:rPr>
          <w:rFonts w:ascii="Wingdings" w:eastAsia="宋体" w:hAnsi="Wingdings" w:cs="宋体"/>
          <w:iCs/>
          <w:szCs w:val="21"/>
        </w:rPr>
        <w:sym w:font="Wingdings" w:char="F0A8"/>
      </w:r>
      <w:r>
        <w:rPr>
          <w:rFonts w:ascii="宋体" w:eastAsia="宋体" w:hAnsi="宋体" w:cs="宋体" w:hint="eastAsia"/>
          <w:iCs/>
          <w:szCs w:val="21"/>
        </w:rPr>
        <w:t>否</w:t>
      </w:r>
    </w:p>
    <w:p>
      <w:pPr>
        <w:widowControl/>
        <w:tabs>
          <w:tab w:val="left" w:pos="1340"/>
        </w:tabs>
        <w:autoSpaceDE w:val="0"/>
        <w:autoSpaceDN w:val="0"/>
        <w:adjustRightInd w:val="0"/>
        <w:spacing w:line="400" w:lineRule="exact"/>
        <w:ind w:firstLine="420" w:firstLineChars="200"/>
        <w:jc w:val="left"/>
        <w:rPr>
          <w:rFonts w:ascii="宋体" w:hAnsi="宋体" w:cs="宋体"/>
          <w:kern w:val="0"/>
          <w:szCs w:val="21"/>
          <w:u w:val="single"/>
        </w:rPr>
      </w:pPr>
      <w:r>
        <w:rPr>
          <w:rFonts w:ascii="宋体" w:eastAsia="宋体" w:hAnsi="宋体" w:cs="宋体" w:hint="eastAsia"/>
          <w:kern w:val="0"/>
          <w:szCs w:val="21"/>
        </w:rPr>
        <w:t xml:space="preserve">     外商投资企业类型：</w:t>
      </w:r>
      <w:r>
        <w:rPr>
          <w:rFonts w:ascii="Wingdings" w:eastAsia="宋体" w:hAnsi="Wingdings" w:cs="宋体"/>
          <w:iCs/>
          <w:kern w:val="0"/>
          <w:szCs w:val="21"/>
        </w:rPr>
        <w:sym w:font="Wingdings" w:char="F0A8"/>
      </w:r>
      <w:r>
        <w:rPr>
          <w:rFonts w:ascii="宋体" w:eastAsia="宋体" w:hAnsi="宋体" w:cs="宋体" w:hint="eastAsia"/>
          <w:kern w:val="0"/>
          <w:szCs w:val="21"/>
        </w:rPr>
        <w:t xml:space="preserve">全部由外国投资者投资  </w:t>
      </w:r>
      <w:r>
        <w:rPr>
          <w:rFonts w:ascii="Wingdings" w:eastAsia="宋体" w:hAnsi="Wingdings" w:cs="宋体"/>
          <w:iCs/>
          <w:kern w:val="0"/>
          <w:szCs w:val="21"/>
        </w:rPr>
        <w:sym w:font="Wingdings" w:char="F0A8"/>
      </w:r>
      <w:r>
        <w:rPr>
          <w:rFonts w:ascii="宋体" w:eastAsia="宋体" w:hAnsi="宋体" w:cs="宋体" w:hint="eastAsia"/>
          <w:iCs/>
          <w:kern w:val="0"/>
          <w:szCs w:val="21"/>
        </w:rPr>
        <w:t>部分由外国投资者投资</w:t>
      </w:r>
    </w:p>
    <w:p>
      <w:pPr>
        <w:adjustRightInd w:val="0"/>
        <w:snapToGrid w:val="0"/>
        <w:spacing w:line="400" w:lineRule="exact"/>
        <w:ind w:left="0" w:firstLine="420" w:firstLineChars="200"/>
        <w:rPr>
          <w:rFonts w:ascii="宋体" w:hAnsi="宋体" w:cs="宋体"/>
          <w:szCs w:val="21"/>
        </w:rPr>
      </w:pPr>
      <w:r>
        <w:rPr>
          <w:rFonts w:ascii="宋体" w:eastAsia="宋体" w:hAnsi="宋体" w:cs="宋体" w:hint="eastAsia"/>
          <w:szCs w:val="21"/>
        </w:rPr>
        <w:t>（</w:t>
      </w:r>
      <w:r>
        <w:rPr>
          <w:rFonts w:ascii="宋体" w:eastAsia="宋体" w:hAnsi="宋体" w:cs="宋体"/>
          <w:szCs w:val="21"/>
        </w:rPr>
        <w:t>9</w:t>
      </w:r>
      <w:r>
        <w:rPr>
          <w:rFonts w:ascii="宋体" w:eastAsia="宋体" w:hAnsi="宋体" w:cs="宋体" w:hint="eastAsia"/>
          <w:szCs w:val="21"/>
        </w:rPr>
        <w:t>）是否涉及进口产品：</w:t>
      </w:r>
    </w:p>
    <w:p>
      <w:pPr>
        <w:adjustRightInd w:val="0"/>
        <w:snapToGrid w:val="0"/>
        <w:spacing w:line="400" w:lineRule="exact"/>
        <w:ind w:left="0" w:firstLine="840" w:firstLineChars="400"/>
        <w:rPr>
          <w:rFonts w:ascii="宋体" w:hAnsi="宋体" w:cs="宋体"/>
          <w:szCs w:val="21"/>
          <w:u w:val="single"/>
        </w:rPr>
      </w:pPr>
      <w:r>
        <w:rPr>
          <w:rFonts w:ascii="宋体" w:eastAsia="宋体" w:hAnsi="宋体" w:cs="宋体" w:hint="eastAsia"/>
          <w:szCs w:val="21"/>
        </w:rPr>
        <w:t xml:space="preserve"> </w:t>
      </w:r>
      <w:r>
        <w:rPr>
          <w:rFonts w:ascii="Wingdings" w:eastAsia="宋体" w:hAnsi="Wingdings" w:cs="宋体"/>
          <w:szCs w:val="21"/>
        </w:rPr>
        <w:sym w:font="Wingdings" w:char="F0A8"/>
      </w:r>
      <w:r>
        <w:rPr>
          <w:rFonts w:ascii="宋体" w:eastAsia="宋体" w:hAnsi="宋体" w:cs="宋体" w:hint="eastAsia"/>
          <w:szCs w:val="21"/>
        </w:rPr>
        <w:t>是，《政府采购品目分类目录》底级品目名称：</w:t>
      </w:r>
      <w:r>
        <w:rPr>
          <w:rFonts w:ascii="宋体" w:eastAsia="宋体" w:hAnsi="宋体" w:cs="宋体" w:hint="eastAsia"/>
          <w:szCs w:val="21"/>
          <w:u w:val="single"/>
        </w:rPr>
        <w:t xml:space="preserve">         </w:t>
      </w:r>
      <w:r>
        <w:rPr>
          <w:rFonts w:ascii="宋体" w:eastAsia="宋体" w:hAnsi="宋体" w:cs="宋体" w:hint="eastAsia"/>
          <w:szCs w:val="21"/>
        </w:rPr>
        <w:t xml:space="preserve"> 金额：</w:t>
      </w:r>
      <w:r>
        <w:rPr>
          <w:rFonts w:ascii="宋体" w:eastAsia="宋体" w:hAnsi="宋体" w:cs="宋体" w:hint="eastAsia"/>
          <w:szCs w:val="21"/>
          <w:u w:val="single"/>
        </w:rPr>
        <w:t xml:space="preserve">        </w:t>
      </w:r>
    </w:p>
    <w:p>
      <w:pPr>
        <w:adjustRightInd w:val="0"/>
        <w:snapToGrid w:val="0"/>
        <w:spacing w:line="400" w:lineRule="exact"/>
        <w:ind w:left="0" w:firstLine="840" w:firstLineChars="400"/>
        <w:rPr>
          <w:rFonts w:ascii="宋体" w:hAnsi="宋体" w:cs="Times New Roman"/>
          <w:szCs w:val="21"/>
        </w:rPr>
      </w:pPr>
      <w:r>
        <w:rPr>
          <w:rFonts w:ascii="宋体" w:eastAsia="宋体" w:hAnsi="宋体" w:cs="宋体" w:hint="eastAsia"/>
          <w:szCs w:val="21"/>
        </w:rPr>
        <w:t xml:space="preserve">        国别：</w:t>
      </w:r>
      <w:r>
        <w:rPr>
          <w:rFonts w:ascii="宋体" w:eastAsia="宋体" w:hAnsi="宋体" w:cs="宋体" w:hint="eastAsia"/>
          <w:szCs w:val="21"/>
          <w:u w:val="single"/>
        </w:rPr>
        <w:t xml:space="preserve">        </w:t>
      </w:r>
      <w:r>
        <w:rPr>
          <w:rFonts w:ascii="宋体" w:eastAsia="宋体" w:hAnsi="宋体" w:cs="宋体" w:hint="eastAsia"/>
          <w:szCs w:val="21"/>
        </w:rPr>
        <w:t xml:space="preserve"> 品牌：</w:t>
      </w:r>
      <w:r>
        <w:rPr>
          <w:rFonts w:ascii="宋体" w:eastAsia="宋体" w:hAnsi="宋体" w:cs="宋体" w:hint="eastAsia"/>
          <w:szCs w:val="21"/>
          <w:u w:val="single"/>
        </w:rPr>
        <w:t xml:space="preserve">        </w:t>
      </w:r>
      <w:r>
        <w:rPr>
          <w:rFonts w:ascii="宋体" w:eastAsia="宋体" w:hAnsi="宋体" w:cs="宋体" w:hint="eastAsia"/>
          <w:szCs w:val="21"/>
        </w:rPr>
        <w:t xml:space="preserve"> 规格型号：</w:t>
      </w:r>
      <w:r>
        <w:rPr>
          <w:rFonts w:ascii="宋体" w:eastAsia="宋体" w:hAnsi="宋体" w:cs="宋体" w:hint="eastAsia"/>
          <w:szCs w:val="21"/>
          <w:u w:val="single"/>
        </w:rPr>
        <w:t xml:space="preserve">        </w:t>
      </w:r>
      <w:r>
        <w:rPr>
          <w:rFonts w:ascii="宋体" w:eastAsia="宋体" w:hAnsi="宋体" w:cs="Times New Roman" w:hint="eastAsia"/>
          <w:szCs w:val="21"/>
        </w:rPr>
        <w:t xml:space="preserve">      </w:t>
      </w:r>
    </w:p>
    <w:p>
      <w:pPr>
        <w:adjustRightInd w:val="0"/>
        <w:snapToGrid w:val="0"/>
        <w:spacing w:line="400" w:lineRule="exact"/>
        <w:ind w:firstLine="840" w:firstLineChars="400"/>
        <w:rPr>
          <w:rFonts w:ascii="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pPr>
        <w:tabs>
          <w:tab w:val="left" w:pos="740"/>
        </w:tabs>
        <w:adjustRightInd w:val="0"/>
        <w:snapToGrid w:val="0"/>
        <w:spacing w:line="400" w:lineRule="exact"/>
        <w:rPr>
          <w:rFonts w:ascii="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rPr>
        <w:t>0</w:t>
      </w:r>
      <w:r>
        <w:rPr>
          <w:rFonts w:ascii="宋体" w:eastAsia="宋体" w:hAnsi="宋体" w:cs="Times New Roman" w:hint="eastAsia"/>
          <w:szCs w:val="21"/>
        </w:rPr>
        <w:t>）是否涉及节能产品：</w:t>
      </w:r>
    </w:p>
    <w:p>
      <w:pPr>
        <w:tabs>
          <w:tab w:val="left" w:pos="740"/>
        </w:tabs>
        <w:adjustRightInd w:val="0"/>
        <w:snapToGrid w:val="0"/>
        <w:spacing w:line="400" w:lineRule="exact"/>
        <w:rPr>
          <w:rFonts w:ascii="宋体" w:hAnsi="宋体" w:cs="Times New Roman"/>
          <w:iCs/>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是，《节能产品政府采购品目清单》的底级品目名称：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pPr>
        <w:tabs>
          <w:tab w:val="left" w:pos="740"/>
        </w:tabs>
        <w:adjustRightInd w:val="0"/>
        <w:snapToGrid w:val="0"/>
        <w:spacing w:line="400" w:lineRule="exact"/>
        <w:rPr>
          <w:rFonts w:ascii="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pPr>
        <w:tabs>
          <w:tab w:val="left" w:pos="740"/>
        </w:tabs>
        <w:adjustRightInd w:val="0"/>
        <w:snapToGrid w:val="0"/>
        <w:spacing w:line="400" w:lineRule="exact"/>
        <w:rPr>
          <w:rFonts w:ascii="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pPr>
        <w:tabs>
          <w:tab w:val="left" w:pos="740"/>
        </w:tabs>
        <w:adjustRightInd w:val="0"/>
        <w:snapToGrid w:val="0"/>
        <w:spacing w:line="400" w:lineRule="exact"/>
        <w:rPr>
          <w:rFonts w:ascii="宋体" w:hAnsi="宋体" w:cs="Times New Roman"/>
          <w:szCs w:val="21"/>
        </w:rPr>
      </w:pPr>
      <w:r>
        <w:rPr>
          <w:rFonts w:ascii="宋体" w:eastAsia="宋体" w:hAnsi="宋体" w:cs="Times New Roman" w:hint="eastAsia"/>
          <w:szCs w:val="21"/>
        </w:rPr>
        <w:t xml:space="preserve">          是否涉及环境标志产品：</w:t>
      </w:r>
    </w:p>
    <w:p>
      <w:pPr>
        <w:tabs>
          <w:tab w:val="left" w:pos="740"/>
        </w:tabs>
        <w:adjustRightInd w:val="0"/>
        <w:snapToGrid w:val="0"/>
        <w:spacing w:line="400" w:lineRule="exact"/>
        <w:rPr>
          <w:rFonts w:ascii="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是，《环境标志产品政府采购品目清单》的底级品目名称：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pPr>
        <w:tabs>
          <w:tab w:val="left" w:pos="740"/>
        </w:tabs>
        <w:adjustRightInd w:val="0"/>
        <w:snapToGrid w:val="0"/>
        <w:spacing w:line="400" w:lineRule="exact"/>
        <w:rPr>
          <w:rFonts w:ascii="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pPr>
        <w:tabs>
          <w:tab w:val="left" w:pos="740"/>
        </w:tabs>
        <w:adjustRightInd w:val="0"/>
        <w:snapToGrid w:val="0"/>
        <w:spacing w:line="400" w:lineRule="exact"/>
        <w:rPr>
          <w:rFonts w:ascii="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pPr>
        <w:widowControl/>
        <w:autoSpaceDE w:val="0"/>
        <w:autoSpaceDN w:val="0"/>
        <w:adjustRightInd w:val="0"/>
        <w:snapToGrid w:val="0"/>
        <w:spacing w:line="400" w:lineRule="exact"/>
        <w:jc w:val="left"/>
        <w:rPr>
          <w:rFonts w:ascii="宋体" w:hAnsi="宋体" w:cs="Times New Roman"/>
          <w:szCs w:val="21"/>
        </w:rPr>
      </w:pPr>
      <w:r>
        <w:rPr>
          <w:rFonts w:ascii="宋体" w:eastAsia="华文楷体" w:hAnsi="宋体" w:cs="华文楷体" w:hint="eastAsia"/>
          <w:kern w:val="0"/>
          <w:szCs w:val="21"/>
        </w:rPr>
        <w:t xml:space="preserve">          </w:t>
      </w:r>
      <w:r>
        <w:rPr>
          <w:rFonts w:ascii="宋体" w:eastAsia="宋体" w:hAnsi="宋体" w:cs="Times New Roman" w:hint="eastAsia"/>
          <w:szCs w:val="21"/>
        </w:rPr>
        <w:t xml:space="preserve">是否涉及绿色产品： </w:t>
      </w:r>
    </w:p>
    <w:p>
      <w:pPr>
        <w:widowControl/>
        <w:autoSpaceDE w:val="0"/>
        <w:autoSpaceDN w:val="0"/>
        <w:adjustRightInd w:val="0"/>
        <w:spacing w:line="400" w:lineRule="exact"/>
        <w:ind w:firstLine="420"/>
        <w:jc w:val="left"/>
        <w:rPr>
          <w:rFonts w:ascii="宋体" w:hAnsi="宋体" w:cs="华文楷体"/>
          <w:kern w:val="0"/>
          <w:sz w:val="22"/>
          <w:szCs w:val="21"/>
          <w:u w:val="single"/>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是，绿色产品政府采购相关政策确定的底级品目名称：</w:t>
      </w:r>
      <w:r>
        <w:rPr>
          <w:rFonts w:ascii="宋体" w:eastAsia="宋体" w:hAnsi="宋体" w:cs="华文楷体" w:hint="eastAsia"/>
          <w:kern w:val="0"/>
          <w:sz w:val="22"/>
          <w:szCs w:val="21"/>
          <w:u w:val="single"/>
        </w:rPr>
        <w:t xml:space="preserve">         </w:t>
      </w:r>
    </w:p>
    <w:p>
      <w:pPr>
        <w:tabs>
          <w:tab w:val="left" w:pos="740"/>
        </w:tabs>
        <w:adjustRightInd w:val="0"/>
        <w:snapToGrid w:val="0"/>
        <w:spacing w:line="400" w:lineRule="exact"/>
        <w:rPr>
          <w:rFonts w:ascii="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pPr>
        <w:widowControl/>
        <w:autoSpaceDE w:val="0"/>
        <w:autoSpaceDN w:val="0"/>
        <w:adjustRightInd w:val="0"/>
        <w:spacing w:line="400" w:lineRule="exact"/>
        <w:ind w:firstLine="420"/>
        <w:jc w:val="left"/>
        <w:rPr>
          <w:rFonts w:ascii="宋体" w:eastAsia="华文楷体" w:hAnsi="宋体" w:cs="华文楷体"/>
          <w:kern w:val="0"/>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pPr>
        <w:adjustRightInd w:val="0"/>
        <w:snapToGrid w:val="0"/>
        <w:spacing w:line="400" w:lineRule="exact"/>
        <w:rPr>
          <w:rFonts w:ascii="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rPr>
        <w:t>1</w:t>
      </w:r>
      <w:r>
        <w:rPr>
          <w:rFonts w:ascii="宋体" w:eastAsia="宋体" w:hAnsi="宋体" w:cs="Times New Roman" w:hint="eastAsia"/>
          <w:szCs w:val="21"/>
        </w:rPr>
        <w:t>）涉及商品包装和快递包装的，是否参考《商品包装政府采购需求标准（试行）》、《快递包装政府采购需求标准（试行）》明确产品及相关快递服务的具体包装要求：</w:t>
      </w:r>
    </w:p>
    <w:p>
      <w:pPr>
        <w:adjustRightInd w:val="0"/>
        <w:snapToGrid w:val="0"/>
        <w:spacing w:line="400" w:lineRule="exact"/>
        <w:ind w:left="0" w:firstLine="840" w:firstLineChars="400"/>
        <w:rPr>
          <w:rFonts w:ascii="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 xml:space="preserve">否      </w:t>
      </w:r>
      <w:r>
        <w:rPr>
          <w:rFonts w:ascii="Wingdings" w:eastAsia="宋体" w:hAnsi="Wingdings" w:cs="Times New Roman"/>
          <w:szCs w:val="21"/>
        </w:rPr>
        <w:sym w:font="Wingdings" w:char="F0A8"/>
      </w:r>
      <w:r>
        <w:rPr>
          <w:rFonts w:ascii="宋体" w:eastAsia="宋体" w:hAnsi="宋体" w:cs="Times New Roman" w:hint="eastAsia"/>
          <w:szCs w:val="21"/>
        </w:rPr>
        <w:t>不涉及</w:t>
      </w:r>
    </w:p>
    <w:p>
      <w:pPr>
        <w:numPr>
          <w:ilvl w:val="0"/>
          <w:numId w:val="5"/>
        </w:numPr>
        <w:adjustRightInd w:val="0"/>
        <w:snapToGrid w:val="0"/>
        <w:spacing w:line="400" w:lineRule="exact"/>
        <w:ind w:left="0" w:firstLine="420" w:firstLineChars="200"/>
        <w:rPr>
          <w:rFonts w:ascii="宋体" w:hAnsi="宋体" w:cs="Times New Roman"/>
          <w:b/>
          <w:szCs w:val="21"/>
        </w:rPr>
      </w:pPr>
      <w:r>
        <w:rPr>
          <w:rFonts w:ascii="宋体" w:eastAsia="宋体" w:hAnsi="宋体" w:cs="Times New Roman" w:hint="eastAsia"/>
          <w:b/>
          <w:szCs w:val="21"/>
        </w:rPr>
        <w:t>合同金额</w:t>
      </w:r>
    </w:p>
    <w:p>
      <w:pPr>
        <w:adjustRightInd w:val="0"/>
        <w:snapToGrid w:val="0"/>
        <w:spacing w:line="400" w:lineRule="exact"/>
        <w:ind w:firstLine="420" w:firstLineChars="200"/>
        <w:rPr>
          <w:rFonts w:ascii="宋体" w:hAnsi="宋体" w:cs="Times New Roman"/>
          <w:szCs w:val="21"/>
        </w:rPr>
      </w:pPr>
      <w:r>
        <w:rPr>
          <w:rFonts w:ascii="宋体" w:eastAsia="宋体" w:hAnsi="宋体" w:cs="Times New Roman" w:hint="eastAsia"/>
          <w:szCs w:val="21"/>
        </w:rPr>
        <w:t>（1）合同金额小写：</w:t>
      </w:r>
      <w:r>
        <w:rPr>
          <w:rFonts w:ascii="宋体" w:eastAsia="宋体" w:hAnsi="宋体" w:cs="Times New Roman" w:hint="eastAsia"/>
          <w:szCs w:val="21"/>
          <w:u w:val="single"/>
        </w:rPr>
        <w:t xml:space="preserve">                           </w:t>
      </w:r>
    </w:p>
    <w:p>
      <w:pPr>
        <w:adjustRightInd w:val="0"/>
        <w:snapToGrid w:val="0"/>
        <w:spacing w:line="400" w:lineRule="exact"/>
        <w:rPr>
          <w:rFonts w:ascii="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pPr>
        <w:adjustRightInd w:val="0"/>
        <w:snapToGrid w:val="0"/>
        <w:spacing w:line="400" w:lineRule="exact"/>
        <w:rPr>
          <w:rFonts w:ascii="宋体" w:hAnsi="宋体" w:cs="Times New Roman"/>
          <w:szCs w:val="21"/>
        </w:rPr>
      </w:pPr>
      <w:r>
        <w:rPr>
          <w:rFonts w:ascii="宋体" w:eastAsia="宋体" w:hAnsi="宋体" w:cs="Times New Roman" w:hint="eastAsia"/>
          <w:szCs w:val="21"/>
        </w:rPr>
        <w:t xml:space="preserve">         分包金额（如有）小写：</w:t>
      </w:r>
      <w:r>
        <w:rPr>
          <w:rFonts w:ascii="宋体" w:eastAsia="宋体" w:hAnsi="宋体" w:cs="Times New Roman" w:hint="eastAsia"/>
          <w:szCs w:val="21"/>
          <w:u w:val="single"/>
        </w:rPr>
        <w:t xml:space="preserve">                   </w:t>
      </w:r>
    </w:p>
    <w:p>
      <w:pPr>
        <w:adjustRightInd w:val="0"/>
        <w:snapToGrid w:val="0"/>
        <w:spacing w:line="400" w:lineRule="exact"/>
        <w:rPr>
          <w:rFonts w:ascii="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pPr>
        <w:adjustRightInd w:val="0"/>
        <w:snapToGrid w:val="0"/>
        <w:spacing w:line="400" w:lineRule="exact"/>
        <w:rPr>
          <w:rFonts w:ascii="宋体" w:hAnsi="宋体" w:cs="Times New Roman"/>
          <w:szCs w:val="21"/>
        </w:rPr>
      </w:pPr>
      <w:r>
        <w:rPr>
          <w:rFonts w:ascii="宋体" w:eastAsia="宋体" w:hAnsi="宋体" w:cs="Times New Roman" w:hint="eastAsia"/>
          <w:szCs w:val="21"/>
        </w:rPr>
        <w:t xml:space="preserve">    （注：固定单价合同应填写单价和最高限价）</w:t>
      </w:r>
    </w:p>
    <w:p>
      <w:pPr>
        <w:adjustRightInd w:val="0"/>
        <w:snapToGrid w:val="0"/>
        <w:spacing w:line="400" w:lineRule="exact"/>
        <w:rPr>
          <w:rFonts w:ascii="宋体" w:hAnsi="宋体" w:cs="Times New Roman"/>
          <w:szCs w:val="21"/>
        </w:rPr>
      </w:pPr>
      <w:r>
        <w:rPr>
          <w:rFonts w:ascii="宋体" w:eastAsia="宋体" w:hAnsi="宋体" w:cs="Times New Roman" w:hint="eastAsia"/>
          <w:szCs w:val="21"/>
        </w:rPr>
        <w:t xml:space="preserve">    （2）合同定价方式（采用组合定价方式的，可以勾选多项）：</w:t>
      </w:r>
    </w:p>
    <w:p>
      <w:pPr>
        <w:adjustRightInd w:val="0"/>
        <w:snapToGrid w:val="0"/>
        <w:spacing w:line="400" w:lineRule="exact"/>
        <w:ind w:firstLine="420" w:firstLineChars="200"/>
        <w:rPr>
          <w:rFonts w:ascii="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固定总价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固定单价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固定费率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成本补偿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绩效激励 </w:t>
      </w:r>
      <w:r>
        <w:rPr>
          <w:rFonts w:ascii="Wingdings" w:eastAsia="宋体" w:hAnsi="Wingdings" w:cs="Times New Roman"/>
          <w:iCs/>
          <w:szCs w:val="21"/>
        </w:rPr>
        <w:sym w:font="Wingdings" w:char="F0A8"/>
      </w:r>
      <w:r>
        <w:rPr>
          <w:rFonts w:ascii="宋体" w:eastAsia="宋体" w:hAnsi="宋体" w:cs="Times New Roman" w:hint="eastAsia"/>
          <w:iCs/>
          <w:szCs w:val="21"/>
        </w:rPr>
        <w:t>其他</w:t>
      </w:r>
      <w:r>
        <w:rPr>
          <w:rFonts w:ascii="宋体" w:eastAsia="宋体" w:hAnsi="宋体" w:cs="Times New Roman" w:hint="eastAsia"/>
          <w:szCs w:val="21"/>
          <w:u w:val="single"/>
        </w:rPr>
        <w:t xml:space="preserve">       </w:t>
      </w:r>
    </w:p>
    <w:p>
      <w:pPr>
        <w:spacing w:line="400" w:lineRule="exact"/>
        <w:ind w:firstLine="420" w:firstLineChars="200"/>
        <w:rPr>
          <w:rFonts w:ascii="Times New Roman" w:hAnsi="Times New Roman" w:cs="Times New Roman"/>
          <w:szCs w:val="21"/>
        </w:rPr>
      </w:pPr>
      <w:r>
        <w:rPr>
          <w:rFonts w:ascii="宋体" w:eastAsia="宋体" w:hAnsi="宋体" w:cs="Times New Roman" w:hint="eastAsia"/>
          <w:szCs w:val="21"/>
        </w:rPr>
        <w:t>（3）付款方式（按项目实际勾选填写）：</w:t>
      </w:r>
    </w:p>
    <w:p>
      <w:pPr>
        <w:adjustRightInd w:val="0"/>
        <w:snapToGrid w:val="0"/>
        <w:spacing w:line="400" w:lineRule="exact"/>
        <w:ind w:firstLine="630" w:firstLineChars="300"/>
        <w:rPr>
          <w:rFonts w:ascii="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全额付款：</w:t>
      </w:r>
      <w:r>
        <w:rPr>
          <w:rFonts w:ascii="宋体" w:eastAsia="宋体" w:hAnsi="宋体" w:cs="Times New Roman" w:hint="eastAsia"/>
          <w:szCs w:val="21"/>
          <w:u w:val="single"/>
        </w:rPr>
        <w:t xml:space="preserve">     （应明确一次性支付合同款项的条件）                    </w:t>
      </w:r>
    </w:p>
    <w:p>
      <w:pPr>
        <w:snapToGrid w:val="0"/>
        <w:spacing w:line="400" w:lineRule="exact"/>
        <w:ind w:firstLine="630" w:firstLineChars="300"/>
      </w:pPr>
      <w:r>
        <w:rPr>
          <w:rFonts w:ascii="Wingdings" w:eastAsia="宋体" w:hAnsi="Wingdings" w:cs="Times New Roman"/>
          <w:szCs w:val="21"/>
        </w:rPr>
        <w:sym w:font="Wingdings" w:char="F0A8"/>
      </w:r>
      <w:r>
        <w:rPr>
          <w:rFonts w:ascii="宋体" w:eastAsia="宋体" w:hAnsi="宋体" w:cs="Times New Roman" w:hint="eastAsia"/>
          <w:szCs w:val="21"/>
        </w:rPr>
        <w:t>分期付款：</w:t>
      </w:r>
      <w:r>
        <w:rPr>
          <w:rFonts w:ascii="宋体" w:eastAsia="宋体" w:hAnsi="宋体" w:cs="Times New Roman" w:hint="eastAsia"/>
          <w:szCs w:val="21"/>
          <w:u w:val="single"/>
        </w:rPr>
        <w:t xml:space="preserve">  </w:t>
      </w:r>
      <w:r>
        <w:rPr>
          <w:rFonts w:ascii="宋体" w:hAnsi="宋体" w:hint="eastAsia"/>
          <w:szCs w:val="21"/>
          <w:u w:val="single"/>
        </w:rPr>
        <w:t xml:space="preserve"> 双方签订合同后，7个工作日内，甲方向乙方支付合同总金额的85%，到货检验后，双方签订验收报告后，付款合同尾款15% （应明确分期支付合同款项的各期比例和支付条件，各期支付条件应与分期履约验收情况挂钩） </w:t>
      </w:r>
      <w:r>
        <w:rPr>
          <w:rFonts w:ascii="宋体" w:hAnsi="宋体" w:hint="eastAsia"/>
          <w:szCs w:val="21"/>
        </w:rPr>
        <w:t>，其中涉及预付款的：</w:t>
      </w:r>
      <w:r>
        <w:rPr>
          <w:rFonts w:ascii="宋体" w:hAnsi="宋体" w:hint="eastAsia"/>
          <w:szCs w:val="21"/>
          <w:u w:val="single"/>
        </w:rPr>
        <w:t xml:space="preserve"> （应明确预付款的支付比例和支付条件） </w:t>
      </w:r>
    </w:p>
    <w:p>
      <w:pPr>
        <w:adjustRightInd w:val="0"/>
        <w:snapToGrid w:val="0"/>
        <w:spacing w:line="400" w:lineRule="exact"/>
        <w:ind w:firstLine="630" w:firstLineChars="300"/>
        <w:rPr>
          <w:rFonts w:ascii="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成本补偿：</w:t>
      </w:r>
      <w:r>
        <w:rPr>
          <w:rFonts w:ascii="宋体" w:eastAsia="宋体" w:hAnsi="宋体" w:cs="Times New Roman" w:hint="eastAsia"/>
          <w:szCs w:val="21"/>
          <w:u w:val="single"/>
        </w:rPr>
        <w:t xml:space="preserve">      （应明确按照成本补偿方式的支付方式和支付条件）   </w:t>
      </w:r>
    </w:p>
    <w:p>
      <w:pPr>
        <w:adjustRightInd w:val="0"/>
        <w:snapToGrid w:val="0"/>
        <w:spacing w:line="400" w:lineRule="exact"/>
        <w:ind w:firstLine="630" w:firstLineChars="300"/>
        <w:rPr>
          <w:rFonts w:ascii="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绩效激励：</w:t>
      </w:r>
      <w:r>
        <w:rPr>
          <w:rFonts w:ascii="宋体" w:eastAsia="宋体" w:hAnsi="宋体" w:cs="Times New Roman" w:hint="eastAsia"/>
          <w:szCs w:val="21"/>
          <w:u w:val="single"/>
        </w:rPr>
        <w:t xml:space="preserve">      （应明确按照绩效激励方式的支付方式和支付条件）   </w:t>
      </w:r>
    </w:p>
    <w:p>
      <w:pPr>
        <w:numPr>
          <w:ilvl w:val="0"/>
          <w:numId w:val="5"/>
        </w:numPr>
        <w:adjustRightInd w:val="0"/>
        <w:snapToGrid w:val="0"/>
        <w:spacing w:line="400" w:lineRule="exact"/>
        <w:ind w:left="0" w:firstLine="420" w:firstLineChars="200"/>
        <w:rPr>
          <w:rFonts w:ascii="宋体" w:hAnsi="宋体" w:cs="Times New Roman"/>
          <w:b/>
          <w:szCs w:val="21"/>
          <w:u w:val="single"/>
        </w:rPr>
      </w:pPr>
      <w:r>
        <w:rPr>
          <w:rFonts w:ascii="宋体" w:eastAsia="宋体" w:hAnsi="宋体" w:cs="Times New Roman" w:hint="eastAsia"/>
          <w:b/>
          <w:szCs w:val="21"/>
        </w:rPr>
        <w:t>合同履行</w:t>
      </w:r>
    </w:p>
    <w:p>
      <w:pPr>
        <w:adjustRightInd w:val="0"/>
        <w:snapToGrid w:val="0"/>
        <w:spacing w:line="400" w:lineRule="exact"/>
        <w:ind w:firstLine="420" w:firstLineChars="200"/>
        <w:rPr>
          <w:rFonts w:ascii="宋体" w:hAnsi="宋体" w:cs="宋体"/>
          <w:szCs w:val="21"/>
        </w:rPr>
      </w:pPr>
      <w:r>
        <w:rPr>
          <w:rFonts w:ascii="宋体" w:eastAsia="宋体" w:hAnsi="宋体" w:cs="宋体" w:hint="eastAsia"/>
          <w:szCs w:val="21"/>
        </w:rPr>
        <w:t>（1）起始日期：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日，完成日期：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w:t>
      </w:r>
    </w:p>
    <w:p>
      <w:pPr>
        <w:adjustRightInd w:val="0"/>
        <w:snapToGrid w:val="0"/>
        <w:spacing w:line="400" w:lineRule="exact"/>
        <w:ind w:firstLine="420" w:firstLineChars="200"/>
        <w:rPr>
          <w:rFonts w:ascii="宋体" w:hAnsi="宋体" w:cs="宋体"/>
          <w:szCs w:val="21"/>
          <w:u w:val="single"/>
        </w:rPr>
      </w:pPr>
      <w:r>
        <w:rPr>
          <w:rFonts w:ascii="宋体" w:eastAsia="宋体" w:hAnsi="宋体" w:cs="宋体" w:hint="eastAsia"/>
          <w:szCs w:val="21"/>
        </w:rPr>
        <w:t>（2）履约地点</w:t>
      </w:r>
      <w:r>
        <w:rPr>
          <w:rFonts w:ascii="宋体" w:eastAsia="宋体" w:hAnsi="宋体" w:cs="宋体" w:hint="eastAsia"/>
          <w:bCs/>
          <w:szCs w:val="21"/>
        </w:rPr>
        <w:t>：</w:t>
      </w:r>
      <w:r>
        <w:rPr>
          <w:rFonts w:ascii="宋体" w:eastAsia="宋体" w:hAnsi="宋体" w:cs="宋体" w:hint="eastAsia"/>
          <w:szCs w:val="21"/>
          <w:u w:val="single"/>
        </w:rPr>
        <w:t xml:space="preserve">                             </w:t>
      </w:r>
    </w:p>
    <w:p>
      <w:pPr>
        <w:adjustRightInd w:val="0"/>
        <w:snapToGrid w:val="0"/>
        <w:spacing w:line="400" w:lineRule="exact"/>
        <w:ind w:firstLine="420" w:firstLineChars="200"/>
        <w:rPr>
          <w:rFonts w:ascii="宋体" w:hAnsi="宋体" w:cs="宋体"/>
          <w:szCs w:val="21"/>
        </w:rPr>
      </w:pPr>
      <w:r>
        <w:rPr>
          <w:rFonts w:ascii="宋体" w:eastAsia="宋体" w:hAnsi="宋体" w:cs="宋体" w:hint="eastAsia"/>
          <w:bCs/>
          <w:szCs w:val="21"/>
        </w:rPr>
        <w:t>（3）履约担保：</w:t>
      </w:r>
      <w:r>
        <w:rPr>
          <w:rFonts w:ascii="宋体" w:eastAsia="宋体" w:hAnsi="宋体" w:cs="宋体" w:hint="eastAsia"/>
          <w:szCs w:val="20"/>
        </w:rPr>
        <w:t>是否收取履约保证金：</w:t>
      </w:r>
      <w:r>
        <w:rPr>
          <w:rFonts w:ascii="Wingdings" w:eastAsia="宋体" w:hAnsi="Wingdings" w:cs="宋体"/>
          <w:szCs w:val="21"/>
        </w:rPr>
        <w:sym w:font="Wingdings" w:char="F0A8"/>
      </w:r>
      <w:r>
        <w:rPr>
          <w:rFonts w:ascii="宋体" w:eastAsia="宋体" w:hAnsi="宋体" w:cs="宋体" w:hint="eastAsia"/>
          <w:szCs w:val="21"/>
        </w:rPr>
        <w:t xml:space="preserve">是    </w:t>
      </w:r>
      <w:r>
        <w:rPr>
          <w:rFonts w:ascii="Wingdings" w:eastAsia="宋体" w:hAnsi="Wingdings" w:cs="宋体"/>
          <w:szCs w:val="21"/>
        </w:rPr>
        <w:sym w:font="Wingdings" w:char="F0A8"/>
      </w:r>
      <w:r>
        <w:rPr>
          <w:rFonts w:ascii="宋体" w:eastAsia="宋体" w:hAnsi="宋体" w:cs="宋体" w:hint="eastAsia"/>
          <w:szCs w:val="21"/>
        </w:rPr>
        <w:t>否</w:t>
      </w:r>
    </w:p>
    <w:p>
      <w:pPr>
        <w:widowControl/>
        <w:autoSpaceDE w:val="0"/>
        <w:autoSpaceDN w:val="0"/>
        <w:adjustRightInd w:val="0"/>
        <w:spacing w:line="400" w:lineRule="exact"/>
        <w:ind w:firstLine="440" w:firstLineChars="200"/>
        <w:jc w:val="left"/>
        <w:rPr>
          <w:rFonts w:ascii="宋体" w:hAnsi="宋体" w:cs="宋体"/>
          <w:kern w:val="0"/>
          <w:szCs w:val="21"/>
        </w:rPr>
      </w:pPr>
      <w:r>
        <w:rPr>
          <w:rFonts w:ascii="宋体" w:eastAsia="华文楷体" w:hAnsi="宋体" w:cs="宋体" w:hint="eastAsia"/>
          <w:bCs/>
          <w:kern w:val="0"/>
          <w:sz w:val="22"/>
          <w:szCs w:val="21"/>
        </w:rPr>
        <w:t xml:space="preserve">  </w:t>
      </w:r>
      <w:r>
        <w:rPr>
          <w:rFonts w:ascii="宋体" w:eastAsia="宋体" w:hAnsi="宋体" w:cs="宋体" w:hint="eastAsia"/>
          <w:kern w:val="0"/>
          <w:szCs w:val="21"/>
        </w:rPr>
        <w:t xml:space="preserve">  收取履约保证金形式：</w:t>
      </w:r>
      <w:r>
        <w:rPr>
          <w:rFonts w:ascii="宋体" w:eastAsia="宋体" w:hAnsi="宋体" w:cs="宋体" w:hint="eastAsia"/>
          <w:bCs/>
          <w:kern w:val="0"/>
          <w:szCs w:val="21"/>
          <w:u w:val="single"/>
        </w:rPr>
        <w:t xml:space="preserve">                            </w:t>
      </w:r>
    </w:p>
    <w:p>
      <w:pPr>
        <w:widowControl/>
        <w:autoSpaceDE w:val="0"/>
        <w:autoSpaceDN w:val="0"/>
        <w:adjustRightInd w:val="0"/>
        <w:spacing w:line="400" w:lineRule="exact"/>
        <w:ind w:firstLine="420" w:firstLineChars="200"/>
        <w:jc w:val="left"/>
        <w:rPr>
          <w:rFonts w:ascii="宋体" w:hAnsi="宋体" w:cs="宋体"/>
          <w:kern w:val="0"/>
          <w:szCs w:val="21"/>
        </w:rPr>
      </w:pPr>
      <w:r>
        <w:rPr>
          <w:rFonts w:ascii="宋体" w:eastAsia="宋体" w:hAnsi="宋体" w:cs="宋体" w:hint="eastAsia"/>
          <w:kern w:val="0"/>
          <w:szCs w:val="21"/>
        </w:rPr>
        <w:t xml:space="preserve">    收取履约保证金金额：</w:t>
      </w:r>
      <w:r>
        <w:rPr>
          <w:rFonts w:ascii="宋体" w:eastAsia="宋体" w:hAnsi="宋体" w:cs="宋体" w:hint="eastAsia"/>
          <w:bCs/>
          <w:kern w:val="0"/>
          <w:szCs w:val="21"/>
          <w:u w:val="single"/>
        </w:rPr>
        <w:t xml:space="preserve">                            </w:t>
      </w:r>
    </w:p>
    <w:p>
      <w:pPr>
        <w:snapToGrid w:val="0"/>
        <w:spacing w:line="400" w:lineRule="exact"/>
        <w:ind w:firstLine="420" w:firstLineChars="200"/>
        <w:rPr>
          <w:rFonts w:ascii="宋体" w:hAnsi="宋体" w:cs="宋体"/>
          <w:szCs w:val="20"/>
        </w:rPr>
      </w:pPr>
      <w:r>
        <w:rPr>
          <w:rFonts w:ascii="宋体" w:eastAsia="宋体" w:hAnsi="宋体" w:cs="宋体" w:hint="eastAsia"/>
          <w:bCs/>
          <w:szCs w:val="21"/>
        </w:rPr>
        <w:t xml:space="preserve">    履约担保期限：</w:t>
      </w:r>
      <w:r>
        <w:rPr>
          <w:rFonts w:ascii="宋体" w:eastAsia="宋体" w:hAnsi="宋体" w:cs="宋体" w:hint="eastAsia"/>
          <w:bCs/>
          <w:szCs w:val="21"/>
          <w:u w:val="single"/>
        </w:rPr>
        <w:t xml:space="preserve">                                  </w:t>
      </w:r>
    </w:p>
    <w:p>
      <w:pPr>
        <w:adjustRightInd w:val="0"/>
        <w:snapToGrid w:val="0"/>
        <w:spacing w:line="400" w:lineRule="exact"/>
        <w:ind w:firstLine="420" w:firstLineChars="200"/>
        <w:rPr>
          <w:rFonts w:ascii="宋体" w:hAnsi="宋体" w:cs="宋体"/>
          <w:bCs/>
          <w:szCs w:val="21"/>
        </w:rPr>
      </w:pPr>
      <w:r>
        <w:rPr>
          <w:rFonts w:ascii="宋体" w:eastAsia="宋体" w:hAnsi="宋体" w:cs="宋体" w:hint="eastAsia"/>
          <w:bCs/>
          <w:szCs w:val="21"/>
        </w:rPr>
        <w:t>（4）分期履行要求：</w:t>
      </w:r>
      <w:r>
        <w:rPr>
          <w:rFonts w:ascii="宋体" w:eastAsia="宋体" w:hAnsi="宋体" w:cs="宋体" w:hint="eastAsia"/>
          <w:bCs/>
          <w:szCs w:val="21"/>
          <w:u w:val="single"/>
        </w:rPr>
        <w:t xml:space="preserve">                                                        </w:t>
      </w:r>
    </w:p>
    <w:p>
      <w:pPr>
        <w:adjustRightInd w:val="0"/>
        <w:snapToGrid w:val="0"/>
        <w:spacing w:line="400" w:lineRule="exact"/>
        <w:ind w:firstLine="420" w:firstLineChars="200"/>
        <w:rPr>
          <w:rFonts w:ascii="宋体" w:hAnsi="宋体" w:cs="宋体"/>
          <w:szCs w:val="21"/>
          <w:u w:val="single"/>
        </w:rPr>
      </w:pPr>
      <w:r>
        <w:rPr>
          <w:rFonts w:ascii="宋体" w:eastAsia="宋体" w:hAnsi="宋体" w:cs="宋体" w:hint="eastAsia"/>
          <w:bCs/>
          <w:szCs w:val="21"/>
        </w:rPr>
        <w:t>（5）风险处置措施和替代方案：</w:t>
      </w:r>
      <w:r>
        <w:rPr>
          <w:rFonts w:ascii="宋体" w:eastAsia="宋体" w:hAnsi="宋体" w:cs="宋体" w:hint="eastAsia"/>
          <w:color w:val="0000FF"/>
          <w:szCs w:val="21"/>
          <w:u w:val="single"/>
        </w:rPr>
        <w:t xml:space="preserve"> </w:t>
      </w:r>
      <w:r>
        <w:rPr>
          <w:rFonts w:ascii="宋体" w:eastAsia="宋体" w:hAnsi="宋体" w:cs="宋体" w:hint="eastAsia"/>
          <w:color w:val="000000"/>
          <w:szCs w:val="21"/>
          <w:u w:val="single"/>
        </w:rPr>
        <w:t xml:space="preserve">              </w:t>
      </w:r>
      <w:r>
        <w:rPr>
          <w:rFonts w:ascii="宋体" w:eastAsia="宋体" w:hAnsi="宋体" w:cs="宋体" w:hint="eastAsia"/>
          <w:szCs w:val="21"/>
          <w:u w:val="single"/>
        </w:rPr>
        <w:t xml:space="preserve">                                                </w:t>
      </w:r>
    </w:p>
    <w:p>
      <w:pPr>
        <w:numPr>
          <w:ilvl w:val="0"/>
          <w:numId w:val="5"/>
        </w:numPr>
        <w:adjustRightInd w:val="0"/>
        <w:snapToGrid w:val="0"/>
        <w:spacing w:line="400" w:lineRule="exact"/>
        <w:ind w:left="0" w:firstLine="420" w:firstLineChars="200"/>
        <w:rPr>
          <w:rFonts w:ascii="宋体" w:hAnsi="宋体" w:cs="Times New Roman"/>
          <w:b/>
          <w:szCs w:val="21"/>
        </w:rPr>
      </w:pPr>
      <w:r>
        <w:rPr>
          <w:rFonts w:ascii="宋体" w:eastAsia="宋体" w:hAnsi="宋体" w:cs="Times New Roman" w:hint="eastAsia"/>
          <w:b/>
          <w:szCs w:val="21"/>
        </w:rPr>
        <w:t>合同验收</w:t>
      </w:r>
    </w:p>
    <w:p>
      <w:pPr>
        <w:numPr>
          <w:ilvl w:val="0"/>
          <w:numId w:val="7"/>
        </w:numPr>
        <w:adjustRightInd w:val="0"/>
        <w:snapToGrid w:val="0"/>
        <w:spacing w:line="400" w:lineRule="exact"/>
        <w:ind w:left="0" w:firstLine="420" w:firstLineChars="200"/>
        <w:rPr>
          <w:rFonts w:ascii="宋体" w:hAnsi="宋体" w:cs="Times New Roman"/>
          <w:bCs/>
          <w:szCs w:val="21"/>
        </w:rPr>
      </w:pPr>
      <w:r>
        <w:rPr>
          <w:rFonts w:ascii="宋体" w:eastAsia="宋体" w:hAnsi="宋体" w:cs="Times New Roman" w:hint="eastAsia"/>
          <w:bCs/>
          <w:szCs w:val="21"/>
        </w:rPr>
        <w:t>验收组织方式：</w:t>
      </w:r>
      <w:r>
        <w:rPr>
          <w:rFonts w:ascii="Wingdings" w:eastAsia="宋体" w:hAnsi="Wingdings" w:cs="宋体"/>
          <w:szCs w:val="21"/>
        </w:rPr>
        <w:sym w:font="Wingdings" w:char="F0A8"/>
      </w:r>
      <w:r>
        <w:rPr>
          <w:rFonts w:ascii="宋体" w:eastAsia="宋体" w:hAnsi="宋体" w:cs="Times New Roman" w:hint="eastAsia"/>
          <w:bCs/>
          <w:szCs w:val="21"/>
        </w:rPr>
        <w:t xml:space="preserve">自行组织 </w:t>
      </w:r>
      <w:r>
        <w:rPr>
          <w:rFonts w:ascii="Wingdings" w:eastAsia="宋体" w:hAnsi="Wingdings" w:cs="宋体"/>
          <w:szCs w:val="21"/>
        </w:rPr>
        <w:sym w:font="Wingdings" w:char="F0A8"/>
      </w:r>
      <w:r>
        <w:rPr>
          <w:rFonts w:ascii="宋体" w:eastAsia="宋体" w:hAnsi="宋体" w:cs="Times New Roman" w:hint="eastAsia"/>
          <w:bCs/>
          <w:szCs w:val="21"/>
        </w:rPr>
        <w:t>委托第三方组织</w:t>
      </w:r>
    </w:p>
    <w:p>
      <w:pPr>
        <w:adjustRightInd w:val="0"/>
        <w:snapToGrid w:val="0"/>
        <w:spacing w:line="400" w:lineRule="exact"/>
        <w:rPr>
          <w:rFonts w:ascii="宋体" w:hAnsi="宋体" w:cs="Times New Roman"/>
          <w:bCs/>
          <w:szCs w:val="21"/>
        </w:rPr>
      </w:pPr>
      <w:r>
        <w:rPr>
          <w:rFonts w:ascii="宋体" w:eastAsia="宋体" w:hAnsi="宋体" w:cs="Times New Roman" w:hint="eastAsia"/>
          <w:bCs/>
          <w:szCs w:val="21"/>
        </w:rPr>
        <w:t xml:space="preserve">         验收主体：</w:t>
      </w:r>
      <w:r>
        <w:rPr>
          <w:rFonts w:ascii="宋体" w:eastAsia="宋体" w:hAnsi="宋体" w:cs="Times New Roman" w:hint="eastAsia"/>
          <w:bCs/>
          <w:szCs w:val="21"/>
          <w:u w:val="single"/>
        </w:rPr>
        <w:t xml:space="preserve">                  </w:t>
      </w:r>
    </w:p>
    <w:p>
      <w:pPr>
        <w:adjustRightInd w:val="0"/>
        <w:snapToGrid w:val="0"/>
        <w:spacing w:line="400" w:lineRule="exact"/>
        <w:rPr>
          <w:rFonts w:ascii="宋体" w:hAnsi="宋体" w:cs="Times New Roman"/>
          <w:bCs/>
          <w:szCs w:val="21"/>
        </w:rPr>
      </w:pPr>
      <w:r>
        <w:rPr>
          <w:rFonts w:ascii="宋体" w:eastAsia="宋体" w:hAnsi="宋体" w:cs="Times New Roman" w:hint="eastAsia"/>
          <w:bCs/>
          <w:szCs w:val="21"/>
        </w:rPr>
        <w:t xml:space="preserve">        是否邀请本项目的其他供应商参加验收：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hAnsi="宋体" w:cs="Times New Roman"/>
          <w:bCs/>
          <w:szCs w:val="21"/>
        </w:rPr>
      </w:pPr>
      <w:r>
        <w:rPr>
          <w:rFonts w:ascii="宋体" w:eastAsia="宋体" w:hAnsi="宋体" w:cs="Times New Roman" w:hint="eastAsia"/>
          <w:bCs/>
          <w:szCs w:val="21"/>
        </w:rPr>
        <w:t>是否邀请专家参加验收：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hAnsi="宋体" w:cs="Times New Roman"/>
          <w:bCs/>
          <w:szCs w:val="21"/>
        </w:rPr>
      </w:pPr>
      <w:r>
        <w:rPr>
          <w:rFonts w:ascii="宋体" w:eastAsia="宋体" w:hAnsi="宋体" w:cs="Times New Roman" w:hint="eastAsia"/>
          <w:bCs/>
          <w:szCs w:val="21"/>
        </w:rPr>
        <w:t>是否邀请服务对象参加验收：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hAnsi="宋体" w:cs="Times New Roman"/>
          <w:bCs/>
          <w:szCs w:val="21"/>
        </w:rPr>
      </w:pPr>
      <w:r>
        <w:rPr>
          <w:rFonts w:ascii="宋体" w:eastAsia="宋体" w:hAnsi="宋体" w:cs="Times New Roman" w:hint="eastAsia"/>
          <w:bCs/>
          <w:szCs w:val="21"/>
        </w:rPr>
        <w:t>是否邀请第三方检测机构参加验收：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hAnsi="宋体" w:cs="Times New Roman"/>
          <w:bCs/>
          <w:szCs w:val="21"/>
        </w:rPr>
      </w:pPr>
      <w:r>
        <w:rPr>
          <w:rFonts w:ascii="宋体" w:eastAsia="宋体" w:hAnsi="宋体" w:cs="Times New Roman" w:hint="eastAsia"/>
          <w:bCs/>
          <w:szCs w:val="21"/>
        </w:rPr>
        <w:t>是否进行抽查检测：</w:t>
      </w:r>
      <w:r>
        <w:rPr>
          <w:rFonts w:ascii="Wingdings" w:eastAsia="宋体" w:hAnsi="Wingdings" w:cs="宋体"/>
          <w:szCs w:val="21"/>
        </w:rPr>
        <w:sym w:font="Wingdings" w:char="F0A8"/>
      </w:r>
      <w:r>
        <w:rPr>
          <w:rFonts w:ascii="宋体" w:eastAsia="宋体" w:hAnsi="宋体" w:cs="Times New Roman" w:hint="eastAsia"/>
          <w:bCs/>
          <w:szCs w:val="21"/>
        </w:rPr>
        <w:t>是，抽查比例：</w:t>
      </w:r>
      <w:r>
        <w:rPr>
          <w:rFonts w:ascii="宋体" w:eastAsia="宋体" w:hAnsi="宋体" w:cs="Times New Roman" w:hint="eastAsia"/>
          <w:bCs/>
          <w:szCs w:val="21"/>
          <w:u w:val="single"/>
        </w:rPr>
        <w:t xml:space="preserve">        </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hAnsi="宋体" w:cs="Times New Roman"/>
          <w:bCs/>
          <w:szCs w:val="21"/>
          <w:u w:val="single"/>
        </w:rPr>
      </w:pPr>
      <w:r>
        <w:rPr>
          <w:rFonts w:ascii="宋体" w:eastAsia="宋体" w:hAnsi="宋体" w:cs="Times New Roman" w:hint="eastAsia"/>
          <w:bCs/>
          <w:szCs w:val="21"/>
        </w:rPr>
        <w:t>是否存在破坏性检测：</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u w:val="single"/>
        </w:rPr>
        <w:t>（应明确对被破坏的检测产品的处理方式）</w:t>
      </w:r>
    </w:p>
    <w:p>
      <w:pPr>
        <w:adjustRightInd w:val="0"/>
        <w:snapToGrid w:val="0"/>
        <w:spacing w:line="400" w:lineRule="exact"/>
        <w:ind w:firstLine="840" w:firstLineChars="400"/>
        <w:rPr>
          <w:rFonts w:ascii="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hAnsi="宋体" w:cs="Times New Roman"/>
          <w:bCs/>
          <w:szCs w:val="21"/>
          <w:u w:val="single"/>
        </w:rPr>
      </w:pPr>
      <w:r>
        <w:rPr>
          <w:rFonts w:ascii="宋体" w:eastAsia="宋体" w:hAnsi="宋体" w:cs="Times New Roman" w:hint="eastAsia"/>
          <w:bCs/>
          <w:szCs w:val="21"/>
        </w:rPr>
        <w:t>验收组织的其他事项：</w:t>
      </w:r>
      <w:r>
        <w:rPr>
          <w:rFonts w:ascii="宋体" w:eastAsia="宋体" w:hAnsi="宋体" w:cs="Times New Roman" w:hint="eastAsia"/>
          <w:bCs/>
          <w:szCs w:val="21"/>
          <w:u w:val="single"/>
        </w:rPr>
        <w:t xml:space="preserve">                </w:t>
      </w:r>
    </w:p>
    <w:p>
      <w:pPr>
        <w:adjustRightInd w:val="0"/>
        <w:snapToGrid w:val="0"/>
        <w:spacing w:line="400" w:lineRule="exact"/>
        <w:ind w:firstLine="420" w:firstLineChars="200"/>
        <w:rPr>
          <w:rFonts w:ascii="宋体" w:hAnsi="宋体" w:cs="Times New Roman"/>
          <w:bCs/>
          <w:szCs w:val="21"/>
          <w:u w:val="single"/>
        </w:rPr>
      </w:pPr>
      <w:r>
        <w:rPr>
          <w:rFonts w:ascii="宋体" w:eastAsia="宋体" w:hAnsi="宋体" w:cs="Times New Roman" w:hint="eastAsia"/>
          <w:bCs/>
          <w:szCs w:val="21"/>
        </w:rPr>
        <w:t>（2）履约验收时间：</w:t>
      </w:r>
      <w:r>
        <w:rPr>
          <w:rFonts w:ascii="宋体" w:eastAsia="宋体" w:hAnsi="宋体" w:cs="Times New Roman" w:hint="eastAsia"/>
          <w:bCs/>
          <w:szCs w:val="21"/>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cs="Times New Roman"/>
          <w:bCs/>
          <w:szCs w:val="21"/>
        </w:rPr>
      </w:pPr>
      <w:r>
        <w:rPr>
          <w:rFonts w:ascii="宋体" w:eastAsia="宋体" w:hAnsi="宋体" w:cs="Times New Roman" w:hint="eastAsia"/>
          <w:bCs/>
          <w:szCs w:val="21"/>
        </w:rPr>
        <w:t>（3）履约验收方式：</w:t>
      </w:r>
      <w:r>
        <w:rPr>
          <w:rFonts w:ascii="Wingdings" w:eastAsia="宋体" w:hAnsi="Wingdings" w:cs="宋体"/>
          <w:szCs w:val="21"/>
        </w:rPr>
        <w:sym w:font="Wingdings" w:char="F0A8"/>
      </w:r>
      <w:r>
        <w:rPr>
          <w:rFonts w:ascii="宋体" w:eastAsia="宋体" w:hAnsi="宋体" w:cs="Times New Roman" w:hint="eastAsia"/>
          <w:bCs/>
          <w:szCs w:val="21"/>
        </w:rPr>
        <w:t xml:space="preserve">一次性验收         </w:t>
      </w:r>
    </w:p>
    <w:p>
      <w:pPr>
        <w:adjustRightInd w:val="0"/>
        <w:snapToGrid w:val="0"/>
        <w:spacing w:line="400" w:lineRule="exact"/>
        <w:rPr>
          <w:rFonts w:ascii="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分期/分项验收：</w:t>
      </w:r>
      <w:r>
        <w:rPr>
          <w:rFonts w:ascii="宋体" w:eastAsia="宋体" w:hAnsi="宋体" w:cs="Times New Roman" w:hint="eastAsia"/>
          <w:bCs/>
          <w:szCs w:val="21"/>
          <w:u w:val="single"/>
        </w:rPr>
        <w:t xml:space="preserve"> （应明确分期</w:t>
      </w:r>
      <w:r>
        <w:rPr>
          <w:rFonts w:ascii="宋体" w:eastAsia="宋体" w:hAnsi="宋体" w:cs="Times New Roman"/>
          <w:bCs/>
          <w:szCs w:val="21"/>
          <w:u w:val="single"/>
        </w:rPr>
        <w:t>/</w:t>
      </w:r>
      <w:r>
        <w:rPr>
          <w:rFonts w:ascii="宋体" w:eastAsia="宋体" w:hAnsi="宋体" w:cs="Times New Roman" w:hint="eastAsia"/>
          <w:bCs/>
          <w:szCs w:val="21"/>
          <w:u w:val="single"/>
        </w:rPr>
        <w:t xml:space="preserve">分项验收的工作安排）  </w:t>
      </w:r>
    </w:p>
    <w:p>
      <w:pPr>
        <w:adjustRightInd w:val="0"/>
        <w:snapToGrid w:val="0"/>
        <w:spacing w:line="400" w:lineRule="exact"/>
        <w:ind w:firstLine="420" w:firstLineChars="200"/>
        <w:rPr>
          <w:rFonts w:ascii="宋体" w:hAnsi="宋体" w:cs="Times New Roman"/>
          <w:bCs/>
          <w:szCs w:val="21"/>
        </w:rPr>
      </w:pPr>
      <w:r>
        <w:rPr>
          <w:rFonts w:ascii="宋体" w:eastAsia="宋体" w:hAnsi="宋体" w:cs="Times New Roman" w:hint="eastAsia"/>
          <w:bCs/>
          <w:szCs w:val="21"/>
        </w:rPr>
        <w:t>（4）履约验收程序：</w:t>
      </w:r>
      <w:r>
        <w:rPr>
          <w:rFonts w:ascii="宋体" w:eastAsia="宋体" w:hAnsi="宋体" w:cs="Times New Roman" w:hint="eastAsia"/>
          <w:bCs/>
          <w:szCs w:val="21"/>
          <w:u w:val="single"/>
        </w:rPr>
        <w:t xml:space="preserve">                                         </w:t>
      </w:r>
    </w:p>
    <w:p>
      <w:pPr>
        <w:adjustRightInd w:val="0"/>
        <w:snapToGrid w:val="0"/>
        <w:spacing w:line="400" w:lineRule="exact"/>
        <w:ind w:firstLine="420" w:firstLineChars="200"/>
        <w:rPr>
          <w:rFonts w:ascii="宋体" w:hAnsi="宋体" w:cs="Times New Roman"/>
          <w:bCs/>
          <w:szCs w:val="21"/>
          <w:u w:val="single"/>
        </w:rPr>
      </w:pPr>
      <w:r>
        <w:rPr>
          <w:rFonts w:ascii="宋体" w:eastAsia="宋体" w:hAnsi="宋体" w:cs="Times New Roman" w:hint="eastAsia"/>
          <w:bCs/>
          <w:szCs w:val="21"/>
        </w:rPr>
        <w:t>（5）履约验收的内容：</w:t>
      </w:r>
      <w:r>
        <w:rPr>
          <w:rFonts w:ascii="宋体" w:eastAsia="宋体" w:hAnsi="宋体" w:cs="Times New Roman" w:hint="eastAsia"/>
          <w:bCs/>
          <w:szCs w:val="21"/>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cs="Times New Roman"/>
          <w:bCs/>
          <w:szCs w:val="21"/>
          <w:u w:val="single"/>
        </w:rPr>
      </w:pPr>
      <w:r>
        <w:rPr>
          <w:rFonts w:ascii="宋体" w:eastAsia="宋体" w:hAnsi="宋体" w:cs="Times New Roman" w:hint="eastAsia"/>
          <w:bCs/>
          <w:szCs w:val="21"/>
        </w:rPr>
        <w:t>（6）履约验收标准：</w:t>
      </w:r>
      <w:r>
        <w:rPr>
          <w:rFonts w:ascii="宋体" w:eastAsia="宋体" w:hAnsi="宋体" w:cs="Times New Roman" w:hint="eastAsia"/>
          <w:bCs/>
          <w:szCs w:val="21"/>
          <w:u w:val="single"/>
        </w:rPr>
        <w:t xml:space="preserve">                                         </w:t>
      </w:r>
    </w:p>
    <w:p>
      <w:pPr>
        <w:widowControl/>
        <w:autoSpaceDE w:val="0"/>
        <w:autoSpaceDN w:val="0"/>
        <w:adjustRightInd w:val="0"/>
        <w:spacing w:line="400" w:lineRule="exact"/>
        <w:ind w:firstLine="420" w:firstLineChars="200"/>
        <w:jc w:val="left"/>
        <w:rPr>
          <w:rFonts w:ascii="宋体" w:hAnsi="宋体" w:cs="宋体"/>
          <w:kern w:val="0"/>
          <w:szCs w:val="21"/>
        </w:rPr>
      </w:pPr>
      <w:r>
        <w:rPr>
          <w:rFonts w:ascii="宋体" w:eastAsia="宋体" w:hAnsi="宋体" w:cs="宋体" w:hint="eastAsia"/>
          <w:bCs/>
          <w:kern w:val="0"/>
          <w:szCs w:val="21"/>
        </w:rPr>
        <w:t>（7）是否以采购活动中供应商提供的样品作为参考：</w:t>
      </w:r>
      <w:r>
        <w:rPr>
          <w:rFonts w:ascii="Wingdings" w:eastAsia="宋体" w:hAnsi="Wingdings" w:cs="宋体"/>
          <w:kern w:val="0"/>
          <w:szCs w:val="21"/>
        </w:rPr>
        <w:sym w:font="Wingdings" w:char="F0A8"/>
      </w:r>
      <w:r>
        <w:rPr>
          <w:rFonts w:ascii="宋体" w:eastAsia="宋体" w:hAnsi="宋体" w:cs="宋体" w:hint="eastAsia"/>
          <w:bCs/>
          <w:kern w:val="0"/>
          <w:szCs w:val="21"/>
        </w:rPr>
        <w:t xml:space="preserve">是  </w:t>
      </w:r>
      <w:r>
        <w:rPr>
          <w:rFonts w:ascii="Wingdings" w:eastAsia="宋体" w:hAnsi="Wingdings" w:cs="宋体"/>
          <w:kern w:val="0"/>
          <w:szCs w:val="21"/>
        </w:rPr>
        <w:sym w:font="Wingdings" w:char="F0A8"/>
      </w:r>
      <w:r>
        <w:rPr>
          <w:rFonts w:ascii="宋体" w:eastAsia="宋体" w:hAnsi="宋体" w:cs="宋体" w:hint="eastAsia"/>
          <w:bCs/>
          <w:kern w:val="0"/>
          <w:szCs w:val="21"/>
        </w:rPr>
        <w:t>否</w:t>
      </w:r>
    </w:p>
    <w:p>
      <w:pPr>
        <w:adjustRightInd w:val="0"/>
        <w:snapToGrid w:val="0"/>
        <w:spacing w:line="400" w:lineRule="exact"/>
        <w:ind w:firstLine="420" w:firstLineChars="200"/>
        <w:rPr>
          <w:rFonts w:ascii="宋体" w:hAnsi="宋体" w:cs="宋体"/>
          <w:bCs/>
          <w:szCs w:val="21"/>
          <w:u w:val="single"/>
        </w:rPr>
      </w:pPr>
      <w:r>
        <w:rPr>
          <w:rFonts w:ascii="宋体" w:eastAsia="宋体" w:hAnsi="宋体" w:cs="宋体" w:hint="eastAsia"/>
          <w:bCs/>
          <w:szCs w:val="21"/>
        </w:rPr>
        <w:t>（8）履约验收其他事项：</w:t>
      </w:r>
      <w:r>
        <w:rPr>
          <w:rFonts w:ascii="宋体" w:eastAsia="宋体" w:hAnsi="宋体" w:cs="宋体" w:hint="eastAsia"/>
          <w:bCs/>
          <w:szCs w:val="21"/>
          <w:u w:val="single"/>
        </w:rPr>
        <w:t xml:space="preserve">      （产权过户登记等）          </w:t>
      </w:r>
    </w:p>
    <w:p>
      <w:pPr>
        <w:numPr>
          <w:ilvl w:val="0"/>
          <w:numId w:val="5"/>
        </w:numPr>
        <w:adjustRightInd w:val="0"/>
        <w:snapToGrid w:val="0"/>
        <w:spacing w:line="400" w:lineRule="exact"/>
        <w:ind w:left="0" w:firstLine="420" w:firstLineChars="200"/>
        <w:rPr>
          <w:rFonts w:ascii="宋体" w:hAnsi="宋体" w:cs="Times New Roman"/>
          <w:b/>
          <w:szCs w:val="21"/>
        </w:rPr>
      </w:pPr>
      <w:r>
        <w:rPr>
          <w:rFonts w:ascii="宋体" w:eastAsia="宋体" w:hAnsi="宋体" w:cs="Times New Roman" w:hint="eastAsia"/>
          <w:b/>
          <w:szCs w:val="21"/>
        </w:rPr>
        <w:t>组成合同的文件</w:t>
      </w:r>
    </w:p>
    <w:p>
      <w:pPr>
        <w:adjustRightInd w:val="0"/>
        <w:snapToGrid w:val="0"/>
        <w:spacing w:line="400" w:lineRule="exact"/>
        <w:ind w:firstLine="420" w:firstLineChars="200"/>
        <w:rPr>
          <w:rFonts w:ascii="宋体" w:hAnsi="宋体" w:cs="Times New Roman"/>
          <w:szCs w:val="21"/>
        </w:rPr>
      </w:pPr>
      <w:r>
        <w:rPr>
          <w:rFonts w:ascii="宋体" w:eastAsia="宋体" w:hAnsi="宋体" w:cs="Times New Roman" w:hint="eastAsia"/>
          <w:szCs w:val="21"/>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cs="Times New Roman"/>
          <w:szCs w:val="21"/>
        </w:rPr>
      </w:pPr>
      <w:r>
        <w:rPr>
          <w:rFonts w:ascii="宋体" w:eastAsia="宋体" w:hAnsi="宋体" w:cs="Times New Roman" w:hint="eastAsia"/>
          <w:szCs w:val="21"/>
        </w:rPr>
        <w:t>（1）政府采购合同协议书及其变更、补充协议</w:t>
      </w:r>
    </w:p>
    <w:p>
      <w:pPr>
        <w:adjustRightInd w:val="0"/>
        <w:snapToGrid w:val="0"/>
        <w:spacing w:line="400" w:lineRule="exact"/>
        <w:ind w:firstLine="420" w:firstLineChars="200"/>
        <w:rPr>
          <w:rFonts w:ascii="宋体" w:hAnsi="宋体" w:cs="Times New Roman"/>
          <w:szCs w:val="21"/>
        </w:rPr>
      </w:pPr>
      <w:r>
        <w:rPr>
          <w:rFonts w:ascii="宋体" w:eastAsia="宋体" w:hAnsi="宋体" w:cs="Times New Roman" w:hint="eastAsia"/>
          <w:szCs w:val="21"/>
        </w:rPr>
        <w:t>（2）政府采购合同专用条款</w:t>
      </w:r>
    </w:p>
    <w:p>
      <w:pPr>
        <w:adjustRightInd w:val="0"/>
        <w:snapToGrid w:val="0"/>
        <w:spacing w:line="400" w:lineRule="exact"/>
        <w:ind w:firstLine="420" w:firstLineChars="200"/>
        <w:rPr>
          <w:rFonts w:ascii="宋体" w:hAnsi="宋体" w:cs="Times New Roman"/>
          <w:szCs w:val="21"/>
        </w:rPr>
      </w:pPr>
      <w:r>
        <w:rPr>
          <w:rFonts w:ascii="宋体" w:eastAsia="宋体" w:hAnsi="宋体" w:cs="Times New Roman" w:hint="eastAsia"/>
          <w:szCs w:val="21"/>
        </w:rPr>
        <w:t>（3）政府采购合同通用条款</w:t>
      </w:r>
    </w:p>
    <w:p>
      <w:pPr>
        <w:adjustRightInd w:val="0"/>
        <w:snapToGrid w:val="0"/>
        <w:spacing w:line="400" w:lineRule="exact"/>
        <w:ind w:firstLine="420" w:firstLineChars="200"/>
        <w:rPr>
          <w:rFonts w:ascii="宋体" w:hAnsi="宋体" w:cs="Times New Roman"/>
          <w:szCs w:val="21"/>
        </w:rPr>
      </w:pPr>
      <w:r>
        <w:rPr>
          <w:rFonts w:ascii="宋体" w:eastAsia="宋体" w:hAnsi="宋体" w:cs="Times New Roman" w:hint="eastAsia"/>
          <w:szCs w:val="21"/>
        </w:rPr>
        <w:t>（4）中标（成交）通知书</w:t>
      </w:r>
    </w:p>
    <w:p>
      <w:pPr>
        <w:adjustRightInd w:val="0"/>
        <w:snapToGrid w:val="0"/>
        <w:spacing w:line="400" w:lineRule="exact"/>
        <w:ind w:firstLine="420" w:firstLineChars="200"/>
        <w:rPr>
          <w:rFonts w:ascii="宋体" w:hAnsi="宋体" w:cs="Times New Roman"/>
          <w:szCs w:val="21"/>
        </w:rPr>
      </w:pPr>
      <w:r>
        <w:rPr>
          <w:rFonts w:ascii="宋体" w:eastAsia="宋体" w:hAnsi="宋体" w:cs="Times New Roman" w:hint="eastAsia"/>
          <w:szCs w:val="21"/>
        </w:rPr>
        <w:t>（5）投标（响应）文件</w:t>
      </w:r>
    </w:p>
    <w:p>
      <w:pPr>
        <w:adjustRightInd w:val="0"/>
        <w:snapToGrid w:val="0"/>
        <w:spacing w:line="400" w:lineRule="exact"/>
        <w:ind w:firstLine="420" w:firstLineChars="200"/>
        <w:rPr>
          <w:rFonts w:ascii="宋体" w:hAnsi="宋体" w:cs="Times New Roman"/>
          <w:szCs w:val="21"/>
        </w:rPr>
      </w:pPr>
      <w:r>
        <w:rPr>
          <w:rFonts w:ascii="宋体" w:eastAsia="宋体" w:hAnsi="宋体" w:cs="Times New Roman" w:hint="eastAsia"/>
          <w:szCs w:val="21"/>
        </w:rPr>
        <w:t>（6）采购文件</w:t>
      </w:r>
    </w:p>
    <w:p>
      <w:pPr>
        <w:adjustRightInd w:val="0"/>
        <w:snapToGrid w:val="0"/>
        <w:spacing w:line="400" w:lineRule="exact"/>
        <w:ind w:firstLine="420" w:firstLineChars="200"/>
        <w:rPr>
          <w:rFonts w:ascii="宋体" w:hAnsi="宋体" w:cs="Times New Roman"/>
          <w:szCs w:val="21"/>
        </w:rPr>
      </w:pPr>
      <w:r>
        <w:rPr>
          <w:rFonts w:ascii="宋体" w:eastAsia="宋体" w:hAnsi="宋体" w:cs="Times New Roman" w:hint="eastAsia"/>
          <w:szCs w:val="21"/>
        </w:rPr>
        <w:t>（7）有关技术文件，图纸</w:t>
      </w:r>
    </w:p>
    <w:p>
      <w:pPr>
        <w:widowControl/>
        <w:autoSpaceDE w:val="0"/>
        <w:autoSpaceDN w:val="0"/>
        <w:adjustRightInd w:val="0"/>
        <w:spacing w:line="400" w:lineRule="exact"/>
        <w:ind w:firstLine="420" w:firstLineChars="200"/>
        <w:jc w:val="left"/>
        <w:rPr>
          <w:rFonts w:ascii="宋体" w:hAnsi="宋体" w:cs="宋体"/>
          <w:szCs w:val="21"/>
        </w:rPr>
      </w:pPr>
      <w:r>
        <w:rPr>
          <w:rFonts w:ascii="宋体" w:eastAsia="宋体" w:hAnsi="宋体" w:cs="宋体" w:hint="eastAsia"/>
          <w:kern w:val="0"/>
          <w:szCs w:val="21"/>
        </w:rPr>
        <w:t>（8）</w:t>
      </w:r>
      <w:r>
        <w:rPr>
          <w:rFonts w:ascii="宋体" w:eastAsia="宋体" w:hAnsi="宋体" w:cs="宋体" w:hint="eastAsia"/>
          <w:color w:val="000000"/>
          <w:szCs w:val="21"/>
        </w:rPr>
        <w:t>国家法律、行政法规和规章制度规定或合同约定的作为合同组成部分的其他文件</w:t>
      </w:r>
    </w:p>
    <w:p>
      <w:pPr>
        <w:numPr>
          <w:ilvl w:val="0"/>
          <w:numId w:val="5"/>
        </w:numPr>
        <w:adjustRightInd w:val="0"/>
        <w:snapToGrid w:val="0"/>
        <w:spacing w:line="400" w:lineRule="exact"/>
        <w:ind w:left="0" w:firstLine="420" w:firstLineChars="200"/>
        <w:rPr>
          <w:rFonts w:ascii="宋体" w:hAnsi="宋体" w:cs="Times New Roman"/>
          <w:b/>
          <w:szCs w:val="21"/>
        </w:rPr>
      </w:pPr>
      <w:r>
        <w:rPr>
          <w:rFonts w:ascii="宋体" w:eastAsia="宋体" w:hAnsi="宋体" w:cs="Times New Roman" w:hint="eastAsia"/>
          <w:b/>
          <w:szCs w:val="21"/>
        </w:rPr>
        <w:t>合同生效</w:t>
      </w:r>
    </w:p>
    <w:p>
      <w:pPr>
        <w:adjustRightInd w:val="0"/>
        <w:snapToGrid w:val="0"/>
        <w:spacing w:line="400" w:lineRule="exact"/>
        <w:ind w:firstLine="420" w:firstLineChars="200"/>
        <w:rPr>
          <w:rFonts w:ascii="宋体" w:hAnsi="宋体" w:cs="Times New Roman"/>
          <w:szCs w:val="21"/>
        </w:rPr>
      </w:pPr>
      <w:r>
        <w:rPr>
          <w:rFonts w:ascii="宋体" w:eastAsia="宋体" w:hAnsi="宋体" w:cs="Times New Roman" w:hint="eastAsia"/>
          <w:szCs w:val="21"/>
        </w:rPr>
        <w:t>本合同自</w:t>
      </w:r>
      <w:r>
        <w:rPr>
          <w:rFonts w:ascii="宋体" w:eastAsia="宋体" w:hAnsi="宋体" w:cs="Times New Roman" w:hint="eastAsia"/>
          <w:szCs w:val="21"/>
          <w:u w:val="single"/>
        </w:rPr>
        <w:t xml:space="preserve">                             </w:t>
      </w:r>
      <w:r>
        <w:rPr>
          <w:rFonts w:ascii="宋体" w:eastAsia="宋体" w:hAnsi="宋体" w:cs="Times New Roman" w:hint="eastAsia"/>
          <w:szCs w:val="21"/>
        </w:rPr>
        <w:t>生效。</w:t>
      </w:r>
    </w:p>
    <w:p>
      <w:pPr>
        <w:numPr>
          <w:ilvl w:val="0"/>
          <w:numId w:val="5"/>
        </w:numPr>
        <w:adjustRightInd w:val="0"/>
        <w:snapToGrid w:val="0"/>
        <w:spacing w:line="400" w:lineRule="exact"/>
        <w:ind w:left="0" w:firstLine="420" w:firstLineChars="200"/>
        <w:rPr>
          <w:rFonts w:ascii="宋体" w:hAnsi="宋体" w:cs="Times New Roman"/>
          <w:b/>
          <w:szCs w:val="21"/>
        </w:rPr>
      </w:pPr>
      <w:r>
        <w:rPr>
          <w:rFonts w:ascii="宋体" w:eastAsia="宋体" w:hAnsi="宋体" w:cs="Times New Roman" w:hint="eastAsia"/>
          <w:b/>
          <w:szCs w:val="21"/>
        </w:rPr>
        <w:t>合同份数</w:t>
      </w:r>
    </w:p>
    <w:p>
      <w:pPr>
        <w:adjustRightInd w:val="0"/>
        <w:snapToGrid w:val="0"/>
        <w:spacing w:line="400" w:lineRule="exact"/>
        <w:ind w:firstLine="420" w:firstLineChars="200"/>
        <w:rPr>
          <w:rFonts w:ascii="宋体" w:hAnsi="宋体" w:cs="Times New Roman"/>
          <w:szCs w:val="21"/>
        </w:rPr>
      </w:pPr>
      <w:r>
        <w:rPr>
          <w:rFonts w:ascii="宋体" w:eastAsia="宋体" w:hAnsi="宋体" w:cs="Times New Roman" w:hint="eastAsia"/>
          <w:szCs w:val="21"/>
        </w:rPr>
        <w:t>本合同一式</w:t>
      </w:r>
      <w:r>
        <w:rPr>
          <w:rFonts w:ascii="宋体" w:eastAsia="宋体" w:hAnsi="宋体" w:cs="Times New Roman" w:hint="eastAsia"/>
          <w:szCs w:val="21"/>
          <w:u w:val="single"/>
        </w:rPr>
        <w:t xml:space="preserve">    </w:t>
      </w:r>
      <w:r>
        <w:rPr>
          <w:rFonts w:ascii="宋体" w:eastAsia="宋体" w:hAnsi="宋体" w:cs="Times New Roman" w:hint="eastAsia"/>
          <w:szCs w:val="21"/>
        </w:rPr>
        <w:t>份，甲方执</w:t>
      </w:r>
      <w:r>
        <w:rPr>
          <w:rFonts w:ascii="宋体" w:eastAsia="宋体" w:hAnsi="宋体" w:cs="Times New Roman" w:hint="eastAsia"/>
          <w:szCs w:val="21"/>
          <w:u w:val="single"/>
        </w:rPr>
        <w:t xml:space="preserve">    </w:t>
      </w:r>
      <w:r>
        <w:rPr>
          <w:rFonts w:ascii="宋体" w:eastAsia="宋体" w:hAnsi="宋体" w:cs="Times New Roman" w:hint="eastAsia"/>
          <w:szCs w:val="21"/>
        </w:rPr>
        <w:t>份，乙方执</w:t>
      </w:r>
      <w:r>
        <w:rPr>
          <w:rFonts w:ascii="宋体" w:eastAsia="宋体" w:hAnsi="宋体" w:cs="Times New Roman" w:hint="eastAsia"/>
          <w:szCs w:val="21"/>
          <w:u w:val="single"/>
        </w:rPr>
        <w:t xml:space="preserve">    </w:t>
      </w:r>
      <w:r>
        <w:rPr>
          <w:rFonts w:ascii="宋体" w:eastAsia="宋体" w:hAnsi="宋体" w:cs="Times New Roman" w:hint="eastAsia"/>
          <w:szCs w:val="21"/>
        </w:rPr>
        <w:t>份，均具有同等法律效力。</w:t>
      </w:r>
    </w:p>
    <w:p>
      <w:pPr>
        <w:adjustRightInd w:val="0"/>
        <w:snapToGrid w:val="0"/>
        <w:spacing w:line="400" w:lineRule="exact"/>
        <w:ind w:firstLine="420" w:firstLineChars="200"/>
        <w:rPr>
          <w:rFonts w:ascii="宋体" w:hAnsi="宋体" w:cs="Times New Roman"/>
          <w:szCs w:val="21"/>
        </w:rPr>
      </w:pPr>
      <w:r>
        <w:rPr>
          <w:rFonts w:ascii="宋体" w:eastAsia="宋体" w:hAnsi="宋体" w:cs="Times New Roman" w:hint="eastAsia"/>
          <w:szCs w:val="21"/>
        </w:rPr>
        <w:t>合同订立时间：</w:t>
      </w:r>
      <w:r>
        <w:rPr>
          <w:rFonts w:ascii="宋体" w:eastAsia="宋体" w:hAnsi="宋体" w:cs="Times New Roman" w:hint="eastAsia"/>
          <w:szCs w:val="21"/>
          <w:u w:val="single"/>
        </w:rPr>
        <w:t xml:space="preserve">         </w:t>
      </w:r>
      <w:r>
        <w:rPr>
          <w:rFonts w:ascii="宋体" w:eastAsia="宋体" w:hAnsi="宋体" w:cs="Times New Roman" w:hint="eastAsia"/>
          <w:szCs w:val="21"/>
        </w:rPr>
        <w:t>年</w:t>
      </w:r>
      <w:r>
        <w:rPr>
          <w:rFonts w:ascii="宋体" w:eastAsia="宋体" w:hAnsi="宋体" w:cs="Times New Roman" w:hint="eastAsia"/>
          <w:szCs w:val="21"/>
          <w:u w:val="single"/>
        </w:rPr>
        <w:t xml:space="preserve">      </w:t>
      </w:r>
      <w:r>
        <w:rPr>
          <w:rFonts w:ascii="宋体" w:eastAsia="宋体" w:hAnsi="宋体" w:cs="Times New Roman" w:hint="eastAsia"/>
          <w:szCs w:val="21"/>
        </w:rPr>
        <w:t>月</w:t>
      </w:r>
      <w:r>
        <w:rPr>
          <w:rFonts w:ascii="宋体" w:eastAsia="宋体" w:hAnsi="宋体" w:cs="Times New Roman" w:hint="eastAsia"/>
          <w:szCs w:val="21"/>
          <w:u w:val="single"/>
        </w:rPr>
        <w:t xml:space="preserve">      </w:t>
      </w:r>
      <w:r>
        <w:rPr>
          <w:rFonts w:ascii="宋体" w:eastAsia="宋体" w:hAnsi="宋体" w:cs="Times New Roman" w:hint="eastAsia"/>
          <w:szCs w:val="21"/>
        </w:rPr>
        <w:t>日</w:t>
      </w:r>
    </w:p>
    <w:p>
      <w:pPr>
        <w:adjustRightInd w:val="0"/>
        <w:snapToGrid w:val="0"/>
        <w:spacing w:line="400" w:lineRule="exact"/>
        <w:ind w:firstLine="420" w:firstLineChars="200"/>
        <w:rPr>
          <w:rFonts w:ascii="宋体" w:hAnsi="宋体" w:cs="Times New Roman"/>
          <w:szCs w:val="21"/>
        </w:rPr>
      </w:pPr>
      <w:r>
        <w:rPr>
          <w:rFonts w:ascii="宋体" w:eastAsia="宋体" w:hAnsi="宋体" w:cs="Times New Roman" w:hint="eastAsia"/>
          <w:szCs w:val="21"/>
        </w:rPr>
        <w:t>合同订立地点：</w:t>
      </w:r>
      <w:r>
        <w:rPr>
          <w:rFonts w:ascii="宋体" w:eastAsia="宋体" w:hAnsi="宋体" w:cs="Times New Roman" w:hint="eastAsia"/>
          <w:szCs w:val="21"/>
          <w:u w:val="single"/>
        </w:rPr>
        <w:t xml:space="preserve">                           </w:t>
      </w:r>
    </w:p>
    <w:p>
      <w:pPr>
        <w:adjustRightInd w:val="0"/>
        <w:snapToGrid w:val="0"/>
        <w:spacing w:line="400" w:lineRule="exact"/>
        <w:ind w:firstLine="420" w:firstLineChars="200"/>
        <w:rPr>
          <w:rFonts w:ascii="Times New Roman" w:hAnsi="Times New Roman" w:cs="Times New Roman"/>
          <w:szCs w:val="20"/>
        </w:rPr>
      </w:pPr>
      <w:r>
        <w:rPr>
          <w:rFonts w:ascii="宋体" w:eastAsia="宋体" w:hAnsi="宋体" w:cs="Times New Roman" w:hint="eastAsia"/>
          <w:szCs w:val="21"/>
        </w:rPr>
        <w:t>附件：具体标的及其技术要求和商务要求、联合协议、分包意向协议等。</w:t>
      </w:r>
    </w:p>
    <w:p>
      <w:pPr>
        <w:rPr>
          <w:rFonts w:ascii="Times New Roman" w:hAnsi="Times New Roman" w:cs="Times New Roman"/>
          <w:szCs w:val="20"/>
        </w:rPr>
      </w:pPr>
      <w:r>
        <w:rPr>
          <w:rFonts w:ascii="Times New Roman" w:eastAsia="宋体" w:hAnsi="Times New Roman" w:cs="Times New Roman" w:hint="eastAsia"/>
          <w:szCs w:val="20"/>
        </w:rPr>
        <w:br w:type="page"/>
      </w:r>
    </w:p>
    <w:p>
      <w:pPr>
        <w:ind w:firstLine="420" w:firstLineChars="200"/>
        <w:rPr>
          <w:rFonts w:ascii="Times New Roman" w:hAnsi="Times New Roman" w:cs="Times New Roman"/>
          <w:szCs w:val="21"/>
        </w:rPr>
      </w:pPr>
    </w:p>
    <w:tbl>
      <w:tblPr>
        <w:tblStyle w:val="TableNormal"/>
        <w:tblW w:w="4927" w:type="pct"/>
        <w:jc w:val="lef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Look w:val="0600"/>
      </w:tblPr>
      <w:tblGrid>
        <w:gridCol w:w="1891"/>
        <w:gridCol w:w="2412"/>
        <w:gridCol w:w="1978"/>
        <w:gridCol w:w="2116"/>
      </w:tblGrid>
      <w:tr>
        <w:tblPrEx>
          <w:tblW w:w="4927" w:type="pct"/>
          <w:jc w:val="lef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Look w:val="0600"/>
        </w:tblPrEx>
        <w:trPr>
          <w:trHeight w:val="490"/>
          <w:jc w:val="left"/>
        </w:trPr>
        <w:tc>
          <w:tcPr>
            <w:tcW w:w="2562" w:type="pct"/>
            <w:gridSpan w:val="2"/>
            <w:tcBorders>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0"/>
              </w:rPr>
            </w:pPr>
            <w:r>
              <w:rPr>
                <w:rFonts w:ascii="Times New Roman" w:eastAsia="宋体" w:hAnsi="Times New Roman" w:cs="Times New Roman"/>
                <w:szCs w:val="21"/>
              </w:rPr>
              <w:t>甲方</w:t>
            </w:r>
            <w:r>
              <w:rPr>
                <w:rFonts w:ascii="Times New Roman" w:eastAsia="宋体" w:hAnsi="Times New Roman" w:cs="Times New Roman" w:hint="eastAsia"/>
                <w:szCs w:val="21"/>
              </w:rPr>
              <w:t>（采购人</w:t>
            </w:r>
            <w:r>
              <w:rPr>
                <w:rFonts w:ascii="宋体" w:eastAsia="宋体" w:hAnsi="宋体" w:cs="Times New Roman" w:hint="eastAsia"/>
                <w:szCs w:val="21"/>
              </w:rPr>
              <w:t>、受采购人委托签订合同的单位或</w:t>
            </w:r>
            <w:r>
              <w:rPr>
                <w:rFonts w:ascii="Times New Roman" w:eastAsia="宋体" w:hAnsi="Times New Roman" w:cs="Times New Roman" w:hint="eastAsia"/>
                <w:szCs w:val="21"/>
              </w:rPr>
              <w:t>采购文件约定的合同甲方）</w:t>
            </w:r>
          </w:p>
        </w:tc>
        <w:tc>
          <w:tcPr>
            <w:tcW w:w="2437" w:type="pct"/>
            <w:gridSpan w:val="2"/>
            <w:tcBorders>
              <w:left w:val="single" w:sz="2" w:space="0" w:color="auto"/>
              <w:bottom w:val="single" w:sz="2" w:space="0" w:color="auto"/>
            </w:tcBorders>
            <w:vAlign w:val="center"/>
          </w:tcPr>
          <w:p>
            <w:pPr>
              <w:adjustRightInd w:val="0"/>
              <w:snapToGrid w:val="0"/>
              <w:spacing w:line="300" w:lineRule="exact"/>
              <w:jc w:val="center"/>
              <w:rPr>
                <w:rFonts w:ascii="Times New Roman" w:hAnsi="Times New Roman" w:cs="Times New Roman"/>
                <w:szCs w:val="20"/>
              </w:rPr>
            </w:pPr>
            <w:r>
              <w:rPr>
                <w:rFonts w:ascii="Times New Roman" w:eastAsia="宋体" w:hAnsi="Times New Roman" w:cs="Times New Roman"/>
                <w:szCs w:val="21"/>
              </w:rPr>
              <w:t>乙方</w:t>
            </w:r>
            <w:r>
              <w:rPr>
                <w:rFonts w:ascii="Times New Roman" w:eastAsia="宋体" w:hAnsi="Times New Roman" w:cs="Times New Roman" w:hint="eastAsia"/>
                <w:szCs w:val="21"/>
              </w:rPr>
              <w:t>（供应商）</w:t>
            </w:r>
          </w:p>
        </w:tc>
      </w:tr>
      <w:tr>
        <w:tblPrEx>
          <w:tblW w:w="4927" w:type="pct"/>
          <w:jc w:val="left"/>
          <w:tblInd w:w="0" w:type="dxa"/>
          <w:tblCellMar>
            <w:top w:w="0" w:type="dxa"/>
            <w:left w:w="108" w:type="dxa"/>
            <w:bottom w:w="0" w:type="dxa"/>
            <w:right w:w="108" w:type="dxa"/>
          </w:tblCellMar>
          <w:tblLook w:val="0600"/>
        </w:tblPrEx>
        <w:trPr>
          <w:trHeight w:val="917"/>
          <w:jc w:val="left"/>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hAnsi="Times New Roman" w:cs="Times New Roman"/>
                <w:spacing w:val="20"/>
                <w:szCs w:val="21"/>
              </w:rPr>
            </w:pPr>
          </w:p>
        </w:tc>
      </w:tr>
      <w:tr>
        <w:tblPrEx>
          <w:tblW w:w="4927" w:type="pct"/>
          <w:jc w:val="left"/>
          <w:tblInd w:w="0" w:type="dxa"/>
          <w:tblCellMar>
            <w:top w:w="0" w:type="dxa"/>
            <w:left w:w="108" w:type="dxa"/>
            <w:bottom w:w="0" w:type="dxa"/>
            <w:right w:w="108" w:type="dxa"/>
          </w:tblCellMar>
          <w:tblLook w:val="0600"/>
        </w:tblPrEx>
        <w:trPr>
          <w:trHeight w:val="1171"/>
          <w:jc w:val="left"/>
        </w:trPr>
        <w:tc>
          <w:tcPr>
            <w:tcW w:w="1126" w:type="pct"/>
            <w:vMerge w:val="restart"/>
            <w:tcBorders>
              <w:top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r>
              <w:rPr>
                <w:rFonts w:ascii="Times New Roman" w:eastAsia="宋体" w:hAnsi="Times New Roman" w:cs="Times New Roman"/>
                <w:szCs w:val="21"/>
              </w:rPr>
              <w:t>法定代表人</w:t>
            </w:r>
          </w:p>
          <w:p>
            <w:pPr>
              <w:adjustRightInd w:val="0"/>
              <w:snapToGrid w:val="0"/>
              <w:spacing w:line="300" w:lineRule="exact"/>
              <w:ind w:firstLine="101" w:firstLineChars="48"/>
              <w:jc w:val="center"/>
              <w:rPr>
                <w:rFonts w:ascii="Times New Roman"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436" w:type="pct"/>
            <w:vMerge w:val="restart"/>
            <w:tcBorders>
              <w:top w:val="single" w:sz="2" w:space="0" w:color="auto"/>
              <w:left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p>
        </w:tc>
        <w:tc>
          <w:tcPr>
            <w:tcW w:w="1178" w:type="pct"/>
            <w:tcBorders>
              <w:top w:val="single" w:sz="2" w:space="0" w:color="auto"/>
              <w:left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r>
              <w:rPr>
                <w:rFonts w:ascii="Times New Roman" w:eastAsia="宋体" w:hAnsi="Times New Roman" w:cs="Times New Roman"/>
                <w:szCs w:val="21"/>
              </w:rPr>
              <w:t>法定代表人</w:t>
            </w:r>
          </w:p>
          <w:p>
            <w:pPr>
              <w:adjustRightInd w:val="0"/>
              <w:snapToGrid w:val="0"/>
              <w:spacing w:line="300" w:lineRule="exact"/>
              <w:jc w:val="center"/>
              <w:rPr>
                <w:rFonts w:ascii="Times New Roman"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hAnsi="Times New Roman" w:cs="Times New Roman"/>
                <w:szCs w:val="21"/>
              </w:rPr>
            </w:pPr>
          </w:p>
        </w:tc>
      </w:tr>
      <w:tr>
        <w:tblPrEx>
          <w:tblW w:w="4927" w:type="pct"/>
          <w:jc w:val="left"/>
          <w:tblInd w:w="0" w:type="dxa"/>
          <w:tblCellMar>
            <w:top w:w="0" w:type="dxa"/>
            <w:left w:w="108" w:type="dxa"/>
            <w:bottom w:w="0" w:type="dxa"/>
            <w:right w:w="108" w:type="dxa"/>
          </w:tblCellMar>
          <w:tblLook w:val="0600"/>
        </w:tblPrEx>
        <w:trPr>
          <w:trHeight w:val="483"/>
          <w:jc w:val="left"/>
        </w:trPr>
        <w:tc>
          <w:tcPr>
            <w:tcW w:w="1126" w:type="pct"/>
            <w:vMerge/>
            <w:tcBorders>
              <w:bottom w:val="single" w:sz="2" w:space="0" w:color="auto"/>
              <w:right w:val="single" w:sz="2" w:space="0" w:color="auto"/>
            </w:tcBorders>
            <w:vAlign w:val="center"/>
          </w:tcPr>
          <w:p/>
        </w:tc>
        <w:tc>
          <w:tcPr>
            <w:tcW w:w="1436" w:type="pct"/>
            <w:vMerge/>
            <w:tcBorders>
              <w:left w:val="single" w:sz="2" w:space="0" w:color="auto"/>
              <w:bottom w:val="single" w:sz="2" w:space="0" w:color="auto"/>
              <w:right w:val="single" w:sz="2" w:space="0" w:color="auto"/>
            </w:tcBorders>
            <w:vAlign w:val="center"/>
          </w:tc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r>
              <w:rPr>
                <w:rFonts w:ascii="Times New Roman" w:eastAsia="宋体" w:hAnsi="Times New Roman" w:cs="Times New Roman" w:hint="eastAsia"/>
                <w:szCs w:val="21"/>
              </w:rPr>
              <w:t>拥有者性别</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hAnsi="Times New Roman" w:cs="Times New Roman"/>
                <w:spacing w:val="20"/>
                <w:szCs w:val="21"/>
              </w:rPr>
            </w:pPr>
          </w:p>
        </w:tc>
      </w:tr>
      <w:tr>
        <w:tblPrEx>
          <w:tblW w:w="4927" w:type="pct"/>
          <w:jc w:val="left"/>
          <w:tblInd w:w="0" w:type="dxa"/>
          <w:tblCellMar>
            <w:top w:w="0" w:type="dxa"/>
            <w:left w:w="108" w:type="dxa"/>
            <w:bottom w:w="0" w:type="dxa"/>
            <w:right w:w="108" w:type="dxa"/>
          </w:tblCellMar>
          <w:tblLook w:val="0600"/>
        </w:tblPrEx>
        <w:trPr>
          <w:trHeight w:val="483"/>
          <w:jc w:val="left"/>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r>
              <w:rPr>
                <w:rFonts w:ascii="Times New Roman" w:eastAsia="宋体" w:hAnsi="Times New Roman" w:cs="Times New Roman"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r>
              <w:rPr>
                <w:rFonts w:ascii="Times New Roman" w:eastAsia="宋体" w:hAnsi="Times New Roman" w:cs="Times New Roman" w:hint="eastAsia"/>
                <w:szCs w:val="21"/>
              </w:rPr>
              <w:t>住  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hAnsi="Times New Roman" w:cs="Times New Roman"/>
                <w:spacing w:val="20"/>
                <w:szCs w:val="21"/>
              </w:rPr>
            </w:pPr>
          </w:p>
        </w:tc>
      </w:tr>
      <w:tr>
        <w:tblPrEx>
          <w:tblW w:w="4927" w:type="pct"/>
          <w:jc w:val="left"/>
          <w:tblInd w:w="0" w:type="dxa"/>
          <w:tblCellMar>
            <w:top w:w="0" w:type="dxa"/>
            <w:left w:w="108" w:type="dxa"/>
            <w:bottom w:w="0" w:type="dxa"/>
            <w:right w:w="108" w:type="dxa"/>
          </w:tblCellMar>
          <w:tblLook w:val="0600"/>
        </w:tblPrEx>
        <w:trPr>
          <w:trHeight w:val="483"/>
          <w:jc w:val="left"/>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r>
              <w:rPr>
                <w:rFonts w:ascii="Times New Roman" w:eastAsia="宋体" w:hAnsi="Times New Roman" w:cs="Times New Roman"/>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r>
              <w:rPr>
                <w:rFonts w:ascii="Times New Roman" w:eastAsia="宋体" w:hAnsi="Times New Roman" w:cs="Times New Roman"/>
                <w:szCs w:val="21"/>
              </w:rPr>
              <w:t>联 系 人</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hAnsi="Times New Roman" w:cs="Times New Roman"/>
                <w:spacing w:val="20"/>
                <w:szCs w:val="21"/>
              </w:rPr>
            </w:pPr>
          </w:p>
        </w:tc>
      </w:tr>
      <w:tr>
        <w:tblPrEx>
          <w:tblW w:w="4927" w:type="pct"/>
          <w:jc w:val="left"/>
          <w:tblInd w:w="0" w:type="dxa"/>
          <w:tblCellMar>
            <w:top w:w="0" w:type="dxa"/>
            <w:left w:w="108" w:type="dxa"/>
            <w:bottom w:w="0" w:type="dxa"/>
            <w:right w:w="108" w:type="dxa"/>
          </w:tblCellMar>
          <w:tblLook w:val="0600"/>
        </w:tblPrEx>
        <w:trPr>
          <w:trHeight w:val="483"/>
          <w:jc w:val="left"/>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r>
              <w:rPr>
                <w:rFonts w:ascii="Times New Roman" w:eastAsia="宋体" w:hAnsi="Times New Roman" w:cs="Times New Roman"/>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r>
              <w:rPr>
                <w:rFonts w:ascii="Times New Roman" w:eastAsia="宋体" w:hAnsi="Times New Roman" w:cs="Times New Roman"/>
                <w:szCs w:val="21"/>
              </w:rPr>
              <w:t>联系电话</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hAnsi="Times New Roman" w:cs="Times New Roman"/>
                <w:spacing w:val="20"/>
                <w:szCs w:val="21"/>
              </w:rPr>
            </w:pPr>
          </w:p>
        </w:tc>
      </w:tr>
      <w:tr>
        <w:tblPrEx>
          <w:tblW w:w="4927" w:type="pct"/>
          <w:jc w:val="left"/>
          <w:tblInd w:w="0" w:type="dxa"/>
          <w:tblCellMar>
            <w:top w:w="0" w:type="dxa"/>
            <w:left w:w="108" w:type="dxa"/>
            <w:bottom w:w="0" w:type="dxa"/>
            <w:right w:w="108" w:type="dxa"/>
          </w:tblCellMar>
          <w:tblLook w:val="0600"/>
        </w:tblPrEx>
        <w:trPr>
          <w:trHeight w:val="483"/>
          <w:jc w:val="left"/>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r>
              <w:rPr>
                <w:rFonts w:ascii="Times New Roman" w:eastAsia="宋体" w:hAnsi="Times New Roman" w:cs="Times New Roman"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r>
              <w:rPr>
                <w:rFonts w:ascii="Times New Roman" w:eastAsia="宋体" w:hAnsi="Times New Roman" w:cs="Times New Roman" w:hint="eastAsia"/>
                <w:szCs w:val="21"/>
              </w:rPr>
              <w:t>通信地址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hAnsi="Times New Roman" w:cs="Times New Roman"/>
                <w:spacing w:val="20"/>
                <w:szCs w:val="21"/>
              </w:rPr>
            </w:pPr>
          </w:p>
        </w:tc>
      </w:tr>
      <w:tr>
        <w:tblPrEx>
          <w:tblW w:w="4927" w:type="pct"/>
          <w:jc w:val="left"/>
          <w:tblInd w:w="0" w:type="dxa"/>
          <w:tblCellMar>
            <w:top w:w="0" w:type="dxa"/>
            <w:left w:w="108" w:type="dxa"/>
            <w:bottom w:w="0" w:type="dxa"/>
            <w:right w:w="108" w:type="dxa"/>
          </w:tblCellMar>
          <w:tblLook w:val="0600"/>
        </w:tblPrEx>
        <w:trPr>
          <w:trHeight w:val="483"/>
          <w:jc w:val="left"/>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r>
              <w:rPr>
                <w:rFonts w:ascii="Times New Roman" w:eastAsia="宋体" w:hAnsi="Times New Roman" w:cs="Times New Roman"/>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r>
              <w:rPr>
                <w:rFonts w:ascii="Times New Roman" w:eastAsia="宋体" w:hAnsi="Times New Roman" w:cs="Times New Roman"/>
                <w:szCs w:val="21"/>
              </w:rPr>
              <w:t>邮政编码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hAnsi="Times New Roman" w:cs="Times New Roman"/>
                <w:spacing w:val="20"/>
                <w:szCs w:val="21"/>
              </w:rPr>
            </w:pPr>
          </w:p>
        </w:tc>
      </w:tr>
      <w:tr>
        <w:tblPrEx>
          <w:tblW w:w="4927" w:type="pct"/>
          <w:jc w:val="left"/>
          <w:tblInd w:w="0" w:type="dxa"/>
          <w:tblCellMar>
            <w:top w:w="0" w:type="dxa"/>
            <w:left w:w="108" w:type="dxa"/>
            <w:bottom w:w="0" w:type="dxa"/>
            <w:right w:w="108" w:type="dxa"/>
          </w:tblCellMar>
          <w:tblLook w:val="0600"/>
        </w:tblPrEx>
        <w:trPr>
          <w:trHeight w:val="483"/>
          <w:jc w:val="left"/>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r>
              <w:rPr>
                <w:rFonts w:ascii="Times New Roman" w:eastAsia="宋体" w:hAnsi="Times New Roman" w:cs="Times New Roman"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r>
              <w:rPr>
                <w:rFonts w:ascii="Times New Roman" w:eastAsia="宋体" w:hAnsi="Times New Roman" w:cs="Times New Roman" w:hint="eastAsia"/>
                <w:szCs w:val="21"/>
              </w:rPr>
              <w:t>电子邮箱</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hAnsi="Times New Roman" w:cs="Times New Roman"/>
                <w:spacing w:val="20"/>
                <w:szCs w:val="21"/>
              </w:rPr>
            </w:pPr>
          </w:p>
        </w:tc>
      </w:tr>
      <w:tr>
        <w:tblPrEx>
          <w:tblW w:w="4927" w:type="pct"/>
          <w:jc w:val="left"/>
          <w:tblInd w:w="0" w:type="dxa"/>
          <w:tblCellMar>
            <w:top w:w="0" w:type="dxa"/>
            <w:left w:w="108" w:type="dxa"/>
            <w:bottom w:w="0" w:type="dxa"/>
            <w:right w:w="108" w:type="dxa"/>
          </w:tblCellMar>
          <w:tblLook w:val="0600"/>
        </w:tblPrEx>
        <w:trPr>
          <w:trHeight w:val="483"/>
          <w:jc w:val="left"/>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r>
              <w:rPr>
                <w:rFonts w:ascii="Times New Roman" w:eastAsia="宋体" w:hAnsi="Times New Roman" w:cs="Times New Roman"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r>
              <w:rPr>
                <w:rFonts w:ascii="Times New Roman" w:eastAsia="宋体" w:hAnsi="Times New Roman" w:cs="Times New Roman" w:hint="eastAsia"/>
                <w:szCs w:val="21"/>
              </w:rPr>
              <w:t>统一社会信用代码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hAnsi="Times New Roman" w:cs="Times New Roman"/>
                <w:spacing w:val="20"/>
                <w:szCs w:val="21"/>
              </w:rPr>
            </w:pPr>
          </w:p>
        </w:tc>
      </w:tr>
      <w:tr>
        <w:tblPrEx>
          <w:tblW w:w="4927" w:type="pct"/>
          <w:jc w:val="left"/>
          <w:tblInd w:w="0" w:type="dxa"/>
          <w:tblCellMar>
            <w:top w:w="0" w:type="dxa"/>
            <w:left w:w="108" w:type="dxa"/>
            <w:bottom w:w="0" w:type="dxa"/>
            <w:right w:w="108" w:type="dxa"/>
          </w:tblCellMar>
          <w:tblLook w:val="0600"/>
        </w:tblPrEx>
        <w:trPr>
          <w:trHeight w:val="483"/>
          <w:jc w:val="left"/>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r>
              <w:rPr>
                <w:rFonts w:ascii="Times New Roman" w:eastAsia="宋体" w:hAnsi="Times New Roman" w:cs="Times New Roman"/>
                <w:szCs w:val="21"/>
              </w:rPr>
              <w:t>开户名称</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hAnsi="Times New Roman" w:cs="Times New Roman"/>
                <w:spacing w:val="20"/>
                <w:szCs w:val="21"/>
              </w:rPr>
            </w:pPr>
          </w:p>
        </w:tc>
      </w:tr>
      <w:tr>
        <w:tblPrEx>
          <w:tblW w:w="4927" w:type="pct"/>
          <w:jc w:val="left"/>
          <w:tblInd w:w="0" w:type="dxa"/>
          <w:tblCellMar>
            <w:top w:w="0" w:type="dxa"/>
            <w:left w:w="108" w:type="dxa"/>
            <w:bottom w:w="0" w:type="dxa"/>
            <w:right w:w="108" w:type="dxa"/>
          </w:tblCellMar>
          <w:tblLook w:val="0600"/>
        </w:tblPrEx>
        <w:trPr>
          <w:trHeight w:val="483"/>
          <w:jc w:val="left"/>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r>
              <w:rPr>
                <w:rFonts w:ascii="Times New Roman" w:eastAsia="宋体" w:hAnsi="Times New Roman" w:cs="Times New Roman"/>
                <w:szCs w:val="21"/>
              </w:rPr>
              <w:t>开户银行</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hAnsi="Times New Roman" w:cs="Times New Roman"/>
                <w:spacing w:val="20"/>
                <w:szCs w:val="21"/>
              </w:rPr>
            </w:pPr>
          </w:p>
        </w:tc>
      </w:tr>
      <w:tr>
        <w:tblPrEx>
          <w:tblW w:w="4927" w:type="pct"/>
          <w:jc w:val="left"/>
          <w:tblInd w:w="0" w:type="dxa"/>
          <w:tblCellMar>
            <w:top w:w="0" w:type="dxa"/>
            <w:left w:w="108" w:type="dxa"/>
            <w:bottom w:w="0" w:type="dxa"/>
            <w:right w:w="108" w:type="dxa"/>
          </w:tblCellMar>
          <w:tblLook w:val="0600"/>
        </w:tblPrEx>
        <w:trPr>
          <w:trHeight w:val="483"/>
          <w:jc w:val="left"/>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hAnsi="Times New Roman" w:cs="Times New Roman"/>
                <w:szCs w:val="21"/>
              </w:rPr>
            </w:pPr>
            <w:r>
              <w:rPr>
                <w:rFonts w:ascii="Times New Roman" w:eastAsia="宋体" w:hAnsi="Times New Roman" w:cs="Times New Roman"/>
                <w:szCs w:val="21"/>
              </w:rPr>
              <w:t>银行账号</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hAnsi="Times New Roman" w:cs="Times New Roman"/>
                <w:spacing w:val="20"/>
                <w:szCs w:val="21"/>
              </w:rPr>
            </w:pPr>
          </w:p>
        </w:tc>
      </w:tr>
      <w:tr>
        <w:tblPrEx>
          <w:tblW w:w="4927" w:type="pct"/>
          <w:jc w:val="left"/>
          <w:tblInd w:w="0" w:type="dxa"/>
          <w:tblCellMar>
            <w:top w:w="0" w:type="dxa"/>
            <w:left w:w="108" w:type="dxa"/>
            <w:bottom w:w="0" w:type="dxa"/>
            <w:right w:w="108" w:type="dxa"/>
          </w:tblCellMar>
          <w:tblLook w:val="0600"/>
        </w:tblPrEx>
        <w:trPr>
          <w:trHeight w:val="586"/>
          <w:jc w:val="left"/>
        </w:trPr>
        <w:tc>
          <w:tcPr>
            <w:tcW w:w="5000" w:type="pct"/>
            <w:gridSpan w:val="4"/>
            <w:tcBorders>
              <w:top w:val="single" w:sz="2" w:space="0" w:color="auto"/>
            </w:tcBorders>
            <w:vAlign w:val="center"/>
          </w:tcPr>
          <w:p>
            <w:pPr>
              <w:adjustRightInd w:val="0"/>
              <w:snapToGrid w:val="0"/>
              <w:spacing w:before="156" w:beforeLines="50" w:line="360" w:lineRule="auto"/>
              <w:jc w:val="left"/>
              <w:rPr>
                <w:rFonts w:ascii="Times New Roman" w:hAnsi="Times New Roman" w:cs="Times New Roman"/>
                <w:spacing w:val="20"/>
                <w:szCs w:val="21"/>
              </w:rPr>
            </w:pPr>
            <w:r>
              <w:rPr>
                <w:rFonts w:ascii="宋体" w:eastAsia="宋体" w:hAnsi="宋体" w:cs="Times New Roman" w:hint="eastAsia"/>
                <w:szCs w:val="21"/>
              </w:rPr>
              <w:t>注：涉及联合体或其他合同主体的信息应按上表格式加列。</w:t>
            </w:r>
          </w:p>
        </w:tc>
      </w:tr>
    </w:tbl>
    <w:p>
      <w:pPr>
        <w:keepNext/>
        <w:keepLines/>
        <w:adjustRightInd w:val="0"/>
        <w:snapToGrid w:val="0"/>
        <w:spacing w:before="156" w:beforeLines="50" w:after="260" w:line="416" w:lineRule="atLeast"/>
        <w:jc w:val="center"/>
        <w:outlineLvl w:val="1"/>
        <w:rPr>
          <w:rFonts w:ascii="黑体" w:eastAsia="黑体" w:hAnsi="黑体" w:cs="Times New Roman"/>
          <w:b/>
          <w:bCs/>
          <w:sz w:val="28"/>
          <w:szCs w:val="28"/>
        </w:rPr>
      </w:pPr>
      <w:r>
        <w:rPr>
          <w:rFonts w:ascii="宋体" w:eastAsia="黑体" w:hAnsi="宋体" w:cs="Times New Roman"/>
          <w:b/>
          <w:bCs/>
          <w:szCs w:val="21"/>
          <w:u w:val="single"/>
        </w:rPr>
        <w:br w:type="page"/>
      </w:r>
      <w:bookmarkStart w:id="68" w:name="_Toc27624"/>
      <w:r>
        <w:rPr>
          <w:rFonts w:ascii="黑体" w:eastAsia="黑体" w:hAnsi="黑体" w:cs="Times New Roman" w:hint="eastAsia"/>
          <w:sz w:val="28"/>
          <w:szCs w:val="28"/>
        </w:rPr>
        <w:t>第二节 政府采购合同通用条款</w:t>
      </w:r>
      <w:bookmarkEnd w:id="68"/>
    </w:p>
    <w:p>
      <w:pPr>
        <w:tabs>
          <w:tab w:val="left" w:pos="8820"/>
          <w:tab w:val="left" w:pos="9345"/>
          <w:tab w:val="left" w:pos="9765"/>
        </w:tabs>
        <w:adjustRightInd w:val="0"/>
        <w:snapToGrid w:val="0"/>
        <w:spacing w:line="400" w:lineRule="exact"/>
        <w:jc w:val="left"/>
        <w:rPr>
          <w:rFonts w:ascii="宋体" w:hAnsi="宋体" w:cs="Times New Roman"/>
          <w:b/>
          <w:bCs/>
          <w:szCs w:val="20"/>
        </w:rPr>
      </w:pPr>
      <w:r>
        <w:rPr>
          <w:rFonts w:ascii="宋体" w:eastAsia="宋体" w:hAnsi="宋体" w:cs="Times New Roman" w:hint="eastAsia"/>
          <w:b/>
          <w:sz w:val="24"/>
          <w:szCs w:val="20"/>
        </w:rPr>
        <w:t xml:space="preserve">1. </w:t>
      </w:r>
      <w:r>
        <w:rPr>
          <w:rFonts w:ascii="宋体" w:eastAsia="宋体" w:hAnsi="宋体" w:cs="Times New Roman" w:hint="eastAsia"/>
          <w:b/>
          <w:bCs/>
          <w:sz w:val="24"/>
          <w:szCs w:val="20"/>
        </w:rPr>
        <w:t>定义</w:t>
      </w:r>
    </w:p>
    <w:p>
      <w:pPr>
        <w:autoSpaceDE w:val="0"/>
        <w:autoSpaceDN w:val="0"/>
        <w:adjustRightInd w:val="0"/>
        <w:snapToGrid w:val="0"/>
        <w:spacing w:line="400" w:lineRule="exact"/>
        <w:ind w:firstLine="420" w:firstLineChars="200"/>
        <w:jc w:val="left"/>
        <w:rPr>
          <w:rFonts w:ascii="宋体" w:hAnsi="宋体" w:cs="Times New Roman"/>
          <w:color w:val="000000"/>
          <w:szCs w:val="21"/>
        </w:rPr>
      </w:pPr>
      <w:r>
        <w:rPr>
          <w:rFonts w:ascii="宋体" w:eastAsia="宋体" w:hAnsi="宋体" w:cs="Times New Roman" w:hint="eastAsia"/>
          <w:color w:val="000000"/>
          <w:szCs w:val="21"/>
        </w:rPr>
        <w:t>1.1合同当事人</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（3）其他合同主体是指除采购人和供应商以外，</w:t>
      </w:r>
      <w:r>
        <w:rPr>
          <w:rFonts w:ascii="宋体" w:eastAsia="宋体" w:hAnsi="宋体" w:cs="宋体" w:hint="eastAsia"/>
          <w:bCs/>
          <w:color w:val="000000"/>
          <w:szCs w:val="21"/>
        </w:rPr>
        <w:t>依法参与合同缔结或履行，享有权利、承担义务的合同当事人</w:t>
      </w:r>
      <w:r>
        <w:rPr>
          <w:rFonts w:ascii="宋体" w:eastAsia="宋体" w:hAnsi="宋体" w:cs="Times New Roman"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1.2本合同下列术语应解释为：</w:t>
      </w:r>
    </w:p>
    <w:p>
      <w:pPr>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（1）“合同”系指</w:t>
      </w:r>
      <w:r>
        <w:rPr>
          <w:rFonts w:ascii="宋体" w:eastAsia="宋体" w:hAnsi="宋体" w:cs="宋体" w:hint="eastAsia"/>
          <w:bCs/>
          <w:color w:val="000000"/>
          <w:szCs w:val="21"/>
        </w:rPr>
        <w:t>合同当事人意思表示达成一致的任何协议，包括签署的</w:t>
      </w:r>
      <w:r>
        <w:rPr>
          <w:rFonts w:ascii="宋体" w:eastAsia="宋体" w:hAnsi="宋体" w:cs="Times New Roman" w:hint="eastAsia"/>
          <w:szCs w:val="21"/>
        </w:rPr>
        <w:t>政府采购合同协议书及其变更、补充协议，政府采购合同专用条款，政府采购合同通用条款，中标（成交）通知书，投标（响应）文件，采购文件，有关技术文件和图纸，以及</w:t>
      </w:r>
      <w:r>
        <w:rPr>
          <w:rFonts w:ascii="宋体" w:eastAsia="宋体" w:hAnsi="宋体" w:cs="宋体" w:hint="eastAsia"/>
          <w:color w:val="000000"/>
          <w:szCs w:val="21"/>
        </w:rPr>
        <w:t>国家法律、行政法规和规章制度规定或合同约定的作为合同组成部分的其他文件</w:t>
      </w:r>
      <w:r>
        <w:rPr>
          <w:rFonts w:ascii="宋体" w:eastAsia="宋体" w:hAnsi="宋体" w:cs="Times New Roman"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s="Times New Roman"/>
          <w:color w:val="000000"/>
          <w:szCs w:val="21"/>
        </w:rPr>
      </w:pPr>
      <w:r>
        <w:rPr>
          <w:rFonts w:ascii="宋体" w:eastAsia="宋体" w:hAnsi="宋体" w:cs="Times New Roman" w:hint="eastAsia"/>
          <w:szCs w:val="21"/>
        </w:rPr>
        <w:t>（3）“货物”系指乙方根据本合同规定须向甲方提供的各种形态和种类的物品，包括原材料、设备、产品（</w:t>
      </w:r>
      <w:r>
        <w:rPr>
          <w:rFonts w:ascii="宋体" w:eastAsia="宋体" w:hAnsi="宋体" w:cs="Times New Roman" w:hint="eastAsia"/>
          <w:color w:val="000000"/>
          <w:szCs w:val="21"/>
        </w:rPr>
        <w:t>包括软件）及相关的其备品备件、工具、手册及</w:t>
      </w:r>
      <w:r>
        <w:rPr>
          <w:rFonts w:ascii="宋体" w:eastAsia="宋体" w:hAnsi="宋体" w:cs="Times New Roman"/>
          <w:color w:val="000000"/>
          <w:szCs w:val="21"/>
        </w:rPr>
        <w:t>其他</w:t>
      </w:r>
      <w:r>
        <w:rPr>
          <w:rFonts w:ascii="宋体" w:eastAsia="宋体" w:hAnsi="宋体" w:cs="Times New Roman" w:hint="eastAsia"/>
          <w:color w:val="000000"/>
          <w:szCs w:val="21"/>
        </w:rPr>
        <w:t>技术资料和材料等。</w:t>
      </w:r>
    </w:p>
    <w:p>
      <w:pPr>
        <w:adjustRightInd w:val="0"/>
        <w:snapToGrid w:val="0"/>
        <w:spacing w:line="400" w:lineRule="exact"/>
        <w:ind w:firstLine="420" w:firstLineChars="200"/>
        <w:jc w:val="left"/>
        <w:rPr>
          <w:rFonts w:ascii="宋体" w:hAnsi="宋体" w:cs="Times New Roman"/>
          <w:color w:val="000000"/>
          <w:szCs w:val="21"/>
          <w:highlight w:val="yellow"/>
        </w:rPr>
      </w:pPr>
      <w:r>
        <w:rPr>
          <w:rFonts w:ascii="宋体" w:eastAsia="宋体" w:hAnsi="宋体" w:cs="Times New Roman" w:hint="eastAsia"/>
          <w:color w:val="000000"/>
          <w:szCs w:val="21"/>
        </w:rPr>
        <w:t>（4）“</w:t>
      </w:r>
      <w:r>
        <w:rPr>
          <w:rFonts w:ascii="宋体" w:eastAsia="宋体" w:hAnsi="宋体" w:cs="Times New Roman" w:hint="eastAsia"/>
          <w:szCs w:val="21"/>
        </w:rPr>
        <w:t>相关</w:t>
      </w:r>
      <w:r>
        <w:rPr>
          <w:rFonts w:ascii="宋体" w:eastAsia="宋体" w:hAnsi="宋体" w:cs="Times New Roman" w:hint="eastAsia"/>
          <w:color w:val="000000"/>
          <w:szCs w:val="21"/>
        </w:rPr>
        <w:t>服务”系指根据合同规定，乙方应提供的与货物有关的技术、管理和</w:t>
      </w:r>
      <w:r>
        <w:rPr>
          <w:rFonts w:ascii="宋体" w:eastAsia="宋体" w:hAnsi="宋体" w:cs="Times New Roman"/>
          <w:color w:val="000000"/>
          <w:szCs w:val="21"/>
        </w:rPr>
        <w:t>其他</w:t>
      </w:r>
      <w:r>
        <w:rPr>
          <w:rFonts w:ascii="宋体" w:eastAsia="宋体" w:hAnsi="宋体" w:cs="Times New Roman" w:hint="eastAsia"/>
          <w:color w:val="000000"/>
          <w:szCs w:val="21"/>
        </w:rPr>
        <w:t>服务，包括但不限于：管理和质量保证、运输、保险、检验、现场准备、安装、集成、调试、培训、维修、废弃处置、技术支持等以及合同中规定乙方应承担的</w:t>
      </w:r>
      <w:r>
        <w:rPr>
          <w:rFonts w:ascii="宋体" w:eastAsia="宋体" w:hAnsi="宋体" w:cs="Times New Roman"/>
          <w:color w:val="000000"/>
          <w:szCs w:val="21"/>
        </w:rPr>
        <w:t>其他</w:t>
      </w:r>
      <w:r>
        <w:rPr>
          <w:rFonts w:ascii="宋体" w:eastAsia="宋体" w:hAnsi="宋体" w:cs="Times New Roman" w:hint="eastAsia"/>
          <w:color w:val="000000"/>
          <w:szCs w:val="21"/>
        </w:rPr>
        <w:t>义务。</w:t>
      </w:r>
    </w:p>
    <w:p>
      <w:pPr>
        <w:adjustRightInd w:val="0"/>
        <w:snapToGrid w:val="0"/>
        <w:spacing w:line="400" w:lineRule="exact"/>
        <w:ind w:firstLine="420" w:firstLineChars="200"/>
        <w:jc w:val="left"/>
        <w:rPr>
          <w:rFonts w:ascii="宋体" w:hAnsi="宋体" w:cs="Times New Roman"/>
          <w:color w:val="000000"/>
          <w:szCs w:val="21"/>
          <w:highlight w:val="yellow"/>
        </w:rPr>
      </w:pPr>
      <w:r>
        <w:rPr>
          <w:rFonts w:ascii="宋体" w:eastAsia="宋体" w:hAnsi="宋体" w:cs="Times New Roman" w:hint="eastAsia"/>
          <w:color w:val="000000"/>
          <w:szCs w:val="21"/>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s="Times New Roman"/>
          <w:color w:val="000000"/>
          <w:szCs w:val="21"/>
        </w:rPr>
      </w:pPr>
      <w:r>
        <w:rPr>
          <w:rFonts w:ascii="宋体" w:eastAsia="宋体" w:hAnsi="宋体" w:cs="Times New Roman" w:hint="eastAsia"/>
          <w:color w:val="000000"/>
          <w:szCs w:val="21"/>
        </w:rPr>
        <w:t>（6）</w:t>
      </w:r>
      <w:r>
        <w:rPr>
          <w:rFonts w:ascii="宋体" w:eastAsia="宋体" w:hAnsi="宋体" w:cs="Times New Roman" w:hint="eastAsia"/>
          <w:szCs w:val="21"/>
        </w:rPr>
        <w:t>“联合体”系指由两个以上的自然人、法人或者非法人组织组成，以一个供应商的身份共同参加政府采购的主体</w:t>
      </w:r>
      <w:r>
        <w:rPr>
          <w:rFonts w:ascii="宋体" w:eastAsia="宋体" w:hAnsi="宋体" w:cs="Times New Roman"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cs="Times New Roman"/>
          <w:color w:val="000000"/>
          <w:szCs w:val="21"/>
        </w:rPr>
      </w:pPr>
      <w:r>
        <w:rPr>
          <w:rFonts w:ascii="宋体" w:eastAsia="宋体" w:hAnsi="宋体" w:cs="Times New Roman" w:hint="eastAsia"/>
          <w:color w:val="000000"/>
          <w:szCs w:val="21"/>
        </w:rPr>
        <w:t>（7）其他术语解释，见【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pPr>
        <w:numPr>
          <w:ilvl w:val="0"/>
          <w:numId w:val="8"/>
        </w:numPr>
        <w:autoSpaceDE w:val="0"/>
        <w:autoSpaceDN w:val="0"/>
        <w:adjustRightInd w:val="0"/>
        <w:snapToGrid w:val="0"/>
        <w:spacing w:line="400" w:lineRule="exact"/>
        <w:jc w:val="left"/>
        <w:rPr>
          <w:rFonts w:ascii="宋体" w:hAnsi="宋体" w:cs="Times New Roman"/>
          <w:b/>
          <w:bCs/>
          <w:color w:val="000000"/>
          <w:szCs w:val="20"/>
        </w:rPr>
      </w:pPr>
      <w:r>
        <w:rPr>
          <w:rFonts w:ascii="宋体" w:eastAsia="宋体" w:hAnsi="宋体" w:cs="Times New Roman" w:hint="eastAsia"/>
          <w:b/>
          <w:color w:val="000000"/>
          <w:sz w:val="24"/>
          <w:szCs w:val="20"/>
        </w:rPr>
        <w:t>合同标的及金额</w:t>
      </w:r>
    </w:p>
    <w:p>
      <w:pPr>
        <w:autoSpaceDE w:val="0"/>
        <w:autoSpaceDN w:val="0"/>
        <w:adjustRightInd w:val="0"/>
        <w:snapToGrid w:val="0"/>
        <w:spacing w:line="400" w:lineRule="exact"/>
        <w:ind w:firstLine="420" w:firstLineChars="200"/>
        <w:jc w:val="left"/>
        <w:rPr>
          <w:rFonts w:ascii="宋体" w:hAnsi="宋体" w:cs="Times New Roman"/>
          <w:b/>
          <w:bCs/>
          <w:i/>
          <w:iCs/>
          <w:color w:val="000000"/>
          <w:szCs w:val="21"/>
        </w:rPr>
      </w:pPr>
      <w:r>
        <w:rPr>
          <w:rFonts w:ascii="宋体" w:eastAsia="宋体" w:hAnsi="宋体" w:cs="Times New Roman" w:hint="eastAsia"/>
          <w:color w:val="000000"/>
          <w:szCs w:val="21"/>
        </w:rPr>
        <w:t>2.1 合同标的及金额应与中标（成交）结果一致。乙方为履行本合同而发生的所有费用均应包含在合同价款中，甲方不再另行支付</w:t>
      </w:r>
      <w:r>
        <w:rPr>
          <w:rFonts w:ascii="宋体" w:eastAsia="宋体" w:hAnsi="宋体" w:cs="Times New Roman"/>
          <w:color w:val="000000"/>
          <w:szCs w:val="21"/>
        </w:rPr>
        <w:t>其他</w:t>
      </w:r>
      <w:r>
        <w:rPr>
          <w:rFonts w:ascii="宋体" w:eastAsia="宋体" w:hAnsi="宋体" w:cs="Times New Roman" w:hint="eastAsia"/>
          <w:color w:val="000000"/>
          <w:szCs w:val="21"/>
        </w:rPr>
        <w:t>任何费用。</w:t>
      </w:r>
    </w:p>
    <w:p>
      <w:pPr>
        <w:adjustRightInd w:val="0"/>
        <w:snapToGrid w:val="0"/>
        <w:spacing w:line="400" w:lineRule="exact"/>
        <w:jc w:val="left"/>
        <w:rPr>
          <w:rFonts w:ascii="宋体" w:hAnsi="宋体" w:cs="Times New Roman"/>
          <w:b/>
          <w:color w:val="000000"/>
          <w:szCs w:val="20"/>
        </w:rPr>
      </w:pPr>
      <w:r>
        <w:rPr>
          <w:rFonts w:ascii="宋体" w:eastAsia="宋体" w:hAnsi="宋体" w:cs="Times New Roman" w:hint="eastAsia"/>
          <w:b/>
          <w:color w:val="000000"/>
          <w:sz w:val="24"/>
          <w:szCs w:val="20"/>
        </w:rPr>
        <w:t>3. 履行合同的时间、地点和方式</w:t>
      </w:r>
    </w:p>
    <w:p>
      <w:pPr>
        <w:autoSpaceDE w:val="0"/>
        <w:autoSpaceDN w:val="0"/>
        <w:adjustRightInd w:val="0"/>
        <w:snapToGrid w:val="0"/>
        <w:spacing w:line="400" w:lineRule="exact"/>
        <w:ind w:firstLine="420" w:firstLineChars="200"/>
        <w:jc w:val="left"/>
        <w:rPr>
          <w:rFonts w:ascii="宋体" w:hAnsi="宋体" w:cs="Times New Roman"/>
          <w:color w:val="000000"/>
          <w:szCs w:val="21"/>
        </w:rPr>
      </w:pPr>
      <w:r>
        <w:rPr>
          <w:rFonts w:ascii="宋体" w:eastAsia="宋体" w:hAnsi="宋体" w:cs="Times New Roman" w:hint="eastAsia"/>
          <w:color w:val="000000"/>
          <w:szCs w:val="21"/>
        </w:rPr>
        <w:t xml:space="preserve">3.1 </w:t>
      </w:r>
      <w:r>
        <w:rPr>
          <w:rFonts w:ascii="宋体" w:eastAsia="宋体" w:hAnsi="宋体" w:cs="宋体" w:hint="eastAsia"/>
          <w:szCs w:val="21"/>
        </w:rPr>
        <w:t>乙方应当在约定的时间、地点，按照约定方式履行合同。</w:t>
      </w:r>
    </w:p>
    <w:p>
      <w:pPr>
        <w:autoSpaceDE w:val="0"/>
        <w:autoSpaceDN w:val="0"/>
        <w:adjustRightInd w:val="0"/>
        <w:snapToGrid w:val="0"/>
        <w:spacing w:line="400" w:lineRule="exact"/>
        <w:jc w:val="left"/>
        <w:rPr>
          <w:rFonts w:ascii="宋体" w:hAnsi="宋体" w:cs="Times New Roman"/>
          <w:b/>
          <w:bCs/>
          <w:color w:val="000000"/>
          <w:szCs w:val="20"/>
        </w:rPr>
      </w:pPr>
      <w:r>
        <w:rPr>
          <w:rFonts w:ascii="宋体" w:eastAsia="宋体" w:hAnsi="宋体" w:cs="Times New Roman" w:hint="eastAsia"/>
          <w:b/>
          <w:bCs/>
          <w:color w:val="000000"/>
          <w:sz w:val="24"/>
          <w:szCs w:val="20"/>
        </w:rPr>
        <w:t>4. 甲方的权利和义务</w:t>
      </w:r>
    </w:p>
    <w:p>
      <w:pPr>
        <w:autoSpaceDE w:val="0"/>
        <w:autoSpaceDN w:val="0"/>
        <w:adjustRightInd w:val="0"/>
        <w:snapToGrid w:val="0"/>
        <w:spacing w:line="400" w:lineRule="exact"/>
        <w:ind w:firstLine="420" w:firstLineChars="200"/>
        <w:jc w:val="left"/>
        <w:rPr>
          <w:rFonts w:ascii="宋体" w:hAnsi="宋体" w:cs="Times New Roman"/>
          <w:color w:val="000000"/>
          <w:szCs w:val="21"/>
        </w:rPr>
      </w:pPr>
      <w:r>
        <w:rPr>
          <w:rFonts w:ascii="宋体" w:eastAsia="宋体" w:hAnsi="宋体" w:cs="Times New Roman" w:hint="eastAsia"/>
          <w:color w:val="000000"/>
          <w:szCs w:val="21"/>
        </w:rPr>
        <w:t>4.1</w:t>
      </w:r>
      <w:r>
        <w:rPr>
          <w:rFonts w:ascii="宋体" w:eastAsia="宋体" w:hAnsi="宋体" w:cs="Times New Roman"/>
          <w:color w:val="000000"/>
          <w:szCs w:val="21"/>
        </w:rPr>
        <w:t xml:space="preserve"> 签署合同后，甲方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r>
        <w:rPr>
          <w:rFonts w:ascii="宋体" w:eastAsia="宋体" w:hAnsi="宋体" w:cs="Times New Roman" w:hint="eastAsia"/>
          <w:color w:val="000000"/>
          <w:szCs w:val="21"/>
        </w:rPr>
        <w:t>甲方有权对乙方的履约行为进行检查，并</w:t>
      </w:r>
      <w:r>
        <w:rPr>
          <w:rFonts w:ascii="宋体" w:eastAsia="宋体" w:hAnsi="宋体" w:cs="Times New Roman"/>
          <w:color w:val="000000"/>
          <w:szCs w:val="21"/>
        </w:rPr>
        <w:t>及时确认乙方提交的事项</w:t>
      </w:r>
      <w:r>
        <w:rPr>
          <w:rFonts w:ascii="宋体" w:eastAsia="宋体" w:hAnsi="宋体" w:cs="Times New Roman" w:hint="eastAsia"/>
          <w:color w:val="000000"/>
          <w:szCs w:val="21"/>
        </w:rPr>
        <w:t>。甲方应当</w:t>
      </w:r>
      <w:r>
        <w:rPr>
          <w:rFonts w:ascii="宋体" w:eastAsia="宋体" w:hAnsi="宋体" w:cs="Times New Roman"/>
          <w:color w:val="000000"/>
          <w:szCs w:val="21"/>
        </w:rPr>
        <w:t>配合乙方完成</w:t>
      </w:r>
      <w:r>
        <w:rPr>
          <w:rFonts w:ascii="宋体" w:eastAsia="宋体" w:hAnsi="宋体" w:cs="Times New Roman" w:hint="eastAsia"/>
          <w:color w:val="000000"/>
          <w:szCs w:val="21"/>
        </w:rPr>
        <w:t>相关项目</w:t>
      </w:r>
      <w:r>
        <w:rPr>
          <w:rFonts w:ascii="宋体" w:eastAsia="宋体" w:hAnsi="宋体" w:cs="Times New Roman"/>
          <w:color w:val="000000"/>
          <w:szCs w:val="21"/>
        </w:rPr>
        <w:t>实施工作。</w:t>
      </w:r>
    </w:p>
    <w:p>
      <w:pPr>
        <w:autoSpaceDE w:val="0"/>
        <w:autoSpaceDN w:val="0"/>
        <w:adjustRightInd w:val="0"/>
        <w:snapToGrid w:val="0"/>
        <w:spacing w:line="400" w:lineRule="exact"/>
        <w:ind w:firstLine="420" w:firstLineChars="200"/>
        <w:jc w:val="left"/>
        <w:rPr>
          <w:rFonts w:ascii="宋体" w:hAnsi="宋体" w:cs="Times New Roman"/>
          <w:color w:val="000000"/>
          <w:szCs w:val="21"/>
        </w:rPr>
      </w:pPr>
      <w:r>
        <w:rPr>
          <w:rFonts w:ascii="宋体" w:eastAsia="宋体" w:hAnsi="宋体" w:cs="Times New Roman" w:hint="eastAsia"/>
          <w:color w:val="000000"/>
          <w:szCs w:val="21"/>
        </w:rPr>
        <w:t xml:space="preserve">4.2 </w:t>
      </w:r>
      <w:r>
        <w:rPr>
          <w:rFonts w:ascii="宋体" w:eastAsia="宋体" w:hAnsi="宋体" w:cs="Times New Roman"/>
          <w:color w:val="000000"/>
          <w:szCs w:val="21"/>
        </w:rPr>
        <w:t>甲方有权要求乙方按时提交各阶段有关</w:t>
      </w:r>
      <w:r>
        <w:rPr>
          <w:rFonts w:ascii="宋体" w:eastAsia="宋体" w:hAnsi="宋体" w:cs="Times New Roman" w:hint="eastAsia"/>
          <w:color w:val="000000"/>
          <w:szCs w:val="21"/>
        </w:rPr>
        <w:t>安排计划</w:t>
      </w:r>
      <w:r>
        <w:rPr>
          <w:rFonts w:ascii="宋体" w:eastAsia="宋体" w:hAnsi="宋体" w:cs="Times New Roman"/>
          <w:color w:val="000000"/>
          <w:szCs w:val="21"/>
        </w:rPr>
        <w:t>，并有权</w:t>
      </w:r>
      <w:r>
        <w:rPr>
          <w:rFonts w:ascii="宋体" w:eastAsia="宋体" w:hAnsi="宋体" w:cs="Times New Roman" w:hint="eastAsia"/>
          <w:color w:val="000000"/>
          <w:szCs w:val="21"/>
        </w:rPr>
        <w:t>定期核对乙方提供货物数量、规格、质量等内容。甲方</w:t>
      </w:r>
      <w:r>
        <w:rPr>
          <w:rFonts w:ascii="宋体" w:eastAsia="宋体" w:hAnsi="宋体" w:cs="Times New Roman"/>
          <w:color w:val="000000"/>
          <w:szCs w:val="21"/>
        </w:rPr>
        <w:t>有权督促乙方工作并要求乙方</w:t>
      </w:r>
      <w:r>
        <w:rPr>
          <w:rFonts w:ascii="宋体" w:eastAsia="宋体" w:hAnsi="宋体" w:cs="Times New Roman" w:hint="eastAsia"/>
          <w:color w:val="000000"/>
          <w:szCs w:val="21"/>
        </w:rPr>
        <w:t>更</w:t>
      </w:r>
      <w:r>
        <w:rPr>
          <w:rFonts w:ascii="宋体" w:eastAsia="宋体" w:hAnsi="宋体" w:cs="Times New Roman"/>
          <w:color w:val="000000"/>
          <w:szCs w:val="21"/>
        </w:rPr>
        <w:t>换不符合要求的</w:t>
      </w:r>
      <w:r>
        <w:rPr>
          <w:rFonts w:ascii="宋体" w:eastAsia="宋体" w:hAnsi="宋体" w:cs="Times New Roman" w:hint="eastAsia"/>
          <w:color w:val="000000"/>
          <w:szCs w:val="21"/>
        </w:rPr>
        <w:t>货物</w:t>
      </w:r>
      <w:r>
        <w:rPr>
          <w:rFonts w:ascii="宋体" w:eastAsia="宋体" w:hAnsi="宋体" w:cs="Times New Roman"/>
          <w:color w:val="000000"/>
          <w:szCs w:val="21"/>
        </w:rPr>
        <w:t>。</w:t>
      </w:r>
    </w:p>
    <w:p>
      <w:pPr>
        <w:autoSpaceDE w:val="0"/>
        <w:autoSpaceDN w:val="0"/>
        <w:adjustRightInd w:val="0"/>
        <w:snapToGrid w:val="0"/>
        <w:spacing w:line="400" w:lineRule="exact"/>
        <w:ind w:firstLine="420" w:firstLineChars="200"/>
        <w:jc w:val="left"/>
        <w:rPr>
          <w:rFonts w:ascii="宋体" w:hAnsi="宋体" w:cs="Times New Roman"/>
          <w:color w:val="000000"/>
          <w:szCs w:val="21"/>
        </w:rPr>
      </w:pPr>
      <w:r>
        <w:rPr>
          <w:rFonts w:ascii="宋体" w:eastAsia="宋体" w:hAnsi="宋体" w:cs="Times New Roman" w:hint="eastAsia"/>
          <w:color w:val="000000"/>
          <w:szCs w:val="21"/>
        </w:rPr>
        <w:t>4.</w:t>
      </w:r>
      <w:r>
        <w:rPr>
          <w:rFonts w:ascii="宋体" w:eastAsia="宋体" w:hAnsi="宋体" w:cs="Times New Roman"/>
          <w:color w:val="000000"/>
          <w:szCs w:val="21"/>
        </w:rPr>
        <w:t>3</w:t>
      </w:r>
      <w:r>
        <w:rPr>
          <w:rFonts w:ascii="宋体" w:eastAsia="宋体" w:hAnsi="宋体" w:cs="Times New Roman" w:hint="eastAsia"/>
          <w:color w:val="000000"/>
          <w:szCs w:val="21"/>
        </w:rPr>
        <w:t xml:space="preserve"> </w:t>
      </w:r>
      <w:r>
        <w:rPr>
          <w:rFonts w:ascii="宋体" w:eastAsia="宋体" w:hAnsi="宋体" w:cs="Times New Roman"/>
          <w:color w:val="000000"/>
          <w:szCs w:val="21"/>
        </w:rPr>
        <w:t>甲方</w:t>
      </w:r>
      <w:r>
        <w:rPr>
          <w:rFonts w:ascii="宋体" w:eastAsia="宋体" w:hAnsi="宋体" w:cs="Times New Roman" w:hint="eastAsia"/>
          <w:color w:val="000000"/>
          <w:szCs w:val="21"/>
        </w:rPr>
        <w:t>有权要求乙方对缺陷部分予以修复，并按合同约定享有货物保修及其他合同约定的权利。</w:t>
      </w:r>
    </w:p>
    <w:p>
      <w:pPr>
        <w:snapToGrid w:val="0"/>
        <w:spacing w:line="400" w:lineRule="exact"/>
        <w:ind w:firstLine="420" w:firstLineChars="200"/>
        <w:rPr>
          <w:rFonts w:ascii="Times New Roman" w:eastAsia="华文楷体" w:hAnsi="Times New Roman" w:cs="Times New Roman"/>
          <w:szCs w:val="20"/>
        </w:rPr>
      </w:pPr>
      <w:r>
        <w:rPr>
          <w:rFonts w:ascii="宋体" w:eastAsia="宋体" w:hAnsi="宋体" w:cs="Times New Roman"/>
          <w:color w:val="000000"/>
          <w:szCs w:val="21"/>
        </w:rPr>
        <w:t>4.4 甲方应当按照合同约定及时对交付的货物进行验收</w:t>
      </w:r>
      <w:r>
        <w:rPr>
          <w:rFonts w:ascii="宋体" w:eastAsia="宋体" w:hAnsi="宋体" w:cs="Times New Roman" w:hint="eastAsia"/>
          <w:color w:val="000000"/>
          <w:szCs w:val="21"/>
        </w:rPr>
        <w:t>，</w:t>
      </w:r>
      <w:r>
        <w:rPr>
          <w:rFonts w:ascii="宋体" w:eastAsia="宋体" w:hAnsi="宋体" w:cs="宋体" w:hint="eastAsia"/>
          <w:szCs w:val="21"/>
        </w:rPr>
        <w:t>未</w:t>
      </w:r>
      <w:r>
        <w:rPr>
          <w:rFonts w:ascii="宋体" w:eastAsia="宋体" w:hAnsi="宋体" w:cs="Times New Roman" w:hint="eastAsia"/>
          <w:color w:val="000000"/>
          <w:szCs w:val="21"/>
        </w:rPr>
        <w:t>在</w:t>
      </w:r>
      <w:r>
        <w:rPr>
          <w:rFonts w:ascii="宋体" w:eastAsia="宋体" w:hAnsi="宋体" w:cs="宋体" w:hint="eastAsia"/>
          <w:b/>
          <w:bCs/>
          <w:szCs w:val="21"/>
        </w:rPr>
        <w:t>【政府采购合同专用条款】</w:t>
      </w:r>
      <w:r>
        <w:rPr>
          <w:rFonts w:ascii="宋体" w:eastAsia="宋体" w:hAnsi="宋体" w:cs="宋体" w:hint="eastAsia"/>
          <w:szCs w:val="21"/>
        </w:rPr>
        <w:t>约定的期限内对乙方履约提出任何异议或者向乙方作出任何说明的，</w:t>
      </w:r>
      <w:r>
        <w:rPr>
          <w:rFonts w:ascii="宋体" w:eastAsia="宋体" w:hAnsi="宋体" w:cs="Times New Roman" w:hint="eastAsia"/>
          <w:color w:val="000000"/>
          <w:szCs w:val="21"/>
        </w:rPr>
        <w:t>视为验收通过。</w:t>
      </w:r>
    </w:p>
    <w:p>
      <w:pPr>
        <w:autoSpaceDE w:val="0"/>
        <w:autoSpaceDN w:val="0"/>
        <w:adjustRightInd w:val="0"/>
        <w:snapToGrid w:val="0"/>
        <w:spacing w:line="400" w:lineRule="exact"/>
        <w:ind w:firstLine="420" w:firstLineChars="200"/>
        <w:jc w:val="left"/>
        <w:rPr>
          <w:rFonts w:ascii="宋体" w:hAnsi="宋体" w:cs="Times New Roman"/>
          <w:color w:val="000000"/>
          <w:szCs w:val="21"/>
        </w:rPr>
      </w:pPr>
      <w:r>
        <w:rPr>
          <w:rFonts w:ascii="宋体" w:eastAsia="宋体" w:hAnsi="宋体" w:cs="Times New Roman"/>
          <w:color w:val="000000"/>
          <w:szCs w:val="21"/>
        </w:rPr>
        <w:t>4</w:t>
      </w:r>
      <w:r>
        <w:rPr>
          <w:rFonts w:ascii="宋体" w:eastAsia="宋体" w:hAnsi="宋体" w:cs="Times New Roman" w:hint="eastAsia"/>
          <w:color w:val="000000"/>
          <w:szCs w:val="21"/>
        </w:rPr>
        <w:t>.</w:t>
      </w:r>
      <w:r>
        <w:rPr>
          <w:rFonts w:ascii="宋体" w:eastAsia="宋体" w:hAnsi="宋体" w:cs="Times New Roman"/>
          <w:color w:val="000000"/>
          <w:szCs w:val="21"/>
        </w:rPr>
        <w:t xml:space="preserve">5 </w:t>
      </w:r>
      <w:r>
        <w:rPr>
          <w:rFonts w:ascii="宋体" w:eastAsia="宋体" w:hAnsi="宋体" w:cs="Times New Roman" w:hint="eastAsia"/>
          <w:color w:val="000000"/>
          <w:szCs w:val="21"/>
        </w:rPr>
        <w:t>甲方应当根据合同约定及时向乙方支付合同价款</w:t>
      </w:r>
      <w:r>
        <w:rPr>
          <w:rFonts w:ascii="宋体" w:eastAsia="宋体" w:hAnsi="宋体" w:cs="Times New Roman"/>
          <w:color w:val="000000"/>
          <w:szCs w:val="21"/>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s="Times New Roman"/>
          <w:color w:val="000000"/>
          <w:szCs w:val="21"/>
        </w:rPr>
      </w:pPr>
      <w:r>
        <w:rPr>
          <w:rFonts w:ascii="宋体" w:eastAsia="宋体" w:hAnsi="宋体" w:cs="Times New Roman" w:hint="eastAsia"/>
          <w:color w:val="000000"/>
          <w:szCs w:val="21"/>
        </w:rPr>
        <w:t>4.6</w:t>
      </w:r>
      <w:r>
        <w:rPr>
          <w:rFonts w:ascii="宋体" w:eastAsia="宋体" w:hAnsi="宋体" w:cs="Times New Roman"/>
          <w:color w:val="000000"/>
          <w:szCs w:val="21"/>
        </w:rPr>
        <w:t xml:space="preserve"> </w:t>
      </w:r>
      <w:r>
        <w:rPr>
          <w:rFonts w:ascii="宋体" w:eastAsia="宋体" w:hAnsi="宋体" w:cs="Times New Roman" w:hint="eastAsia"/>
          <w:color w:val="000000"/>
          <w:szCs w:val="21"/>
        </w:rPr>
        <w:t>国家法律法规规定及</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约定应由甲方承担的其他义务和责任。</w:t>
      </w:r>
    </w:p>
    <w:p>
      <w:pPr>
        <w:autoSpaceDE w:val="0"/>
        <w:autoSpaceDN w:val="0"/>
        <w:adjustRightInd w:val="0"/>
        <w:snapToGrid w:val="0"/>
        <w:spacing w:line="400" w:lineRule="exact"/>
        <w:jc w:val="left"/>
        <w:rPr>
          <w:rFonts w:ascii="宋体" w:hAnsi="宋体" w:cs="Times New Roman"/>
          <w:b/>
          <w:bCs/>
          <w:color w:val="000000"/>
          <w:szCs w:val="20"/>
        </w:rPr>
      </w:pPr>
      <w:r>
        <w:rPr>
          <w:rFonts w:ascii="宋体" w:eastAsia="宋体" w:hAnsi="宋体" w:cs="Times New Roman" w:hint="eastAsia"/>
          <w:b/>
          <w:bCs/>
          <w:color w:val="000000"/>
          <w:sz w:val="24"/>
          <w:szCs w:val="20"/>
        </w:rPr>
        <w:t>5. 乙方的权利和义务</w:t>
      </w:r>
    </w:p>
    <w:p>
      <w:pPr>
        <w:autoSpaceDE w:val="0"/>
        <w:autoSpaceDN w:val="0"/>
        <w:adjustRightInd w:val="0"/>
        <w:snapToGrid w:val="0"/>
        <w:spacing w:line="400" w:lineRule="exact"/>
        <w:ind w:firstLine="420" w:firstLineChars="200"/>
        <w:jc w:val="left"/>
        <w:rPr>
          <w:rFonts w:ascii="宋体" w:hAnsi="宋体" w:cs="Times New Roman"/>
          <w:color w:val="000000"/>
          <w:szCs w:val="21"/>
        </w:rPr>
      </w:pPr>
      <w:r>
        <w:rPr>
          <w:rFonts w:ascii="宋体" w:eastAsia="宋体" w:hAnsi="宋体" w:cs="Times New Roman" w:hint="eastAsia"/>
          <w:color w:val="000000"/>
          <w:szCs w:val="21"/>
        </w:rPr>
        <w:t xml:space="preserve">5.1 </w:t>
      </w:r>
      <w:r>
        <w:rPr>
          <w:rFonts w:ascii="宋体" w:eastAsia="宋体" w:hAnsi="宋体" w:cs="Times New Roman"/>
          <w:color w:val="000000"/>
          <w:szCs w:val="21"/>
        </w:rPr>
        <w:t>签署合同后，乙方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p>
    <w:p>
      <w:pPr>
        <w:autoSpaceDE w:val="0"/>
        <w:autoSpaceDN w:val="0"/>
        <w:adjustRightInd w:val="0"/>
        <w:snapToGrid w:val="0"/>
        <w:spacing w:line="400" w:lineRule="exact"/>
        <w:ind w:firstLine="420" w:firstLineChars="200"/>
        <w:jc w:val="left"/>
        <w:rPr>
          <w:rFonts w:ascii="宋体" w:hAnsi="宋体" w:cs="Times New Roman"/>
          <w:color w:val="000000"/>
          <w:szCs w:val="21"/>
        </w:rPr>
      </w:pPr>
      <w:r>
        <w:rPr>
          <w:rFonts w:ascii="宋体" w:eastAsia="宋体" w:hAnsi="宋体" w:cs="Times New Roman" w:hint="eastAsia"/>
          <w:color w:val="000000"/>
          <w:szCs w:val="21"/>
        </w:rPr>
        <w:t>5.</w:t>
      </w:r>
      <w:r>
        <w:rPr>
          <w:rFonts w:ascii="宋体" w:eastAsia="宋体" w:hAnsi="宋体" w:cs="Times New Roman"/>
          <w:color w:val="000000"/>
          <w:szCs w:val="21"/>
        </w:rPr>
        <w:t>2 乙方应按照合同要求</w:t>
      </w:r>
      <w:r>
        <w:rPr>
          <w:rFonts w:ascii="宋体" w:eastAsia="宋体" w:hAnsi="宋体" w:cs="Times New Roman" w:hint="eastAsia"/>
          <w:color w:val="000000"/>
          <w:szCs w:val="21"/>
        </w:rPr>
        <w:t>履约</w:t>
      </w:r>
      <w:r>
        <w:rPr>
          <w:rFonts w:ascii="宋体" w:eastAsia="宋体" w:hAnsi="宋体" w:cs="Times New Roman"/>
          <w:color w:val="000000"/>
          <w:szCs w:val="21"/>
        </w:rPr>
        <w:t>，充分合理安排，确保</w:t>
      </w:r>
      <w:r>
        <w:rPr>
          <w:rFonts w:ascii="宋体" w:eastAsia="宋体" w:hAnsi="宋体" w:cs="Times New Roman" w:hint="eastAsia"/>
          <w:color w:val="000000"/>
          <w:szCs w:val="21"/>
        </w:rPr>
        <w:t>提供的货物及相关服务符合合同有关</w:t>
      </w:r>
      <w:r>
        <w:rPr>
          <w:rFonts w:ascii="宋体" w:eastAsia="宋体" w:hAnsi="宋体" w:cs="Times New Roman"/>
          <w:color w:val="000000"/>
          <w:szCs w:val="21"/>
        </w:rPr>
        <w:t>要求</w:t>
      </w:r>
      <w:r>
        <w:rPr>
          <w:rFonts w:ascii="宋体" w:eastAsia="宋体" w:hAnsi="宋体" w:cs="Times New Roman" w:hint="eastAsia"/>
          <w:color w:val="000000"/>
          <w:szCs w:val="21"/>
        </w:rPr>
        <w:t>。接受项目行业管理部门及政府有关部门的指导，配合甲方的履约检查及验收，并</w:t>
      </w:r>
      <w:r>
        <w:rPr>
          <w:rFonts w:ascii="宋体" w:eastAsia="宋体" w:hAnsi="宋体" w:cs="Times New Roman"/>
          <w:color w:val="000000"/>
          <w:szCs w:val="21"/>
        </w:rPr>
        <w:t>负责项目实施过程中的所有协调工作。</w:t>
      </w:r>
    </w:p>
    <w:p>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3</w:t>
      </w:r>
      <w:r>
        <w:rPr>
          <w:rFonts w:ascii="宋体" w:eastAsia="微软雅黑" w:hAnsi="宋体" w:cs="Times New Roman" w:hint="eastAsia"/>
          <w:color w:val="000000"/>
          <w:kern w:val="20"/>
          <w:szCs w:val="21"/>
          <w:lang w:val="zh-CN"/>
        </w:rPr>
        <w:t>乙方有权</w:t>
      </w:r>
      <w:r>
        <w:rPr>
          <w:rFonts w:ascii="宋体" w:eastAsia="微软雅黑" w:hAnsi="宋体" w:cs="宋体" w:hint="eastAsia"/>
          <w:color w:val="000000"/>
          <w:kern w:val="20"/>
          <w:szCs w:val="21"/>
          <w:lang w:val="zh-CN"/>
        </w:rPr>
        <w:t>根据合同约定向甲方收取合同价款。</w:t>
      </w:r>
    </w:p>
    <w:p>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4</w:t>
      </w:r>
      <w:r>
        <w:rPr>
          <w:rFonts w:ascii="宋体" w:eastAsia="微软雅黑" w:hAnsi="宋体" w:cs="宋体" w:hint="eastAsia"/>
          <w:color w:val="000000"/>
          <w:kern w:val="20"/>
          <w:szCs w:val="21"/>
          <w:lang w:val="zh-CN"/>
        </w:rPr>
        <w:t>国家法律法规规定</w:t>
      </w:r>
      <w:r>
        <w:rPr>
          <w:rFonts w:ascii="宋体" w:eastAsia="微软雅黑" w:hAnsi="宋体" w:cs="Times New Roman" w:hint="eastAsia"/>
          <w:color w:val="000000"/>
          <w:kern w:val="20"/>
          <w:szCs w:val="21"/>
          <w:lang w:val="zh-CN"/>
        </w:rPr>
        <w:t>及</w:t>
      </w:r>
      <w:r>
        <w:rPr>
          <w:rFonts w:ascii="宋体" w:eastAsia="宋体" w:hAnsi="宋体" w:cs="宋体" w:hint="eastAsia"/>
          <w:b/>
          <w:bCs/>
          <w:color w:val="595959"/>
          <w:kern w:val="20"/>
          <w:szCs w:val="21"/>
          <w:lang w:val="zh-CN"/>
        </w:rPr>
        <w:t>【政府采购合同专用条款】</w:t>
      </w:r>
      <w:r>
        <w:rPr>
          <w:rFonts w:ascii="宋体" w:eastAsia="微软雅黑" w:hAnsi="宋体" w:cs="宋体" w:hint="eastAsia"/>
          <w:color w:val="595959"/>
          <w:kern w:val="20"/>
          <w:szCs w:val="21"/>
          <w:lang w:val="zh-CN"/>
        </w:rPr>
        <w:t>约定应</w:t>
      </w:r>
      <w:r>
        <w:rPr>
          <w:rFonts w:ascii="宋体" w:eastAsia="微软雅黑" w:hAnsi="宋体" w:cs="宋体" w:hint="eastAsia"/>
          <w:color w:val="000000"/>
          <w:kern w:val="20"/>
          <w:szCs w:val="21"/>
          <w:lang w:val="zh-CN"/>
        </w:rPr>
        <w:t>由乙方承担的其他义务和责任。</w:t>
      </w:r>
    </w:p>
    <w:p>
      <w:pPr>
        <w:numPr>
          <w:ilvl w:val="0"/>
          <w:numId w:val="9"/>
        </w:numPr>
        <w:autoSpaceDE w:val="0"/>
        <w:autoSpaceDN w:val="0"/>
        <w:adjustRightInd w:val="0"/>
        <w:snapToGrid w:val="0"/>
        <w:spacing w:line="400" w:lineRule="exact"/>
        <w:jc w:val="left"/>
        <w:rPr>
          <w:rFonts w:ascii="宋体" w:hAnsi="宋体" w:cs="Times New Roman"/>
          <w:b/>
          <w:bCs/>
          <w:color w:val="000000"/>
          <w:szCs w:val="20"/>
        </w:rPr>
      </w:pPr>
      <w:r>
        <w:rPr>
          <w:rFonts w:ascii="宋体" w:eastAsia="宋体" w:hAnsi="宋体" w:cs="Times New Roman" w:hint="eastAsia"/>
          <w:b/>
          <w:bCs/>
          <w:color w:val="000000"/>
          <w:sz w:val="24"/>
          <w:szCs w:val="20"/>
        </w:rPr>
        <w:t>合同履行</w:t>
      </w:r>
    </w:p>
    <w:p>
      <w:pPr>
        <w:autoSpaceDE w:val="0"/>
        <w:autoSpaceDN w:val="0"/>
        <w:adjustRightInd w:val="0"/>
        <w:snapToGrid w:val="0"/>
        <w:spacing w:line="400" w:lineRule="exact"/>
        <w:ind w:firstLine="420" w:firstLineChars="200"/>
        <w:jc w:val="left"/>
        <w:rPr>
          <w:rFonts w:ascii="宋体" w:hAnsi="宋体" w:cs="Times New Roman"/>
          <w:color w:val="000000"/>
          <w:szCs w:val="21"/>
        </w:rPr>
      </w:pPr>
      <w:r>
        <w:rPr>
          <w:rFonts w:ascii="宋体" w:eastAsia="宋体" w:hAnsi="宋体" w:cs="Times New Roman" w:hint="eastAsia"/>
          <w:color w:val="000000"/>
          <w:szCs w:val="21"/>
        </w:rPr>
        <w:t>6.1 甲乙双方应当按照</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约定顺序履行合同义务；如果没有先后顺序的，应当同时履行。</w:t>
      </w:r>
    </w:p>
    <w:p>
      <w:pPr>
        <w:autoSpaceDE w:val="0"/>
        <w:autoSpaceDN w:val="0"/>
        <w:adjustRightInd w:val="0"/>
        <w:snapToGrid w:val="0"/>
        <w:spacing w:line="400" w:lineRule="exact"/>
        <w:ind w:firstLine="420" w:firstLineChars="200"/>
        <w:jc w:val="left"/>
        <w:rPr>
          <w:rFonts w:ascii="Times New Roman" w:hAnsi="Times New Roman" w:cs="Times New Roman"/>
          <w:szCs w:val="20"/>
        </w:rPr>
      </w:pPr>
      <w:r>
        <w:rPr>
          <w:rFonts w:ascii="宋体" w:eastAsia="宋体" w:hAnsi="宋体" w:cs="Times New Roman"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cs="Times New Roman"/>
          <w:b/>
          <w:bCs/>
          <w:color w:val="000000"/>
          <w:szCs w:val="20"/>
        </w:rPr>
      </w:pPr>
      <w:r>
        <w:rPr>
          <w:rFonts w:ascii="宋体" w:eastAsia="宋体" w:hAnsi="宋体" w:cs="Times New Roman" w:hint="eastAsia"/>
          <w:b/>
          <w:bCs/>
          <w:color w:val="000000"/>
          <w:sz w:val="24"/>
          <w:szCs w:val="20"/>
        </w:rPr>
        <w:t>7. 货物包装、运输、保险和交付要求</w:t>
      </w:r>
    </w:p>
    <w:p>
      <w:pPr>
        <w:autoSpaceDE w:val="0"/>
        <w:autoSpaceDN w:val="0"/>
        <w:adjustRightInd w:val="0"/>
        <w:snapToGrid w:val="0"/>
        <w:spacing w:line="400" w:lineRule="exact"/>
        <w:ind w:firstLine="420" w:firstLineChars="200"/>
        <w:jc w:val="left"/>
        <w:rPr>
          <w:rFonts w:ascii="宋体" w:hAnsi="宋体" w:cs="Times New Roman"/>
          <w:color w:val="000000"/>
          <w:szCs w:val="21"/>
        </w:rPr>
      </w:pPr>
      <w:r>
        <w:rPr>
          <w:rFonts w:ascii="宋体" w:eastAsia="宋体" w:hAnsi="宋体" w:cs="Times New Roman" w:hint="eastAsia"/>
          <w:color w:val="000000"/>
          <w:szCs w:val="21"/>
        </w:rPr>
        <w:t>7.1 本合同</w:t>
      </w:r>
      <w:r>
        <w:rPr>
          <w:rFonts w:ascii="宋体" w:eastAsia="宋体" w:hAnsi="宋体" w:cs="Times New Roman" w:hint="eastAsia"/>
          <w:bCs/>
          <w:color w:val="000000"/>
          <w:szCs w:val="21"/>
        </w:rPr>
        <w:t>涉及商品包装、快递包装的，</w:t>
      </w:r>
      <w:r>
        <w:rPr>
          <w:rFonts w:ascii="宋体" w:eastAsia="宋体" w:hAnsi="宋体" w:cs="Times New Roman" w:hint="eastAsia"/>
          <w:color w:val="000000"/>
          <w:szCs w:val="21"/>
        </w:rPr>
        <w:t>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包装应适应远距离运输、防潮、防震、防锈和防野蛮装卸等要求，确保货物安全无损地运抵</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约定的</w:t>
      </w:r>
      <w:r>
        <w:rPr>
          <w:rFonts w:ascii="宋体" w:eastAsia="宋体" w:hAnsi="宋体" w:cs="Times New Roman" w:hint="eastAsia"/>
          <w:color w:val="000000"/>
          <w:szCs w:val="21"/>
        </w:rPr>
        <w:t>指定现场。</w:t>
      </w:r>
    </w:p>
    <w:p>
      <w:pPr>
        <w:adjustRightInd w:val="0"/>
        <w:snapToGrid w:val="0"/>
        <w:spacing w:line="400" w:lineRule="exact"/>
        <w:ind w:firstLine="420" w:firstLineChars="200"/>
        <w:jc w:val="left"/>
        <w:rPr>
          <w:rFonts w:ascii="宋体" w:hAnsi="宋体" w:cs="Times New Roman"/>
          <w:color w:val="000000"/>
          <w:szCs w:val="21"/>
        </w:rPr>
      </w:pPr>
      <w:r>
        <w:rPr>
          <w:rFonts w:ascii="宋体" w:eastAsia="宋体" w:hAnsi="宋体" w:cs="Times New Roman" w:hint="eastAsia"/>
          <w:color w:val="000000"/>
          <w:szCs w:val="21"/>
        </w:rPr>
        <w:t>7.2 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s="Times New Roman"/>
          <w:color w:val="000000"/>
          <w:szCs w:val="21"/>
        </w:rPr>
      </w:pPr>
      <w:r>
        <w:rPr>
          <w:rFonts w:ascii="宋体" w:eastAsia="宋体" w:hAnsi="宋体" w:cs="Times New Roman" w:hint="eastAsia"/>
          <w:color w:val="000000"/>
          <w:szCs w:val="21"/>
        </w:rPr>
        <w:t>7.3 货物保险要求按</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规定执行</w:t>
      </w:r>
      <w:r>
        <w:rPr>
          <w:rFonts w:ascii="宋体" w:eastAsia="宋体" w:hAnsi="宋体" w:cs="Times New Roman" w:hint="eastAsia"/>
          <w:color w:val="000000"/>
          <w:szCs w:val="21"/>
        </w:rPr>
        <w:t>。</w:t>
      </w:r>
    </w:p>
    <w:p>
      <w:pPr>
        <w:autoSpaceDE w:val="0"/>
        <w:autoSpaceDN w:val="0"/>
        <w:adjustRightInd w:val="0"/>
        <w:snapToGrid w:val="0"/>
        <w:spacing w:line="400" w:lineRule="exact"/>
        <w:ind w:firstLine="420" w:firstLineChars="200"/>
        <w:jc w:val="left"/>
        <w:rPr>
          <w:rFonts w:ascii="宋体" w:hAnsi="宋体" w:cs="Times New Roman"/>
          <w:color w:val="000000"/>
          <w:szCs w:val="21"/>
        </w:rPr>
      </w:pPr>
      <w:r>
        <w:rPr>
          <w:rFonts w:ascii="宋体" w:eastAsia="宋体" w:hAnsi="宋体" w:cs="Times New Roman"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s="Times New Roman"/>
          <w:color w:val="000000"/>
          <w:szCs w:val="21"/>
        </w:rPr>
      </w:pPr>
      <w:r>
        <w:rPr>
          <w:rFonts w:ascii="宋体" w:eastAsia="宋体" w:hAnsi="宋体" w:cs="Times New Roman" w:hint="eastAsia"/>
          <w:color w:val="000000"/>
          <w:szCs w:val="21"/>
        </w:rPr>
        <w:t xml:space="preserve">7.5 </w:t>
      </w:r>
      <w:r>
        <w:rPr>
          <w:rFonts w:ascii="宋体" w:eastAsia="宋体" w:hAnsi="宋体" w:cs="宋体" w:hint="eastAsia"/>
          <w:color w:val="000000"/>
          <w:szCs w:val="21"/>
        </w:rPr>
        <w:t>乙方在运输到达之前应提前通知甲方，并提示货物运输装卸的注意事项，甲方配合乙方做好货物的接收工作。</w:t>
      </w:r>
    </w:p>
    <w:p>
      <w:pPr>
        <w:widowControl/>
        <w:autoSpaceDE w:val="0"/>
        <w:autoSpaceDN w:val="0"/>
        <w:adjustRightInd w:val="0"/>
        <w:spacing w:line="400" w:lineRule="exact"/>
        <w:ind w:firstLine="420" w:firstLineChars="200"/>
        <w:jc w:val="left"/>
        <w:rPr>
          <w:rFonts w:ascii="华文楷体" w:eastAsia="华文楷体" w:hAnsi="华文楷体" w:cs="华文楷体"/>
          <w:kern w:val="0"/>
          <w:szCs w:val="21"/>
        </w:rPr>
      </w:pPr>
      <w:r>
        <w:rPr>
          <w:rFonts w:ascii="宋体" w:eastAsia="宋体" w:hAnsi="宋体" w:cs="Times New Roman" w:hint="eastAsia"/>
          <w:color w:val="000000"/>
          <w:szCs w:val="21"/>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cs="Times New Roman"/>
          <w:b/>
          <w:szCs w:val="20"/>
        </w:rPr>
      </w:pPr>
      <w:r>
        <w:rPr>
          <w:rFonts w:ascii="宋体" w:eastAsia="宋体" w:hAnsi="宋体" w:cs="Times New Roman" w:hint="eastAsia"/>
          <w:b/>
          <w:color w:val="000000"/>
          <w:sz w:val="24"/>
          <w:szCs w:val="20"/>
        </w:rPr>
        <w:t xml:space="preserve">8. </w:t>
      </w:r>
      <w:r>
        <w:rPr>
          <w:rFonts w:ascii="宋体" w:eastAsia="宋体" w:hAnsi="宋体" w:cs="Times New Roman" w:hint="eastAsia"/>
          <w:b/>
          <w:sz w:val="24"/>
          <w:szCs w:val="20"/>
        </w:rPr>
        <w:t>质量标准和保证</w:t>
      </w:r>
    </w:p>
    <w:p>
      <w:pPr>
        <w:adjustRightInd w:val="0"/>
        <w:snapToGrid w:val="0"/>
        <w:spacing w:line="400" w:lineRule="exact"/>
        <w:ind w:firstLine="420" w:firstLineChars="200"/>
        <w:jc w:val="left"/>
        <w:rPr>
          <w:rFonts w:ascii="宋体" w:hAnsi="宋体" w:cs="Times New Roman"/>
          <w:b/>
          <w:szCs w:val="21"/>
        </w:rPr>
      </w:pPr>
      <w:r>
        <w:rPr>
          <w:rFonts w:ascii="宋体" w:eastAsia="宋体" w:hAnsi="宋体" w:cs="Times New Roman" w:hint="eastAsia"/>
          <w:szCs w:val="21"/>
        </w:rPr>
        <w:t>8.1 质量标准</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（1）本合同下提供的货物应符合合同</w:t>
      </w:r>
      <w:r>
        <w:rPr>
          <w:rFonts w:ascii="宋体" w:eastAsia="宋体" w:hAnsi="宋体" w:cs="宋体" w:hint="eastAsia"/>
          <w:color w:val="000000"/>
          <w:szCs w:val="21"/>
        </w:rPr>
        <w:t>约定的</w:t>
      </w:r>
      <w:r>
        <w:rPr>
          <w:rFonts w:ascii="宋体" w:eastAsia="宋体" w:hAnsi="宋体" w:cs="宋体" w:hint="eastAsia"/>
          <w:szCs w:val="21"/>
        </w:rPr>
        <w:t>品牌、规格型号、技术性能、配置、质量、数量等要求。</w:t>
      </w:r>
      <w:r>
        <w:rPr>
          <w:rFonts w:ascii="宋体" w:eastAsia="宋体" w:hAnsi="宋体" w:cs="Times New Roman"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（2）采用中华人民共和国法定计量单位。</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8.2 保证</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（1）乙方应保证提供的货物完全符合合同规定的质量、规格和性能要求。乙方应保证货物在正确安装、正常使用和保养条件下，</w:t>
      </w:r>
      <w:r>
        <w:rPr>
          <w:rFonts w:ascii="宋体" w:eastAsia="宋体" w:hAnsi="宋体" w:cs="宋体" w:hint="eastAsia"/>
          <w:szCs w:val="21"/>
        </w:rPr>
        <w:t>在其使用寿命期内具备合同约定的性能</w:t>
      </w:r>
      <w:r>
        <w:rPr>
          <w:rFonts w:ascii="宋体" w:eastAsia="宋体" w:hAnsi="宋体" w:cs="Times New Roman" w:hint="eastAsia"/>
          <w:szCs w:val="21"/>
        </w:rPr>
        <w:t>。存在质量保证期的，货物最终交付验收合格后在</w:t>
      </w:r>
      <w:r>
        <w:rPr>
          <w:rFonts w:ascii="宋体" w:eastAsia="宋体" w:hAnsi="宋体" w:cs="Times New Roman" w:hint="eastAsia"/>
          <w:b/>
          <w:szCs w:val="21"/>
        </w:rPr>
        <w:t>【政府采购合同专用条款】</w:t>
      </w:r>
      <w:r>
        <w:rPr>
          <w:rFonts w:ascii="宋体" w:eastAsia="宋体" w:hAnsi="宋体" w:cs="Times New Roman" w:hint="eastAsia"/>
          <w:szCs w:val="21"/>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（3）乙方收到通知后，应在</w:t>
      </w:r>
      <w:r>
        <w:rPr>
          <w:rFonts w:ascii="宋体" w:eastAsia="宋体" w:hAnsi="宋体" w:cs="Times New Roman" w:hint="eastAsia"/>
          <w:b/>
          <w:szCs w:val="21"/>
        </w:rPr>
        <w:t>【政府采购合同专用条款】</w:t>
      </w:r>
      <w:r>
        <w:rPr>
          <w:rFonts w:ascii="宋体" w:eastAsia="宋体" w:hAnsi="宋体" w:cs="Times New Roman" w:hint="eastAsia"/>
          <w:szCs w:val="21"/>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（4）在质量保证期内，如果货物的质量或规格与合同不符，或证实货物是有缺陷的，包括潜在的缺陷或使用不符合要求的材料等，甲方可以根据本合同第1</w:t>
      </w:r>
      <w:r>
        <w:rPr>
          <w:rFonts w:ascii="宋体" w:eastAsia="宋体" w:hAnsi="宋体" w:cs="Times New Roman" w:hint="eastAsia"/>
          <w:color w:val="000000"/>
          <w:szCs w:val="21"/>
        </w:rPr>
        <w:t>5</w:t>
      </w:r>
      <w:r>
        <w:rPr>
          <w:rFonts w:ascii="宋体" w:eastAsia="宋体" w:hAnsi="宋体" w:cs="Times New Roman" w:hint="eastAsia"/>
          <w:szCs w:val="21"/>
        </w:rPr>
        <w:t>.1条规定以书面形式</w:t>
      </w:r>
      <w:r>
        <w:rPr>
          <w:rFonts w:ascii="宋体" w:eastAsia="宋体" w:hAnsi="宋体" w:cs="Times New Roman" w:hint="eastAsia"/>
          <w:color w:val="000000"/>
          <w:szCs w:val="21"/>
        </w:rPr>
        <w:t>追究</w:t>
      </w:r>
      <w:r>
        <w:rPr>
          <w:rFonts w:ascii="宋体" w:eastAsia="宋体" w:hAnsi="宋体" w:cs="Times New Roman" w:hint="eastAsia"/>
          <w:szCs w:val="21"/>
        </w:rPr>
        <w:t>乙方</w:t>
      </w:r>
      <w:r>
        <w:rPr>
          <w:rFonts w:ascii="宋体" w:eastAsia="宋体" w:hAnsi="宋体" w:cs="Times New Roman" w:hint="eastAsia"/>
          <w:color w:val="000000"/>
          <w:szCs w:val="21"/>
        </w:rPr>
        <w:t>的违约责任</w:t>
      </w:r>
      <w:r>
        <w:rPr>
          <w:rFonts w:ascii="宋体" w:eastAsia="宋体" w:hAnsi="宋体" w:cs="Times New Roman" w:hint="eastAsia"/>
          <w:szCs w:val="21"/>
        </w:rPr>
        <w:t>。</w:t>
      </w:r>
    </w:p>
    <w:p>
      <w:pPr>
        <w:adjustRightInd w:val="0"/>
        <w:snapToGrid w:val="0"/>
        <w:spacing w:line="400" w:lineRule="exact"/>
        <w:ind w:firstLine="420" w:firstLineChars="200"/>
        <w:jc w:val="left"/>
        <w:rPr>
          <w:rFonts w:ascii="Times New Roman" w:hAnsi="Times New Roman" w:cs="Times New Roman"/>
          <w:szCs w:val="20"/>
        </w:rPr>
      </w:pPr>
      <w:r>
        <w:rPr>
          <w:rFonts w:ascii="宋体" w:eastAsia="宋体" w:hAnsi="宋体" w:cs="Times New Roman" w:hint="eastAsia"/>
          <w:szCs w:val="21"/>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cs="Times New Roman"/>
          <w:b/>
          <w:bCs/>
          <w:szCs w:val="20"/>
        </w:rPr>
      </w:pPr>
      <w:r>
        <w:rPr>
          <w:rFonts w:ascii="宋体" w:eastAsia="宋体" w:hAnsi="宋体" w:cs="Times New Roman" w:hint="eastAsia"/>
          <w:b/>
          <w:bCs/>
          <w:color w:val="000000"/>
          <w:sz w:val="24"/>
          <w:szCs w:val="20"/>
        </w:rPr>
        <w:t>9</w:t>
      </w:r>
      <w:r>
        <w:rPr>
          <w:rFonts w:ascii="宋体" w:eastAsia="宋体" w:hAnsi="宋体" w:cs="Times New Roman" w:hint="eastAsia"/>
          <w:b/>
          <w:bCs/>
          <w:sz w:val="24"/>
          <w:szCs w:val="20"/>
        </w:rPr>
        <w:t>.</w:t>
      </w:r>
      <w:r>
        <w:rPr>
          <w:rFonts w:ascii="宋体" w:eastAsia="宋体" w:hAnsi="宋体" w:cs="Times New Roman" w:hint="eastAsia"/>
          <w:b/>
          <w:bCs/>
          <w:color w:val="000000"/>
          <w:sz w:val="24"/>
          <w:szCs w:val="20"/>
        </w:rPr>
        <w:t xml:space="preserve"> </w:t>
      </w:r>
      <w:r>
        <w:rPr>
          <w:rFonts w:ascii="宋体" w:eastAsia="宋体" w:hAnsi="宋体" w:cs="Times New Roman" w:hint="eastAsia"/>
          <w:b/>
          <w:bCs/>
          <w:sz w:val="24"/>
          <w:szCs w:val="20"/>
        </w:rPr>
        <w:t>权利瑕疵担保</w:t>
      </w:r>
    </w:p>
    <w:p>
      <w:pPr>
        <w:autoSpaceDE w:val="0"/>
        <w:autoSpaceDN w:val="0"/>
        <w:adjustRightInd w:val="0"/>
        <w:snapToGrid w:val="0"/>
        <w:spacing w:line="400" w:lineRule="exact"/>
        <w:ind w:firstLine="420" w:firstLineChars="200"/>
        <w:jc w:val="left"/>
        <w:rPr>
          <w:rFonts w:ascii="宋体" w:hAnsi="宋体" w:cs="Times New Roman"/>
          <w:color w:val="000000"/>
          <w:szCs w:val="21"/>
        </w:rPr>
      </w:pPr>
      <w:r>
        <w:rPr>
          <w:rFonts w:ascii="宋体" w:eastAsia="宋体" w:hAnsi="宋体" w:cs="Times New Roman" w:hint="eastAsia"/>
          <w:color w:val="000000"/>
          <w:szCs w:val="21"/>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s="Times New Roman"/>
          <w:color w:val="000000"/>
          <w:szCs w:val="21"/>
        </w:rPr>
      </w:pPr>
      <w:r>
        <w:rPr>
          <w:rFonts w:ascii="宋体" w:eastAsia="宋体" w:hAnsi="宋体" w:cs="Times New Roman" w:hint="eastAsia"/>
          <w:color w:val="000000"/>
          <w:szCs w:val="21"/>
        </w:rPr>
        <w:t xml:space="preserve">9.2 </w:t>
      </w:r>
      <w:r>
        <w:rPr>
          <w:rFonts w:ascii="宋体" w:eastAsia="宋体" w:hAnsi="宋体" w:cs="宋体" w:hint="eastAsia"/>
          <w:szCs w:val="15"/>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s="Times New Roman"/>
          <w:color w:val="000000"/>
          <w:szCs w:val="21"/>
        </w:rPr>
      </w:pPr>
      <w:r>
        <w:rPr>
          <w:rFonts w:ascii="宋体" w:eastAsia="宋体" w:hAnsi="宋体" w:cs="Times New Roman" w:hint="eastAsia"/>
          <w:color w:val="000000"/>
          <w:szCs w:val="21"/>
        </w:rPr>
        <w:t>9.3 如甲方使用上述货物构成对第三人侵权的，则由乙方承担全部责任。</w:t>
      </w:r>
    </w:p>
    <w:p>
      <w:pPr>
        <w:autoSpaceDE w:val="0"/>
        <w:autoSpaceDN w:val="0"/>
        <w:adjustRightInd w:val="0"/>
        <w:snapToGrid w:val="0"/>
        <w:spacing w:line="400" w:lineRule="exact"/>
        <w:jc w:val="left"/>
        <w:rPr>
          <w:rFonts w:ascii="宋体" w:hAnsi="宋体" w:cs="Times New Roman"/>
          <w:b/>
          <w:bCs/>
          <w:color w:val="000000"/>
          <w:szCs w:val="20"/>
        </w:rPr>
      </w:pPr>
      <w:r>
        <w:rPr>
          <w:rFonts w:ascii="宋体" w:eastAsia="宋体" w:hAnsi="宋体" w:cs="Times New Roman" w:hint="eastAsia"/>
          <w:b/>
          <w:bCs/>
          <w:color w:val="000000"/>
          <w:sz w:val="24"/>
          <w:szCs w:val="20"/>
        </w:rPr>
        <w:t>10. 知识产权保护</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color w:val="000000"/>
          <w:szCs w:val="21"/>
        </w:rPr>
        <w:t>10.1 乙方对其所销售的货物应当享有知识产权或经权利人合法授权，保证没有侵犯任</w:t>
      </w:r>
      <w:r>
        <w:rPr>
          <w:rFonts w:ascii="宋体" w:eastAsia="宋体" w:hAnsi="宋体" w:cs="Times New Roman" w:hint="eastAsia"/>
          <w:szCs w:val="21"/>
        </w:rPr>
        <w:t>何第三人的知识产权等权利。</w:t>
      </w:r>
      <w:bookmarkStart w:id="69" w:name="_Hlk163047038"/>
      <w:r>
        <w:rPr>
          <w:rFonts w:ascii="宋体" w:eastAsia="宋体" w:hAnsi="宋体" w:cs="宋体" w:hint="eastAsia"/>
          <w:szCs w:val="15"/>
        </w:rPr>
        <w:t>因违反前述约定对第三人构成侵权的，应当由乙方向第三人承担法律责任；甲方依法向第三人赔偿后，有权向乙方追偿。甲方有其他损失的，乙方应当赔偿</w:t>
      </w:r>
      <w:bookmarkEnd w:id="69"/>
      <w:r>
        <w:rPr>
          <w:rFonts w:ascii="宋体" w:eastAsia="宋体" w:hAnsi="宋体" w:cs="Times New Roman" w:hint="eastAsia"/>
          <w:szCs w:val="21"/>
        </w:rPr>
        <w:t>。</w:t>
      </w:r>
    </w:p>
    <w:p>
      <w:pPr>
        <w:autoSpaceDE w:val="0"/>
        <w:autoSpaceDN w:val="0"/>
        <w:adjustRightInd w:val="0"/>
        <w:snapToGrid w:val="0"/>
        <w:spacing w:line="400" w:lineRule="exact"/>
        <w:jc w:val="left"/>
        <w:rPr>
          <w:rFonts w:ascii="宋体" w:hAnsi="宋体" w:cs="Times New Roman"/>
          <w:b/>
          <w:bCs/>
          <w:szCs w:val="20"/>
        </w:rPr>
      </w:pPr>
      <w:r>
        <w:rPr>
          <w:rFonts w:ascii="宋体" w:eastAsia="宋体" w:hAnsi="宋体" w:cs="Times New Roman" w:hint="eastAsia"/>
          <w:b/>
          <w:bCs/>
          <w:sz w:val="24"/>
          <w:szCs w:val="20"/>
        </w:rPr>
        <w:t>11. 保密义务</w:t>
      </w:r>
    </w:p>
    <w:p>
      <w:pPr>
        <w:autoSpaceDE w:val="0"/>
        <w:autoSpaceDN w:val="0"/>
        <w:adjustRightInd w:val="0"/>
        <w:snapToGrid w:val="0"/>
        <w:spacing w:line="400" w:lineRule="exact"/>
        <w:ind w:firstLine="420" w:firstLineChars="200"/>
        <w:jc w:val="left"/>
        <w:rPr>
          <w:rFonts w:ascii="宋体" w:hAnsi="宋体" w:cs="宋体"/>
          <w:szCs w:val="15"/>
        </w:rPr>
      </w:pPr>
      <w:r>
        <w:rPr>
          <w:rFonts w:ascii="宋体" w:eastAsia="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eastAsia="宋体" w:hAnsi="宋体" w:cs="宋体" w:hint="eastAsia"/>
          <w:b/>
          <w:bCs/>
          <w:szCs w:val="15"/>
        </w:rPr>
        <w:t>【政府采购合同专用条款】</w:t>
      </w:r>
      <w:r>
        <w:rPr>
          <w:rFonts w:ascii="宋体" w:eastAsia="宋体" w:hAnsi="宋体" w:cs="宋体" w:hint="eastAsia"/>
          <w:szCs w:val="15"/>
        </w:rPr>
        <w:t>中约定。</w:t>
      </w:r>
    </w:p>
    <w:p>
      <w:pPr>
        <w:autoSpaceDE w:val="0"/>
        <w:autoSpaceDN w:val="0"/>
        <w:adjustRightInd w:val="0"/>
        <w:snapToGrid w:val="0"/>
        <w:spacing w:line="400" w:lineRule="exact"/>
        <w:jc w:val="left"/>
        <w:rPr>
          <w:rFonts w:ascii="宋体" w:hAnsi="宋体" w:cs="Times New Roman"/>
          <w:b/>
          <w:bCs/>
          <w:szCs w:val="20"/>
        </w:rPr>
      </w:pPr>
      <w:r>
        <w:rPr>
          <w:rFonts w:ascii="宋体" w:eastAsia="宋体" w:hAnsi="宋体" w:cs="Times New Roman" w:hint="eastAsia"/>
          <w:b/>
          <w:bCs/>
          <w:sz w:val="24"/>
          <w:szCs w:val="20"/>
        </w:rPr>
        <w:t>12. 合同价款支付</w:t>
      </w:r>
    </w:p>
    <w:p>
      <w:pPr>
        <w:numPr>
          <w:ilvl w:val="1"/>
          <w:numId w:val="10"/>
        </w:numPr>
        <w:adjustRightInd w:val="0"/>
        <w:snapToGrid w:val="0"/>
        <w:spacing w:line="400" w:lineRule="exact"/>
        <w:jc w:val="left"/>
        <w:rPr>
          <w:rFonts w:ascii="宋体" w:hAnsi="宋体" w:cs="Times New Roman"/>
          <w:szCs w:val="21"/>
        </w:rPr>
      </w:pPr>
      <w:r>
        <w:rPr>
          <w:rFonts w:ascii="宋体" w:eastAsia="宋体" w:hAnsi="宋体" w:cs="Times New Roman" w:hint="eastAsia"/>
          <w:szCs w:val="21"/>
        </w:rPr>
        <w:t>合同价款支付按照国库集中支付制度及财政管理相关规定执行。</w:t>
      </w:r>
    </w:p>
    <w:p>
      <w:pPr>
        <w:keepNext/>
        <w:keepLines/>
        <w:spacing w:before="260" w:after="260" w:line="400" w:lineRule="exact"/>
        <w:ind w:firstLine="420" w:firstLineChars="200"/>
        <w:outlineLvl w:val="9"/>
        <w:rPr>
          <w:rFonts w:ascii="Arial" w:eastAsia="黑体" w:hAnsi="Arial" w:cs="Times New Roman"/>
          <w:b/>
          <w:bCs/>
          <w:sz w:val="32"/>
          <w:szCs w:val="32"/>
        </w:rPr>
      </w:pPr>
      <w:r>
        <w:rPr>
          <w:rFonts w:ascii="宋体" w:eastAsia="黑体" w:hAnsi="宋体" w:cs="Times New Roman" w:hint="eastAsia"/>
          <w:szCs w:val="21"/>
        </w:rPr>
        <w:t xml:space="preserve">12.2 </w:t>
      </w:r>
      <w:r>
        <w:rPr>
          <w:rFonts w:ascii="宋体" w:eastAsia="宋体" w:hAnsi="宋体" w:cs="Times New Roman" w:hint="eastAsia"/>
          <w:szCs w:val="21"/>
        </w:rPr>
        <w:t>对于满足合同约定支付条件的，甲方原则上应当自收到发票后10个工作日内将资金支付到合同约定的</w:t>
      </w:r>
      <w:r>
        <w:rPr>
          <w:rFonts w:ascii="宋体" w:eastAsia="黑体" w:hAnsi="宋体" w:cs="Times New Roman" w:hint="eastAsia"/>
          <w:szCs w:val="21"/>
        </w:rPr>
        <w:t>乙方</w:t>
      </w:r>
      <w:r>
        <w:rPr>
          <w:rFonts w:ascii="宋体" w:eastAsia="宋体" w:hAnsi="宋体" w:cs="Times New Roman"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cs="Times New Roman" w:hint="eastAsia"/>
          <w:b/>
          <w:bCs/>
          <w:szCs w:val="21"/>
        </w:rPr>
        <w:t>政府采购合同专用条款</w:t>
      </w:r>
      <w:r>
        <w:rPr>
          <w:rFonts w:ascii="宋体" w:eastAsia="宋体" w:hAnsi="宋体" w:cs="Times New Roman" w:hint="eastAsia"/>
          <w:szCs w:val="21"/>
        </w:rPr>
        <w:t>】中</w:t>
      </w:r>
      <w:r>
        <w:rPr>
          <w:rFonts w:ascii="宋体" w:eastAsia="黑体" w:hAnsi="宋体" w:cs="Times New Roman" w:hint="eastAsia"/>
          <w:szCs w:val="21"/>
        </w:rPr>
        <w:t>约</w:t>
      </w:r>
      <w:r>
        <w:rPr>
          <w:rFonts w:ascii="宋体" w:eastAsia="宋体" w:hAnsi="宋体" w:cs="Times New Roman" w:hint="eastAsia"/>
          <w:szCs w:val="21"/>
        </w:rPr>
        <w:t>定。</w:t>
      </w:r>
    </w:p>
    <w:p>
      <w:pPr>
        <w:widowControl/>
        <w:spacing w:line="400" w:lineRule="exact"/>
        <w:jc w:val="left"/>
        <w:rPr>
          <w:rFonts w:ascii="宋体" w:eastAsia="微软雅黑" w:hAnsi="宋体" w:cs="Times New Roman"/>
          <w:b/>
          <w:bCs/>
          <w:color w:val="595959"/>
          <w:kern w:val="20"/>
          <w:lang w:val="zh-CN"/>
        </w:rPr>
      </w:pPr>
      <w:r>
        <w:rPr>
          <w:rFonts w:ascii="宋体" w:eastAsia="微软雅黑" w:hAnsi="宋体" w:cs="Times New Roman" w:hint="eastAsia"/>
          <w:b/>
          <w:bCs/>
          <w:kern w:val="20"/>
          <w:sz w:val="24"/>
          <w:szCs w:val="24"/>
          <w:lang w:val="zh-CN"/>
        </w:rPr>
        <w:t>13.</w:t>
      </w:r>
      <w:r>
        <w:rPr>
          <w:rFonts w:ascii="宋体" w:eastAsia="微软雅黑" w:hAnsi="宋体" w:cs="Times New Roman" w:hint="eastAsia"/>
          <w:b/>
          <w:bCs/>
          <w:kern w:val="20"/>
          <w:sz w:val="24"/>
          <w:szCs w:val="24"/>
        </w:rPr>
        <w:t xml:space="preserve"> </w:t>
      </w:r>
      <w:r>
        <w:rPr>
          <w:rFonts w:ascii="宋体" w:eastAsia="微软雅黑" w:hAnsi="宋体" w:cs="Times New Roman" w:hint="eastAsia"/>
          <w:b/>
          <w:bCs/>
          <w:kern w:val="20"/>
          <w:sz w:val="24"/>
          <w:szCs w:val="24"/>
          <w:lang w:val="zh-CN"/>
        </w:rPr>
        <w:t>履约保证金</w:t>
      </w:r>
    </w:p>
    <w:p>
      <w:pPr>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 xml:space="preserve">13.1 </w:t>
      </w:r>
      <w:r>
        <w:rPr>
          <w:rFonts w:ascii="宋体" w:eastAsia="宋体" w:hAnsi="宋体" w:cs="宋体" w:hint="eastAsia"/>
          <w:szCs w:val="15"/>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13.2 如果乙方出现</w:t>
      </w:r>
      <w:r>
        <w:rPr>
          <w:rFonts w:ascii="宋体" w:eastAsia="宋体" w:hAnsi="宋体" w:cs="宋体" w:hint="eastAsia"/>
          <w:b/>
          <w:bCs/>
          <w:szCs w:val="15"/>
        </w:rPr>
        <w:t>【政府采购合同专用条款】</w:t>
      </w:r>
      <w:r>
        <w:rPr>
          <w:rFonts w:ascii="宋体" w:eastAsia="宋体" w:hAnsi="宋体" w:cs="宋体" w:hint="eastAsia"/>
          <w:szCs w:val="15"/>
        </w:rPr>
        <w:t>约定情形的</w:t>
      </w:r>
      <w:r>
        <w:rPr>
          <w:rFonts w:ascii="宋体" w:eastAsia="宋体" w:hAnsi="宋体" w:cs="Times New Roman" w:hint="eastAsia"/>
          <w:szCs w:val="21"/>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rFonts w:ascii="Times New Roman" w:hAnsi="Times New Roman" w:cs="Times New Roman"/>
          <w:szCs w:val="20"/>
        </w:rPr>
      </w:pPr>
      <w:r>
        <w:rPr>
          <w:rFonts w:ascii="宋体" w:eastAsia="宋体" w:hAnsi="宋体" w:cs="Times New Roman" w:hint="eastAsia"/>
          <w:szCs w:val="21"/>
        </w:rPr>
        <w:t>13.3 甲方在项目通过验收后按照</w:t>
      </w:r>
      <w:r>
        <w:rPr>
          <w:rFonts w:ascii="宋体" w:eastAsia="宋体" w:hAnsi="宋体" w:cs="Times New Roman" w:hint="eastAsia"/>
          <w:b/>
          <w:szCs w:val="21"/>
        </w:rPr>
        <w:t>【政府采购合同专用条款】</w:t>
      </w:r>
      <w:r>
        <w:rPr>
          <w:rFonts w:ascii="宋体" w:eastAsia="宋体" w:hAnsi="宋体" w:cs="Times New Roman" w:hint="eastAsia"/>
          <w:szCs w:val="21"/>
        </w:rPr>
        <w:t>规定的时间内将履约保证金退还乙方；逾期退还的，乙方可要求甲方支付违约金，违约金按照</w:t>
      </w:r>
      <w:r>
        <w:rPr>
          <w:rFonts w:ascii="宋体" w:eastAsia="宋体" w:hAnsi="宋体" w:cs="Times New Roman" w:hint="eastAsia"/>
          <w:b/>
          <w:szCs w:val="21"/>
        </w:rPr>
        <w:t>【政府采购合同专用条款】</w:t>
      </w:r>
      <w:r>
        <w:rPr>
          <w:rFonts w:ascii="宋体" w:eastAsia="宋体" w:hAnsi="宋体" w:cs="Times New Roman" w:hint="eastAsia"/>
          <w:szCs w:val="21"/>
        </w:rPr>
        <w:t>规定支付。</w:t>
      </w:r>
    </w:p>
    <w:p>
      <w:pPr>
        <w:autoSpaceDE w:val="0"/>
        <w:autoSpaceDN w:val="0"/>
        <w:adjustRightInd w:val="0"/>
        <w:snapToGrid w:val="0"/>
        <w:spacing w:line="400" w:lineRule="exact"/>
        <w:jc w:val="left"/>
        <w:rPr>
          <w:rFonts w:ascii="宋体" w:hAnsi="宋体" w:cs="Times New Roman"/>
          <w:b/>
          <w:szCs w:val="20"/>
        </w:rPr>
      </w:pPr>
      <w:r>
        <w:rPr>
          <w:rFonts w:ascii="宋体" w:eastAsia="宋体" w:hAnsi="宋体" w:cs="Times New Roman" w:hint="eastAsia"/>
          <w:b/>
          <w:bCs/>
          <w:sz w:val="24"/>
          <w:szCs w:val="20"/>
        </w:rPr>
        <w:t xml:space="preserve">14. </w:t>
      </w:r>
      <w:r>
        <w:rPr>
          <w:rFonts w:ascii="Times New Roman" w:eastAsia="宋体" w:hAnsi="Times New Roman" w:cs="Times New Roman" w:hint="eastAsia"/>
          <w:b/>
          <w:sz w:val="24"/>
          <w:szCs w:val="20"/>
        </w:rPr>
        <w:t>售后</w:t>
      </w:r>
      <w:r>
        <w:rPr>
          <w:rFonts w:ascii="宋体" w:eastAsia="宋体" w:hAnsi="宋体" w:cs="Times New Roman" w:hint="eastAsia"/>
          <w:b/>
          <w:sz w:val="24"/>
          <w:szCs w:val="20"/>
        </w:rPr>
        <w:t>服务</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（3）在</w:t>
      </w:r>
      <w:r>
        <w:rPr>
          <w:rFonts w:ascii="宋体" w:eastAsia="宋体" w:hAnsi="宋体" w:cs="宋体" w:hint="eastAsia"/>
          <w:b/>
          <w:bCs/>
          <w:szCs w:val="15"/>
        </w:rPr>
        <w:t>【政府采购合同专用条款】</w:t>
      </w:r>
      <w:r>
        <w:rPr>
          <w:rFonts w:ascii="宋体" w:eastAsia="宋体" w:hAnsi="宋体" w:cs="Times New Roman" w:hint="eastAsia"/>
          <w:szCs w:val="21"/>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（4）在制造商所在地或指定现场就货物的安装、启动、运营、维护、废弃处置等对甲方操作人员进行培训</w:t>
      </w:r>
      <w:r>
        <w:rPr>
          <w:rFonts w:ascii="宋体" w:eastAsia="宋体" w:hAnsi="宋体" w:cs="宋体" w:hint="eastAsia"/>
          <w:szCs w:val="15"/>
        </w:rPr>
        <w:t>；</w:t>
      </w:r>
    </w:p>
    <w:p>
      <w:pPr>
        <w:widowControl/>
        <w:autoSpaceDE w:val="0"/>
        <w:autoSpaceDN w:val="0"/>
        <w:adjustRightInd w:val="0"/>
        <w:spacing w:line="400" w:lineRule="exact"/>
        <w:ind w:firstLine="420" w:firstLineChars="200"/>
        <w:jc w:val="left"/>
        <w:rPr>
          <w:rFonts w:ascii="宋体" w:hAnsi="宋体" w:cs="宋体"/>
          <w:kern w:val="0"/>
          <w:szCs w:val="21"/>
        </w:rPr>
      </w:pPr>
      <w:r>
        <w:rPr>
          <w:rFonts w:ascii="宋体" w:eastAsia="宋体" w:hAnsi="宋体" w:cs="宋体" w:hint="eastAsia"/>
          <w:kern w:val="0"/>
          <w:szCs w:val="21"/>
        </w:rPr>
        <w:t>（5）依照法律、行政法规的规定或者按照</w:t>
      </w:r>
      <w:r>
        <w:rPr>
          <w:rFonts w:ascii="宋体" w:eastAsia="宋体" w:hAnsi="宋体" w:cs="宋体" w:hint="eastAsia"/>
          <w:b/>
          <w:bCs/>
          <w:kern w:val="0"/>
          <w:szCs w:val="21"/>
        </w:rPr>
        <w:t>【政府采购合同专用条款】</w:t>
      </w:r>
      <w:r>
        <w:rPr>
          <w:rFonts w:ascii="宋体" w:eastAsia="宋体" w:hAnsi="宋体" w:cs="宋体" w:hint="eastAsia"/>
          <w:kern w:val="0"/>
          <w:szCs w:val="21"/>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（6）</w:t>
      </w:r>
      <w:r>
        <w:rPr>
          <w:rFonts w:ascii="宋体" w:eastAsia="宋体" w:hAnsi="宋体" w:cs="Times New Roman" w:hint="eastAsia"/>
          <w:b/>
          <w:szCs w:val="21"/>
        </w:rPr>
        <w:t>【政府采购合同专用条款】</w:t>
      </w:r>
      <w:r>
        <w:rPr>
          <w:rFonts w:ascii="宋体" w:eastAsia="宋体" w:hAnsi="宋体" w:cs="Times New Roman" w:hint="eastAsia"/>
          <w:szCs w:val="21"/>
        </w:rPr>
        <w:t>规定由乙方提供的其他服务。</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14.2 乙方提供的售后服务的费用已包含在合同价款中，甲方不再另行支付。</w:t>
      </w:r>
    </w:p>
    <w:p>
      <w:pPr>
        <w:adjustRightInd w:val="0"/>
        <w:snapToGrid w:val="0"/>
        <w:spacing w:line="400" w:lineRule="exact"/>
        <w:jc w:val="left"/>
        <w:rPr>
          <w:rFonts w:ascii="宋体" w:hAnsi="宋体" w:cs="Times New Roman"/>
          <w:b/>
          <w:bCs/>
          <w:szCs w:val="20"/>
        </w:rPr>
      </w:pPr>
      <w:r>
        <w:rPr>
          <w:rFonts w:ascii="宋体" w:eastAsia="宋体" w:hAnsi="宋体" w:cs="Times New Roman" w:hint="eastAsia"/>
          <w:b/>
          <w:bCs/>
          <w:sz w:val="24"/>
          <w:szCs w:val="20"/>
        </w:rPr>
        <w:t>15. 违约责任</w:t>
      </w:r>
    </w:p>
    <w:p>
      <w:pPr>
        <w:adjustRightInd w:val="0"/>
        <w:snapToGrid w:val="0"/>
        <w:spacing w:line="400" w:lineRule="exact"/>
        <w:ind w:firstLine="420" w:firstLineChars="200"/>
        <w:jc w:val="left"/>
        <w:rPr>
          <w:rFonts w:ascii="宋体" w:hAnsi="宋体" w:cs="Times New Roman"/>
          <w:bCs/>
          <w:szCs w:val="21"/>
        </w:rPr>
      </w:pPr>
      <w:r>
        <w:rPr>
          <w:rFonts w:ascii="宋体" w:eastAsia="宋体" w:hAnsi="宋体" w:cs="Times New Roman" w:hint="eastAsia"/>
          <w:bCs/>
          <w:szCs w:val="21"/>
        </w:rPr>
        <w:t>15.1质量瑕疵的违约责任</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乙方提供的产品不符合合同约定的质量标准或存在产品质量缺陷，甲方有权要求乙方根据</w:t>
      </w:r>
      <w:r>
        <w:rPr>
          <w:rFonts w:ascii="宋体" w:eastAsia="宋体" w:hAnsi="宋体" w:cs="Times New Roman" w:hint="eastAsia"/>
          <w:b/>
          <w:szCs w:val="21"/>
        </w:rPr>
        <w:t>【政府采购合同专用条款】</w:t>
      </w:r>
      <w:r>
        <w:rPr>
          <w:rFonts w:ascii="宋体" w:eastAsia="宋体" w:hAnsi="宋体" w:cs="Times New Roman" w:hint="eastAsia"/>
          <w:bCs/>
          <w:szCs w:val="21"/>
        </w:rPr>
        <w:t>要求</w:t>
      </w:r>
      <w:r>
        <w:rPr>
          <w:rFonts w:ascii="宋体" w:eastAsia="宋体" w:hAnsi="宋体" w:cs="Times New Roman" w:hint="eastAsia"/>
          <w:szCs w:val="21"/>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cs="Times New Roman"/>
          <w:bCs/>
          <w:szCs w:val="21"/>
        </w:rPr>
      </w:pPr>
      <w:r>
        <w:rPr>
          <w:rFonts w:ascii="宋体" w:eastAsia="宋体" w:hAnsi="宋体" w:cs="Times New Roman" w:hint="eastAsia"/>
          <w:bCs/>
          <w:szCs w:val="21"/>
        </w:rPr>
        <w:t>15.2 迟延交货的违约责任</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（2）如果乙方没有按照合同规定的时间交货和提供相关服务，甲方有权从货款中扣除误期赔偿费而不影响合同项下的其他补救方法，赔偿费按</w:t>
      </w:r>
      <w:r>
        <w:rPr>
          <w:rFonts w:ascii="宋体" w:eastAsia="宋体" w:hAnsi="宋体" w:cs="Times New Roman" w:hint="eastAsia"/>
          <w:b/>
          <w:szCs w:val="21"/>
        </w:rPr>
        <w:t>【政府采购合同专用条款】</w:t>
      </w:r>
      <w:r>
        <w:rPr>
          <w:rFonts w:ascii="宋体" w:eastAsia="宋体" w:hAnsi="宋体" w:cs="Times New Roman" w:hint="eastAsia"/>
          <w:szCs w:val="21"/>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15.3 迟延支付的违约责任</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甲方存在迟延支付乙方合同款项的，应当承担</w:t>
      </w:r>
      <w:r>
        <w:rPr>
          <w:rFonts w:ascii="宋体" w:eastAsia="宋体" w:hAnsi="宋体" w:cs="Times New Roman" w:hint="eastAsia"/>
          <w:b/>
          <w:bCs/>
          <w:szCs w:val="21"/>
        </w:rPr>
        <w:t>【政府采购合同专用条款】</w:t>
      </w:r>
      <w:r>
        <w:rPr>
          <w:rFonts w:ascii="宋体" w:eastAsia="宋体" w:hAnsi="宋体" w:cs="Times New Roman" w:hint="eastAsia"/>
          <w:szCs w:val="21"/>
        </w:rPr>
        <w:t>规定的逾期付款利息。</w:t>
      </w:r>
    </w:p>
    <w:p>
      <w:pPr>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bCs/>
          <w:szCs w:val="21"/>
        </w:rPr>
        <w:t>15.4其他违约责任根据项目实际需要按</w:t>
      </w:r>
      <w:r>
        <w:rPr>
          <w:rFonts w:ascii="宋体" w:eastAsia="宋体" w:hAnsi="宋体" w:cs="Times New Roman" w:hint="eastAsia"/>
          <w:b/>
          <w:bCs/>
          <w:szCs w:val="21"/>
        </w:rPr>
        <w:t>【政府采购合同专用条款】</w:t>
      </w:r>
      <w:r>
        <w:rPr>
          <w:rFonts w:ascii="宋体" w:eastAsia="宋体" w:hAnsi="宋体" w:cs="Times New Roman" w:hint="eastAsia"/>
          <w:szCs w:val="21"/>
        </w:rPr>
        <w:t>规定执行。</w:t>
      </w:r>
    </w:p>
    <w:p>
      <w:pPr>
        <w:numPr>
          <w:ilvl w:val="0"/>
          <w:numId w:val="11"/>
        </w:numPr>
        <w:autoSpaceDE w:val="0"/>
        <w:autoSpaceDN w:val="0"/>
        <w:adjustRightInd w:val="0"/>
        <w:snapToGrid w:val="0"/>
        <w:spacing w:line="400" w:lineRule="exact"/>
        <w:jc w:val="left"/>
        <w:rPr>
          <w:rFonts w:ascii="宋体" w:hAnsi="宋体" w:cs="Times New Roman"/>
          <w:b/>
          <w:szCs w:val="20"/>
        </w:rPr>
      </w:pPr>
      <w:r>
        <w:rPr>
          <w:rFonts w:ascii="宋体" w:eastAsia="宋体" w:hAnsi="宋体" w:cs="Times New Roman" w:hint="eastAsia"/>
          <w:b/>
          <w:sz w:val="24"/>
          <w:szCs w:val="20"/>
        </w:rPr>
        <w:t>合同变更、中止与终止</w:t>
      </w:r>
    </w:p>
    <w:p>
      <w:pPr>
        <w:adjustRightInd w:val="0"/>
        <w:snapToGrid w:val="0"/>
        <w:spacing w:line="400" w:lineRule="exact"/>
        <w:jc w:val="left"/>
        <w:rPr>
          <w:rFonts w:ascii="宋体" w:hAnsi="宋体" w:cs="Times New Roman"/>
          <w:szCs w:val="21"/>
        </w:rPr>
      </w:pPr>
      <w:r>
        <w:rPr>
          <w:rFonts w:ascii="宋体" w:eastAsia="宋体" w:hAnsi="宋体" w:cs="Times New Roman" w:hint="eastAsia"/>
          <w:szCs w:val="21"/>
        </w:rPr>
        <w:t xml:space="preserve">    16.1合同的变更</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16.2合同的中止</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rFonts w:ascii="Times New Roman" w:hAnsi="Times New Roman" w:cs="Times New Roman"/>
          <w:szCs w:val="20"/>
        </w:rPr>
      </w:pPr>
      <w:r>
        <w:rPr>
          <w:rFonts w:ascii="宋体" w:eastAsia="宋体" w:hAnsi="宋体" w:cs="Times New Roman" w:hint="eastAsia"/>
          <w:szCs w:val="21"/>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16.3合同的终止</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（1）合同因有效期限届满而终止；</w:t>
      </w:r>
    </w:p>
    <w:p>
      <w:pPr>
        <w:snapToGrid w:val="0"/>
        <w:spacing w:line="400" w:lineRule="exact"/>
        <w:ind w:firstLine="420" w:firstLineChars="200"/>
        <w:rPr>
          <w:rFonts w:ascii="宋体" w:hAnsi="宋体" w:cs="宋体"/>
          <w:szCs w:val="21"/>
        </w:rPr>
      </w:pPr>
      <w:r>
        <w:rPr>
          <w:rFonts w:ascii="宋体" w:eastAsia="宋体" w:hAnsi="宋体" w:cs="Times New Roman" w:hint="eastAsia"/>
          <w:szCs w:val="21"/>
        </w:rPr>
        <w:t>（2）乙方未按合同约定履行，构成根本性违约的，甲方有权终止合同，</w:t>
      </w:r>
      <w:r>
        <w:rPr>
          <w:rFonts w:ascii="宋体" w:eastAsia="宋体" w:hAnsi="宋体" w:cs="宋体" w:hint="eastAsia"/>
          <w:szCs w:val="21"/>
        </w:rPr>
        <w:t>并追究乙方的违约责任</w:t>
      </w:r>
      <w:r>
        <w:rPr>
          <w:rFonts w:ascii="宋体" w:eastAsia="宋体" w:hAnsi="宋体" w:cs="Times New Roman" w:hint="eastAsia"/>
          <w:szCs w:val="21"/>
        </w:rPr>
        <w:t>。</w:t>
      </w:r>
    </w:p>
    <w:p>
      <w:pPr>
        <w:widowControl/>
        <w:autoSpaceDE w:val="0"/>
        <w:autoSpaceDN w:val="0"/>
        <w:adjustRightInd w:val="0"/>
        <w:spacing w:line="400" w:lineRule="exact"/>
        <w:ind w:firstLine="440" w:firstLineChars="200"/>
        <w:jc w:val="left"/>
        <w:rPr>
          <w:rFonts w:ascii="宋体" w:eastAsia="华文楷体" w:hAnsi="宋体" w:cs="华文楷体"/>
          <w:kern w:val="0"/>
          <w:sz w:val="22"/>
          <w:szCs w:val="21"/>
        </w:rPr>
      </w:pPr>
      <w:r>
        <w:rPr>
          <w:rFonts w:ascii="宋体" w:eastAsia="华文楷体" w:hAnsi="宋体" w:cs="华文楷体" w:hint="eastAsia"/>
          <w:kern w:val="0"/>
          <w:sz w:val="22"/>
          <w:szCs w:val="21"/>
        </w:rPr>
        <w:t xml:space="preserve">16.4 </w:t>
      </w:r>
      <w:r>
        <w:rPr>
          <w:rFonts w:ascii="宋体" w:eastAsia="宋体" w:hAnsi="宋体" w:cs="Times New Roman" w:hint="eastAsia"/>
          <w:szCs w:val="21"/>
        </w:rPr>
        <w:t>涉及国家利益、社会公共利益的情形</w:t>
      </w:r>
    </w:p>
    <w:p>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cs="Times New Roman"/>
          <w:b/>
          <w:bCs/>
          <w:szCs w:val="20"/>
        </w:rPr>
      </w:pPr>
      <w:r>
        <w:rPr>
          <w:rFonts w:ascii="宋体" w:eastAsia="宋体" w:hAnsi="宋体" w:cs="Times New Roman" w:hint="eastAsia"/>
          <w:b/>
          <w:bCs/>
          <w:sz w:val="24"/>
          <w:szCs w:val="20"/>
        </w:rPr>
        <w:t>17. 合同分包</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cs="Times New Roman"/>
          <w:b/>
          <w:bCs/>
          <w:szCs w:val="20"/>
        </w:rPr>
      </w:pPr>
      <w:r>
        <w:rPr>
          <w:rFonts w:ascii="宋体" w:eastAsia="宋体" w:hAnsi="宋体" w:cs="Times New Roman" w:hint="eastAsia"/>
          <w:b/>
          <w:bCs/>
          <w:sz w:val="24"/>
          <w:szCs w:val="20"/>
        </w:rPr>
        <w:t>18. 不可抗力</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cs="Times New Roman"/>
          <w:b/>
          <w:bCs/>
          <w:szCs w:val="20"/>
        </w:rPr>
      </w:pPr>
      <w:r>
        <w:rPr>
          <w:rFonts w:ascii="宋体" w:eastAsia="宋体" w:hAnsi="宋体" w:cs="Times New Roman" w:hint="eastAsia"/>
          <w:b/>
          <w:bCs/>
          <w:sz w:val="24"/>
          <w:szCs w:val="20"/>
        </w:rPr>
        <w:t>19. 解决争议的方法</w:t>
      </w:r>
    </w:p>
    <w:p>
      <w:pPr>
        <w:widowControl/>
        <w:autoSpaceDE w:val="0"/>
        <w:autoSpaceDN w:val="0"/>
        <w:adjustRightInd w:val="0"/>
        <w:spacing w:line="400" w:lineRule="exact"/>
        <w:ind w:firstLine="420" w:firstLineChars="200"/>
        <w:rPr>
          <w:rFonts w:ascii="宋体" w:hAnsi="宋体" w:cs="宋体"/>
          <w:kern w:val="0"/>
          <w:szCs w:val="21"/>
        </w:rPr>
      </w:pPr>
      <w:r>
        <w:rPr>
          <w:rFonts w:ascii="宋体" w:eastAsia="宋体" w:hAnsi="宋体" w:cs="宋体" w:hint="eastAsia"/>
          <w:kern w:val="0"/>
          <w:szCs w:val="21"/>
        </w:rPr>
        <w:t>19.1 因本合同及合同有关事项发生的争议，由甲乙双方友好协商解决。协商不成时，可以向有关组织申请调解。合同一方或双方不愿调解或调解不成的，可以通过仲裁或诉讼的方式解决争议。</w:t>
      </w:r>
    </w:p>
    <w:p>
      <w:pPr>
        <w:widowControl/>
        <w:autoSpaceDE w:val="0"/>
        <w:autoSpaceDN w:val="0"/>
        <w:adjustRightInd w:val="0"/>
        <w:spacing w:line="400" w:lineRule="exact"/>
        <w:ind w:firstLine="420" w:firstLineChars="200"/>
        <w:rPr>
          <w:rFonts w:ascii="宋体" w:hAnsi="宋体" w:cs="宋体"/>
          <w:kern w:val="0"/>
          <w:szCs w:val="21"/>
        </w:rPr>
      </w:pPr>
      <w:r>
        <w:rPr>
          <w:rFonts w:ascii="宋体" w:eastAsia="宋体" w:hAnsi="宋体" w:cs="宋体" w:hint="eastAsia"/>
          <w:kern w:val="0"/>
          <w:szCs w:val="21"/>
        </w:rPr>
        <w:t>19.2 选择仲裁的，应在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中明确仲裁机构及仲裁地；通过诉讼方式解决的，可以在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中进一步约定选择与争议有实际联系的地点的人民法院管辖，但管辖法院的约定不得违反级别管辖和专属管辖的规定。</w:t>
      </w:r>
    </w:p>
    <w:p>
      <w:pPr>
        <w:widowControl/>
        <w:autoSpaceDE w:val="0"/>
        <w:autoSpaceDN w:val="0"/>
        <w:adjustRightInd w:val="0"/>
        <w:spacing w:line="400" w:lineRule="exact"/>
        <w:ind w:firstLine="420" w:firstLineChars="200"/>
        <w:rPr>
          <w:rFonts w:ascii="宋体" w:hAnsi="宋体" w:cs="宋体"/>
          <w:kern w:val="0"/>
          <w:szCs w:val="21"/>
        </w:rPr>
      </w:pPr>
      <w:r>
        <w:rPr>
          <w:rFonts w:ascii="宋体" w:eastAsia="宋体" w:hAnsi="宋体" w:cs="宋体" w:hint="eastAsia"/>
          <w:kern w:val="0"/>
          <w:szCs w:val="21"/>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cs="Times New Roman"/>
          <w:szCs w:val="20"/>
        </w:rPr>
      </w:pPr>
      <w:r>
        <w:rPr>
          <w:rFonts w:ascii="宋体" w:eastAsia="宋体" w:hAnsi="宋体" w:cs="Times New Roman" w:hint="eastAsia"/>
          <w:b/>
          <w:sz w:val="24"/>
          <w:szCs w:val="20"/>
        </w:rPr>
        <w:t>20. 政府采购政策</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 xml:space="preserve">20.1 </w:t>
      </w:r>
      <w:r>
        <w:rPr>
          <w:rFonts w:ascii="宋体" w:eastAsia="宋体" w:hAnsi="宋体" w:cs="宋体" w:hint="eastAsia"/>
          <w:szCs w:val="20"/>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szCs w:val="21"/>
        </w:rPr>
        <w:t>2</w:t>
      </w:r>
      <w:r>
        <w:rPr>
          <w:rFonts w:ascii="宋体" w:eastAsia="宋体" w:hAnsi="宋体" w:cs="Times New Roman" w:hint="eastAsia"/>
          <w:szCs w:val="21"/>
        </w:rPr>
        <w:t>0.2 本合同依法执行政府采购政策的方式和内容，属于合同履约验收的范围。</w:t>
      </w:r>
      <w:r>
        <w:rPr>
          <w:rFonts w:ascii="宋体" w:eastAsia="宋体" w:hAnsi="宋体" w:cs="宋体" w:hint="eastAsia"/>
          <w:szCs w:val="20"/>
        </w:rPr>
        <w:t>甲乙双方</w:t>
      </w:r>
      <w:r>
        <w:rPr>
          <w:rFonts w:ascii="宋体" w:eastAsia="宋体" w:hAnsi="宋体" w:cs="宋体" w:hint="eastAsia"/>
          <w:szCs w:val="20"/>
          <w:lang w:val="en-GB"/>
        </w:rPr>
        <w:t>未按规定要求执行政府采购政策造成损失的</w:t>
      </w:r>
      <w:r>
        <w:rPr>
          <w:rFonts w:ascii="宋体" w:eastAsia="宋体" w:hAnsi="宋体" w:cs="Times New Roman" w:hint="eastAsia"/>
          <w:szCs w:val="21"/>
        </w:rPr>
        <w:t>，有过错的一方应当承担赔偿责任，双方都有过错的，各自承担相应的责任。</w:t>
      </w:r>
    </w:p>
    <w:p>
      <w:pPr>
        <w:widowControl/>
        <w:spacing w:line="400" w:lineRule="exact"/>
        <w:ind w:firstLine="420" w:firstLineChars="200"/>
        <w:jc w:val="left"/>
        <w:rPr>
          <w:rFonts w:ascii="Cambria" w:eastAsia="微软雅黑" w:hAnsi="Cambria" w:cs="Times New Roman"/>
          <w:color w:val="595959"/>
          <w:kern w:val="20"/>
          <w:szCs w:val="20"/>
          <w:lang w:val="zh-CN"/>
        </w:rPr>
      </w:pPr>
      <w:r>
        <w:rPr>
          <w:rFonts w:ascii="宋体" w:eastAsia="微软雅黑" w:hAnsi="宋体" w:cs="Times New Roman"/>
          <w:kern w:val="20"/>
          <w:szCs w:val="21"/>
          <w:lang w:val="zh-CN"/>
        </w:rPr>
        <w:t>2</w:t>
      </w:r>
      <w:r>
        <w:rPr>
          <w:rFonts w:ascii="宋体" w:eastAsia="微软雅黑" w:hAnsi="宋体" w:cs="Times New Roman" w:hint="eastAsia"/>
          <w:kern w:val="20"/>
          <w:szCs w:val="21"/>
        </w:rPr>
        <w:t>0</w:t>
      </w:r>
      <w:r>
        <w:rPr>
          <w:rFonts w:ascii="宋体" w:eastAsia="微软雅黑" w:hAnsi="宋体" w:cs="Times New Roman" w:hint="eastAsia"/>
          <w:kern w:val="20"/>
          <w:szCs w:val="21"/>
          <w:lang w:val="zh-CN"/>
        </w:rPr>
        <w:t>.</w:t>
      </w:r>
      <w:r>
        <w:rPr>
          <w:rFonts w:ascii="宋体" w:eastAsia="微软雅黑" w:hAnsi="宋体" w:cs="Times New Roman" w:hint="eastAsia"/>
          <w:kern w:val="20"/>
          <w:szCs w:val="21"/>
        </w:rPr>
        <w:t>3</w:t>
      </w:r>
      <w:r>
        <w:rPr>
          <w:rFonts w:ascii="宋体" w:eastAsia="微软雅黑" w:hAnsi="宋体" w:cs="Times New Roman" w:hint="eastAsia"/>
          <w:kern w:val="20"/>
          <w:szCs w:val="21"/>
          <w:lang w:val="zh-CN"/>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cs="Times New Roman"/>
          <w:b/>
          <w:szCs w:val="20"/>
        </w:rPr>
      </w:pPr>
      <w:r>
        <w:rPr>
          <w:rFonts w:ascii="宋体" w:eastAsia="宋体" w:hAnsi="宋体" w:cs="Times New Roman" w:hint="eastAsia"/>
          <w:b/>
          <w:sz w:val="24"/>
          <w:szCs w:val="20"/>
        </w:rPr>
        <w:t>21. 法律适用</w:t>
      </w:r>
    </w:p>
    <w:p>
      <w:pPr>
        <w:widowControl/>
        <w:autoSpaceDE w:val="0"/>
        <w:autoSpaceDN w:val="0"/>
        <w:adjustRightInd w:val="0"/>
        <w:spacing w:line="400" w:lineRule="exact"/>
        <w:ind w:firstLine="420" w:firstLineChars="200"/>
        <w:rPr>
          <w:rFonts w:ascii="宋体" w:hAnsi="宋体" w:cs="宋体"/>
          <w:kern w:val="0"/>
          <w:szCs w:val="21"/>
        </w:rPr>
      </w:pPr>
      <w:r>
        <w:rPr>
          <w:rFonts w:ascii="宋体" w:eastAsia="宋体" w:hAnsi="宋体" w:cs="宋体" w:hint="eastAsia"/>
          <w:kern w:val="0"/>
          <w:szCs w:val="21"/>
        </w:rPr>
        <w:t>21.1 本合同的订立、生效、解释、履行及与本合同有关的争议解决，均适用法律、行政法规。</w:t>
      </w:r>
    </w:p>
    <w:p>
      <w:pPr>
        <w:widowControl/>
        <w:autoSpaceDE w:val="0"/>
        <w:autoSpaceDN w:val="0"/>
        <w:adjustRightInd w:val="0"/>
        <w:spacing w:line="400" w:lineRule="exact"/>
        <w:ind w:firstLine="420" w:firstLineChars="200"/>
        <w:rPr>
          <w:rFonts w:ascii="宋体" w:hAnsi="宋体" w:cs="宋体"/>
          <w:kern w:val="0"/>
          <w:szCs w:val="21"/>
        </w:rPr>
      </w:pPr>
      <w:r>
        <w:rPr>
          <w:rFonts w:ascii="宋体" w:eastAsia="宋体" w:hAnsi="宋体" w:cs="宋体" w:hint="eastAsia"/>
          <w:kern w:val="0"/>
          <w:szCs w:val="21"/>
        </w:rPr>
        <w:t>21.2 本合同条款与法律、行政法规的强制性规定不一致的，双方当事人应按照法律、行政法规的强制性规定修改本合同的相关条款。</w:t>
      </w:r>
    </w:p>
    <w:p>
      <w:pPr>
        <w:autoSpaceDE w:val="0"/>
        <w:autoSpaceDN w:val="0"/>
        <w:adjustRightInd w:val="0"/>
        <w:snapToGrid w:val="0"/>
        <w:spacing w:line="400" w:lineRule="exact"/>
        <w:jc w:val="left"/>
        <w:rPr>
          <w:rFonts w:ascii="宋体" w:hAnsi="宋体" w:cs="Times New Roman"/>
          <w:b/>
          <w:szCs w:val="20"/>
        </w:rPr>
      </w:pPr>
      <w:r>
        <w:rPr>
          <w:rFonts w:ascii="宋体" w:eastAsia="宋体" w:hAnsi="宋体" w:cs="Times New Roman" w:hint="eastAsia"/>
          <w:b/>
          <w:sz w:val="24"/>
          <w:szCs w:val="20"/>
        </w:rPr>
        <w:t>22. 通知</w:t>
      </w:r>
    </w:p>
    <w:p>
      <w:pPr>
        <w:widowControl/>
        <w:autoSpaceDE w:val="0"/>
        <w:autoSpaceDN w:val="0"/>
        <w:adjustRightInd w:val="0"/>
        <w:spacing w:line="400" w:lineRule="exact"/>
        <w:ind w:firstLine="420" w:firstLineChars="200"/>
        <w:rPr>
          <w:rFonts w:ascii="宋体" w:hAnsi="宋体" w:cs="宋体"/>
          <w:kern w:val="0"/>
          <w:szCs w:val="21"/>
        </w:rPr>
      </w:pPr>
      <w:r>
        <w:rPr>
          <w:rFonts w:ascii="宋体" w:eastAsia="宋体" w:hAnsi="宋体" w:cs="宋体" w:hint="eastAsia"/>
          <w:kern w:val="0"/>
          <w:szCs w:val="21"/>
        </w:rPr>
        <w:t>22.1 本合同任何一方向对方发出的通知、信件、数据电文等，应当发送至本合同第一部分《政府采购合同协议书》所约定的通讯地址、联系人、联系电话或电子邮箱。</w:t>
      </w:r>
    </w:p>
    <w:p>
      <w:pPr>
        <w:widowControl/>
        <w:autoSpaceDE w:val="0"/>
        <w:autoSpaceDN w:val="0"/>
        <w:adjustRightInd w:val="0"/>
        <w:spacing w:line="400" w:lineRule="exact"/>
        <w:rPr>
          <w:rFonts w:ascii="华文楷体" w:eastAsia="华文楷体" w:hAnsi="华文楷体" w:cs="华文楷体"/>
          <w:kern w:val="0"/>
          <w:szCs w:val="21"/>
        </w:rPr>
      </w:pPr>
      <w:r>
        <w:rPr>
          <w:rFonts w:ascii="宋体" w:eastAsia="宋体" w:hAnsi="宋体" w:cs="宋体" w:hint="eastAsia"/>
          <w:kern w:val="0"/>
          <w:szCs w:val="21"/>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cs="Times New Roman"/>
          <w:szCs w:val="21"/>
        </w:rPr>
      </w:pPr>
      <w:r>
        <w:rPr>
          <w:rFonts w:ascii="宋体" w:eastAsia="宋体" w:hAnsi="宋体" w:cs="Times New Roman" w:hint="eastAsia"/>
          <w:szCs w:val="21"/>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cs="Times New Roman"/>
          <w:b/>
          <w:bCs/>
          <w:szCs w:val="20"/>
        </w:rPr>
      </w:pPr>
      <w:r>
        <w:rPr>
          <w:rFonts w:ascii="宋体" w:eastAsia="宋体" w:hAnsi="宋体" w:cs="Times New Roman" w:hint="eastAsia"/>
          <w:b/>
          <w:bCs/>
          <w:sz w:val="24"/>
          <w:szCs w:val="20"/>
        </w:rPr>
        <w:t>合同未尽事项</w:t>
      </w:r>
    </w:p>
    <w:p>
      <w:pPr>
        <w:adjustRightInd w:val="0"/>
        <w:snapToGrid w:val="0"/>
        <w:spacing w:line="400" w:lineRule="exact"/>
        <w:ind w:firstLine="420" w:firstLineChars="200"/>
        <w:jc w:val="left"/>
        <w:rPr>
          <w:rFonts w:ascii="宋体" w:hAnsi="宋体" w:cs="Times New Roman"/>
          <w:bCs/>
          <w:szCs w:val="21"/>
        </w:rPr>
      </w:pPr>
      <w:r>
        <w:rPr>
          <w:rFonts w:ascii="宋体" w:eastAsia="宋体" w:hAnsi="宋体" w:cs="Times New Roman" w:hint="eastAsia"/>
          <w:bCs/>
          <w:szCs w:val="21"/>
        </w:rPr>
        <w:t>23.1合同未尽事项见</w:t>
      </w:r>
      <w:r>
        <w:rPr>
          <w:rFonts w:ascii="宋体" w:eastAsia="宋体" w:hAnsi="宋体" w:cs="Times New Roman" w:hint="eastAsia"/>
          <w:b/>
          <w:szCs w:val="21"/>
        </w:rPr>
        <w:t>【政府采购合同专用条款】</w:t>
      </w:r>
      <w:r>
        <w:rPr>
          <w:rFonts w:ascii="宋体" w:eastAsia="宋体" w:hAnsi="宋体" w:cs="Times New Roman" w:hint="eastAsia"/>
          <w:bCs/>
          <w:szCs w:val="21"/>
        </w:rPr>
        <w:t>。</w:t>
      </w:r>
    </w:p>
    <w:p>
      <w:pPr>
        <w:adjustRightInd w:val="0"/>
        <w:snapToGrid w:val="0"/>
        <w:spacing w:line="400" w:lineRule="exact"/>
        <w:jc w:val="left"/>
        <w:rPr>
          <w:rFonts w:ascii="黑体" w:eastAsia="黑体" w:hAnsi="华文中宋" w:cs="Times New Roman"/>
          <w:sz w:val="28"/>
          <w:szCs w:val="28"/>
        </w:rPr>
      </w:pPr>
      <w:r>
        <w:rPr>
          <w:rFonts w:ascii="宋体" w:eastAsia="宋体" w:hAnsi="宋体" w:cs="Times New Roman" w:hint="eastAsia"/>
          <w:bCs/>
          <w:szCs w:val="21"/>
        </w:rPr>
        <w:t xml:space="preserve">    23.2 合同附件与合同正文具有同等的法律效力。</w:t>
      </w:r>
      <w:bookmarkStart w:id="70" w:name="_Toc20313"/>
    </w:p>
    <w:p>
      <w:pPr>
        <w:adjustRightInd w:val="0"/>
        <w:snapToGrid w:val="0"/>
        <w:jc w:val="center"/>
        <w:rPr>
          <w:rFonts w:ascii="黑体" w:eastAsia="黑体" w:hAnsi="华文中宋" w:cs="Times New Roman"/>
          <w:sz w:val="28"/>
          <w:szCs w:val="28"/>
        </w:rPr>
      </w:pPr>
      <w:r>
        <w:rPr>
          <w:rFonts w:ascii="黑体" w:eastAsia="黑体" w:hAnsi="华文中宋" w:cs="Times New Roman" w:hint="eastAsia"/>
          <w:sz w:val="28"/>
          <w:szCs w:val="28"/>
        </w:rPr>
        <w:br w:type="page"/>
      </w:r>
    </w:p>
    <w:p>
      <w:pPr>
        <w:keepNext/>
        <w:keepLines/>
        <w:adjustRightInd w:val="0"/>
        <w:snapToGrid w:val="0"/>
        <w:spacing w:before="260" w:after="260" w:line="416" w:lineRule="atLeast"/>
        <w:jc w:val="center"/>
        <w:outlineLvl w:val="1"/>
        <w:rPr>
          <w:rFonts w:ascii="黑体" w:eastAsia="黑体" w:hAnsi="华文中宋" w:cs="Times New Roman"/>
          <w:sz w:val="28"/>
          <w:szCs w:val="28"/>
        </w:rPr>
      </w:pPr>
      <w:r>
        <w:rPr>
          <w:rFonts w:ascii="黑体" w:eastAsia="黑体" w:hAnsi="华文中宋" w:cs="Times New Roman" w:hint="eastAsia"/>
          <w:sz w:val="28"/>
          <w:szCs w:val="28"/>
        </w:rPr>
        <w:t>第三节 政府采购合同专用条款</w:t>
      </w:r>
      <w:bookmarkEnd w:id="70"/>
    </w:p>
    <w:tbl>
      <w:tblPr>
        <w:tblStyle w:val="TableNormal"/>
        <w:tblW w:w="8519" w:type="dxa"/>
        <w:jc w:val="left"/>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Look w:val="0600"/>
      </w:tblPr>
      <w:tblGrid>
        <w:gridCol w:w="1607"/>
        <w:gridCol w:w="1742"/>
        <w:gridCol w:w="5170"/>
      </w:tblGrid>
      <w:tr>
        <w:tblPrEx>
          <w:tblW w:w="8519" w:type="dxa"/>
          <w:jc w:val="left"/>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Look w:val="0600"/>
        </w:tblPrEx>
        <w:trPr>
          <w:trHeight w:val="736"/>
          <w:jc w:val="left"/>
        </w:trPr>
        <w:tc>
          <w:tcPr>
            <w:tcW w:w="1607" w:type="dxa"/>
            <w:vAlign w:val="center"/>
          </w:tcPr>
          <w:p>
            <w:pPr>
              <w:adjustRightInd w:val="0"/>
              <w:snapToGrid w:val="0"/>
              <w:jc w:val="center"/>
              <w:rPr>
                <w:rFonts w:ascii="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hAnsi="宋体" w:cs="Times New Roman"/>
                <w:szCs w:val="21"/>
              </w:rPr>
            </w:pPr>
            <w:r>
              <w:rPr>
                <w:rFonts w:ascii="宋体" w:eastAsia="宋体" w:hAnsi="宋体" w:cs="Times New Roman" w:hint="eastAsia"/>
                <w:szCs w:val="21"/>
              </w:rPr>
              <w:t>第1.2（6）项</w:t>
            </w:r>
          </w:p>
        </w:tc>
        <w:tc>
          <w:tcPr>
            <w:tcW w:w="1742" w:type="dxa"/>
            <w:vAlign w:val="center"/>
          </w:tcPr>
          <w:p>
            <w:pPr>
              <w:adjustRightInd w:val="0"/>
              <w:snapToGrid w:val="0"/>
              <w:jc w:val="left"/>
              <w:rPr>
                <w:rFonts w:ascii="宋体" w:hAnsi="宋体" w:cs="Times New Roman"/>
                <w:szCs w:val="21"/>
              </w:rPr>
            </w:pPr>
            <w:r>
              <w:rPr>
                <w:rFonts w:ascii="宋体" w:eastAsia="宋体" w:hAnsi="宋体" w:cs="Times New Roman" w:hint="eastAsia"/>
                <w:szCs w:val="21"/>
              </w:rPr>
              <w:t>联合体具体要求</w:t>
            </w:r>
          </w:p>
        </w:tc>
        <w:tc>
          <w:tcPr>
            <w:tcW w:w="5170" w:type="dxa"/>
            <w:vAlign w:val="center"/>
          </w:tcPr>
          <w:p>
            <w:pPr>
              <w:adjustRightInd w:val="0"/>
              <w:snapToGrid w:val="0"/>
              <w:jc w:val="left"/>
              <w:rPr>
                <w:rFonts w:ascii="宋体" w:hAnsi="宋体" w:cs="Times New Roman"/>
                <w:szCs w:val="21"/>
              </w:rPr>
            </w:pPr>
          </w:p>
        </w:tc>
      </w:tr>
      <w:tr>
        <w:tblPrEx>
          <w:tblW w:w="8519" w:type="dxa"/>
          <w:jc w:val="left"/>
          <w:tblInd w:w="108" w:type="dxa"/>
          <w:tblLayout w:type="fixed"/>
          <w:tblCellMar>
            <w:top w:w="0" w:type="dxa"/>
            <w:left w:w="108" w:type="dxa"/>
            <w:bottom w:w="0" w:type="dxa"/>
            <w:right w:w="108" w:type="dxa"/>
          </w:tblCellMar>
          <w:tblLook w:val="0600"/>
        </w:tblPrEx>
        <w:trPr>
          <w:trHeight w:val="604"/>
          <w:jc w:val="left"/>
        </w:trPr>
        <w:tc>
          <w:tcPr>
            <w:tcW w:w="1607" w:type="dxa"/>
            <w:vAlign w:val="center"/>
          </w:tcPr>
          <w:p>
            <w:pPr>
              <w:adjustRightInd w:val="0"/>
              <w:snapToGrid w:val="0"/>
              <w:jc w:val="center"/>
              <w:rPr>
                <w:rFonts w:ascii="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hAnsi="宋体" w:cs="Times New Roman"/>
                <w:szCs w:val="21"/>
              </w:rPr>
            </w:pPr>
            <w:r>
              <w:rPr>
                <w:rFonts w:ascii="宋体" w:eastAsia="宋体" w:hAnsi="宋体" w:cs="Times New Roman" w:hint="eastAsia"/>
                <w:szCs w:val="21"/>
              </w:rPr>
              <w:t>第1.2（7）项</w:t>
            </w:r>
          </w:p>
        </w:tc>
        <w:tc>
          <w:tcPr>
            <w:tcW w:w="1742" w:type="dxa"/>
            <w:vAlign w:val="center"/>
          </w:tcPr>
          <w:p>
            <w:pPr>
              <w:adjustRightInd w:val="0"/>
              <w:snapToGrid w:val="0"/>
              <w:jc w:val="left"/>
              <w:rPr>
                <w:rFonts w:ascii="宋体" w:hAnsi="宋体" w:cs="Times New Roman"/>
                <w:szCs w:val="21"/>
              </w:rPr>
            </w:pPr>
            <w:r>
              <w:rPr>
                <w:rFonts w:ascii="宋体" w:eastAsia="宋体" w:hAnsi="宋体" w:cs="Times New Roman" w:hint="eastAsia"/>
                <w:szCs w:val="21"/>
              </w:rPr>
              <w:t>其他术语解释</w:t>
            </w:r>
          </w:p>
        </w:tc>
        <w:tc>
          <w:tcPr>
            <w:tcW w:w="5170" w:type="dxa"/>
            <w:vAlign w:val="center"/>
          </w:tcPr>
          <w:p>
            <w:pPr>
              <w:adjustRightInd w:val="0"/>
              <w:snapToGrid w:val="0"/>
              <w:jc w:val="left"/>
              <w:rPr>
                <w:rFonts w:ascii="宋体" w:hAnsi="宋体" w:cs="Times New Roman"/>
                <w:szCs w:val="21"/>
              </w:rPr>
            </w:pPr>
          </w:p>
        </w:tc>
      </w:tr>
      <w:tr>
        <w:tblPrEx>
          <w:tblW w:w="8519" w:type="dxa"/>
          <w:jc w:val="left"/>
          <w:tblInd w:w="108" w:type="dxa"/>
          <w:tblLayout w:type="fixed"/>
          <w:tblCellMar>
            <w:top w:w="0" w:type="dxa"/>
            <w:left w:w="108" w:type="dxa"/>
            <w:bottom w:w="0" w:type="dxa"/>
            <w:right w:w="108" w:type="dxa"/>
          </w:tblCellMar>
          <w:tblLook w:val="0600"/>
        </w:tblPrEx>
        <w:trPr>
          <w:trHeight w:val="736"/>
          <w:jc w:val="left"/>
        </w:trPr>
        <w:tc>
          <w:tcPr>
            <w:tcW w:w="1607" w:type="dxa"/>
            <w:vAlign w:val="center"/>
          </w:tcPr>
          <w:p>
            <w:pPr>
              <w:adjustRightInd w:val="0"/>
              <w:snapToGrid w:val="0"/>
              <w:jc w:val="center"/>
              <w:rPr>
                <w:rFonts w:ascii="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hAnsi="宋体" w:cs="Times New Roman"/>
                <w:szCs w:val="21"/>
              </w:rPr>
            </w:pPr>
            <w:r>
              <w:rPr>
                <w:rFonts w:ascii="宋体" w:eastAsia="宋体" w:hAnsi="宋体" w:cs="Times New Roman" w:hint="eastAsia"/>
                <w:szCs w:val="21"/>
              </w:rPr>
              <w:t>第4.4款</w:t>
            </w:r>
          </w:p>
        </w:tc>
        <w:tc>
          <w:tcPr>
            <w:tcW w:w="1742" w:type="dxa"/>
            <w:vAlign w:val="center"/>
          </w:tcPr>
          <w:p>
            <w:pPr>
              <w:adjustRightInd w:val="0"/>
              <w:snapToGrid w:val="0"/>
              <w:jc w:val="left"/>
              <w:rPr>
                <w:rFonts w:ascii="宋体" w:hAnsi="宋体" w:cs="Times New Roman"/>
                <w:szCs w:val="21"/>
              </w:rPr>
            </w:pPr>
            <w:r>
              <w:rPr>
                <w:rFonts w:ascii="宋体" w:eastAsia="宋体" w:hAnsi="宋体" w:cs="Times New Roman" w:hint="eastAsia"/>
                <w:szCs w:val="21"/>
              </w:rPr>
              <w:t>履约验收中甲方提出异议或作出说明的期限</w:t>
            </w:r>
          </w:p>
        </w:tc>
        <w:tc>
          <w:tcPr>
            <w:tcW w:w="5170" w:type="dxa"/>
            <w:vAlign w:val="center"/>
          </w:tcPr>
          <w:p>
            <w:pPr>
              <w:adjustRightInd w:val="0"/>
              <w:snapToGrid w:val="0"/>
              <w:jc w:val="left"/>
              <w:rPr>
                <w:rFonts w:ascii="宋体" w:hAnsi="宋体" w:cs="Times New Roman"/>
                <w:szCs w:val="21"/>
              </w:rPr>
            </w:pPr>
          </w:p>
        </w:tc>
      </w:tr>
      <w:tr>
        <w:tblPrEx>
          <w:tblW w:w="8519" w:type="dxa"/>
          <w:jc w:val="left"/>
          <w:tblInd w:w="108" w:type="dxa"/>
          <w:tblLayout w:type="fixed"/>
          <w:tblCellMar>
            <w:top w:w="0" w:type="dxa"/>
            <w:left w:w="108" w:type="dxa"/>
            <w:bottom w:w="0" w:type="dxa"/>
            <w:right w:w="108" w:type="dxa"/>
          </w:tblCellMar>
          <w:tblLook w:val="0600"/>
        </w:tblPrEx>
        <w:trPr>
          <w:trHeight w:val="736"/>
          <w:jc w:val="left"/>
        </w:trPr>
        <w:tc>
          <w:tcPr>
            <w:tcW w:w="1607" w:type="dxa"/>
            <w:vAlign w:val="center"/>
          </w:tcPr>
          <w:p>
            <w:pPr>
              <w:adjustRightInd w:val="0"/>
              <w:snapToGrid w:val="0"/>
              <w:jc w:val="center"/>
              <w:rPr>
                <w:rFonts w:ascii="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hAnsi="宋体" w:cs="Times New Roman"/>
                <w:szCs w:val="21"/>
              </w:rPr>
            </w:pPr>
            <w:r>
              <w:rPr>
                <w:rFonts w:ascii="宋体" w:eastAsia="宋体" w:hAnsi="宋体" w:cs="Times New Roman" w:hint="eastAsia"/>
                <w:szCs w:val="21"/>
              </w:rPr>
              <w:t>第4.6款</w:t>
            </w:r>
          </w:p>
        </w:tc>
        <w:tc>
          <w:tcPr>
            <w:tcW w:w="1742" w:type="dxa"/>
            <w:vAlign w:val="center"/>
          </w:tcPr>
          <w:p>
            <w:pPr>
              <w:adjustRightInd w:val="0"/>
              <w:snapToGrid w:val="0"/>
              <w:jc w:val="left"/>
              <w:rPr>
                <w:rFonts w:ascii="宋体" w:hAnsi="宋体" w:cs="Times New Roman"/>
                <w:szCs w:val="21"/>
              </w:rPr>
            </w:pPr>
            <w:r>
              <w:rPr>
                <w:rFonts w:ascii="宋体" w:eastAsia="宋体" w:hAnsi="宋体" w:cs="Times New Roman" w:hint="eastAsia"/>
                <w:szCs w:val="21"/>
              </w:rPr>
              <w:t>约定甲方承担的其他义务和责任</w:t>
            </w:r>
          </w:p>
        </w:tc>
        <w:tc>
          <w:tcPr>
            <w:tcW w:w="5170" w:type="dxa"/>
            <w:vAlign w:val="center"/>
          </w:tcPr>
          <w:p>
            <w:pPr>
              <w:adjustRightInd w:val="0"/>
              <w:snapToGrid w:val="0"/>
              <w:jc w:val="left"/>
              <w:rPr>
                <w:rFonts w:ascii="宋体" w:hAnsi="宋体" w:cs="Times New Roman"/>
                <w:szCs w:val="21"/>
              </w:rPr>
            </w:pPr>
          </w:p>
        </w:tc>
      </w:tr>
      <w:tr>
        <w:tblPrEx>
          <w:tblW w:w="8519" w:type="dxa"/>
          <w:jc w:val="left"/>
          <w:tblInd w:w="108" w:type="dxa"/>
          <w:tblLayout w:type="fixed"/>
          <w:tblCellMar>
            <w:top w:w="0" w:type="dxa"/>
            <w:left w:w="108" w:type="dxa"/>
            <w:bottom w:w="0" w:type="dxa"/>
            <w:right w:w="108" w:type="dxa"/>
          </w:tblCellMar>
          <w:tblLook w:val="0600"/>
        </w:tblPrEx>
        <w:trPr>
          <w:trHeight w:val="736"/>
          <w:jc w:val="left"/>
        </w:trPr>
        <w:tc>
          <w:tcPr>
            <w:tcW w:w="1607" w:type="dxa"/>
            <w:vAlign w:val="center"/>
          </w:tcPr>
          <w:p>
            <w:pPr>
              <w:adjustRightInd w:val="0"/>
              <w:snapToGrid w:val="0"/>
              <w:jc w:val="center"/>
              <w:rPr>
                <w:rFonts w:ascii="宋体" w:hAnsi="宋体" w:cs="Times New Roman"/>
                <w:szCs w:val="21"/>
              </w:rPr>
            </w:pPr>
            <w:r>
              <w:rPr>
                <w:rFonts w:ascii="宋体" w:eastAsia="宋体" w:hAnsi="宋体" w:cs="Times New Roman" w:hint="eastAsia"/>
                <w:szCs w:val="21"/>
              </w:rPr>
              <w:t>第二节</w:t>
            </w:r>
          </w:p>
          <w:p>
            <w:pPr>
              <w:snapToGrid w:val="0"/>
              <w:jc w:val="center"/>
              <w:rPr>
                <w:rFonts w:ascii="Times New Roman" w:hAnsi="Times New Roman" w:cs="Times New Roman"/>
                <w:szCs w:val="20"/>
              </w:rPr>
            </w:pPr>
            <w:r>
              <w:rPr>
                <w:rFonts w:ascii="宋体" w:eastAsia="宋体" w:hAnsi="宋体" w:cs="Times New Roman" w:hint="eastAsia"/>
                <w:szCs w:val="21"/>
              </w:rPr>
              <w:t>第5.4款</w:t>
            </w:r>
          </w:p>
        </w:tc>
        <w:tc>
          <w:tcPr>
            <w:tcW w:w="1742" w:type="dxa"/>
            <w:vAlign w:val="center"/>
          </w:tcPr>
          <w:p>
            <w:pPr>
              <w:adjustRightInd w:val="0"/>
              <w:snapToGrid w:val="0"/>
              <w:jc w:val="left"/>
              <w:rPr>
                <w:rFonts w:ascii="宋体" w:hAnsi="宋体" w:cs="Times New Roman"/>
                <w:szCs w:val="21"/>
              </w:rPr>
            </w:pPr>
            <w:r>
              <w:rPr>
                <w:rFonts w:ascii="宋体" w:eastAsia="宋体" w:hAnsi="宋体" w:cs="Times New Roman" w:hint="eastAsia"/>
                <w:szCs w:val="21"/>
              </w:rPr>
              <w:t>约定乙方承担的其他义务和责任</w:t>
            </w:r>
          </w:p>
        </w:tc>
        <w:tc>
          <w:tcPr>
            <w:tcW w:w="5170" w:type="dxa"/>
            <w:vAlign w:val="center"/>
          </w:tcPr>
          <w:p>
            <w:pPr>
              <w:adjustRightInd w:val="0"/>
              <w:snapToGrid w:val="0"/>
              <w:jc w:val="left"/>
              <w:rPr>
                <w:rFonts w:ascii="宋体" w:hAnsi="宋体" w:cs="Times New Roman"/>
                <w:szCs w:val="21"/>
              </w:rPr>
            </w:pPr>
          </w:p>
        </w:tc>
      </w:tr>
      <w:tr>
        <w:tblPrEx>
          <w:tblW w:w="8519" w:type="dxa"/>
          <w:jc w:val="left"/>
          <w:tblInd w:w="108" w:type="dxa"/>
          <w:tblLayout w:type="fixed"/>
          <w:tblCellMar>
            <w:top w:w="0" w:type="dxa"/>
            <w:left w:w="108" w:type="dxa"/>
            <w:bottom w:w="0" w:type="dxa"/>
            <w:right w:w="108" w:type="dxa"/>
          </w:tblCellMar>
          <w:tblLook w:val="0600"/>
        </w:tblPrEx>
        <w:trPr>
          <w:trHeight w:val="736"/>
          <w:jc w:val="left"/>
        </w:trPr>
        <w:tc>
          <w:tcPr>
            <w:tcW w:w="1607" w:type="dxa"/>
            <w:vAlign w:val="center"/>
          </w:tcPr>
          <w:p>
            <w:pPr>
              <w:adjustRightInd w:val="0"/>
              <w:snapToGrid w:val="0"/>
              <w:jc w:val="center"/>
              <w:rPr>
                <w:rFonts w:ascii="宋体" w:hAnsi="宋体" w:cs="Times New Roman"/>
                <w:szCs w:val="21"/>
              </w:rPr>
            </w:pPr>
            <w:r>
              <w:rPr>
                <w:rFonts w:ascii="宋体" w:eastAsia="宋体" w:hAnsi="宋体" w:cs="Times New Roman" w:hint="eastAsia"/>
                <w:szCs w:val="21"/>
              </w:rPr>
              <w:t>第二节</w:t>
            </w:r>
          </w:p>
          <w:p>
            <w:pPr>
              <w:snapToGrid w:val="0"/>
              <w:jc w:val="center"/>
              <w:rPr>
                <w:rFonts w:ascii="宋体" w:hAnsi="宋体" w:cs="Times New Roman"/>
                <w:szCs w:val="21"/>
              </w:rPr>
            </w:pPr>
            <w:r>
              <w:rPr>
                <w:rFonts w:ascii="宋体" w:eastAsia="宋体" w:hAnsi="宋体" w:cs="Times New Roman" w:hint="eastAsia"/>
                <w:szCs w:val="21"/>
              </w:rPr>
              <w:t>第6.1款</w:t>
            </w:r>
          </w:p>
        </w:tc>
        <w:tc>
          <w:tcPr>
            <w:tcW w:w="1742" w:type="dxa"/>
            <w:vAlign w:val="center"/>
          </w:tcPr>
          <w:p>
            <w:pPr>
              <w:adjustRightInd w:val="0"/>
              <w:snapToGrid w:val="0"/>
              <w:jc w:val="left"/>
              <w:rPr>
                <w:rFonts w:ascii="宋体" w:hAnsi="宋体" w:cs="Times New Roman"/>
                <w:szCs w:val="21"/>
              </w:rPr>
            </w:pPr>
            <w:r>
              <w:rPr>
                <w:rFonts w:ascii="宋体" w:eastAsia="宋体" w:hAnsi="宋体" w:cs="Times New Roman" w:hint="eastAsia"/>
                <w:szCs w:val="21"/>
              </w:rPr>
              <w:t>履行合同义务的顺序</w:t>
            </w:r>
          </w:p>
        </w:tc>
        <w:tc>
          <w:tcPr>
            <w:tcW w:w="5170" w:type="dxa"/>
            <w:vAlign w:val="center"/>
          </w:tcPr>
          <w:p>
            <w:pPr>
              <w:adjustRightInd w:val="0"/>
              <w:snapToGrid w:val="0"/>
              <w:jc w:val="left"/>
              <w:rPr>
                <w:rFonts w:ascii="宋体" w:hAnsi="宋体" w:cs="Times New Roman"/>
                <w:szCs w:val="21"/>
              </w:rPr>
            </w:pPr>
          </w:p>
        </w:tc>
      </w:tr>
      <w:tr>
        <w:tblPrEx>
          <w:tblW w:w="8519" w:type="dxa"/>
          <w:jc w:val="left"/>
          <w:tblInd w:w="108" w:type="dxa"/>
          <w:tblLayout w:type="fixed"/>
          <w:tblCellMar>
            <w:top w:w="0" w:type="dxa"/>
            <w:left w:w="108" w:type="dxa"/>
            <w:bottom w:w="0" w:type="dxa"/>
            <w:right w:w="108" w:type="dxa"/>
          </w:tblCellMar>
          <w:tblLook w:val="0600"/>
        </w:tblPrEx>
        <w:trPr>
          <w:trHeight w:val="667"/>
          <w:jc w:val="left"/>
        </w:trPr>
        <w:tc>
          <w:tcPr>
            <w:tcW w:w="1607" w:type="dxa"/>
            <w:vMerge w:val="restart"/>
            <w:vAlign w:val="center"/>
          </w:tcPr>
          <w:p>
            <w:pPr>
              <w:adjustRightInd w:val="0"/>
              <w:snapToGrid w:val="0"/>
              <w:jc w:val="center"/>
              <w:rPr>
                <w:rFonts w:ascii="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hAnsi="宋体" w:cs="Times New Roman"/>
                <w:szCs w:val="21"/>
              </w:rPr>
            </w:pPr>
            <w:r>
              <w:rPr>
                <w:rFonts w:ascii="宋体" w:eastAsia="宋体" w:hAnsi="宋体" w:cs="Times New Roman" w:hint="eastAsia"/>
                <w:szCs w:val="21"/>
              </w:rPr>
              <w:t>第7.1款</w:t>
            </w:r>
          </w:p>
        </w:tc>
        <w:tc>
          <w:tcPr>
            <w:tcW w:w="1742" w:type="dxa"/>
            <w:vAlign w:val="center"/>
          </w:tcPr>
          <w:p>
            <w:pPr>
              <w:adjustRightInd w:val="0"/>
              <w:snapToGrid w:val="0"/>
              <w:jc w:val="left"/>
              <w:rPr>
                <w:rFonts w:ascii="宋体" w:hAnsi="宋体" w:cs="Times New Roman"/>
                <w:szCs w:val="21"/>
              </w:rPr>
            </w:pPr>
            <w:r>
              <w:rPr>
                <w:rFonts w:ascii="宋体" w:eastAsia="宋体" w:hAnsi="宋体" w:cs="Times New Roman" w:hint="eastAsia"/>
                <w:szCs w:val="21"/>
              </w:rPr>
              <w:t>包装特殊要求</w:t>
            </w:r>
          </w:p>
        </w:tc>
        <w:tc>
          <w:tcPr>
            <w:tcW w:w="5170" w:type="dxa"/>
            <w:vAlign w:val="center"/>
          </w:tcPr>
          <w:p>
            <w:pPr>
              <w:rPr>
                <w:rFonts w:ascii="Times New Roman" w:hAnsi="Times New Roman" w:cs="Times New Roman"/>
                <w:szCs w:val="20"/>
              </w:rPr>
            </w:pPr>
          </w:p>
        </w:tc>
      </w:tr>
      <w:tr>
        <w:tblPrEx>
          <w:tblW w:w="8519" w:type="dxa"/>
          <w:jc w:val="left"/>
          <w:tblInd w:w="108" w:type="dxa"/>
          <w:tblLayout w:type="fixed"/>
          <w:tblCellMar>
            <w:top w:w="0" w:type="dxa"/>
            <w:left w:w="108" w:type="dxa"/>
            <w:bottom w:w="0" w:type="dxa"/>
            <w:right w:w="108" w:type="dxa"/>
          </w:tblCellMar>
          <w:tblLook w:val="0600"/>
        </w:tblPrEx>
        <w:trPr>
          <w:trHeight w:val="667"/>
          <w:jc w:val="left"/>
        </w:trPr>
        <w:tc>
          <w:tcPr>
            <w:tcW w:w="1607" w:type="dxa"/>
            <w:vMerge/>
            <w:vAlign w:val="center"/>
          </w:tcPr>
          <w:p/>
        </w:tc>
        <w:tc>
          <w:tcPr>
            <w:tcW w:w="1742" w:type="dxa"/>
            <w:vAlign w:val="center"/>
          </w:tcPr>
          <w:p>
            <w:pPr>
              <w:adjustRightInd w:val="0"/>
              <w:snapToGrid w:val="0"/>
              <w:jc w:val="left"/>
              <w:rPr>
                <w:rFonts w:ascii="宋体" w:hAnsi="宋体" w:cs="Times New Roman"/>
                <w:szCs w:val="21"/>
              </w:rPr>
            </w:pPr>
            <w:r>
              <w:rPr>
                <w:rFonts w:ascii="宋体" w:eastAsia="宋体" w:hAnsi="宋体" w:cs="Times New Roman" w:hint="eastAsia"/>
                <w:szCs w:val="21"/>
              </w:rPr>
              <w:t>指定现场</w:t>
            </w:r>
          </w:p>
        </w:tc>
        <w:tc>
          <w:tcPr>
            <w:tcW w:w="5170" w:type="dxa"/>
            <w:vAlign w:val="center"/>
          </w:tcPr>
          <w:p>
            <w:pPr>
              <w:rPr>
                <w:rFonts w:ascii="Times New Roman" w:hAnsi="Times New Roman" w:cs="Times New Roman"/>
                <w:szCs w:val="20"/>
              </w:rPr>
            </w:pPr>
          </w:p>
        </w:tc>
      </w:tr>
      <w:tr>
        <w:tblPrEx>
          <w:tblW w:w="8519" w:type="dxa"/>
          <w:jc w:val="left"/>
          <w:tblInd w:w="108" w:type="dxa"/>
          <w:tblLayout w:type="fixed"/>
          <w:tblCellMar>
            <w:top w:w="0" w:type="dxa"/>
            <w:left w:w="108" w:type="dxa"/>
            <w:bottom w:w="0" w:type="dxa"/>
            <w:right w:w="108" w:type="dxa"/>
          </w:tblCellMar>
          <w:tblLook w:val="0600"/>
        </w:tblPrEx>
        <w:trPr>
          <w:trHeight w:val="772"/>
          <w:jc w:val="left"/>
        </w:trPr>
        <w:tc>
          <w:tcPr>
            <w:tcW w:w="1607" w:type="dxa"/>
            <w:vAlign w:val="center"/>
          </w:tcPr>
          <w:p>
            <w:pPr>
              <w:adjustRightInd w:val="0"/>
              <w:snapToGrid w:val="0"/>
              <w:jc w:val="center"/>
              <w:rPr>
                <w:rFonts w:ascii="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hAnsi="宋体" w:cs="Times New Roman"/>
                <w:szCs w:val="21"/>
              </w:rPr>
            </w:pPr>
            <w:r>
              <w:rPr>
                <w:rFonts w:ascii="宋体" w:eastAsia="宋体" w:hAnsi="宋体" w:cs="Times New Roman" w:hint="eastAsia"/>
                <w:szCs w:val="21"/>
              </w:rPr>
              <w:t>第7.2款</w:t>
            </w:r>
          </w:p>
        </w:tc>
        <w:tc>
          <w:tcPr>
            <w:tcW w:w="1742" w:type="dxa"/>
            <w:vAlign w:val="center"/>
          </w:tcPr>
          <w:p>
            <w:pPr>
              <w:adjustRightInd w:val="0"/>
              <w:snapToGrid w:val="0"/>
              <w:jc w:val="left"/>
              <w:rPr>
                <w:rFonts w:ascii="宋体" w:hAnsi="宋体" w:cs="Times New Roman"/>
                <w:szCs w:val="21"/>
              </w:rPr>
            </w:pPr>
            <w:r>
              <w:rPr>
                <w:rFonts w:ascii="宋体" w:eastAsia="宋体" w:hAnsi="宋体" w:cs="Times New Roman" w:hint="eastAsia"/>
                <w:szCs w:val="21"/>
              </w:rPr>
              <w:t>运输特殊要求</w:t>
            </w:r>
          </w:p>
        </w:tc>
        <w:tc>
          <w:tcPr>
            <w:tcW w:w="5170" w:type="dxa"/>
            <w:vAlign w:val="center"/>
          </w:tcPr>
          <w:p>
            <w:pPr>
              <w:rPr>
                <w:rFonts w:ascii="Times New Roman" w:hAnsi="Times New Roman" w:cs="Times New Roman"/>
                <w:szCs w:val="20"/>
              </w:rPr>
            </w:pPr>
          </w:p>
        </w:tc>
      </w:tr>
      <w:tr>
        <w:tblPrEx>
          <w:tblW w:w="8519" w:type="dxa"/>
          <w:jc w:val="left"/>
          <w:tblInd w:w="108" w:type="dxa"/>
          <w:tblLayout w:type="fixed"/>
          <w:tblCellMar>
            <w:top w:w="0" w:type="dxa"/>
            <w:left w:w="108" w:type="dxa"/>
            <w:bottom w:w="0" w:type="dxa"/>
            <w:right w:w="108" w:type="dxa"/>
          </w:tblCellMar>
          <w:tblLook w:val="0600"/>
        </w:tblPrEx>
        <w:trPr>
          <w:trHeight w:val="667"/>
          <w:jc w:val="left"/>
        </w:trPr>
        <w:tc>
          <w:tcPr>
            <w:tcW w:w="1607" w:type="dxa"/>
            <w:vAlign w:val="center"/>
          </w:tcPr>
          <w:p>
            <w:pPr>
              <w:adjustRightInd w:val="0"/>
              <w:snapToGrid w:val="0"/>
              <w:jc w:val="center"/>
              <w:rPr>
                <w:rFonts w:ascii="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hAnsi="宋体" w:cs="Times New Roman"/>
                <w:szCs w:val="21"/>
              </w:rPr>
            </w:pPr>
            <w:r>
              <w:rPr>
                <w:rFonts w:ascii="宋体" w:eastAsia="宋体" w:hAnsi="宋体" w:cs="Times New Roman" w:hint="eastAsia"/>
                <w:szCs w:val="21"/>
              </w:rPr>
              <w:t>第7.3款</w:t>
            </w:r>
          </w:p>
        </w:tc>
        <w:tc>
          <w:tcPr>
            <w:tcW w:w="1742" w:type="dxa"/>
            <w:vAlign w:val="center"/>
          </w:tcPr>
          <w:p>
            <w:pPr>
              <w:adjustRightInd w:val="0"/>
              <w:snapToGrid w:val="0"/>
              <w:jc w:val="left"/>
              <w:rPr>
                <w:rFonts w:ascii="宋体" w:hAnsi="宋体" w:cs="Times New Roman"/>
                <w:szCs w:val="21"/>
              </w:rPr>
            </w:pPr>
            <w:r>
              <w:rPr>
                <w:rFonts w:ascii="宋体" w:eastAsia="宋体" w:hAnsi="宋体" w:cs="Times New Roman" w:hint="eastAsia"/>
                <w:szCs w:val="21"/>
              </w:rPr>
              <w:t>保险要求</w:t>
            </w:r>
          </w:p>
        </w:tc>
        <w:tc>
          <w:tcPr>
            <w:tcW w:w="5170" w:type="dxa"/>
            <w:vAlign w:val="center"/>
          </w:tcPr>
          <w:p>
            <w:pPr>
              <w:rPr>
                <w:rFonts w:ascii="Times New Roman" w:hAnsi="Times New Roman" w:cs="Times New Roman"/>
                <w:szCs w:val="20"/>
              </w:rPr>
            </w:pPr>
          </w:p>
        </w:tc>
      </w:tr>
      <w:tr>
        <w:tblPrEx>
          <w:tblW w:w="8519" w:type="dxa"/>
          <w:jc w:val="left"/>
          <w:tblInd w:w="108" w:type="dxa"/>
          <w:tblLayout w:type="fixed"/>
          <w:tblCellMar>
            <w:top w:w="0" w:type="dxa"/>
            <w:left w:w="108" w:type="dxa"/>
            <w:bottom w:w="0" w:type="dxa"/>
            <w:right w:w="108" w:type="dxa"/>
          </w:tblCellMar>
          <w:tblLook w:val="0600"/>
        </w:tblPrEx>
        <w:trPr>
          <w:trHeight w:val="736"/>
          <w:jc w:val="left"/>
        </w:trPr>
        <w:tc>
          <w:tcPr>
            <w:tcW w:w="1607" w:type="dxa"/>
            <w:vAlign w:val="center"/>
          </w:tcPr>
          <w:p>
            <w:pPr>
              <w:adjustRightInd w:val="0"/>
              <w:snapToGrid w:val="0"/>
              <w:jc w:val="center"/>
              <w:rPr>
                <w:rFonts w:ascii="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hAnsi="宋体" w:cs="Times New Roman"/>
                <w:szCs w:val="21"/>
              </w:rPr>
            </w:pPr>
            <w:r>
              <w:rPr>
                <w:rFonts w:ascii="宋体" w:eastAsia="宋体" w:hAnsi="宋体" w:cs="Times New Roman" w:hint="eastAsia"/>
                <w:szCs w:val="21"/>
              </w:rPr>
              <w:t>第8.2（1）项</w:t>
            </w:r>
          </w:p>
        </w:tc>
        <w:tc>
          <w:tcPr>
            <w:tcW w:w="1742" w:type="dxa"/>
            <w:vAlign w:val="center"/>
          </w:tcPr>
          <w:p>
            <w:pPr>
              <w:adjustRightInd w:val="0"/>
              <w:snapToGrid w:val="0"/>
              <w:jc w:val="left"/>
              <w:rPr>
                <w:rFonts w:ascii="宋体" w:hAnsi="宋体" w:cs="Times New Roman"/>
                <w:szCs w:val="21"/>
              </w:rPr>
            </w:pPr>
            <w:r>
              <w:rPr>
                <w:rFonts w:ascii="宋体" w:eastAsia="宋体" w:hAnsi="宋体" w:cs="Times New Roman" w:hint="eastAsia"/>
                <w:szCs w:val="21"/>
              </w:rPr>
              <w:t>质量保证期</w:t>
            </w:r>
          </w:p>
        </w:tc>
        <w:tc>
          <w:tcPr>
            <w:tcW w:w="5170" w:type="dxa"/>
            <w:vAlign w:val="center"/>
          </w:tcPr>
          <w:p>
            <w:pPr>
              <w:autoSpaceDE w:val="0"/>
              <w:autoSpaceDN w:val="0"/>
              <w:adjustRightInd w:val="0"/>
              <w:snapToGrid w:val="0"/>
              <w:ind w:firstLine="420" w:firstLineChars="200"/>
              <w:jc w:val="left"/>
              <w:rPr>
                <w:rFonts w:ascii="宋体" w:hAnsi="宋体" w:cs="Times New Roman"/>
                <w:szCs w:val="21"/>
              </w:rPr>
            </w:pPr>
          </w:p>
        </w:tc>
      </w:tr>
      <w:tr>
        <w:tblPrEx>
          <w:tblW w:w="8519" w:type="dxa"/>
          <w:jc w:val="left"/>
          <w:tblInd w:w="108" w:type="dxa"/>
          <w:tblLayout w:type="fixed"/>
          <w:tblCellMar>
            <w:top w:w="0" w:type="dxa"/>
            <w:left w:w="108" w:type="dxa"/>
            <w:bottom w:w="0" w:type="dxa"/>
            <w:right w:w="108" w:type="dxa"/>
          </w:tblCellMar>
          <w:tblLook w:val="0600"/>
        </w:tblPrEx>
        <w:trPr>
          <w:trHeight w:val="736"/>
          <w:jc w:val="left"/>
        </w:trPr>
        <w:tc>
          <w:tcPr>
            <w:tcW w:w="1607" w:type="dxa"/>
            <w:vAlign w:val="center"/>
          </w:tcPr>
          <w:p>
            <w:pPr>
              <w:adjustRightInd w:val="0"/>
              <w:snapToGrid w:val="0"/>
              <w:jc w:val="center"/>
              <w:rPr>
                <w:rFonts w:ascii="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hAnsi="宋体" w:cs="Times New Roman"/>
                <w:szCs w:val="21"/>
              </w:rPr>
            </w:pPr>
            <w:r>
              <w:rPr>
                <w:rFonts w:ascii="宋体" w:eastAsia="宋体" w:hAnsi="宋体" w:cs="Times New Roman" w:hint="eastAsia"/>
                <w:szCs w:val="21"/>
              </w:rPr>
              <w:t>第8.2（3）项</w:t>
            </w:r>
          </w:p>
        </w:tc>
        <w:tc>
          <w:tcPr>
            <w:tcW w:w="1742" w:type="dxa"/>
            <w:vAlign w:val="center"/>
          </w:tcPr>
          <w:p>
            <w:pPr>
              <w:adjustRightInd w:val="0"/>
              <w:snapToGrid w:val="0"/>
              <w:jc w:val="left"/>
              <w:rPr>
                <w:rFonts w:ascii="宋体" w:hAnsi="宋体" w:cs="Times New Roman"/>
                <w:szCs w:val="21"/>
              </w:rPr>
            </w:pPr>
            <w:r>
              <w:rPr>
                <w:rFonts w:ascii="宋体" w:eastAsia="宋体" w:hAnsi="宋体" w:cs="Times New Roman" w:hint="eastAsia"/>
                <w:szCs w:val="21"/>
              </w:rPr>
              <w:t>货物质量缺陷</w:t>
            </w:r>
          </w:p>
          <w:p>
            <w:pPr>
              <w:adjustRightInd w:val="0"/>
              <w:snapToGrid w:val="0"/>
              <w:jc w:val="left"/>
              <w:rPr>
                <w:rFonts w:ascii="宋体" w:hAnsi="宋体" w:cs="Times New Roman"/>
                <w:szCs w:val="21"/>
              </w:rPr>
            </w:pPr>
            <w:r>
              <w:rPr>
                <w:rFonts w:ascii="宋体" w:eastAsia="宋体" w:hAnsi="宋体" w:cs="Times New Roman" w:hint="eastAsia"/>
                <w:szCs w:val="21"/>
              </w:rPr>
              <w:t>响应时间</w:t>
            </w:r>
          </w:p>
        </w:tc>
        <w:tc>
          <w:tcPr>
            <w:tcW w:w="5170" w:type="dxa"/>
            <w:vAlign w:val="center"/>
          </w:tcPr>
          <w:p>
            <w:pPr>
              <w:adjustRightInd w:val="0"/>
              <w:snapToGrid w:val="0"/>
              <w:jc w:val="left"/>
              <w:rPr>
                <w:rFonts w:ascii="宋体" w:hAnsi="宋体" w:cs="Times New Roman"/>
                <w:szCs w:val="21"/>
              </w:rPr>
            </w:pPr>
          </w:p>
        </w:tc>
      </w:tr>
      <w:tr>
        <w:tblPrEx>
          <w:tblW w:w="8519" w:type="dxa"/>
          <w:jc w:val="left"/>
          <w:tblInd w:w="108" w:type="dxa"/>
          <w:tblLayout w:type="fixed"/>
          <w:tblCellMar>
            <w:top w:w="0" w:type="dxa"/>
            <w:left w:w="108" w:type="dxa"/>
            <w:bottom w:w="0" w:type="dxa"/>
            <w:right w:w="108" w:type="dxa"/>
          </w:tblCellMar>
          <w:tblLook w:val="0600"/>
        </w:tblPrEx>
        <w:trPr>
          <w:trHeight w:val="736"/>
          <w:jc w:val="left"/>
        </w:trPr>
        <w:tc>
          <w:tcPr>
            <w:tcW w:w="1607" w:type="dxa"/>
            <w:vAlign w:val="center"/>
          </w:tcPr>
          <w:p>
            <w:pPr>
              <w:snapToGrid w:val="0"/>
              <w:jc w:val="center"/>
              <w:rPr>
                <w:rFonts w:ascii="宋体" w:hAnsi="宋体" w:cs="宋体"/>
                <w:szCs w:val="21"/>
              </w:rPr>
            </w:pPr>
            <w:r>
              <w:rPr>
                <w:rFonts w:ascii="宋体" w:eastAsia="宋体" w:hAnsi="宋体" w:cs="宋体" w:hint="eastAsia"/>
                <w:szCs w:val="21"/>
              </w:rPr>
              <w:t>第二节</w:t>
            </w:r>
          </w:p>
          <w:p>
            <w:pPr>
              <w:widowControl/>
              <w:autoSpaceDE w:val="0"/>
              <w:autoSpaceDN w:val="0"/>
              <w:adjustRightInd w:val="0"/>
              <w:spacing w:line="400" w:lineRule="exact"/>
              <w:jc w:val="center"/>
              <w:rPr>
                <w:rFonts w:ascii="华文楷体" w:eastAsia="华文楷体" w:hAnsi="华文楷体" w:cs="华文楷体"/>
                <w:kern w:val="0"/>
                <w:sz w:val="22"/>
                <w:szCs w:val="21"/>
              </w:rPr>
            </w:pPr>
            <w:r>
              <w:rPr>
                <w:rFonts w:ascii="宋体" w:eastAsia="宋体" w:hAnsi="宋体" w:cs="宋体" w:hint="eastAsia"/>
                <w:kern w:val="0"/>
                <w:sz w:val="22"/>
                <w:szCs w:val="21"/>
              </w:rPr>
              <w:t>第11.1款</w:t>
            </w:r>
          </w:p>
        </w:tc>
        <w:tc>
          <w:tcPr>
            <w:tcW w:w="1742" w:type="dxa"/>
            <w:vAlign w:val="center"/>
          </w:tcPr>
          <w:p>
            <w:pPr>
              <w:adjustRightInd w:val="0"/>
              <w:snapToGrid w:val="0"/>
              <w:rPr>
                <w:rFonts w:ascii="宋体" w:hAnsi="宋体" w:cs="Times New Roman"/>
                <w:szCs w:val="21"/>
              </w:rPr>
            </w:pPr>
            <w:r>
              <w:rPr>
                <w:rFonts w:ascii="宋体" w:eastAsia="宋体" w:hAnsi="宋体" w:cs="Times New Roman" w:hint="eastAsia"/>
                <w:szCs w:val="21"/>
              </w:rPr>
              <w:t>其他应当保密的信息</w:t>
            </w:r>
          </w:p>
        </w:tc>
        <w:tc>
          <w:tcPr>
            <w:tcW w:w="5170" w:type="dxa"/>
            <w:vAlign w:val="center"/>
          </w:tcPr>
          <w:p>
            <w:pPr>
              <w:adjustRightInd w:val="0"/>
              <w:snapToGrid w:val="0"/>
              <w:jc w:val="left"/>
              <w:rPr>
                <w:rFonts w:ascii="宋体" w:hAnsi="宋体" w:cs="Times New Roman"/>
                <w:szCs w:val="21"/>
              </w:rPr>
            </w:pPr>
          </w:p>
        </w:tc>
      </w:tr>
      <w:tr>
        <w:tblPrEx>
          <w:tblW w:w="8519" w:type="dxa"/>
          <w:jc w:val="left"/>
          <w:tblInd w:w="108" w:type="dxa"/>
          <w:tblLayout w:type="fixed"/>
          <w:tblCellMar>
            <w:top w:w="0" w:type="dxa"/>
            <w:left w:w="108" w:type="dxa"/>
            <w:bottom w:w="0" w:type="dxa"/>
            <w:right w:w="108" w:type="dxa"/>
          </w:tblCellMar>
          <w:tblLook w:val="0600"/>
        </w:tblPrEx>
        <w:trPr>
          <w:trHeight w:val="697"/>
          <w:jc w:val="left"/>
        </w:trPr>
        <w:tc>
          <w:tcPr>
            <w:tcW w:w="1607" w:type="dxa"/>
            <w:vAlign w:val="center"/>
          </w:tcPr>
          <w:p>
            <w:pPr>
              <w:adjustRightInd w:val="0"/>
              <w:snapToGrid w:val="0"/>
              <w:jc w:val="center"/>
              <w:rPr>
                <w:rFonts w:ascii="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hAnsi="宋体" w:cs="Times New Roman"/>
                <w:szCs w:val="21"/>
              </w:rPr>
            </w:pPr>
            <w:r>
              <w:rPr>
                <w:rFonts w:ascii="宋体" w:eastAsia="宋体" w:hAnsi="宋体" w:cs="Times New Roman" w:hint="eastAsia"/>
                <w:szCs w:val="21"/>
              </w:rPr>
              <w:t>第12.2款</w:t>
            </w:r>
          </w:p>
        </w:tc>
        <w:tc>
          <w:tcPr>
            <w:tcW w:w="1742" w:type="dxa"/>
            <w:vAlign w:val="center"/>
          </w:tcPr>
          <w:p>
            <w:pPr>
              <w:adjustRightInd w:val="0"/>
              <w:snapToGrid w:val="0"/>
              <w:jc w:val="left"/>
              <w:rPr>
                <w:rFonts w:ascii="宋体" w:hAnsi="宋体" w:cs="Times New Roman"/>
                <w:szCs w:val="21"/>
              </w:rPr>
            </w:pPr>
            <w:r>
              <w:rPr>
                <w:rFonts w:ascii="宋体" w:eastAsia="宋体" w:hAnsi="宋体" w:cs="Times New Roman" w:hint="eastAsia"/>
                <w:szCs w:val="21"/>
              </w:rPr>
              <w:t>合同价款支付时间</w:t>
            </w:r>
          </w:p>
        </w:tc>
        <w:tc>
          <w:tcPr>
            <w:tcW w:w="5170" w:type="dxa"/>
            <w:vAlign w:val="center"/>
          </w:tcPr>
          <w:p>
            <w:pPr>
              <w:adjustRightInd w:val="0"/>
              <w:snapToGrid w:val="0"/>
              <w:jc w:val="left"/>
              <w:rPr>
                <w:rFonts w:ascii="宋体" w:hAnsi="宋体" w:cs="Times New Roman"/>
                <w:szCs w:val="21"/>
              </w:rPr>
            </w:pPr>
          </w:p>
        </w:tc>
      </w:tr>
      <w:tr>
        <w:tblPrEx>
          <w:tblW w:w="8519" w:type="dxa"/>
          <w:jc w:val="left"/>
          <w:tblInd w:w="108" w:type="dxa"/>
          <w:tblLayout w:type="fixed"/>
          <w:tblCellMar>
            <w:top w:w="0" w:type="dxa"/>
            <w:left w:w="108" w:type="dxa"/>
            <w:bottom w:w="0" w:type="dxa"/>
            <w:right w:w="108" w:type="dxa"/>
          </w:tblCellMar>
          <w:tblLook w:val="0600"/>
        </w:tblPrEx>
        <w:trPr>
          <w:trHeight w:val="697"/>
          <w:jc w:val="left"/>
        </w:trPr>
        <w:tc>
          <w:tcPr>
            <w:tcW w:w="1607" w:type="dxa"/>
            <w:vAlign w:val="center"/>
          </w:tcPr>
          <w:p>
            <w:pPr>
              <w:adjustRightInd w:val="0"/>
              <w:snapToGrid w:val="0"/>
              <w:jc w:val="center"/>
              <w:rPr>
                <w:rFonts w:ascii="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hAnsi="宋体" w:cs="Times New Roman"/>
                <w:szCs w:val="21"/>
              </w:rPr>
            </w:pPr>
            <w:r>
              <w:rPr>
                <w:rFonts w:ascii="宋体" w:eastAsia="宋体" w:hAnsi="宋体" w:cs="Times New Roman" w:hint="eastAsia"/>
                <w:szCs w:val="21"/>
              </w:rPr>
              <w:t>第13.2款</w:t>
            </w:r>
          </w:p>
        </w:tc>
        <w:tc>
          <w:tcPr>
            <w:tcW w:w="1742" w:type="dxa"/>
            <w:vAlign w:val="center"/>
          </w:tcPr>
          <w:p>
            <w:pPr>
              <w:adjustRightInd w:val="0"/>
              <w:snapToGrid w:val="0"/>
              <w:jc w:val="left"/>
              <w:rPr>
                <w:rFonts w:ascii="宋体" w:hAnsi="宋体" w:cs="Times New Roman"/>
                <w:szCs w:val="21"/>
              </w:rPr>
            </w:pPr>
            <w:r>
              <w:rPr>
                <w:rFonts w:ascii="宋体" w:eastAsia="宋体" w:hAnsi="宋体" w:cs="Times New Roman" w:hint="eastAsia"/>
                <w:szCs w:val="21"/>
              </w:rPr>
              <w:t>履约保证金不予退还的情形</w:t>
            </w:r>
          </w:p>
        </w:tc>
        <w:tc>
          <w:tcPr>
            <w:tcW w:w="5170" w:type="dxa"/>
            <w:vAlign w:val="center"/>
          </w:tcPr>
          <w:p>
            <w:pPr>
              <w:adjustRightInd w:val="0"/>
              <w:snapToGrid w:val="0"/>
              <w:jc w:val="left"/>
              <w:rPr>
                <w:rFonts w:ascii="宋体" w:hAnsi="宋体" w:cs="Times New Roman"/>
                <w:szCs w:val="21"/>
              </w:rPr>
            </w:pPr>
          </w:p>
        </w:tc>
      </w:tr>
      <w:tr>
        <w:tblPrEx>
          <w:tblW w:w="8519" w:type="dxa"/>
          <w:jc w:val="left"/>
          <w:tblInd w:w="108" w:type="dxa"/>
          <w:tblLayout w:type="fixed"/>
          <w:tblCellMar>
            <w:top w:w="0" w:type="dxa"/>
            <w:left w:w="108" w:type="dxa"/>
            <w:bottom w:w="0" w:type="dxa"/>
            <w:right w:w="108" w:type="dxa"/>
          </w:tblCellMar>
          <w:tblLook w:val="0600"/>
        </w:tblPrEx>
        <w:trPr>
          <w:trHeight w:val="736"/>
          <w:jc w:val="left"/>
        </w:trPr>
        <w:tc>
          <w:tcPr>
            <w:tcW w:w="1607" w:type="dxa"/>
            <w:vAlign w:val="center"/>
          </w:tcPr>
          <w:p>
            <w:pPr>
              <w:adjustRightInd w:val="0"/>
              <w:snapToGrid w:val="0"/>
              <w:jc w:val="center"/>
              <w:rPr>
                <w:rFonts w:ascii="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hAnsi="宋体" w:cs="Times New Roman"/>
                <w:szCs w:val="21"/>
              </w:rPr>
            </w:pPr>
            <w:r>
              <w:rPr>
                <w:rFonts w:ascii="宋体" w:eastAsia="宋体" w:hAnsi="宋体" w:cs="Times New Roman" w:hint="eastAsia"/>
                <w:szCs w:val="21"/>
              </w:rPr>
              <w:t>第13.3款</w:t>
            </w:r>
          </w:p>
        </w:tc>
        <w:tc>
          <w:tcPr>
            <w:tcW w:w="1742" w:type="dxa"/>
            <w:vAlign w:val="center"/>
          </w:tcPr>
          <w:p>
            <w:pPr>
              <w:adjustRightInd w:val="0"/>
              <w:snapToGrid w:val="0"/>
              <w:jc w:val="left"/>
              <w:rPr>
                <w:rFonts w:ascii="宋体" w:hAnsi="宋体" w:cs="Times New Roman"/>
                <w:szCs w:val="21"/>
              </w:rPr>
            </w:pPr>
            <w:r>
              <w:rPr>
                <w:rFonts w:ascii="宋体" w:eastAsia="宋体" w:hAnsi="宋体" w:cs="Times New Roman" w:hint="eastAsia"/>
                <w:szCs w:val="21"/>
              </w:rPr>
              <w:t>履约保证金退还时间及逾期退还的违约金</w:t>
            </w:r>
          </w:p>
        </w:tc>
        <w:tc>
          <w:tcPr>
            <w:tcW w:w="5170" w:type="dxa"/>
            <w:vAlign w:val="center"/>
          </w:tcPr>
          <w:p>
            <w:pPr>
              <w:adjustRightInd w:val="0"/>
              <w:snapToGrid w:val="0"/>
              <w:jc w:val="left"/>
              <w:rPr>
                <w:rFonts w:ascii="宋体" w:hAnsi="宋体" w:cs="Times New Roman"/>
                <w:szCs w:val="21"/>
              </w:rPr>
            </w:pPr>
          </w:p>
        </w:tc>
      </w:tr>
      <w:tr>
        <w:tblPrEx>
          <w:tblW w:w="8519" w:type="dxa"/>
          <w:jc w:val="left"/>
          <w:tblInd w:w="108" w:type="dxa"/>
          <w:tblLayout w:type="fixed"/>
          <w:tblCellMar>
            <w:top w:w="0" w:type="dxa"/>
            <w:left w:w="108" w:type="dxa"/>
            <w:bottom w:w="0" w:type="dxa"/>
            <w:right w:w="108" w:type="dxa"/>
          </w:tblCellMar>
          <w:tblLook w:val="0600"/>
        </w:tblPrEx>
        <w:trPr>
          <w:trHeight w:val="784"/>
          <w:jc w:val="left"/>
        </w:trPr>
        <w:tc>
          <w:tcPr>
            <w:tcW w:w="1607" w:type="dxa"/>
            <w:vAlign w:val="center"/>
          </w:tcPr>
          <w:p>
            <w:pPr>
              <w:adjustRightInd w:val="0"/>
              <w:snapToGrid w:val="0"/>
              <w:jc w:val="center"/>
              <w:rPr>
                <w:rFonts w:ascii="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hAnsi="宋体" w:cs="Times New Roman"/>
                <w:szCs w:val="21"/>
              </w:rPr>
            </w:pPr>
            <w:r>
              <w:rPr>
                <w:rFonts w:ascii="宋体" w:eastAsia="宋体" w:hAnsi="宋体" w:cs="Times New Roman" w:hint="eastAsia"/>
                <w:szCs w:val="21"/>
              </w:rPr>
              <w:t>第14.1（3）项</w:t>
            </w:r>
          </w:p>
        </w:tc>
        <w:tc>
          <w:tcPr>
            <w:tcW w:w="1742" w:type="dxa"/>
            <w:vAlign w:val="center"/>
          </w:tcPr>
          <w:p>
            <w:pPr>
              <w:adjustRightInd w:val="0"/>
              <w:snapToGrid w:val="0"/>
              <w:jc w:val="left"/>
              <w:rPr>
                <w:rFonts w:ascii="宋体" w:hAnsi="宋体" w:cs="Times New Roman"/>
                <w:szCs w:val="21"/>
              </w:rPr>
            </w:pPr>
            <w:r>
              <w:rPr>
                <w:rFonts w:ascii="宋体" w:eastAsia="宋体" w:hAnsi="宋体" w:cs="Times New Roman" w:hint="eastAsia"/>
                <w:szCs w:val="21"/>
              </w:rPr>
              <w:t>运行监督、维修期限</w:t>
            </w:r>
          </w:p>
        </w:tc>
        <w:tc>
          <w:tcPr>
            <w:tcW w:w="5170" w:type="dxa"/>
            <w:vAlign w:val="center"/>
          </w:tcPr>
          <w:p>
            <w:pPr>
              <w:adjustRightInd w:val="0"/>
              <w:snapToGrid w:val="0"/>
              <w:jc w:val="left"/>
              <w:rPr>
                <w:rFonts w:ascii="宋体" w:hAnsi="宋体" w:cs="Times New Roman"/>
                <w:szCs w:val="21"/>
              </w:rPr>
            </w:pPr>
          </w:p>
        </w:tc>
      </w:tr>
      <w:tr>
        <w:tblPrEx>
          <w:tblW w:w="8519" w:type="dxa"/>
          <w:jc w:val="left"/>
          <w:tblInd w:w="108" w:type="dxa"/>
          <w:tblLayout w:type="fixed"/>
          <w:tblCellMar>
            <w:top w:w="0" w:type="dxa"/>
            <w:left w:w="108" w:type="dxa"/>
            <w:bottom w:w="0" w:type="dxa"/>
            <w:right w:w="108" w:type="dxa"/>
          </w:tblCellMar>
          <w:tblLook w:val="0600"/>
        </w:tblPrEx>
        <w:trPr>
          <w:trHeight w:val="784"/>
          <w:jc w:val="left"/>
        </w:trPr>
        <w:tc>
          <w:tcPr>
            <w:tcW w:w="1607" w:type="dxa"/>
            <w:vAlign w:val="center"/>
          </w:tcPr>
          <w:p>
            <w:pPr>
              <w:adjustRightInd w:val="0"/>
              <w:snapToGrid w:val="0"/>
              <w:jc w:val="center"/>
              <w:rPr>
                <w:rFonts w:ascii="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hAnsi="宋体" w:cs="Times New Roman"/>
                <w:szCs w:val="21"/>
              </w:rPr>
            </w:pPr>
            <w:r>
              <w:rPr>
                <w:rFonts w:ascii="宋体" w:eastAsia="宋体" w:hAnsi="宋体" w:cs="Times New Roman" w:hint="eastAsia"/>
                <w:szCs w:val="21"/>
              </w:rPr>
              <w:t>第14.1（5）项</w:t>
            </w:r>
          </w:p>
        </w:tc>
        <w:tc>
          <w:tcPr>
            <w:tcW w:w="1742" w:type="dxa"/>
            <w:vAlign w:val="center"/>
          </w:tcPr>
          <w:p>
            <w:pPr>
              <w:adjustRightInd w:val="0"/>
              <w:snapToGrid w:val="0"/>
              <w:jc w:val="left"/>
              <w:rPr>
                <w:rFonts w:ascii="宋体" w:hAnsi="宋体" w:cs="Times New Roman"/>
                <w:szCs w:val="21"/>
              </w:rPr>
            </w:pPr>
            <w:r>
              <w:rPr>
                <w:rFonts w:ascii="宋体" w:eastAsia="宋体" w:hAnsi="宋体" w:cs="Times New Roman" w:hint="eastAsia"/>
                <w:szCs w:val="21"/>
              </w:rPr>
              <w:t>货物回收的约定</w:t>
            </w:r>
          </w:p>
        </w:tc>
        <w:tc>
          <w:tcPr>
            <w:tcW w:w="5170" w:type="dxa"/>
            <w:vAlign w:val="center"/>
          </w:tcPr>
          <w:p>
            <w:pPr>
              <w:adjustRightInd w:val="0"/>
              <w:snapToGrid w:val="0"/>
              <w:jc w:val="left"/>
              <w:rPr>
                <w:rFonts w:ascii="宋体" w:hAnsi="宋体" w:cs="Times New Roman"/>
                <w:szCs w:val="21"/>
              </w:rPr>
            </w:pPr>
          </w:p>
        </w:tc>
      </w:tr>
      <w:tr>
        <w:tblPrEx>
          <w:tblW w:w="8519" w:type="dxa"/>
          <w:jc w:val="left"/>
          <w:tblInd w:w="108" w:type="dxa"/>
          <w:tblLayout w:type="fixed"/>
          <w:tblCellMar>
            <w:top w:w="0" w:type="dxa"/>
            <w:left w:w="108" w:type="dxa"/>
            <w:bottom w:w="0" w:type="dxa"/>
            <w:right w:w="108" w:type="dxa"/>
          </w:tblCellMar>
          <w:tblLook w:val="0600"/>
        </w:tblPrEx>
        <w:trPr>
          <w:trHeight w:val="736"/>
          <w:jc w:val="left"/>
        </w:trPr>
        <w:tc>
          <w:tcPr>
            <w:tcW w:w="1607" w:type="dxa"/>
            <w:vAlign w:val="center"/>
          </w:tcPr>
          <w:p>
            <w:pPr>
              <w:adjustRightInd w:val="0"/>
              <w:snapToGrid w:val="0"/>
              <w:jc w:val="center"/>
              <w:rPr>
                <w:rFonts w:ascii="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hAnsi="宋体" w:cs="Times New Roman"/>
                <w:szCs w:val="21"/>
              </w:rPr>
            </w:pPr>
            <w:r>
              <w:rPr>
                <w:rFonts w:ascii="宋体" w:eastAsia="宋体" w:hAnsi="宋体" w:cs="Times New Roman" w:hint="eastAsia"/>
                <w:szCs w:val="21"/>
              </w:rPr>
              <w:t>第14.1（6）项</w:t>
            </w:r>
          </w:p>
        </w:tc>
        <w:tc>
          <w:tcPr>
            <w:tcW w:w="1742" w:type="dxa"/>
            <w:vAlign w:val="center"/>
          </w:tcPr>
          <w:p>
            <w:pPr>
              <w:adjustRightInd w:val="0"/>
              <w:snapToGrid w:val="0"/>
              <w:jc w:val="left"/>
              <w:rPr>
                <w:rFonts w:ascii="宋体" w:hAnsi="宋体" w:cs="Times New Roman"/>
                <w:szCs w:val="21"/>
              </w:rPr>
            </w:pPr>
            <w:r>
              <w:rPr>
                <w:rFonts w:ascii="宋体" w:eastAsia="宋体" w:hAnsi="宋体" w:cs="Times New Roman" w:hint="eastAsia"/>
                <w:szCs w:val="21"/>
              </w:rPr>
              <w:t>乙方提供的其他服务</w:t>
            </w:r>
          </w:p>
        </w:tc>
        <w:tc>
          <w:tcPr>
            <w:tcW w:w="5170" w:type="dxa"/>
            <w:vAlign w:val="center"/>
          </w:tcPr>
          <w:p>
            <w:pPr>
              <w:adjustRightInd w:val="0"/>
              <w:snapToGrid w:val="0"/>
              <w:jc w:val="left"/>
              <w:rPr>
                <w:rFonts w:ascii="宋体" w:hAnsi="宋体" w:cs="Times New Roman"/>
                <w:szCs w:val="21"/>
              </w:rPr>
            </w:pPr>
          </w:p>
        </w:tc>
      </w:tr>
      <w:tr>
        <w:tblPrEx>
          <w:tblW w:w="8519" w:type="dxa"/>
          <w:jc w:val="left"/>
          <w:tblInd w:w="108" w:type="dxa"/>
          <w:tblLayout w:type="fixed"/>
          <w:tblCellMar>
            <w:top w:w="0" w:type="dxa"/>
            <w:left w:w="108" w:type="dxa"/>
            <w:bottom w:w="0" w:type="dxa"/>
            <w:right w:w="108" w:type="dxa"/>
          </w:tblCellMar>
          <w:tblLook w:val="0600"/>
        </w:tblPrEx>
        <w:trPr>
          <w:trHeight w:val="736"/>
          <w:jc w:val="left"/>
        </w:trPr>
        <w:tc>
          <w:tcPr>
            <w:tcW w:w="1607" w:type="dxa"/>
            <w:vAlign w:val="center"/>
          </w:tcPr>
          <w:p>
            <w:pPr>
              <w:adjustRightInd w:val="0"/>
              <w:snapToGrid w:val="0"/>
              <w:jc w:val="center"/>
              <w:rPr>
                <w:rFonts w:ascii="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hAnsi="宋体" w:cs="Times New Roman"/>
                <w:szCs w:val="21"/>
              </w:rPr>
            </w:pPr>
            <w:r>
              <w:rPr>
                <w:rFonts w:ascii="宋体" w:eastAsia="宋体" w:hAnsi="宋体" w:cs="Times New Roman" w:hint="eastAsia"/>
                <w:szCs w:val="21"/>
              </w:rPr>
              <w:t>第15.1款</w:t>
            </w:r>
          </w:p>
        </w:tc>
        <w:tc>
          <w:tcPr>
            <w:tcW w:w="1742" w:type="dxa"/>
            <w:vAlign w:val="center"/>
          </w:tcPr>
          <w:p>
            <w:pPr>
              <w:adjustRightInd w:val="0"/>
              <w:snapToGrid w:val="0"/>
              <w:jc w:val="left"/>
              <w:rPr>
                <w:rFonts w:ascii="宋体" w:hAnsi="宋体" w:cs="Times New Roman"/>
                <w:szCs w:val="21"/>
              </w:rPr>
            </w:pPr>
            <w:r>
              <w:rPr>
                <w:rFonts w:ascii="宋体" w:eastAsia="宋体" w:hAnsi="宋体" w:cs="Times New Roman" w:hint="eastAsia"/>
                <w:szCs w:val="21"/>
              </w:rPr>
              <w:t>修理、重作、更换相关具体规定</w:t>
            </w:r>
          </w:p>
        </w:tc>
        <w:tc>
          <w:tcPr>
            <w:tcW w:w="5170" w:type="dxa"/>
            <w:vAlign w:val="center"/>
          </w:tcPr>
          <w:p>
            <w:pPr>
              <w:adjustRightInd w:val="0"/>
              <w:snapToGrid w:val="0"/>
              <w:jc w:val="left"/>
              <w:rPr>
                <w:rFonts w:ascii="宋体" w:hAnsi="宋体" w:cs="Times New Roman"/>
                <w:szCs w:val="21"/>
              </w:rPr>
            </w:pPr>
          </w:p>
        </w:tc>
      </w:tr>
      <w:tr>
        <w:tblPrEx>
          <w:tblW w:w="8519" w:type="dxa"/>
          <w:jc w:val="left"/>
          <w:tblInd w:w="108" w:type="dxa"/>
          <w:tblLayout w:type="fixed"/>
          <w:tblCellMar>
            <w:top w:w="0" w:type="dxa"/>
            <w:left w:w="108" w:type="dxa"/>
            <w:bottom w:w="0" w:type="dxa"/>
            <w:right w:w="108" w:type="dxa"/>
          </w:tblCellMar>
          <w:tblLook w:val="0600"/>
        </w:tblPrEx>
        <w:trPr>
          <w:trHeight w:val="736"/>
          <w:jc w:val="left"/>
        </w:trPr>
        <w:tc>
          <w:tcPr>
            <w:tcW w:w="1607" w:type="dxa"/>
            <w:vAlign w:val="center"/>
          </w:tcPr>
          <w:p>
            <w:pPr>
              <w:adjustRightInd w:val="0"/>
              <w:snapToGrid w:val="0"/>
              <w:jc w:val="center"/>
              <w:rPr>
                <w:rFonts w:ascii="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hAnsi="宋体" w:cs="Times New Roman"/>
                <w:szCs w:val="21"/>
              </w:rPr>
            </w:pPr>
            <w:r>
              <w:rPr>
                <w:rFonts w:ascii="宋体" w:eastAsia="宋体" w:hAnsi="宋体" w:cs="Times New Roman" w:hint="eastAsia"/>
                <w:szCs w:val="21"/>
              </w:rPr>
              <w:t>第15.2（2）项</w:t>
            </w:r>
          </w:p>
        </w:tc>
        <w:tc>
          <w:tcPr>
            <w:tcW w:w="1742" w:type="dxa"/>
            <w:vAlign w:val="center"/>
          </w:tcPr>
          <w:p>
            <w:pPr>
              <w:adjustRightInd w:val="0"/>
              <w:snapToGrid w:val="0"/>
              <w:jc w:val="left"/>
              <w:rPr>
                <w:rFonts w:ascii="宋体" w:hAnsi="宋体" w:cs="Times New Roman"/>
                <w:szCs w:val="21"/>
              </w:rPr>
            </w:pPr>
            <w:r>
              <w:rPr>
                <w:rFonts w:ascii="宋体" w:eastAsia="宋体" w:hAnsi="宋体" w:cs="Times New Roman" w:hint="eastAsia"/>
                <w:szCs w:val="21"/>
              </w:rPr>
              <w:t>迟延交货赔偿费</w:t>
            </w:r>
          </w:p>
        </w:tc>
        <w:tc>
          <w:tcPr>
            <w:tcW w:w="5170" w:type="dxa"/>
            <w:vAlign w:val="center"/>
          </w:tcPr>
          <w:p>
            <w:pPr>
              <w:adjustRightInd w:val="0"/>
              <w:snapToGrid w:val="0"/>
              <w:jc w:val="left"/>
              <w:rPr>
                <w:rFonts w:ascii="宋体" w:hAnsi="宋体" w:cs="Times New Roman"/>
                <w:szCs w:val="21"/>
                <w:u w:val="single"/>
              </w:rPr>
            </w:pPr>
          </w:p>
        </w:tc>
      </w:tr>
      <w:tr>
        <w:tblPrEx>
          <w:tblW w:w="8519" w:type="dxa"/>
          <w:jc w:val="left"/>
          <w:tblInd w:w="108" w:type="dxa"/>
          <w:tblLayout w:type="fixed"/>
          <w:tblCellMar>
            <w:top w:w="0" w:type="dxa"/>
            <w:left w:w="108" w:type="dxa"/>
            <w:bottom w:w="0" w:type="dxa"/>
            <w:right w:w="108" w:type="dxa"/>
          </w:tblCellMar>
          <w:tblLook w:val="0600"/>
        </w:tblPrEx>
        <w:trPr>
          <w:trHeight w:val="736"/>
          <w:jc w:val="left"/>
        </w:trPr>
        <w:tc>
          <w:tcPr>
            <w:tcW w:w="1607" w:type="dxa"/>
            <w:vAlign w:val="center"/>
          </w:tcPr>
          <w:p>
            <w:pPr>
              <w:adjustRightInd w:val="0"/>
              <w:snapToGrid w:val="0"/>
              <w:jc w:val="center"/>
              <w:rPr>
                <w:rFonts w:ascii="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hAnsi="宋体" w:cs="Times New Roman"/>
                <w:szCs w:val="21"/>
              </w:rPr>
            </w:pPr>
            <w:r>
              <w:rPr>
                <w:rFonts w:ascii="宋体" w:eastAsia="宋体" w:hAnsi="宋体" w:cs="Times New Roman" w:hint="eastAsia"/>
                <w:szCs w:val="21"/>
              </w:rPr>
              <w:t>第15.3款</w:t>
            </w:r>
          </w:p>
        </w:tc>
        <w:tc>
          <w:tcPr>
            <w:tcW w:w="1742" w:type="dxa"/>
            <w:vAlign w:val="center"/>
          </w:tcPr>
          <w:p>
            <w:pPr>
              <w:adjustRightInd w:val="0"/>
              <w:snapToGrid w:val="0"/>
              <w:jc w:val="left"/>
              <w:rPr>
                <w:rFonts w:ascii="宋体" w:hAnsi="宋体" w:cs="Times New Roman"/>
                <w:szCs w:val="21"/>
              </w:rPr>
            </w:pPr>
            <w:r>
              <w:rPr>
                <w:rFonts w:ascii="宋体" w:eastAsia="宋体" w:hAnsi="宋体" w:cs="Times New Roman" w:hint="eastAsia"/>
                <w:szCs w:val="21"/>
              </w:rPr>
              <w:t>逾期付款利息</w:t>
            </w:r>
          </w:p>
        </w:tc>
        <w:tc>
          <w:tcPr>
            <w:tcW w:w="5170" w:type="dxa"/>
            <w:vAlign w:val="center"/>
          </w:tcPr>
          <w:p>
            <w:pPr>
              <w:adjustRightInd w:val="0"/>
              <w:snapToGrid w:val="0"/>
              <w:jc w:val="left"/>
              <w:rPr>
                <w:rFonts w:ascii="宋体" w:hAnsi="宋体" w:cs="Times New Roman"/>
                <w:szCs w:val="21"/>
                <w:u w:val="single"/>
              </w:rPr>
            </w:pPr>
          </w:p>
        </w:tc>
      </w:tr>
      <w:tr>
        <w:tblPrEx>
          <w:tblW w:w="8519" w:type="dxa"/>
          <w:jc w:val="left"/>
          <w:tblInd w:w="108" w:type="dxa"/>
          <w:tblLayout w:type="fixed"/>
          <w:tblCellMar>
            <w:top w:w="0" w:type="dxa"/>
            <w:left w:w="108" w:type="dxa"/>
            <w:bottom w:w="0" w:type="dxa"/>
            <w:right w:w="108" w:type="dxa"/>
          </w:tblCellMar>
          <w:tblLook w:val="0600"/>
        </w:tblPrEx>
        <w:trPr>
          <w:trHeight w:val="876"/>
          <w:jc w:val="left"/>
        </w:trPr>
        <w:tc>
          <w:tcPr>
            <w:tcW w:w="1607" w:type="dxa"/>
            <w:tcBorders>
              <w:bottom w:val="single" w:sz="2" w:space="0" w:color="auto"/>
              <w:right w:val="single" w:sz="2" w:space="0" w:color="auto"/>
            </w:tcBorders>
            <w:vAlign w:val="center"/>
          </w:tcPr>
          <w:p>
            <w:pPr>
              <w:adjustRightInd w:val="0"/>
              <w:snapToGrid w:val="0"/>
              <w:jc w:val="center"/>
              <w:rPr>
                <w:rFonts w:ascii="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hAnsi="宋体" w:cs="Times New Roman"/>
                <w:szCs w:val="21"/>
              </w:rPr>
            </w:pPr>
            <w:r>
              <w:rPr>
                <w:rFonts w:ascii="宋体" w:eastAsia="宋体" w:hAnsi="宋体" w:cs="Times New Roman" w:hint="eastAsia"/>
                <w:szCs w:val="21"/>
              </w:rPr>
              <w:t>第15.4款</w:t>
            </w:r>
          </w:p>
        </w:tc>
        <w:tc>
          <w:tcPr>
            <w:tcW w:w="1742" w:type="dxa"/>
            <w:tcBorders>
              <w:left w:val="single" w:sz="2" w:space="0" w:color="auto"/>
              <w:bottom w:val="single" w:sz="2" w:space="0" w:color="auto"/>
              <w:right w:val="single" w:sz="2" w:space="0" w:color="auto"/>
            </w:tcBorders>
            <w:vAlign w:val="center"/>
          </w:tcPr>
          <w:p>
            <w:pPr>
              <w:adjustRightInd w:val="0"/>
              <w:snapToGrid w:val="0"/>
              <w:jc w:val="left"/>
              <w:rPr>
                <w:rFonts w:ascii="宋体" w:hAnsi="宋体" w:cs="Times New Roman"/>
                <w:szCs w:val="21"/>
              </w:rPr>
            </w:pPr>
            <w:r>
              <w:rPr>
                <w:rFonts w:ascii="宋体" w:eastAsia="宋体" w:hAnsi="宋体" w:cs="Times New Roman" w:hint="eastAsia"/>
                <w:szCs w:val="21"/>
              </w:rPr>
              <w:t>其他违约责任</w:t>
            </w:r>
          </w:p>
        </w:tc>
        <w:tc>
          <w:tcPr>
            <w:tcW w:w="5170" w:type="dxa"/>
            <w:tcBorders>
              <w:left w:val="single" w:sz="2" w:space="0" w:color="auto"/>
              <w:bottom w:val="single" w:sz="2" w:space="0" w:color="auto"/>
            </w:tcBorders>
            <w:vAlign w:val="center"/>
          </w:tcPr>
          <w:p>
            <w:pPr>
              <w:adjustRightInd w:val="0"/>
              <w:snapToGrid w:val="0"/>
              <w:jc w:val="left"/>
              <w:rPr>
                <w:rFonts w:ascii="宋体" w:hAnsi="宋体" w:cs="Times New Roman"/>
                <w:szCs w:val="21"/>
                <w:u w:val="single"/>
              </w:rPr>
            </w:pPr>
          </w:p>
        </w:tc>
      </w:tr>
      <w:tr>
        <w:tblPrEx>
          <w:tblW w:w="8519" w:type="dxa"/>
          <w:jc w:val="left"/>
          <w:tblInd w:w="108" w:type="dxa"/>
          <w:tblLayout w:type="fixed"/>
          <w:tblCellMar>
            <w:top w:w="0" w:type="dxa"/>
            <w:left w:w="108" w:type="dxa"/>
            <w:bottom w:w="0" w:type="dxa"/>
            <w:right w:w="108" w:type="dxa"/>
          </w:tblCellMar>
          <w:tblLook w:val="0600"/>
        </w:tblPrEx>
        <w:trPr>
          <w:trHeight w:val="90"/>
          <w:jc w:val="left"/>
        </w:trPr>
        <w:tc>
          <w:tcPr>
            <w:tcW w:w="1607" w:type="dxa"/>
            <w:tcBorders>
              <w:top w:val="single" w:sz="2" w:space="0" w:color="auto"/>
              <w:right w:val="single" w:sz="2" w:space="0" w:color="auto"/>
            </w:tcBorders>
            <w:vAlign w:val="center"/>
          </w:tcPr>
          <w:p>
            <w:pPr>
              <w:adjustRightInd w:val="0"/>
              <w:snapToGrid w:val="0"/>
              <w:jc w:val="center"/>
              <w:rPr>
                <w:rFonts w:ascii="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hAnsi="宋体" w:cs="Times New Roman"/>
                <w:szCs w:val="21"/>
              </w:rPr>
            </w:pPr>
            <w:r>
              <w:rPr>
                <w:rFonts w:ascii="宋体" w:eastAsia="宋体" w:hAnsi="宋体" w:cs="Times New Roman" w:hint="eastAsia"/>
                <w:szCs w:val="21"/>
              </w:rPr>
              <w:t>第19.2款</w:t>
            </w:r>
          </w:p>
        </w:tc>
        <w:tc>
          <w:tcPr>
            <w:tcW w:w="1742" w:type="dxa"/>
            <w:tcBorders>
              <w:top w:val="single" w:sz="2" w:space="0" w:color="auto"/>
              <w:left w:val="single" w:sz="2" w:space="0" w:color="auto"/>
              <w:right w:val="single" w:sz="2" w:space="0" w:color="auto"/>
            </w:tcBorders>
            <w:vAlign w:val="center"/>
          </w:tcPr>
          <w:p>
            <w:pPr>
              <w:adjustRightInd w:val="0"/>
              <w:snapToGrid w:val="0"/>
              <w:jc w:val="left"/>
              <w:rPr>
                <w:rFonts w:ascii="宋体" w:hAnsi="宋体" w:cs="Times New Roman"/>
                <w:szCs w:val="21"/>
              </w:rPr>
            </w:pPr>
            <w:r>
              <w:rPr>
                <w:rFonts w:ascii="宋体" w:eastAsia="宋体" w:hAnsi="宋体" w:cs="Times New Roman" w:hint="eastAsia"/>
                <w:szCs w:val="21"/>
              </w:rPr>
              <w:t>解决争议的方法</w:t>
            </w:r>
          </w:p>
        </w:tc>
        <w:tc>
          <w:tcPr>
            <w:tcW w:w="5170" w:type="dxa"/>
            <w:tcBorders>
              <w:top w:val="single" w:sz="2" w:space="0" w:color="auto"/>
              <w:left w:val="single" w:sz="2" w:space="0" w:color="auto"/>
            </w:tcBorders>
            <w:vAlign w:val="center"/>
          </w:tcPr>
          <w:p>
            <w:pPr>
              <w:autoSpaceDE w:val="0"/>
              <w:autoSpaceDN w:val="0"/>
              <w:adjustRightInd w:val="0"/>
              <w:snapToGrid w:val="0"/>
              <w:spacing w:line="400" w:lineRule="exact"/>
              <w:jc w:val="left"/>
              <w:rPr>
                <w:rFonts w:ascii="宋体" w:hAnsi="宋体" w:cs="宋体"/>
                <w:iCs/>
                <w:szCs w:val="21"/>
              </w:rPr>
            </w:pPr>
            <w:r>
              <w:rPr>
                <w:rFonts w:ascii="宋体" w:eastAsia="宋体" w:hAnsi="宋体" w:cs="宋体" w:hint="eastAsia"/>
                <w:iCs/>
                <w:szCs w:val="21"/>
              </w:rPr>
              <w:t>因本合同及合同有关事项发生的争议，按下列第</w:t>
            </w:r>
            <w:r>
              <w:rPr>
                <w:rFonts w:ascii="宋体" w:eastAsia="宋体" w:hAnsi="宋体" w:cs="宋体" w:hint="eastAsia"/>
                <w:iCs/>
                <w:szCs w:val="21"/>
                <w:u w:val="single"/>
              </w:rPr>
              <w:t xml:space="preserve">   </w:t>
            </w:r>
            <w:r>
              <w:rPr>
                <w:rFonts w:ascii="宋体" w:eastAsia="宋体" w:hAnsi="宋体" w:cs="宋体" w:hint="eastAsia"/>
                <w:iCs/>
                <w:szCs w:val="21"/>
              </w:rPr>
              <w:t>种方式解决：</w:t>
            </w:r>
          </w:p>
          <w:p>
            <w:pPr>
              <w:autoSpaceDE w:val="0"/>
              <w:autoSpaceDN w:val="0"/>
              <w:adjustRightInd w:val="0"/>
              <w:snapToGrid w:val="0"/>
              <w:spacing w:line="400" w:lineRule="exact"/>
              <w:jc w:val="left"/>
              <w:rPr>
                <w:rFonts w:ascii="宋体" w:hAnsi="宋体" w:cs="宋体"/>
                <w:iCs/>
                <w:szCs w:val="21"/>
              </w:rPr>
            </w:pPr>
            <w:r>
              <w:rPr>
                <w:rFonts w:ascii="宋体" w:eastAsia="宋体" w:hAnsi="宋体" w:cs="宋体" w:hint="eastAsia"/>
                <w:iCs/>
                <w:szCs w:val="21"/>
              </w:rPr>
              <w:t>（1）向</w:t>
            </w:r>
            <w:r>
              <w:rPr>
                <w:rFonts w:ascii="宋体" w:eastAsia="宋体" w:hAnsi="宋体" w:cs="宋体" w:hint="eastAsia"/>
                <w:iCs/>
                <w:szCs w:val="21"/>
                <w:u w:val="single"/>
              </w:rPr>
              <w:t xml:space="preserve">                    </w:t>
            </w:r>
            <w:r>
              <w:rPr>
                <w:rFonts w:ascii="宋体" w:eastAsia="宋体" w:hAnsi="宋体" w:cs="宋体" w:hint="eastAsia"/>
                <w:iCs/>
                <w:szCs w:val="21"/>
              </w:rPr>
              <w:t>仲裁委员会申请仲裁，仲裁地点为</w:t>
            </w:r>
            <w:r>
              <w:rPr>
                <w:rFonts w:ascii="宋体" w:eastAsia="宋体" w:hAnsi="宋体" w:cs="宋体" w:hint="eastAsia"/>
                <w:iCs/>
                <w:szCs w:val="21"/>
                <w:u w:val="single"/>
              </w:rPr>
              <w:t xml:space="preserve">           </w:t>
            </w:r>
            <w:r>
              <w:rPr>
                <w:rFonts w:ascii="宋体" w:eastAsia="宋体" w:hAnsi="宋体" w:cs="宋体" w:hint="eastAsia"/>
                <w:iCs/>
                <w:szCs w:val="21"/>
              </w:rPr>
              <w:t>；</w:t>
            </w:r>
          </w:p>
          <w:p>
            <w:pPr>
              <w:adjustRightInd w:val="0"/>
              <w:snapToGrid w:val="0"/>
              <w:jc w:val="left"/>
              <w:rPr>
                <w:rFonts w:ascii="宋体" w:hAnsi="宋体" w:cs="Times New Roman"/>
                <w:szCs w:val="21"/>
                <w:u w:val="single"/>
              </w:rPr>
            </w:pPr>
            <w:r>
              <w:rPr>
                <w:rFonts w:ascii="宋体" w:eastAsia="宋体" w:hAnsi="宋体" w:cs="宋体" w:hint="eastAsia"/>
                <w:iCs/>
                <w:szCs w:val="21"/>
              </w:rPr>
              <w:t>（2）向</w:t>
            </w:r>
            <w:r>
              <w:rPr>
                <w:rFonts w:ascii="宋体" w:eastAsia="宋体" w:hAnsi="宋体" w:cs="宋体" w:hint="eastAsia"/>
                <w:iCs/>
                <w:szCs w:val="21"/>
                <w:u w:val="single"/>
              </w:rPr>
              <w:t xml:space="preserve">                    </w:t>
            </w:r>
            <w:r>
              <w:rPr>
                <w:rFonts w:ascii="宋体" w:eastAsia="宋体" w:hAnsi="宋体" w:cs="宋体" w:hint="eastAsia"/>
                <w:iCs/>
                <w:szCs w:val="21"/>
              </w:rPr>
              <w:t>人民法院起诉。</w:t>
            </w:r>
          </w:p>
        </w:tc>
      </w:tr>
      <w:tr>
        <w:tblPrEx>
          <w:tblW w:w="8519" w:type="dxa"/>
          <w:jc w:val="left"/>
          <w:tblInd w:w="108" w:type="dxa"/>
          <w:tblLayout w:type="fixed"/>
          <w:tblCellMar>
            <w:top w:w="0" w:type="dxa"/>
            <w:left w:w="108" w:type="dxa"/>
            <w:bottom w:w="0" w:type="dxa"/>
            <w:right w:w="108" w:type="dxa"/>
          </w:tblCellMar>
          <w:tblLook w:val="0600"/>
        </w:tblPrEx>
        <w:trPr>
          <w:trHeight w:val="770"/>
          <w:jc w:val="left"/>
        </w:trPr>
        <w:tc>
          <w:tcPr>
            <w:tcW w:w="1607" w:type="dxa"/>
            <w:vAlign w:val="center"/>
          </w:tcPr>
          <w:p>
            <w:pPr>
              <w:adjustRightInd w:val="0"/>
              <w:snapToGrid w:val="0"/>
              <w:jc w:val="center"/>
              <w:rPr>
                <w:rFonts w:ascii="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hAnsi="宋体" w:cs="Times New Roman"/>
                <w:szCs w:val="21"/>
              </w:rPr>
            </w:pPr>
            <w:r>
              <w:rPr>
                <w:rFonts w:ascii="宋体" w:eastAsia="宋体" w:hAnsi="宋体" w:cs="Times New Roman" w:hint="eastAsia"/>
                <w:szCs w:val="21"/>
              </w:rPr>
              <w:t>第23.1款</w:t>
            </w:r>
          </w:p>
        </w:tc>
        <w:tc>
          <w:tcPr>
            <w:tcW w:w="1742" w:type="dxa"/>
            <w:vAlign w:val="center"/>
          </w:tcPr>
          <w:p>
            <w:pPr>
              <w:adjustRightInd w:val="0"/>
              <w:snapToGrid w:val="0"/>
              <w:jc w:val="left"/>
              <w:rPr>
                <w:rFonts w:ascii="宋体" w:hAnsi="宋体" w:cs="Times New Roman"/>
                <w:szCs w:val="21"/>
              </w:rPr>
            </w:pPr>
            <w:r>
              <w:rPr>
                <w:rFonts w:ascii="宋体" w:eastAsia="宋体" w:hAnsi="宋体" w:cs="Times New Roman" w:hint="eastAsia"/>
                <w:bCs/>
                <w:szCs w:val="21"/>
              </w:rPr>
              <w:t>其他专用条款</w:t>
            </w:r>
          </w:p>
        </w:tc>
        <w:tc>
          <w:tcPr>
            <w:tcW w:w="5170" w:type="dxa"/>
            <w:vAlign w:val="center"/>
          </w:tcPr>
          <w:p>
            <w:pPr>
              <w:adjustRightInd w:val="0"/>
              <w:snapToGrid w:val="0"/>
              <w:jc w:val="left"/>
              <w:rPr>
                <w:rFonts w:ascii="宋体" w:hAnsi="宋体" w:cs="Times New Roman"/>
                <w:szCs w:val="21"/>
              </w:rPr>
            </w:pPr>
          </w:p>
        </w:tc>
      </w:tr>
    </w:tbl>
    <w:p>
      <w:pPr>
        <w:rPr>
          <w:rFonts w:ascii="Times New Roman" w:hAnsi="Times New Roman" w:cs="Times New Roman"/>
          <w:szCs w:val="20"/>
        </w:rPr>
      </w:pPr>
    </w:p>
    <w:p>
      <w:pPr>
        <w:rPr>
          <w:rFonts w:ascii="Times New Roman" w:hAnsi="Times New Roman" w:cs="Times New Roman"/>
          <w:b/>
          <w:bCs/>
          <w:sz w:val="44"/>
          <w:szCs w:val="44"/>
        </w:rPr>
      </w:pPr>
    </w:p>
    <w:p>
      <w:pPr>
        <w:spacing w:before="156" w:beforeLines="50" w:line="360" w:lineRule="auto"/>
        <w:ind w:firstLine="420"/>
        <w:rPr>
          <w:rFonts w:ascii="宋体" w:hAnsi="宋体" w:cs="Times New Roman"/>
          <w:szCs w:val="21"/>
        </w:rPr>
      </w:pPr>
    </w:p>
    <w:p>
      <w:pPr>
        <w:spacing w:line="360" w:lineRule="auto"/>
        <w:jc w:val="left"/>
        <w:rPr>
          <w:rFonts w:ascii="Times New Roman" w:hAnsi="Times New Roman" w:cs="Times New Roman"/>
          <w:b/>
          <w:bCs/>
          <w:sz w:val="44"/>
          <w:szCs w:val="44"/>
        </w:rPr>
      </w:pPr>
    </w:p>
    <w:p/>
    <w:p w:rsidR="00A77B3E"/>
    <w:p>
      <w:pPr>
        <w:spacing w:line="360" w:lineRule="auto"/>
        <w:ind w:firstLine="3066" w:firstLineChars="1460"/>
        <w:jc w:val="left"/>
        <w:rPr>
          <w:rFonts w:ascii="Times New Roman" w:hAnsi="Times New Roman" w:cs="Times New Roman"/>
          <w:b/>
          <w:bCs/>
          <w:szCs w:val="21"/>
        </w:rPr>
      </w:pPr>
      <w:bookmarkEnd w:id="66"/>
    </w:p>
    <w:sectPr>
      <w:pgSz w:w="11906" w:h="16838"/>
      <w:pgMar w:top="1440" w:right="1800" w:bottom="1440" w:left="1800" w:header="851" w:footer="992" w:gutter="0"/>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DejaVu Sans"/>
    <w:panose1 w:val="02020603050405020304"/>
    <w:charset w:val="CC"/>
    <w:family w:val="roman"/>
    <w:pitch w:val="variable"/>
    <w:sig w:usb0="E0002EFF" w:usb1="C000785B" w:usb2="00000009" w:usb3="00000000" w:csb0="400001FF" w:csb1="FFFF0000"/>
  </w:font>
  <w:font w:name="宋体">
    <w:altName w:val="汉仪中宋简"/>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variable"/>
    <w:sig w:usb0="00000000" w:usb1="00000000" w:usb2="00000000" w:usb3="00000000" w:csb0="80000000" w:csb1="00000000"/>
  </w:font>
  <w:font w:name="Arial">
    <w:altName w:val="DejaVu Sans"/>
    <w:panose1 w:val="020B0604020202020204"/>
    <w:charset w:val="01"/>
    <w:family w:val="swiss"/>
    <w:pitch w:val="variable"/>
    <w:sig w:usb0="E0002EFF" w:usb1="C000785B" w:usb2="00000009" w:usb3="00000000" w:csb0="400001FF" w:csb1="FFFF0000"/>
  </w:font>
  <w:font w:name="黑体">
    <w:altName w:val="方正黑体_GBK"/>
    <w:panose1 w:val="02010609060101010101"/>
    <w:charset w:val="86"/>
    <w:family w:val="auto"/>
    <w:pitch w:val="variable"/>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altName w:val="DejaVu Sans"/>
    <w:panose1 w:val="020F0502020204030204"/>
    <w:charset w:val="00"/>
    <w:family w:val="swiss"/>
    <w:pitch w:val="variable"/>
    <w:sig w:usb0="E4002EFF" w:usb1="C200247B" w:usb2="00000009" w:usb3="00000000" w:csb0="200001FF" w:csb1="00000000"/>
  </w:font>
  <w:font w:name="Cambria">
    <w:altName w:val="DejaVu Sans"/>
    <w:panose1 w:val="02040503050406030204"/>
    <w:charset w:val="00"/>
    <w:family w:val="roman"/>
    <w:pitch w:val="variable"/>
    <w:sig w:usb0="E00006FF" w:usb1="420024FF" w:usb2="02000000" w:usb3="00000000" w:csb0="2000019F" w:csb1="00000000"/>
  </w:font>
  <w:font w:name="微软雅黑">
    <w:altName w:val="方正黑体_GBK"/>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variable"/>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华文楷体">
    <w:altName w:val="方正楷体_GBK"/>
    <w:panose1 w:val="02010600040101010101"/>
    <w:charset w:val="86"/>
    <w:family w:val="auto"/>
    <w:pitch w:val="variable"/>
    <w:sig w:usb0="00000287" w:usb1="080F0000" w:usb2="00000000" w:usb3="00000000" w:csb0="0004009F" w:csb1="DFD70000"/>
  </w:font>
  <w:font w:name="华文中宋">
    <w:panose1 w:val="00000000000000000000"/>
    <w:charset w:val="00"/>
    <w:family w:val="auto"/>
    <w:pitch w:val="variable"/>
    <w:sig w:usb0="00000000" w:usb1="00000000" w:usb2="00000000" w:usb3="00000000" w:csb0="00000001" w:csb1="00000000"/>
  </w:font>
  <w:font w:name="汉仪书宋二S">
    <w:altName w:val="汉仪仿宋简"/>
    <w:panose1 w:val="00000000000000000000"/>
    <w:charset w:val="00"/>
    <w:family w:val="auto"/>
    <w:pitch w:val="variable"/>
    <w:sig w:usb0="00000000" w:usb1="00000000" w:usb2="00000000" w:usb3="00000000" w:csb0="00000001" w:csb1="00000000"/>
  </w:font>
  <w:font w:name="Lucida Sans">
    <w:altName w:val="DejaVu Sans"/>
    <w:panose1 w:val="020B0602030504020204"/>
    <w:charset w:val="00"/>
    <w:family w:val="auto"/>
    <w:pitch w:val="variable"/>
    <w:sig w:usb0="00000003" w:usb1="00000000" w:usb2="00000000" w:usb3="00000000" w:csb0="20000001" w:csb1="00000000"/>
  </w:font>
  <w:font w:name="文泉驿微米黑">
    <w:panose1 w:val="020B0606030804020204"/>
    <w:charset w:val="86"/>
    <w:family w:val="auto"/>
    <w:pitch w:val="variable"/>
    <w:sig w:usb0="E10002EF" w:usb1="6BDFFCFB" w:usb2="00800036" w:usb3="00000000" w:csb0="603E019F" w:csb1="DFD7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A0E599">
    <w:pPr>
      <w:pStyle w:val="Footer"/>
      <w:jc w:val="center"/>
    </w:pPr>
    <w:r>
      <w:fldChar w:fldCharType="begin"/>
    </w:r>
    <w:r>
      <w:instrText xml:space="preserve"> PAGE   \* MERGEFORMAT </w:instrText>
    </w:r>
    <w:r>
      <w:fldChar w:fldCharType="separate"/>
    </w:r>
    <w:r>
      <w:rPr>
        <w:lang w:val="zh-CN" w:eastAsia="zh-CN"/>
      </w:rPr>
      <w:t>61</w:t>
    </w:r>
    <w:r>
      <w:fldChar w:fldCharType="end"/>
    </w:r>
  </w:p>
  <w:p w14:paraId="0616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684B29">
    <w:pPr>
      <w:pStyle w:val="Footer"/>
      <w:jc w:val="center"/>
    </w:pPr>
    <w:r>
      <w:fldChar w:fldCharType="begin"/>
    </w:r>
    <w:r>
      <w:instrText xml:space="preserve"> PAGE   \* MERGEFORMAT </w:instrText>
    </w:r>
    <w:r>
      <w:fldChar w:fldCharType="separate"/>
    </w:r>
    <w:r>
      <w:rPr>
        <w:lang w:val="zh-CN" w:eastAsia="zh-CN"/>
      </w:rPr>
      <w:t>1</w:t>
    </w:r>
    <w:r>
      <w:fldChar w:fldCharType="end"/>
    </w:r>
  </w:p>
  <w:p w14:paraId="284B6CBD">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96F84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EC48D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653E5AC9"/>
    <w:multiLevelType w:val="multilevel"/>
    <w:tmpl w:val="653E5AC9"/>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2">
    <w:nsid w:val="7A0F6431"/>
    <w:multiLevelType w:val="singleLevel"/>
    <w:tmpl w:val="7A0F6431"/>
    <w:lvl w:ilvl="0">
      <w:start w:val="1"/>
      <w:numFmt w:val="decimal"/>
      <w:suff w:val="space"/>
      <w:lvlText w:val="%1."/>
      <w:lvlJc w:val="left"/>
    </w:lvl>
  </w:abstractNum>
  <w:num w:numId="1">
    <w:abstractNumId w:val="6"/>
  </w:num>
  <w:num w:numId="2">
    <w:abstractNumId w:val="7"/>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bordersDoNotSurroundHeader/>
  <w:bordersDoNotSurroundFooter/>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2683A"/>
    <w:rsid w:val="00030A35"/>
    <w:rsid w:val="00034E47"/>
    <w:rsid w:val="0005672D"/>
    <w:rsid w:val="000727F4"/>
    <w:rsid w:val="000A16E1"/>
    <w:rsid w:val="000E6200"/>
    <w:rsid w:val="000E7870"/>
    <w:rsid w:val="000F6D0B"/>
    <w:rsid w:val="0010660E"/>
    <w:rsid w:val="00110F6C"/>
    <w:rsid w:val="001238AC"/>
    <w:rsid w:val="00123A96"/>
    <w:rsid w:val="0013192F"/>
    <w:rsid w:val="00131C64"/>
    <w:rsid w:val="00165CE6"/>
    <w:rsid w:val="0016708A"/>
    <w:rsid w:val="00176A5E"/>
    <w:rsid w:val="001D43A6"/>
    <w:rsid w:val="001D559B"/>
    <w:rsid w:val="001D5E99"/>
    <w:rsid w:val="001E35E0"/>
    <w:rsid w:val="001F3A3B"/>
    <w:rsid w:val="00211690"/>
    <w:rsid w:val="0021525A"/>
    <w:rsid w:val="00223224"/>
    <w:rsid w:val="00235153"/>
    <w:rsid w:val="002503CA"/>
    <w:rsid w:val="00271216"/>
    <w:rsid w:val="00282D5E"/>
    <w:rsid w:val="00295140"/>
    <w:rsid w:val="002B1EC1"/>
    <w:rsid w:val="002B3B35"/>
    <w:rsid w:val="002B7975"/>
    <w:rsid w:val="002C0F0A"/>
    <w:rsid w:val="002C33FE"/>
    <w:rsid w:val="002D7404"/>
    <w:rsid w:val="002D761D"/>
    <w:rsid w:val="002E33DD"/>
    <w:rsid w:val="00316EC6"/>
    <w:rsid w:val="00331088"/>
    <w:rsid w:val="003414CE"/>
    <w:rsid w:val="00346214"/>
    <w:rsid w:val="00364E8F"/>
    <w:rsid w:val="00367AB7"/>
    <w:rsid w:val="00393AFB"/>
    <w:rsid w:val="0039635B"/>
    <w:rsid w:val="0039653C"/>
    <w:rsid w:val="003A16E0"/>
    <w:rsid w:val="003A3902"/>
    <w:rsid w:val="003A79E1"/>
    <w:rsid w:val="003B0E00"/>
    <w:rsid w:val="003B42D9"/>
    <w:rsid w:val="003C2C43"/>
    <w:rsid w:val="003E552D"/>
    <w:rsid w:val="003F56F2"/>
    <w:rsid w:val="00405E1B"/>
    <w:rsid w:val="00436BCE"/>
    <w:rsid w:val="00444AF7"/>
    <w:rsid w:val="00451CD1"/>
    <w:rsid w:val="00454581"/>
    <w:rsid w:val="00456D0E"/>
    <w:rsid w:val="00462328"/>
    <w:rsid w:val="00477F37"/>
    <w:rsid w:val="00480310"/>
    <w:rsid w:val="0049742F"/>
    <w:rsid w:val="004A48A7"/>
    <w:rsid w:val="004A5407"/>
    <w:rsid w:val="004B39D2"/>
    <w:rsid w:val="004C2CE8"/>
    <w:rsid w:val="004E1FDE"/>
    <w:rsid w:val="004F38CB"/>
    <w:rsid w:val="004F7454"/>
    <w:rsid w:val="005020A4"/>
    <w:rsid w:val="00503B9A"/>
    <w:rsid w:val="00503EA9"/>
    <w:rsid w:val="00514067"/>
    <w:rsid w:val="005174CF"/>
    <w:rsid w:val="00522BC4"/>
    <w:rsid w:val="0054358B"/>
    <w:rsid w:val="005478D2"/>
    <w:rsid w:val="005513D9"/>
    <w:rsid w:val="0055485B"/>
    <w:rsid w:val="005820D5"/>
    <w:rsid w:val="0058566C"/>
    <w:rsid w:val="005857DD"/>
    <w:rsid w:val="00590714"/>
    <w:rsid w:val="005945F6"/>
    <w:rsid w:val="005A3DD0"/>
    <w:rsid w:val="005B1017"/>
    <w:rsid w:val="005C3F30"/>
    <w:rsid w:val="005F1203"/>
    <w:rsid w:val="00605343"/>
    <w:rsid w:val="0061056B"/>
    <w:rsid w:val="00627306"/>
    <w:rsid w:val="00634345"/>
    <w:rsid w:val="006413EB"/>
    <w:rsid w:val="006669F7"/>
    <w:rsid w:val="00667ABC"/>
    <w:rsid w:val="006B3667"/>
    <w:rsid w:val="006C7091"/>
    <w:rsid w:val="006D0426"/>
    <w:rsid w:val="006E29FF"/>
    <w:rsid w:val="006E6C80"/>
    <w:rsid w:val="006F33FE"/>
    <w:rsid w:val="00701ED1"/>
    <w:rsid w:val="00734F6D"/>
    <w:rsid w:val="00737427"/>
    <w:rsid w:val="00763869"/>
    <w:rsid w:val="00786766"/>
    <w:rsid w:val="00791204"/>
    <w:rsid w:val="0079628C"/>
    <w:rsid w:val="007A0B04"/>
    <w:rsid w:val="007A1A3D"/>
    <w:rsid w:val="007A45F3"/>
    <w:rsid w:val="007B00A8"/>
    <w:rsid w:val="007B040D"/>
    <w:rsid w:val="007C0FCA"/>
    <w:rsid w:val="007D1ABE"/>
    <w:rsid w:val="007D6CBE"/>
    <w:rsid w:val="007F773D"/>
    <w:rsid w:val="00810B20"/>
    <w:rsid w:val="00815BCE"/>
    <w:rsid w:val="00826467"/>
    <w:rsid w:val="0083110D"/>
    <w:rsid w:val="00835585"/>
    <w:rsid w:val="00842B36"/>
    <w:rsid w:val="00844BB6"/>
    <w:rsid w:val="008813AF"/>
    <w:rsid w:val="0089009C"/>
    <w:rsid w:val="008A7CEF"/>
    <w:rsid w:val="008B5874"/>
    <w:rsid w:val="008B62D6"/>
    <w:rsid w:val="00906BA5"/>
    <w:rsid w:val="00933E37"/>
    <w:rsid w:val="00946AC5"/>
    <w:rsid w:val="00951DFB"/>
    <w:rsid w:val="00962BA0"/>
    <w:rsid w:val="0096795D"/>
    <w:rsid w:val="00974FE7"/>
    <w:rsid w:val="00985B68"/>
    <w:rsid w:val="009917DD"/>
    <w:rsid w:val="009A5346"/>
    <w:rsid w:val="009B0B6B"/>
    <w:rsid w:val="009B3D76"/>
    <w:rsid w:val="009C47C5"/>
    <w:rsid w:val="009C7DC3"/>
    <w:rsid w:val="009D6303"/>
    <w:rsid w:val="009E1CD9"/>
    <w:rsid w:val="009F5E38"/>
    <w:rsid w:val="00A206F6"/>
    <w:rsid w:val="00A21872"/>
    <w:rsid w:val="00A74637"/>
    <w:rsid w:val="00A7578D"/>
    <w:rsid w:val="00A77B3E"/>
    <w:rsid w:val="00A96D28"/>
    <w:rsid w:val="00AB5263"/>
    <w:rsid w:val="00AC54A0"/>
    <w:rsid w:val="00AC79D0"/>
    <w:rsid w:val="00AE1687"/>
    <w:rsid w:val="00AF513E"/>
    <w:rsid w:val="00B26500"/>
    <w:rsid w:val="00B331BA"/>
    <w:rsid w:val="00B350FC"/>
    <w:rsid w:val="00B444BA"/>
    <w:rsid w:val="00B52F13"/>
    <w:rsid w:val="00B66287"/>
    <w:rsid w:val="00B72BAD"/>
    <w:rsid w:val="00B75EE7"/>
    <w:rsid w:val="00B777C1"/>
    <w:rsid w:val="00B779E8"/>
    <w:rsid w:val="00B907EB"/>
    <w:rsid w:val="00BA196A"/>
    <w:rsid w:val="00BC05F6"/>
    <w:rsid w:val="00BE4D92"/>
    <w:rsid w:val="00C22DED"/>
    <w:rsid w:val="00C24976"/>
    <w:rsid w:val="00C37B0D"/>
    <w:rsid w:val="00C43F3D"/>
    <w:rsid w:val="00C46FE8"/>
    <w:rsid w:val="00C527C3"/>
    <w:rsid w:val="00C536B2"/>
    <w:rsid w:val="00C54DB0"/>
    <w:rsid w:val="00C73611"/>
    <w:rsid w:val="00C83037"/>
    <w:rsid w:val="00C847C9"/>
    <w:rsid w:val="00C85838"/>
    <w:rsid w:val="00C905D4"/>
    <w:rsid w:val="00C907D4"/>
    <w:rsid w:val="00C95423"/>
    <w:rsid w:val="00CA4109"/>
    <w:rsid w:val="00CB1FD5"/>
    <w:rsid w:val="00CB7527"/>
    <w:rsid w:val="00CD35B5"/>
    <w:rsid w:val="00CD4BD4"/>
    <w:rsid w:val="00CD6AF0"/>
    <w:rsid w:val="00CE0FCF"/>
    <w:rsid w:val="00D22976"/>
    <w:rsid w:val="00D420FC"/>
    <w:rsid w:val="00D56FDE"/>
    <w:rsid w:val="00D66514"/>
    <w:rsid w:val="00D762BB"/>
    <w:rsid w:val="00D85CE7"/>
    <w:rsid w:val="00D85E1A"/>
    <w:rsid w:val="00D93363"/>
    <w:rsid w:val="00DA1ADC"/>
    <w:rsid w:val="00DB324A"/>
    <w:rsid w:val="00DC2C47"/>
    <w:rsid w:val="00DC468C"/>
    <w:rsid w:val="00DC6534"/>
    <w:rsid w:val="00DD64F4"/>
    <w:rsid w:val="00DE0F06"/>
    <w:rsid w:val="00DE2FAF"/>
    <w:rsid w:val="00DF1D23"/>
    <w:rsid w:val="00E01033"/>
    <w:rsid w:val="00E10766"/>
    <w:rsid w:val="00E127E2"/>
    <w:rsid w:val="00E22077"/>
    <w:rsid w:val="00E42569"/>
    <w:rsid w:val="00E5303B"/>
    <w:rsid w:val="00E70775"/>
    <w:rsid w:val="00E7790D"/>
    <w:rsid w:val="00E8114E"/>
    <w:rsid w:val="00E85F8F"/>
    <w:rsid w:val="00E90C4E"/>
    <w:rsid w:val="00E96A54"/>
    <w:rsid w:val="00EA0A3B"/>
    <w:rsid w:val="00EA1DC8"/>
    <w:rsid w:val="00EA493B"/>
    <w:rsid w:val="00EA50A3"/>
    <w:rsid w:val="00EB443D"/>
    <w:rsid w:val="00ED0575"/>
    <w:rsid w:val="00EF2EE2"/>
    <w:rsid w:val="00F0301D"/>
    <w:rsid w:val="00F1429E"/>
    <w:rsid w:val="00F153F8"/>
    <w:rsid w:val="00F551FF"/>
    <w:rsid w:val="00F81BC4"/>
    <w:rsid w:val="00FA52E7"/>
    <w:rsid w:val="00FA58B4"/>
    <w:rsid w:val="00FC0AB0"/>
    <w:rsid w:val="00FC117A"/>
    <w:rsid w:val="00FC6AD6"/>
    <w:rsid w:val="00FD7CE3"/>
    <w:rsid w:val="00FF2E6C"/>
    <w:rsid w:val="00FF4447"/>
    <w:rsid w:val="00FF638E"/>
    <w:rsid w:val="188F74E0"/>
    <w:rsid w:val="1DE101C9"/>
    <w:rsid w:val="281F6319"/>
    <w:rsid w:val="2E411B7D"/>
    <w:rsid w:val="306A2DAC"/>
    <w:rsid w:val="51A907ED"/>
    <w:rsid w:val="58535795"/>
    <w:rsid w:val="5BC62547"/>
    <w:rsid w:val="5ED54891"/>
    <w:rsid w:val="65152753"/>
    <w:rsid w:val="65E63B9C"/>
    <w:rsid w:val="72F161F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101"/>
    <customShpInfo spid="_x0000_s4097"/>
    <customShpInfo spid="_x0000_s4099"/>
    <customShpInfo spid="_x0000_s4100"/>
    <customShpInfo spid="_x0000_s4098"/>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EEFB67-6E78-4E96-9ECB-FAEC502436D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26525</Words>
  <Characters>28090</Characters>
  <Application>Microsoft Office Word</Application>
  <DocSecurity>0</DocSecurity>
  <Lines>439</Lines>
  <Paragraphs>123</Paragraphs>
  <ScaleCrop>false</ScaleCrop>
  <Company/>
  <LinksUpToDate>false</LinksUpToDate>
  <CharactersWithSpaces>28279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192</cp:revision>
  <dcterms:created xsi:type="dcterms:W3CDTF">2025-03-06T07:43:00Z</dcterms:created>
  <dcterms:modified xsi:type="dcterms:W3CDTF">2025-07-01T08:02:43Z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80184400DA2D4374BBB5A55D1E596CF8_12</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