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海洋气象观测智能感知与运行保障功能建设项目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ZQCD-26050</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2026年04月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海洋气象观测智能感知与运行保障功能建设项目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ZQCD-26050</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合同签订后9个月内完成开发部署并具备验收条件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中国气象局气象探测中心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2026年04月20日 00:00:00</w:t>
      </w:r>
      <w:bookmarkEnd w:id="27"/>
      <w:r>
        <w:rPr>
          <w:rFonts w:ascii="宋体" w:hint="eastAsia"/>
          <w:szCs w:val="21"/>
          <w:highlight w:val="none"/>
        </w:rPr>
        <w:t>至</w:t>
      </w:r>
      <w:bookmarkStart w:id="28" w:name="项目公告_signUpLastTime"/>
      <w:r>
        <w:rPr>
          <w:rFonts w:ascii="宋体" w:hint="eastAsia"/>
          <w:szCs w:val="21"/>
          <w:highlight w:val="none"/>
        </w:rPr>
        <w:t>2026年04月27日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2026年05月11日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秦世广</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010-58999560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北京市海淀区中关村南大街46号北区27号楼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中国气象局气象探测中心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8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（1）标的：海洋气象观测智能感知与运行保障功能建设项目 ，属于软件和信息技术服务业行业；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是，代理服务费：3.1万元。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304.000000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304.000000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850"/>
        <w:gridCol w:w="254"/>
        <w:gridCol w:w="749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采用低价优先法计算，公式：投标人得分=评标基准价/评标价×10</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1、提供 ISO9001质量管理体系认证或同等质量管理体系认证证书，</w:t>
              <w:cr/>
              <w:t>2、提供 ISO27001信息安全管理体系认证或同等信息安全管理体系认证证书；</w:t>
              <w:cr/>
              <w:t>3、提供 ISO20000信息技术服务管理体系认证或同等信息技术服务管理体系认证证书；</w:t>
              <w:cr/>
              <w:t>以上每有一个证书得1分，满分3分。否则不得分。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每提供1份合同得2分，最多得8分。不提供不得分。</w:t>
            </w:r>
          </w:p>
          <w:p>
            <w:r>
              <w:t>评审标准说明：</w:t>
            </w:r>
          </w:p>
          <w:p>
            <w:r>
              <w:t>1、需提供与本项目类似的软件开发合同（必须包括合同首页、金额页、标的页、签字盖章页）复印件并加盖投标人公章。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1份用户满意度证明得1分，最多得6分。</w:t>
            </w:r>
          </w:p>
          <w:p>
            <w:r>
              <w:t>评审标准说明：</w:t>
            </w:r>
          </w:p>
          <w:p>
            <w:r>
              <w:t>投标人提供投标截止日前三年内用户出具的与本项目类似的气象/海洋类软件开发项目评价良好的证明文件（包括用户单位联系人及联系方式），并加盖投标人公章。同一单位多份证明文件按1分计。</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每提供1份与本项目类似软件的软件著作权证书得2分，最多得8分。</w:t>
            </w:r>
          </w:p>
          <w:p>
            <w:r>
              <w:t>评审标准说明：</w:t>
            </w:r>
          </w:p>
          <w:p>
            <w:r>
              <w:t>投标人提供原始取得的软件著作权证书，并加盖投标人公章。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勾选打分</w:t>
            </w:r>
            <w:r>
              <w:t>(12)</w:t>
            </w:r>
          </w:p>
        </w:tc>
        <w:tc>
          <w:tcPr/>
          <w:p>
            <w:r>
              <w:t>评审标准：</w:t>
            </w:r>
          </w:p>
          <w:p>
            <w:r>
              <w:t xml:space="preserve">投标人应组成本项目开发服务团队，团队组织结构清晰，应设服务团队负责人（项目经理）、技术负责人、人员专业背景齐全。具体如下： </w:t>
              <w:cr/>
              <w:t xml:space="preserve">1、团队专职人员至少8人，其中驻场人员至少5人，驻场人员中至少3人具有至少2年以上软件开发的经验。完全满足得3 分，否则不得分。 </w:t>
              <w:cr/>
              <w:t>2、技术负责人具有气象/计算机/软件工程等相关专业的副高级或以上专业技术职称的，得3分，否则不得分。</w:t>
              <w:cr/>
              <w:t>3、项目经理具有气象/计算机/软件工程等相关专业的副高级或以上专业技术职称的，得3分，否则不得分。</w:t>
              <w:cr/>
              <w:t>4、团队人员具有计算机专业背景或气象类专业或气象探测仪器类专业的，每有 1 人具备条件得 1分，最高得 3分。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技术负责人与项目经理不可由同一人担任。以上材料需加盖投标人公章。</w:t>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 超出部分由双方协商确定费用及工期，乙方不得拒绝合理变更需求。提供书面承诺得3分。</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(1)</w:t>
            </w:r>
          </w:p>
        </w:tc>
        <w:tc>
          <w:tcPr/>
          <w:p>
            <w:r>
              <w:t>评审标准：</w:t>
            </w:r>
          </w:p>
          <w:p>
            <w:r>
              <w:t>一档：0分</w:t>
              <w:cr/>
              <w:t>二档：0.5分</w:t>
              <w:cr/>
              <w:t>三档：0.75分</w:t>
              <w:cr/>
              <w:t>四档：1分</w:t>
            </w:r>
          </w:p>
          <w:p>
            <w:r>
              <w:t>评审标准说明：</w:t>
            </w:r>
          </w:p>
          <w:p>
            <w:r>
              <w:t>投标人应提供培训课时及培训人数的承诺，以及培训方案。具体标准评分如下：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(1)</w:t>
            </w:r>
          </w:p>
        </w:tc>
        <w:tc>
          <w:tcPr/>
          <w:p>
            <w:r>
              <w:t>评审标准：</w:t>
            </w:r>
          </w:p>
          <w:p>
            <w:r>
              <w:t>一档：0分</w:t>
              <w:cr/>
              <w:t>二档：0.5分</w:t>
              <w:cr/>
              <w:t>三档：0.75分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三档：售后服务方案基本完整，但针对性一般，没有建立合理的技术支持机构或技术支持小组，技术支持内容不明确；或者未提供质保期内的7×24小时电话技术支持和保修的承诺。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免费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(1)</w:t>
            </w:r>
          </w:p>
        </w:tc>
        <w:tc>
          <w:tcPr/>
          <w:p>
            <w:r>
              <w:t>评审标准：</w:t>
            </w:r>
          </w:p>
          <w:p>
            <w:r>
              <w:t>一档：0分</w:t>
              <w:cr/>
              <w:t>二档：0.5分</w:t>
              <w:cr/>
              <w:t>三档：0.75分</w:t>
              <w:cr/>
              <w:t>四档：1分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(1)</w:t>
            </w:r>
          </w:p>
        </w:tc>
        <w:tc>
          <w:tcPr/>
          <w:p>
            <w:r>
              <w:t>评审标准：</w:t>
            </w:r>
          </w:p>
          <w:p>
            <w:r>
              <w:t>一档：0分</w:t>
              <w:cr/>
              <w:t>二档：0.5分</w:t>
              <w:cr/>
              <w:t>三档：0.75分</w:t>
              <w:cr/>
              <w:t>四档：1分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(2)</w:t>
            </w:r>
          </w:p>
        </w:tc>
        <w:tc>
          <w:tcPr/>
          <w:p>
            <w:r>
              <w:t>评审标准：</w:t>
            </w:r>
          </w:p>
          <w:p>
            <w:r>
              <w:t>一档：0分</w:t>
              <w:cr/>
              <w:t>二档：0.5分</w:t>
              <w:cr/>
              <w:t>三档：1分</w:t>
              <w:cr/>
              <w:t>四档：2分</w:t>
            </w:r>
          </w:p>
          <w:p>
            <w:r>
              <w:t>评审标准说明：</w:t>
            </w:r>
          </w:p>
          <w:p>
            <w:r>
              <w:t>提供软件系统各模块功能需求分析。具体评分标准如下：</w:t>
              <w:cr/>
              <w:t>一档：无软件功能开发需求分析。</w:t>
              <w:cr/>
              <w:t>二档：未提供软件功能开发需求分析，或软件功能开发需求分析不完整，未对软件系统各模块进行功能需求拆分，分析不具体、不充分、不详细。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一档：0分</w:t>
              <w:cr/>
              <w:t>二档：0.5分</w:t>
              <w:cr/>
              <w:t>三档：0.75分</w:t>
              <w:cr/>
              <w:t>四档：1分</w:t>
            </w:r>
          </w:p>
          <w:p>
            <w:r>
              <w:t>评审标准说明：</w:t>
            </w:r>
          </w:p>
          <w:p>
            <w:r>
              <w:t>提供软件系统非功能性需求分析，具体评分标准如下：</w:t>
              <w:cr/>
              <w:t>一档：未提供软件非功能性分析。</w:t>
              <w:cr/>
              <w:t>二档：软件非功能性分析不完整、不具体，未明确核心性能指标，合理性一般；</w:t>
              <w:cr/>
              <w:t>三档：软件非功能性开发需求分析较完整、具体、合理，但分析简单不充分详细；</w:t>
              <w:cr/>
              <w:t>四档：软件非功能性开发需求分析完整、具体、合理，分析充分详细，完全覆盖招标文件要求。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(2)</w:t>
            </w:r>
          </w:p>
        </w:tc>
        <w:tc>
          <w:tcPr/>
          <w:p>
            <w:r>
              <w:t>评审标准：</w:t>
            </w:r>
          </w:p>
          <w:p>
            <w:r>
              <w:t>一档：0分</w:t>
              <w:cr/>
              <w:t>二档：0.5分</w:t>
              <w:cr/>
              <w:t>三档：1分</w:t>
              <w:cr/>
              <w:t>四档：2分</w:t>
            </w:r>
          </w:p>
          <w:p>
            <w:r>
              <w:t>评审标准说明：</w:t>
            </w:r>
          </w:p>
          <w:p>
            <w:r>
              <w:t>提供数据需求分析内容，具体评分标准如下：</w:t>
              <w:cr/>
              <w:t>一档：未提供数据需求分析。</w:t>
              <w:cr/>
              <w:t>二档：数据需求分析覆盖不全面或分析欠合理，未明确数据来源与气象大数据云平台（天擎）之间关系或遗漏关键数据源。</w:t>
              <w:cr/>
              <w:t>三档：数据需求分析覆盖较全面、合理，覆盖主要数据来源，有明确数据源与气象大数据云平台（天擎）之间关系，但分析简单、不充分。</w:t>
              <w:cr/>
              <w:t>四档：数据需求分析涵盖全面、合理、详细、充分，明确数据源与气象大数据云平台（天擎）之间关系并标注数据获取方式，完全覆盖招标文件要求。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(4)</w:t>
            </w:r>
          </w:p>
        </w:tc>
        <w:tc>
          <w:tcPr/>
          <w:p>
            <w:r>
              <w:t>评审标准：</w:t>
            </w:r>
          </w:p>
          <w:p>
            <w:r>
              <w:t>一档：0分</w:t>
              <w:cr/>
              <w:t>二档：1分</w:t>
              <w:cr/>
              <w:t>三档：2分</w:t>
              <w:cr/>
              <w:t>四档：4分</w:t>
            </w:r>
          </w:p>
          <w:p>
            <w:r>
              <w:t>评审标准说明：</w:t>
            </w:r>
          </w:p>
          <w:p>
            <w:r>
              <w:t>对项目的技术特点认识深入，准确识别软件系统关键技术问题，并提出详细合理的解决方案。具体评分标准如下：</w:t>
              <w:cr/>
              <w:t>一档：未提供软件关键技术识别分析。</w:t>
              <w:cr/>
              <w:t>二档：软件关键技术识别分析不能准确识别软件系统关键技术问题，未有效结合项目特性和需求，仅描述问题现象，对海洋气象大模型语义理解、Agent任务编排与工具调度、RAG知识增强体系、海洋气象知识图谱与关系推理、规则引擎与决策逻辑等关键技术理解和应用实践分析不清晰。</w:t>
              <w:cr/>
              <w:t>三档：能准确识别软件系统关键技术问题，但未提供详细合理解决方案，能定位问题根源，但未量化影响，对海洋气象大模型语义理解、Agent任务编排与工具调度、RAG知识增强体系、海洋气象知识图谱与关系推理、规则引擎与决策逻辑等关键技术理解和应用实践分析说明较清晰但未提供具体应用实例。</w:t>
              <w:cr/>
              <w:t>四档：对项目的技术特点认识深入，准确识别软件系统关键技术问题，并提出详细合理的解决方案，进行针对性设计并论证优势，对海洋气象大模型语义理解、Agent任务编排与工具调度、RAG知识增强体系、海洋气象知识图谱与关系推理、规则引擎与决策逻辑等关键技术理解和应用实践分析清晰并提供具体应用实例。</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一档：未提供系统整体架构设计技术方案。</w:t>
              <w:cr/>
              <w:t>二档：系统整体架构设计无针对性，功能不完整，未有资源、数据、流程、服务和展示架构技术方案。</w:t>
              <w:cr/>
              <w:t>三档：系统整体架构设计基本合理可行，有一定针对性，功能完整，基本有资源、数据、流程、服务和展示架构技术方案但不详细，未充分考虑与观测一体化业务平台技术框架关系。</w:t>
              <w:cr/>
              <w:t>四档：系统整体架构设计合理可行，技术先进，功能完整，针对性强，严格遵循观测一体化业务平台的整体架构技术方案，具备详细的资源、数据、流程、服务和展示架构技术方案。</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(4)</w:t>
            </w:r>
          </w:p>
        </w:tc>
        <w:tc>
          <w:tcPr/>
          <w:p>
            <w:r>
              <w:t>评审标准：</w:t>
            </w:r>
          </w:p>
          <w:p>
            <w:r>
              <w:t>一档：0分</w:t>
              <w:cr/>
              <w:t>二档：1分</w:t>
              <w:cr/>
              <w:t>三档：2分</w:t>
              <w:cr/>
              <w:t>四档：4分</w:t>
            </w:r>
          </w:p>
          <w:p>
            <w:r>
              <w:t>评审标准说明：</w:t>
            </w:r>
          </w:p>
          <w:p>
            <w:r>
              <w:t>根据提交的系统接口设计技术方案评分：</w:t>
              <w:cr/>
              <w:t>一档：未提供系统接口设计技术方案。</w:t>
              <w:cr/>
              <w:t>二档：系统接口设计无针对性，功能不完整，未提供架构图或分层不清晰，未说明高可用设计。</w:t>
              <w:cr/>
              <w:t>三档：系统接口设计基本合理可行，有一定针对性，功能完整，未定义接口规范或仅提供简单文字描述，未说明高可用设计（如无负载均衡、集群部署方案）。未明确与观测一体化业务平台接口规范和微服务要求关系。</w:t>
              <w:cr/>
              <w:t>四档：系统接口设计合理可行，技术先进，功能完整，针对性强，清晰划分接数据层、服务层、应用层，详细定义接口规范和说明高可用设计，系统涉及的模型接口应符合观测一体化业务平台接口规范和微服务要求。</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(21)</w:t>
            </w:r>
          </w:p>
        </w:tc>
        <w:tc>
          <w:tcPr/>
          <w:p>
            <w:r>
              <w:t>评审标准：</w:t>
            </w:r>
          </w:p>
          <w:p>
            <w:r>
              <w:t>提交以下6个子系统及非功能要求技术方案：</w:t>
              <w:cr/>
              <w:t>1、海洋气象智能问答中枢子系统</w:t>
              <w:cr/>
              <w:t>2、海洋气象智能监管告警子系统</w:t>
              <w:cr/>
              <w:t>3、海洋气象智能维护决策支持子系统</w:t>
              <w:cr/>
              <w:t>4、海洋气象智能仓储管控子系统</w:t>
              <w:cr/>
              <w:t>5、海洋气象智能推演决策支持子系统</w:t>
              <w:cr/>
              <w:t>6、海洋气象数字底座子系统</w:t>
              <w:cr/>
              <w:t>7、非功能要求（第七章第二条非功能性要求）</w:t>
              <w:cr/>
              <w:t>每个方案最高3分，满分21分。每个方案具体分值如下：</w:t>
              <w:cr/>
              <w:t>一档：0分</w:t>
              <w:cr/>
              <w:t>二档：1分</w:t>
              <w:cr/>
              <w:t xml:space="preserve">三档：2分 </w:t>
              <w:cr/>
              <w:t>四档：3分</w:t>
            </w:r>
          </w:p>
          <w:p>
            <w:r>
              <w:t>评审标准说明：</w:t>
            </w:r>
          </w:p>
          <w:p>
            <w:r>
              <w:t>根据提交的设计技术方案评分：</w:t>
              <w:cr/>
              <w:t>一档：未提供技术方案，或者技术方案不完整，未覆盖项目的功能和非功能需求，描述不清楚、缺乏针对关建技术的分析，可行性针对性差。</w:t>
              <w:cr/>
              <w:t>二档：技术方案内容简单，基本覆盖项目的功能和非功能需求，描述基本清楚；技术思路较合理、关建技术的分析较清晰，解决措施有一定可行性针对性，基本满足采购需求。</w:t>
              <w:cr/>
              <w:t>三档：技术方案较完整，覆盖项目的功能和非功能需求，描述较清楚，逻辑性可行，图文规范；技术可行，针对关建技术的分析合理，解决措施切实可行，具有一定针对性，基本满足采购需求。未明确与观测一体化业务平台的整体规范与要求关系。</w:t>
              <w:cr/>
              <w:t>四档：技术方案内容完整、详实，覆盖项目的功能和非功能需求，描述清楚，逻辑性强，图文规范；技术先进，针对关建技术的分析详细，解决措施切实可行，针对性强，完全满足采购需求；系统模块设计技术方案符合观测一体化业务平台的整体规范与要求。</w:t>
            </w:r>
          </w:p>
          <w:p/>
        </w:tc>
      </w:tr>
      <w:tr>
        <w:tblPrEx>
          <w:tblW w:w="5000" w:type="pct"/>
          <w:tblCellMar>
            <w:left w:w="108" w:type="dxa"/>
            <w:right w:w="108" w:type="dxa"/>
          </w:tblCellMar>
        </w:tblPrEx>
        <w:tc>
          <w:tcPr/>
          <w:p>
            <w:r>
              <w:t>19</w:t>
            </w:r>
          </w:p>
        </w:tc>
        <w:tc>
          <w:tcPr>
            <w:vMerge/>
          </w:tcPr>
          <w:p>
            <w:r>
              <w:t>技术部分</w:t>
            </w:r>
          </w:p>
        </w:tc>
        <w:tc>
          <w:tcPr/>
          <w:p>
            <w:r>
              <w:t>风险管理方案（主观分）</w:t>
            </w:r>
          </w:p>
        </w:tc>
        <w:tc>
          <w:tcPr/>
          <w:p>
            <w:r>
              <w:t>勾选打分</w:t>
            </w:r>
            <w:r>
              <w:t>(1)</w:t>
            </w:r>
          </w:p>
        </w:tc>
        <w:tc>
          <w:tcPr/>
          <w:p>
            <w:r>
              <w:t>评审标准：</w:t>
            </w:r>
          </w:p>
          <w:p>
            <w:r>
              <w:t>一档：0分</w:t>
              <w:cr/>
              <w:t>二档：0.5分</w:t>
              <w:cr/>
              <w:t>三档：0.75分</w:t>
              <w:cr/>
              <w:t>四档：1分</w:t>
            </w:r>
          </w:p>
          <w:p>
            <w:r>
              <w:t>评审标准说明：</w:t>
            </w:r>
          </w:p>
          <w:p>
            <w:r>
              <w:t>针对项目实施过程中，因国家政策、实施环境、重大技术等发生变化可能带来的项目实施风险，拟定风险管控方案。</w:t>
              <w:cr/>
              <w:t>一档：未提供风险管控方案。</w:t>
              <w:cr/>
              <w:t>二档：风险管控方案简单，风险识别片面，依赖主观判断，存在明显盲区。评估主观性强，缺乏数据或逻辑支持。措施空洞，缺乏针对性或无法落地风险管理方案简单，无针对性。</w:t>
              <w:cr/>
              <w:t>三档：风险管控方案中覆盖主要风险，但部分次要风险未纳入，或方法较简单。有定性或简单量化分析，但依据不足或标准模糊。措施部分可行，但效果有限或成本过高方案内容不全，详细程度一般，措施针对性可行性一般。</w:t>
              <w:cr/>
              <w:t>四档：风险管控方案中覆盖所有关键风险点，识别方法科学（如专家评估、历史数据分析等），无重大遗漏。风险等级划分清晰（如概率×影响矩阵），数据支撑充分，量化分析到位。措施具体、可操作（如规避、转移、缓解、接受），资源分配合理，能显著降低风险方案内容全面、详细合理、措施针对性强，切实可行。</w:t>
            </w:r>
          </w:p>
          <w:p/>
        </w:tc>
      </w:tr>
      <w:tr>
        <w:tblPrEx>
          <w:tblW w:w="5000" w:type="pct"/>
          <w:tblCellMar>
            <w:left w:w="108" w:type="dxa"/>
            <w:right w:w="108" w:type="dxa"/>
          </w:tblCellMar>
        </w:tblPrEx>
        <w:tc>
          <w:tcPr/>
          <w:p>
            <w:r>
              <w:t>20</w:t>
            </w:r>
          </w:p>
        </w:tc>
        <w:tc>
          <w:tcPr>
            <w:vMerge/>
          </w:tcPr>
          <w:p>
            <w:r>
              <w:t>技术部分</w:t>
            </w:r>
          </w:p>
        </w:tc>
        <w:tc>
          <w:tcPr/>
          <w:p>
            <w:r>
              <w:t>知识产权承诺（客观分）</w:t>
            </w:r>
          </w:p>
        </w:tc>
        <w:tc>
          <w:tcPr/>
          <w:p>
            <w:r>
              <w:t>勾选打分</w:t>
            </w:r>
            <w:r>
              <w:t>(2)</w:t>
            </w:r>
          </w:p>
        </w:tc>
        <w:tc>
          <w:tcPr/>
          <w:p>
            <w:r>
              <w:t>评审标准：</w:t>
            </w:r>
          </w:p>
          <w:p>
            <w:r>
              <w:t>按照第七章第八条要求，提供知识产权明确归属甲方的承诺书，得 2分；不提供得 0 分。</w:t>
            </w:r>
          </w:p>
          <w:p>
            <w:r>
              <w:t>评审标准说明：</w:t>
            </w:r>
          </w:p>
          <w:p>
            <w:r>
              <w:t>提供知识产权明确归属甲方的承诺书。</w:t>
            </w:r>
          </w:p>
          <w:p/>
        </w:tc>
      </w:tr>
      <w:tr>
        <w:tblPrEx>
          <w:tblW w:w="5000" w:type="pct"/>
          <w:tblCellMar>
            <w:left w:w="108" w:type="dxa"/>
            <w:right w:w="108" w:type="dxa"/>
          </w:tblCellMar>
        </w:tblPrEx>
        <w:tc>
          <w:tcPr/>
          <w:p>
            <w:r>
              <w:t>21</w:t>
            </w:r>
          </w:p>
        </w:tc>
        <w:tc>
          <w:tcPr>
            <w:vMerge/>
          </w:tcPr>
          <w:p>
            <w:r>
              <w:t>技术部分</w:t>
            </w:r>
          </w:p>
        </w:tc>
        <w:tc>
          <w:tcPr/>
          <w:p>
            <w:r>
              <w:t>针对本项目的合理化建议（主观分）</w:t>
            </w:r>
          </w:p>
        </w:tc>
        <w:tc>
          <w:tcPr/>
          <w:p>
            <w:r>
              <w:t>勾选打分</w:t>
            </w:r>
            <w:r>
              <w:t>(2)</w:t>
            </w:r>
          </w:p>
        </w:tc>
        <w:tc>
          <w:tcPr/>
          <w:p>
            <w:r>
              <w:t>评审标准：</w:t>
            </w:r>
          </w:p>
          <w:p>
            <w:r>
              <w:t>一档：0分</w:t>
              <w:cr/>
              <w:t>二档：0.5分</w:t>
              <w:cr/>
              <w:t>三档：1分</w:t>
              <w:cr/>
              <w:t>四档：2分</w:t>
            </w:r>
          </w:p>
          <w:p>
            <w:r>
              <w:t>评审标准说明：</w:t>
            </w:r>
          </w:p>
          <w:p>
            <w:r>
              <w:t>结合项目需求、背景、现状情况等对项目进行需求分析理解，并可以提出合理化建议。</w:t>
              <w:cr/>
              <w:t>一档：未提供项目需求分析，或者对项目范围和内容及用户总体需求分析有一定偏差，未抓住重点、难点，未覆盖文档核心需求和未关联实际业务场景；未提出针对本项目的合理化建议。</w:t>
              <w:cr/>
              <w:t>二档：对项目范围和内容及用户总体需求分析无偏差，能抓住重点、难点不突出，未对装备模型和系统融入观测一体化业务平台的需求进行理解，并未提出合理的解决方案和建议。</w:t>
              <w:cr/>
              <w:t>三档：对项目范围和内容理解清晰，对用户总体需求分析正确，重点、难点分析到位，问题描述清楚；能准确识别软件系统关键技术问题，对装备模型和系统融入观测一体化业务平台的需求进行初步理解，并提出初步可行的解决方案和建议。</w:t>
              <w:cr/>
              <w:t>四档：对项目范围和内容理解清晰，对用户总体需求分析正确，重点、难点分析到位，问题描述清楚；能准确识别软件系统关键技术问题，并提出详细合理的解决方案。对采购人的采购要求、服务要求、质量要求、管理要求有深刻认识，对项目特点的认识了解非常全面，对装备模型和系统融入观测一体化业务平台的需求具有深入理解，并有针对性地为项目提出相关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jc w:val="left"/>
        <w:rPr>
          <w:b/>
          <w:szCs w:val="21"/>
        </w:rPr>
      </w:pPr>
    </w:p>
    <w:p>
      <w:pPr>
        <w:spacing w:line="360" w:lineRule="auto"/>
        <w:ind w:firstLine="420" w:firstLineChars="200"/>
        <w:outlineLvl w:val="2"/>
      </w:pPr>
      <w:r>
        <w:rPr>
          <w:rFonts w:ascii="宋体" w:hAnsi="宋体" w:cs="宋体" w:hint="eastAsia"/>
          <w:b/>
          <w:bCs/>
          <w:color w:val="000000"/>
          <w:szCs w:val="21"/>
          <w:lang w:bidi="ar"/>
        </w:rPr>
        <w:t>一、招标内容</w:t>
      </w:r>
    </w:p>
    <w:p>
      <w:pPr>
        <w:snapToGrid w:val="0"/>
        <w:spacing w:line="360" w:lineRule="auto"/>
        <w:ind w:firstLine="420" w:firstLineChars="200"/>
        <w:jc w:val="left"/>
        <w:rPr>
          <w:rFonts w:ascii="宋体" w:hAnsi="宋体" w:cs="宋体"/>
          <w:szCs w:val="21"/>
        </w:rPr>
      </w:pPr>
      <w:r>
        <w:rPr>
          <w:rFonts w:ascii="宋体" w:hAnsi="宋体" w:cs="宋体" w:hint="eastAsia"/>
          <w:szCs w:val="21"/>
        </w:rPr>
        <w:t>建设海洋气象观测智能感知与运行保障分系统，实现面向海洋观测业务全流程运行与应急保障需求，构建覆盖“感知监测、风险预警、智能运维、物资保障、推演决策、数字底座”的一体化业务支撑体系。在站网侧构建统一的智能监管与运行管理平台，实现海洋气象观测装备统一接入、运行状态集中监控与标准规范管理，推动设备运行由分散管理向集中协同转变；支持多源信息融合与智能分析能力，提升风险识别、异常诊断与综合研判水平，强化业务运行的稳定性与可控性；构建设备健康度评估与预测性维护模型，实现装备全生命周期闭环管理，覆盖规划配置、运行监测、维护维修、性能评估与退出更新等各环节；建设智能仓储与应急物资调拨体系，支撑保障资源的动态优化配置与跨区域协同保障；开发面向业务与运维人员的辅助应用工具，提升日常管理与应急处置效率；构建端-边-云协同的云化运行架构，远程调控与智能决策分析，全面提升国家海洋气象观测站网的智能化运行保障与应急支撑能力。</w:t>
      </w:r>
    </w:p>
    <w:p>
      <w:pPr>
        <w:snapToGrid w:val="0"/>
        <w:spacing w:line="360" w:lineRule="auto"/>
        <w:ind w:firstLine="420" w:firstLineChars="200"/>
        <w:jc w:val="left"/>
        <w:rPr>
          <w:rFonts w:ascii="宋体" w:hAnsi="宋体" w:cs="宋体"/>
          <w:szCs w:val="21"/>
        </w:rPr>
      </w:pPr>
      <w:r>
        <w:rPr>
          <w:rFonts w:ascii="宋体" w:hAnsi="宋体" w:cs="宋体" w:hint="eastAsia"/>
          <w:szCs w:val="21"/>
        </w:rPr>
        <w:t>基于观测一体化业务平台，统筹底层资源，建立标准化观测应用组件服务，完成数据整合与数据源“统一唯一”，建设统一门户及用户体系，实现海洋气象观测智能感知与运行保障分系统的</w:t>
      </w:r>
      <w:r>
        <w:rPr>
          <w:rFonts w:hint="eastAsia"/>
        </w:rPr>
        <w:t>海洋气象智能问答中枢</w:t>
      </w:r>
      <w:r>
        <w:t>子系统</w:t>
      </w:r>
      <w:r>
        <w:rPr>
          <w:rFonts w:hint="eastAsia"/>
        </w:rPr>
        <w:t>、海洋气象智能监管告警</w:t>
      </w:r>
      <w:r>
        <w:t>子系统</w:t>
      </w:r>
      <w:r>
        <w:rPr>
          <w:rFonts w:hint="eastAsia"/>
        </w:rPr>
        <w:t>、海洋气象智能维护决策支持</w:t>
      </w:r>
      <w:r>
        <w:t>子系统</w:t>
      </w:r>
      <w:r>
        <w:rPr>
          <w:rFonts w:hint="eastAsia"/>
        </w:rPr>
        <w:t>、海洋气象智能仓储管控</w:t>
      </w:r>
      <w:r>
        <w:t>子系统</w:t>
      </w:r>
      <w:r>
        <w:rPr>
          <w:rFonts w:hint="eastAsia"/>
        </w:rPr>
        <w:t>、海洋气象智能推演决策支持</w:t>
      </w:r>
      <w:r>
        <w:t>子系统</w:t>
      </w:r>
      <w:r>
        <w:rPr>
          <w:rFonts w:hint="eastAsia"/>
        </w:rPr>
        <w:t>和海洋气象数字底座</w:t>
      </w:r>
      <w:r>
        <w:t>子系统</w:t>
      </w:r>
      <w:r>
        <w:rPr>
          <w:rFonts w:hint="eastAsia"/>
        </w:rPr>
        <w:t>等6个</w:t>
      </w:r>
      <w:r>
        <w:rPr>
          <w:rFonts w:ascii="宋体" w:hAnsi="宋体" w:cs="宋体" w:hint="eastAsia"/>
          <w:szCs w:val="21"/>
        </w:rPr>
        <w:t>子系统功能模块的完全融入，力争打造成“统筹集约”气象业务系统的典型示范。</w:t>
      </w:r>
    </w:p>
    <w:p>
      <w:pPr>
        <w:spacing w:line="360" w:lineRule="auto"/>
        <w:ind w:firstLine="420" w:firstLineChars="200"/>
        <w:outlineLvl w:val="2"/>
        <w:rPr>
          <w:rFonts w:ascii="宋体" w:hAnsi="宋体" w:cs="宋体"/>
          <w:b/>
          <w:bCs/>
          <w:color w:val="000000"/>
          <w:szCs w:val="21"/>
          <w:highlight w:val="none"/>
        </w:rPr>
      </w:pPr>
      <w:r>
        <w:rPr>
          <w:rFonts w:ascii="宋体" w:hAnsi="宋体" w:cs="宋体" w:hint="eastAsia"/>
          <w:b/>
          <w:bCs/>
          <w:color w:val="000000"/>
          <w:szCs w:val="21"/>
          <w:highlight w:val="none"/>
          <w:lang w:bidi="ar"/>
        </w:rPr>
        <w:t>二、技术及性能要求</w:t>
      </w:r>
    </w:p>
    <w:p>
      <w:pPr>
        <w:pStyle w:val="-"/>
        <w:widowControl/>
        <w:ind w:firstLine="422"/>
        <w:rPr>
          <w:rFonts w:ascii="宋体" w:hAnsi="宋体" w:cs="宋体"/>
          <w:b/>
          <w:color w:val="000000"/>
          <w:sz w:val="21"/>
          <w:szCs w:val="21"/>
          <w:highlight w:val="none"/>
        </w:rPr>
      </w:pPr>
      <w:r>
        <w:rPr>
          <w:rFonts w:ascii="宋体" w:hAnsi="宋体" w:cs="宋体"/>
          <w:b/>
          <w:color w:val="000000"/>
          <w:sz w:val="21"/>
          <w:szCs w:val="21"/>
          <w:highlight w:val="none"/>
        </w:rPr>
        <w:t xml:space="preserve">2.1 </w:t>
      </w:r>
      <w:r>
        <w:rPr>
          <w:rFonts w:ascii="宋体" w:hAnsi="宋体" w:cs="宋体" w:hint="eastAsia"/>
          <w:b/>
          <w:color w:val="000000"/>
          <w:sz w:val="21"/>
          <w:szCs w:val="21"/>
          <w:highlight w:val="none"/>
        </w:rPr>
        <w:t>技术要求</w:t>
      </w:r>
    </w:p>
    <w:p>
      <w:pPr>
        <w:numPr>
          <w:ilvl w:val="0"/>
          <w:numId w:val="4"/>
        </w:numPr>
        <w:snapToGrid w:val="0"/>
        <w:spacing w:line="360" w:lineRule="auto"/>
        <w:jc w:val="left"/>
        <w:rPr>
          <w:rFonts w:ascii="宋体" w:hAnsi="宋体" w:cs="宋体"/>
          <w:szCs w:val="21"/>
        </w:rPr>
      </w:pPr>
      <w:r>
        <w:rPr>
          <w:rFonts w:ascii="宋体" w:hAnsi="宋体" w:cs="宋体" w:hint="eastAsia"/>
          <w:szCs w:val="21"/>
        </w:rPr>
        <w:t>基于甲方既有平台资源，建设海洋气象观测智能感知与运行保障分系统，形成覆盖监测感知、智能分析、运维保障、物资支撑与决策协同的一体化功能。</w:t>
      </w:r>
    </w:p>
    <w:p>
      <w:pPr>
        <w:numPr>
          <w:ilvl w:val="0"/>
          <w:numId w:val="4"/>
        </w:numPr>
        <w:snapToGrid w:val="0"/>
        <w:spacing w:line="360" w:lineRule="auto"/>
        <w:jc w:val="left"/>
        <w:rPr>
          <w:rFonts w:ascii="宋体" w:hAnsi="宋体" w:cs="宋体"/>
          <w:szCs w:val="21"/>
        </w:rPr>
      </w:pPr>
      <w:r>
        <w:rPr>
          <w:rFonts w:ascii="宋体" w:hAnsi="宋体" w:cs="宋体" w:hint="eastAsia"/>
          <w:szCs w:val="21"/>
        </w:rPr>
        <w:t>系统应实现多类型观测设备的统一接入与集中管理，支持设备动态配置与标准规范接入；应具备多源信息融合与智能分析能力，实现运行异常识别、风险预警与综合判识；应建立设备全生命周期闭环管理机制，覆盖准入、运行、维护、维修、检定与退出等环节，并支持健康度评估与预测性维护功能。</w:t>
      </w:r>
    </w:p>
    <w:p>
      <w:pPr>
        <w:numPr>
          <w:ilvl w:val="0"/>
          <w:numId w:val="4"/>
        </w:numPr>
        <w:snapToGrid w:val="0"/>
        <w:spacing w:line="360" w:lineRule="auto"/>
        <w:jc w:val="left"/>
        <w:rPr>
          <w:rFonts w:ascii="宋体" w:hAnsi="宋体" w:cs="宋体"/>
          <w:szCs w:val="21"/>
        </w:rPr>
      </w:pPr>
      <w:r>
        <w:rPr>
          <w:rFonts w:ascii="宋体" w:hAnsi="宋体" w:cs="宋体" w:hint="eastAsia"/>
          <w:szCs w:val="21"/>
        </w:rPr>
        <w:t>系统应支持保障物资的数字化管理与动态调拨；应提供辅助运维应用工具及标准化数据服务接口，满足业务协同需求；应构建端-边-云协同的云化运行架构，支持站网运行态势可视化展示、远程管控与决策支撑能力。</w:t>
      </w:r>
    </w:p>
    <w:p>
      <w:pPr>
        <w:numPr>
          <w:ilvl w:val="0"/>
          <w:numId w:val="4"/>
        </w:numPr>
        <w:snapToGrid w:val="0"/>
        <w:spacing w:line="360" w:lineRule="auto"/>
        <w:jc w:val="left"/>
        <w:rPr>
          <w:rFonts w:ascii="宋体" w:hAnsi="宋体" w:cs="宋体"/>
          <w:szCs w:val="21"/>
        </w:rPr>
      </w:pPr>
      <w:r>
        <w:rPr>
          <w:rFonts w:ascii="宋体" w:hAnsi="宋体" w:cs="宋体" w:hint="eastAsia"/>
          <w:szCs w:val="21"/>
        </w:rPr>
        <w:t>系统所需数据源与气象大数据云平台（天擎）关系，涵盖实时观测数据、业务管理与分析数据以及基础信息与元数据。在数据获取方式上，通过天擎标准数据服务接口和数据访问中间件实现统一接入，不单独建设数据采集系统；在算法调度上，各子系统智能模型统一注册至天擎算法仓库，由天擎调度引擎实现统一调度与资源分配。</w:t>
      </w:r>
    </w:p>
    <w:p>
      <w:pPr>
        <w:numPr>
          <w:ilvl w:val="0"/>
          <w:numId w:val="4"/>
        </w:numPr>
        <w:snapToGrid w:val="0"/>
        <w:spacing w:line="360" w:lineRule="auto"/>
        <w:jc w:val="left"/>
        <w:rPr>
          <w:rFonts w:ascii="宋体" w:hAnsi="宋体" w:cs="宋体"/>
          <w:szCs w:val="21"/>
        </w:rPr>
      </w:pPr>
      <w:bookmarkStart w:id="61" w:name="OLE_LINK7"/>
      <w:r>
        <w:rPr>
          <w:rFonts w:ascii="宋体" w:hAnsi="宋体" w:cs="宋体" w:hint="eastAsia"/>
          <w:szCs w:val="21"/>
        </w:rPr>
        <w:t>系统依托观测一体化业务平台的技术规范，集约整合海洋气象观测智能感知与运行保障分系统中海洋气象智能问答中枢子系统、海洋气象智能监管告警子系统、海洋气象智能维护决策支持子系统、海洋气象智能仓储管控子系统、海洋气象智能推演决策支持子系统和海洋气象数字底座子系统等6个子系统。建设过程中，建设需要按照中国气象局关于统筹集约建设气象业务软件的指导意见等相关文件要求，充分考虑在气象大数据云平台（天擎）基础支撑环境下，全面融入气象探测中心在建的观测一体化业务平台技术框架，并且满足底层基础数据共享共用、流程算法统一调度等技术要求，实现模型资源的规范管理、共享调用与协同应用，从而保障系统建设的统一性、规范性与可持续扩展能力。</w:t>
      </w:r>
    </w:p>
    <w:bookmarkEnd w:id="61"/>
    <w:p>
      <w:pPr>
        <w:snapToGrid w:val="0"/>
        <w:spacing w:line="360" w:lineRule="auto"/>
        <w:ind w:firstLine="420" w:firstLineChars="200"/>
        <w:jc w:val="left"/>
        <w:rPr>
          <w:rFonts w:ascii="宋体" w:hAnsi="宋体" w:cs="宋体"/>
          <w:b/>
          <w:color w:val="000000"/>
          <w:kern w:val="0"/>
          <w:szCs w:val="21"/>
        </w:rPr>
      </w:pPr>
      <w:r>
        <w:rPr>
          <w:rFonts w:ascii="宋体" w:hAnsi="宋体" w:cs="宋体" w:hint="eastAsia"/>
          <w:b/>
          <w:color w:val="000000"/>
          <w:kern w:val="0"/>
          <w:szCs w:val="21"/>
        </w:rPr>
        <w:t>2.2 功能要求</w:t>
      </w:r>
    </w:p>
    <w:p>
      <w:pPr>
        <w:snapToGrid w:val="0"/>
        <w:spacing w:line="360" w:lineRule="auto"/>
        <w:ind w:firstLine="420" w:firstLineChars="200"/>
        <w:jc w:val="left"/>
      </w:pPr>
      <w:r>
        <w:rPr>
          <w:rFonts w:hint="eastAsia"/>
        </w:rPr>
        <w:t>建设海洋气象观测智能感知与运行保障分系统通过多个子系统协同工作，全面提升海洋观测与运维效率。包括海洋气象智能问答中枢子系统、海洋气象智能监管告警子系统、海洋气象智能维护决策支持子系统、海洋气象智能仓储管控子系统、海洋气象智能推演决策支持子系统和海洋气象数字底座子系统，分别负责知识服务与决策支持、设备状态监测与预警、设备健康评估与维护、物资管理与调度、灾害防御与应急保障以及提供统一的技术支撑，确保系统稳定运行与持续扩展。</w:t>
      </w:r>
    </w:p>
    <w:p>
      <w:pPr>
        <w:numPr>
          <w:ilvl w:val="0"/>
          <w:numId w:val="0"/>
        </w:numPr>
        <w:spacing w:line="360" w:lineRule="auto"/>
        <w:ind w:left="0" w:firstLine="420" w:firstLineChars="200"/>
      </w:pPr>
      <w:r>
        <w:rPr>
          <w:rFonts w:hint="eastAsia"/>
        </w:rPr>
        <w:t>1. 海洋气象智能问答中枢子系统：面向海洋气象观测业务与运维保障需求，构建统一的知识服务与智能辅助决策能力。融合海洋气象大模型语义理解技术，解析用户自然语言查询中的业务意图与关键要素；依托RAG知识增强体系与海洋气象知识图谱，实现对业务规范、设备知识及应急处置经验的结构化存储与动态检索，有效降低模型幻觉，提升回答准确性；同时引入规则引擎与决策逻辑，确保关键场景下的规范化输出。通过多技术协同，为运维人员提供伴随式、可溯源的智能问答与知识推送服务。</w:t>
      </w:r>
    </w:p>
    <w:p>
      <w:pPr>
        <w:numPr>
          <w:ilvl w:val="0"/>
          <w:numId w:val="0"/>
        </w:numPr>
        <w:spacing w:line="360" w:lineRule="auto"/>
        <w:ind w:left="0" w:firstLine="420" w:firstLineChars="200"/>
      </w:pPr>
      <w:r>
        <w:rPr>
          <w:rFonts w:hint="eastAsia"/>
        </w:rPr>
        <w:t>2. 海洋气象智能监管告警子系统：面向海洋观测站网运行规范性与风险可控性需求，构建统一的运行监管与风险预警体系。基于规则引擎与决策逻辑，实现运行状态的自动判定与分级告警；利用海洋气象知识图谱提升异常诊断的准确率；通过Agent任务编排与工具调度技术实现告警的智能聚合、抑制与自动化响应，为站网稳定运行提供主动式监管保障。</w:t>
      </w:r>
    </w:p>
    <w:p>
      <w:pPr>
        <w:spacing w:line="360" w:lineRule="auto"/>
        <w:ind w:firstLine="420" w:firstLineChars="200"/>
      </w:pPr>
      <w:r>
        <w:rPr>
          <w:rFonts w:hint="eastAsia"/>
        </w:rPr>
        <w:t>3. 海洋气象智能维护决策支持子系统：面向海洋气象观测装备长期稳定运行需求，构建设备健康评估与预测性维护能力。综合运用规则引擎与决策逻辑定义设备关键性能指标的健康基线，结合实时监测数据实现多维度健康度量化评估；借助海洋气象知识图谱关联历史故障案例与环境因素，挖掘设备退化规律与故障关联路径；同时引入Agent任务编排技术自动生成预测性维护工单并跟踪闭环，推动装备维护模式从被动维修向主动预测转变，实现全生命周期的精益化管理。</w:t>
      </w:r>
    </w:p>
    <w:p>
      <w:pPr>
        <w:spacing w:line="360" w:lineRule="auto"/>
        <w:ind w:firstLine="420" w:firstLineChars="200"/>
      </w:pPr>
      <w:r>
        <w:rPr>
          <w:rFonts w:hint="eastAsia"/>
        </w:rPr>
        <w:t>4. 海洋气象智能仓储管控子系统：面向海洋观测保障物资精细化管理需求，构建物资预测与动态调拨能力。融合规则引擎与决策逻辑，动态制定补库策略与安全库存阈值；依托海洋气象知识图谱建立物资与设备型号、故障模式的关联关系，支撑应急场景下的智能需求预测；利用Agent任务编排技术实现跨区域物资调拨流程的自动化编排与优化，确保应急物资的精准投放与可追溯管理，全面提升保障资源的动态配置效率。</w:t>
      </w:r>
    </w:p>
    <w:p>
      <w:pPr>
        <w:spacing w:line="360" w:lineRule="auto"/>
        <w:ind w:firstLine="420" w:firstLineChars="200"/>
      </w:pPr>
      <w:r>
        <w:rPr>
          <w:rFonts w:hint="eastAsia"/>
        </w:rPr>
        <w:t>5. 海洋气象智能推演决策支持子系统：面向海洋气象灾害防御与应急保障需求，构建情景推演与决策辅助能力。基于海洋气象知识图谱支撑故障影响范围与链式效应的快速推演；引入规则引擎与决策逻辑实现应急方案的自动生成与合规性校验；结合Agent任务编排技术对多源应急资源进行动态组合与模拟比选，并通过大模型语义理解辅助决策指令解析与复盘总结，为复杂应急场景提供科学、高效的决策支持。功能点如下：</w:t>
      </w:r>
    </w:p>
    <w:p>
      <w:pPr>
        <w:numPr>
          <w:ilvl w:val="0"/>
          <w:numId w:val="0"/>
        </w:numPr>
        <w:spacing w:line="360" w:lineRule="auto"/>
        <w:ind w:left="0" w:firstLine="420" w:firstLineChars="200"/>
      </w:pPr>
      <w:r>
        <w:rPr>
          <w:rFonts w:hint="eastAsia"/>
        </w:rPr>
        <w:t>6. 海洋气象数字底座子系统：作为系统的统一技术底座，提供资源调度与服务治理能力，保障上述五大智能化子系统的高效协同与持续扩展。底座遵循观测一体化业务平台技术框架，集成微服务智能管控与动态负载均衡能力，为Agent任务编排与规则引擎提供弹性运行环境；通过多源数据服务支撑与智能网关实现观测数据的统一接入与标准化共享，为RAG知识增强与知识图谱构建奠定坚实的数据基础；同时提供异构资源统一调度与作业流程实时分析能力，确保在复杂应急场景下各智能服务的稳定可靠运行，全面支撑海洋气象观测业务的数字化与智能化转型。</w:t>
      </w:r>
    </w:p>
    <w:p>
      <w:pPr>
        <w:snapToGrid w:val="0"/>
        <w:spacing w:line="360" w:lineRule="auto"/>
        <w:ind w:firstLine="420" w:firstLineChars="200"/>
        <w:jc w:val="left"/>
        <w:rPr>
          <w:b/>
          <w:szCs w:val="21"/>
        </w:rPr>
      </w:pPr>
      <w:r>
        <w:rPr>
          <w:rFonts w:ascii="宋体" w:hAnsi="宋体" w:cs="宋体"/>
          <w:b/>
          <w:color w:val="000000"/>
          <w:kern w:val="0"/>
          <w:szCs w:val="21"/>
        </w:rPr>
        <w:t>2.3</w:t>
      </w:r>
      <w:r>
        <w:rPr>
          <w:rFonts w:ascii="宋体" w:hAnsi="宋体" w:cs="宋体" w:hint="eastAsia"/>
          <w:b/>
          <w:color w:val="000000"/>
          <w:kern w:val="0"/>
          <w:szCs w:val="21"/>
        </w:rPr>
        <w:t>非功能性要求</w:t>
      </w:r>
    </w:p>
    <w:p>
      <w:pPr>
        <w:numPr>
          <w:ilvl w:val="0"/>
          <w:numId w:val="5"/>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稳定性要求</w:t>
      </w:r>
    </w:p>
    <w:p>
      <w:pPr>
        <w:snapToGrid w:val="0"/>
        <w:spacing w:line="360" w:lineRule="auto"/>
        <w:ind w:firstLine="420" w:firstLineChars="200"/>
        <w:rPr>
          <w:rFonts w:cs="宋体"/>
          <w:color w:val="000000"/>
          <w:szCs w:val="21"/>
          <w:lang w:bidi="ar"/>
        </w:rPr>
      </w:pPr>
      <w:r>
        <w:rPr>
          <w:rFonts w:cs="宋体" w:hint="eastAsia"/>
          <w:color w:val="000000"/>
          <w:szCs w:val="21"/>
          <w:lang w:bidi="ar"/>
        </w:rPr>
        <w:t>系统年故障总时间小于</w:t>
      </w:r>
      <w:r>
        <w:rPr>
          <w:rFonts w:cs="宋体"/>
          <w:color w:val="000000"/>
          <w:szCs w:val="21"/>
          <w:lang w:bidi="ar"/>
        </w:rPr>
        <w:t>12</w:t>
      </w:r>
      <w:r>
        <w:rPr>
          <w:rFonts w:cs="宋体" w:hint="eastAsia"/>
          <w:color w:val="000000"/>
          <w:szCs w:val="21"/>
          <w:lang w:bidi="ar"/>
        </w:rPr>
        <w:t>小时，故障恢复时间小于</w:t>
      </w:r>
      <w:r>
        <w:rPr>
          <w:rFonts w:cs="宋体"/>
          <w:color w:val="000000"/>
          <w:szCs w:val="21"/>
          <w:lang w:bidi="ar"/>
        </w:rPr>
        <w:t>1</w:t>
      </w:r>
      <w:r>
        <w:rPr>
          <w:rFonts w:cs="宋体" w:hint="eastAsia"/>
          <w:color w:val="000000"/>
          <w:szCs w:val="21"/>
          <w:lang w:bidi="ar"/>
        </w:rPr>
        <w:t>小时。</w:t>
      </w:r>
      <w:r>
        <w:rPr>
          <w:rFonts w:cs="宋体"/>
          <w:color w:val="000000"/>
          <w:szCs w:val="21"/>
          <w:lang w:bidi="ar"/>
        </w:rPr>
        <w:t>7×24</w:t>
      </w:r>
      <w:r>
        <w:rPr>
          <w:rFonts w:cs="宋体" w:hint="eastAsia"/>
          <w:color w:val="000000"/>
          <w:szCs w:val="21"/>
          <w:lang w:bidi="ar"/>
        </w:rPr>
        <w:t>小时运行期间，平均故障间隔时间不小于</w:t>
      </w:r>
      <w:r>
        <w:rPr>
          <w:rFonts w:cs="宋体"/>
          <w:color w:val="000000"/>
          <w:szCs w:val="21"/>
          <w:lang w:bidi="ar"/>
        </w:rPr>
        <w:t>1</w:t>
      </w:r>
      <w:r>
        <w:rPr>
          <w:rFonts w:cs="宋体" w:hint="eastAsia"/>
          <w:color w:val="000000"/>
          <w:szCs w:val="21"/>
          <w:lang w:bidi="ar"/>
        </w:rPr>
        <w:t>个月。</w:t>
      </w:r>
    </w:p>
    <w:p>
      <w:pPr>
        <w:numPr>
          <w:ilvl w:val="0"/>
          <w:numId w:val="5"/>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易用性要求</w:t>
      </w:r>
    </w:p>
    <w:p>
      <w:pPr>
        <w:snapToGrid w:val="0"/>
        <w:spacing w:line="360" w:lineRule="auto"/>
        <w:ind w:firstLine="420" w:firstLineChars="200"/>
        <w:rPr>
          <w:color w:val="000000"/>
          <w:szCs w:val="21"/>
        </w:rPr>
      </w:pPr>
      <w:r>
        <w:rPr>
          <w:rFonts w:cs="宋体" w:hint="eastAsia"/>
          <w:color w:val="000000"/>
          <w:szCs w:val="21"/>
          <w:lang w:bidi="ar"/>
        </w:rPr>
        <w:t>在日常的业务运行中，除每日少量的配置参数需要修改之外，所有功能软件无需人工干预。运行操作人员仅在系统报警提示的情况下，进行必要的人工干预和故障维修。所有的故障状态和信息都应自动记录和存储，便于事后的故障对策分析。为便于操作人员的人工干预，应提供直观、方便的操作界面。</w:t>
      </w:r>
    </w:p>
    <w:p>
      <w:pPr>
        <w:snapToGrid w:val="0"/>
        <w:spacing w:line="360" w:lineRule="auto"/>
        <w:ind w:firstLine="420" w:firstLineChars="200"/>
        <w:rPr>
          <w:color w:val="000000"/>
          <w:szCs w:val="21"/>
        </w:rPr>
      </w:pPr>
      <w:r>
        <w:rPr>
          <w:rFonts w:cs="宋体" w:hint="eastAsia"/>
          <w:color w:val="000000"/>
          <w:szCs w:val="21"/>
          <w:lang w:bidi="ar"/>
        </w:rPr>
        <w:t>系统具备完备的用户操作手册，用户手册准确无误、易读易懂，能够帮助一般用户很快地了解和使用系统；备有联机帮助命令，具有检索和导引功能，能够很方便地查到系统的主要信息。</w:t>
      </w:r>
    </w:p>
    <w:p>
      <w:pPr>
        <w:snapToGrid w:val="0"/>
        <w:spacing w:line="360" w:lineRule="auto"/>
        <w:ind w:firstLine="420" w:firstLineChars="200"/>
        <w:rPr>
          <w:color w:val="000000"/>
          <w:szCs w:val="21"/>
        </w:rPr>
      </w:pPr>
      <w:r>
        <w:rPr>
          <w:rFonts w:cs="宋体" w:hint="eastAsia"/>
          <w:color w:val="000000"/>
          <w:szCs w:val="21"/>
          <w:lang w:bidi="ar"/>
        </w:rPr>
        <w:t>操作界面是图形化的，且具有菜单和快捷键及命令行等多种方式；操作命令或菜单选择是可导引的，即可引导用户输入正确、完整的命令或完成正确的菜单选择。</w:t>
      </w:r>
    </w:p>
    <w:p>
      <w:pPr>
        <w:numPr>
          <w:ilvl w:val="0"/>
          <w:numId w:val="5"/>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扩展性要求</w:t>
      </w:r>
    </w:p>
    <w:p>
      <w:pPr>
        <w:snapToGrid w:val="0"/>
        <w:spacing w:line="360" w:lineRule="auto"/>
        <w:ind w:firstLine="420" w:firstLineChars="200"/>
        <w:rPr>
          <w:color w:val="000000"/>
          <w:szCs w:val="21"/>
        </w:rPr>
      </w:pPr>
      <w:r>
        <w:rPr>
          <w:rFonts w:cs="宋体" w:hint="eastAsia"/>
          <w:color w:val="000000"/>
          <w:szCs w:val="21"/>
          <w:lang w:bidi="ar"/>
        </w:rPr>
        <w:t>系统能够适应将来可能出现的新数据业务的接入需求，在接入新增业务时不需要改造原软件系统，根据预留接口和业务参数驱动，能实现新业务功能模块的接入。满足不断增长的数据管理需求、终端用户需求、功能类型需求等。系统须具备良好的开放性，在标准接口和组件的支撑下，支持第三方用户的快速开发接入。</w:t>
      </w:r>
    </w:p>
    <w:p>
      <w:pPr>
        <w:numPr>
          <w:ilvl w:val="0"/>
          <w:numId w:val="5"/>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维护性要求</w:t>
      </w:r>
    </w:p>
    <w:p>
      <w:pPr>
        <w:snapToGrid w:val="0"/>
        <w:spacing w:line="360" w:lineRule="auto"/>
        <w:ind w:firstLine="420" w:firstLineChars="200"/>
        <w:rPr>
          <w:rFonts w:cs="宋体"/>
          <w:color w:val="000000"/>
          <w:szCs w:val="21"/>
          <w:lang w:bidi="ar"/>
        </w:rPr>
      </w:pPr>
      <w:r>
        <w:rPr>
          <w:rFonts w:cs="宋体" w:hint="eastAsia"/>
          <w:color w:val="000000"/>
          <w:szCs w:val="21"/>
          <w:lang w:bidi="ar"/>
        </w:rPr>
        <w:t>提供详细的维护手册。</w:t>
      </w:r>
    </w:p>
    <w:p>
      <w:pPr>
        <w:snapToGrid w:val="0"/>
        <w:spacing w:line="360" w:lineRule="auto"/>
        <w:ind w:firstLine="420" w:firstLineChars="200"/>
        <w:rPr>
          <w:rFonts w:cs="宋体"/>
          <w:color w:val="000000"/>
          <w:szCs w:val="21"/>
          <w:lang w:bidi="ar"/>
        </w:rPr>
      </w:pPr>
      <w:r>
        <w:rPr>
          <w:rFonts w:cs="宋体" w:hint="eastAsia"/>
          <w:color w:val="000000"/>
          <w:szCs w:val="21"/>
          <w:lang w:bidi="ar"/>
        </w:rPr>
        <w:t>系统能够捕获到的计算机系统故障或应用软件错误并以适当的形式记录或向操作员发送错误状态报告；处理软件的任务及其任务环境参数可从外部配置和修改，并可从数据库中自动生成。</w:t>
      </w:r>
    </w:p>
    <w:p>
      <w:pPr>
        <w:numPr>
          <w:ilvl w:val="0"/>
          <w:numId w:val="5"/>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安全性要求</w:t>
      </w:r>
    </w:p>
    <w:p>
      <w:pPr>
        <w:snapToGrid w:val="0"/>
        <w:spacing w:line="360" w:lineRule="auto"/>
        <w:ind w:firstLine="420" w:firstLineChars="200"/>
        <w:rPr>
          <w:rFonts w:cs="宋体"/>
          <w:color w:val="000000"/>
          <w:szCs w:val="21"/>
          <w:lang w:bidi="ar"/>
        </w:rPr>
      </w:pPr>
      <w:r>
        <w:rPr>
          <w:rFonts w:cs="宋体" w:hint="eastAsia"/>
          <w:color w:val="000000"/>
          <w:szCs w:val="21"/>
          <w:lang w:bidi="ar"/>
        </w:rPr>
        <w:t>系统需要具备抵御网络病毒、黑客袭击的措施与隔离攻击、快速恢复机制，具备多种、分级别的数据安全保护措施并形成有效运行机制。</w:t>
      </w:r>
    </w:p>
    <w:p>
      <w:pPr>
        <w:snapToGrid w:val="0"/>
        <w:spacing w:line="360" w:lineRule="auto"/>
        <w:ind w:firstLine="420" w:firstLineChars="200"/>
        <w:rPr>
          <w:rFonts w:cs="宋体"/>
          <w:color w:val="000000"/>
          <w:szCs w:val="21"/>
          <w:lang w:bidi="ar"/>
        </w:rPr>
      </w:pPr>
      <w:r>
        <w:rPr>
          <w:rFonts w:cs="宋体" w:hint="eastAsia"/>
          <w:color w:val="000000"/>
          <w:szCs w:val="21"/>
          <w:lang w:bidi="ar"/>
        </w:rPr>
        <w:t>中标方需通过甲方的网络安全漏洞扫描，确保无中高危漏洞；在重大活动保障期间，需配合实时安全防护调整。若因乙方漏洞导致事故，需承担违约责任。</w:t>
      </w:r>
    </w:p>
    <w:p>
      <w:pPr>
        <w:snapToGrid w:val="0"/>
        <w:spacing w:line="360" w:lineRule="auto"/>
        <w:ind w:firstLine="420" w:firstLineChars="200"/>
        <w:rPr>
          <w:rFonts w:cs="宋体"/>
          <w:color w:val="000000"/>
          <w:szCs w:val="21"/>
          <w:lang w:bidi="ar"/>
        </w:rPr>
      </w:pPr>
      <w:r>
        <w:rPr>
          <w:rFonts w:cs="宋体" w:hint="eastAsia"/>
          <w:color w:val="000000"/>
          <w:szCs w:val="21"/>
          <w:lang w:bidi="ar"/>
        </w:rPr>
        <w:t>开发技术选型：技术选型需支持国产化环境（如麒麟OS），根据甲方要求进行国产化适配性改造。</w:t>
      </w:r>
    </w:p>
    <w:p>
      <w:pPr>
        <w:numPr>
          <w:ilvl w:val="0"/>
          <w:numId w:val="5"/>
        </w:numPr>
        <w:spacing w:line="360" w:lineRule="auto"/>
        <w:ind w:left="851"/>
        <w:rPr>
          <w:rFonts w:ascii="宋体" w:hAnsi="宋体" w:cs="宋体"/>
          <w:b/>
          <w:bCs/>
          <w:color w:val="000000"/>
          <w:kern w:val="0"/>
          <w:szCs w:val="21"/>
        </w:rPr>
      </w:pPr>
      <w:r>
        <w:rPr>
          <w:rFonts w:ascii="宋体" w:hAnsi="宋体" w:cs="宋体" w:hint="eastAsia"/>
          <w:b/>
          <w:bCs/>
          <w:color w:val="000000"/>
          <w:kern w:val="0"/>
          <w:szCs w:val="21"/>
        </w:rPr>
        <w:t>界面要求</w:t>
      </w:r>
    </w:p>
    <w:p>
      <w:pPr>
        <w:snapToGrid w:val="0"/>
        <w:spacing w:line="360" w:lineRule="auto"/>
        <w:ind w:firstLine="420" w:firstLineChars="200"/>
        <w:rPr>
          <w:rFonts w:ascii="宋体" w:hAnsi="宋体" w:cs="宋体"/>
          <w:color w:val="000000"/>
          <w:szCs w:val="21"/>
          <w:lang w:bidi="ar"/>
        </w:rPr>
      </w:pPr>
      <w:r>
        <w:rPr>
          <w:rFonts w:ascii="宋体" w:hAnsi="宋体" w:cs="宋体" w:hint="eastAsia"/>
          <w:color w:val="000000"/>
          <w:szCs w:val="21"/>
          <w:lang w:bidi="ar"/>
        </w:rPr>
        <w:t>系统界面设计需要简洁、便于使用、便于理解、并能减少用户发生错误选择的可能性。系统能够保证用户在10分钟内即能理解页面上的操作。</w:t>
      </w:r>
    </w:p>
    <w:p>
      <w:pPr>
        <w:snapToGrid w:val="0"/>
        <w:spacing w:line="360" w:lineRule="auto"/>
        <w:ind w:firstLine="420" w:firstLineChars="200"/>
        <w:rPr>
          <w:rFonts w:ascii="宋体" w:hAnsi="宋体" w:cs="宋体"/>
          <w:color w:val="000000"/>
          <w:szCs w:val="21"/>
          <w:lang w:bidi="ar"/>
        </w:rPr>
      </w:pPr>
      <w:r>
        <w:rPr>
          <w:rFonts w:ascii="宋体" w:hAnsi="宋体" w:cs="宋体" w:hint="eastAsia"/>
          <w:color w:val="000000"/>
          <w:szCs w:val="21"/>
          <w:lang w:bidi="ar"/>
        </w:rPr>
        <w:t>系统界面要具备友好性、人性化的提示。系统界面结构清晰且所用的术语要保持一致，风格必须与内容相一致，界面的色调字体也要保持一致，系统界面风格需符合观测一体化业务平台的界面风格规范。</w:t>
      </w:r>
    </w:p>
    <w:p>
      <w:pPr>
        <w:spacing w:line="360" w:lineRule="auto"/>
        <w:ind w:firstLine="420" w:firstLineChars="200"/>
        <w:outlineLvl w:val="2"/>
        <w:rPr>
          <w:rFonts w:ascii="宋体" w:hAnsi="宋体" w:cs="宋体"/>
          <w:b/>
          <w:color w:val="000000"/>
          <w:kern w:val="0"/>
          <w:szCs w:val="21"/>
        </w:rPr>
      </w:pPr>
      <w:r>
        <w:rPr>
          <w:rFonts w:ascii="宋体" w:hAnsi="宋体" w:cs="宋体" w:hint="eastAsia"/>
          <w:b/>
          <w:color w:val="000000"/>
          <w:kern w:val="0"/>
          <w:szCs w:val="21"/>
          <w:lang w:bidi="ar"/>
        </w:rPr>
        <w:t>三、检验考核要求</w:t>
      </w:r>
    </w:p>
    <w:p>
      <w:pPr>
        <w:snapToGrid w:val="0"/>
        <w:spacing w:line="360" w:lineRule="auto"/>
        <w:ind w:firstLine="420" w:firstLineChars="200"/>
        <w:rPr>
          <w:rFonts w:cs="宋体"/>
          <w:color w:val="000000"/>
          <w:szCs w:val="21"/>
          <w:lang w:bidi="ar"/>
        </w:rPr>
      </w:pPr>
      <w:r>
        <w:rPr>
          <w:rFonts w:cs="宋体" w:hint="eastAsia"/>
          <w:color w:val="000000"/>
          <w:szCs w:val="21"/>
          <w:lang w:bidi="ar"/>
        </w:rPr>
        <w:t>在系统交付验收前，甲方可提出对本系统功能的需求的变更，不超过原开发量的20%。</w:t>
      </w:r>
    </w:p>
    <w:p>
      <w:pPr>
        <w:snapToGrid w:val="0"/>
        <w:spacing w:line="360" w:lineRule="auto"/>
        <w:ind w:firstLine="420" w:firstLineChars="200"/>
        <w:rPr>
          <w:rFonts w:cs="宋体"/>
          <w:color w:val="000000"/>
          <w:szCs w:val="21"/>
          <w:lang w:bidi="ar"/>
        </w:rPr>
      </w:pPr>
      <w:r>
        <w:rPr>
          <w:rFonts w:cs="宋体" w:hint="eastAsia"/>
          <w:color w:val="000000"/>
          <w:szCs w:val="21"/>
          <w:lang w:bidi="ar"/>
        </w:rPr>
        <w:t>乙方在合同有效期范围内应遵守相关网络安全管理、气象资料数据安全等要求和规定，在项目实施过程中应按甲方规定要求保证终端设备接入气象内网网络安全，不得预置安全漏洞和恶意代码，应按照甲方要求对服务器及个人终端进行漏洞修复，无法修复的漏洞应及时向甲方报备。</w:t>
      </w:r>
    </w:p>
    <w:p>
      <w:pPr>
        <w:snapToGrid w:val="0"/>
        <w:spacing w:line="360" w:lineRule="auto"/>
        <w:ind w:firstLine="420" w:firstLineChars="200"/>
        <w:outlineLvl w:val="9"/>
        <w:rPr>
          <w:rFonts w:ascii="宋体" w:hAnsi="宋体" w:cs="宋体"/>
          <w:b/>
          <w:color w:val="000000"/>
          <w:kern w:val="0"/>
          <w:szCs w:val="21"/>
          <w:highlight w:val="yellow"/>
          <w:lang w:bidi="ar"/>
        </w:rPr>
      </w:pPr>
      <w:r>
        <w:rPr>
          <w:rFonts w:cs="宋体" w:hint="eastAsia"/>
          <w:color w:val="000000"/>
          <w:szCs w:val="21"/>
          <w:lang w:bidi="ar"/>
        </w:rPr>
        <w:t>项目进入交付阶段后，中标方根据可行性研究报告、合同中涉及的相关技术指标形成验收方案。在招标方指定地点，中标方进行现场安装调试，并开展至少</w:t>
      </w:r>
      <w:r>
        <w:rPr>
          <w:color w:val="000000"/>
          <w:szCs w:val="21"/>
          <w:lang w:bidi="ar"/>
        </w:rPr>
        <w:t>1</w:t>
      </w:r>
      <w:r>
        <w:rPr>
          <w:rFonts w:ascii="宋体" w:hAnsi="宋体" w:cs="宋体" w:hint="eastAsia"/>
          <w:color w:val="000000"/>
          <w:szCs w:val="21"/>
          <w:lang w:bidi="ar"/>
        </w:rPr>
        <w:t>个月的试运行。试运行结束后，中标方提供自测试报告、使用手册等文件供招标方审查。审查通过后，在招标方代表在场的情况下，依据验收方案中相关要求和技术指标对各子项目进行测试并形成测试报告，如果未能通过测试，待中标方整改后择日重新进行测试和验收，由此增加的一切费用由中标方承担。</w:t>
      </w:r>
    </w:p>
    <w:p>
      <w:pPr>
        <w:spacing w:line="360" w:lineRule="auto"/>
        <w:ind w:firstLine="420" w:firstLineChars="200"/>
        <w:outlineLvl w:val="2"/>
        <w:rPr>
          <w:rFonts w:ascii="宋体" w:hAnsi="宋体" w:cs="宋体"/>
          <w:b/>
          <w:color w:val="000000"/>
          <w:kern w:val="0"/>
          <w:szCs w:val="21"/>
          <w:highlight w:val="none"/>
        </w:rPr>
      </w:pPr>
      <w:r>
        <w:rPr>
          <w:rFonts w:ascii="宋体" w:hAnsi="宋体" w:cs="宋体" w:hint="eastAsia"/>
          <w:b/>
          <w:color w:val="000000"/>
          <w:kern w:val="0"/>
          <w:szCs w:val="21"/>
          <w:highlight w:val="none"/>
          <w:lang w:bidi="ar"/>
        </w:rPr>
        <w:t>四、培训</w:t>
      </w:r>
    </w:p>
    <w:p>
      <w:pPr>
        <w:snapToGrid w:val="0"/>
        <w:spacing w:line="360" w:lineRule="auto"/>
        <w:ind w:firstLine="420" w:firstLineChars="200"/>
        <w:rPr>
          <w:color w:val="000000"/>
          <w:szCs w:val="21"/>
          <w:highlight w:val="none"/>
        </w:rPr>
      </w:pPr>
      <w:r>
        <w:rPr>
          <w:color w:val="000000"/>
          <w:szCs w:val="21"/>
          <w:highlight w:val="none"/>
          <w:lang w:bidi="ar"/>
        </w:rPr>
        <w:t>1</w:t>
      </w:r>
      <w:r>
        <w:rPr>
          <w:rFonts w:cs="宋体" w:hint="eastAsia"/>
          <w:color w:val="000000"/>
          <w:szCs w:val="21"/>
          <w:highlight w:val="none"/>
          <w:lang w:bidi="ar"/>
        </w:rPr>
        <w:t>、培训方式为现场培训。</w:t>
      </w:r>
    </w:p>
    <w:p>
      <w:pPr>
        <w:snapToGrid w:val="0"/>
        <w:spacing w:line="360" w:lineRule="auto"/>
        <w:ind w:firstLine="420" w:firstLineChars="200"/>
        <w:rPr>
          <w:color w:val="000000"/>
          <w:szCs w:val="21"/>
          <w:highlight w:val="none"/>
        </w:rPr>
      </w:pPr>
      <w:r>
        <w:rPr>
          <w:color w:val="000000"/>
          <w:szCs w:val="21"/>
          <w:highlight w:val="none"/>
          <w:lang w:bidi="ar"/>
        </w:rPr>
        <w:t>2</w:t>
      </w:r>
      <w:r>
        <w:rPr>
          <w:rFonts w:cs="宋体" w:hint="eastAsia"/>
          <w:color w:val="000000"/>
          <w:szCs w:val="21"/>
          <w:highlight w:val="none"/>
          <w:lang w:bidi="ar"/>
        </w:rPr>
        <w:t>、培训应确保每一位系统用户能够独立、熟练地完成操作，并能够独立处理简单故障和进行功能调整。</w:t>
      </w:r>
    </w:p>
    <w:p>
      <w:pPr>
        <w:snapToGrid w:val="0"/>
        <w:spacing w:line="360" w:lineRule="auto"/>
        <w:ind w:firstLine="420" w:firstLineChars="200"/>
        <w:rPr>
          <w:color w:val="000000"/>
          <w:szCs w:val="21"/>
          <w:highlight w:val="none"/>
        </w:rPr>
      </w:pPr>
      <w:r>
        <w:rPr>
          <w:color w:val="000000"/>
          <w:szCs w:val="21"/>
          <w:highlight w:val="none"/>
          <w:lang w:bidi="ar"/>
        </w:rPr>
        <w:t>3</w:t>
      </w:r>
      <w:r>
        <w:rPr>
          <w:rFonts w:cs="宋体" w:hint="eastAsia"/>
          <w:color w:val="000000"/>
          <w:szCs w:val="21"/>
          <w:highlight w:val="none"/>
          <w:lang w:bidi="ar"/>
        </w:rPr>
        <w:t>、培训在招标方指定地点进行；培训讲师为项目主要开发人员；培训内容包括日常操作、维护、常见故障排除、紧急情况处理等；培训应采取课堂讲解和实操训练相结合的方式。</w:t>
      </w:r>
    </w:p>
    <w:p>
      <w:pPr>
        <w:snapToGrid w:val="0"/>
        <w:spacing w:line="360" w:lineRule="auto"/>
        <w:ind w:firstLine="420" w:firstLineChars="200"/>
        <w:rPr>
          <w:color w:val="000000"/>
          <w:szCs w:val="21"/>
          <w:highlight w:val="none"/>
        </w:rPr>
      </w:pPr>
      <w:r>
        <w:rPr>
          <w:color w:val="000000"/>
          <w:szCs w:val="21"/>
          <w:highlight w:val="none"/>
          <w:lang w:bidi="ar"/>
        </w:rPr>
        <w:t>4</w:t>
      </w:r>
      <w:r>
        <w:rPr>
          <w:rFonts w:cs="宋体" w:hint="eastAsia"/>
          <w:color w:val="000000"/>
          <w:szCs w:val="21"/>
          <w:highlight w:val="none"/>
          <w:lang w:bidi="ar"/>
        </w:rPr>
        <w:t>、中标方负责搭建培训所需的环境，并提供培训教材等相关用品。</w:t>
      </w:r>
    </w:p>
    <w:p>
      <w:pPr>
        <w:snapToGrid w:val="0"/>
        <w:spacing w:line="360" w:lineRule="auto"/>
        <w:ind w:firstLine="420" w:firstLineChars="200"/>
        <w:rPr>
          <w:color w:val="000000"/>
          <w:szCs w:val="21"/>
          <w:highlight w:val="none"/>
        </w:rPr>
      </w:pPr>
      <w:r>
        <w:rPr>
          <w:color w:val="000000"/>
          <w:szCs w:val="21"/>
          <w:highlight w:val="none"/>
          <w:lang w:bidi="ar"/>
        </w:rPr>
        <w:t>5</w:t>
      </w:r>
      <w:r>
        <w:rPr>
          <w:rFonts w:cs="宋体" w:hint="eastAsia"/>
          <w:color w:val="000000"/>
          <w:szCs w:val="21"/>
          <w:highlight w:val="none"/>
          <w:lang w:bidi="ar"/>
        </w:rPr>
        <w:t>、参加培训人员的差旅食宿费用自理，中标方承担培训产生的场地、教师、培训资料、消耗品等一切费用。</w:t>
      </w:r>
    </w:p>
    <w:p>
      <w:pPr>
        <w:spacing w:line="360" w:lineRule="auto"/>
        <w:ind w:firstLine="420" w:firstLineChars="200"/>
        <w:outlineLvl w:val="2"/>
        <w:rPr>
          <w:b/>
          <w:color w:val="000000"/>
          <w:kern w:val="0"/>
          <w:szCs w:val="21"/>
        </w:rPr>
      </w:pPr>
      <w:r>
        <w:rPr>
          <w:rFonts w:cs="宋体" w:hint="eastAsia"/>
          <w:b/>
          <w:color w:val="000000"/>
          <w:kern w:val="0"/>
          <w:szCs w:val="21"/>
          <w:lang w:bidi="ar"/>
        </w:rPr>
        <w:t>五、售后服务</w:t>
      </w:r>
    </w:p>
    <w:p>
      <w:pPr>
        <w:snapToGrid w:val="0"/>
        <w:spacing w:line="360" w:lineRule="auto"/>
        <w:ind w:firstLine="420" w:firstLineChars="200"/>
        <w:rPr>
          <w:color w:val="000000"/>
          <w:szCs w:val="21"/>
          <w:highlight w:val="none"/>
        </w:rPr>
      </w:pPr>
      <w:r>
        <w:rPr>
          <w:rFonts w:cs="宋体" w:hint="eastAsia"/>
          <w:color w:val="000000"/>
          <w:szCs w:val="21"/>
          <w:highlight w:val="none"/>
          <w:lang w:bidi="ar"/>
        </w:rPr>
        <w:t>通过验收之日起，中标方提供</w:t>
      </w:r>
      <w:r>
        <w:rPr>
          <w:rFonts w:cs="宋体"/>
          <w:color w:val="000000"/>
          <w:szCs w:val="21"/>
          <w:highlight w:val="none"/>
          <w:lang w:bidi="ar"/>
        </w:rPr>
        <w:t>2</w:t>
      </w:r>
      <w:r>
        <w:rPr>
          <w:rFonts w:cs="宋体" w:hint="eastAsia"/>
          <w:color w:val="000000"/>
          <w:szCs w:val="21"/>
          <w:highlight w:val="none"/>
          <w:lang w:bidi="ar"/>
        </w:rPr>
        <w:t>年</w:t>
      </w:r>
      <w:r>
        <w:rPr>
          <w:rFonts w:cs="宋体" w:hint="eastAsia"/>
          <w:color w:val="000000"/>
          <w:szCs w:val="21"/>
          <w:highlight w:val="none"/>
          <w:lang w:val="en-US" w:eastAsia="zh-CN" w:bidi="ar"/>
        </w:rPr>
        <w:t>免费</w:t>
      </w:r>
      <w:r>
        <w:rPr>
          <w:rFonts w:cs="宋体" w:hint="eastAsia"/>
          <w:color w:val="000000"/>
          <w:szCs w:val="21"/>
          <w:highlight w:val="none"/>
          <w:lang w:bidi="ar"/>
        </w:rPr>
        <w:t>技术支持服务。</w:t>
      </w:r>
    </w:p>
    <w:p>
      <w:pPr>
        <w:snapToGrid w:val="0"/>
        <w:spacing w:line="360" w:lineRule="auto"/>
        <w:ind w:firstLine="420" w:firstLineChars="200"/>
        <w:rPr>
          <w:rFonts w:ascii="宋体" w:hAnsi="宋体" w:cs="宋体"/>
          <w:color w:val="000000"/>
          <w:szCs w:val="21"/>
          <w:highlight w:val="none"/>
          <w:lang w:bidi="ar"/>
        </w:rPr>
      </w:pPr>
      <w:r>
        <w:rPr>
          <w:rFonts w:cs="宋体" w:hint="eastAsia"/>
          <w:color w:val="000000"/>
          <w:szCs w:val="21"/>
          <w:highlight w:val="none"/>
          <w:lang w:bidi="ar"/>
        </w:rPr>
        <w:t>中标</w:t>
      </w:r>
      <w:bookmarkStart w:id="62" w:name="OLE_LINK8"/>
      <w:r>
        <w:rPr>
          <w:rFonts w:cs="宋体" w:hint="eastAsia"/>
          <w:color w:val="000000"/>
          <w:szCs w:val="21"/>
          <w:highlight w:val="none"/>
          <w:lang w:bidi="ar"/>
        </w:rPr>
        <w:t>方</w:t>
      </w:r>
      <w:bookmarkEnd w:id="62"/>
      <w:r>
        <w:rPr>
          <w:rFonts w:cs="宋体" w:hint="eastAsia"/>
          <w:color w:val="000000"/>
          <w:szCs w:val="21"/>
          <w:highlight w:val="none"/>
          <w:lang w:bidi="ar"/>
        </w:rPr>
        <w:t>技术人员应随时进行电话应答；</w:t>
      </w:r>
      <w:r>
        <w:rPr>
          <w:color w:val="000000"/>
          <w:szCs w:val="21"/>
          <w:highlight w:val="none"/>
          <w:lang w:bidi="ar"/>
        </w:rPr>
        <w:t>30</w:t>
      </w:r>
      <w:r>
        <w:rPr>
          <w:rFonts w:cs="宋体" w:hint="eastAsia"/>
          <w:color w:val="000000"/>
          <w:szCs w:val="21"/>
          <w:highlight w:val="none"/>
          <w:lang w:bidi="ar"/>
        </w:rPr>
        <w:t>分钟内完成远程登陆诊断。需要现场解决的问题，中标方技术人员须在</w:t>
      </w:r>
      <w:r>
        <w:rPr>
          <w:color w:val="000000"/>
          <w:szCs w:val="21"/>
          <w:highlight w:val="none"/>
          <w:lang w:bidi="ar"/>
        </w:rPr>
        <w:t>24</w:t>
      </w:r>
      <w:r>
        <w:rPr>
          <w:rFonts w:cs="宋体" w:hint="eastAsia"/>
          <w:color w:val="000000"/>
          <w:szCs w:val="21"/>
          <w:highlight w:val="none"/>
          <w:lang w:bidi="ar"/>
        </w:rPr>
        <w:t>小时内达到中国气象局现场，并</w:t>
      </w:r>
      <w:r>
        <w:rPr>
          <w:rFonts w:ascii="宋体" w:hAnsi="宋体" w:cs="宋体" w:hint="eastAsia"/>
          <w:color w:val="000000"/>
          <w:szCs w:val="21"/>
          <w:highlight w:val="none"/>
          <w:lang w:bidi="ar"/>
        </w:rPr>
        <w:t>提供超过质保期后的技术跟踪服务，包含电话疑难问题解答、远程技术指导等。</w:t>
      </w:r>
    </w:p>
    <w:p>
      <w:pPr>
        <w:spacing w:line="360" w:lineRule="auto"/>
        <w:ind w:firstLine="420" w:firstLineChars="200"/>
        <w:outlineLvl w:val="2"/>
        <w:rPr>
          <w:rFonts w:cs="宋体"/>
          <w:b/>
          <w:color w:val="000000"/>
          <w:kern w:val="0"/>
          <w:szCs w:val="21"/>
          <w:lang w:bidi="ar"/>
        </w:rPr>
      </w:pPr>
      <w:r>
        <w:rPr>
          <w:rFonts w:cs="宋体" w:hint="eastAsia"/>
          <w:b/>
          <w:color w:val="000000"/>
          <w:kern w:val="0"/>
          <w:szCs w:val="21"/>
          <w:lang w:bidi="ar"/>
        </w:rPr>
        <w:t>六、人员要求</w:t>
      </w:r>
    </w:p>
    <w:p>
      <w:pPr>
        <w:snapToGrid w:val="0"/>
        <w:spacing w:line="360" w:lineRule="auto"/>
        <w:ind w:firstLine="420" w:firstLineChars="200"/>
        <w:rPr>
          <w:rFonts w:cs="宋体"/>
          <w:highlight w:val="none"/>
          <w:lang w:bidi="ar"/>
        </w:rPr>
      </w:pPr>
      <w:r>
        <w:rPr>
          <w:rFonts w:cs="宋体" w:hint="eastAsia"/>
          <w:highlight w:val="none"/>
          <w:lang w:bidi="ar"/>
        </w:rPr>
        <w:t>服务期内，中标</w:t>
      </w:r>
      <w:r>
        <w:rPr>
          <w:rFonts w:cs="宋体" w:hint="eastAsia"/>
          <w:color w:val="auto"/>
          <w:szCs w:val="21"/>
          <w:highlight w:val="none"/>
          <w:lang w:bidi="ar"/>
        </w:rPr>
        <w:t>方应配备至少</w:t>
      </w:r>
      <w:r>
        <w:rPr>
          <w:rFonts w:cs="宋体"/>
          <w:color w:val="auto"/>
          <w:szCs w:val="21"/>
          <w:highlight w:val="none"/>
          <w:lang w:bidi="ar"/>
        </w:rPr>
        <w:t>8</w:t>
      </w:r>
      <w:r>
        <w:rPr>
          <w:rFonts w:cs="宋体" w:hint="eastAsia"/>
          <w:color w:val="auto"/>
          <w:szCs w:val="21"/>
          <w:highlight w:val="none"/>
          <w:lang w:bidi="ar"/>
        </w:rPr>
        <w:t>人，其中至少</w:t>
      </w:r>
      <w:r>
        <w:rPr>
          <w:rFonts w:cs="宋体" w:hint="eastAsia"/>
          <w:highlight w:val="none"/>
          <w:lang w:bidi="ar"/>
        </w:rPr>
        <w:t>2</w:t>
      </w:r>
      <w:r>
        <w:rPr>
          <w:rFonts w:cs="宋体" w:hint="eastAsia"/>
          <w:color w:val="auto"/>
          <w:szCs w:val="21"/>
          <w:highlight w:val="none"/>
          <w:lang w:bidi="ar"/>
        </w:rPr>
        <w:t>人应具有气象</w:t>
      </w:r>
      <w:r>
        <w:rPr>
          <w:rFonts w:cs="宋体"/>
          <w:color w:val="auto"/>
          <w:szCs w:val="21"/>
          <w:highlight w:val="none"/>
          <w:lang w:bidi="ar"/>
        </w:rPr>
        <w:t>/</w:t>
      </w:r>
      <w:r>
        <w:rPr>
          <w:rFonts w:cs="宋体" w:hint="eastAsia"/>
          <w:color w:val="auto"/>
          <w:szCs w:val="21"/>
          <w:highlight w:val="none"/>
          <w:lang w:bidi="ar"/>
        </w:rPr>
        <w:t>计算机</w:t>
      </w:r>
      <w:r>
        <w:rPr>
          <w:rFonts w:cs="宋体"/>
          <w:color w:val="auto"/>
          <w:szCs w:val="21"/>
          <w:highlight w:val="none"/>
          <w:lang w:bidi="ar"/>
        </w:rPr>
        <w:t>/</w:t>
      </w:r>
      <w:r>
        <w:rPr>
          <w:rFonts w:cs="宋体" w:hint="eastAsia"/>
          <w:color w:val="auto"/>
          <w:szCs w:val="21"/>
          <w:highlight w:val="none"/>
          <w:lang w:bidi="ar"/>
        </w:rPr>
        <w:t>软件工程等相关专业的副高级或以上专业技术职称</w:t>
      </w:r>
      <w:r>
        <w:rPr>
          <w:rFonts w:cs="宋体" w:hint="eastAsia"/>
          <w:highlight w:val="none"/>
          <w:lang w:bidi="ar"/>
        </w:rPr>
        <w:t>，驻场人员至少5人。</w:t>
      </w:r>
    </w:p>
    <w:p>
      <w:pPr>
        <w:spacing w:line="360" w:lineRule="auto"/>
        <w:ind w:firstLine="420" w:firstLineChars="200"/>
        <w:outlineLvl w:val="2"/>
        <w:rPr>
          <w:rFonts w:cs="宋体"/>
          <w:b/>
          <w:kern w:val="0"/>
          <w:szCs w:val="21"/>
          <w:lang w:bidi="ar"/>
        </w:rPr>
      </w:pPr>
      <w:r>
        <w:rPr>
          <w:rFonts w:cs="宋体" w:hint="eastAsia"/>
          <w:b/>
          <w:kern w:val="0"/>
          <w:szCs w:val="21"/>
          <w:lang w:bidi="ar"/>
        </w:rPr>
        <w:t>七、时间进度要求</w:t>
      </w:r>
    </w:p>
    <w:p>
      <w:pPr>
        <w:numPr>
          <w:ilvl w:val="0"/>
          <w:numId w:val="6"/>
        </w:numPr>
        <w:snapToGrid w:val="0"/>
        <w:spacing w:line="360" w:lineRule="auto"/>
        <w:ind w:firstLine="420" w:firstLineChars="200"/>
        <w:rPr>
          <w:rFonts w:cs="宋体"/>
          <w:lang w:bidi="ar"/>
        </w:rPr>
      </w:pPr>
      <w:r>
        <w:rPr>
          <w:rFonts w:cs="宋体" w:hint="eastAsia"/>
          <w:lang w:bidi="ar"/>
        </w:rPr>
        <w:t>履约时间：合同签订后9个月内完成开发部署并具备验收条件。</w:t>
      </w:r>
    </w:p>
    <w:p>
      <w:pPr>
        <w:numPr>
          <w:ilvl w:val="0"/>
          <w:numId w:val="6"/>
        </w:numPr>
        <w:snapToGrid w:val="0"/>
        <w:spacing w:line="360" w:lineRule="auto"/>
        <w:ind w:firstLine="420" w:firstLineChars="200"/>
        <w:rPr>
          <w:rFonts w:cs="宋体"/>
          <w:lang w:bidi="ar"/>
        </w:rPr>
      </w:pPr>
      <w:r>
        <w:rPr>
          <w:rFonts w:cs="宋体" w:hint="eastAsia"/>
          <w:lang w:bidi="ar"/>
        </w:rPr>
        <w:t>履约地点：中国气象局气象探测中心</w:t>
      </w:r>
    </w:p>
    <w:p>
      <w:pPr>
        <w:spacing w:line="360" w:lineRule="auto"/>
        <w:ind w:firstLine="420" w:firstLineChars="200"/>
        <w:outlineLvl w:val="2"/>
        <w:rPr>
          <w:b/>
          <w:color w:val="000000"/>
          <w:kern w:val="0"/>
          <w:szCs w:val="21"/>
        </w:rPr>
      </w:pPr>
      <w:r>
        <w:rPr>
          <w:rFonts w:cs="宋体" w:hint="eastAsia"/>
          <w:b/>
          <w:color w:val="000000"/>
          <w:kern w:val="0"/>
          <w:szCs w:val="21"/>
          <w:lang w:bidi="ar"/>
        </w:rPr>
        <w:t>八、知识产权原则</w:t>
      </w:r>
    </w:p>
    <w:p>
      <w:pPr>
        <w:snapToGrid w:val="0"/>
        <w:spacing w:line="360" w:lineRule="auto"/>
        <w:ind w:firstLine="420" w:firstLineChars="200"/>
        <w:rPr>
          <w:color w:val="000000"/>
        </w:rPr>
      </w:pPr>
      <w:r>
        <w:rPr>
          <w:color w:val="000000"/>
          <w:lang w:bidi="ar"/>
        </w:rPr>
        <w:t>1</w:t>
      </w:r>
      <w:r>
        <w:rPr>
          <w:rFonts w:cs="宋体" w:hint="eastAsia"/>
          <w:color w:val="000000"/>
          <w:lang w:bidi="ar"/>
        </w:rPr>
        <w:t>、符合法律规定及当事人约定的原则</w:t>
      </w:r>
    </w:p>
    <w:p>
      <w:pPr>
        <w:snapToGrid w:val="0"/>
        <w:spacing w:line="360" w:lineRule="auto"/>
        <w:ind w:firstLine="420" w:firstLineChars="200"/>
        <w:rPr>
          <w:color w:val="000000"/>
        </w:rPr>
      </w:pPr>
      <w:r>
        <w:rPr>
          <w:rFonts w:cs="宋体" w:hint="eastAsia"/>
          <w:color w:val="000000"/>
          <w:lang w:bidi="ar"/>
        </w:rPr>
        <w:t>任何相关事项均应当符合法律规定，及应当符合当事人的约定。</w:t>
      </w:r>
    </w:p>
    <w:p>
      <w:pPr>
        <w:snapToGrid w:val="0"/>
        <w:spacing w:line="360" w:lineRule="auto"/>
        <w:ind w:firstLine="420" w:firstLineChars="200"/>
        <w:rPr>
          <w:rFonts w:cs="宋体"/>
          <w:color w:val="000000"/>
          <w:szCs w:val="21"/>
          <w:lang w:bidi="ar"/>
        </w:rPr>
      </w:pPr>
      <w:r>
        <w:rPr>
          <w:rFonts w:cs="宋体"/>
          <w:color w:val="000000"/>
          <w:szCs w:val="21"/>
          <w:lang w:bidi="ar"/>
        </w:rPr>
        <w:t>2</w:t>
      </w:r>
      <w:r>
        <w:rPr>
          <w:rFonts w:cs="宋体" w:hint="eastAsia"/>
          <w:color w:val="000000"/>
          <w:szCs w:val="21"/>
          <w:lang w:bidi="ar"/>
        </w:rPr>
        <w:t>、开发成果归属清晰原则</w:t>
      </w:r>
    </w:p>
    <w:p>
      <w:pPr>
        <w:snapToGrid w:val="0"/>
        <w:spacing w:line="360" w:lineRule="auto"/>
        <w:ind w:firstLine="420" w:firstLineChars="200"/>
        <w:rPr>
          <w:rFonts w:cs="宋体"/>
          <w:color w:val="000000"/>
          <w:szCs w:val="21"/>
          <w:lang w:bidi="ar"/>
        </w:rPr>
      </w:pPr>
      <w:r>
        <w:rPr>
          <w:rFonts w:cs="宋体" w:hint="eastAsia"/>
          <w:color w:val="000000"/>
          <w:szCs w:val="21"/>
          <w:lang w:bidi="ar"/>
        </w:rPr>
        <w:t>全部及</w:t>
      </w:r>
      <w:r>
        <w:rPr>
          <w:rFonts w:cs="宋体"/>
          <w:color w:val="000000"/>
          <w:szCs w:val="21"/>
          <w:lang w:bidi="ar"/>
        </w:rPr>
        <w:t>/</w:t>
      </w:r>
      <w:r>
        <w:rPr>
          <w:rFonts w:cs="宋体" w:hint="eastAsia"/>
          <w:color w:val="000000"/>
          <w:szCs w:val="21"/>
          <w:lang w:bidi="ar"/>
        </w:rPr>
        <w:t>或任何部分的相关知识产权，包括相关权益，归甲方所有。中标人有不可争议的义务确保采购人依据本次采购所获得的知识产权不存在任何瑕疵并且可以不受限制地行使相关权利，包括各项延伸权利。若因此发生任何争议均应当由中标人独自承担全部及</w:t>
      </w:r>
      <w:r>
        <w:rPr>
          <w:rFonts w:cs="宋体"/>
          <w:color w:val="000000"/>
          <w:szCs w:val="21"/>
          <w:lang w:bidi="ar"/>
        </w:rPr>
        <w:t>/</w:t>
      </w:r>
      <w:r>
        <w:rPr>
          <w:rFonts w:cs="宋体" w:hint="eastAsia"/>
          <w:color w:val="000000"/>
          <w:szCs w:val="21"/>
          <w:lang w:bidi="ar"/>
        </w:rPr>
        <w:t>或任何责任，包括但不限于应当承担其自身及采购方为排除任何争议或瑕疵所应当或所需支付的一切相关</w:t>
      </w:r>
      <w:r>
        <w:rPr>
          <w:rFonts w:cs="宋体"/>
          <w:color w:val="000000"/>
          <w:szCs w:val="21"/>
          <w:lang w:bidi="ar"/>
        </w:rPr>
        <w:t>/</w:t>
      </w:r>
      <w:r>
        <w:rPr>
          <w:rFonts w:cs="宋体" w:hint="eastAsia"/>
          <w:color w:val="000000"/>
          <w:szCs w:val="21"/>
          <w:lang w:bidi="ar"/>
        </w:rPr>
        <w:t>或由此引起的费用。</w:t>
      </w:r>
    </w:p>
    <w:p>
      <w:pPr>
        <w:snapToGrid w:val="0"/>
        <w:spacing w:line="360" w:lineRule="auto"/>
        <w:ind w:firstLine="420" w:firstLineChars="200"/>
        <w:rPr>
          <w:rFonts w:cs="宋体"/>
          <w:color w:val="000000"/>
          <w:szCs w:val="21"/>
          <w:lang w:bidi="ar"/>
        </w:rPr>
      </w:pPr>
      <w:r>
        <w:rPr>
          <w:rFonts w:cs="宋体"/>
          <w:color w:val="000000"/>
          <w:szCs w:val="21"/>
          <w:lang w:bidi="ar"/>
        </w:rPr>
        <w:t>3</w:t>
      </w:r>
      <w:r>
        <w:rPr>
          <w:rFonts w:cs="宋体" w:hint="eastAsia"/>
          <w:color w:val="000000"/>
          <w:szCs w:val="21"/>
          <w:lang w:bidi="ar"/>
        </w:rPr>
        <w:t>、保护知识产权原则</w:t>
      </w:r>
    </w:p>
    <w:p>
      <w:pPr>
        <w:spacing w:line="360" w:lineRule="auto"/>
        <w:ind w:firstLine="420" w:firstLineChars="200"/>
      </w:pPr>
      <w:r>
        <w:rPr>
          <w:rFonts w:cs="宋体" w:hint="eastAsia"/>
          <w:color w:val="000000"/>
          <w:szCs w:val="21"/>
          <w:lang w:bidi="ar"/>
        </w:rPr>
        <w:t>中标人应当保证其有关参与本次采购相关的活动包括履行本次采购的任何行为，以及本次采购活动结束之后的任何涉及到本次采购的行为，均不会侵犯任何第三方的知识产权。若因此发生任何争议、侵权、均应当由中标人独自承担全部及</w:t>
      </w:r>
      <w:r>
        <w:rPr>
          <w:rFonts w:cs="宋体"/>
          <w:color w:val="000000"/>
          <w:szCs w:val="21"/>
          <w:lang w:bidi="ar"/>
        </w:rPr>
        <w:t>/</w:t>
      </w:r>
      <w:r>
        <w:rPr>
          <w:rFonts w:cs="宋体" w:hint="eastAsia"/>
          <w:color w:val="000000"/>
          <w:szCs w:val="21"/>
          <w:lang w:bidi="ar"/>
        </w:rPr>
        <w:t>或任何责任，包括但不限于应当承担其自身及采购中心为排除任何争议及</w:t>
      </w:r>
      <w:r>
        <w:rPr>
          <w:rFonts w:cs="宋体"/>
          <w:color w:val="000000"/>
          <w:szCs w:val="21"/>
          <w:lang w:bidi="ar"/>
        </w:rPr>
        <w:t>/</w:t>
      </w:r>
      <w:r>
        <w:rPr>
          <w:rFonts w:cs="宋体" w:hint="eastAsia"/>
          <w:color w:val="000000"/>
          <w:szCs w:val="21"/>
          <w:lang w:bidi="ar"/>
        </w:rPr>
        <w:t>或赔偿侵权所应当或所需支付的一切相关及</w:t>
      </w:r>
      <w:r>
        <w:rPr>
          <w:rFonts w:cs="宋体"/>
          <w:color w:val="000000"/>
          <w:szCs w:val="21"/>
          <w:lang w:bidi="ar"/>
        </w:rPr>
        <w:t>/</w:t>
      </w:r>
      <w:r>
        <w:rPr>
          <w:rFonts w:cs="宋体" w:hint="eastAsia"/>
          <w:color w:val="000000"/>
          <w:szCs w:val="21"/>
          <w:lang w:bidi="ar"/>
        </w:rPr>
        <w:t>或由此引起的费用。</w:t>
      </w:r>
    </w:p>
    <w:p>
      <w:pPr>
        <w:spacing w:line="360" w:lineRule="auto"/>
        <w:ind w:firstLine="420" w:firstLineChars="200"/>
        <w:rPr>
          <w:rFonts w:ascii="宋体" w:eastAsia="宋体" w:hAnsi="宋体" w:cs="Times New Roman"/>
          <w:szCs w:val="21"/>
        </w:rPr>
      </w:pPr>
    </w:p>
    <w:p w:rsidR="00A77B3E"/>
    <w:p>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rsidR="00487A57">
      <w:pPr>
        <w:spacing w:before="156" w:beforeLines="50" w:line="360" w:lineRule="auto"/>
        <w:jc w:val="center"/>
        <w:outlineLvl w:val="1"/>
        <w:rPr>
          <w:rFonts w:ascii="宋体" w:hAnsi="宋体"/>
          <w:b/>
          <w:sz w:val="30"/>
          <w:szCs w:val="30"/>
        </w:rPr>
      </w:pPr>
      <w:bookmarkStart w:id="63"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487A57">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6D1BC3">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487A57">
            <w:pPr>
              <w:rPr>
                <w:sz w:val="18"/>
                <w:szCs w:val="18"/>
              </w:rPr>
            </w:pPr>
            <w:r>
              <w:rPr>
                <w:rFonts w:hint="eastAsia"/>
                <w:sz w:val="18"/>
                <w:szCs w:val="18"/>
              </w:rPr>
              <w:t>序号</w:t>
            </w:r>
          </w:p>
        </w:tc>
        <w:tc>
          <w:tcPr>
            <w:tcW w:w="898" w:type="dxa"/>
            <w:vAlign w:val="center"/>
          </w:tcPr>
          <w:p w:rsidR="00487A57">
            <w:pPr>
              <w:jc w:val="center"/>
              <w:rPr>
                <w:sz w:val="18"/>
                <w:szCs w:val="18"/>
              </w:rPr>
            </w:pPr>
            <w:r>
              <w:rPr>
                <w:rFonts w:hint="eastAsia"/>
                <w:sz w:val="18"/>
                <w:szCs w:val="18"/>
              </w:rPr>
              <w:t>对应</w:t>
            </w:r>
          </w:p>
          <w:p w:rsidR="00487A57">
            <w:pPr>
              <w:jc w:val="center"/>
              <w:rPr>
                <w:sz w:val="18"/>
                <w:szCs w:val="18"/>
              </w:rPr>
            </w:pPr>
            <w:r>
              <w:rPr>
                <w:rFonts w:hint="eastAsia"/>
                <w:sz w:val="18"/>
                <w:szCs w:val="18"/>
              </w:rPr>
              <w:t>条款号</w:t>
            </w:r>
          </w:p>
        </w:tc>
        <w:tc>
          <w:tcPr>
            <w:tcW w:w="7347" w:type="dxa"/>
            <w:vAlign w:val="center"/>
          </w:tcPr>
          <w:p w:rsidR="00487A57">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6D1BC3">
        <w:tblPrEx>
          <w:tblW w:w="8789" w:type="dxa"/>
          <w:tblLayout w:type="fixed"/>
          <w:tblLook w:val="04A0"/>
        </w:tblPrEx>
        <w:trPr>
          <w:cantSplit/>
        </w:trPr>
        <w:tc>
          <w:tcPr>
            <w:tcW w:w="8789" w:type="dxa"/>
            <w:gridSpan w:val="3"/>
            <w:vAlign w:val="center"/>
          </w:tcPr>
          <w:p w:rsidR="00487A57">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6D1BC3">
        <w:tblPrEx>
          <w:tblW w:w="8789" w:type="dxa"/>
          <w:tblLayout w:type="fixed"/>
          <w:tblLook w:val="04A0"/>
        </w:tblPrEx>
        <w:trPr>
          <w:cantSplit/>
        </w:trPr>
        <w:tc>
          <w:tcPr>
            <w:tcW w:w="544" w:type="dxa"/>
            <w:vAlign w:val="center"/>
          </w:tcPr>
          <w:p w:rsidR="00487A57">
            <w:pPr>
              <w:numPr>
                <w:ilvl w:val="0"/>
                <w:numId w:val="51"/>
              </w:numPr>
              <w:rPr>
                <w:rFonts w:ascii="宋体" w:hAnsi="宋体"/>
                <w:sz w:val="18"/>
                <w:szCs w:val="18"/>
              </w:rPr>
            </w:pPr>
          </w:p>
        </w:tc>
        <w:tc>
          <w:tcPr>
            <w:tcW w:w="898" w:type="dxa"/>
            <w:vAlign w:val="center"/>
          </w:tcPr>
          <w:p w:rsidR="00487A57">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487A57">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rsidTr="006D1BC3">
        <w:tblPrEx>
          <w:tblW w:w="8789" w:type="dxa"/>
          <w:tblLayout w:type="fixed"/>
          <w:tblLook w:val="04A0"/>
        </w:tblPrEx>
        <w:trPr>
          <w:cantSplit/>
        </w:trPr>
        <w:tc>
          <w:tcPr>
            <w:tcW w:w="8789" w:type="dxa"/>
            <w:gridSpan w:val="3"/>
            <w:vAlign w:val="center"/>
          </w:tcPr>
          <w:p w:rsidR="00487A57">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6D1BC3">
        <w:tblPrEx>
          <w:tblW w:w="8789" w:type="dxa"/>
          <w:tblLayout w:type="fixed"/>
          <w:tblLook w:val="04A0"/>
        </w:tblPrEx>
        <w:trPr>
          <w:cantSplit/>
        </w:trPr>
        <w:tc>
          <w:tcPr>
            <w:tcW w:w="544" w:type="dxa"/>
            <w:vAlign w:val="center"/>
          </w:tcPr>
          <w:p w:rsidR="00487A57">
            <w:pPr>
              <w:numPr>
                <w:ilvl w:val="0"/>
                <w:numId w:val="51"/>
              </w:numPr>
              <w:rPr>
                <w:rFonts w:ascii="宋体" w:hAnsi="宋体"/>
                <w:sz w:val="18"/>
                <w:szCs w:val="18"/>
              </w:rPr>
            </w:pPr>
          </w:p>
        </w:tc>
        <w:tc>
          <w:tcPr>
            <w:tcW w:w="898" w:type="dxa"/>
            <w:vAlign w:val="center"/>
          </w:tcPr>
          <w:p w:rsidR="00487A57">
            <w:pPr>
              <w:jc w:val="center"/>
              <w:rPr>
                <w:rFonts w:ascii="宋体" w:hAnsi="宋体"/>
                <w:sz w:val="18"/>
                <w:szCs w:val="18"/>
              </w:rPr>
            </w:pPr>
          </w:p>
        </w:tc>
        <w:tc>
          <w:tcPr>
            <w:tcW w:w="7347" w:type="dxa"/>
            <w:vAlign w:val="center"/>
          </w:tcPr>
          <w:p w:rsidR="00487A57">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487A57">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487A57">
      <w:pPr>
        <w:spacing w:before="156" w:beforeLines="50" w:line="360" w:lineRule="auto"/>
        <w:ind w:firstLine="420"/>
      </w:pPr>
    </w:p>
    <w:p w:rsidR="00A77B3E"/>
    <w:p w:rsidR="00487A57">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ascii="Times New Roman" w:eastAsia="宋体" w:hAnsi="Times New Roman" w:cs="Times New Roman" w:hint="eastAsia"/>
          <w:b/>
          <w:bCs/>
          <w:szCs w:val="21"/>
        </w:rPr>
      </w:pPr>
      <w:bookmarkStart w:id="64" w:name="采购公告合同部分_ZBGGHT"/>
      <w:r>
        <w:rPr>
          <w:rFonts w:ascii="Times New Roman" w:eastAsia="宋体" w:hAnsi="Times New Roman" w:cs="Times New Roman" w:hint="eastAsia"/>
          <w:b/>
          <w:bCs/>
          <w:szCs w:val="21"/>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rPr>
      </w:pPr>
      <w:r>
        <w:rPr>
          <w:rFonts w:hint="eastAsia"/>
          <w:b/>
          <w:bCs/>
          <w:szCs w:val="21"/>
          <w:highlight w:val="none"/>
        </w:rPr>
        <w:t>必须明确合同金额支付条件及支付比例</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8"/>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8"/>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8"/>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9"/>
        </w:numPr>
        <w:spacing w:before="60" w:after="60" w:line="360" w:lineRule="auto"/>
        <w:ind w:left="840" w:hanging="840"/>
        <w:jc w:val="left"/>
        <w:outlineLvl w:val="1"/>
        <w:rPr>
          <w:rFonts w:ascii="宋体" w:eastAsia="宋体" w:hAnsi="宋体" w:cs="宋体"/>
          <w:b/>
          <w:bCs/>
          <w:szCs w:val="21"/>
        </w:rPr>
      </w:pPr>
      <w:bookmarkStart w:id="65" w:name="_Toc150439537"/>
      <w:r>
        <w:rPr>
          <w:rFonts w:ascii="宋体" w:eastAsia="宋体" w:hAnsi="宋体" w:cs="宋体" w:hint="eastAsia"/>
          <w:b/>
          <w:bCs/>
          <w:szCs w:val="21"/>
        </w:rPr>
        <w:t>项目内容及概况</w:t>
      </w:r>
      <w:bookmarkEnd w:id="65"/>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802"/>
        <w:gridCol w:w="707"/>
        <w:gridCol w:w="750"/>
        <w:gridCol w:w="1420"/>
        <w:gridCol w:w="1422"/>
        <w:gridCol w:w="142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9"/>
        </w:numPr>
        <w:spacing w:before="60" w:after="60" w:line="360" w:lineRule="auto"/>
        <w:ind w:left="840" w:hanging="840"/>
        <w:jc w:val="left"/>
        <w:outlineLvl w:val="1"/>
        <w:rPr>
          <w:rFonts w:ascii="宋体" w:eastAsia="宋体" w:hAnsi="宋体" w:cs="宋体"/>
          <w:b/>
          <w:bCs/>
          <w:szCs w:val="21"/>
        </w:rPr>
      </w:pPr>
      <w:bookmarkStart w:id="66" w:name="_Toc150439540"/>
      <w:r>
        <w:rPr>
          <w:rFonts w:ascii="宋体" w:eastAsia="宋体" w:hAnsi="宋体" w:cs="宋体" w:hint="eastAsia"/>
          <w:b/>
          <w:bCs/>
          <w:szCs w:val="21"/>
        </w:rPr>
        <w:t>项目相关标准</w:t>
      </w:r>
      <w:bookmarkEnd w:id="66"/>
    </w:p>
    <w:p>
      <w:pPr>
        <w:numPr>
          <w:ilvl w:val="0"/>
          <w:numId w:val="1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10"/>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11"/>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5"/>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9"/>
        </w:numPr>
        <w:spacing w:before="60" w:after="60" w:line="360" w:lineRule="auto"/>
        <w:ind w:left="840" w:hanging="840"/>
        <w:jc w:val="left"/>
        <w:outlineLvl w:val="1"/>
        <w:rPr>
          <w:rFonts w:ascii="宋体" w:eastAsia="宋体" w:hAnsi="宋体" w:cs="宋体"/>
          <w:b/>
          <w:bCs/>
          <w:szCs w:val="21"/>
        </w:rPr>
      </w:pPr>
      <w:bookmarkStart w:id="67" w:name="_Toc150439542"/>
      <w:r>
        <w:rPr>
          <w:rFonts w:ascii="宋体" w:eastAsia="宋体" w:hAnsi="宋体" w:cs="宋体" w:hint="eastAsia"/>
          <w:b/>
          <w:bCs/>
          <w:szCs w:val="21"/>
        </w:rPr>
        <w:t>组成本合同的文件</w:t>
      </w:r>
      <w:bookmarkEnd w:id="67"/>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17"/>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17"/>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17"/>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17"/>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17"/>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16"/>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9"/>
        </w:numPr>
        <w:spacing w:before="60" w:after="60" w:line="360" w:lineRule="auto"/>
        <w:ind w:left="840" w:hanging="840"/>
        <w:jc w:val="left"/>
        <w:outlineLvl w:val="1"/>
        <w:rPr>
          <w:rFonts w:ascii="宋体" w:eastAsia="宋体" w:hAnsi="宋体" w:cs="宋体"/>
          <w:b/>
          <w:bCs/>
          <w:szCs w:val="21"/>
        </w:rPr>
      </w:pPr>
      <w:bookmarkStart w:id="68" w:name="_Toc150439545"/>
      <w:r>
        <w:rPr>
          <w:rFonts w:ascii="宋体" w:eastAsia="宋体" w:hAnsi="宋体" w:cs="宋体" w:hint="eastAsia"/>
          <w:b/>
          <w:bCs/>
          <w:szCs w:val="21"/>
        </w:rPr>
        <w:t>合同履行地点、合同服务期</w:t>
      </w:r>
      <w:bookmarkEnd w:id="68"/>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9"/>
        </w:numPr>
        <w:spacing w:before="60" w:after="60" w:line="360" w:lineRule="auto"/>
        <w:ind w:left="840" w:hanging="840"/>
        <w:outlineLvl w:val="1"/>
        <w:rPr>
          <w:rFonts w:ascii="宋体" w:eastAsia="宋体" w:hAnsi="宋体" w:cs="宋体"/>
          <w:b/>
          <w:bCs/>
          <w:szCs w:val="21"/>
        </w:rPr>
      </w:pPr>
      <w:bookmarkStart w:id="69" w:name="_Toc150439547"/>
      <w:r>
        <w:rPr>
          <w:rFonts w:ascii="宋体" w:eastAsia="宋体" w:hAnsi="宋体" w:cs="宋体" w:hint="eastAsia"/>
          <w:b/>
          <w:bCs/>
          <w:szCs w:val="21"/>
        </w:rPr>
        <w:t>服务范围及内容</w:t>
      </w:r>
      <w:bookmarkEnd w:id="69"/>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19"/>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19"/>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9"/>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9"/>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9"/>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9"/>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19"/>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517"/>
        <w:gridCol w:w="6005"/>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9"/>
        </w:numPr>
        <w:spacing w:before="60" w:after="60" w:line="360" w:lineRule="auto"/>
        <w:ind w:left="840" w:hanging="840"/>
        <w:outlineLvl w:val="1"/>
        <w:rPr>
          <w:rFonts w:ascii="宋体" w:eastAsia="宋体" w:hAnsi="宋体" w:cs="宋体"/>
          <w:b/>
          <w:bCs/>
          <w:szCs w:val="21"/>
        </w:rPr>
      </w:pPr>
      <w:bookmarkStart w:id="70" w:name="_Toc150439549"/>
      <w:r>
        <w:rPr>
          <w:rFonts w:ascii="宋体" w:eastAsia="宋体" w:hAnsi="宋体" w:cs="宋体" w:hint="eastAsia"/>
          <w:b/>
          <w:bCs/>
          <w:szCs w:val="21"/>
        </w:rPr>
        <w:t>乙方的权利与义务</w:t>
      </w:r>
      <w:bookmarkEnd w:id="70"/>
    </w:p>
    <w:p>
      <w:pPr>
        <w:numPr>
          <w:ilvl w:val="0"/>
          <w:numId w:val="21"/>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22"/>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2"/>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22"/>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22"/>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22"/>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22"/>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1"/>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3"/>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21"/>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4"/>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4"/>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21"/>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5"/>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5"/>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5"/>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21"/>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21"/>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21"/>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21"/>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1"/>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21"/>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71" w:name="_Toc150439565"/>
      <w:r>
        <w:rPr>
          <w:rFonts w:ascii="宋体" w:eastAsia="宋体" w:hAnsi="宋体" w:cs="宋体" w:hint="eastAsia"/>
          <w:b/>
          <w:bCs/>
          <w:szCs w:val="21"/>
        </w:rPr>
        <w:t>甲方</w:t>
      </w:r>
      <w:r>
        <w:rPr>
          <w:rFonts w:ascii="宋体" w:eastAsia="宋体" w:hAnsi="宋体" w:cs="宋体"/>
          <w:b/>
          <w:bCs/>
          <w:szCs w:val="21"/>
        </w:rPr>
        <w:t>的权利与义务</w:t>
      </w:r>
      <w:bookmarkEnd w:id="71"/>
    </w:p>
    <w:p>
      <w:pPr>
        <w:numPr>
          <w:ilvl w:val="0"/>
          <w:numId w:val="26"/>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27"/>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7"/>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7"/>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6"/>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26"/>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6"/>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28"/>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28"/>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28"/>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28"/>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28"/>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30"/>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30"/>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30"/>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30"/>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29"/>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31"/>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31"/>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31"/>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72" w:name="_Toc150439567"/>
      <w:r>
        <w:rPr>
          <w:rFonts w:ascii="宋体" w:eastAsia="宋体" w:hAnsi="宋体" w:cs="宋体" w:hint="eastAsia"/>
          <w:b/>
          <w:bCs/>
          <w:szCs w:val="21"/>
        </w:rPr>
        <w:t>项目交付</w:t>
      </w:r>
      <w:bookmarkEnd w:id="72"/>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3"/>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3"/>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3"/>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32"/>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ilvl w:val="0"/>
          <w:numId w:val="35"/>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pPr>
        <w:numPr>
          <w:ilvl w:val="0"/>
          <w:numId w:val="36"/>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6"/>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6"/>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6"/>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pPr>
        <w:numPr>
          <w:ilvl w:val="0"/>
          <w:numId w:val="35"/>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7</w:t>
      </w:r>
      <w:r>
        <w:rPr>
          <w:rFonts w:ascii="宋体" w:eastAsia="宋体" w:hAnsi="宋体" w:cs="宋体" w:hint="eastAsia"/>
          <w:szCs w:val="21"/>
          <w:u w:val="single"/>
        </w:rPr>
        <w:t xml:space="preserve"> 】</w:t>
      </w:r>
      <w:r>
        <w:rPr>
          <w:rFonts w:ascii="宋体" w:eastAsia="宋体" w:hAnsi="宋体" w:cs="宋体" w:hint="eastAsia"/>
          <w:szCs w:val="21"/>
        </w:rPr>
        <w:t>个工作日内，甲方向乙方支付本合同首付款至乙方指定账户，首付款为合同总额</w:t>
      </w:r>
      <w:r>
        <w:rPr>
          <w:rFonts w:ascii="宋体" w:eastAsia="宋体" w:hAnsi="宋体" w:cs="宋体" w:hint="eastAsia"/>
          <w:szCs w:val="21"/>
          <w:lang w:val="en-US" w:eastAsia="zh-CN"/>
        </w:rPr>
        <w:t>90%</w:t>
      </w:r>
      <w:r>
        <w:rPr>
          <w:rFonts w:ascii="宋体" w:eastAsia="宋体" w:hAnsi="宋体" w:cs="宋体" w:hint="eastAsia"/>
          <w:szCs w:val="21"/>
        </w:rPr>
        <w:t>，即：</w:t>
      </w:r>
      <w:r>
        <w:rPr>
          <w:rFonts w:ascii="宋体" w:eastAsia="宋体" w:hAnsi="宋体" w:cs="宋体" w:hint="eastAsia"/>
          <w:szCs w:val="21"/>
          <w:u w:val="single"/>
        </w:rPr>
        <w:t>￥    元（大写：人民币    元整）；</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第二阶段：乙方</w:t>
      </w:r>
      <w:r>
        <w:rPr>
          <w:rFonts w:ascii="宋体" w:eastAsia="宋体" w:hAnsi="宋体" w:cs="宋体" w:hint="eastAsia"/>
          <w:szCs w:val="21"/>
          <w:lang w:val="en-US" w:eastAsia="zh-CN"/>
        </w:rPr>
        <w:t>通过业务验收后</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7</w:t>
      </w:r>
      <w:r>
        <w:rPr>
          <w:rFonts w:ascii="宋体" w:eastAsia="宋体" w:hAnsi="宋体" w:cs="宋体" w:hint="eastAsia"/>
          <w:szCs w:val="21"/>
          <w:u w:val="single"/>
        </w:rPr>
        <w:t xml:space="preserve"> 】</w:t>
      </w:r>
      <w:r>
        <w:rPr>
          <w:rFonts w:ascii="宋体" w:eastAsia="宋体" w:hAnsi="宋体" w:cs="宋体" w:hint="eastAsia"/>
          <w:szCs w:val="21"/>
        </w:rPr>
        <w:t>个工作日内，甲方向乙方支付本合同总额的</w:t>
      </w:r>
      <w:r>
        <w:rPr>
          <w:rFonts w:ascii="宋体" w:eastAsia="宋体" w:hAnsi="宋体" w:cs="宋体" w:hint="eastAsia"/>
          <w:szCs w:val="21"/>
          <w:u w:val="single"/>
          <w:lang w:val="en-US" w:eastAsia="zh-CN"/>
        </w:rPr>
        <w:t>10</w:t>
      </w:r>
      <w:r>
        <w:rPr>
          <w:rFonts w:ascii="宋体" w:eastAsia="宋体" w:hAnsi="宋体" w:cs="宋体" w:hint="eastAsia"/>
          <w:szCs w:val="21"/>
          <w:u w:val="single"/>
        </w:rPr>
        <w:t>%</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pPr>
        <w:tabs>
          <w:tab w:val="left" w:pos="720"/>
        </w:tabs>
        <w:ind w:firstLine="420" w:firstLineChars="200"/>
        <w:rPr>
          <w:rFonts w:ascii="宋体" w:eastAsia="宋体" w:hAnsi="宋体" w:cs="宋体"/>
          <w:szCs w:val="21"/>
        </w:rPr>
      </w:pPr>
    </w:p>
    <w:p>
      <w:pPr>
        <w:numPr>
          <w:ilvl w:val="0"/>
          <w:numId w:val="35"/>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pPr>
        <w:numPr>
          <w:ilvl w:val="0"/>
          <w:numId w:val="37"/>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如果乙方未按合同要求履行合同，或因乙方原因导致本合同解除的，甲方将不予归还履约保证金。如乙方未按前述约定支付保证金，甲方有权直接在研究开发经费和报酬中扣除相应费用。</w:t>
      </w:r>
    </w:p>
    <w:p>
      <w:pPr>
        <w:numPr>
          <w:ilvl w:val="0"/>
          <w:numId w:val="37"/>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37"/>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pPr>
        <w:numPr>
          <w:ilvl w:val="0"/>
          <w:numId w:val="35"/>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61"/>
        <w:gridCol w:w="4261"/>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5"/>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3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3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3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38"/>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73" w:name="_Toc150439569"/>
      <w:r>
        <w:rPr>
          <w:rFonts w:ascii="宋体" w:eastAsia="宋体" w:hAnsi="宋体" w:cs="宋体" w:hint="eastAsia"/>
          <w:b/>
          <w:bCs/>
          <w:szCs w:val="21"/>
        </w:rPr>
        <w:t>项目验收</w:t>
      </w:r>
      <w:bookmarkEnd w:id="73"/>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全部源代码（电子版）；                                                      </w:t>
      </w:r>
    </w:p>
    <w:p>
      <w:pPr>
        <w:numPr>
          <w:ilvl w:val="0"/>
          <w:numId w:val="39"/>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74" w:name="_Toc150439566"/>
      <w:r>
        <w:rPr>
          <w:rFonts w:ascii="宋体" w:eastAsia="宋体" w:hAnsi="宋体" w:cs="宋体" w:hint="eastAsia"/>
          <w:b/>
          <w:bCs/>
          <w:szCs w:val="21"/>
        </w:rPr>
        <w:t>质量保证</w:t>
      </w:r>
      <w:bookmarkEnd w:id="74"/>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0"/>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75" w:name="_Toc150439612"/>
      <w:r>
        <w:rPr>
          <w:rFonts w:ascii="宋体" w:eastAsia="宋体" w:hAnsi="宋体" w:cs="宋体" w:hint="eastAsia"/>
          <w:b/>
          <w:bCs/>
          <w:szCs w:val="21"/>
        </w:rPr>
        <w:t>保密条款（保密协议）</w:t>
      </w:r>
      <w:bookmarkEnd w:id="75"/>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41"/>
        </w:numPr>
        <w:spacing w:line="360" w:lineRule="auto"/>
        <w:ind w:firstLine="420" w:firstLineChars="200"/>
        <w:rPr>
          <w:rFonts w:ascii="宋体" w:eastAsia="宋体" w:hAnsi="宋体" w:cs="宋体"/>
          <w:szCs w:val="21"/>
        </w:rPr>
      </w:pPr>
      <w:bookmarkStart w:id="76"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41"/>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76"/>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43"/>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43"/>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3"/>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77" w:name="_Hlk150343509"/>
      <w:r>
        <w:rPr>
          <w:rFonts w:ascii="宋体" w:eastAsia="宋体" w:hAnsi="宋体" w:cs="宋体" w:hint="eastAsia"/>
          <w:szCs w:val="21"/>
          <w:u w:val="single"/>
        </w:rPr>
        <w:t xml:space="preserve">                             </w:t>
      </w:r>
      <w:bookmarkEnd w:id="77"/>
      <w:r>
        <w:rPr>
          <w:rFonts w:ascii="宋体" w:eastAsia="宋体" w:hAnsi="宋体" w:cs="宋体" w:hint="eastAsia"/>
          <w:szCs w:val="21"/>
          <w:u w:val="single"/>
        </w:rPr>
        <w:t xml:space="preserve">                                </w:t>
      </w:r>
    </w:p>
    <w:p>
      <w:pPr>
        <w:numPr>
          <w:ilvl w:val="0"/>
          <w:numId w:val="42"/>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78" w:name="_Toc150439618"/>
      <w:r>
        <w:rPr>
          <w:rFonts w:ascii="宋体" w:eastAsia="宋体" w:hAnsi="宋体" w:cs="宋体" w:hint="eastAsia"/>
          <w:b/>
          <w:bCs/>
          <w:szCs w:val="21"/>
        </w:rPr>
        <w:t>违约</w:t>
      </w:r>
      <w:r>
        <w:rPr>
          <w:rFonts w:ascii="宋体" w:eastAsia="宋体" w:hAnsi="宋体" w:cs="宋体"/>
          <w:b/>
          <w:bCs/>
          <w:szCs w:val="21"/>
        </w:rPr>
        <w:t>责任及赔偿</w:t>
      </w:r>
      <w:bookmarkEnd w:id="78"/>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4"/>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4"/>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4"/>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4"/>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4"/>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4"/>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4"/>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79" w:name="_Toc150439619"/>
      <w:r>
        <w:rPr>
          <w:rFonts w:ascii="宋体" w:eastAsia="宋体" w:hAnsi="宋体" w:cs="宋体" w:hint="eastAsia"/>
          <w:b/>
          <w:bCs/>
          <w:szCs w:val="21"/>
        </w:rPr>
        <w:t>争议的解决</w:t>
      </w:r>
      <w:bookmarkEnd w:id="79"/>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5"/>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80" w:name="_Toc150439621"/>
      <w:r>
        <w:rPr>
          <w:rFonts w:ascii="宋体" w:eastAsia="宋体" w:hAnsi="宋体" w:cs="宋体" w:hint="eastAsia"/>
          <w:b/>
          <w:bCs/>
          <w:szCs w:val="21"/>
        </w:rPr>
        <w:t>不可抗力</w:t>
      </w:r>
      <w:bookmarkEnd w:id="80"/>
    </w:p>
    <w:p>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47"/>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47"/>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46"/>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81" w:name="_Toc150439624"/>
      <w:r>
        <w:rPr>
          <w:rFonts w:ascii="宋体" w:eastAsia="宋体" w:hAnsi="宋体" w:cs="宋体" w:hint="eastAsia"/>
          <w:b/>
          <w:bCs/>
          <w:szCs w:val="21"/>
        </w:rPr>
        <w:t>本合同的变更</w:t>
      </w:r>
      <w:bookmarkEnd w:id="81"/>
    </w:p>
    <w:p>
      <w:pPr>
        <w:numPr>
          <w:ilvl w:val="0"/>
          <w:numId w:val="49"/>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49"/>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82" w:name="_Toc150439623"/>
      <w:r>
        <w:rPr>
          <w:rFonts w:ascii="宋体" w:eastAsia="宋体" w:hAnsi="宋体" w:cs="宋体" w:hint="eastAsia"/>
          <w:b/>
          <w:bCs/>
          <w:szCs w:val="21"/>
        </w:rPr>
        <w:t>其它</w:t>
      </w:r>
      <w:bookmarkEnd w:id="82"/>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9"/>
        </w:numPr>
        <w:spacing w:before="60" w:after="60" w:line="360" w:lineRule="auto"/>
        <w:ind w:left="0" w:firstLine="420" w:firstLineChars="200"/>
        <w:outlineLvl w:val="1"/>
        <w:rPr>
          <w:rFonts w:ascii="宋体" w:eastAsia="宋体" w:hAnsi="宋体" w:cs="宋体"/>
          <w:b/>
          <w:bCs/>
          <w:szCs w:val="21"/>
        </w:rPr>
      </w:pPr>
      <w:bookmarkStart w:id="83" w:name="_Toc150439626"/>
      <w:r>
        <w:rPr>
          <w:rFonts w:ascii="宋体" w:eastAsia="宋体" w:hAnsi="宋体" w:cs="宋体" w:hint="eastAsia"/>
          <w:b/>
          <w:bCs/>
          <w:szCs w:val="21"/>
        </w:rPr>
        <w:t>合同生效</w:t>
      </w:r>
      <w:bookmarkEnd w:id="83"/>
    </w:p>
    <w:p>
      <w:pPr>
        <w:numPr>
          <w:ilvl w:val="0"/>
          <w:numId w:val="50"/>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50"/>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 w:rsidR="00A77B3E"/>
    <w:p>
      <w:pPr>
        <w:numPr>
          <w:ilvl w:val="0"/>
          <w:numId w:val="7"/>
        </w:numPr>
        <w:spacing w:line="360" w:lineRule="auto"/>
        <w:ind w:firstLine="3066" w:firstLineChars="1460"/>
        <w:jc w:val="left"/>
        <w:rPr>
          <w:rFonts w:ascii="Times New Roman" w:eastAsia="宋体" w:hAnsi="Times New Roman" w:cs="Times New Roman" w:hint="eastAsia"/>
          <w:b/>
          <w:bCs/>
          <w:szCs w:val="21"/>
        </w:rPr>
      </w:pPr>
      <w:bookmarkEnd w:id="64"/>
    </w:p>
    <w:p>
      <w:pPr>
        <w:rPr>
          <w:rFonts w:ascii="Calibri" w:hAnsi="Calibri"/>
          <w:szCs w:val="22"/>
          <w:highlight w:val="none"/>
        </w:rPr>
      </w:pPr>
    </w:p>
    <w:p>
      <w:pPr>
        <w:spacing w:line="360" w:lineRule="auto"/>
        <w:jc w:val="left"/>
        <w:rPr>
          <w:b/>
          <w:bCs/>
          <w:sz w:val="44"/>
          <w:szCs w:val="44"/>
          <w:highlight w:val="none"/>
        </w:rPr>
      </w:pPr>
    </w:p>
    <w:sectPr>
      <w:footerReference w:type="even" r:id="rId11"/>
      <w:footerReference w:type="default" r:id="rId12"/>
      <w:pgSz w:w="11906" w:h="16838"/>
      <w:pgMar w:top="1440" w:right="1800" w:bottom="1440" w:left="1800" w:header="851" w:footer="992" w:gutter="0"/>
      <w:cols w:num="1" w:space="720"/>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小标宋简体">
    <w:panose1 w:val="02010601030101010101"/>
    <w:charset w:val="86"/>
    <w:family w:val="auto"/>
    <w:pitch w:val="default"/>
    <w:sig w:usb0="00000001" w:usb1="080E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CBFD362D"/>
    <w:multiLevelType w:val="singleLevel"/>
    <w:tmpl w:val="CBFD362D"/>
    <w:lvl w:ilvl="0">
      <w:start w:val="1"/>
      <w:numFmt w:val="decimal"/>
      <w:suff w:val="nothing"/>
      <w:lvlText w:val="%1、"/>
      <w:lvlJc w:val="left"/>
    </w:lvl>
  </w:abstractNum>
  <w:abstractNum w:abstractNumId="5">
    <w:nsid w:val="DF7A974B"/>
    <w:multiLevelType w:val="singleLevel"/>
    <w:tmpl w:val="DF7A974B"/>
    <w:lvl w:ilvl="0">
      <w:start w:val="1"/>
      <w:numFmt w:val="decimal"/>
      <w:lvlText w:val="%1)"/>
      <w:lvlJc w:val="left"/>
      <w:pPr>
        <w:ind w:left="425" w:hanging="425"/>
      </w:pPr>
      <w:rPr>
        <w:rFonts w:hint="default"/>
      </w:rPr>
    </w:lvl>
  </w:abstractNum>
  <w:abstractNum w:abstractNumId="6">
    <w:nsid w:val="DFBE2221"/>
    <w:multiLevelType w:val="singleLevel"/>
    <w:tmpl w:val="DFBE2221"/>
    <w:lvl w:ilvl="0">
      <w:start w:val="1"/>
      <w:numFmt w:val="decimal"/>
      <w:lvlText w:val="%1)"/>
      <w:lvlJc w:val="left"/>
      <w:pPr>
        <w:ind w:left="425" w:hanging="425"/>
      </w:pPr>
      <w:rPr>
        <w:rFonts w:hint="default"/>
      </w:rPr>
    </w:lvl>
  </w:abstractNum>
  <w:abstractNum w:abstractNumId="7">
    <w:nsid w:val="DFCE4441"/>
    <w:multiLevelType w:val="singleLevel"/>
    <w:tmpl w:val="DFCE4441"/>
    <w:lvl w:ilvl="0">
      <w:start w:val="1"/>
      <w:numFmt w:val="decimal"/>
      <w:lvlText w:val="%1)"/>
      <w:lvlJc w:val="left"/>
      <w:pPr>
        <w:ind w:left="425" w:hanging="425"/>
      </w:pPr>
      <w:rPr>
        <w:rFonts w:hint="default"/>
      </w:rPr>
    </w:lvl>
  </w:abstractNum>
  <w:abstractNum w:abstractNumId="8">
    <w:nsid w:val="E7F65004"/>
    <w:multiLevelType w:val="singleLevel"/>
    <w:tmpl w:val="E7F65004"/>
    <w:lvl w:ilvl="0">
      <w:start w:val="1"/>
      <w:numFmt w:val="decimal"/>
      <w:lvlText w:val="%1)"/>
      <w:lvlJc w:val="left"/>
      <w:pPr>
        <w:ind w:left="425" w:hanging="425"/>
      </w:pPr>
      <w:rPr>
        <w:rFonts w:hint="default"/>
      </w:rPr>
    </w:lvl>
  </w:abstractNum>
  <w:abstractNum w:abstractNumId="9">
    <w:nsid w:val="EDECB7AC"/>
    <w:multiLevelType w:val="singleLevel"/>
    <w:tmpl w:val="EDECB7AC"/>
    <w:lvl w:ilvl="0">
      <w:start w:val="1"/>
      <w:numFmt w:val="decimal"/>
      <w:lvlText w:val="%1)"/>
      <w:lvlJc w:val="left"/>
      <w:pPr>
        <w:ind w:left="425" w:hanging="425"/>
      </w:pPr>
      <w:rPr>
        <w:rFonts w:hint="default"/>
      </w:rPr>
    </w:lvl>
  </w:abstractNum>
  <w:abstractNum w:abstractNumId="10">
    <w:nsid w:val="EFF96211"/>
    <w:multiLevelType w:val="singleLevel"/>
    <w:tmpl w:val="EFF96211"/>
    <w:lvl w:ilvl="0">
      <w:start w:val="1"/>
      <w:numFmt w:val="decimal"/>
      <w:lvlText w:val="%1)"/>
      <w:lvlJc w:val="left"/>
      <w:pPr>
        <w:ind w:left="425" w:hanging="425"/>
      </w:pPr>
      <w:rPr>
        <w:rFonts w:hint="default"/>
      </w:rPr>
    </w:lvl>
  </w:abstractNum>
  <w:abstractNum w:abstractNumId="11">
    <w:nsid w:val="FB183428"/>
    <w:multiLevelType w:val="singleLevel"/>
    <w:tmpl w:val="FB183428"/>
    <w:lvl w:ilvl="0">
      <w:start w:val="1"/>
      <w:numFmt w:val="decimal"/>
      <w:suff w:val="nothing"/>
      <w:lvlText w:val="%1．"/>
      <w:lvlJc w:val="left"/>
      <w:pPr>
        <w:ind w:left="0" w:firstLine="400"/>
      </w:pPr>
      <w:rPr>
        <w:rFonts w:hint="default"/>
      </w:rPr>
    </w:lvl>
  </w:abstractNum>
  <w:abstractNum w:abstractNumId="12">
    <w:nsid w:val="FCFBA019"/>
    <w:multiLevelType w:val="singleLevel"/>
    <w:tmpl w:val="FCFBA019"/>
    <w:lvl w:ilvl="0">
      <w:start w:val="1"/>
      <w:numFmt w:val="decimal"/>
      <w:lvlText w:val="%1)"/>
      <w:lvlJc w:val="left"/>
      <w:pPr>
        <w:ind w:left="425" w:hanging="425"/>
      </w:pPr>
      <w:rPr>
        <w:rFonts w:hint="default"/>
      </w:rPr>
    </w:lvl>
  </w:abstractNum>
  <w:abstractNum w:abstractNumId="13">
    <w:nsid w:val="FDBF5E33"/>
    <w:multiLevelType w:val="singleLevel"/>
    <w:tmpl w:val="FDBF5E33"/>
    <w:lvl w:ilvl="0">
      <w:start w:val="1"/>
      <w:numFmt w:val="decimal"/>
      <w:lvlText w:val="%1."/>
      <w:lvlJc w:val="left"/>
      <w:pPr>
        <w:ind w:left="425" w:hanging="425"/>
      </w:pPr>
      <w:rPr>
        <w:rFonts w:hint="default"/>
      </w:rPr>
    </w:lvl>
  </w:abstractNum>
  <w:abstractNum w:abstractNumId="14">
    <w:nsid w:val="FF3F1685"/>
    <w:multiLevelType w:val="singleLevel"/>
    <w:tmpl w:val="FF3F1685"/>
    <w:lvl w:ilvl="0">
      <w:start w:val="1"/>
      <w:numFmt w:val="decimal"/>
      <w:lvlText w:val="%1)"/>
      <w:lvlJc w:val="left"/>
      <w:pPr>
        <w:ind w:left="425" w:hanging="425"/>
      </w:pPr>
      <w:rPr>
        <w:rFonts w:hint="default"/>
      </w:rPr>
    </w:lvl>
  </w:abstractNum>
  <w:abstractNum w:abstractNumId="15">
    <w:nsid w:val="FFFEE893"/>
    <w:multiLevelType w:val="singleLevel"/>
    <w:tmpl w:val="FFFEE893"/>
    <w:lvl w:ilvl="0">
      <w:start w:val="1"/>
      <w:numFmt w:val="decimal"/>
      <w:lvlText w:val="%1)"/>
      <w:lvlJc w:val="left"/>
      <w:pPr>
        <w:ind w:left="425" w:hanging="425"/>
      </w:pPr>
      <w:rPr>
        <w:rFonts w:hint="default"/>
      </w:rPr>
    </w:lvl>
  </w:abstractNum>
  <w:abstractNum w:abstractNumId="16">
    <w:nsid w:val="FFFEFF75"/>
    <w:multiLevelType w:val="singleLevel"/>
    <w:tmpl w:val="FFFEFF75"/>
    <w:lvl w:ilvl="0">
      <w:start w:val="1"/>
      <w:numFmt w:val="decimal"/>
      <w:lvlText w:val="%1)"/>
      <w:lvlJc w:val="left"/>
      <w:pPr>
        <w:ind w:left="425" w:hanging="425"/>
      </w:pPr>
      <w:rPr>
        <w:rFonts w:hint="default"/>
      </w:rPr>
    </w:lvl>
  </w:abstractNum>
  <w:abstractNum w:abstractNumId="1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9">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0">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13DD946C"/>
    <w:multiLevelType w:val="singleLevel"/>
    <w:tmpl w:val="13DD946C"/>
    <w:lvl w:ilvl="0">
      <w:start w:val="9"/>
      <w:numFmt w:val="chineseCounting"/>
      <w:suff w:val="space"/>
      <w:lvlText w:val="第%1章"/>
      <w:lvlJc w:val="left"/>
      <w:rPr>
        <w:rFonts w:hint="eastAsia"/>
      </w:rPr>
    </w:lvl>
  </w:abstractNum>
  <w:abstractNum w:abstractNumId="26">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7">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8">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0">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nsid w:val="4C7A993F"/>
    <w:multiLevelType w:val="singleLevel"/>
    <w:tmpl w:val="4C7A993F"/>
    <w:lvl w:ilvl="0">
      <w:start w:val="1"/>
      <w:numFmt w:val="decimal"/>
      <w:lvlText w:val="%1)"/>
      <w:lvlJc w:val="left"/>
      <w:pPr>
        <w:ind w:left="425" w:hanging="425"/>
      </w:pPr>
      <w:rPr>
        <w:rFonts w:hint="default"/>
      </w:rPr>
    </w:lvl>
  </w:abstractNum>
  <w:abstractNum w:abstractNumId="34">
    <w:nsid w:val="562D3D2A"/>
    <w:multiLevelType w:val="multilevel"/>
    <w:tmpl w:val="562D3D2A"/>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5">
    <w:nsid w:val="57FFC18B"/>
    <w:multiLevelType w:val="singleLevel"/>
    <w:tmpl w:val="57FFC18B"/>
    <w:lvl w:ilvl="0">
      <w:start w:val="1"/>
      <w:numFmt w:val="decimal"/>
      <w:lvlText w:val="%1)"/>
      <w:lvlJc w:val="left"/>
      <w:pPr>
        <w:ind w:left="425" w:hanging="425"/>
      </w:pPr>
      <w:rPr>
        <w:rFonts w:hint="default"/>
      </w:rPr>
    </w:lvl>
  </w:abstractNum>
  <w:abstractNum w:abstractNumId="36">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8">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9">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2">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3">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79F8DDAB"/>
    <w:multiLevelType w:val="singleLevel"/>
    <w:tmpl w:val="79F8DDAB"/>
    <w:lvl w:ilvl="0">
      <w:start w:val="1"/>
      <w:numFmt w:val="decimal"/>
      <w:lvlText w:val="%1)"/>
      <w:lvlJc w:val="left"/>
      <w:pPr>
        <w:ind w:left="425" w:hanging="425"/>
      </w:pPr>
      <w:rPr>
        <w:rFonts w:hint="default"/>
      </w:rPr>
    </w:lvl>
  </w:abstractNum>
  <w:abstractNum w:abstractNumId="46">
    <w:nsid w:val="7BF79D3F"/>
    <w:multiLevelType w:val="singleLevel"/>
    <w:tmpl w:val="7BF79D3F"/>
    <w:lvl w:ilvl="0">
      <w:start w:val="1"/>
      <w:numFmt w:val="decimal"/>
      <w:lvlText w:val="%1)"/>
      <w:lvlJc w:val="left"/>
      <w:pPr>
        <w:ind w:left="425" w:hanging="425"/>
      </w:pPr>
      <w:rPr>
        <w:rFonts w:hint="default"/>
      </w:rPr>
    </w:lvl>
  </w:abstractNum>
  <w:abstractNum w:abstractNumId="47">
    <w:nsid w:val="7FAFA353"/>
    <w:multiLevelType w:val="singleLevel"/>
    <w:tmpl w:val="7FAFA353"/>
    <w:lvl w:ilvl="0">
      <w:start w:val="1"/>
      <w:numFmt w:val="decimal"/>
      <w:lvlText w:val="%1)"/>
      <w:lvlJc w:val="left"/>
      <w:pPr>
        <w:ind w:left="425" w:hanging="425"/>
      </w:pPr>
      <w:rPr>
        <w:rFonts w:hint="default"/>
      </w:rPr>
    </w:lvl>
  </w:abstractNum>
  <w:abstractNum w:abstractNumId="48">
    <w:nsid w:val="7FDAC479"/>
    <w:multiLevelType w:val="singleLevel"/>
    <w:tmpl w:val="7FDAC479"/>
    <w:lvl w:ilvl="0">
      <w:start w:val="1"/>
      <w:numFmt w:val="decimal"/>
      <w:lvlText w:val="%1)"/>
      <w:lvlJc w:val="left"/>
      <w:pPr>
        <w:ind w:left="425" w:hanging="425"/>
      </w:pPr>
      <w:rPr>
        <w:rFonts w:hint="default"/>
      </w:rPr>
    </w:lvl>
  </w:abstractNum>
  <w:abstractNum w:abstractNumId="49">
    <w:nsid w:val="7FF73EAD"/>
    <w:multiLevelType w:val="singleLevel"/>
    <w:tmpl w:val="7FF73EAD"/>
    <w:lvl w:ilvl="0">
      <w:start w:val="1"/>
      <w:numFmt w:val="decimal"/>
      <w:lvlText w:val="%1)"/>
      <w:lvlJc w:val="left"/>
      <w:pPr>
        <w:ind w:left="425" w:hanging="425"/>
      </w:pPr>
      <w:rPr>
        <w:rFonts w:hint="default"/>
      </w:rPr>
    </w:lvl>
  </w:abstractNum>
  <w:abstractNum w:abstractNumId="50">
    <w:nsid w:val="7FFFA005"/>
    <w:multiLevelType w:val="singleLevel"/>
    <w:tmpl w:val="7FFFA005"/>
    <w:lvl w:ilvl="0">
      <w:start w:val="1"/>
      <w:numFmt w:val="decimal"/>
      <w:lvlText w:val="%1)"/>
      <w:lvlJc w:val="left"/>
      <w:pPr>
        <w:ind w:left="425" w:hanging="425"/>
      </w:pPr>
      <w:rPr>
        <w:rFonts w:hint="default"/>
      </w:rPr>
    </w:lvl>
  </w:abstractNum>
  <w:num w:numId="1">
    <w:abstractNumId w:val="18"/>
  </w:num>
  <w:num w:numId="2">
    <w:abstractNumId w:val="17"/>
  </w:num>
  <w:num w:numId="3">
    <w:abstractNumId w:val="21"/>
  </w:num>
  <w:num w:numId="4">
    <w:abstractNumId w:val="11"/>
  </w:num>
  <w:num w:numId="5">
    <w:abstractNumId w:val="34"/>
  </w:num>
  <w:num w:numId="6">
    <w:abstractNumId w:val="4"/>
  </w:num>
  <w:num w:numId="7">
    <w:abstractNumId w:val="25"/>
  </w:num>
  <w:num w:numId="8">
    <w:abstractNumId w:val="0"/>
  </w:num>
  <w:num w:numId="9">
    <w:abstractNumId w:val="27"/>
  </w:num>
  <w:num w:numId="10">
    <w:abstractNumId w:val="41"/>
  </w:num>
  <w:num w:numId="11">
    <w:abstractNumId w:val="26"/>
  </w:num>
  <w:num w:numId="12">
    <w:abstractNumId w:val="44"/>
  </w:num>
  <w:num w:numId="13">
    <w:abstractNumId w:val="3"/>
  </w:num>
  <w:num w:numId="14">
    <w:abstractNumId w:val="49"/>
  </w:num>
  <w:num w:numId="15">
    <w:abstractNumId w:val="7"/>
  </w:num>
  <w:num w:numId="16">
    <w:abstractNumId w:val="40"/>
  </w:num>
  <w:num w:numId="17">
    <w:abstractNumId w:val="15"/>
  </w:num>
  <w:num w:numId="18">
    <w:abstractNumId w:val="39"/>
  </w:num>
  <w:num w:numId="19">
    <w:abstractNumId w:val="38"/>
  </w:num>
  <w:num w:numId="20">
    <w:abstractNumId w:val="20"/>
  </w:num>
  <w:num w:numId="21">
    <w:abstractNumId w:val="43"/>
  </w:num>
  <w:num w:numId="22">
    <w:abstractNumId w:val="2"/>
  </w:num>
  <w:num w:numId="23">
    <w:abstractNumId w:val="45"/>
  </w:num>
  <w:num w:numId="24">
    <w:abstractNumId w:val="46"/>
  </w:num>
  <w:num w:numId="25">
    <w:abstractNumId w:val="35"/>
  </w:num>
  <w:num w:numId="26">
    <w:abstractNumId w:val="29"/>
  </w:num>
  <w:num w:numId="27">
    <w:abstractNumId w:val="9"/>
  </w:num>
  <w:num w:numId="28">
    <w:abstractNumId w:val="1"/>
  </w:num>
  <w:num w:numId="29">
    <w:abstractNumId w:val="23"/>
  </w:num>
  <w:num w:numId="30">
    <w:abstractNumId w:val="47"/>
  </w:num>
  <w:num w:numId="31">
    <w:abstractNumId w:val="33"/>
  </w:num>
  <w:num w:numId="32">
    <w:abstractNumId w:val="30"/>
  </w:num>
  <w:num w:numId="33">
    <w:abstractNumId w:val="48"/>
  </w:num>
  <w:num w:numId="34">
    <w:abstractNumId w:val="8"/>
  </w:num>
  <w:num w:numId="35">
    <w:abstractNumId w:val="42"/>
  </w:num>
  <w:num w:numId="36">
    <w:abstractNumId w:val="10"/>
  </w:num>
  <w:num w:numId="37">
    <w:abstractNumId w:val="6"/>
  </w:num>
  <w:num w:numId="38">
    <w:abstractNumId w:val="50"/>
  </w:num>
  <w:num w:numId="39">
    <w:abstractNumId w:val="14"/>
  </w:num>
  <w:num w:numId="40">
    <w:abstractNumId w:val="32"/>
  </w:num>
  <w:num w:numId="41">
    <w:abstractNumId w:val="36"/>
  </w:num>
  <w:num w:numId="42">
    <w:abstractNumId w:val="22"/>
  </w:num>
  <w:num w:numId="43">
    <w:abstractNumId w:val="16"/>
  </w:num>
  <w:num w:numId="44">
    <w:abstractNumId w:val="24"/>
  </w:num>
  <w:num w:numId="45">
    <w:abstractNumId w:val="13"/>
  </w:num>
  <w:num w:numId="46">
    <w:abstractNumId w:val="37"/>
  </w:num>
  <w:num w:numId="47">
    <w:abstractNumId w:val="5"/>
  </w:num>
  <w:num w:numId="48">
    <w:abstractNumId w:val="12"/>
  </w:num>
  <w:num w:numId="49">
    <w:abstractNumId w:val="19"/>
  </w:num>
  <w:num w:numId="50">
    <w:abstractNumId w:val="31"/>
  </w:num>
  <w:num w:numId="51">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87A57"/>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项目-正文"/>
    <w:basedOn w:val="Normal"/>
    <w:next w:val="Normal"/>
    <w:qFormat/>
    <w:pPr>
      <w:spacing w:line="360" w:lineRule="auto"/>
      <w:ind w:firstLine="200" w:firstLineChars="200"/>
    </w:pPr>
    <w:rPr>
      <w:rFonts w:asciiTheme="minorHAnsi" w:eastAsiaTheme="minorEastAsia" w:hAnsiTheme="minorHAnsi" w:cstheme="minorBidi"/>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footer" Target="footer6.xml" /><Relationship Id="rId12" Type="http://schemas.openxmlformats.org/officeDocument/2006/relationships/footer" Target="footer7.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27294</Words>
  <Characters>28741</Characters>
  <Application>Microsoft Office Word</Application>
  <DocSecurity>0</DocSecurity>
  <Lines>231</Lines>
  <Paragraphs>65</Paragraphs>
  <ScaleCrop>false</ScaleCrop>
  <Company>中国气象局</Company>
  <LinksUpToDate>false</LinksUpToDate>
  <CharactersWithSpaces>28856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2026-03-17T07:28:27Z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