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福建省龙岩市气象局人工影响天气火箭弹采购（重新招标）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福建省龙岩市气象局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福建省龙岩市气象局人工影响天气火箭弹采购（重新招标）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福建省龙岩市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2026年06月18日 00:00:00</w:t>
      </w:r>
      <w:bookmarkEnd w:id="26"/>
      <w:r>
        <w:rPr>
          <w:rFonts w:ascii="宋体" w:hint="eastAsia"/>
          <w:szCs w:val="21"/>
          <w:highlight w:val="none"/>
        </w:rPr>
        <w:t>至</w:t>
      </w:r>
      <w:bookmarkStart w:id="27" w:name="项目公告_signUpLastTime"/>
      <w:r>
        <w:rPr>
          <w:rFonts w:ascii="宋体" w:hint="eastAsia"/>
          <w:szCs w:val="21"/>
          <w:highlight w:val="none"/>
        </w:rPr>
        <w:t>2026年06月26日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2026年07月09日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福建省龙岩市气象局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官丽虹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0597-2290819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福建省龙岩市新罗区曹溪南路119号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福建省龙岩市气象局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不允许（仅针对以下产品：1、人工增雨防雹火箭弹不允许代理商投标）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（1）标的：人工增雨防雹火箭弹 ，属于工业；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提供ISO9001质量管理体系认证或同等质量管理体系认证，最多得2分。否则不得分。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销售合同必须包括增雨防雹火箭弹，每提供1份合同得2分，最多得8分。否则不得分。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交货期保证（客观分）</w:t>
            </w:r>
          </w:p>
        </w:tc>
        <w:tc>
          <w:tcPr/>
          <w:p>
            <w:r>
              <w:t>勾选打分</w:t>
            </w:r>
            <w:r>
              <w:t>(5)</w:t>
            </w:r>
          </w:p>
        </w:tc>
        <w:tc>
          <w:tcPr/>
          <w:p>
            <w:r>
              <w:t>评审标准：</w:t>
            </w:r>
          </w:p>
          <w:p>
            <w:r>
              <w:t>针对本项目采购的增雨防雹火箭弹，</w:t>
              <w:cr/>
              <w:t>承诺每提前2天交货的得1分，最多得5分。否则不得分。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(6)</w:t>
            </w:r>
          </w:p>
        </w:tc>
        <w:tc>
          <w:tcPr/>
          <w:p>
            <w:r>
              <w:t>评审标准：</w:t>
            </w:r>
          </w:p>
          <w:p>
            <w:r>
              <w:t>针对增雨防雹火箭弹，每提供 1份用户证明材料得2分，最多得6分。否则不得分。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区间打分</w:t>
            </w:r>
            <w:r>
              <w:t>(7)</w:t>
            </w:r>
          </w:p>
        </w:tc>
        <w:tc>
          <w:tcPr/>
          <w:p>
            <w:r>
              <w:t>评审标准：</w:t>
            </w:r>
          </w:p>
          <w:p>
            <w:r>
              <w:t xml:space="preserve">1、投标人为本项目拟派的服务团队中项目经理应具有3年以上相关工作经验的得4分； </w:t>
              <w:cr/>
              <w:t>2、除项目经理外至少6人具有2年及以上相关工作经验的，得3分；至少5人具有1年及以上相关工作经验的，得2分；其他不得分。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(30)</w:t>
            </w:r>
          </w:p>
        </w:tc>
        <w:tc>
          <w:tcPr/>
          <w:p>
            <w:r>
              <w:t>评审标准：</w:t>
            </w:r>
          </w:p>
          <w:p>
            <w:r>
              <w:t>标注#的重要指标共2项，每满足1项（如有多个下级指标，则每个下级指标均应满足）得5分，最多得10分。其余除“配套类型“、“弹药类型”外的5项无标识一般性技术参数，每满足1项（如有多个下级指标，则每个下级指标均应满足）得4分，满分20分。此项共计30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本项目所招产品为我市人工增雨防雹用火箭弹，根据中国气象局关于人工影响天气作业的安全管理要求，结合近年来各地出现的相关人影作业事故案例，本项目所招产品必须完全满足配套我市现有火箭发射系统使用条件，以保证火箭作业的稳定性、安全性，出现事故后能够及时解决。</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Normal"/>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838"/>
        <w:gridCol w:w="3259"/>
      </w:tblGrid>
      <w:tr>
        <w:tblPrEx>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903" w:rightChars="0"/>
              <w:jc w:val="center"/>
              <w:rPr>
                <w:color w:val="000000"/>
                <w:szCs w:val="21"/>
              </w:rPr>
            </w:pPr>
            <w:r>
              <w:rPr>
                <w:rFonts w:hint="eastAsia"/>
                <w:color w:val="000000"/>
                <w:szCs w:val="21"/>
              </w:rPr>
              <w:t xml:space="preserve">          项目</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性能参数描述</w:t>
            </w:r>
          </w:p>
        </w:tc>
      </w:tr>
      <w:tr>
        <w:tblPrEx>
          <w:tblW w:w="0" w:type="dxa"/>
          <w:jc w:val="center"/>
          <w:tblLayout w:type="fixed"/>
          <w:tblCellMar>
            <w:top w:w="0" w:type="dxa"/>
            <w:left w:w="0" w:type="dxa"/>
            <w:bottom w:w="0" w:type="dxa"/>
            <w:right w:w="0" w:type="dxa"/>
          </w:tblCellMar>
        </w:tblPrEx>
        <w:trPr>
          <w:trHeight w:hRule="exact" w:val="1653"/>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5"/>
              <w:jc w:val="center"/>
              <w:rPr>
                <w:color w:val="000000"/>
                <w:szCs w:val="21"/>
              </w:rPr>
            </w:pPr>
          </w:p>
          <w:p>
            <w:pPr>
              <w:pStyle w:val="TableParagraph"/>
              <w:jc w:val="center"/>
              <w:rPr>
                <w:color w:val="000000"/>
                <w:szCs w:val="21"/>
              </w:rPr>
            </w:pPr>
            <w:r>
              <w:rPr>
                <w:rFonts w:hint="eastAsia"/>
                <w:color w:val="000000"/>
                <w:szCs w:val="21"/>
              </w:rPr>
              <w:t>配套类型</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ind w:right="136"/>
              <w:jc w:val="center"/>
              <w:rPr>
                <w:color w:val="000000"/>
                <w:szCs w:val="21"/>
              </w:rPr>
            </w:pPr>
            <w:r>
              <w:rPr>
                <w:rFonts w:hint="eastAsia"/>
                <w:color w:val="000000"/>
                <w:szCs w:val="21"/>
              </w:rPr>
              <w:t>适用于B</w:t>
            </w:r>
            <w:r>
              <w:rPr>
                <w:color w:val="000000"/>
                <w:szCs w:val="21"/>
              </w:rPr>
              <w:t>FJ</w:t>
            </w:r>
            <w:r>
              <w:rPr>
                <w:rFonts w:hint="eastAsia"/>
                <w:color w:val="000000"/>
                <w:szCs w:val="21"/>
              </w:rPr>
              <w:t>系列火箭发射架，</w:t>
            </w:r>
          </w:p>
          <w:p>
            <w:pPr>
              <w:pStyle w:val="TableParagraph"/>
              <w:spacing w:before="86"/>
              <w:ind w:right="136" w:rightChars="0"/>
              <w:jc w:val="center"/>
              <w:rPr>
                <w:color w:val="000000"/>
                <w:szCs w:val="21"/>
              </w:rPr>
            </w:pPr>
            <w:r>
              <w:rPr>
                <w:rFonts w:hint="eastAsia"/>
                <w:color w:val="000000"/>
                <w:szCs w:val="21"/>
              </w:rPr>
              <w:t>安全有保障</w:t>
            </w:r>
          </w:p>
        </w:tc>
      </w:tr>
      <w:tr>
        <w:tblPrEx>
          <w:tblW w:w="0"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弹药类型</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增雨防雹火箭</w:t>
            </w:r>
          </w:p>
        </w:tc>
      </w:tr>
      <w:tr>
        <w:tblPrEx>
          <w:tblW w:w="0"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ind w:right="136" w:rightChars="0"/>
              <w:jc w:val="center"/>
              <w:rPr>
                <w:color w:val="000000"/>
                <w:szCs w:val="21"/>
              </w:rPr>
            </w:pPr>
            <w:r>
              <w:rPr>
                <w:rFonts w:hint="eastAsia"/>
                <w:color w:val="000000"/>
                <w:szCs w:val="21"/>
              </w:rPr>
              <w:t>56mm</w:t>
            </w:r>
          </w:p>
        </w:tc>
      </w:tr>
      <w:tr>
        <w:tblPrEx>
          <w:tblW w:w="0"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1044" w:rightChars="0"/>
              <w:jc w:val="center"/>
              <w:rPr>
                <w:color w:val="000000"/>
                <w:szCs w:val="21"/>
              </w:rPr>
            </w:pPr>
            <w:r>
              <w:rPr>
                <w:rFonts w:ascii="Times New Roman"/>
                <w:color w:val="000000"/>
                <w:szCs w:val="21"/>
              </w:rPr>
              <w:t xml:space="preserve">         </w:t>
            </w:r>
            <w:r>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789±3mm</w:t>
            </w:r>
          </w:p>
        </w:tc>
      </w:tr>
      <w:tr>
        <w:tblPrEx>
          <w:tblW w:w="0"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7.0±0.35km</w:t>
            </w:r>
          </w:p>
        </w:tc>
      </w:tr>
      <w:tr>
        <w:tblPrEx>
          <w:tblW w:w="0"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hint="eastAsia"/>
                <w:color w:val="000000"/>
                <w:szCs w:val="21"/>
              </w:rPr>
              <w:t>火箭催化剂质量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ascii="Times New Roman" w:hAnsi="Times New Roman"/>
                <w:color w:val="000000"/>
                <w:szCs w:val="21"/>
              </w:rPr>
              <w:t>180</w:t>
            </w:r>
            <w:r>
              <w:rPr>
                <w:rFonts w:ascii="Times New Roman" w:eastAsia="Times New Roman" w:hAnsi="Times New Roman"/>
                <w:color w:val="000000"/>
                <w:szCs w:val="21"/>
              </w:rPr>
              <w:t>g/</w:t>
            </w:r>
            <w:r>
              <w:rPr>
                <w:rFonts w:hint="eastAsia"/>
                <w:color w:val="000000"/>
                <w:szCs w:val="21"/>
              </w:rPr>
              <w:t>枚</w:t>
            </w:r>
          </w:p>
        </w:tc>
      </w:tr>
      <w:tr>
        <w:tblPrEx>
          <w:tblW w:w="0" w:type="dxa"/>
          <w:jc w:val="center"/>
          <w:tblLayout w:type="fixed"/>
          <w:tblCellMar>
            <w:top w:w="0" w:type="dxa"/>
            <w:left w:w="0" w:type="dxa"/>
            <w:bottom w:w="0" w:type="dxa"/>
            <w:right w:w="0" w:type="dxa"/>
          </w:tblCellMar>
        </w:tblPrEx>
        <w:trPr>
          <w:trHeight w:hRule="exact" w:val="998"/>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碘化银含量：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line="282" w:lineRule="exact"/>
              <w:jc w:val="center"/>
              <w:rPr>
                <w:color w:val="000000"/>
                <w:szCs w:val="21"/>
              </w:rPr>
            </w:pPr>
            <w:r>
              <w:rPr>
                <w:rFonts w:ascii="Times New Roman" w:hAnsi="Times New Roman"/>
                <w:color w:val="000000"/>
                <w:szCs w:val="21"/>
              </w:rPr>
              <w:t>10.8g</w:t>
            </w:r>
            <w:r>
              <w:rPr>
                <w:rFonts w:ascii="Times New Roman" w:eastAsia="Times New Roman" w:hAnsi="Times New Roman"/>
                <w:color w:val="000000"/>
                <w:szCs w:val="21"/>
              </w:rPr>
              <w:t>/</w:t>
            </w:r>
            <w:r>
              <w:rPr>
                <w:rFonts w:hint="eastAsia"/>
                <w:color w:val="000000"/>
                <w:szCs w:val="21"/>
              </w:rPr>
              <w:t>枚</w:t>
            </w:r>
          </w:p>
        </w:tc>
      </w:tr>
      <w:tr>
        <w:tblPrEx>
          <w:tblW w:w="0" w:type="dxa"/>
          <w:jc w:val="center"/>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FF0000"/>
                <w:spacing w:val="-5"/>
                <w:w w:val="101"/>
                <w:sz w:val="18"/>
                <w:szCs w:val="22"/>
              </w:rPr>
              <w:t>#</w:t>
            </w:r>
            <w:r>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136" w:rightChars="0"/>
              <w:jc w:val="center"/>
              <w:rPr>
                <w:color w:val="000000"/>
                <w:szCs w:val="21"/>
              </w:rPr>
            </w:pPr>
            <w:r>
              <w:rPr>
                <w:rFonts w:hint="eastAsia"/>
                <w:color w:val="000000"/>
                <w:szCs w:val="21"/>
              </w:rPr>
              <w:t>自毁</w:t>
            </w:r>
          </w:p>
        </w:tc>
      </w:tr>
      <w:tr>
        <w:tblPrEx>
          <w:tblW w:w="0" w:type="dxa"/>
          <w:jc w:val="center"/>
          <w:tblLayout w:type="fixed"/>
          <w:tblCellMar>
            <w:top w:w="0" w:type="dxa"/>
            <w:left w:w="0" w:type="dxa"/>
            <w:bottom w:w="0" w:type="dxa"/>
            <w:right w:w="0" w:type="dxa"/>
          </w:tblCellMar>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hint="eastAsia"/>
                <w:color w:val="FF0000"/>
                <w:spacing w:val="-5"/>
                <w:w w:val="101"/>
                <w:sz w:val="18"/>
                <w:szCs w:val="22"/>
              </w:rPr>
              <w:t>#</w:t>
            </w:r>
            <w:r>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55"/>
              <w:ind w:right="136" w:rightChars="0"/>
              <w:jc w:val="center"/>
              <w:rPr>
                <w:rFonts w:ascii="Times New Roman" w:hAnsi="Times New Roman"/>
                <w:color w:val="000000"/>
                <w:szCs w:val="21"/>
              </w:rPr>
            </w:pPr>
            <w:r>
              <w:rPr>
                <w:rFonts w:ascii="微软雅黑" w:hAnsi="微软雅黑" w:hint="eastAsia"/>
                <w:color w:val="000000"/>
                <w:szCs w:val="21"/>
              </w:rPr>
              <w:t>≤</w:t>
            </w:r>
            <w:r>
              <w:rPr>
                <w:rFonts w:ascii="Times New Roman" w:hAnsi="Times New Roman"/>
                <w:color w:val="000000"/>
                <w:szCs w:val="21"/>
              </w:rPr>
              <w:t>100g/</w:t>
            </w:r>
            <w:r>
              <w:rPr>
                <w:rFonts w:ascii="Times New Roman" w:hAnsi="Times New Roman" w:hint="eastAsia"/>
                <w:color w:val="000000"/>
                <w:szCs w:val="21"/>
              </w:rPr>
              <w:t>枚</w:t>
            </w:r>
          </w:p>
        </w:tc>
      </w:tr>
    </w:tbl>
    <w:p>
      <w:pPr>
        <w:pStyle w:val="BodyText"/>
        <w:spacing w:before="66"/>
        <w:rPr>
          <w:rFonts w:ascii="宋体" w:eastAsia="宋体" w:hAnsi="宋体" w:cs="宋体" w:hint="eastAsia"/>
          <w:b/>
          <w:bCs/>
          <w:color w:val="000000"/>
          <w:kern w:val="2"/>
          <w:szCs w:val="21"/>
          <w:lang w:val="en-US"/>
        </w:rPr>
      </w:pPr>
    </w:p>
    <w:p>
      <w:pPr>
        <w:spacing w:line="360" w:lineRule="auto"/>
        <w:ind w:firstLine="420" w:firstLineChars="200"/>
        <w:rPr>
          <w:rFonts w:ascii="宋体" w:hAnsi="宋体" w:hint="eastAsia"/>
          <w:szCs w:val="21"/>
        </w:rPr>
      </w:pPr>
      <w:r>
        <w:rPr>
          <w:rFonts w:ascii="宋体" w:hAnsi="宋体" w:hint="eastAsia"/>
          <w:szCs w:val="21"/>
        </w:rPr>
        <w:t xml:space="preserve">四、验收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1、合同签订后30天内交货并验收合格。验收依据相关的内容和要求，产品质量达到设计要求。</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2、到货验收。到货后用户检查包装并核对货物品种、数量以及完好性。未通过验收的货物，将不予接受。 </w:t>
      </w:r>
    </w:p>
    <w:p>
      <w:pPr>
        <w:spacing w:line="360" w:lineRule="auto"/>
        <w:ind w:firstLine="420" w:firstLineChars="200"/>
        <w:rPr>
          <w:rFonts w:ascii="宋体" w:hAnsi="宋体" w:hint="eastAsia"/>
          <w:szCs w:val="21"/>
        </w:rPr>
      </w:pPr>
      <w:r>
        <w:rPr>
          <w:rFonts w:ascii="宋体" w:hAnsi="宋体" w:hint="eastAsia"/>
          <w:szCs w:val="21"/>
        </w:rPr>
        <w:t xml:space="preserve">五、包装和运输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1、包装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应按相关包装规范或者其他相关规定进行包装。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2、运输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出厂验收合格后，中标供应商负责用专用车辆将产品运输到用户指定的地点，运输过程应当遵守国家有关管理的法律、法规，</w:t>
      </w:r>
      <w:r>
        <w:rPr>
          <w:rFonts w:ascii="宋体" w:eastAsia="宋体" w:hAnsi="宋体" w:cs="宋体" w:hint="eastAsia"/>
          <w:color w:val="000000"/>
          <w:szCs w:val="21"/>
          <w:highlight w:val="none"/>
        </w:rPr>
        <w:t xml:space="preserve">运输费用由中标供应商承担。 </w:t>
      </w:r>
    </w:p>
    <w:p>
      <w:pPr>
        <w:spacing w:line="360" w:lineRule="auto"/>
        <w:ind w:firstLine="420" w:firstLineChars="200"/>
        <w:rPr>
          <w:rFonts w:ascii="宋体" w:hAnsi="宋体" w:hint="eastAsia"/>
          <w:szCs w:val="21"/>
        </w:rPr>
      </w:pPr>
      <w:r>
        <w:rPr>
          <w:rFonts w:ascii="宋体" w:hAnsi="宋体" w:hint="eastAsia"/>
          <w:szCs w:val="21"/>
        </w:rPr>
        <w:t>六、技术服务和质保期服务要求</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1、技术支持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中标供应商提供服务电话、保障服务货物收发联系部门及人员的名称和联系方式。产品的更换按照采购单位要求在约定时间内完成。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2、技术资料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提供完整的技术资料，包括：性能参数、存储、运输、使用等安全保障手册；使用说明书及合同中要求的其他文件资料。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3、质保期内服务内容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（1）质保期为出厂验收后 3 年；</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（2）因产品质量问题所造成的直接或间接损失由中标供应商负责，并且中标供应商应负责免费更换合格品；</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 xml:space="preserve">（3）因产品质量原因造成人员伤亡等事故时，中标供应商应迅速赶赴现场，协助当地有关部门分析事故原因，承担应有的责任，并将产品质量原因分析报告报国务院气象主管机构。 </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七、对服务团队和培训要求</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1、服务团队</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培训要求</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通过培训，使工作人员掌握本项目各系统设备的基本结构和原理、操作规范和使用方法，具备常规操作、日常维护、中小故障排除的能力。书面承诺每种设备的培训讲师具有中级以上职称或从事该设备技术工作至少2年；</w:t>
      </w:r>
    </w:p>
    <w:p>
      <w:pPr>
        <w:spacing w:line="360" w:lineRule="auto"/>
        <w:ind w:firstLine="420" w:firstLineChars="200"/>
        <w:rPr>
          <w:rFonts w:ascii="宋体" w:eastAsia="宋体" w:hAnsi="宋体" w:cs="宋体" w:hint="eastAsia"/>
          <w:color w:val="000000"/>
          <w:szCs w:val="21"/>
        </w:rPr>
      </w:pPr>
      <w:r>
        <w:rPr>
          <w:rFonts w:ascii="宋体" w:eastAsia="宋体" w:hAnsi="宋体" w:cs="宋体" w:hint="eastAsia"/>
          <w:color w:val="000000"/>
          <w:szCs w:val="21"/>
        </w:rPr>
        <w:t>设备供应商对每套招标产品提供至少2次技术培训，培训课时不少于10个课时，培训人数不少于10人。培训内容包括设备安装、使用、日常维护、保存环境等，培训时间及地点双方协商确定。</w:t>
      </w:r>
    </w:p>
    <w:p>
      <w:pPr>
        <w:spacing w:line="360" w:lineRule="auto"/>
        <w:rPr>
          <w:rFonts w:ascii="宋体" w:hAnsi="宋体" w:hint="eastAsia"/>
          <w:szCs w:val="21"/>
        </w:rPr>
      </w:pPr>
    </w:p>
    <w:p>
      <w:pPr>
        <w:spacing w:line="360" w:lineRule="auto"/>
        <w:rPr>
          <w:rFonts w:ascii="宋体" w:eastAsia="宋体" w:hAnsi="宋体" w:cs="Times New Roman" w:hint="eastAsia"/>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hint="eastAsia"/>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1255"/>
        <w:gridCol w:w="1050"/>
        <w:gridCol w:w="1460"/>
        <w:gridCol w:w="1665"/>
        <w:gridCol w:w="1870"/>
        <w:gridCol w:w="62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增雨防雹弹</w:t>
            </w:r>
          </w:p>
        </w:tc>
        <w:tc>
          <w:tcPr/>
          <w:p>
            <w:pPr>
              <w:autoSpaceDE w:val="0"/>
              <w:jc w:val="center"/>
              <w:rPr>
                <w:rFonts w:asciiTheme="minorEastAsia" w:hAnsiTheme="minorEastAsia" w:cstheme="minorEastAsia"/>
                <w:kern w:val="0"/>
                <w:szCs w:val="21"/>
              </w:rPr>
            </w:pPr>
            <w:r>
              <w:t>2000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2,800,000.00</w:t>
            </w:r>
          </w:p>
        </w:tc>
        <w:tc>
          <w:tcPr/>
          <w:p>
            <w:pPr>
              <w:autoSpaceDE w:val="0"/>
              <w:jc w:val="center"/>
              <w:rPr>
                <w:rFonts w:asciiTheme="minorEastAsia" w:hAnsiTheme="minorEastAsia" w:cstheme="minorEastAsia" w:hint="eastAsia"/>
                <w:kern w:val="0"/>
                <w:szCs w:val="21"/>
              </w:rPr>
            </w:pPr>
            <w:r>
              <w:t>合同签订后30天内</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94"/>
        <w:gridCol w:w="2114"/>
        <w:gridCol w:w="1164"/>
        <w:gridCol w:w="599"/>
        <w:gridCol w:w="1354"/>
        <w:gridCol w:w="1129"/>
        <w:gridCol w:w="974"/>
        <w:gridCol w:w="5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办公室(001043027001)</w:t>
            </w:r>
          </w:p>
        </w:tc>
        <w:tc>
          <w:tcPr/>
          <w:p>
            <w:r>
              <w:t>增雨防雹弹</w:t>
            </w:r>
          </w:p>
        </w:tc>
        <w:tc>
          <w:tcPr/>
          <w:p>
            <w:r>
              <w:t>2000</w:t>
            </w:r>
          </w:p>
        </w:tc>
        <w:tc>
          <w:tcPr/>
          <w:p>
            <w:r>
              <w:t>2800000.00</w:t>
            </w:r>
          </w:p>
        </w:tc>
        <w:tc>
          <w:tcPr/>
          <w:p>
            <w:r>
              <w:t xml:space="preserve">2800000.00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w:t>
            </w: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w:t>
            </w:r>
          </w:p>
        </w:tc>
        <w:tc>
          <w:tcPr>
            <w:tcW w:w="7347" w:type="dxa"/>
            <w:vAlign w:val="center"/>
          </w:tcPr>
          <w:p>
            <w:pPr>
              <w:tabs>
                <w:tab w:val="left" w:pos="709"/>
              </w:tabs>
              <w:spacing w:line="360" w:lineRule="auto"/>
              <w:jc w:val="left"/>
              <w:rPr>
                <w:rFonts w:ascii="宋体" w:hAnsi="宋体" w:hint="eastAsia"/>
                <w:sz w:val="18"/>
                <w:szCs w:val="18"/>
              </w:rPr>
            </w:pPr>
            <w:r>
              <w:rPr>
                <w:rFonts w:ascii="宋体" w:hAnsi="宋体" w:hint="eastAsia"/>
                <w:sz w:val="18"/>
                <w:szCs w:val="18"/>
                <w:lang w:eastAsia="zh-CN"/>
              </w:rPr>
              <w:t>无</w:t>
            </w:r>
          </w:p>
        </w:tc>
      </w:tr>
    </w:tbl>
    <w:p>
      <w:pPr>
        <w:spacing w:before="156" w:beforeLines="50" w:line="360" w:lineRule="auto"/>
        <w:ind w:firstLine="420"/>
      </w:pPr>
      <w:r>
        <w:rPr>
          <w:rFonts w:ascii="宋体" w:hAnsi="宋体" w:hint="eastAsia"/>
          <w:szCs w:val="21"/>
        </w:rPr>
        <w:t>注：根据项目具体情况，对投标</w:t>
      </w:r>
      <w:r>
        <w:rPr>
          <w:rFonts w:ascii="宋体" w:hAnsi="宋体" w:hint="eastAsia"/>
          <w:szCs w:val="21"/>
        </w:rPr>
        <w:t>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640176">
      <w:pPr>
        <w:numPr>
          <w:ilvl w:val="0"/>
          <w:numId w:val="4"/>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640176">
      <w:pPr>
        <w:pStyle w:val="BodyText"/>
        <w:spacing w:after="0"/>
        <w:jc w:val="both"/>
        <w:rPr>
          <w:rFonts w:ascii="宋体" w:hAnsi="宋体" w:cs="宋体" w:hint="eastAsia"/>
          <w:b/>
          <w:bCs/>
          <w:spacing w:val="-20"/>
          <w:kern w:val="44"/>
          <w:sz w:val="48"/>
          <w:szCs w:val="48"/>
        </w:rPr>
      </w:pPr>
      <w:r>
        <w:rPr>
          <w:b/>
          <w:bCs/>
          <w:szCs w:val="21"/>
        </w:rPr>
        <w:br w:type="page"/>
      </w:r>
      <w:bookmarkStart w:id="70" w:name="_Toc3995"/>
    </w:p>
    <w:p w:rsidR="00640176">
      <w:pPr>
        <w:pStyle w:val="BodyText"/>
        <w:spacing w:after="0"/>
        <w:jc w:val="center"/>
        <w:rPr>
          <w:rFonts w:ascii="宋体" w:hAnsi="宋体" w:cs="宋体" w:hint="eastAsia"/>
          <w:b/>
          <w:bCs/>
          <w:spacing w:val="-20"/>
          <w:kern w:val="44"/>
          <w:sz w:val="48"/>
          <w:szCs w:val="48"/>
        </w:rPr>
      </w:pPr>
    </w:p>
    <w:p w:rsidR="00640176">
      <w:pPr>
        <w:pStyle w:val="BodyText"/>
        <w:spacing w:after="0"/>
        <w:jc w:val="center"/>
        <w:rPr>
          <w:rFonts w:ascii="宋体" w:hAnsi="宋体" w:cs="宋体" w:hint="eastAsia"/>
          <w:b/>
          <w:bCs/>
          <w:spacing w:val="-20"/>
          <w:kern w:val="44"/>
          <w:sz w:val="48"/>
          <w:szCs w:val="48"/>
        </w:rPr>
      </w:pPr>
    </w:p>
    <w:p w:rsidR="00640176">
      <w:pPr>
        <w:pStyle w:val="BodyText"/>
        <w:spacing w:after="0"/>
        <w:jc w:val="center"/>
        <w:rPr>
          <w:rFonts w:ascii="宋体" w:hAnsi="宋体" w:cs="宋体" w:hint="eastAsia"/>
          <w:b/>
          <w:bCs/>
          <w:spacing w:val="-20"/>
          <w:kern w:val="44"/>
          <w:sz w:val="48"/>
          <w:szCs w:val="48"/>
        </w:rPr>
      </w:pPr>
    </w:p>
    <w:p w:rsidR="00640176">
      <w:pPr>
        <w:pStyle w:val="BodyText"/>
        <w:spacing w:after="0"/>
        <w:jc w:val="center"/>
        <w:rPr>
          <w:rFonts w:ascii="宋体" w:hAnsi="宋体" w:cs="宋体" w:hint="eastAsia"/>
          <w:b/>
          <w:bCs/>
          <w:spacing w:val="-20"/>
          <w:kern w:val="44"/>
          <w:sz w:val="48"/>
          <w:szCs w:val="48"/>
        </w:rPr>
      </w:pPr>
    </w:p>
    <w:p w:rsidR="00640176">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640176">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640176">
      <w:pPr>
        <w:rPr>
          <w:rFonts w:ascii="宋体" w:hAnsi="宋体" w:cs="宋体" w:hint="eastAsia"/>
          <w:b/>
          <w:bCs/>
          <w:spacing w:val="-20"/>
          <w:kern w:val="44"/>
          <w:sz w:val="40"/>
          <w:szCs w:val="40"/>
        </w:rPr>
      </w:pPr>
    </w:p>
    <w:p w:rsidR="00640176">
      <w:pPr>
        <w:rPr>
          <w:rFonts w:ascii="宋体" w:hAnsi="宋体" w:cs="宋体" w:hint="eastAsia"/>
          <w:b/>
          <w:bCs/>
          <w:spacing w:val="-20"/>
          <w:kern w:val="44"/>
          <w:sz w:val="40"/>
          <w:szCs w:val="40"/>
        </w:rPr>
      </w:pPr>
    </w:p>
    <w:p w:rsidR="00640176">
      <w:pPr>
        <w:rPr>
          <w:rFonts w:ascii="宋体" w:hAnsi="宋体" w:cs="宋体" w:hint="eastAsia"/>
          <w:b/>
          <w:bCs/>
          <w:spacing w:val="-20"/>
          <w:kern w:val="44"/>
          <w:sz w:val="40"/>
          <w:szCs w:val="40"/>
        </w:rPr>
      </w:pPr>
    </w:p>
    <w:p w:rsidR="00640176">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64017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640176">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640176">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640176">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640176"/>
    <w:p w:rsidR="00640176">
      <w:pPr>
        <w:rPr>
          <w:rFonts w:eastAsia="黑体"/>
          <w:sz w:val="44"/>
          <w:szCs w:val="44"/>
        </w:rPr>
      </w:pPr>
      <w:r>
        <w:rPr>
          <w:rFonts w:eastAsia="黑体"/>
          <w:sz w:val="44"/>
          <w:szCs w:val="44"/>
        </w:rPr>
        <w:br w:type="page"/>
      </w:r>
    </w:p>
    <w:p w:rsidR="00640176">
      <w:pPr>
        <w:rPr>
          <w:rFonts w:eastAsia="黑体"/>
          <w:sz w:val="44"/>
          <w:szCs w:val="44"/>
        </w:rPr>
      </w:pPr>
    </w:p>
    <w:p w:rsidR="00640176">
      <w:pPr>
        <w:rPr>
          <w:rFonts w:eastAsia="黑体"/>
          <w:sz w:val="44"/>
          <w:szCs w:val="44"/>
        </w:rPr>
      </w:pPr>
    </w:p>
    <w:p w:rsidR="00640176">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640176">
      <w:pPr>
        <w:ind w:firstLine="640" w:firstLineChars="200"/>
        <w:rPr>
          <w:rFonts w:ascii="仿宋_GB2312" w:eastAsia="仿宋_GB2312" w:hAnsi="仿宋_GB2312" w:cs="仿宋_GB2312" w:hint="eastAsia"/>
          <w:sz w:val="32"/>
          <w:szCs w:val="32"/>
        </w:rPr>
      </w:pPr>
    </w:p>
    <w:p w:rsidR="00640176">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640176">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640176">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640176">
      <w:pPr>
        <w:rPr>
          <w:rFonts w:eastAsia="黑体"/>
          <w:sz w:val="44"/>
          <w:szCs w:val="44"/>
        </w:rPr>
        <w:sectPr>
          <w:pgSz w:w="11906" w:h="16838"/>
          <w:pgMar w:top="1440" w:right="1800" w:bottom="1440" w:left="1800" w:header="851" w:footer="992" w:gutter="0"/>
          <w:cols w:space="425"/>
          <w:docGrid w:type="lines" w:linePitch="312"/>
        </w:sectPr>
      </w:pPr>
    </w:p>
    <w:p w:rsidR="00640176">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640176">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640176">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640176">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640176">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640176">
      <w:pPr>
        <w:spacing w:line="400" w:lineRule="exact"/>
      </w:pPr>
    </w:p>
    <w:p w:rsidR="00640176">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640176">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640176">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640176">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640176">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640176">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640176">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640176">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640176">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640176">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640176">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40176">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640176">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640176">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640176">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40176">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640176">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640176">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640176">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640176">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640176">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40176">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640176">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640176">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640176">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640176">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640176">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640176">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640176">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640176">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640176">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640176">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640176">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640176">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640176">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640176">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640176">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640176">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640176">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640176">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640176">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40176">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640176">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640176">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640176">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40176">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640176">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640176">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640176">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40176">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640176">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640176">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640176">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640176">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640176">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640176">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640176">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640176">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640176">
      <w:pPr>
        <w:pStyle w:val="12"/>
        <w:spacing w:line="400" w:lineRule="exact"/>
      </w:pPr>
      <w:r>
        <w:rPr>
          <w:rFonts w:ascii="宋体" w:hAnsi="宋体" w:hint="eastAsia"/>
        </w:rPr>
        <w:t>（3）付款方式：</w:t>
      </w:r>
    </w:p>
    <w:p w:rsidR="00640176">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FE"/>
      </w:r>
      <w:r>
        <w:rPr>
          <w:rFonts w:ascii="宋体" w:hAnsi="宋体" w:hint="eastAsia"/>
          <w:szCs w:val="21"/>
        </w:rPr>
        <w:t>全额付款：</w:t>
      </w:r>
      <w:r>
        <w:rPr>
          <w:rFonts w:ascii="宋体" w:hAnsi="宋体" w:hint="eastAsia"/>
          <w:szCs w:val="21"/>
          <w:u w:val="single"/>
        </w:rPr>
        <w:t xml:space="preserve">   合同签订并到货验收合格后，乙方提供增值税发票，甲方收到发票后90个工作日内一次性支付合同全款。                 </w:t>
      </w:r>
    </w:p>
    <w:p w:rsidR="00640176">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640176">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640176">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640176">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640176">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640176">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640176">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640176">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640176">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640176">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640176">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640176">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640176">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640176">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640176">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640176">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640176">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40176">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640176">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40176">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640176">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640176">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640176">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640176">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640176">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640176">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640176">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640176">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640176">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640176">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640176">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640176">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640176">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640176">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640176">
      <w:r>
        <w:rPr>
          <w:rFonts w:hint="eastAsia"/>
        </w:rPr>
        <w:br w:type="page"/>
      </w:r>
    </w:p>
    <w:p w:rsidR="00640176">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640176">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640176">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法定代表人</w:t>
            </w:r>
          </w:p>
          <w:p w:rsidR="00640176">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法定代表人</w:t>
            </w:r>
          </w:p>
          <w:p w:rsidR="00640176">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40176">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640176">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640176">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640176">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640176">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640176">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640176">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640176">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640176">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640176">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640176">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640176">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640176">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640176">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640176">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640176">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640176">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640176">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640176">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640176">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640176">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640176">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640176">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640176">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640176">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640176">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640176">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640176">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640176">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640176">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640176">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640176">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640176">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64017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640176">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64017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640176">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640176">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640176">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640176">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640176">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640176">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640176">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640176">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640176">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640176">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640176">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640176">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640176">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640176">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640176">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640176">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64017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64017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640176">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640176">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640176">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640176">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640176">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640176">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640176">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640176">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640176">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640176">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640176">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640176">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640176">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640176">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640176">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640176">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640176">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4" w:name="_Toc20313"/>
    </w:p>
    <w:p w:rsidR="00640176">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640176">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snapToGrid w:val="0"/>
              <w:jc w:val="center"/>
            </w:pPr>
            <w:r>
              <w:rPr>
                <w:rFonts w:ascii="宋体" w:hAnsi="宋体" w:hint="eastAsia"/>
                <w:szCs w:val="21"/>
              </w:rPr>
              <w:t>第5.4款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snapToGrid w:val="0"/>
              <w:jc w:val="center"/>
              <w:rPr>
                <w:rFonts w:ascii="宋体" w:hAnsi="宋体" w:hint="eastAsia"/>
                <w:szCs w:val="21"/>
              </w:rPr>
            </w:pPr>
            <w:r>
              <w:rPr>
                <w:rFonts w:ascii="宋体" w:hAnsi="宋体" w:hint="eastAsia"/>
                <w:szCs w:val="21"/>
              </w:rPr>
              <w:t>第6.1款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640176"/>
        </w:tc>
      </w:tr>
      <w:tr>
        <w:tblPrEx>
          <w:tblW w:w="8519" w:type="dxa"/>
          <w:tblInd w:w="108" w:type="dxa"/>
          <w:tblLayout w:type="fixed"/>
          <w:tblLook w:val="04A0"/>
        </w:tblPrEx>
        <w:trPr>
          <w:trHeight w:val="667"/>
        </w:trPr>
        <w:tc>
          <w:tcPr>
            <w:tcW w:w="1607" w:type="dxa"/>
            <w:vMerge/>
            <w:vAlign w:val="center"/>
          </w:tcPr>
          <w:p w:rsidR="00640176">
            <w:pPr>
              <w:adjustRightInd w:val="0"/>
              <w:snapToGrid w:val="0"/>
              <w:jc w:val="center"/>
              <w:rPr>
                <w:rFonts w:ascii="宋体" w:hAnsi="宋体" w:hint="eastAsia"/>
                <w:szCs w:val="21"/>
              </w:rPr>
            </w:pP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640176"/>
        </w:tc>
      </w:tr>
      <w:tr>
        <w:tblPrEx>
          <w:tblW w:w="8519" w:type="dxa"/>
          <w:tblInd w:w="108" w:type="dxa"/>
          <w:tblLayout w:type="fixed"/>
          <w:tblLook w:val="04A0"/>
        </w:tblPrEx>
        <w:trPr>
          <w:trHeight w:val="772"/>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640176"/>
        </w:tc>
      </w:tr>
      <w:tr>
        <w:tblPrEx>
          <w:tblW w:w="8519" w:type="dxa"/>
          <w:tblInd w:w="108" w:type="dxa"/>
          <w:tblLayout w:type="fixed"/>
          <w:tblLook w:val="04A0"/>
        </w:tblPrEx>
        <w:trPr>
          <w:trHeight w:val="667"/>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640176"/>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640176">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货物质量缺陷</w:t>
            </w:r>
          </w:p>
          <w:p w:rsidR="00640176">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snapToGrid w:val="0"/>
              <w:jc w:val="center"/>
              <w:rPr>
                <w:rFonts w:ascii="宋体" w:hAnsi="宋体" w:cs="宋体" w:hint="eastAsia"/>
                <w:szCs w:val="21"/>
              </w:rPr>
            </w:pPr>
            <w:r>
              <w:rPr>
                <w:rFonts w:ascii="宋体" w:hAnsi="宋体" w:cs="宋体" w:hint="eastAsia"/>
                <w:szCs w:val="21"/>
              </w:rPr>
              <w:t>第二节</w:t>
            </w:r>
          </w:p>
          <w:p w:rsidR="00640176">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640176">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640176">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640176">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640176">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640176">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640176">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640176">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640176">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640176">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640176">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640176">
            <w:pPr>
              <w:adjustRightInd w:val="0"/>
              <w:snapToGrid w:val="0"/>
              <w:jc w:val="center"/>
              <w:rPr>
                <w:rFonts w:ascii="宋体" w:hAnsi="宋体" w:hint="eastAsia"/>
                <w:szCs w:val="21"/>
              </w:rPr>
            </w:pPr>
            <w:r>
              <w:rPr>
                <w:rFonts w:ascii="宋体" w:hAnsi="宋体" w:hint="eastAsia"/>
                <w:szCs w:val="21"/>
              </w:rPr>
              <w:t>第二节</w:t>
            </w:r>
          </w:p>
          <w:p w:rsidR="00640176">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640176">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640176">
            <w:pPr>
              <w:adjustRightInd w:val="0"/>
              <w:snapToGrid w:val="0"/>
              <w:jc w:val="left"/>
              <w:rPr>
                <w:rFonts w:ascii="宋体" w:hAnsi="宋体" w:hint="eastAsia"/>
                <w:szCs w:val="21"/>
              </w:rPr>
            </w:pPr>
          </w:p>
        </w:tc>
      </w:tr>
    </w:tbl>
    <w:p w:rsidR="00640176"/>
    <w:p w:rsidR="00640176">
      <w:pPr>
        <w:rPr>
          <w:b/>
          <w:bCs/>
          <w:sz w:val="44"/>
          <w:szCs w:val="44"/>
        </w:rPr>
      </w:pPr>
    </w:p>
    <w:p w:rsidR="00640176"/>
    <w:p w:rsidR="00A77B3E"/>
    <w:p w:rsidR="00640176">
      <w:pPr>
        <w:numPr>
          <w:ilvl w:val="0"/>
          <w:numId w:val="4"/>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FreeSerif"/>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altName w:val="3 of 9 Barcode"/>
    <w:panose1 w:val="05050102010706020507"/>
    <w:charset w:val="02"/>
    <w:family w:val="roman"/>
    <w:pitch w:val="variable"/>
    <w:sig w:usb0="00000000" w:usb1="10000000" w:usb2="00000000" w:usb3="00000000" w:csb0="80000000" w:csb1="00000000"/>
  </w:font>
  <w:font w:name="Wingdings">
    <w:altName w:val="3 of 9 Barcode"/>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FreeSerif">
    <w:panose1 w:val="02020603050405020304"/>
    <w:charset w:val="00"/>
    <w:family w:val="auto"/>
    <w:pitch w:val="default"/>
    <w:sig w:usb0="E59FAFFF" w:usb1="C200FDFF" w:usb2="43501B29" w:usb3="04000043" w:csb0="600101FF" w:csb1="FFFF0000"/>
  </w:font>
  <w:font w:name="3 of 9 Barcode">
    <w:panose1 w:val="04027200000000000000"/>
    <w:charset w:val="00"/>
    <w:family w:val="auto"/>
    <w:pitch w:val="default"/>
    <w:sig w:usb0="00000000"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76"/>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Pr>
      <w:rFonts w:ascii="宋体" w:hAnsi="宋体" w:eastAsiaTheme="minorEastAsia" w:cs="宋体"/>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