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青海省人工影响天气水资源保障工程-高炮作业点电子围栏及高炮作业安全监控终端和烟炉作业监控终端</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ZQCD-26087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青海省气象灾害防御技术中心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青海省人工影响天气水资源保障工程-高炮作业点电子围栏及高炮作业安全监控终端和烟炉作业监控终端</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ZQCD-26087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2026年06月04日 00:00:00</w:t>
      </w:r>
      <w:bookmarkEnd w:id="26"/>
      <w:r>
        <w:rPr>
          <w:rFonts w:ascii="宋体" w:hint="eastAsia"/>
          <w:szCs w:val="21"/>
          <w:highlight w:val="none"/>
        </w:rPr>
        <w:t>至</w:t>
      </w:r>
      <w:bookmarkStart w:id="27" w:name="项目公告_signUpLastTime"/>
      <w:r>
        <w:rPr>
          <w:rFonts w:ascii="宋体" w:hint="eastAsia"/>
          <w:szCs w:val="21"/>
          <w:highlight w:val="none"/>
        </w:rPr>
        <w:t>2026年06月11日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2026年06月25日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陈小超</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青海省气象灾害防御技术中心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田建兵</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0971-6135315</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青海省气象灾害防御技术中心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允许（仅针对以下产品：非核心产品允许代理商投标）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设有，核心产品为智能化监控识别终端</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（1）标的：青海省人工影响天气水资源保障工程-高炮作业点电子围栏，属于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bookmarkStart w:id="48" w:name="_GoBack"/>
            <w:bookmarkEnd w:id="48"/>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1,014.800000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1,014.800000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5" w:name="进行述标_describeStandardFlagText"/>
            <w:r>
              <w:rPr>
                <w:rFonts w:ascii="宋体" w:hAnsi="宋体" w:cs="微软雅黑" w:hint="eastAsia"/>
                <w:kern w:val="0"/>
                <w:szCs w:val="21"/>
                <w:highlight w:val="none"/>
              </w:rPr>
              <w:t>否</w:t>
            </w:r>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6" w:name="其他事项_ottherReemarks"/>
            <w:r>
              <w:rPr>
                <w:rFonts w:ascii="宋体" w:hAnsi="宋体" w:hint="eastAsia"/>
                <w:szCs w:val="21"/>
                <w:highlight w:val="none"/>
              </w:rPr>
              <w:t>无</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46"/>
        <w:gridCol w:w="240"/>
        <w:gridCol w:w="1316"/>
        <w:gridCol w:w="240"/>
        <w:gridCol w:w="7061"/>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(3)</w:t>
            </w:r>
          </w:p>
        </w:tc>
        <w:tc>
          <w:tcPr/>
          <w:p>
            <w:r>
              <w:t>评审标准：</w:t>
            </w:r>
          </w:p>
          <w:p>
            <w:r>
              <w:t>1、投标人具有ISO9001质量管理体系认证；</w:t>
              <w:cr/>
              <w:t>2、投标人具有ISO20000信息技术服务管理体系认证；</w:t>
              <w:cr/>
              <w:t>3、投标人具有ISO27001信息安全管理体系认证；</w:t>
              <w:cr/>
              <w:t>以上具有1项得1分，最多得3分。否则不得分。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(3)</w:t>
            </w:r>
          </w:p>
        </w:tc>
        <w:tc>
          <w:tcPr/>
          <w:p>
            <w:r>
              <w:t>评审标准：</w:t>
            </w:r>
          </w:p>
          <w:p>
            <w:r>
              <w:t>销售合同必须包括摄像头或网络硬盘录像机或智能化监控识别设备或高炮安全作业监控终端，每提供1份合同得1分，最多得3分。否则不得分。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服务团队</w:t>
            </w:r>
          </w:p>
        </w:tc>
        <w:tc>
          <w:tcPr/>
          <w:p>
            <w:r>
              <w:t>勾选打分</w:t>
            </w:r>
            <w:r>
              <w:t>(3)</w:t>
            </w:r>
          </w:p>
        </w:tc>
        <w:tc>
          <w:tcPr/>
          <w:p>
            <w:r>
              <w:t>评审标准：</w:t>
            </w:r>
          </w:p>
          <w:p>
            <w:r>
              <w:t>1、投标人为本项目拟派的项目经理具备中级及以上系统集成项目管理工程师证书得1分；</w:t>
              <w:cr/>
              <w:t>2、投标人为本项目拟派的技术负责人具备中级及以上网络工程师证书得1分；</w:t>
              <w:cr/>
              <w:t>3、除以上外，项目团队人员中，具备中级及以上软件工程师证书或中级及以上人工智能应用工程师证书得1分。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投标人应提供包含该项评审标准中要求的培训内容以及培训方案。具体标准评分如下：</w:t>
              <w:cr/>
              <w:t>一档：未提供培训方案；</w:t>
              <w:cr/>
              <w:t>二档：培训方案不完整；</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val="restart"/>
          </w:tcPr>
          <w:p>
            <w:r>
              <w:t>技术部分</w:t>
            </w:r>
          </w:p>
        </w:tc>
        <w:tc>
          <w:tcPr/>
          <w:p>
            <w:r>
              <w:t>投标设备技术性能要求（客观分）</w:t>
            </w:r>
          </w:p>
        </w:tc>
        <w:tc>
          <w:tcPr/>
          <w:p>
            <w:r>
              <w:t>区间打分</w:t>
            </w:r>
            <w:r>
              <w:t>(45)</w:t>
            </w:r>
          </w:p>
        </w:tc>
        <w:tc>
          <w:tcPr/>
          <w:p>
            <w:r>
              <w:t>评审标准：</w:t>
            </w:r>
          </w:p>
          <w:p>
            <w:r>
              <w:t>标注▲的重要技术性能要求共7项，标注#的功能要求共8项，每满足1项（如有多个下级指标，则每个下级指标均应满足）得3分，满分45分。</w:t>
            </w:r>
          </w:p>
          <w:p>
            <w:r>
              <w:t>评审标准说明：</w:t>
            </w:r>
          </w:p>
          <w:p>
            <w:r>
              <w:t>响应且满足招标文件第七章技术性能指标要求，标注▲的重要性能指标需提供第三方测试报告作为证明材料，标注#的功能指标需提供技术文档或承诺函，非标注项需提供相关指标的技术文档或产品彩页或承诺函。</w:t>
            </w:r>
          </w:p>
          <w:p/>
        </w:tc>
      </w:tr>
      <w:tr>
        <w:tblPrEx>
          <w:tblW w:w="5000" w:type="pct"/>
          <w:tblCellMar>
            <w:left w:w="108" w:type="dxa"/>
            <w:right w:w="108" w:type="dxa"/>
          </w:tblCellMar>
        </w:tblPrEx>
        <w:tc>
          <w:tcPr/>
          <w:p>
            <w:r>
              <w:t>8</w:t>
            </w:r>
          </w:p>
        </w:tc>
        <w:tc>
          <w:tcPr>
            <w:vMerge/>
          </w:tcPr>
          <w:p>
            <w:r>
              <w:t>技术部分</w:t>
            </w:r>
          </w:p>
        </w:tc>
        <w:tc>
          <w:tcPr/>
          <w:p>
            <w:r>
              <w:t>需求分析方案</w:t>
            </w:r>
          </w:p>
        </w:tc>
        <w:tc>
          <w:tcPr/>
          <w:p>
            <w:r>
              <w:t>勾选打分</w:t>
            </w:r>
            <w:r>
              <w:t>(2)</w:t>
            </w:r>
          </w:p>
        </w:tc>
        <w:tc>
          <w:tcPr/>
          <w:p>
            <w:r>
              <w:t>评审标准：</w:t>
            </w:r>
          </w:p>
          <w:p>
            <w:r>
              <w:t>一档0分</w:t>
              <w:cr/>
              <w:t>二档0.5分</w:t>
              <w:cr/>
              <w:t>三档1分</w:t>
              <w:cr/>
              <w:t>四档2分</w:t>
            </w:r>
          </w:p>
          <w:p>
            <w:r>
              <w:t>评审标准说明：</w:t>
            </w:r>
          </w:p>
          <w:p>
            <w:r>
              <w:t>根据投标人提供的本项目相关业务背景、业务现状和重难点分析方案进行评分，具体评分标准如下：</w:t>
              <w:cr/>
              <w:t>一档：未提供任何方案，或提供的方案与本次采购内容完全无关，无法满足基本要求。</w:t>
              <w:cr/>
              <w:t>二档：提供的方案较为简略，内容不全面或不完整，未能覆盖核心需求，缺乏必要的细节支撑。</w:t>
              <w:cr/>
              <w:t>三档：提供的方案基本完整、全面，对业务背景和现状有一定描述，但针对性一般，未能充分体现对具体问题的深入思考。</w:t>
              <w:cr/>
              <w:t>四档：提供的方案完整、全面，对业务背景、现状及重难点分析深入透彻，能够充分结合青海省人工影响天气业务的实际现状，体现出较高的专业性和针对性。</w:t>
            </w:r>
          </w:p>
          <w:p/>
        </w:tc>
      </w:tr>
      <w:tr>
        <w:tblPrEx>
          <w:tblW w:w="5000" w:type="pct"/>
          <w:tblCellMar>
            <w:left w:w="108" w:type="dxa"/>
            <w:right w:w="108" w:type="dxa"/>
          </w:tblCellMar>
        </w:tblPrEx>
        <w:tc>
          <w:tcPr/>
          <w:p>
            <w:r>
              <w:t>9</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根据投标人提供实施方案进行评分。实施方案应结合采购需求，包括投标产品的生产流程、运输安排、安装步骤、调试方法或试运行计划等。具体评分标准如下：</w:t>
              <w:cr/>
              <w:t xml:space="preserve">一档：未提供。  </w:t>
              <w:cr/>
              <w:t>二档：实施方案不完整（指缺失生产流程、运输安排、安装步骤、调试方法或试运行计划中的任意一项）。</w:t>
              <w:cr/>
              <w:t>三档：实施方案完整，但未结合本项目具体特点制定专门措施，或所提措施缺乏合理性、可行性。</w:t>
              <w:cr/>
              <w:t>四档：实施方案完整、条理清晰，专门针对本项目给出了合理、可行、具体且详实的执行措施，充分响应采购文件中的各项要求。</w:t>
            </w:r>
          </w:p>
          <w:p/>
        </w:tc>
      </w:tr>
      <w:tr>
        <w:tblPrEx>
          <w:tblW w:w="5000" w:type="pct"/>
          <w:tblCellMar>
            <w:left w:w="108" w:type="dxa"/>
            <w:right w:w="108" w:type="dxa"/>
          </w:tblCellMar>
        </w:tblPrEx>
        <w:tc>
          <w:tcPr/>
          <w:p>
            <w:r>
              <w:t>10</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根据投标人提供的技术方案和能证明投标产品技术性能的第三方测试报告（或相关指标的技术文档或产品彩页或承诺函）进行评分，具体评分标准如下：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或相关指标的技术文档或产品彩页或承诺函，并加盖投标人公章。其中，测试内容应包括但不限于标注▲和#的指标。综合技术性能由评审委员会根据技术性能指标，主观综合评判。</w:t>
            </w:r>
          </w:p>
          <w:p/>
        </w:tc>
      </w:tr>
      <w:tr>
        <w:tblPrEx>
          <w:tblW w:w="5000" w:type="pct"/>
          <w:tblCellMar>
            <w:left w:w="108" w:type="dxa"/>
            <w:right w:w="108" w:type="dxa"/>
          </w:tblCellMar>
        </w:tblPrEx>
        <w:tc>
          <w:tcPr/>
          <w:p>
            <w:r>
              <w:t>11</w:t>
            </w:r>
          </w:p>
        </w:tc>
        <w:tc>
          <w:tcPr>
            <w:vMerge/>
          </w:tcPr>
          <w:p>
            <w:r>
              <w:t>技术部分</w:t>
            </w:r>
          </w:p>
        </w:tc>
        <w:tc>
          <w:tcPr/>
          <w:p>
            <w:r>
              <w:t>国省一体化人影综合业务平台（青海版）对接方案（主观分）</w:t>
            </w:r>
          </w:p>
        </w:tc>
        <w:tc>
          <w:tcPr/>
          <w:p>
            <w:r>
              <w:t>勾选打分</w:t>
            </w:r>
            <w:r>
              <w:t>(4)</w:t>
            </w:r>
          </w:p>
        </w:tc>
        <w:tc>
          <w:tcPr/>
          <w:p>
            <w:r>
              <w:t>评审标准：</w:t>
            </w:r>
          </w:p>
          <w:p>
            <w:r>
              <w:t>一档0分</w:t>
              <w:cr/>
              <w:t>二档1分</w:t>
              <w:cr/>
              <w:t>三档2分</w:t>
              <w:cr/>
              <w:t>四档4分</w:t>
            </w:r>
          </w:p>
          <w:p>
            <w:r>
              <w:t>评审标准说明：</w:t>
            </w:r>
          </w:p>
          <w:p>
            <w:r>
              <w:t>根据投标人针对本项目提供的相关设备与国省一体化人影综合业务平台（青海版）的对接方案，重点说明本项目相关硬件设备按照《国省一体化人影综合业务平台数据交互接口技术要求》对接国省一体化人影综合业务平台（青海版）的适配能力，包含数据接口与通信适配能力、状态监控与物联管理能力、业务流程与作业执行适配能力，以及按照国省一体化人影综合业务平台组件开发能力进行评分。具体如下：</w:t>
              <w:cr/>
              <w:t>一档：未提供对接方案。</w:t>
              <w:cr/>
              <w:t>二档：提供的对接方案不完整（指缺失上述相关内容），或提供的方案无针对性，不满足与国省一体化人影综合业务平台（青海版）的对接要求</w:t>
              <w:cr/>
              <w:t>三档：提供的对接方案完整，有一定针对性，基本与国省一体化人影综合业务平台（青海版）的对接要求。</w:t>
              <w:cr/>
              <w:t>四档：提供的对接方案完整，针对性强，完全满足与国省一体化人影综合业务平台（青海版）的对接要求。</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7"/>
    </w:p>
    <w:p w:rsidR="005A0F0B">
      <w:pPr>
        <w:spacing w:before="156" w:beforeLines="50" w:line="360" w:lineRule="auto"/>
        <w:jc w:val="center"/>
        <w:outlineLvl w:val="1"/>
        <w:rPr>
          <w:rFonts w:ascii="宋体" w:hAnsi="宋体"/>
          <w:b/>
          <w:sz w:val="30"/>
          <w:szCs w:val="30"/>
        </w:rPr>
      </w:pPr>
      <w:r>
        <w:rPr>
          <w:bCs/>
          <w:szCs w:val="21"/>
          <w:highlight w:val="none"/>
        </w:rPr>
        <w:br w:type="page"/>
      </w:r>
      <w:bookmarkStart w:id="58"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5A0F0B">
      <w:pPr>
        <w:spacing w:line="360" w:lineRule="auto"/>
        <w:ind w:firstLine="420" w:firstLineChars="200"/>
        <w:rPr>
          <w:rFonts w:ascii="宋体" w:hAnsi="宋体"/>
          <w:b/>
          <w:bCs/>
          <w:szCs w:val="21"/>
        </w:rPr>
      </w:pPr>
      <w:r>
        <w:rPr>
          <w:rFonts w:ascii="宋体" w:hAnsi="宋体" w:hint="eastAsia"/>
          <w:b/>
          <w:bCs/>
          <w:szCs w:val="21"/>
        </w:rPr>
        <w:t>一、项目概况及总体要求</w:t>
      </w:r>
    </w:p>
    <w:p w:rsidR="005A0F0B">
      <w:pPr>
        <w:spacing w:line="360" w:lineRule="auto"/>
        <w:ind w:firstLine="420" w:firstLineChars="200"/>
        <w:rPr>
          <w:rFonts w:ascii="宋体" w:hAnsi="宋体"/>
          <w:bCs/>
          <w:szCs w:val="21"/>
        </w:rPr>
      </w:pPr>
      <w:r>
        <w:rPr>
          <w:rFonts w:ascii="宋体" w:hAnsi="宋体" w:hint="eastAsia"/>
          <w:bCs/>
          <w:szCs w:val="21"/>
        </w:rPr>
        <w:t>1</w:t>
      </w:r>
      <w:r>
        <w:rPr>
          <w:rFonts w:ascii="宋体" w:hAnsi="宋体" w:hint="eastAsia"/>
          <w:bCs/>
          <w:szCs w:val="21"/>
        </w:rPr>
        <w:t>、项目概述</w:t>
      </w:r>
    </w:p>
    <w:p w:rsidR="005A0F0B">
      <w:pPr>
        <w:spacing w:line="360" w:lineRule="auto"/>
        <w:ind w:firstLine="420" w:firstLineChars="200"/>
        <w:rPr>
          <w:rFonts w:ascii="宋体" w:hAnsi="宋体"/>
          <w:szCs w:val="21"/>
        </w:rPr>
      </w:pPr>
      <w:r>
        <w:rPr>
          <w:rFonts w:ascii="宋体" w:hAnsi="宋体" w:hint="eastAsia"/>
          <w:bCs/>
          <w:szCs w:val="21"/>
        </w:rPr>
        <w:t>青海省人工影响天气水资源保障工程</w:t>
      </w:r>
      <w:r>
        <w:rPr>
          <w:rFonts w:ascii="宋体" w:hAnsi="宋体" w:hint="eastAsia"/>
          <w:bCs/>
          <w:szCs w:val="21"/>
        </w:rPr>
        <w:t>-</w:t>
      </w:r>
      <w:r>
        <w:rPr>
          <w:rFonts w:ascii="宋体" w:hAnsi="宋体" w:hint="eastAsia"/>
          <w:bCs/>
          <w:szCs w:val="21"/>
        </w:rPr>
        <w:t>高炮作业点电子围栏</w:t>
      </w:r>
      <w:r>
        <w:rPr>
          <w:rFonts w:ascii="宋体" w:hAnsi="宋体" w:hint="eastAsia"/>
          <w:szCs w:val="21"/>
        </w:rPr>
        <w:t>采购内容主要为青海省</w:t>
      </w:r>
      <w:r>
        <w:rPr>
          <w:rFonts w:ascii="宋体" w:hAnsi="宋体" w:hint="eastAsia"/>
          <w:szCs w:val="21"/>
        </w:rPr>
        <w:t>154</w:t>
      </w:r>
      <w:r>
        <w:rPr>
          <w:rFonts w:ascii="宋体" w:hAnsi="宋体" w:hint="eastAsia"/>
          <w:szCs w:val="21"/>
        </w:rPr>
        <w:t>套高炮作业点建设电子围栏，项目建设地点覆盖青海省境内的湟中区、湟源县、大通县、循化县、互助县、民和县、乐都区、平安区、化隆县、刚察县、海晏县、门源县、共和县、同德县、贵南县、兴海县、同仁市、尖扎县等县区。</w:t>
      </w:r>
    </w:p>
    <w:p w:rsidR="005A0F0B">
      <w:pPr>
        <w:spacing w:line="360" w:lineRule="auto"/>
        <w:ind w:firstLine="420" w:firstLineChars="200"/>
        <w:rPr>
          <w:rFonts w:ascii="宋体" w:hAnsi="宋体"/>
          <w:bCs/>
          <w:szCs w:val="21"/>
        </w:rPr>
      </w:pPr>
      <w:r>
        <w:rPr>
          <w:rFonts w:ascii="宋体" w:hAnsi="宋体" w:hint="eastAsia"/>
          <w:bCs/>
          <w:szCs w:val="21"/>
        </w:rPr>
        <w:t>2</w:t>
      </w:r>
      <w:r>
        <w:rPr>
          <w:rFonts w:ascii="宋体" w:hAnsi="宋体" w:hint="eastAsia"/>
          <w:bCs/>
          <w:szCs w:val="21"/>
        </w:rPr>
        <w:t>、总体要求</w:t>
      </w:r>
    </w:p>
    <w:p w:rsidR="005A0F0B">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1</w:t>
      </w:r>
      <w:r>
        <w:rPr>
          <w:rFonts w:ascii="宋体" w:hAnsi="宋体" w:hint="eastAsia"/>
          <w:bCs/>
          <w:szCs w:val="21"/>
        </w:rPr>
        <w:t>）投标人提供的各类设备与软件必须满足标书提出的功能和规格描述。</w:t>
      </w:r>
    </w:p>
    <w:p w:rsidR="005A0F0B">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2</w:t>
      </w:r>
      <w:r>
        <w:rPr>
          <w:rFonts w:ascii="宋体" w:hAnsi="宋体" w:hint="eastAsia"/>
          <w:bCs/>
          <w:szCs w:val="21"/>
        </w:rPr>
        <w:t>）投标人提供的系统软、硬件的性能应达到或超过招标书所列技术指标。投标人在响应建议中必须就有关技术指标列出具体数值，否则将视为不符合技术性能需求。</w:t>
      </w:r>
    </w:p>
    <w:p w:rsidR="005A0F0B">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3</w:t>
      </w:r>
      <w:r>
        <w:rPr>
          <w:rFonts w:ascii="宋体" w:hAnsi="宋体" w:hint="eastAsia"/>
          <w:bCs/>
          <w:szCs w:val="21"/>
        </w:rPr>
        <w:t>）投标人的设备报价表应尽量具体详细，报价表中要明确设备厂家、型号和价格等。</w:t>
      </w:r>
    </w:p>
    <w:p w:rsidR="005A0F0B">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4</w:t>
      </w:r>
      <w:r>
        <w:rPr>
          <w:rFonts w:ascii="宋体" w:hAnsi="宋体" w:hint="eastAsia"/>
          <w:bCs/>
          <w:szCs w:val="21"/>
        </w:rPr>
        <w:t>）投标人提供的设备的性能指标，按照投标时厂家公开公布的实际性能指标参数如实填写，填写“将来支持或未来支持等不确切的性能指标参数”，即为不支持；若发现弄虚作假，即废标，并追究投标人和生产厂家递交虚假资料的法律责任。</w:t>
      </w:r>
    </w:p>
    <w:p w:rsidR="005A0F0B">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5</w:t>
      </w:r>
      <w:r>
        <w:rPr>
          <w:rFonts w:ascii="宋体" w:hAnsi="宋体" w:hint="eastAsia"/>
          <w:bCs/>
          <w:szCs w:val="21"/>
        </w:rPr>
        <w:t>）设备及相应的配套设施，应具有良好的防潮、防锈和防腐蚀能力，</w:t>
      </w:r>
      <w:r>
        <w:rPr>
          <w:rFonts w:ascii="宋体" w:hAnsi="宋体" w:hint="eastAsia"/>
          <w:bCs/>
          <w:szCs w:val="21"/>
        </w:rPr>
        <w:t>适应强降水工作环境。</w:t>
      </w:r>
    </w:p>
    <w:p w:rsidR="005A0F0B">
      <w:pPr>
        <w:spacing w:line="360" w:lineRule="auto"/>
        <w:ind w:firstLine="420" w:firstLineChars="200"/>
        <w:rPr>
          <w:rFonts w:ascii="宋体" w:hAnsi="宋体"/>
          <w:bCs/>
          <w:szCs w:val="21"/>
        </w:rPr>
      </w:pPr>
      <w:r>
        <w:rPr>
          <w:rFonts w:ascii="宋体" w:hAnsi="宋体" w:hint="eastAsia"/>
          <w:bCs/>
          <w:szCs w:val="21"/>
        </w:rPr>
        <w:t>（</w:t>
      </w:r>
      <w:r>
        <w:rPr>
          <w:rFonts w:ascii="宋体" w:hAnsi="宋体" w:hint="eastAsia"/>
          <w:bCs/>
          <w:szCs w:val="21"/>
        </w:rPr>
        <w:t>6</w:t>
      </w:r>
      <w:r>
        <w:rPr>
          <w:rFonts w:ascii="宋体" w:hAnsi="宋体" w:hint="eastAsia"/>
          <w:bCs/>
          <w:szCs w:val="21"/>
        </w:rPr>
        <w:t>）投标产品为国产设备。</w:t>
      </w:r>
    </w:p>
    <w:p w:rsidR="005A0F0B">
      <w:pPr>
        <w:spacing w:line="360" w:lineRule="auto"/>
        <w:ind w:firstLine="420" w:firstLineChars="200"/>
        <w:rPr>
          <w:rFonts w:ascii="宋体" w:hAnsi="宋体"/>
          <w:b/>
          <w:bCs/>
          <w:szCs w:val="21"/>
        </w:rPr>
      </w:pPr>
      <w:r>
        <w:rPr>
          <w:rFonts w:ascii="宋体" w:hAnsi="宋体" w:hint="eastAsia"/>
          <w:b/>
          <w:bCs/>
          <w:szCs w:val="21"/>
        </w:rPr>
        <w:t>二、采购内容</w:t>
      </w:r>
    </w:p>
    <w:p w:rsidR="005A0F0B">
      <w:pPr>
        <w:spacing w:line="360" w:lineRule="auto"/>
        <w:ind w:firstLine="420" w:firstLineChars="200"/>
        <w:rPr>
          <w:rFonts w:ascii="宋体" w:hAnsi="宋体"/>
          <w:szCs w:val="21"/>
        </w:rPr>
      </w:pPr>
      <w:r>
        <w:rPr>
          <w:rFonts w:ascii="宋体" w:hAnsi="宋体" w:hint="eastAsia"/>
          <w:szCs w:val="21"/>
        </w:rPr>
        <w:t>高炮作业点电子围栏由作业点监控设备和监控识别系统组成，作业点监控设备包括双光谱半球摄像机</w:t>
      </w:r>
      <w:r>
        <w:rPr>
          <w:rFonts w:ascii="宋体" w:hAnsi="宋体" w:hint="eastAsia"/>
          <w:szCs w:val="21"/>
        </w:rPr>
        <w:t>770</w:t>
      </w:r>
      <w:r>
        <w:rPr>
          <w:rFonts w:ascii="宋体" w:hAnsi="宋体" w:hint="eastAsia"/>
          <w:szCs w:val="21"/>
        </w:rPr>
        <w:t>台；监控识别系统包括网络音箱</w:t>
      </w:r>
      <w:r>
        <w:rPr>
          <w:rFonts w:ascii="宋体" w:hAnsi="宋体" w:hint="eastAsia"/>
          <w:szCs w:val="21"/>
        </w:rPr>
        <w:t>154</w:t>
      </w:r>
      <w:r>
        <w:rPr>
          <w:rFonts w:ascii="宋体" w:hAnsi="宋体" w:hint="eastAsia"/>
          <w:szCs w:val="21"/>
        </w:rPr>
        <w:t>台，</w:t>
      </w:r>
      <w:r>
        <w:rPr>
          <w:rFonts w:ascii="宋体" w:hAnsi="宋体" w:hint="eastAsia"/>
          <w:szCs w:val="21"/>
        </w:rPr>
        <w:t>POE</w:t>
      </w:r>
      <w:r>
        <w:rPr>
          <w:rFonts w:ascii="宋体" w:hAnsi="宋体" w:hint="eastAsia"/>
          <w:szCs w:val="21"/>
        </w:rPr>
        <w:t>交换机</w:t>
      </w:r>
      <w:r>
        <w:rPr>
          <w:rFonts w:ascii="宋体" w:hAnsi="宋体" w:hint="eastAsia"/>
          <w:szCs w:val="21"/>
        </w:rPr>
        <w:t>154</w:t>
      </w:r>
      <w:r>
        <w:rPr>
          <w:rFonts w:ascii="宋体" w:hAnsi="宋体" w:hint="eastAsia"/>
          <w:szCs w:val="21"/>
        </w:rPr>
        <w:t>台，</w:t>
      </w:r>
      <w:r>
        <w:rPr>
          <w:rFonts w:ascii="宋体" w:hAnsi="宋体" w:cs="宋体" w:hint="eastAsia"/>
          <w:color w:val="000000"/>
          <w:kern w:val="0"/>
          <w:szCs w:val="21"/>
          <w:lang w:bidi="ar"/>
        </w:rPr>
        <w:t>网络硬盘录像机</w:t>
      </w:r>
      <w:r>
        <w:rPr>
          <w:rFonts w:ascii="宋体" w:hAnsi="宋体" w:hint="eastAsia"/>
          <w:szCs w:val="21"/>
        </w:rPr>
        <w:t>154</w:t>
      </w:r>
      <w:r>
        <w:rPr>
          <w:rFonts w:ascii="宋体" w:hAnsi="宋体" w:hint="eastAsia"/>
          <w:szCs w:val="21"/>
        </w:rPr>
        <w:t>台，无线路由器</w:t>
      </w:r>
      <w:r>
        <w:rPr>
          <w:rFonts w:ascii="宋体" w:hAnsi="宋体" w:hint="eastAsia"/>
          <w:szCs w:val="21"/>
        </w:rPr>
        <w:t>154</w:t>
      </w:r>
      <w:r>
        <w:rPr>
          <w:rFonts w:ascii="宋体" w:hAnsi="宋体" w:hint="eastAsia"/>
          <w:szCs w:val="21"/>
        </w:rPr>
        <w:t>台，智能化监控识别终端</w:t>
      </w:r>
      <w:r>
        <w:rPr>
          <w:rFonts w:ascii="宋体" w:hAnsi="宋体" w:hint="eastAsia"/>
          <w:szCs w:val="21"/>
        </w:rPr>
        <w:t>154</w:t>
      </w:r>
      <w:r>
        <w:rPr>
          <w:rFonts w:ascii="宋体" w:hAnsi="宋体" w:hint="eastAsia"/>
          <w:szCs w:val="21"/>
        </w:rPr>
        <w:t>台。</w:t>
      </w:r>
      <w:r>
        <w:rPr>
          <w:rFonts w:ascii="宋体" w:hAnsi="宋体"/>
          <w:szCs w:val="21"/>
        </w:rPr>
        <w:t>高炮</w:t>
      </w:r>
      <w:r>
        <w:rPr>
          <w:rFonts w:ascii="宋体" w:hAnsi="宋体" w:hint="eastAsia"/>
          <w:szCs w:val="21"/>
        </w:rPr>
        <w:t>作业安全监控终端</w:t>
      </w:r>
      <w:r>
        <w:rPr>
          <w:rFonts w:ascii="宋体" w:hAnsi="宋体"/>
          <w:szCs w:val="21"/>
        </w:rPr>
        <w:t>15</w:t>
      </w:r>
      <w:r>
        <w:rPr>
          <w:rFonts w:ascii="宋体" w:hAnsi="宋体" w:hint="eastAsia"/>
          <w:szCs w:val="21"/>
        </w:rPr>
        <w:t>4</w:t>
      </w:r>
      <w:r>
        <w:rPr>
          <w:rFonts w:ascii="宋体" w:hAnsi="宋体" w:hint="eastAsia"/>
          <w:szCs w:val="21"/>
        </w:rPr>
        <w:t>套以及</w:t>
      </w:r>
      <w:r>
        <w:rPr>
          <w:rFonts w:ascii="宋体" w:hAnsi="宋体"/>
          <w:szCs w:val="21"/>
        </w:rPr>
        <w:t>烟炉</w:t>
      </w:r>
      <w:r>
        <w:rPr>
          <w:rFonts w:ascii="宋体" w:hAnsi="宋体" w:hint="eastAsia"/>
          <w:szCs w:val="21"/>
        </w:rPr>
        <w:t>作业安全监控终端</w:t>
      </w:r>
      <w:r>
        <w:rPr>
          <w:rFonts w:ascii="宋体" w:hAnsi="宋体"/>
          <w:szCs w:val="21"/>
        </w:rPr>
        <w:t>60</w:t>
      </w:r>
      <w:r>
        <w:rPr>
          <w:rFonts w:ascii="宋体" w:hAnsi="宋体" w:hint="eastAsia"/>
          <w:szCs w:val="21"/>
        </w:rPr>
        <w:t>套。</w:t>
      </w:r>
    </w:p>
    <w:p w:rsidR="005A0F0B">
      <w:pPr>
        <w:spacing w:line="360" w:lineRule="auto"/>
        <w:ind w:firstLine="420" w:firstLineChars="200"/>
        <w:rPr>
          <w:rFonts w:ascii="宋体" w:hAnsi="宋体"/>
          <w:b/>
          <w:bCs/>
          <w:szCs w:val="21"/>
        </w:rPr>
      </w:pPr>
      <w:r>
        <w:rPr>
          <w:rFonts w:ascii="宋体" w:hAnsi="宋体" w:hint="eastAsia"/>
          <w:b/>
          <w:bCs/>
          <w:szCs w:val="21"/>
        </w:rPr>
        <w:t>三、技术性能指标</w:t>
      </w:r>
    </w:p>
    <w:p w:rsidR="005A0F0B">
      <w:pPr>
        <w:spacing w:line="360" w:lineRule="auto"/>
        <w:ind w:firstLine="420" w:firstLineChars="200"/>
        <w:jc w:val="left"/>
        <w:rPr>
          <w:rFonts w:ascii="宋体" w:hAnsi="宋体"/>
          <w:b/>
          <w:szCs w:val="21"/>
        </w:rPr>
      </w:pPr>
      <w:r>
        <w:rPr>
          <w:rFonts w:ascii="宋体" w:hAnsi="宋体" w:hint="eastAsia"/>
          <w:b/>
          <w:szCs w:val="21"/>
        </w:rPr>
        <w:t>1.</w:t>
      </w:r>
      <w:r>
        <w:rPr>
          <w:rFonts w:ascii="宋体" w:hAnsi="宋体" w:hint="eastAsia"/>
          <w:b/>
          <w:szCs w:val="21"/>
        </w:rPr>
        <w:t>电子围栏功能要求</w:t>
      </w:r>
    </w:p>
    <w:p w:rsidR="005A0F0B">
      <w:pPr>
        <w:spacing w:line="360" w:lineRule="auto"/>
        <w:ind w:firstLine="420" w:firstLineChars="200"/>
        <w:rPr>
          <w:rFonts w:ascii="宋体" w:hAnsi="宋体"/>
          <w:szCs w:val="21"/>
        </w:rPr>
      </w:pPr>
      <w:r>
        <w:rPr>
          <w:rFonts w:ascii="宋体" w:hAnsi="宋体" w:hint="eastAsia"/>
          <w:szCs w:val="21"/>
        </w:rPr>
        <w:t>利用人工智能、物联网和高清视频等新技术，建设</w:t>
      </w:r>
      <w:r>
        <w:rPr>
          <w:rFonts w:ascii="宋体" w:hAnsi="宋体" w:hint="eastAsia"/>
          <w:szCs w:val="21"/>
        </w:rPr>
        <w:t>153</w:t>
      </w:r>
      <w:r>
        <w:rPr>
          <w:rFonts w:ascii="宋体" w:hAnsi="宋体" w:hint="eastAsia"/>
          <w:szCs w:val="21"/>
        </w:rPr>
        <w:t>套高炮作业点电子围栏，实现对高炮作业点的全场景（临时弹药存放点、装备库</w:t>
      </w:r>
      <w:r>
        <w:rPr>
          <w:rFonts w:ascii="宋体" w:hAnsi="宋体" w:hint="eastAsia"/>
          <w:szCs w:val="21"/>
        </w:rPr>
        <w:t>、操作室和作业平台）实时监控和作业全过程智能监视目的。弹药临时存放点和装备</w:t>
      </w:r>
      <w:r>
        <w:rPr>
          <w:rFonts w:ascii="宋体" w:hAnsi="宋体" w:hint="eastAsia"/>
          <w:szCs w:val="21"/>
        </w:rPr>
        <w:t>库实现</w:t>
      </w:r>
      <w:r>
        <w:rPr>
          <w:rFonts w:ascii="宋体" w:hAnsi="宋体" w:hint="eastAsia"/>
          <w:szCs w:val="21"/>
        </w:rPr>
        <w:t>7*24</w:t>
      </w:r>
      <w:r>
        <w:rPr>
          <w:rFonts w:ascii="宋体" w:hAnsi="宋体" w:hint="eastAsia"/>
          <w:szCs w:val="21"/>
        </w:rPr>
        <w:t>小时的高清监控，对室内温度、进入人数及吸烟行为进行检测，当温度及人数异常时告警。操作室在作业时段，对电控平台操作</w:t>
      </w:r>
      <w:r>
        <w:rPr>
          <w:rFonts w:ascii="宋体" w:hAnsi="宋体" w:hint="eastAsia"/>
          <w:szCs w:val="21"/>
        </w:rPr>
        <w:t>行为实行监管，保证安全作业及规范作业；在非作业时段，对室内进行</w:t>
      </w:r>
      <w:r>
        <w:rPr>
          <w:rFonts w:ascii="宋体" w:hAnsi="宋体" w:hint="eastAsia"/>
          <w:szCs w:val="21"/>
        </w:rPr>
        <w:t>7*24</w:t>
      </w:r>
      <w:r>
        <w:rPr>
          <w:rFonts w:ascii="宋体" w:hAnsi="宋体" w:hint="eastAsia"/>
          <w:szCs w:val="21"/>
        </w:rPr>
        <w:t>小时的高清监控，进行安全防盗监管。作业平台在作业时段，实时监控作业平台的作业情况；在非作业时段，可对现场区域周界入侵、进入离开区域时触发即时告警。提供全景视角，对平台进行安全监控；智能检测人员聚集、周界入侵、侧方位装弹、区域内弹药箱残留、未佩</w:t>
      </w:r>
      <w:r>
        <w:rPr>
          <w:rFonts w:ascii="宋体" w:hAnsi="宋体" w:hint="eastAsia"/>
          <w:szCs w:val="21"/>
        </w:rPr>
        <w:t>戴安全帽、未穿戴反光衣等违规行为；智能检测侧方位装弹、警戒区内是否遗留弹药箱等作业行为规范。</w:t>
      </w:r>
    </w:p>
    <w:p w:rsidR="005A0F0B">
      <w:pPr>
        <w:spacing w:line="360" w:lineRule="auto"/>
        <w:ind w:firstLine="420" w:firstLineChars="200"/>
        <w:rPr>
          <w:rFonts w:ascii="宋体" w:hAnsi="宋体"/>
          <w:szCs w:val="21"/>
        </w:rPr>
      </w:pPr>
      <w:r>
        <w:rPr>
          <w:rFonts w:ascii="宋体" w:hAnsi="宋体" w:hint="eastAsia"/>
          <w:szCs w:val="21"/>
        </w:rPr>
        <w:t>配备视频录像机，满足对高炮作业点的视频监控信息保存</w:t>
      </w:r>
      <w:r>
        <w:rPr>
          <w:rFonts w:ascii="宋体" w:hAnsi="宋体" w:hint="eastAsia"/>
          <w:szCs w:val="21"/>
        </w:rPr>
        <w:t>3</w:t>
      </w:r>
      <w:r>
        <w:rPr>
          <w:rFonts w:ascii="宋体" w:hAnsi="宋体" w:hint="eastAsia"/>
          <w:szCs w:val="21"/>
        </w:rPr>
        <w:t>个月以上；通过部署智能化监控识别终端，实现高炮作业点实时智能化监控识别；与国省一体化人影综合业务平台对接，实现国省市县到作业点实时监控告警。</w:t>
      </w:r>
    </w:p>
    <w:p w:rsidR="005A0F0B">
      <w:pPr>
        <w:spacing w:line="360" w:lineRule="auto"/>
        <w:ind w:firstLine="420" w:firstLineChars="200"/>
        <w:rPr>
          <w:rFonts w:ascii="宋体" w:hAnsi="宋体"/>
          <w:szCs w:val="21"/>
        </w:rPr>
      </w:pPr>
      <w:r>
        <w:rPr>
          <w:rFonts w:ascii="宋体" w:hAnsi="宋体" w:hint="eastAsia"/>
          <w:szCs w:val="21"/>
        </w:rPr>
        <w:t>电子围栏以组件形式注册到国省一体化人影综合业务平台，须具备如下功能。</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1</w:t>
      </w:r>
      <w:r>
        <w:rPr>
          <w:rFonts w:ascii="宋体" w:hAnsi="宋体" w:hint="eastAsia"/>
          <w:szCs w:val="21"/>
        </w:rPr>
        <w:t>）实时作业动态信息监控。国省一体化人影综合业务平台主动调取作业点现场视频信息，并在界面直观展示，支持多摄像头或多作业点视频同步展示。</w:t>
      </w:r>
    </w:p>
    <w:p w:rsidR="005A0F0B">
      <w:pPr>
        <w:spacing w:line="360" w:lineRule="auto"/>
        <w:ind w:firstLine="420" w:firstLineChars="200"/>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）实时视频监控。支持前端视频流在监控主机的实时预览与控制。</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3</w:t>
      </w:r>
      <w:r>
        <w:rPr>
          <w:rFonts w:ascii="宋体" w:hAnsi="宋体" w:hint="eastAsia"/>
          <w:szCs w:val="21"/>
        </w:rPr>
        <w:t>）视频播放设置。支持国省一体化人影综合业务平台以目录形式展示监控点在线</w:t>
      </w:r>
      <w:r>
        <w:rPr>
          <w:rFonts w:ascii="宋体" w:hAnsi="宋体" w:hint="eastAsia"/>
          <w:szCs w:val="21"/>
        </w:rPr>
        <w:t>/</w:t>
      </w:r>
      <w:r>
        <w:rPr>
          <w:rFonts w:ascii="宋体" w:hAnsi="宋体" w:hint="eastAsia"/>
          <w:szCs w:val="21"/>
        </w:rPr>
        <w:t>离线状态，便于用户直观掌握各区域监控点状态；支持视频窗口布局切换，实现多画面同步预览</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4</w:t>
      </w:r>
      <w:r>
        <w:rPr>
          <w:rFonts w:ascii="宋体" w:hAnsi="宋体" w:hint="eastAsia"/>
          <w:szCs w:val="21"/>
        </w:rPr>
        <w:t>）违规行为智能分析。可对区域入侵、安全帽识别、反光衣识别、侧方位装弹、警戒区内是否遗留弹药箱违规行为等事件进行智能分析，同时支持烟雾、室内温度检测及人员吸烟行为识别。分析结果通过音频播放告警内容，提醒现场人员；并实时接收作业点传回的告警点、图像及内容等信息，在国省一体化人影综合</w:t>
      </w:r>
      <w:r>
        <w:rPr>
          <w:rFonts w:ascii="宋体" w:hAnsi="宋体" w:hint="eastAsia"/>
          <w:szCs w:val="21"/>
        </w:rPr>
        <w:t>业务平台界面直观展示。</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5</w:t>
      </w:r>
      <w:r>
        <w:rPr>
          <w:rFonts w:ascii="宋体" w:hAnsi="宋体" w:hint="eastAsia"/>
          <w:szCs w:val="21"/>
        </w:rPr>
        <w:t>）实时事件告警信息监控。主动接收作业点电子围栏设备智能分析得出的告警事件，通过青海省国省一体化人影综合业务平台展示内容包括告警类型、告警图片及告警短视频。</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6</w:t>
      </w:r>
      <w:r>
        <w:rPr>
          <w:rFonts w:ascii="宋体" w:hAnsi="宋体" w:hint="eastAsia"/>
          <w:szCs w:val="21"/>
        </w:rPr>
        <w:t>）视频摄像机接入管理。统一接入、管理高炮作业点临时弹药存放点、装备库、操作室、作业平台的视频摄像机，并进行录像存储。</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7</w:t>
      </w:r>
      <w:r>
        <w:rPr>
          <w:rFonts w:ascii="宋体" w:hAnsi="宋体" w:hint="eastAsia"/>
          <w:szCs w:val="21"/>
        </w:rPr>
        <w:t>）告警提醒。在非作业期间、作业前后及作业过程中，若出现符合告警规则的情况，支持按照中国气象局专项保障司下发的《固定作业站点安全监控测试大纲》预设告警等级自动触发告警机制，并通过国省一体化人影综合业务平台界面进行告警提醒。国省一体化人影综合业务平台告警界面可展示告警详情、处理进度等信息，便于用户进行告警管理与处理，确保作业安全。借助国省一体化人影综合业务平台的统一账号与权限管理系统，控制用户对作业安全告警模块的访问及管理权限，实现国、省、市、县及作业点的联动告警。</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8</w:t>
      </w:r>
      <w:r>
        <w:rPr>
          <w:rFonts w:ascii="宋体" w:hAnsi="宋体" w:hint="eastAsia"/>
          <w:szCs w:val="21"/>
        </w:rPr>
        <w:t>）历史视频录像回放。录像回放用于对</w:t>
      </w:r>
      <w:r>
        <w:rPr>
          <w:rFonts w:ascii="宋体" w:hAnsi="宋体" w:hint="eastAsia"/>
          <w:szCs w:val="21"/>
        </w:rPr>
        <w:t>历史视频录像的检索、定位、播放、录像流</w:t>
      </w:r>
      <w:r>
        <w:rPr>
          <w:rFonts w:ascii="宋体" w:hAnsi="宋体" w:hint="eastAsia"/>
          <w:szCs w:val="21"/>
        </w:rPr>
        <w:t>控、片段下载等应用。录像检索可根据录像模式、标签、描述信息以及人脸信息来检索录像记录。</w:t>
      </w:r>
    </w:p>
    <w:p w:rsidR="005A0F0B">
      <w:pPr>
        <w:spacing w:line="360" w:lineRule="auto"/>
        <w:ind w:firstLine="420" w:firstLineChars="200"/>
        <w:rPr>
          <w:rFonts w:ascii="宋体" w:hAnsi="宋体"/>
          <w:szCs w:val="21"/>
        </w:rPr>
      </w:pPr>
      <w:r>
        <w:rPr>
          <w:rFonts w:ascii="宋体" w:hAnsi="宋体" w:hint="eastAsia"/>
          <w:b/>
          <w:bCs/>
          <w:szCs w:val="21"/>
        </w:rPr>
        <w:t>#</w:t>
      </w:r>
      <w:r>
        <w:rPr>
          <w:rFonts w:ascii="宋体" w:hAnsi="宋体" w:hint="eastAsia"/>
          <w:szCs w:val="21"/>
        </w:rPr>
        <w:t>（</w:t>
      </w:r>
      <w:r>
        <w:rPr>
          <w:rFonts w:ascii="宋体" w:hAnsi="宋体" w:hint="eastAsia"/>
          <w:szCs w:val="21"/>
        </w:rPr>
        <w:t>9</w:t>
      </w:r>
      <w:r>
        <w:rPr>
          <w:rFonts w:ascii="宋体" w:hAnsi="宋体" w:hint="eastAsia"/>
          <w:szCs w:val="21"/>
        </w:rPr>
        <w:t>）告警事件统计及历史查询。按区域入侵、安全帽识别、反光衣识别、侧方位装弹、警戒区内是否遗留弹药箱违规行为等事件类别对告警信息进行统计，并输出展示统计结果；按时间段对上述事件进行统计，同样输出展示统计结果。自动记录全省各作业点、库房的违规行为，记录内容包含违规类型、违规图片，并支持根据事件告警类型、发生时间、发生地点和处理结果等条件查询历史信息及进行数据导出操作。</w:t>
      </w:r>
    </w:p>
    <w:p w:rsidR="005A0F0B">
      <w:pPr>
        <w:spacing w:line="360" w:lineRule="auto"/>
        <w:ind w:firstLine="412" w:firstLineChars="196"/>
        <w:jc w:val="left"/>
        <w:rPr>
          <w:rFonts w:ascii="宋体" w:hAnsi="宋体"/>
          <w:szCs w:val="21"/>
        </w:rPr>
      </w:pPr>
      <w:r>
        <w:rPr>
          <w:rFonts w:ascii="宋体" w:hAnsi="宋体" w:hint="eastAsia"/>
          <w:szCs w:val="21"/>
        </w:rPr>
        <w:t>2.</w:t>
      </w:r>
      <w:r>
        <w:rPr>
          <w:rFonts w:ascii="宋体" w:hAnsi="宋体" w:hint="eastAsia"/>
          <w:szCs w:val="21"/>
        </w:rPr>
        <w:t>高炮作业安</w:t>
      </w:r>
      <w:r>
        <w:rPr>
          <w:rFonts w:ascii="宋体" w:hAnsi="宋体" w:hint="eastAsia"/>
          <w:szCs w:val="21"/>
        </w:rPr>
        <w:t>全终端功能</w:t>
      </w:r>
    </w:p>
    <w:p w:rsidR="005A0F0B">
      <w:pPr>
        <w:spacing w:line="360" w:lineRule="auto"/>
        <w:ind w:firstLine="412" w:firstLineChars="196"/>
        <w:rPr>
          <w:rFonts w:ascii="宋体" w:hAnsi="宋体"/>
          <w:szCs w:val="21"/>
        </w:rPr>
      </w:pPr>
      <w:r>
        <w:rPr>
          <w:rFonts w:ascii="宋体" w:hAnsi="宋体" w:hint="eastAsia"/>
          <w:szCs w:val="21"/>
        </w:rPr>
        <w:t>高炮作业安全终端能与“天工”平台对接，“天工”平台正确显示作业安全监控终端的状态、序列号、</w:t>
      </w:r>
      <w:r>
        <w:rPr>
          <w:rFonts w:ascii="宋体" w:hAnsi="宋体" w:hint="eastAsia"/>
          <w:szCs w:val="21"/>
        </w:rPr>
        <w:t>4G</w:t>
      </w:r>
      <w:r>
        <w:rPr>
          <w:rFonts w:ascii="宋体" w:hAnsi="宋体" w:hint="eastAsia"/>
          <w:szCs w:val="21"/>
        </w:rPr>
        <w:t>卡号、北斗卡号、终端版本及与作业安全监控终端相配套的装备类型、编码等信息。支持北斗三</w:t>
      </w:r>
      <w:r>
        <w:rPr>
          <w:rFonts w:ascii="宋体" w:hAnsi="宋体" w:hint="eastAsia"/>
          <w:szCs w:val="21"/>
        </w:rPr>
        <w:t>号区域短</w:t>
      </w:r>
      <w:r>
        <w:rPr>
          <w:rFonts w:ascii="宋体" w:hAnsi="宋体" w:hint="eastAsia"/>
          <w:szCs w:val="21"/>
        </w:rPr>
        <w:t>报文通信，最大支持通信等级</w:t>
      </w:r>
      <w:r>
        <w:rPr>
          <w:rFonts w:ascii="宋体" w:hAnsi="宋体" w:hint="eastAsia"/>
          <w:szCs w:val="21"/>
        </w:rPr>
        <w:t>5</w:t>
      </w:r>
      <w:r>
        <w:rPr>
          <w:rFonts w:ascii="宋体" w:hAnsi="宋体" w:hint="eastAsia"/>
          <w:szCs w:val="21"/>
        </w:rPr>
        <w:t>级（</w:t>
      </w:r>
      <w:r>
        <w:rPr>
          <w:rFonts w:ascii="宋体" w:hAnsi="宋体" w:hint="eastAsia"/>
          <w:szCs w:val="21"/>
        </w:rPr>
        <w:t>1000</w:t>
      </w:r>
      <w:r>
        <w:rPr>
          <w:rFonts w:ascii="宋体" w:hAnsi="宋体" w:hint="eastAsia"/>
          <w:szCs w:val="21"/>
        </w:rPr>
        <w:t>汉字）。具备北斗定位功能。定位精度与实际经纬度偏差不大于</w:t>
      </w:r>
      <w:r>
        <w:rPr>
          <w:rFonts w:ascii="宋体" w:hAnsi="宋体" w:hint="eastAsia"/>
          <w:szCs w:val="21"/>
        </w:rPr>
        <w:t>50m</w:t>
      </w:r>
      <w:r>
        <w:rPr>
          <w:rFonts w:ascii="宋体" w:hAnsi="宋体" w:hint="eastAsia"/>
          <w:szCs w:val="21"/>
        </w:rPr>
        <w:t>。具备</w:t>
      </w:r>
      <w:r>
        <w:rPr>
          <w:rFonts w:ascii="宋体" w:hAnsi="宋体" w:hint="eastAsia"/>
          <w:szCs w:val="21"/>
        </w:rPr>
        <w:t>SM1</w:t>
      </w:r>
      <w:r>
        <w:rPr>
          <w:rFonts w:ascii="宋体" w:hAnsi="宋体" w:hint="eastAsia"/>
          <w:szCs w:val="21"/>
        </w:rPr>
        <w:t>芯片级加解</w:t>
      </w:r>
      <w:r>
        <w:rPr>
          <w:rFonts w:ascii="宋体" w:hAnsi="宋体" w:hint="eastAsia"/>
          <w:szCs w:val="21"/>
        </w:rPr>
        <w:t xml:space="preserve"> </w:t>
      </w:r>
      <w:r>
        <w:rPr>
          <w:rFonts w:ascii="宋体" w:hAnsi="宋体" w:hint="eastAsia"/>
          <w:szCs w:val="21"/>
        </w:rPr>
        <w:t>密功能，解密后的指令格式和协议一致。具备</w:t>
      </w:r>
      <w:r>
        <w:rPr>
          <w:rFonts w:ascii="宋体" w:hAnsi="宋体" w:hint="eastAsia"/>
          <w:szCs w:val="21"/>
        </w:rPr>
        <w:t>4G</w:t>
      </w:r>
      <w:r>
        <w:rPr>
          <w:rFonts w:ascii="宋体" w:hAnsi="宋体" w:hint="eastAsia"/>
          <w:szCs w:val="21"/>
        </w:rPr>
        <w:t>通信功能，支持远程在线升级与参数配置。具备自动对时功能。终端显示时间与“天工”平台显示时间偏差小于</w:t>
      </w:r>
      <w:r>
        <w:rPr>
          <w:rFonts w:ascii="宋体" w:hAnsi="宋体" w:hint="eastAsia"/>
          <w:szCs w:val="21"/>
        </w:rPr>
        <w:t>5s</w:t>
      </w:r>
      <w:r>
        <w:rPr>
          <w:rFonts w:ascii="宋体" w:hAnsi="宋体" w:hint="eastAsia"/>
          <w:szCs w:val="21"/>
        </w:rPr>
        <w:t>。具备电源、定位、信号、通信、装备连接状态</w:t>
      </w:r>
      <w:r>
        <w:rPr>
          <w:rFonts w:ascii="宋体" w:hAnsi="宋体" w:hint="eastAsia"/>
          <w:szCs w:val="21"/>
        </w:rPr>
        <w:t>等多指示灯功能。具备安全射界验证、作业状态判断、作业信息上传、作业指令下达等功能。</w:t>
      </w:r>
    </w:p>
    <w:p w:rsidR="005A0F0B">
      <w:pPr>
        <w:spacing w:line="360" w:lineRule="auto"/>
        <w:ind w:firstLine="412" w:firstLineChars="196"/>
        <w:rPr>
          <w:rFonts w:ascii="宋体" w:hAnsi="宋体"/>
          <w:szCs w:val="21"/>
        </w:rPr>
      </w:pPr>
      <w:r>
        <w:rPr>
          <w:rFonts w:ascii="宋体" w:hAnsi="宋体" w:hint="eastAsia"/>
          <w:szCs w:val="21"/>
        </w:rPr>
        <w:t>3.</w:t>
      </w:r>
      <w:r>
        <w:rPr>
          <w:rFonts w:ascii="宋体" w:hAnsi="宋体" w:hint="eastAsia"/>
          <w:szCs w:val="21"/>
        </w:rPr>
        <w:t>烟炉作业监控终端功能</w:t>
      </w:r>
    </w:p>
    <w:p w:rsidR="005A0F0B">
      <w:pPr>
        <w:spacing w:line="360" w:lineRule="auto"/>
        <w:ind w:firstLine="412" w:firstLineChars="196"/>
        <w:rPr>
          <w:rFonts w:ascii="宋体" w:hAnsi="宋体"/>
          <w:szCs w:val="21"/>
        </w:rPr>
      </w:pPr>
      <w:r>
        <w:rPr>
          <w:rFonts w:ascii="宋体" w:hAnsi="宋体" w:hint="eastAsia"/>
          <w:szCs w:val="21"/>
        </w:rPr>
        <w:t>烟炉作业安全监控终端内置硬件</w:t>
      </w:r>
      <w:r>
        <w:rPr>
          <w:rFonts w:ascii="宋体" w:hAnsi="宋体" w:hint="eastAsia"/>
          <w:szCs w:val="21"/>
        </w:rPr>
        <w:t>级国密</w:t>
      </w:r>
      <w:r>
        <w:rPr>
          <w:rFonts w:ascii="宋体" w:hAnsi="宋体" w:hint="eastAsia"/>
          <w:szCs w:val="21"/>
        </w:rPr>
        <w:t xml:space="preserve">SM1/2/3/4 </w:t>
      </w:r>
      <w:r>
        <w:rPr>
          <w:rFonts w:ascii="宋体" w:hAnsi="宋体" w:hint="eastAsia"/>
          <w:szCs w:val="21"/>
        </w:rPr>
        <w:t>加密协议，实现与天工平台接口之间指令信息的加密传输。具备烟炉作业状态上报、作业指令接收、作业信息自动采集、国密</w:t>
      </w:r>
      <w:r>
        <w:rPr>
          <w:rFonts w:ascii="宋体" w:hAnsi="宋体" w:hint="eastAsia"/>
          <w:szCs w:val="21"/>
        </w:rPr>
        <w:t xml:space="preserve"> SM1/2/3/4 </w:t>
      </w:r>
      <w:r>
        <w:rPr>
          <w:rFonts w:ascii="宋体" w:hAnsi="宋体" w:hint="eastAsia"/>
          <w:szCs w:val="21"/>
        </w:rPr>
        <w:t>芯片级加解密</w:t>
      </w:r>
      <w:r>
        <w:rPr>
          <w:rFonts w:ascii="宋体" w:hAnsi="宋体" w:hint="eastAsia"/>
          <w:szCs w:val="21"/>
        </w:rPr>
        <w:t>、作业现场视频传输、集成多要素观测数据传输功能。具备北斗三</w:t>
      </w:r>
      <w:r>
        <w:rPr>
          <w:rFonts w:ascii="宋体" w:hAnsi="宋体" w:hint="eastAsia"/>
          <w:szCs w:val="21"/>
        </w:rPr>
        <w:t>号区域短</w:t>
      </w:r>
      <w:r>
        <w:rPr>
          <w:rFonts w:ascii="宋体" w:hAnsi="宋体" w:hint="eastAsia"/>
          <w:szCs w:val="21"/>
        </w:rPr>
        <w:t>报文通信，最大支持通信等级</w:t>
      </w:r>
      <w:r>
        <w:rPr>
          <w:rFonts w:ascii="宋体" w:hAnsi="宋体" w:hint="eastAsia"/>
          <w:szCs w:val="21"/>
        </w:rPr>
        <w:t xml:space="preserve"> 5</w:t>
      </w:r>
      <w:r>
        <w:rPr>
          <w:rFonts w:ascii="宋体" w:hAnsi="宋体" w:hint="eastAsia"/>
          <w:szCs w:val="21"/>
        </w:rPr>
        <w:t>级（</w:t>
      </w:r>
      <w:r>
        <w:rPr>
          <w:rFonts w:ascii="宋体" w:hAnsi="宋体" w:hint="eastAsia"/>
          <w:szCs w:val="21"/>
        </w:rPr>
        <w:t xml:space="preserve">1000 </w:t>
      </w:r>
      <w:r>
        <w:rPr>
          <w:rFonts w:ascii="宋体" w:hAnsi="宋体" w:hint="eastAsia"/>
          <w:szCs w:val="21"/>
        </w:rPr>
        <w:t>汉字）。具备北斗定位功能。具备</w:t>
      </w:r>
      <w:r>
        <w:rPr>
          <w:rFonts w:ascii="宋体" w:hAnsi="宋体" w:hint="eastAsia"/>
          <w:szCs w:val="21"/>
        </w:rPr>
        <w:t xml:space="preserve"> 4G </w:t>
      </w:r>
      <w:r>
        <w:rPr>
          <w:rFonts w:ascii="宋体" w:hAnsi="宋体" w:hint="eastAsia"/>
          <w:szCs w:val="21"/>
        </w:rPr>
        <w:t>通信功能，支持远程在线升级与参数</w:t>
      </w:r>
      <w:r>
        <w:rPr>
          <w:rFonts w:ascii="宋体" w:hAnsi="宋体" w:hint="eastAsia"/>
          <w:szCs w:val="21"/>
        </w:rPr>
        <w:t xml:space="preserve"> </w:t>
      </w:r>
      <w:r>
        <w:rPr>
          <w:rFonts w:ascii="宋体" w:hAnsi="宋体" w:hint="eastAsia"/>
          <w:szCs w:val="21"/>
        </w:rPr>
        <w:t>配置。具备电源、定位、</w:t>
      </w:r>
      <w:r>
        <w:rPr>
          <w:rFonts w:ascii="宋体" w:hAnsi="宋体" w:hint="eastAsia"/>
          <w:szCs w:val="21"/>
        </w:rPr>
        <w:t>信号、通信、功能等多指示灯功能。</w:t>
      </w:r>
    </w:p>
    <w:p w:rsidR="005A0F0B">
      <w:pPr>
        <w:spacing w:line="360" w:lineRule="auto"/>
        <w:ind w:firstLine="412" w:firstLineChars="196"/>
        <w:jc w:val="left"/>
        <w:rPr>
          <w:rFonts w:ascii="宋体" w:hAnsi="宋体"/>
          <w:szCs w:val="21"/>
        </w:rPr>
      </w:pPr>
      <w:r>
        <w:rPr>
          <w:rFonts w:ascii="宋体" w:hAnsi="宋体" w:hint="eastAsia"/>
          <w:szCs w:val="21"/>
        </w:rPr>
        <w:t>4.</w:t>
      </w:r>
      <w:r>
        <w:rPr>
          <w:rFonts w:ascii="宋体" w:hAnsi="宋体" w:hint="eastAsia"/>
          <w:szCs w:val="21"/>
        </w:rPr>
        <w:t>技术性能要求</w:t>
      </w:r>
    </w:p>
    <w:p w:rsidR="005A0F0B">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）设备质保期应不低于</w:t>
      </w:r>
      <w:r>
        <w:rPr>
          <w:rFonts w:ascii="宋体" w:hAnsi="宋体" w:hint="eastAsia"/>
          <w:szCs w:val="21"/>
        </w:rPr>
        <w:t>5</w:t>
      </w:r>
      <w:r>
        <w:rPr>
          <w:rFonts w:ascii="宋体" w:hAnsi="宋体" w:hint="eastAsia"/>
          <w:szCs w:val="21"/>
        </w:rPr>
        <w:t>年。</w:t>
      </w:r>
    </w:p>
    <w:p w:rsidR="005A0F0B">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）设备技术性能具体要求如下：</w:t>
      </w:r>
    </w:p>
    <w:p w:rsidR="005A0F0B">
      <w:pPr>
        <w:spacing w:line="560" w:lineRule="exact"/>
        <w:jc w:val="center"/>
        <w:rPr>
          <w:rFonts w:ascii="仿宋" w:hAnsi="仿宋" w:cs="仿宋"/>
          <w:color w:val="000000" w:themeColor="text1"/>
          <w:sz w:val="28"/>
          <w:szCs w:val="28"/>
        </w:rPr>
      </w:pPr>
      <w:r>
        <w:rPr>
          <w:rFonts w:ascii="宋体" w:hAnsi="宋体" w:cs="宋体" w:hint="eastAsia"/>
        </w:rPr>
        <w:t>表</w:t>
      </w:r>
      <w:r>
        <w:rPr>
          <w:rFonts w:ascii="宋体" w:hAnsi="宋体" w:cs="宋体" w:hint="eastAsia"/>
        </w:rPr>
        <w:t xml:space="preserve">1 </w:t>
      </w:r>
      <w:r>
        <w:rPr>
          <w:rFonts w:ascii="宋体" w:hAnsi="宋体" w:cs="宋体" w:hint="eastAsia"/>
        </w:rPr>
        <w:t>双光谱半球摄像机技术性能要求</w:t>
      </w:r>
    </w:p>
    <w:tbl>
      <w:tblPr>
        <w:tblStyle w:val="TableNormal"/>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07"/>
        <w:gridCol w:w="1042"/>
        <w:gridCol w:w="4722"/>
        <w:gridCol w:w="619"/>
        <w:gridCol w:w="679"/>
        <w:gridCol w:w="863"/>
      </w:tblGrid>
      <w:tr>
        <w:tblPrEx>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733"/>
          <w:jc w:val="center"/>
        </w:trPr>
        <w:tc>
          <w:tcPr>
            <w:tcW w:w="355" w:type="pct"/>
            <w:vAlign w:val="center"/>
          </w:tcPr>
          <w:p w:rsidR="005A0F0B">
            <w:pPr>
              <w:pStyle w:val="a2"/>
              <w:jc w:val="center"/>
              <w:rPr>
                <w:rFonts w:ascii="宋体" w:hAnsi="宋体" w:cs="宋体"/>
              </w:rPr>
            </w:pPr>
            <w:r>
              <w:rPr>
                <w:rFonts w:ascii="宋体" w:hAnsi="宋体" w:cs="宋体" w:hint="eastAsia"/>
              </w:rPr>
              <w:t>序号</w:t>
            </w:r>
          </w:p>
        </w:tc>
        <w:tc>
          <w:tcPr>
            <w:tcW w:w="610" w:type="pct"/>
            <w:vAlign w:val="center"/>
          </w:tcPr>
          <w:p w:rsidR="005A0F0B">
            <w:pPr>
              <w:pStyle w:val="a2"/>
              <w:jc w:val="center"/>
              <w:rPr>
                <w:rFonts w:ascii="宋体" w:hAnsi="宋体" w:cs="宋体"/>
              </w:rPr>
            </w:pPr>
            <w:r>
              <w:rPr>
                <w:rFonts w:ascii="宋体" w:hAnsi="宋体" w:cs="宋体" w:hint="eastAsia"/>
              </w:rPr>
              <w:t>名称</w:t>
            </w:r>
          </w:p>
        </w:tc>
        <w:tc>
          <w:tcPr>
            <w:tcW w:w="2766" w:type="pct"/>
            <w:vAlign w:val="center"/>
          </w:tcPr>
          <w:p w:rsidR="005A0F0B">
            <w:pPr>
              <w:pStyle w:val="a2"/>
              <w:jc w:val="center"/>
              <w:rPr>
                <w:rFonts w:ascii="宋体" w:hAnsi="宋体" w:cs="宋体"/>
              </w:rPr>
            </w:pPr>
            <w:r>
              <w:rPr>
                <w:rFonts w:ascii="宋体" w:hAnsi="宋体" w:cs="宋体" w:hint="eastAsia"/>
              </w:rPr>
              <w:t>主要技术性能要求</w:t>
            </w:r>
          </w:p>
        </w:tc>
        <w:tc>
          <w:tcPr>
            <w:tcW w:w="363" w:type="pct"/>
            <w:vAlign w:val="center"/>
          </w:tcPr>
          <w:p w:rsidR="005A0F0B">
            <w:pPr>
              <w:pStyle w:val="a2"/>
              <w:jc w:val="center"/>
              <w:rPr>
                <w:rFonts w:ascii="宋体" w:hAnsi="宋体" w:cs="宋体"/>
              </w:rPr>
            </w:pPr>
            <w:r>
              <w:rPr>
                <w:rFonts w:ascii="宋体" w:hAnsi="宋体" w:cs="宋体" w:hint="eastAsia"/>
              </w:rPr>
              <w:t>数量</w:t>
            </w:r>
          </w:p>
        </w:tc>
        <w:tc>
          <w:tcPr>
            <w:tcW w:w="398" w:type="pct"/>
            <w:vAlign w:val="center"/>
          </w:tcPr>
          <w:p w:rsidR="005A0F0B">
            <w:pPr>
              <w:pStyle w:val="a2"/>
              <w:jc w:val="center"/>
              <w:rPr>
                <w:rFonts w:ascii="宋体" w:hAnsi="宋体" w:cs="宋体"/>
              </w:rPr>
            </w:pPr>
            <w:r>
              <w:rPr>
                <w:rFonts w:ascii="宋体" w:hAnsi="宋体" w:cs="宋体" w:hint="eastAsia"/>
              </w:rPr>
              <w:t>单位</w:t>
            </w:r>
          </w:p>
        </w:tc>
        <w:tc>
          <w:tcPr>
            <w:tcW w:w="506" w:type="pct"/>
            <w:vAlign w:val="center"/>
          </w:tcPr>
          <w:p w:rsidR="005A0F0B">
            <w:pPr>
              <w:pStyle w:val="a2"/>
              <w:jc w:val="center"/>
              <w:rPr>
                <w:rFonts w:ascii="宋体" w:hAnsi="宋体" w:cs="宋体"/>
              </w:rPr>
            </w:pPr>
            <w:r>
              <w:rPr>
                <w:rFonts w:ascii="宋体" w:hAnsi="宋体" w:cs="宋体" w:hint="eastAsia"/>
              </w:rPr>
              <w:t>备注</w:t>
            </w:r>
          </w:p>
        </w:tc>
      </w:tr>
      <w:tr>
        <w:tblPrEx>
          <w:tblW w:w="5006" w:type="pct"/>
          <w:jc w:val="center"/>
          <w:tblLook w:val="04A0"/>
        </w:tblPrEx>
        <w:trPr>
          <w:trHeight w:val="401"/>
          <w:jc w:val="center"/>
        </w:trPr>
        <w:tc>
          <w:tcPr>
            <w:tcW w:w="355" w:type="pct"/>
            <w:vAlign w:val="center"/>
          </w:tcPr>
          <w:p w:rsidR="005A0F0B">
            <w:pPr>
              <w:pStyle w:val="a2"/>
              <w:jc w:val="center"/>
              <w:rPr>
                <w:rFonts w:ascii="宋体" w:hAnsi="宋体" w:cs="宋体"/>
              </w:rPr>
            </w:pPr>
            <w:r>
              <w:rPr>
                <w:rFonts w:ascii="宋体" w:hAnsi="宋体" w:cs="宋体" w:hint="eastAsia"/>
              </w:rPr>
              <w:t>1</w:t>
            </w:r>
          </w:p>
        </w:tc>
        <w:tc>
          <w:tcPr>
            <w:tcW w:w="610" w:type="pct"/>
            <w:vAlign w:val="center"/>
          </w:tcPr>
          <w:p w:rsidR="005A0F0B">
            <w:pPr>
              <w:pStyle w:val="a2"/>
              <w:jc w:val="center"/>
              <w:rPr>
                <w:rFonts w:ascii="宋体" w:hAnsi="宋体" w:cs="宋体"/>
              </w:rPr>
            </w:pPr>
            <w:r>
              <w:rPr>
                <w:rFonts w:ascii="宋体" w:hAnsi="宋体" w:cs="宋体" w:hint="eastAsia"/>
              </w:rPr>
              <w:t>双光谱</w:t>
            </w:r>
            <w:r>
              <w:rPr>
                <w:rFonts w:ascii="宋体" w:hAnsi="宋体" w:cs="宋体" w:hint="eastAsia"/>
              </w:rPr>
              <w:t>半球摄像机</w:t>
            </w:r>
          </w:p>
          <w:p w:rsidR="005A0F0B">
            <w:pPr>
              <w:pStyle w:val="a2"/>
              <w:jc w:val="center"/>
              <w:rPr>
                <w:rFonts w:ascii="宋体" w:hAnsi="宋体" w:cs="宋体"/>
              </w:rPr>
            </w:pPr>
          </w:p>
        </w:tc>
        <w:tc>
          <w:tcPr>
            <w:tcW w:w="2766" w:type="pct"/>
            <w:vAlign w:val="center"/>
          </w:tcPr>
          <w:p w:rsidR="005A0F0B">
            <w:pPr>
              <w:pStyle w:val="a2"/>
              <w:jc w:val="left"/>
              <w:rPr>
                <w:rFonts w:ascii="宋体" w:hAnsi="宋体" w:cs="宋体"/>
              </w:rPr>
            </w:pPr>
            <w:r>
              <w:rPr>
                <w:rFonts w:ascii="宋体" w:hAnsi="宋体" w:cs="宋体" w:hint="eastAsia"/>
              </w:rPr>
              <w:t>热成像传感器类型：氧化钒非制冷型探测器</w:t>
            </w:r>
          </w:p>
          <w:p w:rsidR="005A0F0B">
            <w:pPr>
              <w:pStyle w:val="a2"/>
              <w:jc w:val="left"/>
              <w:rPr>
                <w:rFonts w:ascii="宋体" w:hAnsi="宋体" w:cs="宋体"/>
              </w:rPr>
            </w:pPr>
            <w:r>
              <w:rPr>
                <w:rFonts w:ascii="宋体" w:hAnsi="宋体" w:cs="宋体" w:hint="eastAsia"/>
              </w:rPr>
              <w:t>热成像响应波段：</w:t>
            </w:r>
            <w:r>
              <w:rPr>
                <w:rFonts w:ascii="宋体" w:hAnsi="宋体" w:cs="宋体" w:hint="eastAsia"/>
              </w:rPr>
              <w:t>8</w:t>
            </w:r>
            <w:r>
              <w:rPr>
                <w:rFonts w:ascii="宋体" w:hAnsi="宋体" w:cs="宋体" w:hint="eastAsia"/>
              </w:rPr>
              <w:t>～</w:t>
            </w:r>
            <w:r>
              <w:rPr>
                <w:rFonts w:ascii="宋体" w:hAnsi="宋体" w:cs="宋体" w:hint="eastAsia"/>
              </w:rPr>
              <w:t xml:space="preserve">14 </w:t>
            </w:r>
            <w:r>
              <w:rPr>
                <w:rFonts w:ascii="宋体" w:hAnsi="宋体" w:cs="宋体" w:hint="eastAsia"/>
              </w:rPr>
              <w:t>μ</w:t>
            </w:r>
            <w:r>
              <w:rPr>
                <w:rFonts w:ascii="宋体" w:hAnsi="宋体" w:cs="宋体" w:hint="eastAsia"/>
              </w:rPr>
              <w:t>m</w:t>
            </w:r>
          </w:p>
          <w:p w:rsidR="005A0F0B">
            <w:pPr>
              <w:pStyle w:val="a2"/>
              <w:jc w:val="left"/>
              <w:rPr>
                <w:rFonts w:ascii="宋体" w:hAnsi="宋体" w:cs="宋体"/>
              </w:rPr>
            </w:pPr>
            <w:r>
              <w:rPr>
                <w:rFonts w:ascii="宋体" w:hAnsi="宋体" w:cs="宋体" w:hint="eastAsia"/>
              </w:rPr>
              <w:t>热成像像元尺寸：≥</w:t>
            </w:r>
            <w:r>
              <w:rPr>
                <w:rFonts w:ascii="宋体" w:hAnsi="宋体" w:cs="宋体" w:hint="eastAsia"/>
              </w:rPr>
              <w:t>17</w:t>
            </w:r>
            <w:r>
              <w:rPr>
                <w:rFonts w:ascii="宋体" w:hAnsi="宋体" w:cs="宋体" w:hint="eastAsia"/>
              </w:rPr>
              <w:t>μ</w:t>
            </w:r>
            <w:r>
              <w:rPr>
                <w:rFonts w:ascii="宋体" w:hAnsi="宋体" w:cs="宋体" w:hint="eastAsia"/>
              </w:rPr>
              <w:t>m</w:t>
            </w:r>
          </w:p>
          <w:p w:rsidR="005A0F0B">
            <w:pPr>
              <w:pStyle w:val="a2"/>
              <w:jc w:val="left"/>
              <w:rPr>
                <w:rFonts w:ascii="宋体" w:hAnsi="宋体" w:cs="宋体"/>
              </w:rPr>
            </w:pPr>
            <w:r>
              <w:rPr>
                <w:rFonts w:ascii="宋体" w:hAnsi="宋体" w:cs="宋体" w:hint="eastAsia"/>
              </w:rPr>
              <w:t>热成像分辨率：≥</w:t>
            </w:r>
            <w:r>
              <w:rPr>
                <w:rFonts w:ascii="宋体" w:hAnsi="宋体" w:cs="宋体" w:hint="eastAsia"/>
              </w:rPr>
              <w:t xml:space="preserve">160 </w:t>
            </w:r>
            <w:r>
              <w:rPr>
                <w:rFonts w:ascii="宋体" w:hAnsi="宋体" w:cs="宋体" w:hint="eastAsia"/>
              </w:rPr>
              <w:t>×</w:t>
            </w:r>
            <w:r>
              <w:rPr>
                <w:rFonts w:ascii="宋体" w:hAnsi="宋体" w:cs="宋体" w:hint="eastAsia"/>
              </w:rPr>
              <w:t xml:space="preserve"> 120</w:t>
            </w:r>
          </w:p>
          <w:p w:rsidR="005A0F0B">
            <w:pPr>
              <w:pStyle w:val="a2"/>
              <w:jc w:val="left"/>
              <w:rPr>
                <w:rFonts w:ascii="宋体" w:hAnsi="宋体" w:cs="宋体"/>
              </w:rPr>
            </w:pPr>
            <w:r>
              <w:rPr>
                <w:rFonts w:ascii="宋体" w:hAnsi="宋体" w:cs="宋体" w:hint="eastAsia"/>
              </w:rPr>
              <w:t>热成像焦距</w:t>
            </w:r>
            <w:r>
              <w:rPr>
                <w:rFonts w:ascii="宋体" w:hAnsi="宋体" w:cs="宋体" w:hint="eastAsia"/>
              </w:rPr>
              <w:t>&amp;</w:t>
            </w:r>
            <w:r>
              <w:rPr>
                <w:rFonts w:ascii="宋体" w:hAnsi="宋体" w:cs="宋体" w:hint="eastAsia"/>
              </w:rPr>
              <w:t>视场角：≥</w:t>
            </w:r>
            <w:r>
              <w:rPr>
                <w:rFonts w:ascii="宋体" w:hAnsi="宋体" w:cs="宋体" w:hint="eastAsia"/>
              </w:rPr>
              <w:t>6mm</w:t>
            </w:r>
            <w:r>
              <w:rPr>
                <w:rFonts w:ascii="宋体" w:hAnsi="宋体" w:cs="宋体" w:hint="eastAsia"/>
              </w:rPr>
              <w:t>，</w:t>
            </w:r>
            <w:r>
              <w:rPr>
                <w:rFonts w:ascii="宋体" w:hAnsi="宋体" w:cs="宋体" w:hint="eastAsia"/>
              </w:rPr>
              <w:t>25</w:t>
            </w:r>
            <w:r>
              <w:rPr>
                <w:rFonts w:ascii="宋体" w:hAnsi="宋体" w:cs="宋体" w:hint="eastAsia"/>
              </w:rPr>
              <w:t>°×</w:t>
            </w:r>
            <w:r>
              <w:rPr>
                <w:rFonts w:ascii="宋体" w:hAnsi="宋体" w:cs="宋体" w:hint="eastAsia"/>
              </w:rPr>
              <w:t>18.7</w:t>
            </w:r>
            <w:r>
              <w:rPr>
                <w:rFonts w:ascii="宋体" w:hAnsi="宋体" w:cs="宋体" w:hint="eastAsia"/>
              </w:rPr>
              <w:t>°</w:t>
            </w:r>
          </w:p>
          <w:p w:rsidR="005A0F0B">
            <w:pPr>
              <w:pStyle w:val="a2"/>
              <w:jc w:val="left"/>
              <w:rPr>
                <w:rFonts w:ascii="宋体" w:hAnsi="宋体" w:cs="宋体"/>
              </w:rPr>
            </w:pPr>
            <w:r>
              <w:rPr>
                <w:rFonts w:ascii="宋体" w:hAnsi="宋体" w:cs="宋体" w:hint="eastAsia"/>
              </w:rPr>
              <w:t>温度异常功能：全屏测温</w:t>
            </w:r>
          </w:p>
          <w:p w:rsidR="005A0F0B">
            <w:pPr>
              <w:pStyle w:val="a2"/>
              <w:jc w:val="left"/>
              <w:rPr>
                <w:rFonts w:ascii="宋体" w:hAnsi="宋体" w:cs="宋体"/>
              </w:rPr>
            </w:pPr>
            <w:r>
              <w:rPr>
                <w:rFonts w:ascii="宋体" w:hAnsi="宋体" w:cs="宋体" w:hint="eastAsia"/>
              </w:rPr>
              <w:t>专家模式：≥</w:t>
            </w:r>
            <w:r>
              <w:rPr>
                <w:rFonts w:ascii="宋体" w:hAnsi="宋体" w:cs="宋体" w:hint="eastAsia"/>
              </w:rPr>
              <w:t>10</w:t>
            </w:r>
            <w:r>
              <w:rPr>
                <w:rFonts w:ascii="宋体" w:hAnsi="宋体" w:cs="宋体" w:hint="eastAsia"/>
              </w:rPr>
              <w:t>个点，≥</w:t>
            </w:r>
            <w:r>
              <w:rPr>
                <w:rFonts w:ascii="宋体" w:hAnsi="宋体" w:cs="宋体" w:hint="eastAsia"/>
              </w:rPr>
              <w:t>10</w:t>
            </w:r>
            <w:r>
              <w:rPr>
                <w:rFonts w:ascii="宋体" w:hAnsi="宋体" w:cs="宋体" w:hint="eastAsia"/>
              </w:rPr>
              <w:t>个框，≥</w:t>
            </w:r>
            <w:r>
              <w:rPr>
                <w:rFonts w:ascii="宋体" w:hAnsi="宋体" w:cs="宋体" w:hint="eastAsia"/>
              </w:rPr>
              <w:t>1</w:t>
            </w:r>
            <w:r>
              <w:rPr>
                <w:rFonts w:ascii="宋体" w:hAnsi="宋体" w:cs="宋体" w:hint="eastAsia"/>
              </w:rPr>
              <w:t>条线总计≥</w:t>
            </w:r>
            <w:r>
              <w:rPr>
                <w:rFonts w:ascii="宋体" w:hAnsi="宋体" w:cs="宋体" w:hint="eastAsia"/>
              </w:rPr>
              <w:t>21</w:t>
            </w:r>
            <w:r>
              <w:rPr>
                <w:rFonts w:ascii="宋体" w:hAnsi="宋体" w:cs="宋体" w:hint="eastAsia"/>
              </w:rPr>
              <w:t>个测温规则</w:t>
            </w:r>
          </w:p>
          <w:p w:rsidR="005A0F0B">
            <w:pPr>
              <w:pStyle w:val="a2"/>
              <w:jc w:val="left"/>
              <w:rPr>
                <w:rFonts w:ascii="宋体" w:hAnsi="宋体" w:cs="宋体"/>
              </w:rPr>
            </w:pPr>
            <w:r>
              <w:rPr>
                <w:rFonts w:ascii="宋体" w:hAnsi="宋体" w:cs="宋体" w:hint="eastAsia"/>
              </w:rPr>
              <w:t>测温范围：</w:t>
            </w:r>
            <w:r>
              <w:rPr>
                <w:rFonts w:ascii="宋体" w:hAnsi="宋体" w:cs="宋体" w:hint="eastAsia"/>
              </w:rPr>
              <w:t>-20</w:t>
            </w:r>
            <w:r>
              <w:rPr>
                <w:rFonts w:ascii="宋体" w:hAnsi="宋体" w:cs="宋体" w:hint="eastAsia"/>
              </w:rPr>
              <w:t>℃～</w:t>
            </w:r>
            <w:r>
              <w:rPr>
                <w:rFonts w:ascii="宋体" w:hAnsi="宋体" w:cs="宋体" w:hint="eastAsia"/>
              </w:rPr>
              <w:t>150</w:t>
            </w:r>
            <w:r>
              <w:rPr>
                <w:rFonts w:ascii="宋体" w:hAnsi="宋体" w:cs="宋体" w:hint="eastAsia"/>
              </w:rPr>
              <w:t>℃</w:t>
            </w:r>
          </w:p>
          <w:p w:rsidR="005A0F0B">
            <w:pPr>
              <w:pStyle w:val="a2"/>
              <w:jc w:val="left"/>
              <w:rPr>
                <w:rFonts w:ascii="宋体" w:hAnsi="宋体" w:cs="宋体"/>
              </w:rPr>
            </w:pPr>
            <w:r>
              <w:rPr>
                <w:rFonts w:ascii="宋体" w:hAnsi="宋体" w:cs="宋体" w:hint="eastAsia"/>
              </w:rPr>
              <w:t>测温精度：≥±</w:t>
            </w:r>
            <w:r>
              <w:rPr>
                <w:rFonts w:ascii="宋体" w:hAnsi="宋体" w:cs="宋体" w:hint="eastAsia"/>
              </w:rPr>
              <w:t>8</w:t>
            </w:r>
            <w:r>
              <w:rPr>
                <w:rFonts w:ascii="宋体" w:hAnsi="宋体" w:cs="宋体" w:hint="eastAsia"/>
              </w:rPr>
              <w:t>℃或者读数的±</w:t>
            </w:r>
            <w:r>
              <w:rPr>
                <w:rFonts w:ascii="宋体" w:hAnsi="宋体" w:cs="宋体" w:hint="eastAsia"/>
              </w:rPr>
              <w:t>8%</w:t>
            </w:r>
            <w:r>
              <w:rPr>
                <w:rFonts w:ascii="宋体" w:hAnsi="宋体" w:cs="宋体" w:hint="eastAsia"/>
              </w:rPr>
              <w:t>（取最大值）</w:t>
            </w:r>
          </w:p>
          <w:p w:rsidR="005A0F0B">
            <w:pPr>
              <w:pStyle w:val="a2"/>
              <w:jc w:val="left"/>
              <w:rPr>
                <w:rFonts w:ascii="宋体" w:hAnsi="宋体" w:cs="宋体"/>
              </w:rPr>
            </w:pPr>
            <w:r>
              <w:rPr>
                <w:rFonts w:ascii="宋体" w:hAnsi="宋体" w:cs="宋体" w:hint="eastAsia"/>
              </w:rPr>
              <w:t>目标物最远测温距离（以</w:t>
            </w:r>
            <w:r>
              <w:rPr>
                <w:rFonts w:ascii="宋体" w:hAnsi="宋体" w:cs="宋体" w:hint="eastAsia"/>
              </w:rPr>
              <w:t>0.1</w:t>
            </w:r>
            <w:r>
              <w:rPr>
                <w:rFonts w:ascii="宋体" w:hAnsi="宋体" w:cs="宋体" w:hint="eastAsia"/>
              </w:rPr>
              <w:t>×</w:t>
            </w:r>
            <w:r>
              <w:rPr>
                <w:rFonts w:ascii="宋体" w:hAnsi="宋体" w:cs="宋体" w:hint="eastAsia"/>
              </w:rPr>
              <w:t>0.1</w:t>
            </w:r>
            <w:r>
              <w:rPr>
                <w:rFonts w:ascii="宋体" w:hAnsi="宋体" w:cs="宋体" w:hint="eastAsia"/>
              </w:rPr>
              <w:t>米为准）：≥</w:t>
            </w:r>
            <w:r>
              <w:rPr>
                <w:rFonts w:ascii="宋体" w:hAnsi="宋体" w:cs="宋体" w:hint="eastAsia"/>
              </w:rPr>
              <w:t>6.6m</w:t>
            </w:r>
          </w:p>
          <w:p w:rsidR="005A0F0B">
            <w:pPr>
              <w:pStyle w:val="a2"/>
              <w:jc w:val="left"/>
              <w:rPr>
                <w:rFonts w:ascii="宋体" w:hAnsi="宋体" w:cs="宋体"/>
              </w:rPr>
            </w:pPr>
            <w:r>
              <w:rPr>
                <w:rFonts w:ascii="宋体" w:hAnsi="宋体" w:cs="宋体" w:hint="eastAsia"/>
              </w:rPr>
              <w:t>火点最远报警距离（以</w:t>
            </w:r>
            <w:r>
              <w:rPr>
                <w:rFonts w:ascii="宋体" w:hAnsi="宋体" w:cs="宋体" w:hint="eastAsia"/>
              </w:rPr>
              <w:t>0.1</w:t>
            </w:r>
            <w:r>
              <w:rPr>
                <w:rFonts w:ascii="宋体" w:hAnsi="宋体" w:cs="宋体" w:hint="eastAsia"/>
              </w:rPr>
              <w:t>米</w:t>
            </w:r>
            <w:r>
              <w:rPr>
                <w:rFonts w:ascii="宋体" w:hAnsi="宋体" w:cs="宋体" w:hint="eastAsia"/>
              </w:rPr>
              <w:t>*0.1</w:t>
            </w:r>
            <w:r>
              <w:rPr>
                <w:rFonts w:ascii="宋体" w:hAnsi="宋体" w:cs="宋体" w:hint="eastAsia"/>
              </w:rPr>
              <w:t>米为准）：≥</w:t>
            </w:r>
            <w:r>
              <w:rPr>
                <w:rFonts w:ascii="宋体" w:hAnsi="宋体" w:cs="宋体" w:hint="eastAsia"/>
              </w:rPr>
              <w:t>30m</w:t>
            </w:r>
          </w:p>
          <w:p w:rsidR="005A0F0B">
            <w:pPr>
              <w:pStyle w:val="a2"/>
              <w:jc w:val="left"/>
              <w:rPr>
                <w:rFonts w:ascii="宋体" w:hAnsi="宋体" w:cs="宋体"/>
              </w:rPr>
            </w:pPr>
            <w:r>
              <w:rPr>
                <w:rFonts w:ascii="宋体" w:hAnsi="宋体" w:cs="宋体" w:hint="eastAsia"/>
              </w:rPr>
              <w:t>吸烟检测最远报警距离：≥</w:t>
            </w:r>
            <w:r>
              <w:rPr>
                <w:rFonts w:ascii="宋体" w:hAnsi="宋体" w:cs="宋体" w:hint="eastAsia"/>
              </w:rPr>
              <w:t>6m</w:t>
            </w:r>
          </w:p>
          <w:p w:rsidR="005A0F0B">
            <w:pPr>
              <w:pStyle w:val="a2"/>
              <w:jc w:val="left"/>
              <w:rPr>
                <w:rFonts w:ascii="宋体" w:hAnsi="宋体" w:cs="宋体"/>
              </w:rPr>
            </w:pPr>
            <w:r>
              <w:rPr>
                <w:rFonts w:ascii="宋体" w:hAnsi="宋体" w:cs="宋体" w:hint="eastAsia"/>
              </w:rPr>
              <w:t>可见光传感器类型：≥</w:t>
            </w:r>
            <w:r>
              <w:rPr>
                <w:rFonts w:ascii="宋体" w:hAnsi="宋体" w:cs="宋体" w:hint="eastAsia"/>
              </w:rPr>
              <w:t>400</w:t>
            </w:r>
            <w:r>
              <w:rPr>
                <w:rFonts w:ascii="宋体" w:hAnsi="宋体" w:cs="宋体" w:hint="eastAsia"/>
              </w:rPr>
              <w:t>万</w:t>
            </w:r>
            <w:r>
              <w:rPr>
                <w:rFonts w:ascii="宋体" w:hAnsi="宋体" w:cs="宋体" w:hint="eastAsia"/>
              </w:rPr>
              <w:t>星光级</w:t>
            </w:r>
            <w:r>
              <w:rPr>
                <w:rFonts w:ascii="宋体" w:hAnsi="宋体" w:cs="宋体" w:hint="eastAsia"/>
              </w:rPr>
              <w:t>1/2.7" Progressive Scan CMOS</w:t>
            </w:r>
          </w:p>
          <w:p w:rsidR="005A0F0B">
            <w:pPr>
              <w:pStyle w:val="a2"/>
              <w:jc w:val="left"/>
              <w:rPr>
                <w:rFonts w:ascii="宋体" w:hAnsi="宋体" w:cs="宋体"/>
              </w:rPr>
            </w:pPr>
            <w:r>
              <w:rPr>
                <w:rFonts w:ascii="宋体" w:hAnsi="宋体" w:cs="宋体" w:hint="eastAsia"/>
              </w:rPr>
              <w:t>可见光分辨率：≥</w:t>
            </w:r>
            <w:r>
              <w:rPr>
                <w:rFonts w:ascii="宋体" w:hAnsi="宋体" w:cs="宋体" w:hint="eastAsia"/>
              </w:rPr>
              <w:t>2688</w:t>
            </w:r>
            <w:r>
              <w:rPr>
                <w:rFonts w:ascii="宋体" w:hAnsi="宋体" w:cs="宋体" w:hint="eastAsia"/>
              </w:rPr>
              <w:t>×</w:t>
            </w:r>
            <w:r>
              <w:rPr>
                <w:rFonts w:ascii="宋体" w:hAnsi="宋体" w:cs="宋体" w:hint="eastAsia"/>
              </w:rPr>
              <w:t>1520</w:t>
            </w:r>
            <w:r>
              <w:rPr>
                <w:rFonts w:ascii="宋体" w:hAnsi="宋体" w:cs="宋体" w:hint="eastAsia"/>
              </w:rPr>
              <w:t>，≥</w:t>
            </w:r>
            <w:r>
              <w:rPr>
                <w:rFonts w:ascii="宋体" w:hAnsi="宋体" w:cs="宋体" w:hint="eastAsia"/>
              </w:rPr>
              <w:t>400</w:t>
            </w:r>
            <w:r>
              <w:rPr>
                <w:rFonts w:ascii="宋体" w:hAnsi="宋体" w:cs="宋体" w:hint="eastAsia"/>
              </w:rPr>
              <w:t>万</w:t>
            </w:r>
          </w:p>
          <w:p w:rsidR="005A0F0B">
            <w:pPr>
              <w:pStyle w:val="a2"/>
              <w:jc w:val="left"/>
              <w:rPr>
                <w:rFonts w:ascii="宋体" w:hAnsi="宋体" w:cs="宋体"/>
              </w:rPr>
            </w:pPr>
            <w:r>
              <w:rPr>
                <w:rFonts w:ascii="宋体" w:hAnsi="宋体" w:cs="宋体" w:hint="eastAsia"/>
              </w:rPr>
              <w:t>可见光焦距</w:t>
            </w:r>
            <w:r>
              <w:rPr>
                <w:rFonts w:ascii="宋体" w:hAnsi="宋体" w:cs="宋体" w:hint="eastAsia"/>
              </w:rPr>
              <w:t>&amp;</w:t>
            </w:r>
            <w:r>
              <w:rPr>
                <w:rFonts w:ascii="宋体" w:hAnsi="宋体" w:cs="宋体" w:hint="eastAsia"/>
              </w:rPr>
              <w:t>视场角：≥</w:t>
            </w:r>
            <w:r>
              <w:rPr>
                <w:rFonts w:ascii="宋体" w:hAnsi="宋体" w:cs="宋体" w:hint="eastAsia"/>
              </w:rPr>
              <w:t>8 mm</w:t>
            </w:r>
            <w:r>
              <w:rPr>
                <w:rFonts w:ascii="宋体" w:hAnsi="宋体" w:cs="宋体" w:hint="eastAsia"/>
              </w:rPr>
              <w:t>，</w:t>
            </w:r>
            <w:r>
              <w:rPr>
                <w:rFonts w:ascii="宋体" w:hAnsi="宋体" w:cs="宋体" w:hint="eastAsia"/>
              </w:rPr>
              <w:t>39.4</w:t>
            </w:r>
            <w:r>
              <w:rPr>
                <w:rFonts w:ascii="宋体" w:hAnsi="宋体" w:cs="宋体" w:hint="eastAsia"/>
              </w:rPr>
              <w:t>°</w:t>
            </w:r>
            <w:r>
              <w:rPr>
                <w:rFonts w:ascii="宋体" w:hAnsi="宋体" w:cs="宋体" w:hint="eastAsia"/>
              </w:rPr>
              <w:t>(H) x 22.1</w:t>
            </w:r>
            <w:r>
              <w:rPr>
                <w:rFonts w:ascii="宋体" w:hAnsi="宋体" w:cs="宋体" w:hint="eastAsia"/>
              </w:rPr>
              <w:t>°</w:t>
            </w:r>
            <w:r>
              <w:rPr>
                <w:rFonts w:ascii="宋体" w:hAnsi="宋体" w:cs="宋体" w:hint="eastAsia"/>
              </w:rPr>
              <w:t xml:space="preserve"> (V)</w:t>
            </w:r>
          </w:p>
          <w:p w:rsidR="005A0F0B">
            <w:pPr>
              <w:pStyle w:val="a2"/>
              <w:jc w:val="left"/>
              <w:rPr>
                <w:rFonts w:ascii="宋体" w:hAnsi="宋体" w:cs="宋体"/>
              </w:rPr>
            </w:pPr>
            <w:r>
              <w:rPr>
                <w:rFonts w:ascii="宋体" w:hAnsi="宋体" w:cs="宋体" w:hint="eastAsia"/>
              </w:rPr>
              <w:t>周界防范应用：热成像通道（默认）：越界检测，区域入侵检测，进入</w:t>
            </w:r>
            <w:r>
              <w:rPr>
                <w:rFonts w:ascii="宋体" w:hAnsi="宋体" w:cs="宋体" w:hint="eastAsia"/>
              </w:rPr>
              <w:t>/</w:t>
            </w:r>
            <w:r>
              <w:rPr>
                <w:rFonts w:ascii="宋体" w:hAnsi="宋体" w:cs="宋体" w:hint="eastAsia"/>
              </w:rPr>
              <w:t>离开区域检测</w:t>
            </w:r>
          </w:p>
          <w:p w:rsidR="005A0F0B">
            <w:pPr>
              <w:pStyle w:val="a2"/>
              <w:jc w:val="left"/>
              <w:rPr>
                <w:rFonts w:ascii="宋体" w:hAnsi="宋体" w:cs="宋体"/>
              </w:rPr>
            </w:pPr>
            <w:r>
              <w:rPr>
                <w:rFonts w:ascii="宋体" w:hAnsi="宋体" w:cs="宋体" w:hint="eastAsia"/>
              </w:rPr>
              <w:t>▲热成像视频图像具有</w:t>
            </w:r>
            <w:r>
              <w:rPr>
                <w:rFonts w:ascii="宋体" w:hAnsi="宋体" w:cs="宋体" w:hint="eastAsia"/>
              </w:rPr>
              <w:t>白热黑热融合</w:t>
            </w:r>
            <w:r>
              <w:rPr>
                <w:rFonts w:ascii="宋体" w:hAnsi="宋体" w:cs="宋体" w:hint="eastAsia"/>
              </w:rPr>
              <w:t>1</w:t>
            </w:r>
            <w:r>
              <w:rPr>
                <w:rFonts w:ascii="宋体" w:hAnsi="宋体" w:cs="宋体" w:hint="eastAsia"/>
              </w:rPr>
              <w:t>、融合</w:t>
            </w:r>
            <w:r>
              <w:rPr>
                <w:rFonts w:ascii="宋体" w:hAnsi="宋体" w:cs="宋体" w:hint="eastAsia"/>
              </w:rPr>
              <w:t>2</w:t>
            </w:r>
            <w:r>
              <w:rPr>
                <w:rFonts w:ascii="宋体" w:hAnsi="宋体" w:cs="宋体" w:hint="eastAsia"/>
              </w:rPr>
              <w:t>、彩虹、铁红</w:t>
            </w:r>
            <w:r>
              <w:rPr>
                <w:rFonts w:ascii="宋体" w:hAnsi="宋体" w:cs="宋体" w:hint="eastAsia"/>
              </w:rPr>
              <w:t>1</w:t>
            </w:r>
            <w:r>
              <w:rPr>
                <w:rFonts w:ascii="宋体" w:hAnsi="宋体" w:cs="宋体" w:hint="eastAsia"/>
              </w:rPr>
              <w:t>、铁红</w:t>
            </w:r>
            <w:r>
              <w:rPr>
                <w:rFonts w:ascii="宋体" w:hAnsi="宋体" w:cs="宋体" w:hint="eastAsia"/>
              </w:rPr>
              <w:t>2</w:t>
            </w:r>
            <w:r>
              <w:rPr>
                <w:rFonts w:ascii="宋体" w:hAnsi="宋体" w:cs="宋体" w:hint="eastAsia"/>
              </w:rPr>
              <w:t>、深褐色、色彩</w:t>
            </w:r>
            <w:r>
              <w:rPr>
                <w:rFonts w:ascii="宋体" w:hAnsi="宋体" w:cs="宋体" w:hint="eastAsia"/>
              </w:rPr>
              <w:t>1</w:t>
            </w:r>
            <w:r>
              <w:rPr>
                <w:rFonts w:ascii="宋体" w:hAnsi="宋体" w:cs="宋体" w:hint="eastAsia"/>
              </w:rPr>
              <w:t>、色彩</w:t>
            </w:r>
            <w:r>
              <w:rPr>
                <w:rFonts w:ascii="宋体" w:hAnsi="宋体" w:cs="宋体" w:hint="eastAsia"/>
              </w:rPr>
              <w:t>2</w:t>
            </w:r>
            <w:r>
              <w:rPr>
                <w:rFonts w:ascii="宋体" w:hAnsi="宋体" w:cs="宋体" w:hint="eastAsia"/>
              </w:rPr>
              <w:t>、冰火、雨、红热、绿热、深</w:t>
            </w:r>
            <w:r>
              <w:rPr>
                <w:rFonts w:ascii="宋体" w:hAnsi="宋体" w:cs="宋体" w:hint="eastAsia"/>
              </w:rPr>
              <w:t xml:space="preserve"> </w:t>
            </w:r>
            <w:r>
              <w:rPr>
                <w:rFonts w:ascii="宋体" w:hAnsi="宋体" w:cs="宋体" w:hint="eastAsia"/>
              </w:rPr>
              <w:t>蓝、热点、冰火</w:t>
            </w:r>
            <w:r>
              <w:rPr>
                <w:rFonts w:ascii="宋体" w:hAnsi="宋体" w:cs="宋体" w:hint="eastAsia"/>
              </w:rPr>
              <w:t>2</w:t>
            </w:r>
            <w:r>
              <w:rPr>
                <w:rFonts w:ascii="宋体" w:hAnsi="宋体" w:cs="宋体" w:hint="eastAsia"/>
              </w:rPr>
              <w:t>、冰、热点</w:t>
            </w:r>
            <w:r>
              <w:rPr>
                <w:rFonts w:ascii="宋体" w:hAnsi="宋体" w:cs="宋体" w:hint="eastAsia"/>
              </w:rPr>
              <w:t>2</w:t>
            </w:r>
            <w:r>
              <w:rPr>
                <w:rFonts w:ascii="宋体" w:hAnsi="宋体" w:cs="宋体" w:hint="eastAsia"/>
              </w:rPr>
              <w:t>、绚丽、青紫、聚变</w:t>
            </w:r>
            <w:r>
              <w:rPr>
                <w:rFonts w:ascii="宋体" w:hAnsi="宋体" w:cs="宋体" w:hint="eastAsia"/>
              </w:rPr>
              <w:t>1</w:t>
            </w:r>
            <w:r>
              <w:rPr>
                <w:rFonts w:ascii="宋体" w:hAnsi="宋体" w:cs="宋体" w:hint="eastAsia"/>
              </w:rPr>
              <w:t>、聚变</w:t>
            </w:r>
            <w:r>
              <w:rPr>
                <w:rFonts w:ascii="宋体" w:hAnsi="宋体" w:cs="宋体" w:hint="eastAsia"/>
              </w:rPr>
              <w:t>2</w:t>
            </w:r>
            <w:r>
              <w:rPr>
                <w:rFonts w:ascii="宋体" w:hAnsi="宋体" w:cs="宋体" w:hint="eastAsia"/>
              </w:rPr>
              <w:t>、金秋</w:t>
            </w:r>
            <w:r>
              <w:rPr>
                <w:rFonts w:ascii="宋体" w:hAnsi="宋体" w:cs="宋体" w:hint="eastAsia"/>
              </w:rPr>
              <w:t>1</w:t>
            </w:r>
            <w:r>
              <w:rPr>
                <w:rFonts w:ascii="宋体" w:hAnsi="宋体" w:cs="宋体" w:hint="eastAsia"/>
              </w:rPr>
              <w:t>、金秋</w:t>
            </w:r>
            <w:r>
              <w:rPr>
                <w:rFonts w:ascii="宋体" w:hAnsi="宋体" w:cs="宋体" w:hint="eastAsia"/>
              </w:rPr>
              <w:t>2</w:t>
            </w:r>
            <w:r>
              <w:rPr>
                <w:rFonts w:ascii="宋体" w:hAnsi="宋体" w:cs="宋体" w:hint="eastAsia"/>
              </w:rPr>
              <w:t>、午日</w:t>
            </w:r>
            <w:r>
              <w:rPr>
                <w:rFonts w:ascii="宋体" w:hAnsi="宋体" w:cs="宋体" w:hint="eastAsia"/>
              </w:rPr>
              <w:t>1</w:t>
            </w:r>
            <w:r>
              <w:rPr>
                <w:rFonts w:ascii="宋体" w:hAnsi="宋体" w:cs="宋体" w:hint="eastAsia"/>
              </w:rPr>
              <w:t>、午日</w:t>
            </w:r>
            <w:r>
              <w:rPr>
                <w:rFonts w:ascii="宋体" w:hAnsi="宋体" w:cs="宋体" w:hint="eastAsia"/>
              </w:rPr>
              <w:t>2</w:t>
            </w:r>
            <w:r>
              <w:rPr>
                <w:rFonts w:ascii="宋体" w:hAnsi="宋体" w:cs="宋体" w:hint="eastAsia"/>
              </w:rPr>
              <w:t>、彩虹</w:t>
            </w:r>
            <w:r>
              <w:rPr>
                <w:rFonts w:ascii="宋体" w:hAnsi="宋体" w:cs="宋体" w:hint="eastAsia"/>
              </w:rPr>
              <w:t>1</w:t>
            </w:r>
            <w:r>
              <w:rPr>
                <w:rFonts w:ascii="宋体" w:hAnsi="宋体" w:cs="宋体" w:hint="eastAsia"/>
              </w:rPr>
              <w:t>、彩虹</w:t>
            </w:r>
            <w:r>
              <w:rPr>
                <w:rFonts w:ascii="宋体" w:hAnsi="宋体" w:cs="宋体" w:hint="eastAsia"/>
              </w:rPr>
              <w:t>2</w:t>
            </w:r>
            <w:r>
              <w:rPr>
                <w:rFonts w:ascii="宋体" w:hAnsi="宋体" w:cs="宋体" w:hint="eastAsia"/>
              </w:rPr>
              <w:t>、夕阳</w:t>
            </w:r>
            <w:r>
              <w:rPr>
                <w:rFonts w:ascii="宋体" w:hAnsi="宋体" w:cs="宋体" w:hint="eastAsia"/>
              </w:rPr>
              <w:t>1</w:t>
            </w:r>
            <w:r>
              <w:rPr>
                <w:rFonts w:ascii="宋体" w:hAnsi="宋体" w:cs="宋体" w:hint="eastAsia"/>
              </w:rPr>
              <w:t>、夕阳</w:t>
            </w:r>
            <w:r>
              <w:rPr>
                <w:rFonts w:ascii="宋体" w:hAnsi="宋体" w:cs="宋体" w:hint="eastAsia"/>
              </w:rPr>
              <w:t>2</w:t>
            </w:r>
            <w:r>
              <w:rPr>
                <w:rFonts w:ascii="宋体" w:hAnsi="宋体" w:cs="宋体" w:hint="eastAsia"/>
              </w:rPr>
              <w:t>、琥珀</w:t>
            </w:r>
            <w:r>
              <w:rPr>
                <w:rFonts w:ascii="宋体" w:hAnsi="宋体" w:cs="宋体" w:hint="eastAsia"/>
              </w:rPr>
              <w:t>1</w:t>
            </w:r>
            <w:r>
              <w:rPr>
                <w:rFonts w:ascii="宋体" w:hAnsi="宋体" w:cs="宋体" w:hint="eastAsia"/>
              </w:rPr>
              <w:t>、琥珀</w:t>
            </w:r>
            <w:r>
              <w:rPr>
                <w:rFonts w:ascii="宋体" w:hAnsi="宋体" w:cs="宋体" w:hint="eastAsia"/>
              </w:rPr>
              <w:t>2</w:t>
            </w:r>
            <w:r>
              <w:rPr>
                <w:rFonts w:ascii="宋体" w:hAnsi="宋体" w:cs="宋体" w:hint="eastAsia"/>
              </w:rPr>
              <w:t>、玉石</w:t>
            </w:r>
            <w:r>
              <w:rPr>
                <w:rFonts w:ascii="宋体" w:hAnsi="宋体" w:cs="宋体" w:hint="eastAsia"/>
              </w:rPr>
              <w:t>1</w:t>
            </w:r>
            <w:r>
              <w:rPr>
                <w:rFonts w:ascii="宋体" w:hAnsi="宋体" w:cs="宋体" w:hint="eastAsia"/>
              </w:rPr>
              <w:t>、玉石</w:t>
            </w:r>
            <w:r>
              <w:rPr>
                <w:rFonts w:ascii="宋体" w:hAnsi="宋体" w:cs="宋体" w:hint="eastAsia"/>
              </w:rPr>
              <w:t>2</w:t>
            </w:r>
            <w:r>
              <w:rPr>
                <w:rFonts w:ascii="宋体" w:hAnsi="宋体" w:cs="宋体" w:hint="eastAsia"/>
              </w:rPr>
              <w:t>、油画、石榴人翡翠、春、夏、秋、冬、深红、浅蓝、黄昏</w:t>
            </w:r>
            <w:r>
              <w:rPr>
                <w:rFonts w:ascii="宋体" w:hAnsi="宋体" w:cs="宋体" w:hint="eastAsia"/>
              </w:rPr>
              <w:t>48</w:t>
            </w:r>
            <w:r>
              <w:rPr>
                <w:rFonts w:ascii="宋体" w:hAnsi="宋体" w:cs="宋体" w:hint="eastAsia"/>
              </w:rPr>
              <w:t>种显示模式</w:t>
            </w:r>
          </w:p>
          <w:p w:rsidR="005A0F0B">
            <w:pPr>
              <w:pStyle w:val="a2"/>
              <w:jc w:val="left"/>
              <w:rPr>
                <w:rFonts w:ascii="宋体" w:hAnsi="宋体" w:cs="宋体"/>
              </w:rPr>
            </w:pPr>
            <w:r>
              <w:rPr>
                <w:rFonts w:ascii="宋体" w:hAnsi="宋体" w:cs="宋体" w:hint="eastAsia"/>
              </w:rPr>
              <w:t>▲目标报警过滤功能检验：可对指定目标触发的报警进行过滤，可进行报警过滤的目标类型可选</w:t>
            </w:r>
          </w:p>
          <w:p w:rsidR="005A0F0B">
            <w:pPr>
              <w:pStyle w:val="a2"/>
              <w:jc w:val="left"/>
              <w:rPr>
                <w:rFonts w:ascii="宋体" w:hAnsi="宋体" w:cs="宋体"/>
              </w:rPr>
            </w:pPr>
            <w:r>
              <w:rPr>
                <w:rFonts w:ascii="宋体" w:hAnsi="宋体" w:cs="宋体" w:hint="eastAsia"/>
              </w:rPr>
              <w:t>噪声等效温差（</w:t>
            </w:r>
            <w:r>
              <w:rPr>
                <w:rFonts w:ascii="宋体" w:hAnsi="宋体" w:cs="宋体" w:hint="eastAsia"/>
              </w:rPr>
              <w:t>NETD</w:t>
            </w:r>
            <w:r>
              <w:rPr>
                <w:rFonts w:ascii="宋体" w:hAnsi="宋体" w:cs="宋体" w:hint="eastAsia"/>
              </w:rPr>
              <w:t>）≤</w:t>
            </w:r>
            <w:r>
              <w:rPr>
                <w:rFonts w:ascii="宋体" w:hAnsi="宋体" w:cs="宋体" w:hint="eastAsia"/>
              </w:rPr>
              <w:t>10mk</w:t>
            </w:r>
            <w:r>
              <w:rPr>
                <w:rFonts w:ascii="宋体" w:hAnsi="宋体" w:cs="宋体" w:hint="eastAsia"/>
              </w:rPr>
              <w:t>；</w:t>
            </w:r>
          </w:p>
          <w:p w:rsidR="005A0F0B">
            <w:pPr>
              <w:pStyle w:val="a2"/>
              <w:jc w:val="left"/>
              <w:rPr>
                <w:rFonts w:ascii="宋体" w:hAnsi="宋体" w:cs="宋体"/>
              </w:rPr>
            </w:pPr>
            <w:r>
              <w:rPr>
                <w:rFonts w:ascii="宋体" w:hAnsi="宋体" w:cs="宋体" w:hint="eastAsia"/>
              </w:rPr>
              <w:t>报警输入：支持≥</w:t>
            </w:r>
            <w:r>
              <w:rPr>
                <w:rFonts w:ascii="宋体" w:hAnsi="宋体" w:cs="宋体" w:hint="eastAsia"/>
              </w:rPr>
              <w:t>1</w:t>
            </w:r>
            <w:r>
              <w:rPr>
                <w:rFonts w:ascii="宋体" w:hAnsi="宋体" w:cs="宋体" w:hint="eastAsia"/>
              </w:rPr>
              <w:t>路</w:t>
            </w:r>
            <w:r>
              <w:rPr>
                <w:rFonts w:ascii="宋体" w:hAnsi="宋体" w:cs="宋体" w:hint="eastAsia"/>
              </w:rPr>
              <w:t>DC 0~5V</w:t>
            </w:r>
            <w:r>
              <w:rPr>
                <w:rFonts w:ascii="宋体" w:hAnsi="宋体" w:cs="宋体" w:hint="eastAsia"/>
              </w:rPr>
              <w:t>报警输入</w:t>
            </w:r>
          </w:p>
          <w:p w:rsidR="005A0F0B">
            <w:pPr>
              <w:pStyle w:val="a2"/>
              <w:jc w:val="left"/>
              <w:rPr>
                <w:rFonts w:ascii="宋体" w:hAnsi="宋体" w:cs="宋体"/>
              </w:rPr>
            </w:pPr>
            <w:r>
              <w:rPr>
                <w:rFonts w:ascii="宋体" w:hAnsi="宋体" w:cs="宋体" w:hint="eastAsia"/>
              </w:rPr>
              <w:t>报警输</w:t>
            </w:r>
            <w:r>
              <w:rPr>
                <w:rFonts w:ascii="宋体" w:hAnsi="宋体" w:cs="宋体" w:hint="eastAsia"/>
              </w:rPr>
              <w:t>出：支持≥</w:t>
            </w:r>
            <w:r>
              <w:rPr>
                <w:rFonts w:ascii="宋体" w:hAnsi="宋体" w:cs="宋体" w:hint="eastAsia"/>
              </w:rPr>
              <w:t>1</w:t>
            </w:r>
            <w:r>
              <w:rPr>
                <w:rFonts w:ascii="宋体" w:hAnsi="宋体" w:cs="宋体" w:hint="eastAsia"/>
              </w:rPr>
              <w:t>路常开型继电器输出，报警类型可设置</w:t>
            </w:r>
          </w:p>
          <w:p w:rsidR="005A0F0B">
            <w:pPr>
              <w:pStyle w:val="a2"/>
              <w:jc w:val="left"/>
              <w:rPr>
                <w:rFonts w:ascii="宋体" w:hAnsi="宋体" w:cs="宋体"/>
              </w:rPr>
            </w:pPr>
            <w:r>
              <w:rPr>
                <w:rFonts w:ascii="宋体" w:hAnsi="宋体" w:cs="宋体" w:hint="eastAsia"/>
              </w:rPr>
              <w:t>音频输入：≥</w:t>
            </w:r>
            <w:r>
              <w:rPr>
                <w:rFonts w:ascii="宋体" w:hAnsi="宋体" w:cs="宋体" w:hint="eastAsia"/>
              </w:rPr>
              <w:t>1</w:t>
            </w:r>
            <w:r>
              <w:rPr>
                <w:rFonts w:ascii="宋体" w:hAnsi="宋体" w:cs="宋体" w:hint="eastAsia"/>
              </w:rPr>
              <w:t>路</w:t>
            </w:r>
            <w:r>
              <w:rPr>
                <w:rFonts w:ascii="宋体" w:hAnsi="宋体" w:cs="宋体" w:hint="eastAsia"/>
              </w:rPr>
              <w:t>3.5mm Mic in/Line in interface. Line input: 2</w:t>
            </w:r>
            <w:r>
              <w:rPr>
                <w:rFonts w:ascii="宋体" w:hAnsi="宋体" w:cs="宋体" w:hint="eastAsia"/>
              </w:rPr>
              <w:t>～</w:t>
            </w:r>
            <w:r>
              <w:rPr>
                <w:rFonts w:ascii="宋体" w:hAnsi="宋体" w:cs="宋体" w:hint="eastAsia"/>
              </w:rPr>
              <w:t>2.4V[p-p]</w:t>
            </w:r>
          </w:p>
          <w:p w:rsidR="005A0F0B">
            <w:pPr>
              <w:pStyle w:val="a2"/>
              <w:jc w:val="left"/>
              <w:rPr>
                <w:rFonts w:ascii="宋体" w:hAnsi="宋体" w:cs="宋体"/>
              </w:rPr>
            </w:pPr>
            <w:r>
              <w:rPr>
                <w:rFonts w:ascii="宋体" w:hAnsi="宋体" w:cs="宋体" w:hint="eastAsia"/>
              </w:rPr>
              <w:t>音频输出：≥</w:t>
            </w:r>
            <w:r>
              <w:rPr>
                <w:rFonts w:ascii="宋体" w:hAnsi="宋体" w:cs="宋体" w:hint="eastAsia"/>
              </w:rPr>
              <w:t>1</w:t>
            </w:r>
            <w:r>
              <w:rPr>
                <w:rFonts w:ascii="宋体" w:hAnsi="宋体" w:cs="宋体" w:hint="eastAsia"/>
              </w:rPr>
              <w:t>路</w:t>
            </w:r>
            <w:r>
              <w:rPr>
                <w:rFonts w:ascii="宋体" w:hAnsi="宋体" w:cs="宋体" w:hint="eastAsia"/>
              </w:rPr>
              <w:t>3.5mm Impedance: 600</w:t>
            </w:r>
            <w:r>
              <w:rPr>
                <w:rFonts w:ascii="宋体" w:hAnsi="宋体" w:cs="宋体" w:hint="eastAsia"/>
              </w:rPr>
              <w:t>Ω</w:t>
            </w:r>
          </w:p>
          <w:p w:rsidR="005A0F0B">
            <w:pPr>
              <w:pStyle w:val="a2"/>
              <w:jc w:val="left"/>
              <w:rPr>
                <w:rFonts w:ascii="宋体" w:hAnsi="宋体" w:cs="宋体"/>
              </w:rPr>
            </w:pPr>
            <w:r>
              <w:rPr>
                <w:rFonts w:ascii="宋体" w:hAnsi="宋体" w:cs="宋体" w:hint="eastAsia"/>
              </w:rPr>
              <w:t>SD</w:t>
            </w:r>
            <w:r>
              <w:rPr>
                <w:rFonts w:ascii="宋体" w:hAnsi="宋体" w:cs="宋体" w:hint="eastAsia"/>
              </w:rPr>
              <w:t>卡存储：内置</w:t>
            </w:r>
            <w:r>
              <w:rPr>
                <w:rFonts w:ascii="宋体" w:hAnsi="宋体" w:cs="宋体" w:hint="eastAsia"/>
              </w:rPr>
              <w:t>Micro SD</w:t>
            </w:r>
            <w:r>
              <w:rPr>
                <w:rFonts w:ascii="宋体" w:hAnsi="宋体" w:cs="宋体" w:hint="eastAsia"/>
              </w:rPr>
              <w:t>卡插槽，支持</w:t>
            </w:r>
            <w:r>
              <w:rPr>
                <w:rFonts w:ascii="宋体" w:hAnsi="宋体" w:cs="宋体" w:hint="eastAsia"/>
              </w:rPr>
              <w:t>Micro SD/SDHC/SDXC</w:t>
            </w:r>
            <w:r>
              <w:rPr>
                <w:rFonts w:ascii="宋体" w:hAnsi="宋体" w:cs="宋体" w:hint="eastAsia"/>
              </w:rPr>
              <w:t>卡（最大支持</w:t>
            </w:r>
            <w:r>
              <w:rPr>
                <w:rFonts w:ascii="宋体" w:hAnsi="宋体" w:cs="宋体" w:hint="eastAsia"/>
              </w:rPr>
              <w:t>256G</w:t>
            </w:r>
            <w:r>
              <w:rPr>
                <w:rFonts w:ascii="宋体" w:hAnsi="宋体" w:cs="宋体" w:hint="eastAsia"/>
              </w:rPr>
              <w:t>），可支持手动录像</w:t>
            </w:r>
            <w:r>
              <w:rPr>
                <w:rFonts w:ascii="宋体" w:hAnsi="宋体" w:cs="宋体" w:hint="eastAsia"/>
              </w:rPr>
              <w:t>/</w:t>
            </w:r>
            <w:r>
              <w:rPr>
                <w:rFonts w:ascii="宋体" w:hAnsi="宋体" w:cs="宋体" w:hint="eastAsia"/>
              </w:rPr>
              <w:t>报警录像</w:t>
            </w:r>
          </w:p>
          <w:p w:rsidR="005A0F0B">
            <w:pPr>
              <w:pStyle w:val="a2"/>
              <w:jc w:val="left"/>
              <w:rPr>
                <w:rFonts w:ascii="宋体" w:hAnsi="宋体" w:cs="宋体"/>
              </w:rPr>
            </w:pPr>
            <w:r>
              <w:rPr>
                <w:rFonts w:ascii="宋体" w:hAnsi="宋体" w:cs="宋体" w:hint="eastAsia"/>
              </w:rPr>
              <w:t>电源输入：</w:t>
            </w:r>
            <w:r>
              <w:rPr>
                <w:rFonts w:ascii="宋体" w:hAnsi="宋体" w:cs="宋体" w:hint="eastAsia"/>
              </w:rPr>
              <w:t>12 VDC (</w:t>
            </w:r>
            <w:r>
              <w:rPr>
                <w:rFonts w:ascii="宋体" w:hAnsi="宋体" w:cs="宋体" w:hint="eastAsia"/>
              </w:rPr>
              <w:t>±</w:t>
            </w:r>
            <w:r>
              <w:rPr>
                <w:rFonts w:ascii="宋体" w:hAnsi="宋体" w:cs="宋体" w:hint="eastAsia"/>
              </w:rPr>
              <w:t xml:space="preserve">25%) </w:t>
            </w:r>
            <w:r>
              <w:rPr>
                <w:rFonts w:ascii="宋体" w:hAnsi="宋体" w:cs="宋体" w:hint="eastAsia"/>
              </w:rPr>
              <w:t>或</w:t>
            </w:r>
            <w:r>
              <w:rPr>
                <w:rFonts w:ascii="宋体" w:hAnsi="宋体" w:cs="宋体" w:hint="eastAsia"/>
              </w:rPr>
              <w:t>PoE</w:t>
            </w:r>
            <w:r>
              <w:rPr>
                <w:rFonts w:ascii="宋体" w:hAnsi="宋体" w:cs="宋体" w:hint="eastAsia"/>
              </w:rPr>
              <w:t xml:space="preserve"> (802.3af, class 3)</w:t>
            </w:r>
          </w:p>
          <w:p w:rsidR="005A0F0B">
            <w:pPr>
              <w:pStyle w:val="a2"/>
              <w:jc w:val="left"/>
              <w:rPr>
                <w:rFonts w:ascii="宋体" w:hAnsi="宋体" w:cs="宋体"/>
              </w:rPr>
            </w:pPr>
            <w:r>
              <w:rPr>
                <w:rFonts w:ascii="宋体" w:hAnsi="宋体" w:cs="宋体" w:hint="eastAsia"/>
              </w:rPr>
              <w:t>功率：</w:t>
            </w:r>
            <w:r>
              <w:rPr>
                <w:rFonts w:ascii="宋体" w:hAnsi="宋体" w:cs="宋体" w:hint="eastAsia"/>
              </w:rPr>
              <w:t>12 VDC</w:t>
            </w:r>
            <w:r>
              <w:rPr>
                <w:rFonts w:ascii="宋体" w:hAnsi="宋体" w:cs="宋体" w:hint="eastAsia"/>
              </w:rPr>
              <w:t>±</w:t>
            </w:r>
            <w:r>
              <w:rPr>
                <w:rFonts w:ascii="宋体" w:hAnsi="宋体" w:cs="宋体" w:hint="eastAsia"/>
              </w:rPr>
              <w:t>25%: 0.5 A, max. 6 W</w:t>
            </w:r>
          </w:p>
          <w:p w:rsidR="005A0F0B">
            <w:pPr>
              <w:pStyle w:val="a2"/>
              <w:jc w:val="left"/>
              <w:rPr>
                <w:rFonts w:ascii="宋体" w:hAnsi="宋体" w:cs="宋体"/>
              </w:rPr>
            </w:pPr>
            <w:r>
              <w:rPr>
                <w:rFonts w:ascii="宋体" w:hAnsi="宋体" w:cs="宋体" w:hint="eastAsia"/>
              </w:rPr>
              <w:t>PoE</w:t>
            </w:r>
            <w:r>
              <w:rPr>
                <w:rFonts w:ascii="宋体" w:hAnsi="宋体" w:cs="宋体" w:hint="eastAsia"/>
              </w:rPr>
              <w:t xml:space="preserve"> (802.3af, class 3): 42.5 V</w:t>
            </w:r>
            <w:r>
              <w:rPr>
                <w:rFonts w:ascii="宋体" w:hAnsi="宋体" w:cs="宋体" w:hint="eastAsia"/>
              </w:rPr>
              <w:t>～</w:t>
            </w:r>
            <w:r>
              <w:rPr>
                <w:rFonts w:ascii="宋体" w:hAnsi="宋体" w:cs="宋体" w:hint="eastAsia"/>
              </w:rPr>
              <w:t xml:space="preserve">57 V, 0.14 </w:t>
            </w:r>
            <w:r>
              <w:rPr>
                <w:rFonts w:ascii="宋体" w:hAnsi="宋体" w:cs="宋体" w:hint="eastAsia"/>
              </w:rPr>
              <w:t>A~0.22 A, max. 6.5 W</w:t>
            </w:r>
          </w:p>
          <w:p w:rsidR="005A0F0B">
            <w:pPr>
              <w:pStyle w:val="a2"/>
              <w:jc w:val="left"/>
              <w:rPr>
                <w:rFonts w:ascii="宋体" w:hAnsi="宋体" w:cs="宋体"/>
              </w:rPr>
            </w:pPr>
            <w:r>
              <w:rPr>
                <w:rFonts w:ascii="宋体" w:hAnsi="宋体" w:cs="宋体" w:hint="eastAsia"/>
              </w:rPr>
              <w:t>工作温度和湿度：</w:t>
            </w:r>
            <w:r>
              <w:rPr>
                <w:rFonts w:ascii="宋体" w:hAnsi="宋体" w:cs="宋体" w:hint="eastAsia"/>
              </w:rPr>
              <w:t>-40</w:t>
            </w:r>
            <w:r>
              <w:rPr>
                <w:rFonts w:ascii="宋体" w:hAnsi="宋体" w:cs="宋体" w:hint="eastAsia"/>
              </w:rPr>
              <w:t>℃～</w:t>
            </w:r>
            <w:r>
              <w:rPr>
                <w:rFonts w:ascii="宋体" w:hAnsi="宋体" w:cs="宋体" w:hint="eastAsia"/>
              </w:rPr>
              <w:t>70</w:t>
            </w:r>
            <w:r>
              <w:rPr>
                <w:rFonts w:ascii="宋体" w:hAnsi="宋体" w:cs="宋体" w:hint="eastAsia"/>
              </w:rPr>
              <w:t>℃，＜</w:t>
            </w:r>
            <w:r>
              <w:rPr>
                <w:rFonts w:ascii="宋体" w:hAnsi="宋体" w:cs="宋体" w:hint="eastAsia"/>
              </w:rPr>
              <w:t>95% RH</w:t>
            </w:r>
          </w:p>
          <w:p w:rsidR="005A0F0B">
            <w:pPr>
              <w:pStyle w:val="a2"/>
              <w:jc w:val="left"/>
              <w:rPr>
                <w:rFonts w:ascii="宋体" w:hAnsi="宋体" w:cs="宋体"/>
              </w:rPr>
            </w:pPr>
            <w:r>
              <w:rPr>
                <w:rFonts w:ascii="宋体" w:hAnsi="宋体" w:cs="宋体" w:hint="eastAsia"/>
              </w:rPr>
              <w:t>防护等级：</w:t>
            </w:r>
            <w:r>
              <w:rPr>
                <w:rFonts w:ascii="宋体" w:hAnsi="宋体" w:cs="宋体" w:hint="eastAsia"/>
              </w:rPr>
              <w:t>IP67</w:t>
            </w:r>
          </w:p>
        </w:tc>
        <w:tc>
          <w:tcPr>
            <w:tcW w:w="363" w:type="pct"/>
            <w:vAlign w:val="center"/>
          </w:tcPr>
          <w:p w:rsidR="005A0F0B">
            <w:pPr>
              <w:pStyle w:val="a2"/>
              <w:jc w:val="center"/>
              <w:rPr>
                <w:rFonts w:ascii="宋体" w:hAnsi="宋体" w:cs="宋体"/>
              </w:rPr>
            </w:pPr>
            <w:r>
              <w:rPr>
                <w:rFonts w:ascii="宋体" w:hAnsi="宋体" w:cs="宋体" w:hint="eastAsia"/>
              </w:rPr>
              <w:t>770</w:t>
            </w:r>
          </w:p>
        </w:tc>
        <w:tc>
          <w:tcPr>
            <w:tcW w:w="398" w:type="pct"/>
            <w:vAlign w:val="center"/>
          </w:tcPr>
          <w:p w:rsidR="005A0F0B">
            <w:pPr>
              <w:pStyle w:val="a2"/>
              <w:jc w:val="center"/>
              <w:rPr>
                <w:rFonts w:ascii="宋体" w:hAnsi="宋体" w:cs="宋体"/>
              </w:rPr>
            </w:pPr>
            <w:r>
              <w:rPr>
                <w:rFonts w:ascii="宋体" w:hAnsi="宋体" w:cs="宋体" w:hint="eastAsia"/>
              </w:rPr>
              <w:t>台</w:t>
            </w:r>
          </w:p>
        </w:tc>
        <w:tc>
          <w:tcPr>
            <w:tcW w:w="506" w:type="pct"/>
            <w:vAlign w:val="center"/>
          </w:tcPr>
          <w:p w:rsidR="005A0F0B">
            <w:pPr>
              <w:pStyle w:val="a2"/>
              <w:jc w:val="center"/>
              <w:rPr>
                <w:rFonts w:ascii="宋体" w:hAnsi="宋体" w:cs="宋体"/>
              </w:rPr>
            </w:pPr>
            <w:r>
              <w:rPr>
                <w:rFonts w:ascii="宋体" w:hAnsi="宋体" w:cs="宋体" w:hint="eastAsia"/>
              </w:rPr>
              <w:t>每个作</w:t>
            </w:r>
            <w:r>
              <w:rPr>
                <w:rFonts w:ascii="宋体" w:hAnsi="宋体" w:cs="宋体" w:hint="eastAsia"/>
              </w:rPr>
              <w:t>业点</w:t>
            </w:r>
            <w:r>
              <w:rPr>
                <w:rFonts w:ascii="宋体" w:hAnsi="宋体" w:cs="宋体" w:hint="eastAsia"/>
              </w:rPr>
              <w:t>5</w:t>
            </w:r>
            <w:r>
              <w:rPr>
                <w:rFonts w:ascii="宋体" w:hAnsi="宋体" w:cs="宋体" w:hint="eastAsia"/>
              </w:rPr>
              <w:t>台</w:t>
            </w:r>
          </w:p>
        </w:tc>
      </w:tr>
    </w:tbl>
    <w:p w:rsidR="005A0F0B">
      <w:pPr>
        <w:rPr>
          <w:rFonts w:ascii="宋体" w:hAnsi="宋体"/>
          <w:szCs w:val="21"/>
        </w:rPr>
      </w:pPr>
    </w:p>
    <w:p w:rsidR="005A0F0B">
      <w:pPr>
        <w:pStyle w:val="BodyText"/>
      </w:pPr>
    </w:p>
    <w:p w:rsidR="005A0F0B">
      <w:pPr>
        <w:pStyle w:val="-1"/>
        <w:ind w:firstLine="560"/>
        <w:jc w:val="center"/>
        <w:rPr>
          <w:color w:val="auto"/>
        </w:rPr>
      </w:pPr>
      <w:r>
        <w:rPr>
          <w:rFonts w:ascii="宋体" w:hAnsi="宋体" w:cs="宋体" w:hint="eastAsia"/>
          <w:color w:val="auto"/>
        </w:rPr>
        <w:t>表</w:t>
      </w:r>
      <w:r>
        <w:rPr>
          <w:rFonts w:ascii="宋体" w:hAnsi="宋体" w:cs="宋体" w:hint="eastAsia"/>
          <w:color w:val="auto"/>
        </w:rPr>
        <w:t xml:space="preserve">2 </w:t>
      </w:r>
      <w:r>
        <w:rPr>
          <w:rFonts w:ascii="宋体" w:hAnsi="宋体" w:cs="宋体" w:hint="eastAsia"/>
          <w:color w:val="auto"/>
        </w:rPr>
        <w:t>监控识别系统设备技术性能配置参数</w:t>
      </w:r>
    </w:p>
    <w:tbl>
      <w:tblPr>
        <w:tblStyle w:val="TableNormal"/>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1"/>
        <w:gridCol w:w="1099"/>
        <w:gridCol w:w="4989"/>
        <w:gridCol w:w="659"/>
        <w:gridCol w:w="717"/>
        <w:gridCol w:w="927"/>
      </w:tblGrid>
      <w:tr>
        <w:tblPrEx>
          <w:tblW w:w="502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365" w:type="pct"/>
            <w:vAlign w:val="center"/>
          </w:tcPr>
          <w:p w:rsidR="005A0F0B">
            <w:pPr>
              <w:pStyle w:val="a2"/>
              <w:jc w:val="center"/>
              <w:rPr>
                <w:rFonts w:ascii="宋体" w:hAnsi="宋体" w:cs="宋体"/>
              </w:rPr>
            </w:pPr>
            <w:r>
              <w:rPr>
                <w:rFonts w:ascii="宋体" w:hAnsi="宋体" w:cs="宋体" w:hint="eastAsia"/>
              </w:rPr>
              <w:t>序号</w:t>
            </w:r>
          </w:p>
        </w:tc>
        <w:tc>
          <w:tcPr>
            <w:tcW w:w="607" w:type="pct"/>
            <w:vAlign w:val="center"/>
          </w:tcPr>
          <w:p w:rsidR="005A0F0B">
            <w:pPr>
              <w:pStyle w:val="a2"/>
              <w:jc w:val="center"/>
              <w:rPr>
                <w:rFonts w:ascii="宋体" w:hAnsi="宋体" w:cs="宋体"/>
              </w:rPr>
            </w:pPr>
            <w:r>
              <w:rPr>
                <w:rFonts w:ascii="宋体" w:hAnsi="宋体" w:cs="宋体" w:hint="eastAsia"/>
              </w:rPr>
              <w:t>名称</w:t>
            </w:r>
          </w:p>
        </w:tc>
        <w:tc>
          <w:tcPr>
            <w:tcW w:w="2755" w:type="pct"/>
            <w:vAlign w:val="center"/>
          </w:tcPr>
          <w:p w:rsidR="005A0F0B">
            <w:pPr>
              <w:pStyle w:val="a2"/>
              <w:jc w:val="center"/>
              <w:rPr>
                <w:rFonts w:ascii="宋体" w:hAnsi="宋体" w:cs="宋体"/>
              </w:rPr>
            </w:pPr>
            <w:r>
              <w:rPr>
                <w:rFonts w:ascii="宋体" w:hAnsi="宋体" w:cs="宋体" w:hint="eastAsia"/>
              </w:rPr>
              <w:t>主要技术性能要求</w:t>
            </w:r>
          </w:p>
        </w:tc>
        <w:tc>
          <w:tcPr>
            <w:tcW w:w="364" w:type="pct"/>
            <w:vAlign w:val="center"/>
          </w:tcPr>
          <w:p w:rsidR="005A0F0B">
            <w:pPr>
              <w:pStyle w:val="a2"/>
              <w:rPr>
                <w:rFonts w:ascii="宋体" w:hAnsi="宋体" w:cs="宋体"/>
              </w:rPr>
            </w:pPr>
            <w:r>
              <w:rPr>
                <w:rFonts w:ascii="宋体" w:hAnsi="宋体" w:cs="宋体" w:hint="eastAsia"/>
              </w:rPr>
              <w:t>数量</w:t>
            </w:r>
          </w:p>
        </w:tc>
        <w:tc>
          <w:tcPr>
            <w:tcW w:w="396" w:type="pct"/>
            <w:vAlign w:val="center"/>
          </w:tcPr>
          <w:p w:rsidR="005A0F0B">
            <w:pPr>
              <w:pStyle w:val="a2"/>
              <w:rPr>
                <w:rFonts w:ascii="宋体" w:hAnsi="宋体" w:cs="宋体"/>
              </w:rPr>
            </w:pPr>
            <w:r>
              <w:rPr>
                <w:rFonts w:ascii="宋体" w:hAnsi="宋体" w:cs="宋体" w:hint="eastAsia"/>
              </w:rPr>
              <w:t>单位</w:t>
            </w:r>
          </w:p>
        </w:tc>
        <w:tc>
          <w:tcPr>
            <w:tcW w:w="512" w:type="pct"/>
            <w:vAlign w:val="center"/>
          </w:tcPr>
          <w:p w:rsidR="005A0F0B">
            <w:pPr>
              <w:pStyle w:val="a2"/>
              <w:jc w:val="center"/>
              <w:rPr>
                <w:rFonts w:ascii="宋体" w:hAnsi="宋体" w:cs="宋体"/>
              </w:rPr>
            </w:pPr>
            <w:r>
              <w:rPr>
                <w:rFonts w:ascii="宋体" w:hAnsi="宋体" w:cs="宋体" w:hint="eastAsia"/>
              </w:rPr>
              <w:t>备注</w:t>
            </w:r>
          </w:p>
        </w:tc>
      </w:tr>
      <w:tr>
        <w:tblPrEx>
          <w:tblW w:w="5027" w:type="pct"/>
          <w:jc w:val="center"/>
          <w:tblLayout w:type="fixed"/>
          <w:tblLook w:val="04A0"/>
        </w:tblPrEx>
        <w:trPr>
          <w:jc w:val="center"/>
        </w:trPr>
        <w:tc>
          <w:tcPr>
            <w:tcW w:w="365"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1</w:t>
            </w:r>
          </w:p>
        </w:tc>
        <w:tc>
          <w:tcPr>
            <w:tcW w:w="607"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网络音箱</w:t>
            </w:r>
          </w:p>
          <w:p w:rsidR="005A0F0B">
            <w:pPr>
              <w:pStyle w:val="a2"/>
              <w:jc w:val="center"/>
              <w:rPr>
                <w:rFonts w:ascii="宋体" w:hAnsi="宋体" w:cs="宋体"/>
              </w:rPr>
            </w:pPr>
          </w:p>
        </w:tc>
        <w:tc>
          <w:tcPr>
            <w:tcW w:w="2755" w:type="pct"/>
            <w:tcBorders>
              <w:top w:val="single" w:sz="4" w:space="0" w:color="auto"/>
              <w:left w:val="single" w:sz="4" w:space="0" w:color="auto"/>
              <w:bottom w:val="single" w:sz="4" w:space="0" w:color="auto"/>
              <w:right w:val="single" w:sz="4" w:space="0" w:color="auto"/>
            </w:tcBorders>
            <w:vAlign w:val="center"/>
          </w:tcPr>
          <w:p w:rsidR="005A0F0B">
            <w:pPr>
              <w:pStyle w:val="a2"/>
              <w:numPr>
                <w:ilvl w:val="12"/>
                <w:numId w:val="0"/>
              </w:numPr>
              <w:rPr>
                <w:rFonts w:ascii="宋体" w:hAnsi="宋体" w:cs="宋体"/>
              </w:rPr>
            </w:pPr>
            <w:r>
              <w:rPr>
                <w:rFonts w:ascii="宋体" w:hAnsi="宋体" w:cs="宋体" w:hint="eastAsia"/>
              </w:rPr>
              <w:t>一体壁挂式室外防水防尘设计、整合网络音频解码，数字功放及音箱；</w:t>
            </w:r>
          </w:p>
          <w:p w:rsidR="005A0F0B">
            <w:pPr>
              <w:pStyle w:val="a2"/>
              <w:numPr>
                <w:ilvl w:val="12"/>
                <w:numId w:val="0"/>
              </w:numPr>
              <w:rPr>
                <w:rFonts w:ascii="宋体" w:hAnsi="宋体" w:cs="宋体"/>
              </w:rPr>
            </w:pPr>
            <w:r>
              <w:rPr>
                <w:rFonts w:ascii="宋体" w:hAnsi="宋体" w:cs="宋体" w:hint="eastAsia"/>
              </w:rPr>
              <w:t>采用高速</w:t>
            </w:r>
            <w:r>
              <w:rPr>
                <w:rFonts w:ascii="宋体" w:hAnsi="宋体" w:cs="宋体" w:hint="eastAsia"/>
              </w:rPr>
              <w:t>工业级双核</w:t>
            </w:r>
            <w:r>
              <w:rPr>
                <w:rFonts w:ascii="宋体" w:hAnsi="宋体" w:cs="宋体" w:hint="eastAsia"/>
              </w:rPr>
              <w:t>芯片</w:t>
            </w:r>
          </w:p>
          <w:p w:rsidR="005A0F0B">
            <w:pPr>
              <w:pStyle w:val="a2"/>
              <w:numPr>
                <w:ilvl w:val="12"/>
                <w:numId w:val="0"/>
              </w:numPr>
              <w:rPr>
                <w:rFonts w:ascii="宋体" w:hAnsi="宋体" w:cs="宋体"/>
              </w:rPr>
            </w:pPr>
            <w:r>
              <w:rPr>
                <w:rFonts w:ascii="宋体" w:hAnsi="宋体" w:cs="宋体" w:hint="eastAsia"/>
              </w:rPr>
              <w:t>本地采集（音频线路输入）进行实时广播</w:t>
            </w:r>
          </w:p>
          <w:p w:rsidR="005A0F0B">
            <w:pPr>
              <w:pStyle w:val="a2"/>
              <w:numPr>
                <w:ilvl w:val="12"/>
                <w:numId w:val="0"/>
              </w:numPr>
              <w:rPr>
                <w:rFonts w:ascii="宋体" w:hAnsi="宋体" w:cs="宋体"/>
              </w:rPr>
            </w:pPr>
            <w:r>
              <w:rPr>
                <w:rFonts w:ascii="宋体" w:hAnsi="宋体" w:cs="宋体" w:hint="eastAsia"/>
              </w:rPr>
              <w:t>广播采样率：</w:t>
            </w:r>
            <w:r>
              <w:rPr>
                <w:rFonts w:ascii="宋体" w:hAnsi="宋体" w:cs="宋体" w:hint="eastAsia"/>
              </w:rPr>
              <w:t>8KHz</w:t>
            </w:r>
            <w:r>
              <w:rPr>
                <w:rFonts w:ascii="宋体" w:hAnsi="宋体" w:cs="宋体" w:hint="eastAsia"/>
              </w:rPr>
              <w:t>～</w:t>
            </w:r>
            <w:r>
              <w:rPr>
                <w:rFonts w:ascii="宋体" w:hAnsi="宋体" w:cs="宋体" w:hint="eastAsia"/>
              </w:rPr>
              <w:t>48KHz</w:t>
            </w:r>
            <w:r>
              <w:rPr>
                <w:rFonts w:ascii="宋体" w:hAnsi="宋体" w:cs="宋体" w:hint="eastAsia"/>
              </w:rPr>
              <w:t>；</w:t>
            </w:r>
          </w:p>
          <w:p w:rsidR="005A0F0B">
            <w:pPr>
              <w:pStyle w:val="a2"/>
              <w:numPr>
                <w:ilvl w:val="12"/>
                <w:numId w:val="0"/>
              </w:numPr>
              <w:rPr>
                <w:rFonts w:ascii="宋体" w:hAnsi="宋体" w:cs="宋体"/>
              </w:rPr>
            </w:pPr>
            <w:r>
              <w:rPr>
                <w:rFonts w:ascii="宋体" w:hAnsi="宋体" w:cs="宋体" w:hint="eastAsia"/>
              </w:rPr>
              <w:t>量化位数：</w:t>
            </w:r>
            <w:r>
              <w:rPr>
                <w:rFonts w:ascii="宋体" w:hAnsi="宋体" w:cs="宋体" w:hint="eastAsia"/>
              </w:rPr>
              <w:t>16bit</w:t>
            </w:r>
          </w:p>
          <w:p w:rsidR="005A0F0B">
            <w:pPr>
              <w:pStyle w:val="a2"/>
              <w:numPr>
                <w:ilvl w:val="12"/>
                <w:numId w:val="0"/>
              </w:numPr>
              <w:rPr>
                <w:rFonts w:ascii="宋体" w:hAnsi="宋体" w:cs="宋体"/>
              </w:rPr>
            </w:pPr>
            <w:r>
              <w:rPr>
                <w:rFonts w:ascii="宋体" w:hAnsi="宋体" w:cs="宋体" w:hint="eastAsia"/>
              </w:rPr>
              <w:t>频率响应：</w:t>
            </w:r>
            <w:r>
              <w:rPr>
                <w:rFonts w:ascii="宋体" w:hAnsi="宋体" w:cs="宋体" w:hint="eastAsia"/>
              </w:rPr>
              <w:t>100Hz</w:t>
            </w:r>
            <w:r>
              <w:rPr>
                <w:rFonts w:ascii="宋体" w:hAnsi="宋体" w:cs="宋体" w:hint="eastAsia"/>
              </w:rPr>
              <w:t>～</w:t>
            </w:r>
            <w:r>
              <w:rPr>
                <w:rFonts w:ascii="宋体" w:hAnsi="宋体" w:cs="宋体" w:hint="eastAsia"/>
              </w:rPr>
              <w:t>16KHz</w:t>
            </w:r>
          </w:p>
          <w:p w:rsidR="005A0F0B">
            <w:pPr>
              <w:pStyle w:val="a2"/>
              <w:numPr>
                <w:ilvl w:val="12"/>
                <w:numId w:val="0"/>
              </w:numPr>
              <w:rPr>
                <w:rFonts w:ascii="宋体" w:hAnsi="宋体" w:cs="宋体"/>
              </w:rPr>
            </w:pPr>
            <w:r>
              <w:rPr>
                <w:rFonts w:ascii="宋体" w:hAnsi="宋体" w:cs="宋体" w:hint="eastAsia"/>
              </w:rPr>
              <w:t>音频压缩标准：</w:t>
            </w:r>
            <w:r>
              <w:rPr>
                <w:rFonts w:ascii="宋体" w:hAnsi="宋体" w:cs="宋体" w:hint="eastAsia"/>
              </w:rPr>
              <w:t>G.711U/G.711A/MP3</w:t>
            </w:r>
            <w:r>
              <w:rPr>
                <w:rFonts w:ascii="宋体" w:hAnsi="宋体" w:cs="宋体" w:hint="eastAsia"/>
              </w:rPr>
              <w:br/>
            </w:r>
            <w:r>
              <w:rPr>
                <w:rFonts w:ascii="宋体" w:hAnsi="宋体" w:cs="宋体" w:hint="eastAsia"/>
              </w:rPr>
              <w:t>音频压缩码率：</w:t>
            </w:r>
            <w:r>
              <w:rPr>
                <w:rFonts w:ascii="宋体" w:hAnsi="宋体" w:cs="宋体" w:hint="eastAsia"/>
              </w:rPr>
              <w:t>64 Kbps</w:t>
            </w:r>
            <w:r>
              <w:rPr>
                <w:rFonts w:ascii="宋体" w:hAnsi="宋体" w:cs="宋体" w:hint="eastAsia"/>
              </w:rPr>
              <w:br/>
            </w:r>
            <w:r>
              <w:rPr>
                <w:rFonts w:ascii="宋体" w:hAnsi="宋体" w:cs="宋体" w:hint="eastAsia"/>
              </w:rPr>
              <w:t>音频文件格式：</w:t>
            </w:r>
            <w:r>
              <w:rPr>
                <w:rFonts w:ascii="宋体" w:hAnsi="宋体" w:cs="宋体" w:hint="eastAsia"/>
              </w:rPr>
              <w:t>mp3/wav</w:t>
            </w:r>
            <w:r>
              <w:rPr>
                <w:rFonts w:ascii="宋体" w:hAnsi="宋体" w:cs="宋体" w:hint="eastAsia"/>
              </w:rPr>
              <w:br/>
            </w:r>
            <w:r>
              <w:rPr>
                <w:rFonts w:ascii="宋体" w:hAnsi="宋体" w:cs="宋体" w:hint="eastAsia"/>
              </w:rPr>
              <w:t>电源：</w:t>
            </w:r>
            <w:r>
              <w:rPr>
                <w:rFonts w:ascii="宋体" w:hAnsi="宋体" w:cs="宋体" w:hint="eastAsia"/>
              </w:rPr>
              <w:t xml:space="preserve">DC 12V </w:t>
            </w:r>
            <w:r>
              <w:rPr>
                <w:rFonts w:ascii="宋体" w:hAnsi="宋体" w:cs="宋体" w:hint="eastAsia"/>
              </w:rPr>
              <w:t>供电</w:t>
            </w:r>
            <w:r>
              <w:rPr>
                <w:rFonts w:ascii="宋体" w:hAnsi="宋体" w:cs="宋体" w:hint="eastAsia"/>
              </w:rPr>
              <w:br/>
            </w:r>
            <w:r>
              <w:rPr>
                <w:rFonts w:ascii="宋体" w:hAnsi="宋体" w:cs="宋体" w:hint="eastAsia"/>
              </w:rPr>
              <w:t>工作温度：</w:t>
            </w:r>
            <w:r>
              <w:rPr>
                <w:rFonts w:ascii="宋体" w:hAnsi="宋体" w:cs="宋体" w:hint="eastAsia"/>
              </w:rPr>
              <w:t>-30</w:t>
            </w:r>
            <w:r>
              <w:rPr>
                <w:rFonts w:ascii="宋体" w:hAnsi="宋体" w:cs="宋体" w:hint="eastAsia"/>
              </w:rPr>
              <w:t>℃～</w:t>
            </w:r>
            <w:r>
              <w:rPr>
                <w:rFonts w:ascii="宋体" w:hAnsi="宋体" w:cs="宋体" w:hint="eastAsia"/>
              </w:rPr>
              <w:t>60</w:t>
            </w:r>
            <w:r>
              <w:rPr>
                <w:rFonts w:ascii="宋体" w:hAnsi="宋体" w:cs="宋体" w:hint="eastAsia"/>
              </w:rPr>
              <w:t>℃</w:t>
            </w:r>
            <w:r>
              <w:rPr>
                <w:rFonts w:ascii="宋体" w:hAnsi="宋体" w:cs="宋体" w:hint="eastAsia"/>
              </w:rPr>
              <w:br/>
            </w:r>
            <w:r>
              <w:rPr>
                <w:rFonts w:ascii="宋体" w:hAnsi="宋体" w:cs="宋体" w:hint="eastAsia"/>
              </w:rPr>
              <w:t>工作湿度：</w:t>
            </w:r>
            <w:r>
              <w:rPr>
                <w:rFonts w:ascii="宋体" w:hAnsi="宋体" w:cs="宋体" w:hint="eastAsia"/>
              </w:rPr>
              <w:t>10%</w:t>
            </w:r>
            <w:r>
              <w:rPr>
                <w:rFonts w:ascii="宋体" w:hAnsi="宋体" w:cs="宋体" w:hint="eastAsia"/>
              </w:rPr>
              <w:t>～</w:t>
            </w:r>
            <w:r>
              <w:rPr>
                <w:rFonts w:ascii="宋体" w:hAnsi="宋体" w:cs="宋体" w:hint="eastAsia"/>
              </w:rPr>
              <w:t>90%</w:t>
            </w:r>
            <w:r>
              <w:rPr>
                <w:rFonts w:ascii="宋体" w:hAnsi="宋体" w:cs="宋体" w:hint="eastAsia"/>
              </w:rPr>
              <w:br/>
            </w:r>
            <w:r>
              <w:rPr>
                <w:rFonts w:ascii="宋体" w:hAnsi="宋体" w:cs="宋体" w:hint="eastAsia"/>
              </w:rPr>
              <w:t>防水等级：</w:t>
            </w:r>
            <w:r>
              <w:rPr>
                <w:rFonts w:ascii="宋体" w:hAnsi="宋体" w:cs="宋体" w:hint="eastAsia"/>
              </w:rPr>
              <w:t>IP66</w:t>
            </w:r>
            <w:r>
              <w:rPr>
                <w:rFonts w:ascii="宋体" w:hAnsi="宋体" w:cs="宋体" w:hint="eastAsia"/>
              </w:rPr>
              <w:br/>
            </w:r>
            <w:r>
              <w:rPr>
                <w:rFonts w:ascii="宋体" w:hAnsi="宋体" w:cs="宋体" w:hint="eastAsia"/>
              </w:rPr>
              <w:t>材质：铝合金</w:t>
            </w:r>
          </w:p>
        </w:tc>
        <w:tc>
          <w:tcPr>
            <w:tcW w:w="364"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154</w:t>
            </w:r>
          </w:p>
        </w:tc>
        <w:tc>
          <w:tcPr>
            <w:tcW w:w="396"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台</w:t>
            </w:r>
          </w:p>
        </w:tc>
        <w:tc>
          <w:tcPr>
            <w:tcW w:w="512"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每个作业点</w:t>
            </w:r>
            <w:r>
              <w:rPr>
                <w:rFonts w:ascii="宋体" w:hAnsi="宋体" w:cs="宋体" w:hint="eastAsia"/>
              </w:rPr>
              <w:t>1</w:t>
            </w:r>
            <w:r>
              <w:rPr>
                <w:rFonts w:ascii="宋体" w:hAnsi="宋体" w:cs="宋体" w:hint="eastAsia"/>
              </w:rPr>
              <w:t>台</w:t>
            </w:r>
          </w:p>
        </w:tc>
      </w:tr>
      <w:tr>
        <w:tblPrEx>
          <w:tblW w:w="5027" w:type="pct"/>
          <w:jc w:val="center"/>
          <w:tblLayout w:type="fixed"/>
          <w:tblLook w:val="04A0"/>
        </w:tblPrEx>
        <w:trPr>
          <w:jc w:val="center"/>
        </w:trPr>
        <w:tc>
          <w:tcPr>
            <w:tcW w:w="365"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2</w:t>
            </w:r>
          </w:p>
        </w:tc>
        <w:tc>
          <w:tcPr>
            <w:tcW w:w="607"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color w:val="000000"/>
                <w:kern w:val="0"/>
                <w:lang w:bidi="ar"/>
              </w:rPr>
              <w:t>视频存储设备和传输设备</w:t>
            </w:r>
          </w:p>
        </w:tc>
        <w:tc>
          <w:tcPr>
            <w:tcW w:w="2755" w:type="pct"/>
            <w:tcBorders>
              <w:top w:val="single" w:sz="4" w:space="0" w:color="auto"/>
              <w:left w:val="single" w:sz="4" w:space="0" w:color="auto"/>
              <w:bottom w:val="single" w:sz="4" w:space="0" w:color="auto"/>
              <w:right w:val="single" w:sz="4" w:space="0" w:color="auto"/>
            </w:tcBorders>
            <w:vAlign w:val="center"/>
          </w:tcPr>
          <w:p w:rsidR="005A0F0B">
            <w:pPr>
              <w:pStyle w:val="a2"/>
              <w:jc w:val="left"/>
              <w:rPr>
                <w:rFonts w:ascii="宋体" w:eastAsia="宋体" w:hAnsi="宋体" w:cs="宋体"/>
              </w:rPr>
            </w:pPr>
            <w:r>
              <w:rPr>
                <w:rFonts w:ascii="宋体" w:hAnsi="宋体" w:cs="宋体" w:hint="eastAsia"/>
              </w:rPr>
              <w:t>1</w:t>
            </w:r>
            <w:r>
              <w:rPr>
                <w:rFonts w:ascii="宋体" w:hAnsi="宋体" w:cs="宋体" w:hint="eastAsia"/>
              </w:rPr>
              <w:t>）视频存储设备</w:t>
            </w:r>
          </w:p>
          <w:p w:rsidR="005A0F0B">
            <w:pPr>
              <w:pStyle w:val="a2"/>
              <w:jc w:val="left"/>
              <w:rPr>
                <w:rFonts w:ascii="宋体" w:hAnsi="宋体" w:cs="宋体"/>
              </w:rPr>
            </w:pPr>
            <w:r>
              <w:rPr>
                <w:rFonts w:ascii="宋体" w:hAnsi="宋体" w:cs="宋体" w:hint="eastAsia"/>
              </w:rPr>
              <w:t>5U</w:t>
            </w:r>
            <w:r>
              <w:rPr>
                <w:rFonts w:ascii="宋体" w:hAnsi="宋体" w:cs="宋体" w:hint="eastAsia"/>
              </w:rPr>
              <w:t>标准机架式</w:t>
            </w:r>
            <w:r>
              <w:rPr>
                <w:rFonts w:ascii="宋体" w:hAnsi="宋体" w:cs="宋体" w:hint="eastAsia"/>
              </w:rPr>
              <w:t>5</w:t>
            </w:r>
            <w:r>
              <w:rPr>
                <w:rFonts w:ascii="宋体" w:hAnsi="宋体" w:cs="宋体" w:hint="eastAsia"/>
              </w:rPr>
              <w:t>盘</w:t>
            </w:r>
            <w:r>
              <w:rPr>
                <w:rFonts w:ascii="宋体" w:hAnsi="宋体" w:cs="宋体" w:hint="eastAsia"/>
              </w:rPr>
              <w:t>位网络</w:t>
            </w:r>
            <w:r>
              <w:rPr>
                <w:rFonts w:ascii="宋体" w:hAnsi="宋体" w:cs="宋体" w:hint="eastAsia"/>
              </w:rPr>
              <w:t>硬盘录像机，</w:t>
            </w:r>
            <w:r>
              <w:rPr>
                <w:rFonts w:ascii="宋体" w:hAnsi="宋体" w:cs="宋体" w:hint="eastAsia"/>
              </w:rPr>
              <w:t>ATX</w:t>
            </w:r>
            <w:r>
              <w:rPr>
                <w:rFonts w:ascii="宋体" w:hAnsi="宋体" w:cs="宋体" w:hint="eastAsia"/>
              </w:rPr>
              <w:t>电源</w:t>
            </w:r>
          </w:p>
          <w:p w:rsidR="005A0F0B">
            <w:pPr>
              <w:pStyle w:val="a2"/>
              <w:jc w:val="left"/>
              <w:rPr>
                <w:rFonts w:ascii="宋体" w:hAnsi="宋体" w:cs="宋体"/>
              </w:rPr>
            </w:pPr>
            <w:r>
              <w:rPr>
                <w:rFonts w:ascii="宋体" w:hAnsi="宋体" w:cs="宋体" w:hint="eastAsia"/>
              </w:rPr>
              <w:t>支持满配</w:t>
            </w:r>
            <w:r>
              <w:rPr>
                <w:rFonts w:ascii="宋体" w:hAnsi="宋体" w:cs="宋体" w:hint="eastAsia"/>
              </w:rPr>
              <w:t>16TB</w:t>
            </w:r>
            <w:r>
              <w:rPr>
                <w:rFonts w:ascii="宋体" w:hAnsi="宋体" w:cs="宋体" w:hint="eastAsia"/>
              </w:rPr>
              <w:t>硬盘（总容量可达</w:t>
            </w:r>
            <w:r>
              <w:rPr>
                <w:rFonts w:ascii="宋体" w:hAnsi="宋体" w:cs="宋体" w:hint="eastAsia"/>
              </w:rPr>
              <w:t>80TB</w:t>
            </w:r>
            <w:r>
              <w:rPr>
                <w:rFonts w:ascii="宋体" w:hAnsi="宋体" w:cs="宋体" w:hint="eastAsia"/>
              </w:rPr>
              <w:t>）</w:t>
            </w:r>
          </w:p>
          <w:p w:rsidR="005A0F0B">
            <w:pPr>
              <w:pStyle w:val="a2"/>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个</w:t>
            </w:r>
            <w:r>
              <w:rPr>
                <w:rFonts w:ascii="宋体" w:hAnsi="宋体" w:cs="宋体" w:hint="eastAsia"/>
              </w:rPr>
              <w:t>HDMI</w:t>
            </w:r>
            <w:r>
              <w:rPr>
                <w:rFonts w:ascii="宋体" w:hAnsi="宋体" w:cs="宋体" w:hint="eastAsia"/>
              </w:rPr>
              <w:t>接口，≥</w:t>
            </w:r>
            <w:r>
              <w:rPr>
                <w:rFonts w:ascii="宋体" w:hAnsi="宋体" w:cs="宋体" w:hint="eastAsia"/>
              </w:rPr>
              <w:t>1</w:t>
            </w:r>
            <w:r>
              <w:rPr>
                <w:rFonts w:ascii="宋体" w:hAnsi="宋体" w:cs="宋体" w:hint="eastAsia"/>
              </w:rPr>
              <w:t>个</w:t>
            </w:r>
            <w:r>
              <w:rPr>
                <w:rFonts w:ascii="宋体" w:hAnsi="宋体" w:cs="宋体" w:hint="eastAsia"/>
              </w:rPr>
              <w:t>VGA</w:t>
            </w:r>
            <w:r>
              <w:rPr>
                <w:rFonts w:ascii="宋体" w:hAnsi="宋体" w:cs="宋体" w:hint="eastAsia"/>
              </w:rPr>
              <w:t>接口，异源输出，可支持</w:t>
            </w:r>
            <w:r>
              <w:rPr>
                <w:rFonts w:ascii="宋体" w:hAnsi="宋体" w:cs="宋体" w:hint="eastAsia"/>
              </w:rPr>
              <w:t xml:space="preserve">8K+1080P </w:t>
            </w:r>
            <w:r>
              <w:rPr>
                <w:rFonts w:ascii="宋体" w:hAnsi="宋体" w:cs="宋体" w:hint="eastAsia"/>
              </w:rPr>
              <w:t>或</w:t>
            </w:r>
            <w:r>
              <w:rPr>
                <w:rFonts w:ascii="宋体" w:hAnsi="宋体" w:cs="宋体" w:hint="eastAsia"/>
              </w:rPr>
              <w:t xml:space="preserve"> </w:t>
            </w:r>
            <w:r>
              <w:rPr>
                <w:rFonts w:ascii="宋体" w:hAnsi="宋体" w:cs="宋体" w:hint="eastAsia"/>
              </w:rPr>
              <w:t>双</w:t>
            </w:r>
            <w:r>
              <w:rPr>
                <w:rFonts w:ascii="宋体" w:hAnsi="宋体" w:cs="宋体" w:hint="eastAsia"/>
              </w:rPr>
              <w:t>4K</w:t>
            </w:r>
            <w:r>
              <w:rPr>
                <w:rFonts w:ascii="宋体" w:hAnsi="宋体" w:cs="宋体" w:hint="eastAsia"/>
              </w:rPr>
              <w:t>输出</w:t>
            </w:r>
          </w:p>
          <w:p w:rsidR="005A0F0B">
            <w:pPr>
              <w:pStyle w:val="a2"/>
              <w:jc w:val="left"/>
              <w:rPr>
                <w:rFonts w:ascii="宋体" w:hAnsi="宋体" w:cs="宋体"/>
              </w:rPr>
            </w:pPr>
            <w:r>
              <w:rPr>
                <w:rFonts w:ascii="宋体" w:hAnsi="宋体" w:cs="宋体" w:hint="eastAsia"/>
              </w:rPr>
              <w:t>≥</w:t>
            </w:r>
            <w:r>
              <w:rPr>
                <w:rFonts w:ascii="宋体" w:hAnsi="宋体" w:cs="宋体" w:hint="eastAsia"/>
              </w:rPr>
              <w:t>1</w:t>
            </w:r>
            <w:r>
              <w:rPr>
                <w:rFonts w:ascii="宋体" w:hAnsi="宋体" w:cs="宋体" w:hint="eastAsia"/>
              </w:rPr>
              <w:t>个</w:t>
            </w:r>
            <w:r>
              <w:rPr>
                <w:rFonts w:ascii="宋体" w:hAnsi="宋体" w:cs="宋体" w:hint="eastAsia"/>
              </w:rPr>
              <w:t>10M/100M/1000Mbps</w:t>
            </w:r>
            <w:r>
              <w:rPr>
                <w:rFonts w:ascii="宋体" w:hAnsi="宋体" w:cs="宋体" w:hint="eastAsia"/>
              </w:rPr>
              <w:t>网口</w:t>
            </w:r>
            <w:r>
              <w:rPr>
                <w:rFonts w:ascii="宋体" w:hAnsi="宋体" w:cs="宋体" w:hint="eastAsia"/>
              </w:rPr>
              <w:t>+8</w:t>
            </w:r>
            <w:r>
              <w:rPr>
                <w:rFonts w:ascii="宋体" w:hAnsi="宋体" w:cs="宋体" w:hint="eastAsia"/>
              </w:rPr>
              <w:t>个</w:t>
            </w:r>
            <w:r>
              <w:rPr>
                <w:rFonts w:ascii="宋体" w:hAnsi="宋体" w:cs="宋体" w:hint="eastAsia"/>
              </w:rPr>
              <w:t>10M/100MbpsPoE</w:t>
            </w:r>
            <w:r>
              <w:rPr>
                <w:rFonts w:ascii="宋体" w:hAnsi="宋体" w:cs="宋体" w:hint="eastAsia"/>
              </w:rPr>
              <w:t>网口</w:t>
            </w:r>
          </w:p>
          <w:p w:rsidR="005A0F0B">
            <w:pPr>
              <w:pStyle w:val="a2"/>
              <w:jc w:val="left"/>
              <w:rPr>
                <w:rFonts w:ascii="宋体" w:hAnsi="宋体" w:cs="宋体"/>
              </w:rPr>
            </w:pPr>
            <w:r>
              <w:rPr>
                <w:rFonts w:ascii="宋体" w:hAnsi="宋体" w:cs="宋体" w:hint="eastAsia"/>
              </w:rPr>
              <w:t>≥</w:t>
            </w:r>
            <w:r>
              <w:rPr>
                <w:rFonts w:ascii="宋体" w:hAnsi="宋体" w:cs="宋体" w:hint="eastAsia"/>
              </w:rPr>
              <w:t>2</w:t>
            </w:r>
            <w:r>
              <w:rPr>
                <w:rFonts w:ascii="宋体" w:hAnsi="宋体" w:cs="宋体" w:hint="eastAsia"/>
              </w:rPr>
              <w:t>个</w:t>
            </w:r>
            <w:r>
              <w:rPr>
                <w:rFonts w:ascii="宋体" w:hAnsi="宋体" w:cs="宋体" w:hint="eastAsia"/>
              </w:rPr>
              <w:t>USB2.0</w:t>
            </w:r>
            <w:r>
              <w:rPr>
                <w:rFonts w:ascii="宋体" w:hAnsi="宋体" w:cs="宋体" w:hint="eastAsia"/>
              </w:rPr>
              <w:t>接口，≥</w:t>
            </w:r>
            <w:r>
              <w:rPr>
                <w:rFonts w:ascii="宋体" w:hAnsi="宋体" w:cs="宋体" w:hint="eastAsia"/>
              </w:rPr>
              <w:t>1</w:t>
            </w:r>
            <w:r>
              <w:rPr>
                <w:rFonts w:ascii="宋体" w:hAnsi="宋体" w:cs="宋体" w:hint="eastAsia"/>
              </w:rPr>
              <w:t>个</w:t>
            </w:r>
            <w:r>
              <w:rPr>
                <w:rFonts w:ascii="宋体" w:hAnsi="宋体" w:cs="宋体" w:hint="eastAsia"/>
              </w:rPr>
              <w:t>USB3.0</w:t>
            </w:r>
            <w:r>
              <w:rPr>
                <w:rFonts w:ascii="宋体" w:hAnsi="宋体" w:cs="宋体" w:hint="eastAsia"/>
              </w:rPr>
              <w:t>接口</w:t>
            </w:r>
          </w:p>
          <w:p w:rsidR="005A0F0B">
            <w:pPr>
              <w:pStyle w:val="a2"/>
              <w:jc w:val="left"/>
              <w:rPr>
                <w:rFonts w:ascii="宋体" w:hAnsi="宋体" w:cs="宋体"/>
              </w:rPr>
            </w:pPr>
            <w:r>
              <w:rPr>
                <w:rFonts w:ascii="宋体" w:hAnsi="宋体" w:cs="宋体" w:hint="eastAsia"/>
              </w:rPr>
              <w:t>报警</w:t>
            </w:r>
            <w:r>
              <w:rPr>
                <w:rFonts w:ascii="宋体" w:hAnsi="宋体" w:cs="宋体" w:hint="eastAsia"/>
              </w:rPr>
              <w:t>IO</w:t>
            </w:r>
            <w:r>
              <w:rPr>
                <w:rFonts w:ascii="宋体" w:hAnsi="宋体" w:cs="宋体" w:hint="eastAsia"/>
              </w:rPr>
              <w:t>接口：≥</w:t>
            </w:r>
            <w:r>
              <w:rPr>
                <w:rFonts w:ascii="宋体" w:hAnsi="宋体" w:cs="宋体" w:hint="eastAsia"/>
              </w:rPr>
              <w:t>16</w:t>
            </w:r>
            <w:r>
              <w:rPr>
                <w:rFonts w:ascii="宋体" w:hAnsi="宋体" w:cs="宋体" w:hint="eastAsia"/>
              </w:rPr>
              <w:t>路报警输入，≥</w:t>
            </w:r>
            <w:r>
              <w:rPr>
                <w:rFonts w:ascii="宋体" w:hAnsi="宋体" w:cs="宋体" w:hint="eastAsia"/>
              </w:rPr>
              <w:t>4</w:t>
            </w:r>
            <w:r>
              <w:rPr>
                <w:rFonts w:ascii="宋体" w:hAnsi="宋体" w:cs="宋体" w:hint="eastAsia"/>
              </w:rPr>
              <w:t>路报警输出</w:t>
            </w:r>
          </w:p>
          <w:p w:rsidR="005A0F0B">
            <w:pPr>
              <w:pStyle w:val="a2"/>
              <w:jc w:val="left"/>
              <w:rPr>
                <w:rFonts w:ascii="宋体" w:hAnsi="宋体" w:cs="宋体"/>
              </w:rPr>
            </w:pPr>
            <w:r>
              <w:rPr>
                <w:rFonts w:ascii="宋体" w:hAnsi="宋体" w:cs="宋体" w:hint="eastAsia"/>
              </w:rPr>
              <w:t>串行接口：≥</w:t>
            </w:r>
            <w:r>
              <w:rPr>
                <w:rFonts w:ascii="宋体" w:hAnsi="宋体" w:cs="宋体" w:hint="eastAsia"/>
              </w:rPr>
              <w:t>2</w:t>
            </w:r>
            <w:r>
              <w:rPr>
                <w:rFonts w:ascii="宋体" w:hAnsi="宋体" w:cs="宋体" w:hint="eastAsia"/>
              </w:rPr>
              <w:t>路半双工</w:t>
            </w:r>
            <w:r>
              <w:rPr>
                <w:rFonts w:ascii="宋体" w:hAnsi="宋体" w:cs="宋体" w:hint="eastAsia"/>
              </w:rPr>
              <w:t>485</w:t>
            </w:r>
            <w:r>
              <w:rPr>
                <w:rFonts w:ascii="宋体" w:hAnsi="宋体" w:cs="宋体" w:hint="eastAsia"/>
              </w:rPr>
              <w:t>接口，≥</w:t>
            </w:r>
            <w:r>
              <w:rPr>
                <w:rFonts w:ascii="宋体" w:hAnsi="宋体" w:cs="宋体" w:hint="eastAsia"/>
              </w:rPr>
              <w:t>1</w:t>
            </w:r>
            <w:r>
              <w:rPr>
                <w:rFonts w:ascii="宋体" w:hAnsi="宋体" w:cs="宋体" w:hint="eastAsia"/>
              </w:rPr>
              <w:t>路标准</w:t>
            </w:r>
            <w:r>
              <w:rPr>
                <w:rFonts w:ascii="宋体" w:hAnsi="宋体" w:cs="宋体" w:hint="eastAsia"/>
              </w:rPr>
              <w:t>RS-232</w:t>
            </w:r>
            <w:r>
              <w:rPr>
                <w:rFonts w:ascii="宋体" w:hAnsi="宋体" w:cs="宋体" w:hint="eastAsia"/>
              </w:rPr>
              <w:t>接口</w:t>
            </w:r>
          </w:p>
          <w:p w:rsidR="005A0F0B">
            <w:pPr>
              <w:pStyle w:val="a2"/>
              <w:jc w:val="left"/>
              <w:rPr>
                <w:rFonts w:ascii="宋体" w:hAnsi="宋体" w:cs="宋体"/>
              </w:rPr>
            </w:pPr>
            <w:r>
              <w:rPr>
                <w:rFonts w:ascii="宋体" w:hAnsi="宋体" w:cs="宋体" w:hint="eastAsia"/>
              </w:rPr>
              <w:t>产品性能：</w:t>
            </w:r>
          </w:p>
          <w:p w:rsidR="005A0F0B">
            <w:pPr>
              <w:pStyle w:val="a2"/>
              <w:jc w:val="left"/>
              <w:rPr>
                <w:rFonts w:ascii="宋体" w:hAnsi="宋体" w:cs="宋体"/>
              </w:rPr>
            </w:pPr>
            <w:r>
              <w:rPr>
                <w:rFonts w:ascii="宋体" w:hAnsi="宋体" w:cs="宋体" w:hint="eastAsia"/>
              </w:rPr>
              <w:t>输入带宽：≥</w:t>
            </w:r>
            <w:r>
              <w:rPr>
                <w:rFonts w:ascii="宋体" w:hAnsi="宋体" w:cs="宋体" w:hint="eastAsia"/>
              </w:rPr>
              <w:t>128Mbps</w:t>
            </w:r>
          </w:p>
          <w:p w:rsidR="005A0F0B">
            <w:pPr>
              <w:pStyle w:val="a2"/>
              <w:jc w:val="left"/>
              <w:rPr>
                <w:rFonts w:ascii="宋体" w:hAnsi="宋体" w:cs="宋体"/>
              </w:rPr>
            </w:pPr>
            <w:r>
              <w:rPr>
                <w:rFonts w:ascii="宋体" w:hAnsi="宋体" w:cs="宋体" w:hint="eastAsia"/>
              </w:rPr>
              <w:t>输出带宽：≥</w:t>
            </w:r>
            <w:r>
              <w:rPr>
                <w:rFonts w:ascii="宋体" w:hAnsi="宋体" w:cs="宋体" w:hint="eastAsia"/>
              </w:rPr>
              <w:t>256Mbps</w:t>
            </w:r>
          </w:p>
          <w:p w:rsidR="005A0F0B">
            <w:pPr>
              <w:pStyle w:val="a2"/>
              <w:jc w:val="left"/>
              <w:rPr>
                <w:rFonts w:ascii="宋体" w:hAnsi="宋体" w:cs="宋体"/>
              </w:rPr>
            </w:pPr>
            <w:r>
              <w:rPr>
                <w:rFonts w:ascii="宋体" w:hAnsi="宋体" w:cs="宋体" w:hint="eastAsia"/>
              </w:rPr>
              <w:t>接入能力：≥</w:t>
            </w:r>
            <w:r>
              <w:rPr>
                <w:rFonts w:ascii="宋体" w:hAnsi="宋体" w:cs="宋体" w:hint="eastAsia"/>
              </w:rPr>
              <w:t>8</w:t>
            </w:r>
            <w:r>
              <w:rPr>
                <w:rFonts w:ascii="宋体" w:hAnsi="宋体" w:cs="宋体" w:hint="eastAsia"/>
              </w:rPr>
              <w:t>路</w:t>
            </w:r>
            <w:r>
              <w:rPr>
                <w:rFonts w:ascii="宋体" w:hAnsi="宋体" w:cs="宋体" w:hint="eastAsia"/>
              </w:rPr>
              <w:t>H.264</w:t>
            </w:r>
            <w:r>
              <w:rPr>
                <w:rFonts w:ascii="宋体" w:hAnsi="宋体" w:cs="宋体" w:hint="eastAsia"/>
              </w:rPr>
              <w:t>、</w:t>
            </w:r>
            <w:r>
              <w:rPr>
                <w:rFonts w:ascii="宋体" w:hAnsi="宋体" w:cs="宋体" w:hint="eastAsia"/>
              </w:rPr>
              <w:t>H.265</w:t>
            </w:r>
            <w:r>
              <w:rPr>
                <w:rFonts w:ascii="宋体" w:hAnsi="宋体" w:cs="宋体" w:hint="eastAsia"/>
              </w:rPr>
              <w:t>格式高清码流接入</w:t>
            </w:r>
          </w:p>
          <w:p w:rsidR="005A0F0B">
            <w:pPr>
              <w:pStyle w:val="a2"/>
              <w:jc w:val="left"/>
              <w:rPr>
                <w:rFonts w:ascii="宋体" w:hAnsi="宋体" w:cs="宋体"/>
              </w:rPr>
            </w:pPr>
            <w:r>
              <w:rPr>
                <w:rFonts w:ascii="宋体" w:hAnsi="宋体" w:cs="宋体" w:hint="eastAsia"/>
              </w:rPr>
              <w:t>解码能力：最大支持</w:t>
            </w:r>
            <w:r>
              <w:rPr>
                <w:rFonts w:ascii="宋体" w:hAnsi="宋体" w:cs="宋体" w:hint="eastAsia"/>
              </w:rPr>
              <w:t xml:space="preserve">8K </w:t>
            </w:r>
          </w:p>
          <w:p w:rsidR="005A0F0B">
            <w:pPr>
              <w:pStyle w:val="a2"/>
              <w:jc w:val="left"/>
              <w:rPr>
                <w:rFonts w:ascii="宋体" w:hAnsi="宋体" w:cs="宋体"/>
              </w:rPr>
            </w:pPr>
            <w:r>
              <w:rPr>
                <w:rFonts w:ascii="宋体" w:hAnsi="宋体" w:cs="宋体" w:hint="eastAsia"/>
              </w:rPr>
              <w:t>▲支持查看在线用户信息，包括用户名、用户类型、</w:t>
            </w:r>
            <w:r>
              <w:rPr>
                <w:rFonts w:ascii="宋体" w:hAnsi="宋体" w:cs="宋体" w:hint="eastAsia"/>
              </w:rPr>
              <w:t>IP</w:t>
            </w:r>
            <w:r>
              <w:rPr>
                <w:rFonts w:ascii="宋体" w:hAnsi="宋体" w:cs="宋体" w:hint="eastAsia"/>
              </w:rPr>
              <w:t>地址和用户最后操作时间等维护信息</w:t>
            </w:r>
          </w:p>
          <w:p w:rsidR="005A0F0B">
            <w:pPr>
              <w:pStyle w:val="a2"/>
              <w:jc w:val="left"/>
              <w:rPr>
                <w:rFonts w:ascii="宋体" w:hAnsi="宋体" w:cs="宋体"/>
              </w:rPr>
            </w:pPr>
            <w:r>
              <w:rPr>
                <w:rFonts w:ascii="宋体" w:hAnsi="宋体" w:cs="宋体" w:hint="eastAsia"/>
              </w:rPr>
              <w:t>▲支持音视频动态调整组合分配功能，可将任一路音频与任一路视频组合成复合流编码</w:t>
            </w:r>
          </w:p>
          <w:p w:rsidR="005A0F0B">
            <w:pPr>
              <w:pStyle w:val="a2"/>
              <w:jc w:val="left"/>
              <w:rPr>
                <w:rFonts w:ascii="宋体" w:hAnsi="宋体" w:cs="宋体"/>
              </w:rPr>
            </w:pPr>
            <w:r>
              <w:rPr>
                <w:rFonts w:ascii="宋体" w:hAnsi="宋体" w:cs="宋体" w:hint="eastAsia"/>
              </w:rPr>
              <w:t>▲支持网络端口扫描行为预警，可自动封禁</w:t>
            </w:r>
            <w:r>
              <w:rPr>
                <w:rFonts w:ascii="宋体" w:hAnsi="宋体" w:cs="宋体" w:hint="eastAsia"/>
              </w:rPr>
              <w:t>IP</w:t>
            </w:r>
            <w:r>
              <w:rPr>
                <w:rFonts w:ascii="宋体" w:hAnsi="宋体" w:cs="宋体" w:hint="eastAsia"/>
              </w:rPr>
              <w:t>，并上报预警，支持远程下发</w:t>
            </w:r>
            <w:r>
              <w:rPr>
                <w:rFonts w:ascii="宋体" w:hAnsi="宋体" w:cs="宋体" w:hint="eastAsia"/>
              </w:rPr>
              <w:t>IP</w:t>
            </w:r>
            <w:r>
              <w:rPr>
                <w:rFonts w:ascii="宋体" w:hAnsi="宋体" w:cs="宋体" w:hint="eastAsia"/>
              </w:rPr>
              <w:t>拦截</w:t>
            </w:r>
          </w:p>
          <w:p w:rsidR="005A0F0B">
            <w:pPr>
              <w:pStyle w:val="a2"/>
              <w:jc w:val="left"/>
              <w:rPr>
                <w:rFonts w:ascii="宋体" w:hAnsi="宋体" w:cs="宋体"/>
              </w:rPr>
            </w:pPr>
            <w:r>
              <w:rPr>
                <w:rFonts w:ascii="宋体" w:hAnsi="宋体" w:cs="宋体" w:hint="eastAsia"/>
              </w:rPr>
              <w:t>2</w:t>
            </w:r>
            <w:r>
              <w:rPr>
                <w:rFonts w:ascii="宋体" w:hAnsi="宋体" w:cs="宋体" w:hint="eastAsia"/>
              </w:rPr>
              <w:t>）视频传输设备</w:t>
            </w:r>
            <w:r>
              <w:rPr>
                <w:rFonts w:ascii="宋体" w:hAnsi="宋体" w:cs="宋体" w:hint="eastAsia"/>
              </w:rPr>
              <w:t>:</w:t>
            </w:r>
          </w:p>
          <w:p w:rsidR="005A0F0B">
            <w:pPr>
              <w:pStyle w:val="a2"/>
              <w:rPr>
                <w:rFonts w:ascii="宋体" w:hAnsi="宋体" w:cs="宋体"/>
              </w:rPr>
            </w:pPr>
            <w:r>
              <w:rPr>
                <w:rFonts w:ascii="宋体" w:hAnsi="宋体" w:cs="宋体" w:hint="eastAsia"/>
              </w:rPr>
              <w:t>提供≥</w:t>
            </w:r>
            <w:r>
              <w:rPr>
                <w:rFonts w:ascii="宋体" w:hAnsi="宋体" w:cs="宋体" w:hint="eastAsia"/>
              </w:rPr>
              <w:t>24</w:t>
            </w:r>
            <w:r>
              <w:rPr>
                <w:rFonts w:ascii="宋体" w:hAnsi="宋体" w:cs="宋体" w:hint="eastAsia"/>
              </w:rPr>
              <w:t>个百兆</w:t>
            </w:r>
            <w:r>
              <w:rPr>
                <w:rFonts w:ascii="宋体" w:hAnsi="宋体" w:cs="宋体" w:hint="eastAsia"/>
              </w:rPr>
              <w:t>PoE</w:t>
            </w:r>
            <w:r>
              <w:rPr>
                <w:rFonts w:ascii="宋体" w:hAnsi="宋体" w:cs="宋体" w:hint="eastAsia"/>
              </w:rPr>
              <w:t>电口和</w:t>
            </w:r>
            <w:r>
              <w:rPr>
                <w:rFonts w:ascii="宋体" w:hAnsi="宋体" w:cs="宋体" w:hint="eastAsia"/>
              </w:rPr>
              <w:t>≥</w:t>
            </w:r>
            <w:r>
              <w:rPr>
                <w:rFonts w:ascii="宋体" w:hAnsi="宋体" w:cs="宋体" w:hint="eastAsia"/>
              </w:rPr>
              <w:t>2</w:t>
            </w:r>
            <w:r>
              <w:rPr>
                <w:rFonts w:ascii="宋体" w:hAnsi="宋体" w:cs="宋体" w:hint="eastAsia"/>
              </w:rPr>
              <w:t>个千兆光电复用口</w:t>
            </w:r>
          </w:p>
          <w:p w:rsidR="005A0F0B">
            <w:pPr>
              <w:pStyle w:val="a2"/>
              <w:rPr>
                <w:rFonts w:ascii="宋体" w:hAnsi="宋体" w:cs="宋体"/>
              </w:rPr>
            </w:pPr>
            <w:r>
              <w:rPr>
                <w:rFonts w:ascii="宋体" w:hAnsi="宋体" w:cs="宋体" w:hint="eastAsia"/>
              </w:rPr>
              <w:t>交换容量：≥</w:t>
            </w:r>
            <w:r>
              <w:rPr>
                <w:rFonts w:ascii="宋体" w:hAnsi="宋体" w:cs="宋体" w:hint="eastAsia"/>
              </w:rPr>
              <w:t xml:space="preserve">14.8 </w:t>
            </w:r>
            <w:r>
              <w:rPr>
                <w:rFonts w:ascii="宋体" w:hAnsi="宋体" w:cs="宋体" w:hint="eastAsia"/>
              </w:rPr>
              <w:t>Gbps</w:t>
            </w:r>
            <w:r>
              <w:rPr>
                <w:rFonts w:ascii="宋体" w:hAnsi="宋体" w:cs="宋体" w:hint="eastAsia"/>
              </w:rPr>
              <w:t xml:space="preserve"> </w:t>
            </w:r>
          </w:p>
          <w:p w:rsidR="005A0F0B">
            <w:pPr>
              <w:pStyle w:val="a2"/>
              <w:rPr>
                <w:rFonts w:ascii="宋体" w:hAnsi="宋体" w:cs="宋体"/>
              </w:rPr>
            </w:pPr>
            <w:r>
              <w:rPr>
                <w:rFonts w:ascii="宋体" w:hAnsi="宋体" w:cs="宋体" w:hint="eastAsia"/>
              </w:rPr>
              <w:t>包转发率：≥</w:t>
            </w:r>
            <w:r>
              <w:rPr>
                <w:rFonts w:ascii="宋体" w:hAnsi="宋体" w:cs="宋体" w:hint="eastAsia"/>
              </w:rPr>
              <w:t xml:space="preserve">11 </w:t>
            </w:r>
            <w:r>
              <w:rPr>
                <w:rFonts w:ascii="宋体" w:hAnsi="宋体" w:cs="宋体" w:hint="eastAsia"/>
              </w:rPr>
              <w:t>Mpps</w:t>
            </w:r>
          </w:p>
          <w:p w:rsidR="005A0F0B">
            <w:pPr>
              <w:pStyle w:val="a2"/>
              <w:rPr>
                <w:rFonts w:ascii="宋体" w:hAnsi="宋体" w:cs="宋体"/>
              </w:rPr>
            </w:pPr>
            <w:r>
              <w:rPr>
                <w:rFonts w:ascii="宋体" w:hAnsi="宋体" w:cs="宋体" w:hint="eastAsia"/>
              </w:rPr>
              <w:t>支持</w:t>
            </w:r>
            <w:r>
              <w:rPr>
                <w:rFonts w:ascii="宋体" w:hAnsi="宋体" w:cs="宋体" w:hint="eastAsia"/>
              </w:rPr>
              <w:t>PoE</w:t>
            </w:r>
            <w:r>
              <w:rPr>
                <w:rFonts w:ascii="宋体" w:hAnsi="宋体" w:cs="宋体" w:hint="eastAsia"/>
              </w:rPr>
              <w:t>标准</w:t>
            </w:r>
            <w:r>
              <w:rPr>
                <w:rFonts w:ascii="宋体" w:hAnsi="宋体" w:cs="宋体" w:hint="eastAsia"/>
              </w:rPr>
              <w:t>IEEE 802.3af</w:t>
            </w:r>
            <w:r>
              <w:rPr>
                <w:rFonts w:ascii="宋体" w:hAnsi="宋体" w:cs="宋体" w:hint="eastAsia"/>
              </w:rPr>
              <w:t>，</w:t>
            </w:r>
            <w:r>
              <w:rPr>
                <w:rFonts w:ascii="宋体" w:hAnsi="宋体" w:cs="宋体" w:hint="eastAsia"/>
              </w:rPr>
              <w:t>IEEE 802.3at</w:t>
            </w:r>
          </w:p>
          <w:p w:rsidR="005A0F0B">
            <w:pPr>
              <w:pStyle w:val="a2"/>
              <w:rPr>
                <w:rFonts w:ascii="宋体" w:hAnsi="宋体" w:cs="宋体"/>
              </w:rPr>
            </w:pPr>
            <w:r>
              <w:rPr>
                <w:rFonts w:ascii="宋体" w:hAnsi="宋体" w:cs="宋体" w:hint="eastAsia"/>
              </w:rPr>
              <w:t>端口最大供电功率：≥</w:t>
            </w:r>
            <w:r>
              <w:rPr>
                <w:rFonts w:ascii="宋体" w:hAnsi="宋体" w:cs="宋体" w:hint="eastAsia"/>
              </w:rPr>
              <w:t>30 W</w:t>
            </w:r>
          </w:p>
          <w:p w:rsidR="005A0F0B">
            <w:pPr>
              <w:pStyle w:val="a2"/>
              <w:rPr>
                <w:rFonts w:ascii="宋体" w:hAnsi="宋体" w:cs="宋体"/>
              </w:rPr>
            </w:pPr>
            <w:r>
              <w:rPr>
                <w:rFonts w:ascii="宋体" w:hAnsi="宋体" w:cs="宋体" w:hint="eastAsia"/>
              </w:rPr>
              <w:t>整机最大供电功率：≥</w:t>
            </w:r>
            <w:r>
              <w:rPr>
                <w:rFonts w:ascii="宋体" w:hAnsi="宋体" w:cs="宋体" w:hint="eastAsia"/>
              </w:rPr>
              <w:t>370 W</w:t>
            </w:r>
          </w:p>
          <w:p w:rsidR="005A0F0B">
            <w:pPr>
              <w:pStyle w:val="a2"/>
              <w:rPr>
                <w:rFonts w:ascii="宋体" w:hAnsi="宋体" w:cs="宋体"/>
              </w:rPr>
            </w:pPr>
            <w:r>
              <w:rPr>
                <w:rFonts w:ascii="宋体" w:hAnsi="宋体" w:cs="宋体" w:hint="eastAsia"/>
              </w:rPr>
              <w:t>支持最远</w:t>
            </w:r>
            <w:r>
              <w:rPr>
                <w:rFonts w:ascii="宋体" w:hAnsi="宋体" w:cs="宋体" w:hint="eastAsia"/>
              </w:rPr>
              <w:t>25</w:t>
            </w:r>
            <w:r>
              <w:rPr>
                <w:rFonts w:ascii="宋体" w:hAnsi="宋体" w:cs="宋体" w:hint="eastAsia"/>
              </w:rPr>
              <w:t>0 m</w:t>
            </w:r>
            <w:r>
              <w:rPr>
                <w:rFonts w:ascii="宋体" w:hAnsi="宋体" w:cs="宋体" w:hint="eastAsia"/>
              </w:rPr>
              <w:t>传输：端口</w:t>
            </w:r>
            <w:r>
              <w:rPr>
                <w:rFonts w:ascii="宋体" w:hAnsi="宋体" w:cs="宋体" w:hint="eastAsia"/>
              </w:rPr>
              <w:t>1</w:t>
            </w:r>
            <w:r>
              <w:rPr>
                <w:rFonts w:ascii="宋体" w:hAnsi="宋体" w:cs="宋体" w:hint="eastAsia"/>
              </w:rPr>
              <w:t>～</w:t>
            </w:r>
            <w:r>
              <w:rPr>
                <w:rFonts w:ascii="宋体" w:hAnsi="宋体" w:cs="宋体" w:hint="eastAsia"/>
              </w:rPr>
              <w:t>24</w:t>
            </w:r>
          </w:p>
          <w:p w:rsidR="005A0F0B">
            <w:pPr>
              <w:pStyle w:val="a2"/>
              <w:rPr>
                <w:rFonts w:ascii="宋体" w:hAnsi="宋体" w:cs="宋体"/>
              </w:rPr>
            </w:pPr>
            <w:r>
              <w:rPr>
                <w:rFonts w:ascii="宋体" w:hAnsi="宋体" w:cs="宋体" w:hint="eastAsia"/>
              </w:rPr>
              <w:t>支持</w:t>
            </w:r>
            <w:r>
              <w:rPr>
                <w:rFonts w:ascii="宋体" w:hAnsi="宋体" w:cs="宋体" w:hint="eastAsia"/>
              </w:rPr>
              <w:t>PoE</w:t>
            </w:r>
            <w:r>
              <w:rPr>
                <w:rFonts w:ascii="宋体" w:hAnsi="宋体" w:cs="宋体" w:hint="eastAsia"/>
              </w:rPr>
              <w:t>看门狗</w:t>
            </w:r>
          </w:p>
          <w:p w:rsidR="005A0F0B">
            <w:pPr>
              <w:pStyle w:val="a2"/>
              <w:rPr>
                <w:rFonts w:ascii="宋体" w:hAnsi="宋体" w:cs="宋体"/>
              </w:rPr>
            </w:pPr>
            <w:r>
              <w:rPr>
                <w:rFonts w:ascii="宋体" w:hAnsi="宋体" w:cs="宋体" w:hint="eastAsia"/>
              </w:rPr>
              <w:t>支持</w:t>
            </w:r>
            <w:r>
              <w:rPr>
                <w:rFonts w:ascii="宋体" w:hAnsi="宋体" w:cs="宋体" w:hint="eastAsia"/>
              </w:rPr>
              <w:t>6 KV</w:t>
            </w:r>
            <w:r>
              <w:rPr>
                <w:rFonts w:ascii="宋体" w:hAnsi="宋体" w:cs="宋体" w:hint="eastAsia"/>
              </w:rPr>
              <w:t>防浪涌（</w:t>
            </w:r>
            <w:r>
              <w:rPr>
                <w:rFonts w:ascii="宋体" w:hAnsi="宋体" w:cs="宋体" w:hint="eastAsia"/>
              </w:rPr>
              <w:t>PoE</w:t>
            </w:r>
            <w:r>
              <w:rPr>
                <w:rFonts w:ascii="宋体" w:hAnsi="宋体" w:cs="宋体" w:hint="eastAsia"/>
              </w:rPr>
              <w:t>口）</w:t>
            </w:r>
          </w:p>
          <w:p w:rsidR="005A0F0B">
            <w:pPr>
              <w:pStyle w:val="a2"/>
              <w:rPr>
                <w:rFonts w:ascii="宋体" w:hAnsi="宋体" w:cs="宋体"/>
              </w:rPr>
            </w:pPr>
            <w:r>
              <w:rPr>
                <w:rFonts w:ascii="宋体" w:hAnsi="宋体" w:cs="宋体" w:hint="eastAsia"/>
              </w:rPr>
              <w:t>支持红口保障：端口</w:t>
            </w:r>
            <w:r>
              <w:rPr>
                <w:rFonts w:ascii="宋体" w:hAnsi="宋体" w:cs="宋体" w:hint="eastAsia"/>
              </w:rPr>
              <w:t>1</w:t>
            </w:r>
            <w:r>
              <w:rPr>
                <w:rFonts w:ascii="宋体" w:hAnsi="宋体" w:cs="宋体" w:hint="eastAsia"/>
              </w:rPr>
              <w:t>～</w:t>
            </w:r>
            <w:r>
              <w:rPr>
                <w:rFonts w:ascii="宋体" w:hAnsi="宋体" w:cs="宋体" w:hint="eastAsia"/>
              </w:rPr>
              <w:t>8</w:t>
            </w:r>
          </w:p>
          <w:p w:rsidR="005A0F0B">
            <w:pPr>
              <w:pStyle w:val="a2"/>
              <w:rPr>
                <w:rFonts w:ascii="宋体" w:hAnsi="宋体" w:cs="宋体"/>
              </w:rPr>
            </w:pPr>
            <w:r>
              <w:rPr>
                <w:rFonts w:ascii="宋体" w:hAnsi="宋体" w:cs="宋体" w:hint="eastAsia"/>
              </w:rPr>
              <w:t>支持</w:t>
            </w:r>
            <w:r>
              <w:rPr>
                <w:rFonts w:ascii="宋体" w:hAnsi="宋体" w:cs="宋体" w:hint="eastAsia"/>
              </w:rPr>
              <w:t>IEEE 802.3</w:t>
            </w:r>
            <w:r>
              <w:rPr>
                <w:rFonts w:ascii="宋体" w:hAnsi="宋体" w:cs="宋体" w:hint="eastAsia"/>
              </w:rPr>
              <w:t>、</w:t>
            </w:r>
            <w:r>
              <w:rPr>
                <w:rFonts w:ascii="宋体" w:hAnsi="宋体" w:cs="宋体" w:hint="eastAsia"/>
              </w:rPr>
              <w:t>IEEE 802.3u</w:t>
            </w:r>
            <w:r>
              <w:rPr>
                <w:rFonts w:ascii="宋体" w:hAnsi="宋体" w:cs="宋体" w:hint="eastAsia"/>
              </w:rPr>
              <w:t>、</w:t>
            </w:r>
            <w:r>
              <w:rPr>
                <w:rFonts w:ascii="宋体" w:hAnsi="宋体" w:cs="宋体" w:hint="eastAsia"/>
              </w:rPr>
              <w:t>IEEE 802.3x</w:t>
            </w:r>
            <w:r>
              <w:rPr>
                <w:rFonts w:ascii="宋体" w:hAnsi="宋体" w:cs="宋体" w:hint="eastAsia"/>
              </w:rPr>
              <w:t>、</w:t>
            </w:r>
            <w:r>
              <w:rPr>
                <w:rFonts w:ascii="宋体" w:hAnsi="宋体" w:cs="宋体" w:hint="eastAsia"/>
              </w:rPr>
              <w:t>IEEE 802.3ab</w:t>
            </w:r>
            <w:r>
              <w:rPr>
                <w:rFonts w:ascii="宋体" w:hAnsi="宋体" w:cs="宋体" w:hint="eastAsia"/>
              </w:rPr>
              <w:t>标准</w:t>
            </w:r>
          </w:p>
          <w:p w:rsidR="005A0F0B">
            <w:pPr>
              <w:pStyle w:val="a2"/>
              <w:rPr>
                <w:rFonts w:ascii="宋体" w:hAnsi="宋体" w:cs="宋体"/>
              </w:rPr>
            </w:pPr>
            <w:r>
              <w:rPr>
                <w:rFonts w:ascii="宋体" w:hAnsi="宋体" w:cs="宋体" w:hint="eastAsia"/>
              </w:rPr>
              <w:t>支持</w:t>
            </w:r>
            <w:r>
              <w:rPr>
                <w:rFonts w:ascii="宋体" w:hAnsi="宋体" w:cs="宋体" w:hint="eastAsia"/>
              </w:rPr>
              <w:t>VLAN</w:t>
            </w:r>
          </w:p>
          <w:p w:rsidR="005A0F0B">
            <w:pPr>
              <w:pStyle w:val="a2"/>
              <w:rPr>
                <w:rFonts w:ascii="宋体" w:hAnsi="宋体" w:cs="宋体"/>
              </w:rPr>
            </w:pPr>
            <w:r>
              <w:rPr>
                <w:rFonts w:ascii="宋体" w:hAnsi="宋体" w:cs="宋体" w:hint="eastAsia"/>
              </w:rPr>
              <w:t>支持</w:t>
            </w:r>
            <w:r>
              <w:rPr>
                <w:rFonts w:ascii="宋体" w:hAnsi="宋体" w:cs="宋体" w:hint="eastAsia"/>
              </w:rPr>
              <w:t>SNMPv1/v2c</w:t>
            </w:r>
            <w:r>
              <w:rPr>
                <w:rFonts w:ascii="宋体" w:hAnsi="宋体" w:cs="宋体" w:hint="eastAsia"/>
              </w:rPr>
              <w:t>协议</w:t>
            </w:r>
          </w:p>
          <w:p w:rsidR="005A0F0B">
            <w:pPr>
              <w:pStyle w:val="a2"/>
              <w:rPr>
                <w:rFonts w:ascii="宋体" w:hAnsi="宋体" w:cs="宋体"/>
              </w:rPr>
            </w:pPr>
            <w:r>
              <w:rPr>
                <w:rFonts w:ascii="宋体" w:hAnsi="宋体" w:cs="宋体" w:hint="eastAsia"/>
              </w:rPr>
              <w:t>支持</w:t>
            </w:r>
            <w:r>
              <w:rPr>
                <w:rFonts w:ascii="宋体" w:hAnsi="宋体" w:cs="宋体" w:hint="eastAsia"/>
              </w:rPr>
              <w:t>DHCP Snooping</w:t>
            </w:r>
          </w:p>
          <w:p w:rsidR="005A0F0B">
            <w:pPr>
              <w:pStyle w:val="a2"/>
              <w:rPr>
                <w:rFonts w:ascii="宋体" w:hAnsi="宋体" w:cs="宋体"/>
              </w:rPr>
            </w:pPr>
            <w:r>
              <w:rPr>
                <w:rFonts w:ascii="宋体" w:hAnsi="宋体" w:cs="宋体" w:hint="eastAsia"/>
              </w:rPr>
              <w:t>支持静态链路聚合</w:t>
            </w:r>
          </w:p>
          <w:p w:rsidR="005A0F0B">
            <w:pPr>
              <w:pStyle w:val="a2"/>
              <w:rPr>
                <w:rFonts w:ascii="宋体" w:hAnsi="宋体" w:cs="宋体"/>
              </w:rPr>
            </w:pPr>
            <w:r>
              <w:rPr>
                <w:rFonts w:ascii="宋体" w:hAnsi="宋体" w:cs="宋体" w:hint="eastAsia"/>
              </w:rPr>
              <w:t>支持终端安全防护</w:t>
            </w:r>
          </w:p>
          <w:p w:rsidR="005A0F0B">
            <w:pPr>
              <w:pStyle w:val="a2"/>
              <w:rPr>
                <w:rFonts w:ascii="宋体" w:hAnsi="宋体" w:cs="宋体"/>
              </w:rPr>
            </w:pPr>
            <w:r>
              <w:rPr>
                <w:rFonts w:ascii="宋体" w:hAnsi="宋体" w:cs="宋体" w:hint="eastAsia"/>
              </w:rPr>
              <w:t>坚固式高强度金属外壳</w:t>
            </w:r>
          </w:p>
          <w:p w:rsidR="005A0F0B">
            <w:pPr>
              <w:pStyle w:val="a2"/>
              <w:rPr>
                <w:rFonts w:ascii="宋体" w:hAnsi="宋体" w:cs="宋体"/>
              </w:rPr>
            </w:pPr>
            <w:r>
              <w:rPr>
                <w:rFonts w:ascii="宋体" w:eastAsia="宋体" w:hAnsi="宋体" w:cs="宋体" w:hint="eastAsia"/>
              </w:rPr>
              <w:t>3</w:t>
            </w:r>
            <w:r>
              <w:rPr>
                <w:rFonts w:ascii="宋体" w:eastAsia="宋体" w:hAnsi="宋体" w:cs="宋体" w:hint="eastAsia"/>
              </w:rPr>
              <w:t>）</w:t>
            </w:r>
            <w:r>
              <w:rPr>
                <w:rFonts w:ascii="宋体" w:hAnsi="宋体" w:cs="宋体" w:hint="eastAsia"/>
              </w:rPr>
              <w:t>视频传输辅助设备</w:t>
            </w:r>
          </w:p>
          <w:p w:rsidR="005A0F0B">
            <w:pPr>
              <w:pStyle w:val="a2"/>
              <w:rPr>
                <w:rFonts w:ascii="宋体" w:hAnsi="宋体" w:cs="宋体"/>
              </w:rPr>
            </w:pPr>
            <w:r>
              <w:rPr>
                <w:rFonts w:ascii="宋体" w:hAnsi="宋体" w:cs="宋体" w:hint="eastAsia"/>
              </w:rPr>
              <w:t>适用频段：</w:t>
            </w:r>
            <w:r>
              <w:rPr>
                <w:rFonts w:ascii="宋体" w:hAnsi="宋体" w:cs="宋体" w:hint="eastAsia"/>
              </w:rPr>
              <w:t>2.4GHz</w:t>
            </w:r>
            <w:r>
              <w:rPr>
                <w:rFonts w:ascii="宋体" w:hAnsi="宋体" w:cs="宋体" w:hint="eastAsia"/>
              </w:rPr>
              <w:t>，</w:t>
            </w:r>
            <w:r>
              <w:rPr>
                <w:rFonts w:ascii="宋体" w:hAnsi="宋体" w:cs="宋体" w:hint="eastAsia"/>
              </w:rPr>
              <w:t>5GHz</w:t>
            </w:r>
            <w:r>
              <w:rPr>
                <w:rFonts w:ascii="宋体" w:hAnsi="宋体" w:cs="宋体" w:hint="eastAsia"/>
              </w:rPr>
              <w:t>，</w:t>
            </w:r>
            <w:r>
              <w:rPr>
                <w:rFonts w:ascii="宋体" w:hAnsi="宋体" w:cs="宋体" w:hint="eastAsia"/>
              </w:rPr>
              <w:t>2.4GHz+5GHz</w:t>
            </w:r>
          </w:p>
          <w:p w:rsidR="005A0F0B">
            <w:pPr>
              <w:pStyle w:val="a2"/>
              <w:rPr>
                <w:rFonts w:ascii="宋体" w:hAnsi="宋体" w:cs="宋体"/>
              </w:rPr>
            </w:pPr>
            <w:r>
              <w:rPr>
                <w:rFonts w:ascii="宋体" w:hAnsi="宋体" w:cs="宋体" w:hint="eastAsia"/>
              </w:rPr>
              <w:t>WAN</w:t>
            </w:r>
            <w:r>
              <w:rPr>
                <w:rFonts w:ascii="宋体" w:hAnsi="宋体" w:cs="宋体" w:hint="eastAsia"/>
              </w:rPr>
              <w:t>口类型：电口</w:t>
            </w:r>
          </w:p>
          <w:p w:rsidR="005A0F0B">
            <w:pPr>
              <w:pStyle w:val="a2"/>
              <w:rPr>
                <w:rFonts w:ascii="宋体" w:hAnsi="宋体" w:cs="宋体"/>
              </w:rPr>
            </w:pPr>
            <w:r>
              <w:rPr>
                <w:rFonts w:ascii="宋体" w:hAnsi="宋体" w:cs="宋体" w:hint="eastAsia"/>
              </w:rPr>
              <w:t>LAN</w:t>
            </w:r>
            <w:r>
              <w:rPr>
                <w:rFonts w:ascii="宋体" w:hAnsi="宋体" w:cs="宋体" w:hint="eastAsia"/>
              </w:rPr>
              <w:t>口数量：</w:t>
            </w:r>
            <w:r>
              <w:rPr>
                <w:rFonts w:ascii="宋体" w:hAnsi="宋体" w:cs="宋体" w:hint="eastAsia"/>
              </w:rPr>
              <w:t>3</w:t>
            </w:r>
            <w:r>
              <w:rPr>
                <w:rFonts w:ascii="宋体" w:hAnsi="宋体" w:cs="宋体" w:hint="eastAsia"/>
              </w:rPr>
              <w:t>个</w:t>
            </w:r>
          </w:p>
          <w:p w:rsidR="005A0F0B">
            <w:pPr>
              <w:pStyle w:val="a2"/>
              <w:rPr>
                <w:rFonts w:ascii="宋体" w:hAnsi="宋体" w:cs="宋体"/>
              </w:rPr>
            </w:pPr>
            <w:r>
              <w:rPr>
                <w:rFonts w:ascii="宋体" w:hAnsi="宋体" w:cs="宋体" w:hint="eastAsia"/>
              </w:rPr>
              <w:t>频段：双频</w:t>
            </w:r>
          </w:p>
          <w:p w:rsidR="005A0F0B">
            <w:pPr>
              <w:pStyle w:val="a2"/>
              <w:rPr>
                <w:rFonts w:ascii="宋体" w:hAnsi="宋体" w:cs="宋体"/>
              </w:rPr>
            </w:pPr>
            <w:r>
              <w:rPr>
                <w:rFonts w:ascii="宋体" w:hAnsi="宋体" w:cs="宋体" w:hint="eastAsia"/>
              </w:rPr>
              <w:t>WAN</w:t>
            </w:r>
            <w:r>
              <w:rPr>
                <w:rFonts w:ascii="宋体" w:hAnsi="宋体" w:cs="宋体" w:hint="eastAsia"/>
              </w:rPr>
              <w:t>接入口：千兆网口</w:t>
            </w:r>
          </w:p>
          <w:p w:rsidR="005A0F0B">
            <w:pPr>
              <w:pStyle w:val="a2"/>
              <w:rPr>
                <w:rFonts w:ascii="宋体" w:hAnsi="宋体" w:cs="宋体"/>
              </w:rPr>
            </w:pPr>
            <w:r>
              <w:rPr>
                <w:rFonts w:ascii="宋体" w:hAnsi="宋体" w:cs="宋体" w:hint="eastAsia"/>
              </w:rPr>
              <w:t>LAN</w:t>
            </w:r>
            <w:r>
              <w:rPr>
                <w:rFonts w:ascii="宋体" w:hAnsi="宋体" w:cs="宋体" w:hint="eastAsia"/>
              </w:rPr>
              <w:t>输出口：千兆网口</w:t>
            </w:r>
          </w:p>
          <w:p w:rsidR="005A0F0B">
            <w:pPr>
              <w:pStyle w:val="a2"/>
              <w:rPr>
                <w:rFonts w:ascii="宋体" w:hAnsi="宋体" w:cs="宋体"/>
              </w:rPr>
            </w:pPr>
            <w:r>
              <w:rPr>
                <w:rFonts w:ascii="宋体" w:hAnsi="宋体" w:cs="宋体" w:hint="eastAsia"/>
              </w:rPr>
              <w:t>无线协议：</w:t>
            </w:r>
            <w:r>
              <w:rPr>
                <w:rFonts w:ascii="宋体" w:hAnsi="宋体" w:cs="宋体" w:hint="eastAsia"/>
              </w:rPr>
              <w:t>Wi-Fi 5</w:t>
            </w:r>
            <w:r>
              <w:rPr>
                <w:rFonts w:ascii="宋体" w:hAnsi="宋体" w:cs="宋体" w:hint="eastAsia"/>
              </w:rPr>
              <w:t>（</w:t>
            </w:r>
            <w:r>
              <w:rPr>
                <w:rFonts w:ascii="宋体" w:hAnsi="宋体" w:cs="宋体" w:hint="eastAsia"/>
              </w:rPr>
              <w:t>IEEE 802.11ac</w:t>
            </w:r>
            <w:r>
              <w:rPr>
                <w:rFonts w:ascii="宋体" w:hAnsi="宋体" w:cs="宋体" w:hint="eastAsia"/>
              </w:rPr>
              <w:t>）</w:t>
            </w:r>
          </w:p>
        </w:tc>
        <w:tc>
          <w:tcPr>
            <w:tcW w:w="364"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154</w:t>
            </w:r>
          </w:p>
        </w:tc>
        <w:tc>
          <w:tcPr>
            <w:tcW w:w="396"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套</w:t>
            </w:r>
          </w:p>
        </w:tc>
        <w:tc>
          <w:tcPr>
            <w:tcW w:w="512"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每个作业点</w:t>
            </w:r>
            <w:r>
              <w:rPr>
                <w:rFonts w:ascii="宋体" w:hAnsi="宋体" w:cs="宋体" w:hint="eastAsia"/>
              </w:rPr>
              <w:t>1</w:t>
            </w:r>
            <w:r>
              <w:rPr>
                <w:rFonts w:ascii="宋体" w:hAnsi="宋体" w:cs="宋体" w:hint="eastAsia"/>
              </w:rPr>
              <w:t>套</w:t>
            </w:r>
          </w:p>
        </w:tc>
      </w:tr>
      <w:tr>
        <w:tblPrEx>
          <w:tblW w:w="5027" w:type="pct"/>
          <w:jc w:val="center"/>
          <w:tblLayout w:type="fixed"/>
          <w:tblLook w:val="04A0"/>
        </w:tblPrEx>
        <w:trPr>
          <w:jc w:val="center"/>
        </w:trPr>
        <w:tc>
          <w:tcPr>
            <w:tcW w:w="365"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3</w:t>
            </w:r>
          </w:p>
        </w:tc>
        <w:tc>
          <w:tcPr>
            <w:tcW w:w="607"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智能化监控识别终端</w:t>
            </w:r>
          </w:p>
        </w:tc>
        <w:tc>
          <w:tcPr>
            <w:tcW w:w="2755" w:type="pct"/>
            <w:tcBorders>
              <w:top w:val="single" w:sz="4" w:space="0" w:color="auto"/>
              <w:left w:val="single" w:sz="4" w:space="0" w:color="auto"/>
              <w:bottom w:val="single" w:sz="4" w:space="0" w:color="auto"/>
              <w:right w:val="single" w:sz="4" w:space="0" w:color="auto"/>
            </w:tcBorders>
            <w:vAlign w:val="center"/>
          </w:tcPr>
          <w:p w:rsidR="005A0F0B">
            <w:pPr>
              <w:pStyle w:val="a2"/>
              <w:jc w:val="left"/>
              <w:rPr>
                <w:rFonts w:ascii="宋体" w:hAnsi="宋体" w:cs="宋体"/>
              </w:rPr>
            </w:pPr>
            <w:r>
              <w:rPr>
                <w:rFonts w:ascii="宋体" w:hAnsi="宋体" w:cs="宋体" w:hint="eastAsia"/>
              </w:rPr>
              <w:t>1</w:t>
            </w:r>
            <w:r>
              <w:rPr>
                <w:rFonts w:ascii="宋体" w:hAnsi="宋体" w:cs="宋体" w:hint="eastAsia"/>
              </w:rPr>
              <w:t>）人工智能处理引擎：能够同时满足</w:t>
            </w:r>
            <w:r>
              <w:rPr>
                <w:rFonts w:ascii="宋体" w:hAnsi="宋体" w:cs="宋体" w:hint="eastAsia"/>
              </w:rPr>
              <w:t>6</w:t>
            </w:r>
            <w:r>
              <w:rPr>
                <w:rFonts w:ascii="宋体" w:hAnsi="宋体" w:cs="宋体" w:hint="eastAsia"/>
              </w:rPr>
              <w:t>路摄像机，</w:t>
            </w:r>
            <w:r>
              <w:rPr>
                <w:rFonts w:ascii="宋体" w:hAnsi="宋体" w:cs="宋体" w:hint="eastAsia"/>
              </w:rPr>
              <w:t>6</w:t>
            </w:r>
            <w:r>
              <w:rPr>
                <w:rFonts w:ascii="宋体" w:hAnsi="宋体" w:cs="宋体" w:hint="eastAsia"/>
              </w:rPr>
              <w:t>种告警算法同时运行。</w:t>
            </w:r>
          </w:p>
          <w:p w:rsidR="005A0F0B">
            <w:pPr>
              <w:pStyle w:val="a2"/>
              <w:jc w:val="left"/>
              <w:rPr>
                <w:rFonts w:ascii="宋体" w:hAnsi="宋体" w:cs="宋体"/>
              </w:rPr>
            </w:pPr>
            <w:r>
              <w:rPr>
                <w:rFonts w:ascii="宋体" w:hAnsi="宋体" w:cs="宋体" w:hint="eastAsia"/>
              </w:rPr>
              <w:t>2</w:t>
            </w:r>
            <w:r>
              <w:rPr>
                <w:rFonts w:ascii="宋体" w:hAnsi="宋体" w:cs="宋体" w:hint="eastAsia"/>
              </w:rPr>
              <w:t>）视频处理器：多解码格式，最高支持</w:t>
            </w:r>
            <w:r>
              <w:rPr>
                <w:rFonts w:ascii="宋体" w:hAnsi="宋体" w:cs="宋体" w:hint="eastAsia"/>
              </w:rPr>
              <w:t>4K@30fps</w:t>
            </w:r>
            <w:r>
              <w:rPr>
                <w:rFonts w:ascii="宋体" w:hAnsi="宋体" w:cs="宋体" w:hint="eastAsia"/>
              </w:rPr>
              <w:t>视频编码，多路视频编解码。</w:t>
            </w:r>
          </w:p>
          <w:p w:rsidR="005A0F0B">
            <w:pPr>
              <w:pStyle w:val="a2"/>
              <w:jc w:val="left"/>
              <w:rPr>
                <w:rFonts w:ascii="宋体" w:hAnsi="宋体" w:cs="宋体"/>
              </w:rPr>
            </w:pPr>
            <w:r>
              <w:rPr>
                <w:rFonts w:ascii="宋体" w:hAnsi="宋体" w:cs="宋体" w:hint="eastAsia"/>
              </w:rPr>
              <w:t>3</w:t>
            </w:r>
            <w:r>
              <w:rPr>
                <w:rFonts w:ascii="宋体" w:hAnsi="宋体" w:cs="宋体" w:hint="eastAsia"/>
              </w:rPr>
              <w:t>）模型运行平台：边缘计算平台，内置违规行为智能识别算法，可进行区域入侵、安全帽识别、反光衣识别、明火烟雾检测、吸烟检测、人员数量检测、侧方位装弹、警戒区内是否遗留弹药箱违规行为进行智能分析，支持对烟雾、室内温度进行检测，对人员吸烟行为进行智能分析。</w:t>
            </w:r>
          </w:p>
          <w:p w:rsidR="005A0F0B">
            <w:pPr>
              <w:pStyle w:val="a2"/>
              <w:jc w:val="left"/>
              <w:rPr>
                <w:rFonts w:ascii="宋体" w:hAnsi="宋体" w:cs="宋体"/>
              </w:rPr>
            </w:pPr>
            <w:r>
              <w:rPr>
                <w:rFonts w:ascii="宋体" w:hAnsi="宋体" w:cs="宋体" w:hint="eastAsia"/>
              </w:rPr>
              <w:t>4</w:t>
            </w:r>
            <w:r>
              <w:rPr>
                <w:rFonts w:ascii="宋体" w:hAnsi="宋体" w:cs="宋体" w:hint="eastAsia"/>
              </w:rPr>
              <w:t>）操作系统：</w:t>
            </w:r>
            <w:r>
              <w:rPr>
                <w:rFonts w:ascii="宋体" w:hAnsi="宋体" w:cs="宋体" w:hint="eastAsia"/>
              </w:rPr>
              <w:t>Android</w:t>
            </w:r>
            <w:r>
              <w:rPr>
                <w:rFonts w:ascii="宋体" w:hAnsi="宋体" w:cs="宋体" w:hint="eastAsia"/>
              </w:rPr>
              <w:t>或</w:t>
            </w:r>
            <w:r>
              <w:rPr>
                <w:rFonts w:ascii="宋体" w:hAnsi="宋体" w:cs="宋体" w:hint="eastAsia"/>
              </w:rPr>
              <w:t>Linux</w:t>
            </w:r>
          </w:p>
          <w:p w:rsidR="005A0F0B">
            <w:pPr>
              <w:pStyle w:val="a2"/>
              <w:jc w:val="left"/>
              <w:rPr>
                <w:rFonts w:ascii="宋体" w:hAnsi="宋体" w:cs="宋体"/>
              </w:rPr>
            </w:pPr>
            <w:r>
              <w:rPr>
                <w:rFonts w:ascii="宋体" w:hAnsi="宋体" w:cs="宋体" w:hint="eastAsia"/>
              </w:rPr>
              <w:t>5</w:t>
            </w:r>
            <w:r>
              <w:rPr>
                <w:rFonts w:ascii="宋体" w:hAnsi="宋体" w:cs="宋体" w:hint="eastAsia"/>
              </w:rPr>
              <w:t>）内存：</w:t>
            </w:r>
            <w:r>
              <w:rPr>
                <w:rFonts w:ascii="宋体" w:hAnsi="宋体" w:cs="宋体" w:hint="eastAsia"/>
              </w:rPr>
              <w:t>6GB LPDDR4x</w:t>
            </w:r>
            <w:r>
              <w:rPr>
                <w:rFonts w:ascii="宋体" w:hAnsi="宋体" w:cs="宋体" w:hint="eastAsia"/>
              </w:rPr>
              <w:t>，需同时满足</w:t>
            </w:r>
            <w:r>
              <w:rPr>
                <w:rFonts w:ascii="宋体" w:hAnsi="宋体" w:cs="宋体" w:hint="eastAsia"/>
              </w:rPr>
              <w:t>6</w:t>
            </w:r>
            <w:r>
              <w:rPr>
                <w:rFonts w:ascii="宋体" w:hAnsi="宋体" w:cs="宋体" w:hint="eastAsia"/>
              </w:rPr>
              <w:t>路摄像机，</w:t>
            </w:r>
            <w:r>
              <w:rPr>
                <w:rFonts w:ascii="宋体" w:hAnsi="宋体" w:cs="宋体" w:hint="eastAsia"/>
              </w:rPr>
              <w:t>6</w:t>
            </w:r>
            <w:r>
              <w:rPr>
                <w:rFonts w:ascii="宋体" w:hAnsi="宋体" w:cs="宋体" w:hint="eastAsia"/>
              </w:rPr>
              <w:t>种告警算法同时运行。</w:t>
            </w:r>
          </w:p>
          <w:p w:rsidR="005A0F0B">
            <w:pPr>
              <w:pStyle w:val="a2"/>
              <w:jc w:val="left"/>
              <w:rPr>
                <w:rFonts w:ascii="宋体" w:hAnsi="宋体" w:cs="宋体"/>
              </w:rPr>
            </w:pPr>
            <w:r>
              <w:rPr>
                <w:rFonts w:ascii="宋体" w:hAnsi="宋体" w:cs="宋体" w:hint="eastAsia"/>
              </w:rPr>
              <w:t>6</w:t>
            </w:r>
            <w:r>
              <w:rPr>
                <w:rFonts w:ascii="宋体" w:hAnsi="宋体" w:cs="宋体" w:hint="eastAsia"/>
              </w:rPr>
              <w:t>）存储：</w:t>
            </w:r>
            <w:r>
              <w:rPr>
                <w:rFonts w:ascii="宋体" w:hAnsi="宋体" w:cs="宋体" w:hint="eastAsia"/>
              </w:rPr>
              <w:t>64GB UFS2.1</w:t>
            </w:r>
            <w:r>
              <w:rPr>
                <w:rFonts w:ascii="宋体" w:hAnsi="宋体" w:cs="宋体" w:hint="eastAsia"/>
              </w:rPr>
              <w:t>，支持</w:t>
            </w:r>
            <w:r>
              <w:rPr>
                <w:rFonts w:ascii="宋体" w:hAnsi="宋体" w:cs="宋体" w:hint="eastAsia"/>
              </w:rPr>
              <w:t xml:space="preserve"> SD Card</w:t>
            </w:r>
            <w:r>
              <w:rPr>
                <w:rFonts w:ascii="宋体" w:hAnsi="宋体" w:cs="宋体" w:hint="eastAsia"/>
              </w:rPr>
              <w:t>扩展，满</w:t>
            </w:r>
            <w:r>
              <w:rPr>
                <w:rFonts w:ascii="宋体" w:hAnsi="宋体" w:cs="宋体" w:hint="eastAsia"/>
              </w:rPr>
              <w:t>足本地存储</w:t>
            </w:r>
            <w:r>
              <w:rPr>
                <w:rFonts w:ascii="宋体" w:hAnsi="宋体" w:cs="宋体" w:hint="eastAsia"/>
              </w:rPr>
              <w:t>3</w:t>
            </w:r>
            <w:r>
              <w:rPr>
                <w:rFonts w:ascii="宋体" w:hAnsi="宋体" w:cs="宋体" w:hint="eastAsia"/>
              </w:rPr>
              <w:t>个月告警信息、告警图片，支持</w:t>
            </w:r>
            <w:r>
              <w:rPr>
                <w:rFonts w:ascii="宋体" w:hAnsi="宋体" w:cs="宋体" w:hint="eastAsia"/>
              </w:rPr>
              <w:t>MicroSD</w:t>
            </w:r>
            <w:r>
              <w:rPr>
                <w:rFonts w:ascii="宋体" w:hAnsi="宋体" w:cs="宋体" w:hint="eastAsia"/>
              </w:rPr>
              <w:t>卡扩展。</w:t>
            </w:r>
          </w:p>
          <w:p w:rsidR="005A0F0B">
            <w:pPr>
              <w:pStyle w:val="a2"/>
              <w:jc w:val="left"/>
              <w:rPr>
                <w:rFonts w:ascii="宋体" w:hAnsi="宋体" w:cs="宋体"/>
              </w:rPr>
            </w:pPr>
            <w:r>
              <w:rPr>
                <w:rFonts w:ascii="宋体" w:hAnsi="宋体" w:cs="宋体" w:hint="eastAsia"/>
              </w:rPr>
              <w:t>7</w:t>
            </w:r>
            <w:r>
              <w:rPr>
                <w:rFonts w:ascii="宋体" w:hAnsi="宋体" w:cs="宋体" w:hint="eastAsia"/>
              </w:rPr>
              <w:t>）接口：</w:t>
            </w:r>
          </w:p>
          <w:p w:rsidR="005A0F0B">
            <w:pPr>
              <w:pStyle w:val="a2"/>
              <w:jc w:val="left"/>
              <w:rPr>
                <w:rFonts w:ascii="宋体" w:hAnsi="宋体" w:cs="宋体"/>
              </w:rPr>
            </w:pPr>
            <w:r>
              <w:rPr>
                <w:rFonts w:ascii="宋体" w:hAnsi="宋体" w:cs="宋体" w:hint="eastAsia"/>
              </w:rPr>
              <w:t>USB:2x USB; 3.0 Type A</w:t>
            </w:r>
          </w:p>
          <w:p w:rsidR="005A0F0B">
            <w:pPr>
              <w:pStyle w:val="a2"/>
              <w:jc w:val="left"/>
              <w:rPr>
                <w:rFonts w:ascii="宋体" w:hAnsi="宋体" w:cs="宋体"/>
              </w:rPr>
            </w:pPr>
            <w:r>
              <w:rPr>
                <w:rFonts w:ascii="宋体" w:hAnsi="宋体" w:cs="宋体" w:hint="eastAsia"/>
              </w:rPr>
              <w:t>HDMI:1x HDMI out,1080p@60fps</w:t>
            </w:r>
          </w:p>
          <w:p w:rsidR="005A0F0B">
            <w:pPr>
              <w:pStyle w:val="a2"/>
              <w:jc w:val="left"/>
              <w:rPr>
                <w:rFonts w:ascii="宋体" w:hAnsi="宋体" w:cs="宋体"/>
              </w:rPr>
            </w:pPr>
            <w:r>
              <w:rPr>
                <w:rFonts w:ascii="宋体" w:hAnsi="宋体" w:cs="宋体" w:hint="eastAsia"/>
              </w:rPr>
              <w:t xml:space="preserve">Micro SD </w:t>
            </w:r>
            <w:r>
              <w:rPr>
                <w:rFonts w:ascii="宋体" w:hAnsi="宋体" w:cs="宋体" w:hint="eastAsia"/>
              </w:rPr>
              <w:t>连接器：</w:t>
            </w:r>
            <w:r>
              <w:rPr>
                <w:rFonts w:ascii="宋体" w:hAnsi="宋体" w:cs="宋体" w:hint="eastAsia"/>
              </w:rPr>
              <w:t xml:space="preserve"> 1x Micro SD</w:t>
            </w:r>
          </w:p>
          <w:p w:rsidR="005A0F0B">
            <w:pPr>
              <w:pStyle w:val="a2"/>
              <w:jc w:val="left"/>
              <w:rPr>
                <w:rFonts w:ascii="宋体" w:hAnsi="宋体" w:cs="宋体"/>
              </w:rPr>
            </w:pPr>
            <w:r>
              <w:rPr>
                <w:rFonts w:ascii="宋体" w:hAnsi="宋体" w:cs="宋体" w:hint="eastAsia"/>
              </w:rPr>
              <w:t xml:space="preserve">SIM:1x </w:t>
            </w:r>
            <w:r>
              <w:rPr>
                <w:rFonts w:ascii="宋体" w:hAnsi="宋体" w:cs="宋体" w:hint="eastAsia"/>
              </w:rPr>
              <w:t>NanoSIM</w:t>
            </w:r>
            <w:r>
              <w:rPr>
                <w:rFonts w:ascii="宋体" w:hAnsi="宋体" w:cs="宋体" w:hint="eastAsia"/>
              </w:rPr>
              <w:t xml:space="preserve"> Card</w:t>
            </w:r>
          </w:p>
          <w:p w:rsidR="005A0F0B">
            <w:pPr>
              <w:pStyle w:val="a2"/>
              <w:jc w:val="left"/>
              <w:rPr>
                <w:rFonts w:ascii="宋体" w:hAnsi="宋体" w:cs="宋体"/>
              </w:rPr>
            </w:pPr>
            <w:r>
              <w:rPr>
                <w:rFonts w:ascii="宋体" w:hAnsi="宋体" w:cs="宋体" w:hint="eastAsia"/>
              </w:rPr>
              <w:t>以太网：</w:t>
            </w:r>
            <w:r>
              <w:rPr>
                <w:rFonts w:ascii="宋体" w:hAnsi="宋体" w:cs="宋体" w:hint="eastAsia"/>
              </w:rPr>
              <w:t>1xRJ45</w:t>
            </w:r>
            <w:r>
              <w:rPr>
                <w:rFonts w:ascii="宋体" w:hAnsi="宋体" w:cs="宋体" w:hint="eastAsia"/>
              </w:rPr>
              <w:t>，千兆以太网（</w:t>
            </w:r>
            <w:r>
              <w:rPr>
                <w:rFonts w:ascii="宋体" w:hAnsi="宋体" w:cs="宋体" w:hint="eastAsia"/>
              </w:rPr>
              <w:t>10/100M/1000M</w:t>
            </w:r>
            <w:r>
              <w:rPr>
                <w:rFonts w:ascii="宋体" w:hAnsi="宋体" w:cs="宋体" w:hint="eastAsia"/>
              </w:rPr>
              <w:t>）</w:t>
            </w:r>
          </w:p>
          <w:p w:rsidR="005A0F0B">
            <w:pPr>
              <w:pStyle w:val="a2"/>
              <w:jc w:val="left"/>
              <w:rPr>
                <w:rFonts w:ascii="宋体" w:hAnsi="宋体" w:cs="宋体"/>
              </w:rPr>
            </w:pPr>
            <w:r>
              <w:rPr>
                <w:rFonts w:ascii="宋体" w:hAnsi="宋体" w:cs="宋体" w:hint="eastAsia"/>
              </w:rPr>
              <w:t>8</w:t>
            </w:r>
            <w:r>
              <w:rPr>
                <w:rFonts w:ascii="宋体" w:hAnsi="宋体" w:cs="宋体" w:hint="eastAsia"/>
              </w:rPr>
              <w:t>）无线连接：</w:t>
            </w:r>
          </w:p>
          <w:p w:rsidR="005A0F0B">
            <w:pPr>
              <w:pStyle w:val="a2"/>
              <w:jc w:val="left"/>
              <w:rPr>
                <w:rFonts w:ascii="宋体" w:hAnsi="宋体" w:cs="宋体"/>
              </w:rPr>
            </w:pPr>
            <w:r>
              <w:rPr>
                <w:rFonts w:ascii="宋体" w:hAnsi="宋体" w:cs="宋体" w:hint="eastAsia"/>
              </w:rPr>
              <w:t>Wi-Fi 5(802.11a/b/g/n/ac 2.4G/5GHz)</w:t>
            </w:r>
          </w:p>
          <w:p w:rsidR="005A0F0B">
            <w:pPr>
              <w:pStyle w:val="a2"/>
              <w:jc w:val="left"/>
              <w:rPr>
                <w:rFonts w:ascii="宋体" w:hAnsi="宋体" w:cs="宋体"/>
              </w:rPr>
            </w:pPr>
            <w:r>
              <w:rPr>
                <w:rFonts w:ascii="宋体" w:hAnsi="宋体" w:cs="宋体" w:hint="eastAsia"/>
              </w:rPr>
              <w:t xml:space="preserve">4G-LTE </w:t>
            </w:r>
            <w:r>
              <w:rPr>
                <w:rFonts w:ascii="宋体" w:hAnsi="宋体" w:cs="宋体" w:hint="eastAsia"/>
              </w:rPr>
              <w:t>支持</w:t>
            </w:r>
            <w:r>
              <w:rPr>
                <w:rFonts w:ascii="宋体" w:hAnsi="宋体" w:cs="宋体" w:hint="eastAsia"/>
              </w:rPr>
              <w:t>Cat4</w:t>
            </w:r>
            <w:r>
              <w:rPr>
                <w:rFonts w:ascii="宋体" w:hAnsi="宋体" w:cs="宋体" w:hint="eastAsia"/>
              </w:rPr>
              <w:t>，</w:t>
            </w:r>
            <w:r>
              <w:rPr>
                <w:rFonts w:ascii="宋体" w:hAnsi="宋体" w:cs="宋体" w:hint="eastAsia"/>
              </w:rPr>
              <w:t xml:space="preserve">150Mbps </w:t>
            </w:r>
            <w:r>
              <w:rPr>
                <w:rFonts w:ascii="宋体" w:hAnsi="宋体" w:cs="宋体" w:hint="eastAsia"/>
              </w:rPr>
              <w:t>（下行速度）</w:t>
            </w:r>
            <w:r>
              <w:rPr>
                <w:rFonts w:ascii="宋体" w:hAnsi="宋体" w:cs="宋体" w:hint="eastAsia"/>
              </w:rPr>
              <w:t xml:space="preserve">/ 50Mbps </w:t>
            </w:r>
            <w:r>
              <w:rPr>
                <w:rFonts w:ascii="宋体" w:hAnsi="宋体" w:cs="宋体" w:hint="eastAsia"/>
              </w:rPr>
              <w:t>（上行速度）</w:t>
            </w:r>
          </w:p>
          <w:p w:rsidR="005A0F0B">
            <w:pPr>
              <w:pStyle w:val="a2"/>
              <w:jc w:val="left"/>
              <w:rPr>
                <w:rFonts w:ascii="宋体" w:hAnsi="宋体" w:cs="宋体"/>
              </w:rPr>
            </w:pPr>
            <w:r>
              <w:rPr>
                <w:rFonts w:ascii="宋体" w:hAnsi="宋体" w:cs="宋体" w:hint="eastAsia"/>
              </w:rPr>
              <w:t>天线：</w:t>
            </w:r>
            <w:r>
              <w:rPr>
                <w:rFonts w:ascii="宋体" w:hAnsi="宋体" w:cs="宋体" w:hint="eastAsia"/>
              </w:rPr>
              <w:t xml:space="preserve">3x </w:t>
            </w:r>
            <w:r>
              <w:rPr>
                <w:rFonts w:ascii="宋体" w:hAnsi="宋体" w:cs="宋体" w:hint="eastAsia"/>
              </w:rPr>
              <w:t>天线连接器：</w:t>
            </w:r>
            <w:r>
              <w:rPr>
                <w:rFonts w:ascii="宋体" w:hAnsi="宋体" w:cs="宋体" w:hint="eastAsia"/>
              </w:rPr>
              <w:t>2x for 4G-LTE</w:t>
            </w:r>
            <w:r>
              <w:rPr>
                <w:rFonts w:ascii="宋体" w:hAnsi="宋体" w:cs="宋体" w:hint="eastAsia"/>
              </w:rPr>
              <w:t>，</w:t>
            </w:r>
            <w:r>
              <w:rPr>
                <w:rFonts w:ascii="宋体" w:hAnsi="宋体" w:cs="宋体" w:hint="eastAsia"/>
              </w:rPr>
              <w:t>1x for Wi-Fi</w:t>
            </w:r>
          </w:p>
          <w:p w:rsidR="005A0F0B">
            <w:pPr>
              <w:pStyle w:val="a2"/>
              <w:jc w:val="left"/>
              <w:rPr>
                <w:rFonts w:ascii="宋体" w:hAnsi="宋体" w:cs="宋体"/>
              </w:rPr>
            </w:pPr>
            <w:r>
              <w:rPr>
                <w:rFonts w:ascii="宋体" w:hAnsi="宋体" w:cs="宋体" w:hint="eastAsia"/>
              </w:rPr>
              <w:t>9</w:t>
            </w:r>
            <w:r>
              <w:rPr>
                <w:rFonts w:ascii="宋体" w:hAnsi="宋体" w:cs="宋体" w:hint="eastAsia"/>
              </w:rPr>
              <w:t>）调试端口：</w:t>
            </w:r>
            <w:r>
              <w:rPr>
                <w:rFonts w:ascii="宋体" w:hAnsi="宋体" w:cs="宋体" w:hint="eastAsia"/>
              </w:rPr>
              <w:t xml:space="preserve">1x USB Type-C </w:t>
            </w:r>
            <w:r>
              <w:rPr>
                <w:rFonts w:ascii="宋体" w:hAnsi="宋体" w:cs="宋体" w:hint="eastAsia"/>
              </w:rPr>
              <w:t>（结构内部）</w:t>
            </w:r>
          </w:p>
          <w:p w:rsidR="005A0F0B">
            <w:pPr>
              <w:pStyle w:val="a2"/>
              <w:jc w:val="left"/>
              <w:rPr>
                <w:rFonts w:ascii="宋体" w:hAnsi="宋体" w:cs="宋体"/>
              </w:rPr>
            </w:pPr>
            <w:r>
              <w:rPr>
                <w:rFonts w:ascii="宋体" w:hAnsi="宋体" w:cs="宋体" w:hint="eastAsia"/>
              </w:rPr>
              <w:t>10</w:t>
            </w:r>
            <w:r>
              <w:rPr>
                <w:rFonts w:ascii="宋体" w:hAnsi="宋体" w:cs="宋体" w:hint="eastAsia"/>
              </w:rPr>
              <w:t>）物理按钮：电源按键</w:t>
            </w:r>
          </w:p>
          <w:p w:rsidR="005A0F0B">
            <w:pPr>
              <w:pStyle w:val="a2"/>
              <w:jc w:val="left"/>
              <w:rPr>
                <w:rFonts w:ascii="宋体" w:hAnsi="宋体" w:cs="宋体"/>
              </w:rPr>
            </w:pPr>
            <w:r>
              <w:rPr>
                <w:rFonts w:ascii="宋体" w:hAnsi="宋体" w:cs="宋体" w:hint="eastAsia"/>
              </w:rPr>
              <w:t>11</w:t>
            </w:r>
            <w:r>
              <w:rPr>
                <w:rFonts w:ascii="宋体" w:hAnsi="宋体" w:cs="宋体" w:hint="eastAsia"/>
              </w:rPr>
              <w:t>）指示灯：电源</w:t>
            </w:r>
            <w:r>
              <w:rPr>
                <w:rFonts w:ascii="宋体" w:hAnsi="宋体" w:cs="宋体" w:hint="eastAsia"/>
              </w:rPr>
              <w:t>/</w:t>
            </w:r>
            <w:r>
              <w:rPr>
                <w:rFonts w:ascii="宋体" w:hAnsi="宋体" w:cs="宋体" w:hint="eastAsia"/>
              </w:rPr>
              <w:t>系统状态指示灯，</w:t>
            </w:r>
            <w:r>
              <w:rPr>
                <w:rFonts w:ascii="宋体" w:hAnsi="宋体" w:cs="宋体" w:hint="eastAsia"/>
              </w:rPr>
              <w:t>Wi-Fi</w:t>
            </w:r>
            <w:r>
              <w:rPr>
                <w:rFonts w:ascii="宋体" w:hAnsi="宋体" w:cs="宋体" w:hint="eastAsia"/>
              </w:rPr>
              <w:t>状态指示灯，</w:t>
            </w:r>
            <w:r>
              <w:rPr>
                <w:rFonts w:ascii="宋体" w:hAnsi="宋体" w:cs="宋体" w:hint="eastAsia"/>
              </w:rPr>
              <w:t>LAN</w:t>
            </w:r>
            <w:r>
              <w:rPr>
                <w:rFonts w:ascii="宋体" w:hAnsi="宋体" w:cs="宋体" w:hint="eastAsia"/>
              </w:rPr>
              <w:t>状态指示灯，</w:t>
            </w:r>
            <w:r>
              <w:rPr>
                <w:rFonts w:ascii="宋体" w:hAnsi="宋体" w:cs="宋体" w:hint="eastAsia"/>
              </w:rPr>
              <w:t>4G</w:t>
            </w:r>
            <w:r>
              <w:rPr>
                <w:rFonts w:ascii="宋体" w:hAnsi="宋体" w:cs="宋体" w:hint="eastAsia"/>
              </w:rPr>
              <w:t>网络状态指示灯。</w:t>
            </w:r>
          </w:p>
          <w:p w:rsidR="005A0F0B">
            <w:pPr>
              <w:pStyle w:val="a2"/>
              <w:jc w:val="left"/>
              <w:rPr>
                <w:rFonts w:ascii="宋体" w:hAnsi="宋体" w:cs="宋体"/>
              </w:rPr>
            </w:pPr>
            <w:r>
              <w:rPr>
                <w:rFonts w:ascii="宋体" w:hAnsi="宋体" w:cs="宋体" w:hint="eastAsia"/>
              </w:rPr>
              <w:t>12</w:t>
            </w:r>
            <w:r>
              <w:rPr>
                <w:rFonts w:ascii="宋体" w:hAnsi="宋体" w:cs="宋体" w:hint="eastAsia"/>
              </w:rPr>
              <w:t>）供电：直流输入：</w:t>
            </w:r>
            <w:r>
              <w:rPr>
                <w:rFonts w:ascii="宋体" w:hAnsi="宋体" w:cs="宋体" w:hint="eastAsia"/>
              </w:rPr>
              <w:t>12V DC</w:t>
            </w:r>
          </w:p>
          <w:p w:rsidR="005A0F0B">
            <w:pPr>
              <w:pStyle w:val="a2"/>
              <w:jc w:val="left"/>
              <w:rPr>
                <w:rFonts w:ascii="宋体" w:hAnsi="宋体" w:cs="宋体"/>
              </w:rPr>
            </w:pPr>
            <w:r>
              <w:rPr>
                <w:rFonts w:ascii="宋体" w:hAnsi="宋体" w:cs="宋体" w:hint="eastAsia"/>
              </w:rPr>
              <w:t>13</w:t>
            </w:r>
            <w:r>
              <w:rPr>
                <w:rFonts w:ascii="宋体" w:hAnsi="宋体" w:cs="宋体" w:hint="eastAsia"/>
              </w:rPr>
              <w:t>）远程升级：支持边云协同，远程</w:t>
            </w:r>
            <w:r>
              <w:rPr>
                <w:rFonts w:ascii="宋体" w:hAnsi="宋体" w:cs="宋体" w:hint="eastAsia"/>
              </w:rPr>
              <w:t>AI</w:t>
            </w:r>
            <w:r>
              <w:rPr>
                <w:rFonts w:ascii="宋体" w:hAnsi="宋体" w:cs="宋体" w:hint="eastAsia"/>
              </w:rPr>
              <w:t>算法和应用部署。</w:t>
            </w:r>
          </w:p>
          <w:p w:rsidR="005A0F0B">
            <w:pPr>
              <w:pStyle w:val="a2"/>
              <w:jc w:val="left"/>
              <w:rPr>
                <w:rFonts w:ascii="宋体" w:hAnsi="宋体" w:cs="宋体"/>
              </w:rPr>
            </w:pPr>
            <w:r>
              <w:rPr>
                <w:rFonts w:ascii="宋体" w:hAnsi="宋体" w:cs="宋体" w:hint="eastAsia"/>
              </w:rPr>
              <w:t>14</w:t>
            </w:r>
            <w:r>
              <w:rPr>
                <w:rFonts w:ascii="宋体" w:hAnsi="宋体" w:cs="宋体" w:hint="eastAsia"/>
              </w:rPr>
              <w:t>）支持与智慧安</w:t>
            </w:r>
            <w:r>
              <w:rPr>
                <w:rFonts w:ascii="宋体" w:hAnsi="宋体" w:cs="宋体" w:hint="eastAsia"/>
              </w:rPr>
              <w:t>防门对接</w:t>
            </w:r>
            <w:r>
              <w:rPr>
                <w:rFonts w:ascii="宋体" w:hAnsi="宋体" w:cs="宋体" w:hint="eastAsia"/>
              </w:rPr>
              <w:t>，实时接收门禁告警信息、视频监控信息、监控告警信息。</w:t>
            </w:r>
          </w:p>
          <w:p w:rsidR="005A0F0B">
            <w:pPr>
              <w:pStyle w:val="a2"/>
              <w:jc w:val="left"/>
              <w:rPr>
                <w:rFonts w:ascii="宋体" w:hAnsi="宋体" w:cs="宋体"/>
              </w:rPr>
            </w:pPr>
            <w:r>
              <w:rPr>
                <w:rFonts w:ascii="宋体" w:hAnsi="宋体" w:cs="宋体" w:hint="eastAsia"/>
              </w:rPr>
              <w:t>15</w:t>
            </w:r>
            <w:r>
              <w:rPr>
                <w:rFonts w:ascii="宋体" w:hAnsi="宋体" w:cs="宋体" w:hint="eastAsia"/>
              </w:rPr>
              <w:t>）认证信息：</w:t>
            </w:r>
            <w:r>
              <w:rPr>
                <w:rFonts w:ascii="宋体" w:hAnsi="宋体" w:cs="宋体" w:hint="eastAsia"/>
              </w:rPr>
              <w:t>CE</w:t>
            </w:r>
            <w:r>
              <w:rPr>
                <w:rFonts w:ascii="宋体" w:hAnsi="宋体" w:cs="宋体" w:hint="eastAsia"/>
              </w:rPr>
              <w:t>，</w:t>
            </w:r>
            <w:r>
              <w:rPr>
                <w:rFonts w:ascii="宋体" w:hAnsi="宋体" w:cs="宋体" w:hint="eastAsia"/>
              </w:rPr>
              <w:t>FCC</w:t>
            </w:r>
            <w:r>
              <w:rPr>
                <w:rFonts w:ascii="宋体" w:hAnsi="宋体" w:cs="宋体" w:hint="eastAsia"/>
              </w:rPr>
              <w:t>，</w:t>
            </w:r>
            <w:r>
              <w:rPr>
                <w:rFonts w:ascii="宋体" w:hAnsi="宋体" w:cs="宋体" w:hint="eastAsia"/>
              </w:rPr>
              <w:t>JATE/TELEC</w:t>
            </w:r>
            <w:r>
              <w:rPr>
                <w:rFonts w:ascii="宋体" w:hAnsi="宋体" w:cs="宋体" w:hint="eastAsia"/>
              </w:rPr>
              <w:t>，</w:t>
            </w:r>
            <w:r>
              <w:rPr>
                <w:rFonts w:ascii="宋体" w:hAnsi="宋体" w:cs="宋体" w:hint="eastAsia"/>
              </w:rPr>
              <w:t>CCC/SRRC</w:t>
            </w:r>
            <w:r>
              <w:rPr>
                <w:rFonts w:ascii="宋体" w:hAnsi="宋体" w:cs="宋体" w:hint="eastAsia"/>
              </w:rPr>
              <w:t>，</w:t>
            </w:r>
            <w:r>
              <w:rPr>
                <w:rFonts w:ascii="宋体" w:hAnsi="宋体" w:cs="宋体" w:hint="eastAsia"/>
              </w:rPr>
              <w:t>RoHS/Reach/WEEE</w:t>
            </w:r>
          </w:p>
          <w:p w:rsidR="005A0F0B">
            <w:pPr>
              <w:pStyle w:val="a2"/>
              <w:jc w:val="left"/>
              <w:rPr>
                <w:rFonts w:ascii="宋体" w:hAnsi="宋体" w:cs="宋体"/>
              </w:rPr>
            </w:pPr>
            <w:r>
              <w:rPr>
                <w:rFonts w:ascii="宋体" w:hAnsi="宋体" w:cs="宋体" w:hint="eastAsia"/>
              </w:rPr>
              <w:t>16</w:t>
            </w:r>
            <w:r>
              <w:rPr>
                <w:rFonts w:ascii="宋体" w:hAnsi="宋体" w:cs="宋体" w:hint="eastAsia"/>
              </w:rPr>
              <w:t>）安装方式：</w:t>
            </w:r>
            <w:r>
              <w:rPr>
                <w:rFonts w:ascii="宋体" w:hAnsi="宋体" w:cs="宋体" w:hint="eastAsia"/>
              </w:rPr>
              <w:t>须支持</w:t>
            </w:r>
            <w:r>
              <w:rPr>
                <w:rFonts w:ascii="宋体" w:hAnsi="宋体" w:cs="宋体" w:hint="eastAsia"/>
              </w:rPr>
              <w:t>桌面安装和上墙安装</w:t>
            </w:r>
          </w:p>
          <w:p w:rsidR="005A0F0B">
            <w:pPr>
              <w:pStyle w:val="a2"/>
              <w:jc w:val="left"/>
              <w:rPr>
                <w:rFonts w:ascii="宋体" w:hAnsi="宋体" w:cs="宋体"/>
              </w:rPr>
            </w:pPr>
            <w:r>
              <w:rPr>
                <w:rFonts w:ascii="宋体" w:hAnsi="宋体" w:cs="宋体" w:hint="eastAsia"/>
              </w:rPr>
              <w:t>17</w:t>
            </w:r>
            <w:r>
              <w:rPr>
                <w:rFonts w:ascii="宋体" w:hAnsi="宋体" w:cs="宋体" w:hint="eastAsia"/>
              </w:rPr>
              <w:t>）环境适应</w:t>
            </w:r>
            <w:r>
              <w:rPr>
                <w:rFonts w:ascii="宋体" w:hAnsi="宋体" w:cs="宋体" w:hint="eastAsia"/>
              </w:rPr>
              <w:t>性指标：</w:t>
            </w:r>
          </w:p>
          <w:p w:rsidR="005A0F0B">
            <w:pPr>
              <w:pStyle w:val="a2"/>
              <w:jc w:val="left"/>
              <w:rPr>
                <w:rFonts w:ascii="宋体" w:hAnsi="宋体" w:cs="宋体"/>
              </w:rPr>
            </w:pPr>
            <w:r>
              <w:rPr>
                <w:rFonts w:ascii="宋体" w:hAnsi="宋体" w:cs="宋体" w:hint="eastAsia"/>
              </w:rPr>
              <w:t>工作温度：</w:t>
            </w:r>
            <w:r>
              <w:rPr>
                <w:rFonts w:ascii="宋体" w:hAnsi="宋体" w:cs="宋体" w:hint="eastAsia"/>
              </w:rPr>
              <w:t>-20</w:t>
            </w:r>
            <w:r>
              <w:rPr>
                <w:rFonts w:ascii="宋体" w:hAnsi="宋体" w:cs="宋体" w:hint="eastAsia"/>
              </w:rPr>
              <w:t>～</w:t>
            </w:r>
            <w:r>
              <w:rPr>
                <w:rFonts w:ascii="宋体" w:hAnsi="宋体" w:cs="宋体" w:hint="eastAsia"/>
              </w:rPr>
              <w:t>+60</w:t>
            </w:r>
            <w:r>
              <w:rPr>
                <w:rFonts w:ascii="宋体" w:hAnsi="宋体" w:cs="宋体" w:hint="eastAsia"/>
              </w:rPr>
              <w:t>℃</w:t>
            </w:r>
          </w:p>
          <w:p w:rsidR="005A0F0B">
            <w:pPr>
              <w:pStyle w:val="a2"/>
              <w:jc w:val="left"/>
              <w:rPr>
                <w:rFonts w:ascii="宋体" w:hAnsi="宋体" w:cs="宋体"/>
              </w:rPr>
            </w:pPr>
            <w:r>
              <w:rPr>
                <w:rFonts w:ascii="宋体" w:hAnsi="宋体" w:cs="宋体" w:hint="eastAsia"/>
              </w:rPr>
              <w:t>存储温度：</w:t>
            </w:r>
            <w:r>
              <w:rPr>
                <w:rFonts w:ascii="宋体" w:hAnsi="宋体" w:cs="宋体" w:hint="eastAsia"/>
              </w:rPr>
              <w:t>-30</w:t>
            </w:r>
            <w:r>
              <w:rPr>
                <w:rFonts w:ascii="宋体" w:hAnsi="宋体" w:cs="宋体" w:hint="eastAsia"/>
              </w:rPr>
              <w:t>～</w:t>
            </w:r>
            <w:r>
              <w:rPr>
                <w:rFonts w:ascii="宋体" w:hAnsi="宋体" w:cs="宋体" w:hint="eastAsia"/>
              </w:rPr>
              <w:t>+70</w:t>
            </w:r>
            <w:r>
              <w:rPr>
                <w:rFonts w:ascii="宋体" w:hAnsi="宋体" w:cs="宋体" w:hint="eastAsia"/>
              </w:rPr>
              <w:t>℃</w:t>
            </w:r>
          </w:p>
          <w:p w:rsidR="005A0F0B">
            <w:pPr>
              <w:pStyle w:val="a2"/>
              <w:jc w:val="left"/>
              <w:rPr>
                <w:rFonts w:ascii="宋体" w:hAnsi="宋体" w:cs="宋体"/>
              </w:rPr>
            </w:pPr>
            <w:r>
              <w:rPr>
                <w:rFonts w:ascii="宋体" w:hAnsi="宋体" w:cs="宋体" w:hint="eastAsia"/>
              </w:rPr>
              <w:t>工作湿度：</w:t>
            </w:r>
            <w:r>
              <w:rPr>
                <w:rFonts w:ascii="宋体" w:hAnsi="宋体" w:cs="宋体" w:hint="eastAsia"/>
              </w:rPr>
              <w:t>5%</w:t>
            </w:r>
            <w:r>
              <w:rPr>
                <w:rFonts w:ascii="宋体" w:hAnsi="宋体" w:cs="宋体" w:hint="eastAsia"/>
              </w:rPr>
              <w:t>～</w:t>
            </w:r>
            <w:r>
              <w:rPr>
                <w:rFonts w:ascii="宋体" w:hAnsi="宋体" w:cs="宋体" w:hint="eastAsia"/>
              </w:rPr>
              <w:t>95%</w:t>
            </w:r>
            <w:r>
              <w:rPr>
                <w:rFonts w:ascii="宋体" w:hAnsi="宋体" w:cs="宋体" w:hint="eastAsia"/>
              </w:rPr>
              <w:t>（</w:t>
            </w:r>
            <w:r>
              <w:rPr>
                <w:rFonts w:ascii="宋体" w:hAnsi="宋体" w:cs="宋体" w:hint="eastAsia"/>
              </w:rPr>
              <w:t>RH</w:t>
            </w:r>
            <w:r>
              <w:rPr>
                <w:rFonts w:ascii="宋体" w:hAnsi="宋体" w:cs="宋体" w:hint="eastAsia"/>
              </w:rPr>
              <w:t>，无凝结）</w:t>
            </w:r>
          </w:p>
          <w:p w:rsidR="005A0F0B">
            <w:pPr>
              <w:pStyle w:val="a2"/>
              <w:jc w:val="left"/>
              <w:rPr>
                <w:rFonts w:ascii="宋体" w:hAnsi="宋体" w:cs="宋体"/>
              </w:rPr>
            </w:pPr>
            <w:r>
              <w:rPr>
                <w:rFonts w:ascii="宋体" w:hAnsi="宋体" w:cs="宋体" w:hint="eastAsia"/>
              </w:rPr>
              <w:t>存储湿度：</w:t>
            </w:r>
            <w:r>
              <w:rPr>
                <w:rFonts w:ascii="宋体" w:hAnsi="宋体" w:cs="宋体" w:hint="eastAsia"/>
              </w:rPr>
              <w:t>5%</w:t>
            </w:r>
            <w:r>
              <w:rPr>
                <w:rFonts w:ascii="宋体" w:hAnsi="宋体" w:cs="宋体" w:hint="eastAsia"/>
              </w:rPr>
              <w:t>～</w:t>
            </w:r>
            <w:r>
              <w:rPr>
                <w:rFonts w:ascii="宋体" w:hAnsi="宋体" w:cs="宋体" w:hint="eastAsia"/>
              </w:rPr>
              <w:t>95%</w:t>
            </w:r>
            <w:r>
              <w:rPr>
                <w:rFonts w:ascii="宋体" w:hAnsi="宋体" w:cs="宋体" w:hint="eastAsia"/>
              </w:rPr>
              <w:t>（</w:t>
            </w:r>
            <w:r>
              <w:rPr>
                <w:rFonts w:ascii="宋体" w:hAnsi="宋体" w:cs="宋体" w:hint="eastAsia"/>
              </w:rPr>
              <w:t>RH</w:t>
            </w:r>
            <w:r>
              <w:rPr>
                <w:rFonts w:ascii="宋体" w:hAnsi="宋体" w:cs="宋体" w:hint="eastAsia"/>
              </w:rPr>
              <w:t>，无凝结）</w:t>
            </w:r>
          </w:p>
          <w:p w:rsidR="005A0F0B">
            <w:pPr>
              <w:pStyle w:val="a2"/>
              <w:jc w:val="left"/>
              <w:rPr>
                <w:rFonts w:ascii="宋体" w:hAnsi="宋体" w:cs="宋体"/>
              </w:rPr>
            </w:pPr>
            <w:r>
              <w:rPr>
                <w:rFonts w:ascii="宋体" w:hAnsi="宋体" w:cs="宋体" w:hint="eastAsia"/>
              </w:rPr>
              <w:t>防护等级：</w:t>
            </w:r>
            <w:r>
              <w:rPr>
                <w:rFonts w:ascii="宋体" w:hAnsi="宋体" w:cs="宋体" w:hint="eastAsia"/>
              </w:rPr>
              <w:t>IP40</w:t>
            </w:r>
          </w:p>
          <w:p w:rsidR="005A0F0B">
            <w:pPr>
              <w:pStyle w:val="a2"/>
              <w:jc w:val="left"/>
              <w:rPr>
                <w:rFonts w:ascii="宋体" w:hAnsi="宋体" w:cs="宋体"/>
              </w:rPr>
            </w:pPr>
            <w:r>
              <w:rPr>
                <w:rFonts w:ascii="宋体" w:hAnsi="宋体" w:cs="宋体" w:hint="eastAsia"/>
              </w:rPr>
              <w:t>18</w:t>
            </w:r>
            <w:r>
              <w:rPr>
                <w:rFonts w:ascii="宋体" w:hAnsi="宋体" w:cs="宋体" w:hint="eastAsia"/>
              </w:rPr>
              <w:t>）结构尺寸：≤</w:t>
            </w:r>
            <w:r>
              <w:rPr>
                <w:rFonts w:ascii="宋体" w:hAnsi="宋体" w:cs="宋体" w:hint="eastAsia"/>
              </w:rPr>
              <w:t>170mm</w:t>
            </w:r>
            <w:r>
              <w:rPr>
                <w:rFonts w:ascii="宋体" w:hAnsi="宋体" w:cs="宋体" w:hint="eastAsia"/>
              </w:rPr>
              <w:t>×</w:t>
            </w:r>
            <w:r>
              <w:rPr>
                <w:rFonts w:ascii="宋体" w:hAnsi="宋体" w:cs="宋体" w:hint="eastAsia"/>
              </w:rPr>
              <w:t>110mm</w:t>
            </w:r>
            <w:r>
              <w:rPr>
                <w:rFonts w:ascii="宋体" w:hAnsi="宋体" w:cs="宋体" w:hint="eastAsia"/>
              </w:rPr>
              <w:t>×</w:t>
            </w:r>
            <w:r>
              <w:rPr>
                <w:rFonts w:ascii="宋体" w:hAnsi="宋体" w:cs="宋体" w:hint="eastAsia"/>
              </w:rPr>
              <w:t>50mm</w:t>
            </w:r>
          </w:p>
          <w:p w:rsidR="005A0F0B">
            <w:pPr>
              <w:pStyle w:val="a2"/>
              <w:jc w:val="left"/>
              <w:rPr>
                <w:rFonts w:ascii="宋体" w:hAnsi="宋体" w:cs="宋体"/>
              </w:rPr>
            </w:pPr>
            <w:r>
              <w:rPr>
                <w:rFonts w:ascii="宋体" w:hAnsi="宋体" w:cs="宋体" w:hint="eastAsia"/>
              </w:rPr>
              <w:t>19</w:t>
            </w:r>
            <w:r>
              <w:rPr>
                <w:rFonts w:ascii="宋体" w:hAnsi="宋体" w:cs="宋体" w:hint="eastAsia"/>
              </w:rPr>
              <w:t>）重量：设备主体：≤</w:t>
            </w:r>
            <w:r>
              <w:rPr>
                <w:rFonts w:ascii="宋体" w:hAnsi="宋体" w:cs="宋体" w:hint="eastAsia"/>
              </w:rPr>
              <w:t>1650g</w:t>
            </w:r>
            <w:r>
              <w:rPr>
                <w:rFonts w:ascii="宋体" w:hAnsi="宋体" w:cs="宋体" w:hint="eastAsia"/>
              </w:rPr>
              <w:t>；典型功耗：≤</w:t>
            </w:r>
            <w:r>
              <w:rPr>
                <w:rFonts w:ascii="宋体" w:hAnsi="宋体" w:cs="宋体" w:hint="eastAsia"/>
              </w:rPr>
              <w:t>9W</w:t>
            </w:r>
            <w:r>
              <w:rPr>
                <w:rFonts w:ascii="宋体" w:hAnsi="宋体" w:cs="宋体" w:hint="eastAsia"/>
              </w:rPr>
              <w:t>；最大功耗：≤</w:t>
            </w:r>
            <w:r>
              <w:rPr>
                <w:rFonts w:ascii="宋体" w:hAnsi="宋体" w:cs="宋体" w:hint="eastAsia"/>
              </w:rPr>
              <w:t>25W</w:t>
            </w:r>
          </w:p>
          <w:p w:rsidR="005A0F0B">
            <w:pPr>
              <w:pStyle w:val="a2"/>
              <w:jc w:val="left"/>
              <w:rPr>
                <w:rFonts w:ascii="宋体" w:hAnsi="宋体" w:cs="宋体"/>
              </w:rPr>
            </w:pPr>
            <w:r>
              <w:rPr>
                <w:rFonts w:ascii="宋体" w:hAnsi="宋体" w:cs="宋体"/>
              </w:rPr>
              <w:t>2</w:t>
            </w:r>
            <w:r>
              <w:rPr>
                <w:rFonts w:ascii="宋体" w:hAnsi="宋体" w:cs="宋体" w:hint="eastAsia"/>
              </w:rPr>
              <w:t>0</w:t>
            </w:r>
            <w:r>
              <w:rPr>
                <w:rFonts w:ascii="宋体" w:hAnsi="宋体" w:cs="宋体" w:hint="eastAsia"/>
              </w:rPr>
              <w:t>）功耗：≤</w:t>
            </w:r>
            <w:r>
              <w:rPr>
                <w:rFonts w:ascii="宋体" w:hAnsi="宋体" w:cs="宋体" w:hint="eastAsia"/>
              </w:rPr>
              <w:t>25W</w:t>
            </w:r>
          </w:p>
          <w:p w:rsidR="005A0F0B">
            <w:pPr>
              <w:pStyle w:val="a2"/>
              <w:jc w:val="left"/>
              <w:rPr>
                <w:rFonts w:ascii="宋体" w:eastAsia="宋体" w:hAnsi="宋体" w:cs="宋体"/>
              </w:rPr>
            </w:pPr>
            <w:r>
              <w:rPr>
                <w:rFonts w:ascii="宋体" w:hAnsi="宋体" w:cs="宋体" w:hint="eastAsia"/>
              </w:rPr>
              <w:t>21</w:t>
            </w:r>
            <w:r>
              <w:rPr>
                <w:rFonts w:ascii="宋体" w:hAnsi="宋体" w:cs="宋体" w:hint="eastAsia"/>
              </w:rPr>
              <w:t>）</w:t>
            </w:r>
            <w:r>
              <w:rPr>
                <w:rFonts w:ascii="宋体" w:hAnsi="宋体" w:cs="宋体" w:hint="eastAsia"/>
              </w:rPr>
              <w:t>须支持</w:t>
            </w:r>
            <w:r>
              <w:rPr>
                <w:rFonts w:ascii="宋体" w:hAnsi="宋体" w:cs="宋体" w:hint="eastAsia"/>
              </w:rPr>
              <w:t>对接人影作业点监控设备，通过内置的违规行为智能识别算法重点进行人影作业现场违规行为识别，并通过对接省级国省一体化人影综合业务平台实现省、市、县作业点联动告警，实现人影作业安全的三级监管。</w:t>
            </w:r>
          </w:p>
        </w:tc>
        <w:tc>
          <w:tcPr>
            <w:tcW w:w="364"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154</w:t>
            </w:r>
          </w:p>
        </w:tc>
        <w:tc>
          <w:tcPr>
            <w:tcW w:w="396"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台</w:t>
            </w:r>
          </w:p>
        </w:tc>
        <w:tc>
          <w:tcPr>
            <w:tcW w:w="512"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每个作业点</w:t>
            </w:r>
            <w:r>
              <w:rPr>
                <w:rFonts w:ascii="宋体" w:hAnsi="宋体" w:cs="宋体" w:hint="eastAsia"/>
              </w:rPr>
              <w:t>1</w:t>
            </w:r>
            <w:r>
              <w:rPr>
                <w:rFonts w:ascii="宋体" w:hAnsi="宋体" w:cs="宋体" w:hint="eastAsia"/>
              </w:rPr>
              <w:t>台</w:t>
            </w:r>
          </w:p>
        </w:tc>
      </w:tr>
      <w:tr>
        <w:tblPrEx>
          <w:tblW w:w="5027" w:type="pct"/>
          <w:jc w:val="center"/>
          <w:tblLayout w:type="fixed"/>
          <w:tblLook w:val="04A0"/>
        </w:tblPrEx>
        <w:trPr>
          <w:jc w:val="center"/>
        </w:trPr>
        <w:tc>
          <w:tcPr>
            <w:tcW w:w="365"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hAnsi="宋体" w:cs="宋体"/>
              </w:rPr>
            </w:pPr>
            <w:r>
              <w:rPr>
                <w:rFonts w:ascii="宋体" w:hAnsi="宋体" w:cs="宋体" w:hint="eastAsia"/>
              </w:rPr>
              <w:t>4</w:t>
            </w:r>
          </w:p>
        </w:tc>
        <w:tc>
          <w:tcPr>
            <w:tcW w:w="607"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r>
              <w:rPr>
                <w:rFonts w:ascii="宋体" w:hAnsi="宋体" w:cs="宋体" w:hint="eastAsia"/>
              </w:rPr>
              <w:t>线缆</w:t>
            </w:r>
          </w:p>
        </w:tc>
        <w:tc>
          <w:tcPr>
            <w:tcW w:w="2755" w:type="pct"/>
            <w:tcBorders>
              <w:top w:val="single" w:sz="4" w:space="0" w:color="auto"/>
              <w:left w:val="single" w:sz="4" w:space="0" w:color="auto"/>
              <w:bottom w:val="single" w:sz="4" w:space="0" w:color="auto"/>
              <w:right w:val="single" w:sz="4" w:space="0" w:color="auto"/>
            </w:tcBorders>
            <w:vAlign w:val="center"/>
          </w:tcPr>
          <w:p w:rsidR="005A0F0B">
            <w:pPr>
              <w:pStyle w:val="a2"/>
              <w:jc w:val="left"/>
              <w:rPr>
                <w:rFonts w:ascii="宋体" w:eastAsia="宋体" w:hAnsi="宋体" w:cs="宋体"/>
              </w:rPr>
            </w:pPr>
            <w:r>
              <w:rPr>
                <w:rFonts w:ascii="宋体" w:hAnsi="宋体" w:cs="宋体" w:hint="eastAsia"/>
              </w:rPr>
              <w:t>网线选用超五类以上。</w:t>
            </w:r>
          </w:p>
        </w:tc>
        <w:tc>
          <w:tcPr>
            <w:tcW w:w="364"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p>
        </w:tc>
        <w:tc>
          <w:tcPr>
            <w:tcW w:w="396"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p>
        </w:tc>
        <w:tc>
          <w:tcPr>
            <w:tcW w:w="512" w:type="pct"/>
            <w:tcBorders>
              <w:top w:val="single" w:sz="4" w:space="0" w:color="auto"/>
              <w:left w:val="single" w:sz="4" w:space="0" w:color="auto"/>
              <w:bottom w:val="single" w:sz="4" w:space="0" w:color="auto"/>
              <w:right w:val="single" w:sz="4" w:space="0" w:color="auto"/>
            </w:tcBorders>
            <w:vAlign w:val="center"/>
          </w:tcPr>
          <w:p w:rsidR="005A0F0B">
            <w:pPr>
              <w:pStyle w:val="a2"/>
              <w:jc w:val="center"/>
              <w:rPr>
                <w:rFonts w:ascii="宋体" w:eastAsia="宋体" w:hAnsi="宋体" w:cs="宋体"/>
              </w:rPr>
            </w:pPr>
          </w:p>
        </w:tc>
      </w:tr>
    </w:tbl>
    <w:p w:rsidR="005A0F0B">
      <w:pPr>
        <w:spacing w:line="360" w:lineRule="auto"/>
        <w:ind w:firstLine="420" w:firstLineChars="200"/>
        <w:jc w:val="center"/>
        <w:rPr>
          <w:rFonts w:ascii="宋体" w:hAnsi="宋体"/>
          <w:szCs w:val="21"/>
        </w:rPr>
      </w:pPr>
    </w:p>
    <w:p w:rsidR="005A0F0B">
      <w:pPr>
        <w:spacing w:line="360" w:lineRule="auto"/>
        <w:ind w:firstLine="420" w:firstLineChars="200"/>
        <w:jc w:val="center"/>
        <w:rPr>
          <w:rFonts w:ascii="宋体" w:hAnsi="宋体"/>
          <w:szCs w:val="21"/>
          <w:highlight w:val="yellow"/>
        </w:rPr>
      </w:pPr>
      <w:r>
        <w:rPr>
          <w:rFonts w:ascii="宋体" w:hAnsi="宋体"/>
          <w:szCs w:val="21"/>
        </w:rPr>
        <w:t>表</w:t>
      </w:r>
      <w:r>
        <w:rPr>
          <w:rFonts w:ascii="宋体" w:hAnsi="宋体" w:hint="eastAsia"/>
          <w:szCs w:val="21"/>
        </w:rPr>
        <w:t>3</w:t>
      </w:r>
      <w:r>
        <w:rPr>
          <w:rFonts w:ascii="宋体" w:hAnsi="宋体" w:hint="eastAsia"/>
          <w:szCs w:val="21"/>
        </w:rPr>
        <w:t>高炮作业安全监控终端</w:t>
      </w:r>
      <w:r>
        <w:rPr>
          <w:rFonts w:ascii="宋体" w:hAnsi="宋体"/>
          <w:szCs w:val="21"/>
        </w:rPr>
        <w:t>技术性能配置参数</w:t>
      </w:r>
    </w:p>
    <w:tbl>
      <w:tblPr>
        <w:tblStyle w:val="TableNormal"/>
        <w:tblW w:w="5003"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
      <w:tblGrid>
        <w:gridCol w:w="652"/>
        <w:gridCol w:w="1579"/>
        <w:gridCol w:w="2408"/>
        <w:gridCol w:w="3888"/>
      </w:tblGrid>
      <w:tr>
        <w:tblPrEx>
          <w:tblW w:w="5003"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tblPrEx>
        <w:trPr>
          <w:trHeight w:val="523"/>
          <w:jc w:val="center"/>
        </w:trPr>
        <w:tc>
          <w:tcPr>
            <w:tcW w:w="382" w:type="pct"/>
            <w:tcBorders>
              <w:bottom w:val="single" w:sz="4" w:space="0" w:color="auto"/>
            </w:tcBorders>
            <w:vAlign w:val="center"/>
          </w:tcPr>
          <w:p w:rsidR="005A0F0B">
            <w:pPr>
              <w:widowControl/>
              <w:adjustRightInd w:val="0"/>
              <w:jc w:val="center"/>
              <w:rPr>
                <w:rFonts w:ascii="Calibri" w:hAnsi="Calibri"/>
                <w:b/>
                <w:bCs/>
                <w:szCs w:val="21"/>
              </w:rPr>
            </w:pPr>
            <w:r>
              <w:rPr>
                <w:rFonts w:ascii="Calibri" w:hAnsi="Calibri"/>
                <w:b/>
                <w:bCs/>
                <w:szCs w:val="21"/>
              </w:rPr>
              <w:t>序号</w:t>
            </w:r>
          </w:p>
        </w:tc>
        <w:tc>
          <w:tcPr>
            <w:tcW w:w="926" w:type="pct"/>
            <w:vAlign w:val="center"/>
          </w:tcPr>
          <w:p w:rsidR="005A0F0B">
            <w:pPr>
              <w:widowControl/>
              <w:adjustRightInd w:val="0"/>
              <w:jc w:val="center"/>
              <w:rPr>
                <w:rFonts w:ascii="Calibri" w:hAnsi="Calibri"/>
                <w:b/>
                <w:bCs/>
                <w:szCs w:val="21"/>
              </w:rPr>
            </w:pPr>
            <w:r>
              <w:rPr>
                <w:rFonts w:ascii="Calibri" w:hAnsi="Calibri"/>
                <w:b/>
                <w:bCs/>
                <w:szCs w:val="21"/>
              </w:rPr>
              <w:t>类别</w:t>
            </w:r>
          </w:p>
        </w:tc>
        <w:tc>
          <w:tcPr>
            <w:tcW w:w="1411" w:type="pct"/>
            <w:vAlign w:val="center"/>
          </w:tcPr>
          <w:p w:rsidR="005A0F0B">
            <w:pPr>
              <w:widowControl/>
              <w:adjustRightInd w:val="0"/>
              <w:jc w:val="center"/>
              <w:rPr>
                <w:rFonts w:ascii="Calibri" w:hAnsi="Calibri"/>
                <w:b/>
                <w:bCs/>
                <w:szCs w:val="21"/>
              </w:rPr>
            </w:pPr>
            <w:r>
              <w:rPr>
                <w:rFonts w:ascii="Calibri" w:hAnsi="Calibri"/>
                <w:b/>
                <w:bCs/>
                <w:szCs w:val="21"/>
              </w:rPr>
              <w:t>指标</w:t>
            </w:r>
          </w:p>
        </w:tc>
        <w:tc>
          <w:tcPr>
            <w:tcW w:w="2279" w:type="pct"/>
            <w:vAlign w:val="center"/>
          </w:tcPr>
          <w:p w:rsidR="005A0F0B">
            <w:pPr>
              <w:widowControl/>
              <w:adjustRightInd w:val="0"/>
              <w:jc w:val="center"/>
              <w:rPr>
                <w:rFonts w:ascii="Calibri" w:hAnsi="Calibri"/>
                <w:b/>
                <w:bCs/>
                <w:szCs w:val="21"/>
              </w:rPr>
            </w:pPr>
            <w:r>
              <w:rPr>
                <w:rFonts w:ascii="Calibri" w:hAnsi="Calibri"/>
                <w:b/>
                <w:bCs/>
                <w:szCs w:val="21"/>
              </w:rPr>
              <w:t>参数</w:t>
            </w:r>
          </w:p>
        </w:tc>
      </w:tr>
      <w:tr>
        <w:tblPrEx>
          <w:tblW w:w="5003" w:type="pct"/>
          <w:jc w:val="center"/>
          <w:tblLook w:val="04A0"/>
        </w:tblPrEx>
        <w:trPr>
          <w:trHeight w:val="735"/>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w:t>
            </w:r>
          </w:p>
        </w:tc>
        <w:tc>
          <w:tcPr>
            <w:tcW w:w="926" w:type="pct"/>
            <w:vMerge w:val="restart"/>
            <w:tcBorders>
              <w:left w:val="single" w:sz="4" w:space="0" w:color="auto"/>
              <w:bottom w:val="nil"/>
            </w:tcBorders>
            <w:vAlign w:val="center"/>
          </w:tcPr>
          <w:p w:rsidR="005A0F0B">
            <w:pPr>
              <w:widowControl/>
              <w:adjustRightInd w:val="0"/>
              <w:jc w:val="left"/>
              <w:rPr>
                <w:rFonts w:ascii="Calibri" w:hAnsi="Calibri"/>
                <w:szCs w:val="21"/>
              </w:rPr>
            </w:pPr>
            <w:r>
              <w:rPr>
                <w:rFonts w:ascii="Calibri" w:hAnsi="Calibri"/>
                <w:szCs w:val="21"/>
              </w:rPr>
              <w:t>通信</w:t>
            </w:r>
          </w:p>
        </w:tc>
        <w:tc>
          <w:tcPr>
            <w:tcW w:w="1411" w:type="pct"/>
            <w:vAlign w:val="center"/>
          </w:tcPr>
          <w:p w:rsidR="005A0F0B">
            <w:pPr>
              <w:widowControl/>
              <w:adjustRightInd w:val="0"/>
              <w:jc w:val="left"/>
              <w:rPr>
                <w:rFonts w:ascii="Calibri" w:hAnsi="Calibri"/>
                <w:szCs w:val="21"/>
              </w:rPr>
            </w:pPr>
            <w:r>
              <w:rPr>
                <w:b/>
                <w:bCs/>
                <w:szCs w:val="21"/>
              </w:rPr>
              <w:t>▲</w:t>
            </w:r>
            <w:r>
              <w:rPr>
                <w:rFonts w:ascii="Calibri" w:hAnsi="Calibri"/>
                <w:szCs w:val="21"/>
              </w:rPr>
              <w:t>北斗卫星通信</w:t>
            </w:r>
          </w:p>
        </w:tc>
        <w:tc>
          <w:tcPr>
            <w:tcW w:w="2279" w:type="pct"/>
            <w:vAlign w:val="center"/>
          </w:tcPr>
          <w:p w:rsidR="005A0F0B">
            <w:pPr>
              <w:widowControl/>
              <w:adjustRightInd w:val="0"/>
              <w:jc w:val="left"/>
              <w:rPr>
                <w:rFonts w:ascii="Calibri" w:hAnsi="Calibri"/>
                <w:szCs w:val="21"/>
              </w:rPr>
            </w:pPr>
            <w:r>
              <w:rPr>
                <w:rFonts w:ascii="Calibri" w:hAnsi="Calibri"/>
                <w:szCs w:val="21"/>
              </w:rPr>
              <w:t>支持北斗三</w:t>
            </w:r>
            <w:r>
              <w:rPr>
                <w:rFonts w:ascii="Calibri" w:hAnsi="Calibri"/>
                <w:szCs w:val="21"/>
              </w:rPr>
              <w:t>号区域短</w:t>
            </w:r>
            <w:r>
              <w:rPr>
                <w:rFonts w:ascii="Calibri" w:hAnsi="Calibri"/>
                <w:szCs w:val="21"/>
              </w:rPr>
              <w:t>报文通信，通信等级</w:t>
            </w:r>
            <w:r>
              <w:rPr>
                <w:rFonts w:ascii="Calibri" w:hAnsi="Calibri"/>
                <w:szCs w:val="21"/>
              </w:rPr>
              <w:t>5</w:t>
            </w:r>
            <w:r>
              <w:rPr>
                <w:rFonts w:ascii="Calibri" w:hAnsi="Calibri"/>
                <w:szCs w:val="21"/>
              </w:rPr>
              <w:t>级（</w:t>
            </w:r>
            <w:r>
              <w:rPr>
                <w:rFonts w:ascii="Calibri" w:hAnsi="Calibri"/>
                <w:szCs w:val="21"/>
              </w:rPr>
              <w:t>1000</w:t>
            </w:r>
            <w:r>
              <w:rPr>
                <w:rFonts w:ascii="Calibri" w:hAnsi="Calibri"/>
                <w:szCs w:val="21"/>
              </w:rPr>
              <w:t>汉字）</w:t>
            </w:r>
          </w:p>
        </w:tc>
      </w:tr>
      <w:tr>
        <w:tblPrEx>
          <w:tblW w:w="5003" w:type="pct"/>
          <w:jc w:val="center"/>
          <w:tblLook w:val="04A0"/>
        </w:tblPrEx>
        <w:trPr>
          <w:trHeight w:val="518"/>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2</w:t>
            </w:r>
          </w:p>
        </w:tc>
        <w:tc>
          <w:tcPr>
            <w:tcW w:w="926" w:type="pct"/>
            <w:vMerge/>
            <w:tcBorders>
              <w:top w:val="nil"/>
              <w:left w:val="single" w:sz="4" w:space="0" w:color="auto"/>
              <w:bottom w:val="nil"/>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4G</w:t>
            </w:r>
          </w:p>
        </w:tc>
        <w:tc>
          <w:tcPr>
            <w:tcW w:w="2279" w:type="pct"/>
            <w:vAlign w:val="center"/>
          </w:tcPr>
          <w:p w:rsidR="005A0F0B">
            <w:pPr>
              <w:widowControl/>
              <w:adjustRightInd w:val="0"/>
              <w:jc w:val="left"/>
              <w:rPr>
                <w:rFonts w:ascii="Calibri" w:hAnsi="Calibri"/>
                <w:szCs w:val="21"/>
              </w:rPr>
            </w:pPr>
            <w:r>
              <w:rPr>
                <w:rFonts w:ascii="Calibri" w:hAnsi="Calibri"/>
                <w:szCs w:val="21"/>
              </w:rPr>
              <w:t>支持国内运营商</w:t>
            </w:r>
            <w:r>
              <w:rPr>
                <w:rFonts w:ascii="Calibri" w:hAnsi="Calibri"/>
                <w:szCs w:val="21"/>
              </w:rPr>
              <w:t>4G</w:t>
            </w:r>
            <w:r>
              <w:rPr>
                <w:rFonts w:ascii="Calibri" w:hAnsi="Calibri"/>
                <w:szCs w:val="21"/>
              </w:rPr>
              <w:t>卡，电信、移动、联通、广电等</w:t>
            </w:r>
          </w:p>
        </w:tc>
      </w:tr>
      <w:tr>
        <w:tblPrEx>
          <w:tblW w:w="5003" w:type="pct"/>
          <w:jc w:val="center"/>
          <w:tblLook w:val="04A0"/>
        </w:tblPrEx>
        <w:trPr>
          <w:trHeight w:val="518"/>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3</w:t>
            </w:r>
          </w:p>
        </w:tc>
        <w:tc>
          <w:tcPr>
            <w:tcW w:w="926" w:type="pct"/>
            <w:vMerge/>
            <w:tcBorders>
              <w:top w:val="nil"/>
              <w:left w:val="single" w:sz="4" w:space="0" w:color="auto"/>
              <w:bottom w:val="nil"/>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Wi-Fi</w:t>
            </w:r>
          </w:p>
        </w:tc>
        <w:tc>
          <w:tcPr>
            <w:tcW w:w="2279" w:type="pct"/>
            <w:vAlign w:val="center"/>
          </w:tcPr>
          <w:p w:rsidR="005A0F0B">
            <w:pPr>
              <w:widowControl/>
              <w:adjustRightInd w:val="0"/>
              <w:jc w:val="left"/>
              <w:rPr>
                <w:rFonts w:ascii="Calibri" w:hAnsi="Calibri"/>
                <w:szCs w:val="21"/>
              </w:rPr>
            </w:pPr>
            <w:r>
              <w:rPr>
                <w:rFonts w:ascii="Calibri" w:hAnsi="Calibri"/>
                <w:szCs w:val="21"/>
              </w:rPr>
              <w:t>支持</w:t>
            </w:r>
            <w:r>
              <w:rPr>
                <w:rFonts w:ascii="Calibri" w:hAnsi="Calibri"/>
                <w:szCs w:val="21"/>
              </w:rPr>
              <w:t>Wi-Fi</w:t>
            </w:r>
            <w:r>
              <w:rPr>
                <w:rFonts w:ascii="Calibri" w:hAnsi="Calibri"/>
                <w:szCs w:val="21"/>
              </w:rPr>
              <w:t>通信，符合</w:t>
            </w:r>
            <w:r>
              <w:rPr>
                <w:rFonts w:ascii="Calibri" w:hAnsi="Calibri"/>
                <w:szCs w:val="21"/>
              </w:rPr>
              <w:t>802.11 b/g/n</w:t>
            </w:r>
            <w:r>
              <w:rPr>
                <w:rFonts w:ascii="Calibri" w:hAnsi="Calibri"/>
                <w:szCs w:val="21"/>
              </w:rPr>
              <w:t>协议</w:t>
            </w:r>
          </w:p>
        </w:tc>
      </w:tr>
      <w:tr>
        <w:tblPrEx>
          <w:tblW w:w="5003" w:type="pct"/>
          <w:jc w:val="center"/>
          <w:tblLook w:val="04A0"/>
        </w:tblPrEx>
        <w:trPr>
          <w:trHeight w:val="45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4</w:t>
            </w:r>
          </w:p>
        </w:tc>
        <w:tc>
          <w:tcPr>
            <w:tcW w:w="926" w:type="pct"/>
            <w:vMerge/>
            <w:tcBorders>
              <w:top w:val="nil"/>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有线</w:t>
            </w:r>
          </w:p>
        </w:tc>
        <w:tc>
          <w:tcPr>
            <w:tcW w:w="2279" w:type="pct"/>
            <w:vAlign w:val="center"/>
          </w:tcPr>
          <w:p w:rsidR="005A0F0B">
            <w:pPr>
              <w:widowControl/>
              <w:adjustRightInd w:val="0"/>
              <w:jc w:val="left"/>
              <w:rPr>
                <w:rFonts w:ascii="Calibri" w:hAnsi="Calibri"/>
                <w:szCs w:val="21"/>
              </w:rPr>
            </w:pPr>
            <w:r>
              <w:rPr>
                <w:rFonts w:ascii="Calibri" w:hAnsi="Calibri"/>
                <w:szCs w:val="21"/>
              </w:rPr>
              <w:t>可选，</w:t>
            </w:r>
            <w:r>
              <w:rPr>
                <w:rFonts w:ascii="Calibri" w:hAnsi="Calibri"/>
                <w:szCs w:val="21"/>
              </w:rPr>
              <w:t>RS485</w:t>
            </w:r>
            <w:r>
              <w:rPr>
                <w:rFonts w:ascii="Calibri" w:hAnsi="Calibri"/>
                <w:szCs w:val="21"/>
              </w:rPr>
              <w:t>或</w:t>
            </w:r>
            <w:r>
              <w:rPr>
                <w:rFonts w:ascii="Calibri" w:hAnsi="Calibri"/>
                <w:szCs w:val="21"/>
              </w:rPr>
              <w:t>RS232</w:t>
            </w:r>
          </w:p>
        </w:tc>
      </w:tr>
      <w:tr>
        <w:tblPrEx>
          <w:tblW w:w="5003" w:type="pct"/>
          <w:jc w:val="center"/>
          <w:tblLook w:val="04A0"/>
        </w:tblPrEx>
        <w:trPr>
          <w:trHeight w:val="51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5</w:t>
            </w:r>
          </w:p>
        </w:tc>
        <w:tc>
          <w:tcPr>
            <w:tcW w:w="926" w:type="pct"/>
            <w:vMerge w:val="restart"/>
            <w:tcBorders>
              <w:left w:val="single" w:sz="4" w:space="0" w:color="auto"/>
              <w:bottom w:val="nil"/>
            </w:tcBorders>
            <w:vAlign w:val="center"/>
          </w:tcPr>
          <w:p w:rsidR="005A0F0B">
            <w:pPr>
              <w:widowControl/>
              <w:adjustRightInd w:val="0"/>
              <w:jc w:val="left"/>
              <w:rPr>
                <w:rFonts w:ascii="Calibri" w:hAnsi="Calibri"/>
                <w:szCs w:val="21"/>
              </w:rPr>
            </w:pPr>
            <w:r>
              <w:rPr>
                <w:rFonts w:ascii="Calibri" w:hAnsi="Calibri"/>
                <w:szCs w:val="21"/>
              </w:rPr>
              <w:t>定位</w:t>
            </w:r>
          </w:p>
        </w:tc>
        <w:tc>
          <w:tcPr>
            <w:tcW w:w="1411" w:type="pct"/>
            <w:vAlign w:val="center"/>
          </w:tcPr>
          <w:p w:rsidR="005A0F0B">
            <w:pPr>
              <w:widowControl/>
              <w:adjustRightInd w:val="0"/>
              <w:jc w:val="left"/>
              <w:rPr>
                <w:rFonts w:ascii="Calibri" w:hAnsi="Calibri"/>
                <w:szCs w:val="21"/>
              </w:rPr>
            </w:pPr>
            <w:r>
              <w:rPr>
                <w:rFonts w:ascii="Calibri" w:hAnsi="Calibri"/>
                <w:szCs w:val="21"/>
              </w:rPr>
              <w:t>定位类型</w:t>
            </w:r>
          </w:p>
        </w:tc>
        <w:tc>
          <w:tcPr>
            <w:tcW w:w="2279" w:type="pct"/>
            <w:vAlign w:val="center"/>
          </w:tcPr>
          <w:p w:rsidR="005A0F0B">
            <w:pPr>
              <w:widowControl/>
              <w:adjustRightInd w:val="0"/>
              <w:jc w:val="left"/>
              <w:rPr>
                <w:rFonts w:ascii="Calibri" w:hAnsi="Calibri"/>
                <w:szCs w:val="21"/>
              </w:rPr>
            </w:pPr>
            <w:r>
              <w:rPr>
                <w:rFonts w:ascii="Calibri" w:hAnsi="Calibri"/>
                <w:szCs w:val="21"/>
              </w:rPr>
              <w:t>北斗定位</w:t>
            </w:r>
          </w:p>
        </w:tc>
      </w:tr>
      <w:tr>
        <w:tblPrEx>
          <w:tblW w:w="5003" w:type="pct"/>
          <w:jc w:val="center"/>
          <w:tblLook w:val="04A0"/>
        </w:tblPrEx>
        <w:trPr>
          <w:trHeight w:val="51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6</w:t>
            </w:r>
          </w:p>
        </w:tc>
        <w:tc>
          <w:tcPr>
            <w:tcW w:w="926" w:type="pct"/>
            <w:vMerge/>
            <w:tcBorders>
              <w:top w:val="nil"/>
              <w:left w:val="single" w:sz="4" w:space="0" w:color="auto"/>
              <w:bottom w:val="nil"/>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定位精度</w:t>
            </w:r>
          </w:p>
        </w:tc>
        <w:tc>
          <w:tcPr>
            <w:tcW w:w="2279" w:type="pct"/>
            <w:vAlign w:val="center"/>
          </w:tcPr>
          <w:p w:rsidR="005A0F0B">
            <w:pPr>
              <w:widowControl/>
              <w:adjustRightInd w:val="0"/>
              <w:jc w:val="left"/>
              <w:rPr>
                <w:rFonts w:ascii="Calibri" w:hAnsi="Calibri"/>
                <w:szCs w:val="21"/>
              </w:rPr>
            </w:pPr>
            <w:r>
              <w:rPr>
                <w:rFonts w:ascii="Calibri" w:hAnsi="Calibri"/>
                <w:szCs w:val="21"/>
              </w:rPr>
              <w:t>&lt;50m</w:t>
            </w:r>
          </w:p>
        </w:tc>
      </w:tr>
      <w:tr>
        <w:tblPrEx>
          <w:tblW w:w="5003" w:type="pct"/>
          <w:jc w:val="center"/>
          <w:tblLook w:val="04A0"/>
        </w:tblPrEx>
        <w:trPr>
          <w:trHeight w:val="51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7</w:t>
            </w:r>
          </w:p>
        </w:tc>
        <w:tc>
          <w:tcPr>
            <w:tcW w:w="926" w:type="pct"/>
            <w:vMerge/>
            <w:tcBorders>
              <w:top w:val="nil"/>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冷启动时间</w:t>
            </w:r>
          </w:p>
        </w:tc>
        <w:tc>
          <w:tcPr>
            <w:tcW w:w="2279" w:type="pct"/>
            <w:vAlign w:val="center"/>
          </w:tcPr>
          <w:p w:rsidR="005A0F0B">
            <w:pPr>
              <w:widowControl/>
              <w:adjustRightInd w:val="0"/>
              <w:jc w:val="left"/>
              <w:rPr>
                <w:rFonts w:ascii="Calibri" w:hAnsi="Calibri"/>
                <w:szCs w:val="21"/>
              </w:rPr>
            </w:pPr>
            <w:r>
              <w:rPr>
                <w:rFonts w:ascii="Calibri" w:hAnsi="Calibri"/>
                <w:szCs w:val="21"/>
              </w:rPr>
              <w:t>≤40s</w:t>
            </w:r>
          </w:p>
        </w:tc>
      </w:tr>
      <w:tr>
        <w:tblPrEx>
          <w:tblW w:w="5003" w:type="pct"/>
          <w:jc w:val="center"/>
          <w:tblLook w:val="04A0"/>
        </w:tblPrEx>
        <w:trPr>
          <w:trHeight w:val="51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8</w:t>
            </w:r>
          </w:p>
        </w:tc>
        <w:tc>
          <w:tcPr>
            <w:tcW w:w="926" w:type="pct"/>
            <w:vMerge w:val="restart"/>
            <w:tcBorders>
              <w:left w:val="single" w:sz="4" w:space="0" w:color="auto"/>
              <w:bottom w:val="nil"/>
            </w:tcBorders>
            <w:vAlign w:val="center"/>
          </w:tcPr>
          <w:p w:rsidR="005A0F0B">
            <w:pPr>
              <w:widowControl/>
              <w:adjustRightInd w:val="0"/>
              <w:jc w:val="left"/>
              <w:rPr>
                <w:rFonts w:ascii="Calibri" w:hAnsi="Calibri"/>
                <w:szCs w:val="21"/>
              </w:rPr>
            </w:pPr>
            <w:r>
              <w:rPr>
                <w:rFonts w:ascii="Calibri" w:hAnsi="Calibri"/>
                <w:szCs w:val="21"/>
              </w:rPr>
              <w:t>加密</w:t>
            </w:r>
          </w:p>
        </w:tc>
        <w:tc>
          <w:tcPr>
            <w:tcW w:w="1411" w:type="pct"/>
            <w:vAlign w:val="center"/>
          </w:tcPr>
          <w:p w:rsidR="005A0F0B">
            <w:pPr>
              <w:widowControl/>
              <w:adjustRightInd w:val="0"/>
              <w:jc w:val="left"/>
              <w:rPr>
                <w:rFonts w:ascii="Calibri" w:hAnsi="Calibri"/>
                <w:szCs w:val="21"/>
              </w:rPr>
            </w:pPr>
            <w:r>
              <w:rPr>
                <w:rFonts w:ascii="Calibri" w:hAnsi="Calibri"/>
                <w:szCs w:val="21"/>
              </w:rPr>
              <w:t>支持加密方式</w:t>
            </w:r>
          </w:p>
        </w:tc>
        <w:tc>
          <w:tcPr>
            <w:tcW w:w="2279" w:type="pct"/>
            <w:vAlign w:val="center"/>
          </w:tcPr>
          <w:p w:rsidR="005A0F0B">
            <w:pPr>
              <w:widowControl/>
              <w:adjustRightInd w:val="0"/>
              <w:jc w:val="left"/>
              <w:rPr>
                <w:rFonts w:ascii="Calibri" w:hAnsi="Calibri"/>
                <w:szCs w:val="21"/>
              </w:rPr>
            </w:pPr>
            <w:r>
              <w:rPr>
                <w:rFonts w:ascii="Calibri" w:hAnsi="Calibri"/>
                <w:szCs w:val="21"/>
              </w:rPr>
              <w:t>国密</w:t>
            </w:r>
            <w:r>
              <w:rPr>
                <w:rFonts w:ascii="Calibri" w:hAnsi="Calibri"/>
                <w:szCs w:val="21"/>
              </w:rPr>
              <w:t>SM1/2/3/4/7</w:t>
            </w:r>
          </w:p>
        </w:tc>
      </w:tr>
      <w:tr>
        <w:tblPrEx>
          <w:tblW w:w="5003" w:type="pct"/>
          <w:jc w:val="center"/>
          <w:tblLook w:val="04A0"/>
        </w:tblPrEx>
        <w:trPr>
          <w:trHeight w:val="51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9</w:t>
            </w:r>
          </w:p>
        </w:tc>
        <w:tc>
          <w:tcPr>
            <w:tcW w:w="926" w:type="pct"/>
            <w:vMerge/>
            <w:tcBorders>
              <w:top w:val="nil"/>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算法移植</w:t>
            </w:r>
          </w:p>
        </w:tc>
        <w:tc>
          <w:tcPr>
            <w:tcW w:w="2279" w:type="pct"/>
            <w:vAlign w:val="center"/>
          </w:tcPr>
          <w:p w:rsidR="005A0F0B">
            <w:pPr>
              <w:widowControl/>
              <w:adjustRightInd w:val="0"/>
              <w:jc w:val="left"/>
              <w:rPr>
                <w:rFonts w:ascii="Calibri" w:hAnsi="Calibri"/>
                <w:szCs w:val="21"/>
              </w:rPr>
            </w:pPr>
            <w:r>
              <w:rPr>
                <w:rFonts w:ascii="Calibri" w:hAnsi="Calibri"/>
                <w:szCs w:val="21"/>
              </w:rPr>
              <w:t>支持，具备算法下载更新</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10</w:t>
            </w:r>
          </w:p>
        </w:tc>
        <w:tc>
          <w:tcPr>
            <w:tcW w:w="926" w:type="pct"/>
            <w:tcBorders>
              <w:left w:val="single" w:sz="4" w:space="0" w:color="auto"/>
            </w:tcBorders>
            <w:vAlign w:val="center"/>
          </w:tcPr>
          <w:p w:rsidR="005A0F0B">
            <w:pPr>
              <w:widowControl/>
              <w:adjustRightInd w:val="0"/>
              <w:jc w:val="left"/>
              <w:rPr>
                <w:rFonts w:ascii="Calibri" w:hAnsi="Calibri"/>
                <w:szCs w:val="21"/>
              </w:rPr>
            </w:pPr>
            <w:r>
              <w:rPr>
                <w:rFonts w:ascii="Calibri" w:hAnsi="Calibri"/>
                <w:szCs w:val="21"/>
              </w:rPr>
              <w:t>状态指示</w:t>
            </w:r>
          </w:p>
        </w:tc>
        <w:tc>
          <w:tcPr>
            <w:tcW w:w="1411" w:type="pct"/>
            <w:vAlign w:val="center"/>
          </w:tcPr>
          <w:p w:rsidR="005A0F0B">
            <w:pPr>
              <w:widowControl/>
              <w:adjustRightInd w:val="0"/>
              <w:jc w:val="left"/>
              <w:rPr>
                <w:rFonts w:ascii="Calibri" w:hAnsi="Calibri"/>
                <w:szCs w:val="21"/>
              </w:rPr>
            </w:pPr>
            <w:r>
              <w:rPr>
                <w:rFonts w:ascii="Calibri" w:hAnsi="Calibri"/>
                <w:szCs w:val="21"/>
              </w:rPr>
              <w:t>示灯</w:t>
            </w:r>
          </w:p>
        </w:tc>
        <w:tc>
          <w:tcPr>
            <w:tcW w:w="2279" w:type="pct"/>
            <w:vAlign w:val="center"/>
          </w:tcPr>
          <w:p w:rsidR="005A0F0B">
            <w:pPr>
              <w:widowControl/>
              <w:adjustRightInd w:val="0"/>
              <w:jc w:val="left"/>
              <w:rPr>
                <w:rFonts w:ascii="Calibri" w:hAnsi="Calibri"/>
                <w:szCs w:val="21"/>
              </w:rPr>
            </w:pPr>
            <w:r>
              <w:rPr>
                <w:rFonts w:ascii="Calibri" w:hAnsi="Calibri"/>
                <w:szCs w:val="21"/>
              </w:rPr>
              <w:t>电源、定位、信号、通信、装备连接状态等</w:t>
            </w:r>
            <w:r>
              <w:rPr>
                <w:rFonts w:ascii="Calibri" w:hAnsi="Calibri"/>
                <w:szCs w:val="21"/>
              </w:rPr>
              <w:t>LED</w:t>
            </w:r>
            <w:r>
              <w:rPr>
                <w:rFonts w:ascii="Calibri" w:hAnsi="Calibri"/>
                <w:szCs w:val="21"/>
              </w:rPr>
              <w:t>灯</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11</w:t>
            </w:r>
          </w:p>
        </w:tc>
        <w:tc>
          <w:tcPr>
            <w:tcW w:w="926" w:type="pct"/>
            <w:vMerge w:val="restart"/>
            <w:tcBorders>
              <w:left w:val="single" w:sz="4" w:space="0" w:color="auto"/>
            </w:tcBorders>
            <w:vAlign w:val="center"/>
          </w:tcPr>
          <w:p w:rsidR="005A0F0B">
            <w:pPr>
              <w:widowControl/>
              <w:adjustRightInd w:val="0"/>
              <w:jc w:val="left"/>
              <w:rPr>
                <w:rFonts w:ascii="Calibri" w:hAnsi="Calibri"/>
                <w:szCs w:val="21"/>
              </w:rPr>
            </w:pPr>
            <w:r>
              <w:rPr>
                <w:rFonts w:ascii="Calibri" w:hAnsi="Calibri"/>
                <w:szCs w:val="21"/>
              </w:rPr>
              <w:t>环境适应性</w:t>
            </w:r>
          </w:p>
        </w:tc>
        <w:tc>
          <w:tcPr>
            <w:tcW w:w="1411" w:type="pct"/>
            <w:vAlign w:val="center"/>
          </w:tcPr>
          <w:p w:rsidR="005A0F0B">
            <w:pPr>
              <w:widowControl/>
              <w:adjustRightInd w:val="0"/>
              <w:jc w:val="left"/>
              <w:rPr>
                <w:rFonts w:ascii="Calibri" w:hAnsi="Calibri"/>
                <w:szCs w:val="21"/>
              </w:rPr>
            </w:pPr>
            <w:r>
              <w:rPr>
                <w:rFonts w:ascii="Calibri" w:hAnsi="Calibri"/>
                <w:szCs w:val="21"/>
              </w:rPr>
              <w:t>电源范围</w:t>
            </w:r>
          </w:p>
        </w:tc>
        <w:tc>
          <w:tcPr>
            <w:tcW w:w="2279" w:type="pct"/>
            <w:vAlign w:val="center"/>
          </w:tcPr>
          <w:p w:rsidR="005A0F0B">
            <w:pPr>
              <w:widowControl/>
              <w:adjustRightInd w:val="0"/>
              <w:jc w:val="left"/>
              <w:rPr>
                <w:rFonts w:ascii="Calibri" w:hAnsi="Calibri"/>
                <w:szCs w:val="21"/>
              </w:rPr>
            </w:pPr>
            <w:r>
              <w:rPr>
                <w:rFonts w:ascii="Calibri" w:hAnsi="Calibri"/>
                <w:szCs w:val="21"/>
              </w:rPr>
              <w:t>不低于</w:t>
            </w:r>
            <w:r>
              <w:rPr>
                <w:rFonts w:ascii="Calibri" w:hAnsi="Calibri"/>
                <w:szCs w:val="21"/>
              </w:rPr>
              <w:t>9V</w:t>
            </w:r>
            <w:r>
              <w:rPr>
                <w:rFonts w:ascii="Calibri" w:hAnsi="Calibri"/>
                <w:szCs w:val="21"/>
              </w:rPr>
              <w:t>～</w:t>
            </w:r>
            <w:r>
              <w:rPr>
                <w:rFonts w:ascii="Calibri" w:hAnsi="Calibri"/>
                <w:szCs w:val="21"/>
              </w:rPr>
              <w:t>50V</w:t>
            </w:r>
            <w:r>
              <w:rPr>
                <w:rFonts w:ascii="Calibri" w:hAnsi="Calibri"/>
                <w:szCs w:val="21"/>
              </w:rPr>
              <w:t>，防反接</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12</w:t>
            </w:r>
          </w:p>
        </w:tc>
        <w:tc>
          <w:tcPr>
            <w:tcW w:w="926" w:type="pct"/>
            <w:vMerge/>
            <w:tcBorders>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工作温度</w:t>
            </w:r>
          </w:p>
        </w:tc>
        <w:tc>
          <w:tcPr>
            <w:tcW w:w="2279" w:type="pct"/>
            <w:vAlign w:val="center"/>
          </w:tcPr>
          <w:p w:rsidR="005A0F0B">
            <w:pPr>
              <w:widowControl/>
              <w:adjustRightInd w:val="0"/>
              <w:jc w:val="left"/>
              <w:rPr>
                <w:rFonts w:ascii="Calibri" w:hAnsi="Calibri"/>
                <w:szCs w:val="21"/>
              </w:rPr>
            </w:pPr>
            <w:r>
              <w:rPr>
                <w:rFonts w:ascii="Calibri" w:hAnsi="Calibri"/>
                <w:szCs w:val="21"/>
              </w:rPr>
              <w:t>-30</w:t>
            </w:r>
            <w:r>
              <w:rPr>
                <w:rFonts w:ascii="Calibri" w:hAnsi="Calibri"/>
                <w:szCs w:val="21"/>
              </w:rPr>
              <w:t>～</w:t>
            </w:r>
            <w:r>
              <w:rPr>
                <w:rFonts w:ascii="Calibri" w:hAnsi="Calibri"/>
                <w:szCs w:val="21"/>
              </w:rPr>
              <w:t>70</w:t>
            </w:r>
            <w:r>
              <w:rPr>
                <w:rFonts w:ascii="Cambria Math" w:hAnsi="Cambria Math" w:cs="Cambria Math"/>
                <w:szCs w:val="21"/>
              </w:rPr>
              <w:t>℃</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13</w:t>
            </w:r>
          </w:p>
        </w:tc>
        <w:tc>
          <w:tcPr>
            <w:tcW w:w="926" w:type="pct"/>
            <w:vMerge/>
            <w:tcBorders>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工作湿度</w:t>
            </w:r>
          </w:p>
        </w:tc>
        <w:tc>
          <w:tcPr>
            <w:tcW w:w="2279" w:type="pct"/>
            <w:vAlign w:val="center"/>
          </w:tcPr>
          <w:p w:rsidR="005A0F0B">
            <w:pPr>
              <w:widowControl/>
              <w:adjustRightInd w:val="0"/>
              <w:jc w:val="left"/>
              <w:rPr>
                <w:rFonts w:ascii="Calibri" w:hAnsi="Calibri"/>
                <w:szCs w:val="21"/>
              </w:rPr>
            </w:pPr>
            <w:r>
              <w:rPr>
                <w:rFonts w:ascii="Calibri" w:hAnsi="Calibri"/>
                <w:szCs w:val="21"/>
              </w:rPr>
              <w:t>0</w:t>
            </w:r>
            <w:r>
              <w:rPr>
                <w:rFonts w:ascii="Calibri" w:hAnsi="Calibri"/>
                <w:szCs w:val="21"/>
              </w:rPr>
              <w:t>～</w:t>
            </w:r>
            <w:r>
              <w:rPr>
                <w:rFonts w:ascii="Calibri" w:hAnsi="Calibri"/>
                <w:szCs w:val="21"/>
              </w:rPr>
              <w:t>100%RH</w:t>
            </w:r>
            <w:r>
              <w:rPr>
                <w:rFonts w:ascii="Calibri" w:hAnsi="Calibri"/>
                <w:szCs w:val="21"/>
              </w:rPr>
              <w:t>，无凝结</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14</w:t>
            </w:r>
          </w:p>
        </w:tc>
        <w:tc>
          <w:tcPr>
            <w:tcW w:w="926" w:type="pct"/>
            <w:vMerge/>
            <w:tcBorders>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防护等级</w:t>
            </w:r>
          </w:p>
        </w:tc>
        <w:tc>
          <w:tcPr>
            <w:tcW w:w="2279" w:type="pct"/>
            <w:vAlign w:val="center"/>
          </w:tcPr>
          <w:p w:rsidR="005A0F0B">
            <w:pPr>
              <w:widowControl/>
              <w:adjustRightInd w:val="0"/>
              <w:jc w:val="left"/>
              <w:rPr>
                <w:rFonts w:ascii="Calibri" w:hAnsi="Calibri"/>
                <w:szCs w:val="21"/>
              </w:rPr>
            </w:pPr>
            <w:r>
              <w:rPr>
                <w:rFonts w:ascii="Calibri" w:hAnsi="Calibri"/>
                <w:szCs w:val="21"/>
              </w:rPr>
              <w:t>作业安全监控终端不低于</w:t>
            </w:r>
            <w:r>
              <w:rPr>
                <w:rFonts w:ascii="Calibri" w:hAnsi="Calibri"/>
                <w:szCs w:val="21"/>
              </w:rPr>
              <w:t>IP67</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15</w:t>
            </w:r>
          </w:p>
        </w:tc>
        <w:tc>
          <w:tcPr>
            <w:tcW w:w="926" w:type="pct"/>
            <w:vMerge w:val="restart"/>
            <w:tcBorders>
              <w:left w:val="single" w:sz="4" w:space="0" w:color="auto"/>
            </w:tcBorders>
            <w:vAlign w:val="center"/>
          </w:tcPr>
          <w:p w:rsidR="005A0F0B">
            <w:pPr>
              <w:widowControl/>
              <w:adjustRightInd w:val="0"/>
              <w:jc w:val="left"/>
              <w:rPr>
                <w:rFonts w:ascii="Calibri" w:hAnsi="Calibri"/>
                <w:szCs w:val="21"/>
              </w:rPr>
            </w:pPr>
            <w:r>
              <w:rPr>
                <w:rFonts w:ascii="Calibri" w:hAnsi="Calibri"/>
                <w:szCs w:val="21"/>
              </w:rPr>
              <w:t>整机特性</w:t>
            </w:r>
          </w:p>
        </w:tc>
        <w:tc>
          <w:tcPr>
            <w:tcW w:w="1411" w:type="pct"/>
            <w:vAlign w:val="center"/>
          </w:tcPr>
          <w:p w:rsidR="005A0F0B">
            <w:pPr>
              <w:widowControl/>
              <w:adjustRightInd w:val="0"/>
              <w:jc w:val="left"/>
              <w:rPr>
                <w:rFonts w:ascii="Calibri" w:hAnsi="Calibri"/>
                <w:szCs w:val="21"/>
              </w:rPr>
            </w:pPr>
            <w:r>
              <w:rPr>
                <w:rFonts w:ascii="Calibri" w:hAnsi="Calibri"/>
                <w:szCs w:val="21"/>
              </w:rPr>
              <w:t>尺寸</w:t>
            </w:r>
          </w:p>
        </w:tc>
        <w:tc>
          <w:tcPr>
            <w:tcW w:w="2279" w:type="pct"/>
            <w:vAlign w:val="center"/>
          </w:tcPr>
          <w:p w:rsidR="005A0F0B">
            <w:pPr>
              <w:widowControl/>
              <w:adjustRightInd w:val="0"/>
              <w:jc w:val="left"/>
              <w:rPr>
                <w:rFonts w:ascii="Calibri" w:hAnsi="Calibri"/>
                <w:szCs w:val="21"/>
              </w:rPr>
            </w:pPr>
            <w:r>
              <w:rPr>
                <w:rFonts w:ascii="Calibri" w:hAnsi="Calibri"/>
                <w:szCs w:val="21"/>
              </w:rPr>
              <w:t>直径</w:t>
            </w:r>
            <w:r>
              <w:rPr>
                <w:rFonts w:ascii="Calibri" w:hAnsi="Calibri"/>
                <w:szCs w:val="21"/>
              </w:rPr>
              <w:t>≤120mm</w:t>
            </w:r>
            <w:r>
              <w:rPr>
                <w:rFonts w:ascii="Calibri" w:hAnsi="Calibri"/>
                <w:szCs w:val="21"/>
              </w:rPr>
              <w:t>，高度</w:t>
            </w:r>
            <w:r>
              <w:rPr>
                <w:rFonts w:ascii="Calibri" w:hAnsi="Calibri"/>
                <w:szCs w:val="21"/>
              </w:rPr>
              <w:t>≤90mm</w:t>
            </w:r>
          </w:p>
        </w:tc>
      </w:tr>
      <w:tr>
        <w:tblPrEx>
          <w:tblW w:w="5003" w:type="pct"/>
          <w:jc w:val="center"/>
          <w:tblLook w:val="04A0"/>
        </w:tblPrEx>
        <w:trPr>
          <w:trHeight w:val="521"/>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16</w:t>
            </w:r>
          </w:p>
        </w:tc>
        <w:tc>
          <w:tcPr>
            <w:tcW w:w="926" w:type="pct"/>
            <w:vMerge/>
            <w:tcBorders>
              <w:left w:val="single" w:sz="4" w:space="0" w:color="auto"/>
            </w:tcBorders>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重量</w:t>
            </w:r>
          </w:p>
        </w:tc>
        <w:tc>
          <w:tcPr>
            <w:tcW w:w="2279" w:type="pct"/>
            <w:vAlign w:val="center"/>
          </w:tcPr>
          <w:p w:rsidR="005A0F0B">
            <w:pPr>
              <w:widowControl/>
              <w:adjustRightInd w:val="0"/>
              <w:jc w:val="left"/>
              <w:rPr>
                <w:rFonts w:ascii="Calibri" w:hAnsi="Calibri"/>
                <w:szCs w:val="21"/>
              </w:rPr>
            </w:pPr>
            <w:r>
              <w:rPr>
                <w:rFonts w:ascii="Calibri" w:hAnsi="Calibri"/>
                <w:szCs w:val="21"/>
              </w:rPr>
              <w:t>≤500g</w:t>
            </w:r>
          </w:p>
        </w:tc>
      </w:tr>
      <w:tr>
        <w:tblPrEx>
          <w:tblW w:w="5003" w:type="pct"/>
          <w:jc w:val="center"/>
          <w:tblLook w:val="04A0"/>
        </w:tblPrEx>
        <w:trPr>
          <w:trHeight w:val="55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17</w:t>
            </w:r>
          </w:p>
        </w:tc>
        <w:tc>
          <w:tcPr>
            <w:tcW w:w="926" w:type="pct"/>
            <w:vMerge w:val="restart"/>
            <w:tcBorders>
              <w:left w:val="single" w:sz="4" w:space="0" w:color="auto"/>
            </w:tcBorders>
            <w:vAlign w:val="center"/>
          </w:tcPr>
          <w:p w:rsidR="005A0F0B">
            <w:pPr>
              <w:widowControl/>
              <w:adjustRightInd w:val="0"/>
              <w:jc w:val="left"/>
              <w:rPr>
                <w:rFonts w:ascii="Calibri" w:hAnsi="Calibri"/>
                <w:szCs w:val="21"/>
              </w:rPr>
            </w:pPr>
            <w:r>
              <w:rPr>
                <w:rFonts w:ascii="Calibri" w:hAnsi="Calibri"/>
                <w:szCs w:val="21"/>
              </w:rPr>
              <w:t>软件功能</w:t>
            </w:r>
          </w:p>
        </w:tc>
        <w:tc>
          <w:tcPr>
            <w:tcW w:w="1411" w:type="pct"/>
            <w:vAlign w:val="center"/>
          </w:tcPr>
          <w:p w:rsidR="005A0F0B">
            <w:pPr>
              <w:widowControl/>
              <w:adjustRightInd w:val="0"/>
              <w:jc w:val="left"/>
              <w:rPr>
                <w:rFonts w:ascii="Calibri" w:hAnsi="Calibri"/>
                <w:szCs w:val="21"/>
              </w:rPr>
            </w:pPr>
            <w:r>
              <w:rPr>
                <w:rFonts w:ascii="Calibri" w:hAnsi="Calibri"/>
                <w:szCs w:val="21"/>
              </w:rPr>
              <w:t>支持装备编码固化</w:t>
            </w:r>
          </w:p>
        </w:tc>
        <w:tc>
          <w:tcPr>
            <w:tcW w:w="2279" w:type="pct"/>
            <w:vAlign w:val="center"/>
          </w:tcPr>
          <w:p w:rsidR="005A0F0B">
            <w:pPr>
              <w:widowControl/>
              <w:adjustRightInd w:val="0"/>
              <w:jc w:val="left"/>
              <w:rPr>
                <w:rFonts w:ascii="Calibri" w:hAnsi="Calibri"/>
                <w:szCs w:val="21"/>
              </w:rPr>
            </w:pPr>
            <w:r>
              <w:rPr>
                <w:rFonts w:ascii="Calibri" w:hAnsi="Calibri"/>
                <w:szCs w:val="21"/>
              </w:rPr>
              <w:t>支持人影装备编码写入存在本地，终端通信成功后，上报本地装备编码</w:t>
            </w:r>
          </w:p>
        </w:tc>
      </w:tr>
      <w:tr>
        <w:tblPrEx>
          <w:tblW w:w="5003" w:type="pct"/>
          <w:jc w:val="center"/>
          <w:tblLook w:val="04A0"/>
        </w:tblPrEx>
        <w:trPr>
          <w:trHeight w:val="559"/>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18</w:t>
            </w:r>
          </w:p>
        </w:tc>
        <w:tc>
          <w:tcPr>
            <w:tcW w:w="926" w:type="pct"/>
            <w:vMerge/>
            <w:tcBorders>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bookmarkStart w:id="59" w:name="OLE_LINK16"/>
            <w:r>
              <w:rPr>
                <w:b/>
                <w:bCs/>
                <w:szCs w:val="21"/>
              </w:rPr>
              <w:t>▲</w:t>
            </w:r>
            <w:bookmarkEnd w:id="59"/>
            <w:r>
              <w:rPr>
                <w:rFonts w:ascii="Calibri" w:hAnsi="Calibri"/>
                <w:szCs w:val="21"/>
              </w:rPr>
              <w:t>支持与</w:t>
            </w:r>
            <w:r>
              <w:rPr>
                <w:rFonts w:ascii="Calibri" w:hAnsi="Calibri"/>
                <w:szCs w:val="21"/>
              </w:rPr>
              <w:t>“</w:t>
            </w:r>
            <w:r>
              <w:rPr>
                <w:rFonts w:ascii="Calibri" w:hAnsi="Calibri"/>
                <w:szCs w:val="21"/>
              </w:rPr>
              <w:t>天工</w:t>
            </w:r>
            <w:r>
              <w:rPr>
                <w:rFonts w:ascii="Calibri" w:hAnsi="Calibri"/>
                <w:szCs w:val="21"/>
              </w:rPr>
              <w:t>”</w:t>
            </w:r>
            <w:r>
              <w:rPr>
                <w:rFonts w:ascii="Calibri" w:hAnsi="Calibri"/>
                <w:szCs w:val="21"/>
              </w:rPr>
              <w:t>平台对接</w:t>
            </w:r>
          </w:p>
        </w:tc>
        <w:tc>
          <w:tcPr>
            <w:tcW w:w="2279" w:type="pct"/>
            <w:vAlign w:val="center"/>
          </w:tcPr>
          <w:p w:rsidR="005A0F0B">
            <w:pPr>
              <w:widowControl/>
              <w:adjustRightInd w:val="0"/>
              <w:jc w:val="left"/>
              <w:rPr>
                <w:rFonts w:ascii="Calibri" w:hAnsi="Calibri"/>
                <w:szCs w:val="21"/>
              </w:rPr>
            </w:pPr>
            <w:r>
              <w:rPr>
                <w:rFonts w:ascii="Calibri" w:hAnsi="Calibri"/>
                <w:szCs w:val="21"/>
              </w:rPr>
              <w:t>安全射界验证、作业状态判断、作业状态上报、作业指令接收、作业信息自动采集等</w:t>
            </w:r>
          </w:p>
        </w:tc>
      </w:tr>
      <w:tr>
        <w:tblPrEx>
          <w:tblW w:w="5003" w:type="pct"/>
          <w:jc w:val="center"/>
          <w:tblLook w:val="04A0"/>
        </w:tblPrEx>
        <w:trPr>
          <w:trHeight w:val="564"/>
          <w:jc w:val="center"/>
        </w:trPr>
        <w:tc>
          <w:tcPr>
            <w:tcW w:w="382" w:type="pct"/>
            <w:tcBorders>
              <w:top w:val="single" w:sz="4" w:space="0" w:color="auto"/>
              <w:left w:val="single" w:sz="4" w:space="0" w:color="auto"/>
              <w:bottom w:val="single" w:sz="4" w:space="0" w:color="auto"/>
              <w:right w:val="single" w:sz="4" w:space="0" w:color="auto"/>
            </w:tcBorders>
            <w:vAlign w:val="center"/>
          </w:tcPr>
          <w:p w:rsidR="005A0F0B">
            <w:pPr>
              <w:widowControl/>
              <w:adjustRightInd w:val="0"/>
              <w:jc w:val="left"/>
              <w:rPr>
                <w:rFonts w:ascii="Calibri" w:hAnsi="Calibri"/>
                <w:szCs w:val="21"/>
              </w:rPr>
            </w:pPr>
            <w:r>
              <w:rPr>
                <w:rFonts w:ascii="Calibri" w:hAnsi="Calibri"/>
                <w:szCs w:val="21"/>
              </w:rPr>
              <w:t>19</w:t>
            </w:r>
          </w:p>
        </w:tc>
        <w:tc>
          <w:tcPr>
            <w:tcW w:w="926" w:type="pct"/>
            <w:vMerge/>
            <w:tcBorders>
              <w:left w:val="single" w:sz="4" w:space="0" w:color="auto"/>
            </w:tcBorders>
            <w:vAlign w:val="center"/>
          </w:tcPr>
          <w:p w:rsidR="005A0F0B">
            <w:pPr>
              <w:widowControl/>
              <w:adjustRightInd w:val="0"/>
              <w:jc w:val="left"/>
              <w:rPr>
                <w:rFonts w:ascii="Calibri" w:hAnsi="Calibri"/>
                <w:szCs w:val="21"/>
              </w:rPr>
            </w:pPr>
          </w:p>
        </w:tc>
        <w:tc>
          <w:tcPr>
            <w:tcW w:w="1411" w:type="pct"/>
            <w:vAlign w:val="center"/>
          </w:tcPr>
          <w:p w:rsidR="005A0F0B">
            <w:pPr>
              <w:widowControl/>
              <w:adjustRightInd w:val="0"/>
              <w:jc w:val="left"/>
              <w:rPr>
                <w:rFonts w:ascii="Calibri" w:hAnsi="Calibri"/>
                <w:szCs w:val="21"/>
              </w:rPr>
            </w:pPr>
            <w:r>
              <w:rPr>
                <w:rFonts w:ascii="Calibri" w:hAnsi="Calibri"/>
                <w:szCs w:val="21"/>
              </w:rPr>
              <w:t>需提供出厂测试工具</w:t>
            </w:r>
          </w:p>
        </w:tc>
        <w:tc>
          <w:tcPr>
            <w:tcW w:w="2279" w:type="pct"/>
            <w:vAlign w:val="center"/>
          </w:tcPr>
          <w:p w:rsidR="005A0F0B">
            <w:pPr>
              <w:widowControl/>
              <w:adjustRightInd w:val="0"/>
              <w:jc w:val="left"/>
              <w:rPr>
                <w:rFonts w:ascii="Calibri" w:hAnsi="Calibri"/>
                <w:szCs w:val="21"/>
              </w:rPr>
            </w:pPr>
            <w:r>
              <w:rPr>
                <w:rFonts w:ascii="Calibri" w:hAnsi="Calibri"/>
                <w:szCs w:val="21"/>
              </w:rPr>
              <w:t>1.</w:t>
            </w:r>
            <w:r>
              <w:rPr>
                <w:rFonts w:ascii="Calibri" w:hAnsi="Calibri"/>
                <w:szCs w:val="21"/>
              </w:rPr>
              <w:t>查看：北斗卡号，</w:t>
            </w:r>
            <w:r>
              <w:rPr>
                <w:rFonts w:ascii="Calibri" w:hAnsi="Calibri"/>
                <w:szCs w:val="21"/>
              </w:rPr>
              <w:t xml:space="preserve">4G/5G </w:t>
            </w:r>
            <w:r>
              <w:rPr>
                <w:rFonts w:ascii="Calibri" w:hAnsi="Calibri"/>
                <w:szCs w:val="21"/>
              </w:rPr>
              <w:t>卡号，固件版本、终端序列号，</w:t>
            </w:r>
            <w:r>
              <w:rPr>
                <w:rFonts w:ascii="Calibri" w:hAnsi="Calibri"/>
                <w:szCs w:val="21"/>
              </w:rPr>
              <w:t>2.</w:t>
            </w:r>
            <w:r>
              <w:rPr>
                <w:rFonts w:ascii="Calibri" w:hAnsi="Calibri"/>
                <w:szCs w:val="21"/>
              </w:rPr>
              <w:t>写入的装备编码，</w:t>
            </w:r>
            <w:r>
              <w:rPr>
                <w:rFonts w:ascii="Calibri" w:hAnsi="Calibri"/>
                <w:szCs w:val="21"/>
              </w:rPr>
              <w:t>3.</w:t>
            </w:r>
            <w:r>
              <w:rPr>
                <w:rFonts w:ascii="Calibri" w:hAnsi="Calibri"/>
                <w:szCs w:val="21"/>
              </w:rPr>
              <w:t>各模块功能测试及结果显示</w:t>
            </w:r>
          </w:p>
        </w:tc>
      </w:tr>
    </w:tbl>
    <w:p w:rsidR="005A0F0B">
      <w:pPr>
        <w:spacing w:line="360" w:lineRule="auto"/>
        <w:ind w:firstLine="420" w:firstLineChars="200"/>
        <w:jc w:val="center"/>
        <w:rPr>
          <w:rFonts w:ascii="宋体" w:hAnsi="宋体"/>
          <w:szCs w:val="21"/>
          <w:highlight w:val="yellow"/>
        </w:rPr>
      </w:pPr>
    </w:p>
    <w:p w:rsidR="005A0F0B">
      <w:pPr>
        <w:spacing w:line="360" w:lineRule="auto"/>
        <w:ind w:firstLine="420" w:firstLineChars="200"/>
        <w:jc w:val="center"/>
        <w:rPr>
          <w:rFonts w:ascii="宋体" w:hAnsi="宋体"/>
          <w:szCs w:val="21"/>
        </w:rPr>
      </w:pPr>
      <w:r>
        <w:rPr>
          <w:rFonts w:ascii="宋体" w:hAnsi="宋体"/>
          <w:szCs w:val="21"/>
        </w:rPr>
        <w:t>表</w:t>
      </w:r>
      <w:r>
        <w:rPr>
          <w:rFonts w:ascii="宋体" w:hAnsi="宋体" w:hint="eastAsia"/>
          <w:szCs w:val="21"/>
        </w:rPr>
        <w:t>4</w:t>
      </w:r>
      <w:r>
        <w:rPr>
          <w:rFonts w:ascii="宋体" w:hAnsi="宋体" w:hint="eastAsia"/>
          <w:szCs w:val="21"/>
        </w:rPr>
        <w:t>烟炉</w:t>
      </w:r>
      <w:r>
        <w:rPr>
          <w:rFonts w:ascii="宋体" w:hAnsi="宋体"/>
          <w:szCs w:val="21"/>
        </w:rPr>
        <w:t>作业安全监控终端技术性能配置参数</w:t>
      </w:r>
    </w:p>
    <w:tbl>
      <w:tblPr>
        <w:tblStyle w:val="TableNormal"/>
        <w:tblW w:w="5042"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
      <w:tblGrid>
        <w:gridCol w:w="685"/>
        <w:gridCol w:w="1714"/>
        <w:gridCol w:w="6195"/>
      </w:tblGrid>
      <w:tr>
        <w:tblPrEx>
          <w:tblW w:w="5042" w:type="pct"/>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tblPrEx>
        <w:trPr>
          <w:trHeight w:val="90"/>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b/>
                <w:color w:val="000000"/>
              </w:rPr>
            </w:pPr>
            <w:r>
              <w:rPr>
                <w:b/>
                <w:color w:val="000000"/>
                <w:szCs w:val="22"/>
              </w:rPr>
              <w:t>序号</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b/>
                <w:color w:val="000000"/>
              </w:rPr>
            </w:pPr>
            <w:r>
              <w:rPr>
                <w:b/>
                <w:color w:val="000000"/>
                <w:szCs w:val="22"/>
              </w:rPr>
              <w:t>性能参数</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jc w:val="center"/>
              <w:textAlignment w:val="baseline"/>
              <w:rPr>
                <w:b/>
                <w:color w:val="000000"/>
              </w:rPr>
            </w:pPr>
            <w:r>
              <w:rPr>
                <w:b/>
                <w:color w:val="000000"/>
                <w:szCs w:val="22"/>
              </w:rPr>
              <w:t>指标</w:t>
            </w:r>
          </w:p>
        </w:tc>
      </w:tr>
      <w:tr>
        <w:tblPrEx>
          <w:tblW w:w="5042" w:type="pct"/>
          <w:jc w:val="center"/>
          <w:tblLook w:val="04A0"/>
        </w:tblPrEx>
        <w:trPr>
          <w:trHeight w:val="90"/>
          <w:jc w:val="center"/>
        </w:trPr>
        <w:tc>
          <w:tcPr>
            <w:tcW w:w="398" w:type="pct"/>
            <w:tcBorders>
              <w:top w:val="single" w:sz="4" w:space="0" w:color="000000"/>
              <w:left w:val="single" w:sz="4" w:space="0" w:color="000000"/>
              <w:bottom w:val="single" w:sz="4" w:space="0" w:color="000000"/>
            </w:tcBorders>
            <w:shd w:val="clear" w:color="auto" w:fill="FFFFFF"/>
            <w:vAlign w:val="center"/>
          </w:tcPr>
          <w:p w:rsidR="005A0F0B">
            <w:pPr>
              <w:widowControl/>
              <w:adjustRightInd w:val="0"/>
              <w:jc w:val="center"/>
              <w:textAlignment w:val="baseline"/>
              <w:rPr>
                <w:color w:val="000000"/>
              </w:rPr>
            </w:pPr>
            <w:r>
              <w:rPr>
                <w:color w:val="000000"/>
                <w:szCs w:val="22"/>
              </w:rPr>
              <w:t>1</w:t>
            </w:r>
          </w:p>
        </w:tc>
        <w:tc>
          <w:tcPr>
            <w:tcW w:w="997" w:type="pct"/>
            <w:tcBorders>
              <w:top w:val="single" w:sz="4" w:space="0" w:color="000000"/>
              <w:left w:val="single" w:sz="4" w:space="0" w:color="000000"/>
              <w:bottom w:val="single" w:sz="4" w:space="0" w:color="000000"/>
            </w:tcBorders>
            <w:shd w:val="clear" w:color="auto" w:fill="FFFFFF"/>
            <w:vAlign w:val="center"/>
          </w:tcPr>
          <w:p w:rsidR="005A0F0B">
            <w:pPr>
              <w:widowControl/>
              <w:adjustRightInd w:val="0"/>
              <w:textAlignment w:val="baseline"/>
              <w:rPr>
                <w:color w:val="000000"/>
              </w:rPr>
            </w:pPr>
            <w:r>
              <w:rPr>
                <w:color w:val="000000"/>
                <w:szCs w:val="22"/>
              </w:rPr>
              <w:t>对接要求</w:t>
            </w:r>
          </w:p>
        </w:tc>
        <w:tc>
          <w:tcPr>
            <w:tcW w:w="3603" w:type="pct"/>
            <w:tcBorders>
              <w:top w:val="single" w:sz="4" w:space="0" w:color="000000"/>
              <w:left w:val="single" w:sz="4" w:space="0" w:color="000000"/>
              <w:bottom w:val="single" w:sz="4" w:space="0" w:color="000000"/>
              <w:right w:val="single" w:sz="4" w:space="0" w:color="000000"/>
            </w:tcBorders>
            <w:shd w:val="clear" w:color="auto" w:fill="FFFFFF"/>
          </w:tcPr>
          <w:p w:rsidR="005A0F0B">
            <w:pPr>
              <w:widowControl/>
              <w:adjustRightInd w:val="0"/>
              <w:textAlignment w:val="baseline"/>
              <w:rPr>
                <w:color w:val="000000"/>
              </w:rPr>
            </w:pPr>
            <w:r>
              <w:rPr>
                <w:color w:val="000000"/>
                <w:szCs w:val="22"/>
              </w:rPr>
              <w:t>烟炉作业安全监控终端支持与天工平台对接：具备作业状态上报、作业指令接收、作业信息自动采集、多要素作业条件判别、作业视频传输等功能。</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2</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 xml:space="preserve">MCU </w:t>
            </w:r>
            <w:r>
              <w:rPr>
                <w:color w:val="000000"/>
                <w:szCs w:val="22"/>
              </w:rPr>
              <w:t>性能</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国产；</w:t>
            </w:r>
            <w:r>
              <w:rPr>
                <w:color w:val="000000"/>
                <w:szCs w:val="22"/>
              </w:rPr>
              <w:t>≥</w:t>
            </w:r>
            <w:r>
              <w:rPr>
                <w:color w:val="000000"/>
                <w:szCs w:val="22"/>
              </w:rPr>
              <w:t>八核；</w:t>
            </w:r>
            <w:r>
              <w:rPr>
                <w:color w:val="000000"/>
                <w:szCs w:val="22"/>
              </w:rPr>
              <w:t>每核</w:t>
            </w:r>
            <w:r>
              <w:rPr>
                <w:color w:val="000000"/>
                <w:szCs w:val="22"/>
              </w:rPr>
              <w:t>≥1.8 GHz</w:t>
            </w:r>
            <w:r>
              <w:rPr>
                <w:color w:val="000000"/>
                <w:szCs w:val="22"/>
              </w:rPr>
              <w:t>。</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3</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运行内存</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≥2 GB</w:t>
            </w:r>
            <w:r>
              <w:rPr>
                <w:color w:val="000000"/>
                <w:szCs w:val="22"/>
              </w:rPr>
              <w:t>。</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4</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存储空间</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≥16 GB</w:t>
            </w:r>
            <w:r>
              <w:rPr>
                <w:color w:val="000000"/>
                <w:szCs w:val="22"/>
              </w:rPr>
              <w:t>。</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5</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系统</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安卓</w:t>
            </w:r>
            <w:r>
              <w:rPr>
                <w:color w:val="000000"/>
                <w:szCs w:val="22"/>
              </w:rPr>
              <w:t xml:space="preserve">Android </w:t>
            </w:r>
            <w:r>
              <w:rPr>
                <w:color w:val="000000"/>
                <w:szCs w:val="22"/>
              </w:rPr>
              <w:t>或</w:t>
            </w:r>
            <w:r>
              <w:rPr>
                <w:color w:val="000000"/>
                <w:szCs w:val="22"/>
              </w:rPr>
              <w:t>linux</w:t>
            </w:r>
            <w:r>
              <w:rPr>
                <w:color w:val="000000"/>
                <w:szCs w:val="22"/>
              </w:rPr>
              <w:t>。</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6</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开机时间</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上电开机完成，</w:t>
            </w:r>
            <w:r>
              <w:rPr>
                <w:color w:val="000000"/>
                <w:szCs w:val="22"/>
              </w:rPr>
              <w:t>≤35</w:t>
            </w:r>
            <w:r>
              <w:rPr>
                <w:color w:val="000000"/>
                <w:szCs w:val="22"/>
              </w:rPr>
              <w:t>秒。</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7</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首次定位时间</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上电</w:t>
            </w:r>
            <w:r>
              <w:rPr>
                <w:color w:val="000000"/>
                <w:szCs w:val="22"/>
              </w:rPr>
              <w:t>到首次</w:t>
            </w:r>
            <w:r>
              <w:rPr>
                <w:color w:val="000000"/>
                <w:szCs w:val="22"/>
              </w:rPr>
              <w:t>定位输出，</w:t>
            </w:r>
            <w:r>
              <w:rPr>
                <w:color w:val="000000"/>
                <w:szCs w:val="22"/>
              </w:rPr>
              <w:t>≤ 32</w:t>
            </w:r>
            <w:r>
              <w:rPr>
                <w:color w:val="000000"/>
                <w:szCs w:val="22"/>
              </w:rPr>
              <w:t>秒。</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8</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信息收集</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支持输入电源电压检测，精度</w:t>
            </w:r>
            <w:r>
              <w:rPr>
                <w:color w:val="000000"/>
                <w:szCs w:val="22"/>
              </w:rPr>
              <w:t>≤0.2V</w:t>
            </w:r>
            <w:r>
              <w:rPr>
                <w:color w:val="000000"/>
                <w:szCs w:val="22"/>
              </w:rPr>
              <w:t>；</w:t>
            </w:r>
            <w:r>
              <w:rPr>
                <w:color w:val="000000"/>
                <w:szCs w:val="22"/>
              </w:rPr>
              <w:br/>
            </w:r>
            <w:r>
              <w:rPr>
                <w:color w:val="000000"/>
                <w:szCs w:val="22"/>
              </w:rPr>
              <w:t>支持</w:t>
            </w:r>
            <w:r>
              <w:rPr>
                <w:color w:val="000000"/>
                <w:szCs w:val="22"/>
              </w:rPr>
              <w:t>4G</w:t>
            </w:r>
            <w:r>
              <w:rPr>
                <w:color w:val="000000"/>
                <w:szCs w:val="22"/>
              </w:rPr>
              <w:t>信息获取上报（信号值，卡号，</w:t>
            </w:r>
            <w:r>
              <w:rPr>
                <w:color w:val="000000"/>
                <w:szCs w:val="22"/>
              </w:rPr>
              <w:t xml:space="preserve">IMEI </w:t>
            </w:r>
            <w:r>
              <w:rPr>
                <w:color w:val="000000"/>
                <w:szCs w:val="22"/>
              </w:rPr>
              <w:t>号等）。</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9</w:t>
            </w:r>
          </w:p>
        </w:tc>
        <w:tc>
          <w:tcPr>
            <w:tcW w:w="997" w:type="pct"/>
            <w:tcBorders>
              <w:top w:val="single" w:sz="4" w:space="0" w:color="000000"/>
              <w:left w:val="single" w:sz="4" w:space="0" w:color="000000"/>
              <w:bottom w:val="single" w:sz="4" w:space="0" w:color="000000"/>
              <w:right w:val="single" w:sz="4" w:space="0" w:color="auto"/>
              <w:tl2br w:val="nil"/>
              <w:tr2bl w:val="nil"/>
            </w:tcBorders>
            <w:vAlign w:val="center"/>
          </w:tcPr>
          <w:p w:rsidR="005A0F0B">
            <w:pPr>
              <w:widowControl/>
              <w:adjustRightInd w:val="0"/>
              <w:textAlignment w:val="baseline"/>
              <w:rPr>
                <w:color w:val="000000"/>
              </w:rPr>
            </w:pPr>
            <w:r>
              <w:rPr>
                <w:color w:val="000000"/>
                <w:szCs w:val="22"/>
              </w:rPr>
              <w:t>人机交互</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需具备以下功能的信号显示灯：</w:t>
            </w:r>
          </w:p>
          <w:p w:rsidR="005A0F0B">
            <w:pPr>
              <w:widowControl/>
              <w:numPr>
                <w:ilvl w:val="0"/>
                <w:numId w:val="4"/>
              </w:numPr>
              <w:adjustRightInd w:val="0"/>
              <w:ind w:left="0" w:firstLine="0"/>
              <w:jc w:val="left"/>
              <w:textAlignment w:val="baseline"/>
              <w:rPr>
                <w:color w:val="000000"/>
              </w:rPr>
            </w:pPr>
            <w:r>
              <w:rPr>
                <w:color w:val="000000"/>
                <w:szCs w:val="22"/>
              </w:rPr>
              <w:t>通电状态；</w:t>
            </w:r>
          </w:p>
          <w:p w:rsidR="005A0F0B">
            <w:pPr>
              <w:widowControl/>
              <w:numPr>
                <w:ilvl w:val="0"/>
                <w:numId w:val="4"/>
              </w:numPr>
              <w:adjustRightInd w:val="0"/>
              <w:ind w:left="0" w:firstLine="0"/>
              <w:jc w:val="left"/>
              <w:textAlignment w:val="baseline"/>
              <w:rPr>
                <w:color w:val="000000"/>
              </w:rPr>
            </w:pPr>
            <w:r>
              <w:rPr>
                <w:color w:val="000000"/>
                <w:szCs w:val="22"/>
              </w:rPr>
              <w:t>定位状态：</w:t>
            </w:r>
            <w:r>
              <w:rPr>
                <w:color w:val="000000"/>
                <w:szCs w:val="22"/>
              </w:rPr>
              <w:t>搜星</w:t>
            </w:r>
            <w:r>
              <w:rPr>
                <w:color w:val="000000"/>
                <w:szCs w:val="22"/>
              </w:rPr>
              <w:t>/</w:t>
            </w:r>
            <w:r>
              <w:rPr>
                <w:color w:val="000000"/>
                <w:szCs w:val="22"/>
              </w:rPr>
              <w:t>定位成功；</w:t>
            </w:r>
          </w:p>
          <w:p w:rsidR="005A0F0B">
            <w:pPr>
              <w:widowControl/>
              <w:numPr>
                <w:ilvl w:val="0"/>
                <w:numId w:val="4"/>
              </w:numPr>
              <w:adjustRightInd w:val="0"/>
              <w:ind w:left="0" w:firstLine="0"/>
              <w:jc w:val="left"/>
              <w:textAlignment w:val="baseline"/>
              <w:rPr>
                <w:color w:val="000000"/>
              </w:rPr>
            </w:pPr>
            <w:r>
              <w:rPr>
                <w:color w:val="000000"/>
                <w:szCs w:val="22"/>
              </w:rPr>
              <w:t>与平台通讯状态；</w:t>
            </w:r>
          </w:p>
          <w:p w:rsidR="005A0F0B">
            <w:pPr>
              <w:widowControl/>
              <w:numPr>
                <w:ilvl w:val="0"/>
                <w:numId w:val="4"/>
              </w:numPr>
              <w:adjustRightInd w:val="0"/>
              <w:ind w:left="0" w:firstLine="0"/>
              <w:jc w:val="left"/>
              <w:textAlignment w:val="baseline"/>
              <w:rPr>
                <w:color w:val="000000"/>
              </w:rPr>
            </w:pPr>
            <w:r>
              <w:rPr>
                <w:color w:val="000000"/>
                <w:szCs w:val="22"/>
              </w:rPr>
              <w:t>设备连接状态：离线</w:t>
            </w:r>
            <w:r>
              <w:rPr>
                <w:color w:val="000000"/>
                <w:szCs w:val="22"/>
              </w:rPr>
              <w:t>/</w:t>
            </w:r>
            <w:r>
              <w:rPr>
                <w:color w:val="000000"/>
                <w:szCs w:val="22"/>
              </w:rPr>
              <w:t>在线。</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10</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通信</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numPr>
                <w:ilvl w:val="0"/>
                <w:numId w:val="5"/>
              </w:numPr>
              <w:adjustRightInd w:val="0"/>
              <w:ind w:left="0" w:firstLine="0"/>
              <w:jc w:val="left"/>
              <w:textAlignment w:val="baseline"/>
              <w:rPr>
                <w:color w:val="000000"/>
              </w:rPr>
            </w:pPr>
            <w:r>
              <w:rPr>
                <w:color w:val="000000"/>
                <w:szCs w:val="22"/>
              </w:rPr>
              <w:t>具备</w:t>
            </w:r>
            <w:r>
              <w:rPr>
                <w:color w:val="000000"/>
                <w:szCs w:val="22"/>
              </w:rPr>
              <w:t>2</w:t>
            </w:r>
            <w:r>
              <w:rPr>
                <w:color w:val="000000"/>
                <w:szCs w:val="22"/>
              </w:rPr>
              <w:t>个及以上串行通信接口，</w:t>
            </w:r>
            <w:r>
              <w:rPr>
                <w:color w:val="000000"/>
                <w:szCs w:val="22"/>
              </w:rPr>
              <w:t>1</w:t>
            </w:r>
            <w:r>
              <w:rPr>
                <w:color w:val="000000"/>
                <w:szCs w:val="22"/>
              </w:rPr>
              <w:t>个及以上以太网接口；</w:t>
            </w:r>
          </w:p>
          <w:p w:rsidR="005A0F0B">
            <w:pPr>
              <w:widowControl/>
              <w:numPr>
                <w:ilvl w:val="0"/>
                <w:numId w:val="5"/>
              </w:numPr>
              <w:adjustRightInd w:val="0"/>
              <w:ind w:left="0" w:firstLine="0"/>
              <w:jc w:val="left"/>
              <w:textAlignment w:val="baseline"/>
              <w:rPr>
                <w:color w:val="000000"/>
              </w:rPr>
            </w:pPr>
            <w:r>
              <w:rPr>
                <w:color w:val="000000"/>
                <w:szCs w:val="22"/>
              </w:rPr>
              <w:t>具备蜂窝通信功能；</w:t>
            </w:r>
          </w:p>
          <w:p w:rsidR="005A0F0B">
            <w:pPr>
              <w:widowControl/>
              <w:numPr>
                <w:ilvl w:val="0"/>
                <w:numId w:val="5"/>
              </w:numPr>
              <w:adjustRightInd w:val="0"/>
              <w:ind w:left="0" w:firstLine="0"/>
              <w:jc w:val="left"/>
              <w:textAlignment w:val="baseline"/>
              <w:rPr>
                <w:color w:val="000000"/>
              </w:rPr>
            </w:pPr>
            <w:r>
              <w:rPr>
                <w:color w:val="000000"/>
                <w:szCs w:val="22"/>
              </w:rPr>
              <w:t>具备</w:t>
            </w:r>
            <w:r>
              <w:rPr>
                <w:color w:val="000000"/>
                <w:szCs w:val="22"/>
              </w:rPr>
              <w:t>WIFI</w:t>
            </w:r>
            <w:r>
              <w:rPr>
                <w:color w:val="000000"/>
                <w:szCs w:val="22"/>
              </w:rPr>
              <w:t>功能；</w:t>
            </w:r>
          </w:p>
          <w:p w:rsidR="005A0F0B">
            <w:pPr>
              <w:widowControl/>
              <w:numPr>
                <w:ilvl w:val="0"/>
                <w:numId w:val="5"/>
              </w:numPr>
              <w:adjustRightInd w:val="0"/>
              <w:ind w:left="0" w:firstLine="0"/>
              <w:jc w:val="left"/>
              <w:textAlignment w:val="baseline"/>
              <w:rPr>
                <w:color w:val="000000"/>
              </w:rPr>
            </w:pPr>
            <w:r>
              <w:rPr>
                <w:color w:val="000000"/>
                <w:szCs w:val="22"/>
              </w:rPr>
              <w:t>北斗短报文：支持北斗三代</w:t>
            </w:r>
            <w:r>
              <w:rPr>
                <w:color w:val="000000"/>
                <w:szCs w:val="22"/>
              </w:rPr>
              <w:t xml:space="preserve"> RDSS</w:t>
            </w:r>
            <w:r>
              <w:rPr>
                <w:color w:val="000000"/>
                <w:szCs w:val="22"/>
              </w:rPr>
              <w:t>，单</w:t>
            </w:r>
            <w:r>
              <w:rPr>
                <w:color w:val="000000"/>
                <w:szCs w:val="22"/>
              </w:rPr>
              <w:t>包最大</w:t>
            </w:r>
            <w:r>
              <w:rPr>
                <w:color w:val="000000"/>
                <w:szCs w:val="22"/>
              </w:rPr>
              <w:t>支持通信等级</w:t>
            </w:r>
            <w:r>
              <w:rPr>
                <w:color w:val="000000"/>
                <w:szCs w:val="22"/>
              </w:rPr>
              <w:t>5</w:t>
            </w:r>
            <w:r>
              <w:rPr>
                <w:color w:val="000000"/>
                <w:szCs w:val="22"/>
              </w:rPr>
              <w:t>级（</w:t>
            </w:r>
            <w:r>
              <w:rPr>
                <w:color w:val="000000"/>
                <w:szCs w:val="22"/>
              </w:rPr>
              <w:t>1000</w:t>
            </w:r>
            <w:r>
              <w:rPr>
                <w:color w:val="000000"/>
                <w:szCs w:val="22"/>
              </w:rPr>
              <w:t>汉字）。</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11</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加密</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adjustRightInd w:val="0"/>
              <w:textAlignment w:val="baseline"/>
              <w:rPr>
                <w:color w:val="000000"/>
              </w:rPr>
            </w:pPr>
            <w:r>
              <w:rPr>
                <w:color w:val="000000"/>
                <w:szCs w:val="22"/>
              </w:rPr>
              <w:t>内置硬件加密芯片，支持</w:t>
            </w:r>
            <w:r>
              <w:rPr>
                <w:color w:val="000000"/>
                <w:szCs w:val="22"/>
              </w:rPr>
              <w:t xml:space="preserve">SM1,SM2,SM3,SM4 </w:t>
            </w:r>
            <w:r>
              <w:rPr>
                <w:color w:val="000000"/>
                <w:szCs w:val="22"/>
              </w:rPr>
              <w:t>加密。</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12</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整机特性</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numPr>
                <w:ilvl w:val="0"/>
                <w:numId w:val="6"/>
              </w:numPr>
              <w:adjustRightInd w:val="0"/>
              <w:ind w:left="0" w:firstLine="0"/>
              <w:jc w:val="left"/>
              <w:textAlignment w:val="baseline"/>
              <w:rPr>
                <w:color w:val="000000"/>
              </w:rPr>
            </w:pPr>
            <w:r>
              <w:rPr>
                <w:color w:val="000000"/>
                <w:szCs w:val="22"/>
              </w:rPr>
              <w:t>配置具有</w:t>
            </w:r>
            <w:r>
              <w:rPr>
                <w:color w:val="000000"/>
                <w:szCs w:val="22"/>
              </w:rPr>
              <w:t>“</w:t>
            </w:r>
            <w:r>
              <w:rPr>
                <w:color w:val="000000"/>
                <w:szCs w:val="22"/>
              </w:rPr>
              <w:t>内孔</w:t>
            </w:r>
            <w:r>
              <w:rPr>
                <w:color w:val="000000"/>
                <w:szCs w:val="22"/>
              </w:rPr>
              <w:t>”</w:t>
            </w:r>
            <w:r>
              <w:rPr>
                <w:color w:val="000000"/>
                <w:szCs w:val="22"/>
              </w:rPr>
              <w:t>结构的</w:t>
            </w:r>
            <w:r>
              <w:rPr>
                <w:color w:val="000000"/>
                <w:szCs w:val="22"/>
              </w:rPr>
              <w:t>4G LTE</w:t>
            </w:r>
            <w:r>
              <w:rPr>
                <w:color w:val="000000"/>
                <w:szCs w:val="22"/>
              </w:rPr>
              <w:t>天线，并配置外部增益天线；</w:t>
            </w:r>
          </w:p>
          <w:p w:rsidR="005A0F0B">
            <w:pPr>
              <w:widowControl/>
              <w:numPr>
                <w:ilvl w:val="0"/>
                <w:numId w:val="6"/>
              </w:numPr>
              <w:adjustRightInd w:val="0"/>
              <w:ind w:left="0" w:firstLine="0"/>
              <w:jc w:val="left"/>
              <w:textAlignment w:val="baseline"/>
              <w:rPr>
                <w:color w:val="000000"/>
              </w:rPr>
            </w:pPr>
            <w:r>
              <w:rPr>
                <w:color w:val="000000"/>
                <w:szCs w:val="22"/>
              </w:rPr>
              <w:t>供电电压：</w:t>
            </w:r>
            <w:r>
              <w:rPr>
                <w:color w:val="000000"/>
                <w:szCs w:val="22"/>
              </w:rPr>
              <w:t>DC</w:t>
            </w:r>
            <w:r>
              <w:rPr>
                <w:color w:val="000000"/>
                <w:szCs w:val="22"/>
              </w:rPr>
              <w:t>，</w:t>
            </w:r>
            <w:r>
              <w:rPr>
                <w:color w:val="000000"/>
                <w:szCs w:val="22"/>
              </w:rPr>
              <w:t>9</w:t>
            </w:r>
            <w:r>
              <w:rPr>
                <w:color w:val="000000"/>
                <w:szCs w:val="22"/>
              </w:rPr>
              <w:t>～</w:t>
            </w:r>
            <w:r>
              <w:rPr>
                <w:color w:val="000000"/>
                <w:szCs w:val="22"/>
              </w:rPr>
              <w:t>50V</w:t>
            </w:r>
            <w:r>
              <w:rPr>
                <w:color w:val="000000"/>
                <w:szCs w:val="22"/>
              </w:rPr>
              <w:t>；</w:t>
            </w:r>
          </w:p>
          <w:p w:rsidR="005A0F0B">
            <w:pPr>
              <w:widowControl/>
              <w:numPr>
                <w:ilvl w:val="0"/>
                <w:numId w:val="6"/>
              </w:numPr>
              <w:adjustRightInd w:val="0"/>
              <w:ind w:left="0" w:firstLine="0"/>
              <w:jc w:val="left"/>
              <w:textAlignment w:val="baseline"/>
              <w:rPr>
                <w:color w:val="000000"/>
              </w:rPr>
            </w:pPr>
            <w:r>
              <w:rPr>
                <w:color w:val="000000"/>
                <w:szCs w:val="22"/>
              </w:rPr>
              <w:t>待机功耗：＜</w:t>
            </w:r>
            <w:r>
              <w:rPr>
                <w:color w:val="000000"/>
                <w:szCs w:val="22"/>
              </w:rPr>
              <w:t>3W</w:t>
            </w:r>
            <w:r>
              <w:rPr>
                <w:color w:val="000000"/>
                <w:szCs w:val="22"/>
              </w:rPr>
              <w:t>；</w:t>
            </w:r>
          </w:p>
          <w:p w:rsidR="005A0F0B">
            <w:pPr>
              <w:widowControl/>
              <w:numPr>
                <w:ilvl w:val="0"/>
                <w:numId w:val="6"/>
              </w:numPr>
              <w:adjustRightInd w:val="0"/>
              <w:ind w:left="0" w:firstLine="0"/>
              <w:jc w:val="left"/>
              <w:textAlignment w:val="baseline"/>
              <w:rPr>
                <w:color w:val="000000"/>
              </w:rPr>
            </w:pPr>
            <w:r>
              <w:rPr>
                <w:color w:val="000000"/>
                <w:szCs w:val="22"/>
              </w:rPr>
              <w:t>最大峰值功耗</w:t>
            </w:r>
            <w:r>
              <w:rPr>
                <w:color w:val="000000"/>
                <w:szCs w:val="22"/>
              </w:rPr>
              <w:t>≤15W</w:t>
            </w:r>
            <w:r>
              <w:rPr>
                <w:color w:val="000000"/>
                <w:szCs w:val="22"/>
              </w:rPr>
              <w:t>；最大峰值电流</w:t>
            </w:r>
            <w:r>
              <w:rPr>
                <w:color w:val="000000"/>
                <w:szCs w:val="22"/>
              </w:rPr>
              <w:t>≤2A</w:t>
            </w:r>
            <w:r>
              <w:rPr>
                <w:color w:val="000000"/>
                <w:szCs w:val="22"/>
              </w:rPr>
              <w:t>；</w:t>
            </w:r>
          </w:p>
          <w:p w:rsidR="005A0F0B">
            <w:pPr>
              <w:widowControl/>
              <w:numPr>
                <w:ilvl w:val="0"/>
                <w:numId w:val="6"/>
              </w:numPr>
              <w:adjustRightInd w:val="0"/>
              <w:ind w:left="0" w:firstLine="0"/>
              <w:jc w:val="left"/>
              <w:textAlignment w:val="baseline"/>
              <w:rPr>
                <w:color w:val="000000"/>
              </w:rPr>
            </w:pPr>
            <w:r>
              <w:rPr>
                <w:color w:val="000000"/>
                <w:szCs w:val="22"/>
              </w:rPr>
              <w:t>尺寸：尺寸直径</w:t>
            </w:r>
            <w:r>
              <w:rPr>
                <w:color w:val="000000"/>
                <w:szCs w:val="22"/>
              </w:rPr>
              <w:t>≤120mm</w:t>
            </w:r>
            <w:r>
              <w:rPr>
                <w:color w:val="000000"/>
                <w:szCs w:val="22"/>
              </w:rPr>
              <w:t>，高度</w:t>
            </w:r>
            <w:r>
              <w:rPr>
                <w:color w:val="000000"/>
                <w:szCs w:val="22"/>
              </w:rPr>
              <w:t>≤90mm</w:t>
            </w:r>
            <w:r>
              <w:rPr>
                <w:color w:val="000000"/>
                <w:szCs w:val="22"/>
              </w:rPr>
              <w:t>；</w:t>
            </w:r>
          </w:p>
          <w:p w:rsidR="005A0F0B">
            <w:pPr>
              <w:widowControl/>
              <w:numPr>
                <w:ilvl w:val="0"/>
                <w:numId w:val="6"/>
              </w:numPr>
              <w:adjustRightInd w:val="0"/>
              <w:ind w:left="0" w:firstLine="0"/>
              <w:jc w:val="left"/>
              <w:textAlignment w:val="baseline"/>
              <w:rPr>
                <w:color w:val="000000"/>
              </w:rPr>
            </w:pPr>
            <w:r>
              <w:rPr>
                <w:color w:val="000000"/>
                <w:szCs w:val="22"/>
              </w:rPr>
              <w:t>工作温度：</w:t>
            </w:r>
            <w:r>
              <w:rPr>
                <w:color w:val="000000"/>
                <w:szCs w:val="22"/>
              </w:rPr>
              <w:t>-30°C</w:t>
            </w:r>
            <w:r>
              <w:rPr>
                <w:color w:val="000000"/>
                <w:szCs w:val="22"/>
              </w:rPr>
              <w:t>～</w:t>
            </w:r>
            <w:r>
              <w:rPr>
                <w:color w:val="000000"/>
                <w:szCs w:val="22"/>
              </w:rPr>
              <w:t>70°C</w:t>
            </w:r>
            <w:r>
              <w:rPr>
                <w:color w:val="000000"/>
                <w:szCs w:val="22"/>
              </w:rPr>
              <w:t>；</w:t>
            </w:r>
          </w:p>
          <w:p w:rsidR="005A0F0B">
            <w:pPr>
              <w:widowControl/>
              <w:numPr>
                <w:ilvl w:val="0"/>
                <w:numId w:val="6"/>
              </w:numPr>
              <w:adjustRightInd w:val="0"/>
              <w:ind w:left="0" w:firstLine="0"/>
              <w:jc w:val="left"/>
              <w:textAlignment w:val="baseline"/>
              <w:rPr>
                <w:color w:val="000000"/>
              </w:rPr>
            </w:pPr>
            <w:r>
              <w:rPr>
                <w:color w:val="000000"/>
                <w:szCs w:val="22"/>
              </w:rPr>
              <w:t>工作湿度：＜</w:t>
            </w:r>
            <w:r>
              <w:rPr>
                <w:color w:val="000000"/>
                <w:szCs w:val="22"/>
              </w:rPr>
              <w:t>95%</w:t>
            </w:r>
            <w:r>
              <w:rPr>
                <w:color w:val="000000"/>
                <w:szCs w:val="22"/>
              </w:rPr>
              <w:t>，无凝露；</w:t>
            </w:r>
          </w:p>
          <w:p w:rsidR="005A0F0B">
            <w:pPr>
              <w:widowControl/>
              <w:numPr>
                <w:ilvl w:val="0"/>
                <w:numId w:val="6"/>
              </w:numPr>
              <w:adjustRightInd w:val="0"/>
              <w:ind w:left="0" w:firstLine="0"/>
              <w:jc w:val="left"/>
              <w:textAlignment w:val="baseline"/>
              <w:rPr>
                <w:color w:val="000000"/>
              </w:rPr>
            </w:pPr>
            <w:r>
              <w:rPr>
                <w:color w:val="000000"/>
                <w:szCs w:val="22"/>
              </w:rPr>
              <w:t>存储温度：</w:t>
            </w:r>
            <w:r>
              <w:rPr>
                <w:color w:val="000000"/>
                <w:szCs w:val="22"/>
              </w:rPr>
              <w:t>-40°C</w:t>
            </w:r>
            <w:r>
              <w:rPr>
                <w:color w:val="000000"/>
                <w:szCs w:val="22"/>
              </w:rPr>
              <w:t>～</w:t>
            </w:r>
            <w:r>
              <w:rPr>
                <w:color w:val="000000"/>
                <w:szCs w:val="22"/>
              </w:rPr>
              <w:t>+80°C</w:t>
            </w:r>
            <w:r>
              <w:rPr>
                <w:color w:val="000000"/>
                <w:szCs w:val="22"/>
              </w:rPr>
              <w:t>；</w:t>
            </w:r>
          </w:p>
          <w:p w:rsidR="005A0F0B">
            <w:pPr>
              <w:widowControl/>
              <w:numPr>
                <w:ilvl w:val="0"/>
                <w:numId w:val="6"/>
              </w:numPr>
              <w:adjustRightInd w:val="0"/>
              <w:ind w:left="0" w:firstLine="0"/>
              <w:jc w:val="left"/>
              <w:textAlignment w:val="baseline"/>
              <w:rPr>
                <w:color w:val="000000"/>
              </w:rPr>
            </w:pPr>
            <w:r>
              <w:rPr>
                <w:color w:val="000000"/>
                <w:szCs w:val="22"/>
              </w:rPr>
              <w:t>平均无故障时间：</w:t>
            </w:r>
            <w:r>
              <w:rPr>
                <w:color w:val="000000"/>
                <w:szCs w:val="22"/>
              </w:rPr>
              <w:t xml:space="preserve">≥5000 </w:t>
            </w:r>
            <w:r>
              <w:rPr>
                <w:color w:val="000000"/>
                <w:szCs w:val="22"/>
              </w:rPr>
              <w:t>小时，</w:t>
            </w:r>
          </w:p>
          <w:p w:rsidR="005A0F0B">
            <w:pPr>
              <w:widowControl/>
              <w:numPr>
                <w:ilvl w:val="0"/>
                <w:numId w:val="6"/>
              </w:numPr>
              <w:adjustRightInd w:val="0"/>
              <w:ind w:left="0" w:firstLine="0"/>
              <w:jc w:val="left"/>
              <w:textAlignment w:val="baseline"/>
              <w:rPr>
                <w:color w:val="000000"/>
              </w:rPr>
            </w:pPr>
            <w:r>
              <w:rPr>
                <w:color w:val="000000"/>
                <w:szCs w:val="22"/>
              </w:rPr>
              <w:t>使用寿命＞</w:t>
            </w:r>
            <w:r>
              <w:rPr>
                <w:color w:val="000000"/>
                <w:szCs w:val="22"/>
              </w:rPr>
              <w:t xml:space="preserve">5 </w:t>
            </w:r>
            <w:r>
              <w:rPr>
                <w:color w:val="000000"/>
                <w:szCs w:val="22"/>
              </w:rPr>
              <w:t>年。</w:t>
            </w:r>
          </w:p>
        </w:tc>
      </w:tr>
      <w:tr>
        <w:tblPrEx>
          <w:tblW w:w="5042" w:type="pct"/>
          <w:jc w:val="center"/>
          <w:tblLook w:val="04A0"/>
        </w:tblPrEx>
        <w:trPr>
          <w:trHeight w:val="454"/>
          <w:jc w:val="center"/>
        </w:trPr>
        <w:tc>
          <w:tcPr>
            <w:tcW w:w="398"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jc w:val="center"/>
              <w:textAlignment w:val="baseline"/>
              <w:rPr>
                <w:color w:val="000000"/>
              </w:rPr>
            </w:pPr>
            <w:r>
              <w:rPr>
                <w:color w:val="000000"/>
                <w:szCs w:val="22"/>
              </w:rPr>
              <w:t>13</w:t>
            </w:r>
          </w:p>
        </w:tc>
        <w:tc>
          <w:tcPr>
            <w:tcW w:w="997" w:type="pct"/>
            <w:tcBorders>
              <w:top w:val="single" w:sz="4" w:space="0" w:color="000000"/>
              <w:left w:val="single" w:sz="4" w:space="0" w:color="000000"/>
              <w:bottom w:val="single" w:sz="4" w:space="0" w:color="000000"/>
              <w:right w:val="single" w:sz="4" w:space="0" w:color="auto"/>
              <w:tl2br w:val="nil"/>
              <w:tr2bl w:val="nil"/>
            </w:tcBorders>
            <w:shd w:val="clear" w:color="auto" w:fill="FFFFFF"/>
            <w:vAlign w:val="center"/>
          </w:tcPr>
          <w:p w:rsidR="005A0F0B">
            <w:pPr>
              <w:widowControl/>
              <w:adjustRightInd w:val="0"/>
              <w:textAlignment w:val="baseline"/>
              <w:rPr>
                <w:color w:val="000000"/>
              </w:rPr>
            </w:pPr>
            <w:r>
              <w:rPr>
                <w:color w:val="000000"/>
                <w:szCs w:val="22"/>
              </w:rPr>
              <w:t>设备配套软件功能</w:t>
            </w:r>
          </w:p>
        </w:tc>
        <w:tc>
          <w:tcPr>
            <w:tcW w:w="3603" w:type="pct"/>
            <w:tcBorders>
              <w:top w:val="single" w:sz="4" w:space="0" w:color="000000"/>
              <w:left w:val="single" w:sz="4" w:space="0" w:color="000000"/>
              <w:bottom w:val="single" w:sz="4" w:space="0" w:color="000000"/>
              <w:right w:val="single" w:sz="4" w:space="0" w:color="000000"/>
              <w:tl2br w:val="nil"/>
              <w:tr2bl w:val="nil"/>
            </w:tcBorders>
            <w:shd w:val="clear" w:color="auto" w:fill="FFFFFF"/>
            <w:vAlign w:val="center"/>
          </w:tcPr>
          <w:p w:rsidR="005A0F0B">
            <w:pPr>
              <w:widowControl/>
              <w:numPr>
                <w:ilvl w:val="0"/>
                <w:numId w:val="7"/>
              </w:numPr>
              <w:adjustRightInd w:val="0"/>
              <w:ind w:left="0" w:firstLine="0"/>
              <w:jc w:val="left"/>
              <w:textAlignment w:val="baseline"/>
              <w:rPr>
                <w:color w:val="000000"/>
              </w:rPr>
            </w:pPr>
            <w:r>
              <w:rPr>
                <w:color w:val="000000"/>
                <w:szCs w:val="22"/>
              </w:rPr>
              <w:t>支持装备编码写入存在本地，终端通信成功后，上报本地装备编码；</w:t>
            </w:r>
          </w:p>
          <w:p w:rsidR="005A0F0B">
            <w:pPr>
              <w:widowControl/>
              <w:numPr>
                <w:ilvl w:val="0"/>
                <w:numId w:val="7"/>
              </w:numPr>
              <w:adjustRightInd w:val="0"/>
              <w:ind w:left="0" w:firstLine="0"/>
              <w:jc w:val="left"/>
              <w:textAlignment w:val="baseline"/>
              <w:rPr>
                <w:color w:val="000000"/>
              </w:rPr>
            </w:pPr>
            <w:r>
              <w:rPr>
                <w:color w:val="000000"/>
                <w:szCs w:val="22"/>
              </w:rPr>
              <w:t>支持</w:t>
            </w:r>
            <w:r>
              <w:rPr>
                <w:color w:val="000000"/>
                <w:szCs w:val="22"/>
              </w:rPr>
              <w:t xml:space="preserve"> 4G </w:t>
            </w:r>
            <w:r>
              <w:rPr>
                <w:color w:val="000000"/>
                <w:szCs w:val="22"/>
              </w:rPr>
              <w:t>信息获取和上报（信号值，卡号，</w:t>
            </w:r>
            <w:r>
              <w:rPr>
                <w:color w:val="000000"/>
                <w:szCs w:val="22"/>
              </w:rPr>
              <w:t xml:space="preserve">IMEI </w:t>
            </w:r>
            <w:r>
              <w:rPr>
                <w:color w:val="000000"/>
                <w:szCs w:val="22"/>
              </w:rPr>
              <w:t>号等）；</w:t>
            </w:r>
          </w:p>
          <w:p w:rsidR="005A0F0B">
            <w:pPr>
              <w:widowControl/>
              <w:numPr>
                <w:ilvl w:val="0"/>
                <w:numId w:val="7"/>
              </w:numPr>
              <w:adjustRightInd w:val="0"/>
              <w:ind w:left="0" w:firstLine="0"/>
              <w:jc w:val="left"/>
              <w:textAlignment w:val="baseline"/>
              <w:rPr>
                <w:rFonts w:ascii="Calibri" w:hAnsi="Calibri"/>
              </w:rPr>
            </w:pPr>
            <w:r>
              <w:rPr>
                <w:color w:val="000000"/>
                <w:szCs w:val="22"/>
              </w:rPr>
              <w:t>具备</w:t>
            </w:r>
            <w:r>
              <w:rPr>
                <w:color w:val="000000"/>
                <w:szCs w:val="22"/>
              </w:rPr>
              <w:t>4G</w:t>
            </w:r>
            <w:r>
              <w:rPr>
                <w:color w:val="000000"/>
                <w:szCs w:val="22"/>
              </w:rPr>
              <w:t>通信功能，支持远程在线升级与参数配置；</w:t>
            </w:r>
          </w:p>
          <w:p w:rsidR="005A0F0B">
            <w:pPr>
              <w:widowControl/>
              <w:numPr>
                <w:ilvl w:val="0"/>
                <w:numId w:val="7"/>
              </w:numPr>
              <w:adjustRightInd w:val="0"/>
              <w:ind w:left="0" w:firstLine="0"/>
              <w:jc w:val="left"/>
              <w:textAlignment w:val="baseline"/>
              <w:rPr>
                <w:color w:val="000000"/>
              </w:rPr>
            </w:pPr>
            <w:r>
              <w:rPr>
                <w:color w:val="000000"/>
                <w:szCs w:val="22"/>
              </w:rPr>
              <w:t>需提供出厂测试工具，包括：查看北斗卡号、</w:t>
            </w:r>
            <w:r>
              <w:rPr>
                <w:color w:val="000000"/>
                <w:szCs w:val="22"/>
              </w:rPr>
              <w:t xml:space="preserve"> 4G </w:t>
            </w:r>
            <w:r>
              <w:rPr>
                <w:color w:val="000000"/>
                <w:szCs w:val="22"/>
              </w:rPr>
              <w:t>卡号、固件版本、终端序列号，写入的装备编码，各模块功能测试及结果显示。</w:t>
            </w:r>
          </w:p>
        </w:tc>
      </w:tr>
    </w:tbl>
    <w:p w:rsidR="005A0F0B">
      <w:pPr>
        <w:spacing w:line="360" w:lineRule="auto"/>
        <w:ind w:firstLine="420" w:firstLineChars="200"/>
        <w:rPr>
          <w:rFonts w:ascii="宋体" w:hAnsi="宋体"/>
          <w:szCs w:val="21"/>
        </w:rPr>
      </w:pPr>
    </w:p>
    <w:p w:rsidR="005A0F0B">
      <w:pPr>
        <w:spacing w:line="360" w:lineRule="auto"/>
        <w:ind w:firstLine="420" w:firstLineChars="200"/>
        <w:rPr>
          <w:rFonts w:ascii="宋体" w:hAnsi="宋体"/>
          <w:szCs w:val="21"/>
        </w:rPr>
      </w:pPr>
      <w:r>
        <w:rPr>
          <w:rFonts w:ascii="宋体" w:hAnsi="宋体" w:hint="eastAsia"/>
          <w:szCs w:val="21"/>
        </w:rPr>
        <w:t>四、检验考核要求</w:t>
      </w:r>
    </w:p>
    <w:p w:rsidR="005A0F0B">
      <w:pPr>
        <w:spacing w:line="360" w:lineRule="auto"/>
        <w:ind w:firstLine="420" w:firstLineChars="200"/>
        <w:rPr>
          <w:rFonts w:ascii="宋体" w:hAnsi="宋体"/>
          <w:szCs w:val="21"/>
        </w:rPr>
      </w:pPr>
      <w:r>
        <w:rPr>
          <w:rFonts w:ascii="宋体" w:hAnsi="宋体" w:hint="eastAsia"/>
          <w:szCs w:val="21"/>
        </w:rPr>
        <w:t>1.</w:t>
      </w:r>
      <w:r>
        <w:rPr>
          <w:rFonts w:ascii="宋体" w:hAnsi="宋体" w:hint="eastAsia"/>
          <w:szCs w:val="21"/>
        </w:rPr>
        <w:t>设备的包装必须是制造商原厂包装，保证其在运输和保存过程中不被损坏。</w:t>
      </w:r>
    </w:p>
    <w:p w:rsidR="005A0F0B">
      <w:pPr>
        <w:spacing w:line="360" w:lineRule="auto"/>
        <w:ind w:firstLine="420" w:firstLineChars="200"/>
        <w:rPr>
          <w:rFonts w:ascii="宋体" w:hAnsi="宋体"/>
          <w:szCs w:val="21"/>
        </w:rPr>
      </w:pPr>
      <w:r>
        <w:rPr>
          <w:rFonts w:ascii="宋体" w:hAnsi="宋体" w:hint="eastAsia"/>
          <w:szCs w:val="21"/>
        </w:rPr>
        <w:t>2.</w:t>
      </w:r>
      <w:r>
        <w:rPr>
          <w:rFonts w:ascii="宋体" w:hAnsi="宋体" w:hint="eastAsia"/>
          <w:szCs w:val="21"/>
        </w:rPr>
        <w:t>中标人负责将货物到现场过程中的全部运输。</w:t>
      </w:r>
    </w:p>
    <w:p w:rsidR="005A0F0B">
      <w:pPr>
        <w:spacing w:line="360" w:lineRule="auto"/>
        <w:ind w:firstLine="420" w:firstLineChars="200"/>
        <w:rPr>
          <w:rFonts w:ascii="宋体" w:hAnsi="宋体"/>
          <w:szCs w:val="21"/>
        </w:rPr>
      </w:pPr>
      <w:r>
        <w:rPr>
          <w:rFonts w:ascii="宋体" w:hAnsi="宋体" w:hint="eastAsia"/>
          <w:szCs w:val="21"/>
        </w:rPr>
        <w:t>3.</w:t>
      </w:r>
      <w:r>
        <w:rPr>
          <w:rFonts w:ascii="宋体" w:hAnsi="宋体" w:hint="eastAsia"/>
          <w:szCs w:val="21"/>
        </w:rPr>
        <w:t>设备必须提供装箱清单，</w:t>
      </w:r>
      <w:r>
        <w:rPr>
          <w:rFonts w:ascii="宋体" w:hAnsi="宋体" w:hint="eastAsia"/>
          <w:szCs w:val="21"/>
        </w:rPr>
        <w:t>按装</w:t>
      </w:r>
      <w:r>
        <w:rPr>
          <w:rFonts w:ascii="宋体" w:hAnsi="宋体" w:hint="eastAsia"/>
          <w:szCs w:val="21"/>
        </w:rPr>
        <w:t>箱清单验收货物。并出具出厂合格证，序列号。所有</w:t>
      </w:r>
      <w:r>
        <w:rPr>
          <w:rFonts w:ascii="宋体" w:hAnsi="宋体" w:hint="eastAsia"/>
          <w:szCs w:val="21"/>
        </w:rPr>
        <w:t>随设备</w:t>
      </w:r>
      <w:r>
        <w:rPr>
          <w:rFonts w:ascii="宋体" w:hAnsi="宋体" w:hint="eastAsia"/>
          <w:szCs w:val="21"/>
        </w:rPr>
        <w:t>的附件必须齐全。</w:t>
      </w:r>
    </w:p>
    <w:p w:rsidR="005A0F0B">
      <w:pPr>
        <w:spacing w:line="360" w:lineRule="auto"/>
        <w:ind w:firstLine="420" w:firstLineChars="200"/>
        <w:rPr>
          <w:rFonts w:ascii="宋体" w:hAnsi="宋体"/>
          <w:szCs w:val="21"/>
        </w:rPr>
      </w:pPr>
      <w:r>
        <w:rPr>
          <w:rFonts w:ascii="宋体" w:hAnsi="宋体" w:hint="eastAsia"/>
          <w:szCs w:val="21"/>
        </w:rPr>
        <w:t>4.</w:t>
      </w:r>
      <w:r>
        <w:rPr>
          <w:rFonts w:ascii="宋体" w:hAnsi="宋体" w:hint="eastAsia"/>
          <w:szCs w:val="21"/>
        </w:rPr>
        <w:t>中标人应将关键主机设备的用户手册、保修手册、有关单证资料及配备件、随机工具等交付给采购人，使用操作及安全须知等重要资料应附有中文说明。</w:t>
      </w:r>
    </w:p>
    <w:p w:rsidR="005A0F0B">
      <w:pPr>
        <w:spacing w:line="360" w:lineRule="auto"/>
        <w:ind w:firstLine="420" w:firstLineChars="200"/>
        <w:rPr>
          <w:rFonts w:ascii="宋体" w:hAnsi="宋体"/>
          <w:szCs w:val="21"/>
        </w:rPr>
      </w:pPr>
      <w:r>
        <w:rPr>
          <w:rFonts w:ascii="宋体" w:hAnsi="宋体" w:hint="eastAsia"/>
          <w:szCs w:val="21"/>
        </w:rPr>
        <w:t>5.</w:t>
      </w:r>
      <w:r>
        <w:rPr>
          <w:rFonts w:ascii="宋体" w:hAnsi="宋体" w:hint="eastAsia"/>
          <w:szCs w:val="21"/>
        </w:rPr>
        <w:t>设备的拆箱、安装、调试等工作由中标人负责，但必须在采购人指定人员的参与下进行。在实际实施前必须先经采购人同意方可进行，调试的原始记录须经各方签字后作为验收的文件组成部分。</w:t>
      </w:r>
    </w:p>
    <w:p w:rsidR="005A0F0B">
      <w:pPr>
        <w:spacing w:line="360" w:lineRule="auto"/>
        <w:ind w:firstLine="420" w:firstLineChars="200"/>
        <w:rPr>
          <w:rFonts w:ascii="宋体" w:hAnsi="宋体"/>
          <w:szCs w:val="21"/>
        </w:rPr>
      </w:pPr>
      <w:r>
        <w:rPr>
          <w:rFonts w:ascii="宋体" w:hAnsi="宋体" w:hint="eastAsia"/>
          <w:szCs w:val="21"/>
        </w:rPr>
        <w:t>6.</w:t>
      </w:r>
      <w:r>
        <w:rPr>
          <w:rFonts w:ascii="宋体" w:hAnsi="宋体" w:hint="eastAsia"/>
          <w:szCs w:val="21"/>
        </w:rPr>
        <w:t>所有设备、仪器在开箱时必须完好，无破损，整机无污染，无侵权行为、表面无划痕、无任何缺陷隐患。配置与装箱单相符。数量、质量及性能不低于本项目提出的要求。所有设备为原制造商制造的全新产品，在中国境内可依常规安全合法使用。</w:t>
      </w:r>
    </w:p>
    <w:p w:rsidR="005A0F0B">
      <w:pPr>
        <w:spacing w:line="360" w:lineRule="auto"/>
        <w:ind w:firstLine="420" w:firstLineChars="200"/>
        <w:rPr>
          <w:rFonts w:ascii="宋体" w:hAnsi="宋体"/>
          <w:szCs w:val="21"/>
        </w:rPr>
      </w:pPr>
      <w:r>
        <w:rPr>
          <w:rFonts w:ascii="宋体" w:hAnsi="宋体" w:hint="eastAsia"/>
          <w:szCs w:val="21"/>
        </w:rPr>
        <w:t>7.</w:t>
      </w:r>
      <w:r>
        <w:rPr>
          <w:rFonts w:ascii="宋体" w:hAnsi="宋体" w:hint="eastAsia"/>
          <w:szCs w:val="21"/>
        </w:rPr>
        <w:t>中标人应出具针对本项目的详细验收方案。</w:t>
      </w:r>
    </w:p>
    <w:p w:rsidR="005A0F0B">
      <w:pPr>
        <w:spacing w:line="360" w:lineRule="auto"/>
        <w:ind w:firstLine="420" w:firstLineChars="200"/>
        <w:rPr>
          <w:rFonts w:ascii="宋体" w:hAnsi="宋体"/>
          <w:szCs w:val="21"/>
        </w:rPr>
      </w:pPr>
      <w:r>
        <w:rPr>
          <w:rFonts w:ascii="宋体" w:hAnsi="宋体" w:hint="eastAsia"/>
          <w:szCs w:val="21"/>
        </w:rPr>
        <w:t>8.</w:t>
      </w:r>
      <w:r>
        <w:rPr>
          <w:rFonts w:ascii="宋体" w:hAnsi="宋体" w:hint="eastAsia"/>
          <w:szCs w:val="21"/>
        </w:rPr>
        <w:t>主要设备仪器在产品到货验收时，必须有技术人员现场协助，此验收报告作</w:t>
      </w:r>
      <w:r>
        <w:rPr>
          <w:rFonts w:ascii="宋体" w:hAnsi="宋体" w:hint="eastAsia"/>
          <w:szCs w:val="21"/>
        </w:rPr>
        <w:t>为项目验收必备文件。</w:t>
      </w:r>
    </w:p>
    <w:p w:rsidR="005A0F0B">
      <w:pPr>
        <w:spacing w:line="360" w:lineRule="auto"/>
        <w:ind w:firstLine="420" w:firstLineChars="200"/>
        <w:rPr>
          <w:rFonts w:ascii="宋体" w:hAnsi="宋体"/>
          <w:szCs w:val="21"/>
        </w:rPr>
      </w:pPr>
      <w:r>
        <w:rPr>
          <w:rFonts w:ascii="宋体" w:hAnsi="宋体" w:hint="eastAsia"/>
          <w:szCs w:val="21"/>
        </w:rPr>
        <w:t>9.</w:t>
      </w:r>
      <w:r>
        <w:rPr>
          <w:rFonts w:ascii="宋体" w:hAnsi="宋体" w:hint="eastAsia"/>
          <w:szCs w:val="21"/>
        </w:rPr>
        <w:t>验收由采购人、中标人及相关人员依据国家有关标准、合同及有关附件要求进行。</w:t>
      </w:r>
    </w:p>
    <w:p w:rsidR="005A0F0B">
      <w:pPr>
        <w:spacing w:line="360" w:lineRule="auto"/>
        <w:ind w:firstLine="420" w:firstLineChars="200"/>
        <w:rPr>
          <w:rFonts w:ascii="宋体" w:hAnsi="宋体"/>
          <w:szCs w:val="21"/>
        </w:rPr>
      </w:pPr>
      <w:r>
        <w:rPr>
          <w:rFonts w:ascii="宋体" w:hAnsi="宋体" w:hint="eastAsia"/>
          <w:szCs w:val="21"/>
        </w:rPr>
        <w:t>10.</w:t>
      </w:r>
      <w:r>
        <w:rPr>
          <w:rFonts w:ascii="宋体" w:hAnsi="宋体" w:hint="eastAsia"/>
          <w:szCs w:val="21"/>
        </w:rPr>
        <w:t>供货地点：用户指定地点。</w:t>
      </w:r>
    </w:p>
    <w:p w:rsidR="005A0F0B">
      <w:pPr>
        <w:spacing w:line="360" w:lineRule="auto"/>
        <w:ind w:firstLine="420" w:firstLineChars="200"/>
        <w:rPr>
          <w:rFonts w:ascii="宋体" w:hAnsi="宋体"/>
          <w:szCs w:val="21"/>
        </w:rPr>
      </w:pPr>
      <w:r>
        <w:rPr>
          <w:rFonts w:ascii="宋体" w:hAnsi="宋体" w:hint="eastAsia"/>
          <w:szCs w:val="21"/>
        </w:rPr>
        <w:t>11.</w:t>
      </w:r>
      <w:r>
        <w:rPr>
          <w:rFonts w:ascii="宋体" w:hAnsi="宋体" w:hint="eastAsia"/>
          <w:szCs w:val="21"/>
        </w:rPr>
        <w:t>中标人负责本项目所有设备的安装调试以及所有必需的线材与备件等。</w:t>
      </w:r>
    </w:p>
    <w:p w:rsidR="005A0F0B">
      <w:pPr>
        <w:spacing w:line="360" w:lineRule="auto"/>
        <w:ind w:firstLine="420" w:firstLineChars="200"/>
        <w:rPr>
          <w:rFonts w:ascii="宋体" w:hAnsi="宋体"/>
          <w:szCs w:val="21"/>
        </w:rPr>
      </w:pPr>
      <w:r>
        <w:rPr>
          <w:rFonts w:ascii="宋体" w:hAnsi="宋体" w:hint="eastAsia"/>
          <w:szCs w:val="21"/>
        </w:rPr>
        <w:t>12.</w:t>
      </w:r>
      <w:r>
        <w:rPr>
          <w:rFonts w:ascii="宋体" w:hAnsi="宋体" w:hint="eastAsia"/>
          <w:szCs w:val="21"/>
        </w:rPr>
        <w:t>中标人应设安装负责人，负责安装协调管理工作。</w:t>
      </w:r>
    </w:p>
    <w:p w:rsidR="005A0F0B">
      <w:pPr>
        <w:spacing w:line="360" w:lineRule="auto"/>
        <w:ind w:firstLine="420" w:firstLineChars="200"/>
        <w:rPr>
          <w:rFonts w:ascii="宋体" w:hAnsi="宋体"/>
          <w:szCs w:val="21"/>
        </w:rPr>
      </w:pPr>
      <w:r>
        <w:rPr>
          <w:rFonts w:ascii="宋体" w:hAnsi="宋体" w:hint="eastAsia"/>
          <w:szCs w:val="21"/>
        </w:rPr>
        <w:t>13.</w:t>
      </w:r>
      <w:r>
        <w:rPr>
          <w:rFonts w:ascii="宋体" w:hAnsi="宋体" w:hint="eastAsia"/>
          <w:szCs w:val="21"/>
        </w:rPr>
        <w:t>安装所需工具设施物料由中标人自备、自费运到现场，完工后自费搬走。</w:t>
      </w:r>
    </w:p>
    <w:p w:rsidR="005A0F0B">
      <w:pPr>
        <w:spacing w:line="360" w:lineRule="auto"/>
        <w:ind w:firstLine="420" w:firstLineChars="200"/>
        <w:rPr>
          <w:rFonts w:ascii="宋体" w:hAnsi="宋体"/>
          <w:szCs w:val="21"/>
        </w:rPr>
      </w:pPr>
      <w:r>
        <w:rPr>
          <w:rFonts w:ascii="宋体" w:hAnsi="宋体" w:hint="eastAsia"/>
          <w:szCs w:val="21"/>
        </w:rPr>
        <w:t>14.</w:t>
      </w:r>
      <w:r>
        <w:rPr>
          <w:rFonts w:ascii="宋体" w:hAnsi="宋体" w:hint="eastAsia"/>
          <w:szCs w:val="21"/>
        </w:rPr>
        <w:t>供应商供货的设备，其性能指标应满足中国气象局专项保障司下发的《固定作业站点安全监控技术要求》和《固定作业站点安全监控测试大纲》的相关要求，测试通过后方可进行交付验收。</w:t>
      </w:r>
    </w:p>
    <w:p w:rsidR="005A0F0B">
      <w:pPr>
        <w:spacing w:line="360" w:lineRule="auto"/>
        <w:ind w:firstLine="420" w:firstLineChars="200"/>
        <w:rPr>
          <w:rFonts w:ascii="宋体" w:hAnsi="宋体"/>
          <w:szCs w:val="21"/>
        </w:rPr>
      </w:pPr>
      <w:r>
        <w:rPr>
          <w:rFonts w:ascii="宋体" w:hAnsi="宋体" w:hint="eastAsia"/>
          <w:szCs w:val="21"/>
        </w:rPr>
        <w:t>五、交货期</w:t>
      </w:r>
    </w:p>
    <w:p w:rsidR="005A0F0B">
      <w:pPr>
        <w:spacing w:line="360" w:lineRule="auto"/>
        <w:ind w:firstLine="420" w:firstLineChars="200"/>
        <w:rPr>
          <w:rFonts w:ascii="宋体" w:hAnsi="宋体"/>
          <w:szCs w:val="21"/>
        </w:rPr>
      </w:pPr>
      <w:r>
        <w:rPr>
          <w:rFonts w:ascii="宋体" w:hAnsi="宋体" w:hint="eastAsia"/>
          <w:szCs w:val="21"/>
        </w:rPr>
        <w:t>合同签订后</w:t>
      </w:r>
      <w:r>
        <w:rPr>
          <w:rFonts w:ascii="宋体" w:hAnsi="宋体" w:hint="eastAsia"/>
          <w:szCs w:val="21"/>
        </w:rPr>
        <w:t>180</w:t>
      </w:r>
      <w:r>
        <w:rPr>
          <w:rFonts w:ascii="宋体" w:hAnsi="宋体" w:hint="eastAsia"/>
          <w:szCs w:val="21"/>
        </w:rPr>
        <w:t>天内完成交货、安装调试并具备验收条件。</w:t>
      </w:r>
    </w:p>
    <w:p w:rsidR="005A0F0B">
      <w:pPr>
        <w:spacing w:line="360" w:lineRule="auto"/>
        <w:ind w:firstLine="420" w:firstLineChars="200"/>
        <w:rPr>
          <w:rFonts w:ascii="宋体" w:hAnsi="宋体"/>
          <w:szCs w:val="21"/>
        </w:rPr>
      </w:pPr>
      <w:r>
        <w:rPr>
          <w:rFonts w:ascii="宋体" w:hAnsi="宋体" w:hint="eastAsia"/>
          <w:szCs w:val="21"/>
        </w:rPr>
        <w:t>六、技术服务和</w:t>
      </w:r>
      <w:r>
        <w:rPr>
          <w:rFonts w:ascii="宋体" w:hAnsi="宋体" w:hint="eastAsia"/>
          <w:szCs w:val="21"/>
        </w:rPr>
        <w:t>质保期</w:t>
      </w:r>
      <w:r>
        <w:rPr>
          <w:rFonts w:ascii="宋体" w:hAnsi="宋体" w:hint="eastAsia"/>
          <w:szCs w:val="21"/>
        </w:rPr>
        <w:t>服务要求</w:t>
      </w:r>
    </w:p>
    <w:p w:rsidR="005A0F0B">
      <w:pPr>
        <w:spacing w:line="360" w:lineRule="auto"/>
        <w:ind w:firstLine="412" w:firstLineChars="196"/>
        <w:jc w:val="left"/>
        <w:rPr>
          <w:rFonts w:ascii="宋体" w:hAnsi="宋体"/>
          <w:szCs w:val="21"/>
        </w:rPr>
      </w:pPr>
      <w:r>
        <w:rPr>
          <w:rFonts w:ascii="宋体" w:hAnsi="宋体" w:hint="eastAsia"/>
          <w:szCs w:val="21"/>
        </w:rPr>
        <w:t>1.</w:t>
      </w:r>
      <w:r>
        <w:rPr>
          <w:rFonts w:ascii="宋体" w:hAnsi="宋体" w:hint="eastAsia"/>
          <w:szCs w:val="21"/>
        </w:rPr>
        <w:t>售后服务</w:t>
      </w:r>
    </w:p>
    <w:p w:rsidR="005A0F0B">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1</w:t>
      </w:r>
      <w:r>
        <w:rPr>
          <w:rFonts w:ascii="宋体" w:hAnsi="宋体" w:hint="eastAsia"/>
          <w:szCs w:val="21"/>
        </w:rPr>
        <w:t>）质保期不低于</w:t>
      </w:r>
      <w:r>
        <w:rPr>
          <w:rFonts w:ascii="宋体" w:hAnsi="宋体" w:hint="eastAsia"/>
          <w:szCs w:val="21"/>
        </w:rPr>
        <w:t>5</w:t>
      </w:r>
      <w:r>
        <w:rPr>
          <w:rFonts w:ascii="宋体" w:hAnsi="宋体" w:hint="eastAsia"/>
          <w:szCs w:val="21"/>
        </w:rPr>
        <w:t>年。质保期内，须按合同条款提供服务，非因操作不当造成要更换的零配件由中标人负责包修、包换。如果由于中标人产品缺陷所导致的升级费用由中标人</w:t>
      </w:r>
      <w:r>
        <w:rPr>
          <w:rFonts w:ascii="宋体" w:hAnsi="宋体" w:hint="eastAsia"/>
          <w:szCs w:val="21"/>
        </w:rPr>
        <w:t>承担，由于采购人提出新的功能所引起的升级费用由双方协商解决。中标人负责提供本次采购产品与采购人信息系统对接过程中硬件、软件接口改造或其他可能产生的费用等。超出质保期后设备（含软件）维保费用不高于合同价的</w:t>
      </w:r>
      <w:r>
        <w:rPr>
          <w:rFonts w:ascii="宋体" w:hAnsi="宋体" w:hint="eastAsia"/>
          <w:szCs w:val="21"/>
        </w:rPr>
        <w:t>5%</w:t>
      </w:r>
      <w:r>
        <w:rPr>
          <w:rFonts w:ascii="宋体" w:hAnsi="宋体" w:hint="eastAsia"/>
          <w:szCs w:val="21"/>
        </w:rPr>
        <w:t>。</w:t>
      </w:r>
    </w:p>
    <w:p w:rsidR="005A0F0B">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2</w:t>
      </w:r>
      <w:r>
        <w:rPr>
          <w:rFonts w:ascii="宋体" w:hAnsi="宋体" w:hint="eastAsia"/>
          <w:szCs w:val="21"/>
        </w:rPr>
        <w:t>）中标人须提供常设</w:t>
      </w:r>
      <w:r>
        <w:rPr>
          <w:rFonts w:ascii="宋体" w:hAnsi="宋体" w:hint="eastAsia"/>
          <w:szCs w:val="21"/>
        </w:rPr>
        <w:t>7</w:t>
      </w:r>
      <w:r>
        <w:rPr>
          <w:rFonts w:ascii="宋体" w:hAnsi="宋体" w:hint="eastAsia"/>
          <w:szCs w:val="21"/>
        </w:rPr>
        <w:t>天×</w:t>
      </w:r>
      <w:r>
        <w:rPr>
          <w:rFonts w:ascii="宋体" w:hAnsi="宋体" w:hint="eastAsia"/>
          <w:szCs w:val="21"/>
        </w:rPr>
        <w:t>2</w:t>
      </w:r>
      <w:r>
        <w:rPr>
          <w:rFonts w:ascii="宋体" w:hAnsi="宋体" w:hint="eastAsia"/>
          <w:szCs w:val="21"/>
        </w:rPr>
        <w:t>4</w:t>
      </w:r>
      <w:r>
        <w:rPr>
          <w:rFonts w:ascii="宋体" w:hAnsi="宋体" w:hint="eastAsia"/>
          <w:szCs w:val="21"/>
        </w:rPr>
        <w:t>小时热线服务和长期的免费技术支持，对采购人的服务通知，中标人在接报后</w:t>
      </w:r>
      <w:r>
        <w:rPr>
          <w:rFonts w:ascii="宋体" w:hAnsi="宋体" w:hint="eastAsia"/>
          <w:szCs w:val="21"/>
        </w:rPr>
        <w:t>6</w:t>
      </w:r>
      <w:r>
        <w:rPr>
          <w:rFonts w:ascii="宋体" w:hAnsi="宋体" w:hint="eastAsia"/>
          <w:szCs w:val="21"/>
        </w:rPr>
        <w:t>小时内响应，</w:t>
      </w:r>
      <w:r>
        <w:rPr>
          <w:rFonts w:ascii="宋体" w:hAnsi="宋体" w:hint="eastAsia"/>
          <w:szCs w:val="21"/>
        </w:rPr>
        <w:t>24</w:t>
      </w:r>
      <w:r>
        <w:rPr>
          <w:rFonts w:ascii="宋体" w:hAnsi="宋体" w:hint="eastAsia"/>
          <w:szCs w:val="21"/>
        </w:rPr>
        <w:t>小时内到达现场，</w:t>
      </w:r>
      <w:r>
        <w:rPr>
          <w:rFonts w:ascii="宋体" w:hAnsi="宋体" w:hint="eastAsia"/>
          <w:szCs w:val="21"/>
        </w:rPr>
        <w:t>48</w:t>
      </w:r>
      <w:r>
        <w:rPr>
          <w:rFonts w:ascii="宋体" w:hAnsi="宋体" w:hint="eastAsia"/>
          <w:szCs w:val="21"/>
        </w:rPr>
        <w:t>小时内处理完毕；如在检修</w:t>
      </w:r>
      <w:r>
        <w:rPr>
          <w:rFonts w:ascii="宋体" w:hAnsi="宋体" w:hint="eastAsia"/>
          <w:szCs w:val="21"/>
        </w:rPr>
        <w:t>48</w:t>
      </w:r>
      <w:r>
        <w:rPr>
          <w:rFonts w:ascii="宋体" w:hAnsi="宋体" w:hint="eastAsia"/>
          <w:szCs w:val="21"/>
        </w:rPr>
        <w:t>小时后仍无法排除故障，则中标人应在</w:t>
      </w:r>
      <w:r>
        <w:rPr>
          <w:rFonts w:ascii="宋体" w:hAnsi="宋体" w:hint="eastAsia"/>
          <w:szCs w:val="21"/>
        </w:rPr>
        <w:t>72</w:t>
      </w:r>
      <w:r>
        <w:rPr>
          <w:rFonts w:ascii="宋体" w:hAnsi="宋体" w:hint="eastAsia"/>
          <w:szCs w:val="21"/>
        </w:rPr>
        <w:t>小时内提供不低于故障设备规格、型号、性能的备用设备供采购人使用，直至故障设备修复。</w:t>
      </w:r>
    </w:p>
    <w:p w:rsidR="005A0F0B">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3</w:t>
      </w:r>
      <w:r>
        <w:rPr>
          <w:rFonts w:ascii="宋体" w:hAnsi="宋体" w:hint="eastAsia"/>
          <w:szCs w:val="21"/>
        </w:rPr>
        <w:t>）在质保期内，保修服务方式均为中标人上门保修，即由中标人派员到设备使用现场维修，由此产生的一切费用均由中标人承担。如果需要将部件托运或邮寄到异地维修，中标人承担由此产生的拆装、邮寄、维修等一切费用。</w:t>
      </w:r>
    </w:p>
    <w:p w:rsidR="005A0F0B">
      <w:pPr>
        <w:spacing w:line="360" w:lineRule="auto"/>
        <w:ind w:firstLine="412" w:firstLineChars="196"/>
        <w:jc w:val="left"/>
        <w:rPr>
          <w:rFonts w:ascii="宋体" w:hAnsi="宋体"/>
          <w:szCs w:val="21"/>
        </w:rPr>
      </w:pPr>
      <w:r>
        <w:rPr>
          <w:rFonts w:ascii="宋体" w:hAnsi="宋体" w:hint="eastAsia"/>
          <w:szCs w:val="21"/>
        </w:rPr>
        <w:t>（</w:t>
      </w:r>
      <w:r>
        <w:rPr>
          <w:rFonts w:ascii="宋体" w:hAnsi="宋体" w:hint="eastAsia"/>
          <w:szCs w:val="21"/>
        </w:rPr>
        <w:t>5</w:t>
      </w:r>
      <w:r>
        <w:rPr>
          <w:rFonts w:ascii="宋体" w:hAnsi="宋体" w:hint="eastAsia"/>
          <w:szCs w:val="21"/>
        </w:rPr>
        <w:t>）售后服务内容包括但不限于日常技术咨询、设备使</w:t>
      </w:r>
      <w:r>
        <w:rPr>
          <w:rFonts w:ascii="宋体" w:hAnsi="宋体" w:hint="eastAsia"/>
          <w:szCs w:val="21"/>
        </w:rPr>
        <w:t>用咨询、设备故障解决、备件更换。中标人必须承诺提供长期的咨询和技术支持服务。</w:t>
      </w:r>
    </w:p>
    <w:p w:rsidR="005A0F0B">
      <w:pPr>
        <w:spacing w:line="360" w:lineRule="auto"/>
        <w:ind w:firstLine="412" w:firstLineChars="196"/>
        <w:jc w:val="left"/>
        <w:rPr>
          <w:rFonts w:ascii="宋体" w:hAnsi="宋体"/>
          <w:szCs w:val="21"/>
        </w:rPr>
      </w:pPr>
      <w:r>
        <w:rPr>
          <w:rFonts w:ascii="宋体" w:hAnsi="宋体" w:hint="eastAsia"/>
          <w:szCs w:val="21"/>
        </w:rPr>
        <w:t>2.</w:t>
      </w:r>
      <w:r>
        <w:rPr>
          <w:rFonts w:ascii="宋体" w:hAnsi="宋体" w:hint="eastAsia"/>
          <w:szCs w:val="21"/>
        </w:rPr>
        <w:t>培训</w:t>
      </w:r>
    </w:p>
    <w:p w:rsidR="005A0F0B">
      <w:pPr>
        <w:spacing w:line="360" w:lineRule="auto"/>
        <w:ind w:firstLine="412" w:firstLineChars="196"/>
        <w:jc w:val="left"/>
        <w:rPr>
          <w:rFonts w:ascii="宋体" w:hAnsi="宋体"/>
          <w:szCs w:val="21"/>
        </w:rPr>
      </w:pPr>
      <w:r>
        <w:rPr>
          <w:rFonts w:ascii="宋体" w:hAnsi="宋体" w:hint="eastAsia"/>
          <w:szCs w:val="21"/>
        </w:rPr>
        <w:t>对相关人员进行培训，确保能够熟练掌握产品的使用和操作技能，以及软件组件的操作使用。培训以操作使用说明书为教材，</w:t>
      </w:r>
      <w:r>
        <w:rPr>
          <w:rFonts w:ascii="宋体" w:hAnsi="宋体" w:hint="eastAsia"/>
          <w:szCs w:val="21"/>
        </w:rPr>
        <w:t>分使用</w:t>
      </w:r>
      <w:r>
        <w:rPr>
          <w:rFonts w:ascii="宋体" w:hAnsi="宋体" w:hint="eastAsia"/>
          <w:szCs w:val="21"/>
        </w:rPr>
        <w:t>方法、操作程序、简易故障排除、保管保养方法以及使用注意事项等内容进行现场培训。</w:t>
      </w:r>
    </w:p>
    <w:p w:rsidR="005A0F0B">
      <w:pPr>
        <w:spacing w:line="360" w:lineRule="auto"/>
        <w:ind w:firstLine="412" w:firstLineChars="196"/>
        <w:jc w:val="left"/>
        <w:rPr>
          <w:rFonts w:ascii="宋体" w:hAnsi="宋体"/>
          <w:szCs w:val="21"/>
        </w:rPr>
      </w:pPr>
      <w:r>
        <w:rPr>
          <w:rFonts w:ascii="宋体" w:hAnsi="宋体" w:hint="eastAsia"/>
          <w:szCs w:val="21"/>
        </w:rPr>
        <w:t>3.</w:t>
      </w:r>
      <w:r>
        <w:rPr>
          <w:rFonts w:ascii="宋体" w:hAnsi="宋体" w:hint="eastAsia"/>
          <w:szCs w:val="21"/>
        </w:rPr>
        <w:t>验收</w:t>
      </w:r>
    </w:p>
    <w:p w:rsidR="005A0F0B">
      <w:pPr>
        <w:spacing w:line="360" w:lineRule="auto"/>
        <w:ind w:firstLine="420" w:firstLineChars="200"/>
        <w:rPr>
          <w:rFonts w:ascii="宋体" w:hAnsi="宋体"/>
          <w:szCs w:val="21"/>
        </w:rPr>
      </w:pPr>
      <w:r>
        <w:rPr>
          <w:rFonts w:ascii="宋体" w:hAnsi="宋体" w:hint="eastAsia"/>
          <w:szCs w:val="21"/>
        </w:rPr>
        <w:t>验收程序：设备全部到场后由采购人组织进行货物进场验收，进场验收通过后，中标人进行安装调试工作，安装调试完毕后，由采购人组织进行合同验收；现场验收合格后进入试运行期，根据试运行情况组织进行业务验收。</w:t>
      </w:r>
    </w:p>
    <w:p w:rsidR="005A0F0B">
      <w:pPr>
        <w:spacing w:line="360" w:lineRule="auto"/>
        <w:ind w:firstLine="420" w:firstLineChars="200"/>
        <w:rPr>
          <w:rFonts w:ascii="宋体" w:hAnsi="宋体"/>
          <w:szCs w:val="21"/>
        </w:rPr>
      </w:pPr>
      <w:r>
        <w:rPr>
          <w:rFonts w:ascii="宋体" w:hAnsi="宋体" w:hint="eastAsia"/>
          <w:szCs w:val="21"/>
        </w:rPr>
        <w:t>设备进场验收</w:t>
      </w:r>
    </w:p>
    <w:p w:rsidR="005A0F0B">
      <w:pPr>
        <w:spacing w:line="360" w:lineRule="auto"/>
        <w:ind w:firstLine="420" w:firstLineChars="200"/>
        <w:rPr>
          <w:rFonts w:ascii="宋体" w:hAnsi="宋体"/>
          <w:szCs w:val="21"/>
        </w:rPr>
      </w:pPr>
      <w:r>
        <w:rPr>
          <w:rFonts w:ascii="宋体" w:hAnsi="宋体" w:hint="eastAsia"/>
          <w:szCs w:val="21"/>
        </w:rPr>
        <w:t>设备到</w:t>
      </w:r>
      <w:r>
        <w:rPr>
          <w:rFonts w:ascii="宋体" w:hAnsi="宋体" w:hint="eastAsia"/>
          <w:szCs w:val="21"/>
        </w:rPr>
        <w:t>货验收前，中标人应提供材料设备清单、设备原厂证明、产品合格证等资料。</w:t>
      </w:r>
    </w:p>
    <w:p w:rsidR="005A0F0B">
      <w:pPr>
        <w:spacing w:line="360" w:lineRule="auto"/>
        <w:ind w:firstLine="420" w:firstLineChars="200"/>
        <w:rPr>
          <w:rFonts w:ascii="宋体" w:hAnsi="宋体"/>
          <w:szCs w:val="21"/>
        </w:rPr>
      </w:pPr>
      <w:r>
        <w:rPr>
          <w:rFonts w:ascii="宋体" w:hAnsi="宋体" w:hint="eastAsia"/>
          <w:szCs w:val="21"/>
        </w:rPr>
        <w:t>设备全部到货后，由采购人或者采购人委托的监理组织到货检验。</w:t>
      </w:r>
    </w:p>
    <w:p w:rsidR="005A0F0B">
      <w:pPr>
        <w:spacing w:line="360" w:lineRule="auto"/>
        <w:ind w:firstLine="420" w:firstLineChars="200"/>
        <w:rPr>
          <w:rFonts w:ascii="宋体" w:hAnsi="宋体"/>
          <w:szCs w:val="21"/>
        </w:rPr>
      </w:pPr>
      <w:r>
        <w:rPr>
          <w:rFonts w:ascii="宋体" w:hAnsi="宋体" w:hint="eastAsia"/>
          <w:szCs w:val="21"/>
        </w:rPr>
        <w:t>如设备测试中发现设备性能指标或功能上不符合公开招标文件和合同要求时，将被看作性能不合格，采购人有权拒收。</w:t>
      </w:r>
    </w:p>
    <w:p w:rsidR="005A0F0B">
      <w:pPr>
        <w:spacing w:line="360" w:lineRule="auto"/>
        <w:ind w:firstLine="420" w:firstLineChars="200"/>
        <w:rPr>
          <w:rFonts w:ascii="宋体" w:hAnsi="宋体"/>
          <w:szCs w:val="21"/>
        </w:rPr>
      </w:pPr>
      <w:r>
        <w:rPr>
          <w:rFonts w:ascii="宋体" w:hAnsi="宋体" w:hint="eastAsia"/>
          <w:szCs w:val="21"/>
        </w:rPr>
        <w:t>到货检验需要采购人或监理工程师在到货检验报告上签署意见，由采购方最后签字认可。</w:t>
      </w:r>
    </w:p>
    <w:p w:rsidR="005A0F0B">
      <w:pPr>
        <w:spacing w:line="360" w:lineRule="auto"/>
        <w:ind w:firstLine="420" w:firstLineChars="200"/>
        <w:rPr>
          <w:rFonts w:ascii="宋体" w:hAnsi="宋体"/>
          <w:szCs w:val="21"/>
        </w:rPr>
      </w:pPr>
      <w:r>
        <w:rPr>
          <w:rFonts w:ascii="宋体" w:hAnsi="宋体" w:hint="eastAsia"/>
          <w:szCs w:val="21"/>
        </w:rPr>
        <w:t>现场验收</w:t>
      </w:r>
    </w:p>
    <w:p w:rsidR="005A0F0B">
      <w:pPr>
        <w:spacing w:line="360" w:lineRule="auto"/>
        <w:ind w:firstLine="420" w:firstLineChars="200"/>
        <w:rPr>
          <w:rFonts w:ascii="宋体" w:hAnsi="宋体"/>
          <w:szCs w:val="21"/>
        </w:rPr>
      </w:pPr>
      <w:r>
        <w:rPr>
          <w:rFonts w:ascii="宋体" w:hAnsi="宋体" w:hint="eastAsia"/>
          <w:szCs w:val="21"/>
        </w:rPr>
        <w:t>采购人将按照政府采购合同规定的技术、服务、安全标准组织对投标人履约情况进行验收并出具验收书。</w:t>
      </w:r>
      <w:r>
        <w:rPr>
          <w:rFonts w:ascii="宋体" w:hAnsi="宋体" w:hint="eastAsia"/>
          <w:szCs w:val="21"/>
        </w:rPr>
        <w:t>验收书</w:t>
      </w:r>
      <w:r>
        <w:rPr>
          <w:rFonts w:ascii="宋体" w:hAnsi="宋体" w:hint="eastAsia"/>
          <w:szCs w:val="21"/>
        </w:rPr>
        <w:t>应当包括每一项技术、服务、安全标准的履约情况。所有验收结果经双方确认后，双方代表必须按规定的验收交接单上的项目对照本合同填好验收结果并签名</w:t>
      </w:r>
      <w:r>
        <w:rPr>
          <w:rFonts w:ascii="宋体" w:hAnsi="宋体" w:hint="eastAsia"/>
          <w:szCs w:val="21"/>
        </w:rPr>
        <w:t>盖章。</w:t>
      </w:r>
    </w:p>
    <w:p w:rsidR="005A0F0B">
      <w:pPr>
        <w:spacing w:line="360" w:lineRule="auto"/>
        <w:ind w:firstLine="420" w:firstLineChars="200"/>
        <w:rPr>
          <w:rFonts w:ascii="宋体" w:hAnsi="宋体"/>
          <w:szCs w:val="21"/>
        </w:rPr>
      </w:pPr>
      <w:r>
        <w:rPr>
          <w:rFonts w:ascii="宋体" w:hAnsi="宋体" w:hint="eastAsia"/>
          <w:szCs w:val="21"/>
        </w:rPr>
        <w:t>试运行</w:t>
      </w:r>
    </w:p>
    <w:p w:rsidR="005A0F0B">
      <w:pPr>
        <w:spacing w:line="360" w:lineRule="auto"/>
        <w:ind w:firstLine="420" w:firstLineChars="200"/>
        <w:rPr>
          <w:rFonts w:ascii="宋体" w:hAnsi="宋体"/>
          <w:szCs w:val="21"/>
        </w:rPr>
      </w:pPr>
      <w:r>
        <w:rPr>
          <w:rFonts w:ascii="宋体" w:hAnsi="宋体" w:hint="eastAsia"/>
          <w:szCs w:val="21"/>
        </w:rPr>
        <w:t>完成设备安装调试后，中标人应对货物的整体性能和功能进行自检，自检结果必须符合招标文件要求及合同中的相关条款，自检合格后，中标人应向采购人提交自检记录和试运行记录（试运行</w:t>
      </w:r>
      <w:r>
        <w:rPr>
          <w:rFonts w:ascii="宋体" w:hAnsi="宋体" w:hint="eastAsia"/>
          <w:szCs w:val="21"/>
        </w:rPr>
        <w:t>2</w:t>
      </w:r>
      <w:r>
        <w:rPr>
          <w:rFonts w:ascii="宋体" w:hAnsi="宋体" w:hint="eastAsia"/>
          <w:szCs w:val="21"/>
        </w:rPr>
        <w:t>个月），并提出验收申请。经采购人同意后，采购人和中标人共同进行设备的验收。</w:t>
      </w:r>
    </w:p>
    <w:p w:rsidR="005A0F0B">
      <w:pPr>
        <w:spacing w:line="360" w:lineRule="auto"/>
        <w:ind w:firstLine="420" w:firstLineChars="200"/>
        <w:rPr>
          <w:rFonts w:ascii="宋体" w:hAnsi="宋体"/>
          <w:szCs w:val="21"/>
        </w:rPr>
      </w:pPr>
      <w:r>
        <w:rPr>
          <w:rFonts w:ascii="宋体" w:hAnsi="宋体" w:hint="eastAsia"/>
          <w:szCs w:val="21"/>
        </w:rPr>
        <w:t>业务验收</w:t>
      </w:r>
    </w:p>
    <w:p w:rsidR="005A0F0B">
      <w:pPr>
        <w:spacing w:line="360" w:lineRule="auto"/>
        <w:ind w:firstLine="420" w:firstLineChars="200"/>
        <w:rPr>
          <w:rFonts w:ascii="宋体" w:hAnsi="宋体"/>
          <w:szCs w:val="21"/>
        </w:rPr>
      </w:pPr>
      <w:r>
        <w:rPr>
          <w:rFonts w:ascii="宋体" w:hAnsi="宋体" w:hint="eastAsia"/>
          <w:szCs w:val="21"/>
        </w:rPr>
        <w:t>开展</w:t>
      </w:r>
      <w:r>
        <w:rPr>
          <w:rFonts w:ascii="宋体" w:hAnsi="宋体" w:hint="eastAsia"/>
          <w:szCs w:val="21"/>
        </w:rPr>
        <w:t>业务试运行后，根据试运行情况开展业务验收。验收按照甲方的内部规定操作。通过验收后，需要乙方、甲方双方在验收报告上签字盖章，签字盖章后视为验收通过。</w:t>
      </w:r>
    </w:p>
    <w:p w:rsidR="005A0F0B">
      <w:pPr>
        <w:spacing w:line="360" w:lineRule="auto"/>
        <w:ind w:firstLine="420" w:firstLineChars="200"/>
        <w:rPr>
          <w:rFonts w:ascii="宋体" w:hAnsi="宋体"/>
          <w:szCs w:val="21"/>
        </w:rPr>
      </w:pPr>
      <w:r>
        <w:rPr>
          <w:rFonts w:ascii="宋体" w:hAnsi="宋体" w:hint="eastAsia"/>
          <w:szCs w:val="21"/>
        </w:rPr>
        <w:t>在验收期间，如果设备出现重大问题，中标人应在</w:t>
      </w:r>
      <w:r>
        <w:rPr>
          <w:rFonts w:ascii="宋体" w:hAnsi="宋体" w:hint="eastAsia"/>
          <w:szCs w:val="21"/>
        </w:rPr>
        <w:t>1</w:t>
      </w:r>
      <w:r>
        <w:rPr>
          <w:rFonts w:ascii="宋体" w:hAnsi="宋体" w:hint="eastAsia"/>
          <w:szCs w:val="21"/>
        </w:rPr>
        <w:t>个工作日内解决该问题，中标人应对所有设备和配套工程负全部责任。</w:t>
      </w:r>
    </w:p>
    <w:p w:rsidR="005A0F0B">
      <w:pPr>
        <w:spacing w:line="360" w:lineRule="auto"/>
        <w:ind w:firstLine="420" w:firstLineChars="200"/>
        <w:rPr>
          <w:rFonts w:ascii="宋体" w:hAnsi="宋体"/>
          <w:szCs w:val="21"/>
        </w:rPr>
      </w:pPr>
      <w:r>
        <w:rPr>
          <w:rFonts w:ascii="宋体" w:hAnsi="宋体" w:hint="eastAsia"/>
          <w:szCs w:val="21"/>
        </w:rPr>
        <w:t>所有设备的修改和调整都应在验收结束后写入操作和维修手册中，中标人应给出修复的全部细节。</w:t>
      </w:r>
    </w:p>
    <w:p w:rsidR="005A0F0B">
      <w:pPr>
        <w:spacing w:line="360" w:lineRule="auto"/>
        <w:ind w:firstLine="420" w:firstLineChars="200"/>
        <w:rPr>
          <w:rFonts w:ascii="宋体" w:hAnsi="宋体"/>
          <w:szCs w:val="21"/>
        </w:rPr>
      </w:pPr>
      <w:r>
        <w:rPr>
          <w:rFonts w:ascii="宋体" w:hAnsi="宋体" w:hint="eastAsia"/>
          <w:szCs w:val="21"/>
        </w:rPr>
        <w:t>中标人提供第三方测试机构出具的测试报告，且符合与项目相关的现行技术要求。</w:t>
      </w:r>
    </w:p>
    <w:p w:rsidR="005A0F0B">
      <w:pPr>
        <w:spacing w:line="360" w:lineRule="auto"/>
        <w:ind w:firstLine="420" w:firstLineChars="200"/>
        <w:rPr>
          <w:rFonts w:ascii="宋体" w:hAnsi="宋体"/>
          <w:szCs w:val="21"/>
        </w:rPr>
      </w:pPr>
      <w:r>
        <w:rPr>
          <w:rFonts w:ascii="宋体" w:hAnsi="宋体" w:hint="eastAsia"/>
          <w:szCs w:val="21"/>
        </w:rPr>
        <w:t>中标人提供约定的备件、用户手册、维修手册等。</w:t>
      </w:r>
    </w:p>
    <w:p w:rsidR="005A0F0B">
      <w:pPr>
        <w:spacing w:line="360" w:lineRule="auto"/>
        <w:ind w:firstLine="420" w:firstLineChars="200"/>
        <w:rPr>
          <w:rFonts w:ascii="宋体" w:hAnsi="宋体"/>
          <w:szCs w:val="21"/>
        </w:rPr>
      </w:pPr>
      <w:r>
        <w:rPr>
          <w:rFonts w:ascii="宋体" w:hAnsi="宋体" w:hint="eastAsia"/>
          <w:szCs w:val="21"/>
        </w:rPr>
        <w:t>验收按照采购人的内部规定操作。通过验收后，需要</w:t>
      </w:r>
      <w:r>
        <w:rPr>
          <w:rFonts w:ascii="宋体" w:hAnsi="宋体" w:hint="eastAsia"/>
          <w:szCs w:val="21"/>
        </w:rPr>
        <w:t>中标人、采购人双方在验收报告上签字盖章，签字盖章后视为验收通过。</w:t>
      </w:r>
    </w:p>
    <w:p w:rsidR="005A0F0B">
      <w:pPr>
        <w:spacing w:line="360" w:lineRule="auto"/>
        <w:ind w:firstLine="420" w:firstLineChars="200"/>
        <w:jc w:val="left"/>
        <w:rPr>
          <w:rFonts w:ascii="宋体" w:hAnsi="宋体"/>
          <w:szCs w:val="21"/>
        </w:rPr>
      </w:pPr>
      <w:r>
        <w:rPr>
          <w:rFonts w:ascii="宋体" w:hAnsi="宋体" w:hint="eastAsia"/>
          <w:szCs w:val="21"/>
        </w:rPr>
        <w:t>验收过程中，若发现货物质量有问题，投标人应无条件免费更换，并无条件重新检测并调试直至验收合格交付采购人使用。在此期间，投标人在采购人现场进行安装、调试、试运行直至业务验收所发生的一切费用由投标人承担且已含在报价总价中。</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25"/>
        <w:gridCol w:w="2227"/>
        <w:gridCol w:w="1026"/>
        <w:gridCol w:w="1426"/>
        <w:gridCol w:w="1626"/>
        <w:gridCol w:w="1026"/>
        <w:gridCol w:w="605"/>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0" w:name="货物一览表_index"/>
            <w:r>
              <w:rPr>
                <w:rFonts w:asciiTheme="minorEastAsia" w:eastAsiaTheme="minorEastAsia" w:hAnsiTheme="minorEastAsia" w:cstheme="minorEastAsia" w:hint="eastAsia"/>
                <w:kern w:val="0"/>
                <w:szCs w:val="21"/>
              </w:rPr>
              <w:t>序号</w:t>
            </w:r>
            <w:bookmarkEnd w:id="60"/>
          </w:p>
        </w:tc>
        <w:tc>
          <w:tcPr>
            <w:tcW w:w="1135" w:type="dxa"/>
          </w:tcPr>
          <w:p>
            <w:pPr>
              <w:autoSpaceDE w:val="0"/>
              <w:jc w:val="center"/>
              <w:rPr>
                <w:rFonts w:asciiTheme="minorEastAsia" w:hAnsiTheme="minorEastAsia" w:cstheme="minorEastAsia"/>
                <w:kern w:val="0"/>
                <w:szCs w:val="21"/>
              </w:rPr>
            </w:pPr>
            <w:bookmarkStart w:id="61" w:name="货物一览表_goodsName"/>
            <w:r>
              <w:rPr>
                <w:rFonts w:asciiTheme="minorEastAsia" w:eastAsiaTheme="minorEastAsia" w:hAnsiTheme="minorEastAsia" w:cstheme="minorEastAsia" w:hint="eastAsia"/>
                <w:kern w:val="0"/>
                <w:szCs w:val="21"/>
              </w:rPr>
              <w:t>设备名称</w:t>
            </w:r>
            <w:bookmarkEnd w:id="61"/>
          </w:p>
        </w:tc>
        <w:tc>
          <w:tcPr>
            <w:tcW w:w="965" w:type="dxa"/>
          </w:tcPr>
          <w:p>
            <w:pPr>
              <w:autoSpaceDE w:val="0"/>
              <w:jc w:val="center"/>
              <w:rPr>
                <w:rFonts w:asciiTheme="minorEastAsia" w:hAnsiTheme="minorEastAsia" w:cstheme="minorEastAsia"/>
                <w:kern w:val="0"/>
                <w:szCs w:val="21"/>
              </w:rPr>
            </w:pPr>
            <w:bookmarkStart w:id="62" w:name="货物一览表_nums"/>
            <w:r>
              <w:rPr>
                <w:rFonts w:asciiTheme="minorEastAsia" w:eastAsiaTheme="minorEastAsia" w:hAnsiTheme="minorEastAsia" w:cstheme="minorEastAsia" w:hint="eastAsia"/>
                <w:kern w:val="0"/>
                <w:szCs w:val="21"/>
              </w:rPr>
              <w:t>采购数量</w:t>
            </w:r>
            <w:bookmarkEnd w:id="62"/>
          </w:p>
        </w:tc>
        <w:tc>
          <w:tcPr>
            <w:tcW w:w="1062" w:type="dxa"/>
          </w:tcPr>
          <w:p>
            <w:pPr>
              <w:autoSpaceDE w:val="0"/>
              <w:jc w:val="center"/>
              <w:rPr>
                <w:rFonts w:asciiTheme="minorEastAsia" w:hAnsiTheme="minorEastAsia" w:cstheme="minorEastAsia"/>
                <w:kern w:val="0"/>
                <w:szCs w:val="21"/>
              </w:rPr>
            </w:pPr>
            <w:bookmarkStart w:id="63" w:name="货物一览表_units"/>
            <w:r>
              <w:rPr>
                <w:rFonts w:asciiTheme="minorEastAsia" w:eastAsiaTheme="minorEastAsia" w:hAnsiTheme="minorEastAsia" w:cstheme="minorEastAsia" w:hint="eastAsia"/>
                <w:kern w:val="0"/>
                <w:szCs w:val="21"/>
              </w:rPr>
              <w:t>计量单位</w:t>
            </w:r>
            <w:bookmarkEnd w:id="63"/>
          </w:p>
        </w:tc>
        <w:tc>
          <w:tcPr>
            <w:tcW w:w="1220" w:type="dxa"/>
          </w:tcPr>
          <w:p>
            <w:pPr>
              <w:autoSpaceDE w:val="0"/>
              <w:jc w:val="center"/>
              <w:rPr>
                <w:rFonts w:asciiTheme="minorEastAsia" w:hAnsiTheme="minorEastAsia" w:cstheme="minorEastAsia"/>
                <w:kern w:val="0"/>
                <w:szCs w:val="21"/>
              </w:rPr>
            </w:pPr>
            <w:bookmarkStart w:id="64" w:name="货物一览表_procurementBudget"/>
            <w:r>
              <w:rPr>
                <w:rFonts w:asciiTheme="minorEastAsia" w:eastAsiaTheme="minorEastAsia" w:hAnsiTheme="minorEastAsia" w:cstheme="minorEastAsia" w:hint="eastAsia"/>
                <w:kern w:val="0"/>
                <w:szCs w:val="21"/>
              </w:rPr>
              <w:t>采购预算（元）</w:t>
            </w:r>
            <w:bookmarkEnd w:id="64"/>
          </w:p>
        </w:tc>
        <w:tc>
          <w:tcPr>
            <w:tcW w:w="1329" w:type="dxa"/>
          </w:tcPr>
          <w:p>
            <w:pPr>
              <w:autoSpaceDE w:val="0"/>
              <w:jc w:val="center"/>
              <w:rPr>
                <w:rFonts w:asciiTheme="minorEastAsia" w:hAnsiTheme="minorEastAsia" w:cstheme="minorEastAsia" w:hint="eastAsia"/>
                <w:kern w:val="0"/>
                <w:szCs w:val="21"/>
              </w:rPr>
            </w:pPr>
            <w:bookmarkStart w:id="65"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5"/>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6" w:name="货物一览表_remark"/>
            <w:r>
              <w:rPr>
                <w:rFonts w:asciiTheme="minorEastAsia" w:eastAsiaTheme="minorEastAsia" w:hAnsiTheme="minorEastAsia" w:cstheme="minorEastAsia" w:hint="eastAsia"/>
                <w:kern w:val="0"/>
                <w:szCs w:val="21"/>
              </w:rPr>
              <w:t>备注</w:t>
            </w:r>
            <w:bookmarkEnd w:id="66"/>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双光谱半球摄像机</w:t>
            </w:r>
          </w:p>
        </w:tc>
        <w:tc>
          <w:tcPr/>
          <w:p>
            <w:pPr>
              <w:autoSpaceDE w:val="0"/>
              <w:jc w:val="center"/>
              <w:rPr>
                <w:rFonts w:asciiTheme="minorEastAsia" w:hAnsiTheme="minorEastAsia" w:cstheme="minorEastAsia"/>
                <w:kern w:val="0"/>
                <w:szCs w:val="21"/>
              </w:rPr>
            </w:pPr>
            <w:r>
              <w:t>770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3,850,000.00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网络音箱</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77,000.00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视频存储和传输设备</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1,463,000.00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智能化监控识别终端</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2,310,000.00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5</w:t>
            </w:r>
          </w:p>
        </w:tc>
        <w:tc>
          <w:tcPr/>
          <w:p>
            <w:pPr>
              <w:autoSpaceDE w:val="0"/>
              <w:jc w:val="center"/>
              <w:rPr>
                <w:rFonts w:asciiTheme="minorEastAsia" w:hAnsiTheme="minorEastAsia" w:cstheme="minorEastAsia"/>
                <w:kern w:val="0"/>
                <w:szCs w:val="21"/>
              </w:rPr>
            </w:pPr>
            <w:r>
              <w:t>高炮作业安全监控终端</w:t>
            </w:r>
          </w:p>
        </w:tc>
        <w:tc>
          <w:tcPr/>
          <w:p>
            <w:pPr>
              <w:autoSpaceDE w:val="0"/>
              <w:jc w:val="center"/>
              <w:rPr>
                <w:rFonts w:asciiTheme="minorEastAsia" w:hAnsiTheme="minorEastAsia" w:cstheme="minorEastAsia"/>
                <w:kern w:val="0"/>
                <w:szCs w:val="21"/>
              </w:rPr>
            </w:pPr>
            <w:r>
              <w:t>154</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1,848,000.00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6</w:t>
            </w:r>
          </w:p>
        </w:tc>
        <w:tc>
          <w:tcPr/>
          <w:p>
            <w:pPr>
              <w:autoSpaceDE w:val="0"/>
              <w:jc w:val="center"/>
              <w:rPr>
                <w:rFonts w:asciiTheme="minorEastAsia" w:hAnsiTheme="minorEastAsia" w:cstheme="minorEastAsia"/>
                <w:kern w:val="0"/>
                <w:szCs w:val="21"/>
              </w:rPr>
            </w:pPr>
            <w:r>
              <w:t>烟炉作业监控终端</w:t>
            </w:r>
          </w:p>
        </w:tc>
        <w:tc>
          <w:tcPr/>
          <w:p>
            <w:pPr>
              <w:autoSpaceDE w:val="0"/>
              <w:jc w:val="center"/>
              <w:rPr>
                <w:rFonts w:asciiTheme="minorEastAsia" w:hAnsiTheme="minorEastAsia" w:cstheme="minorEastAsia"/>
                <w:kern w:val="0"/>
                <w:szCs w:val="21"/>
              </w:rPr>
            </w:pPr>
            <w:r>
              <w:t>60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600,000.00</w:t>
            </w:r>
          </w:p>
        </w:tc>
        <w:tc>
          <w:tcPr/>
          <w:p>
            <w:pPr>
              <w:autoSpaceDE w:val="0"/>
              <w:jc w:val="center"/>
              <w:rPr>
                <w:rFonts w:asciiTheme="minorEastAsia" w:hAnsiTheme="minorEastAsia" w:cstheme="minorEastAsia" w:hint="eastAsia"/>
                <w:kern w:val="0"/>
                <w:szCs w:val="21"/>
              </w:rPr>
            </w:pPr>
            <w:r>
              <w:t>180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10,148,000.00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53"/>
        <w:gridCol w:w="2844"/>
        <w:gridCol w:w="1612"/>
        <w:gridCol w:w="453"/>
        <w:gridCol w:w="1032"/>
        <w:gridCol w:w="934"/>
        <w:gridCol w:w="742"/>
        <w:gridCol w:w="45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7"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青海省气象灾害防御技术中心(001057016)</w:t>
            </w:r>
          </w:p>
        </w:tc>
        <w:tc>
          <w:tcPr/>
          <w:p>
            <w:r>
              <w:t>双光谱半球摄像机</w:t>
            </w:r>
          </w:p>
        </w:tc>
        <w:tc>
          <w:tcPr/>
          <w:p>
            <w:r>
              <w:t>770</w:t>
            </w:r>
          </w:p>
        </w:tc>
        <w:tc>
          <w:tcPr/>
          <w:p>
            <w:r>
              <w:t>3850000.00</w:t>
            </w:r>
          </w:p>
        </w:tc>
        <w:tc>
          <w:tcPr>
            <w:vMerge w:val="restart"/>
          </w:tcPr>
          <w:p>
            <w:r>
              <w:t xml:space="preserve">10148000.00  </w:t>
            </w:r>
          </w:p>
        </w:tc>
        <w:tc>
          <w:tcPr/>
          <w:p/>
        </w:tc>
        <w:tc>
          <w:tcPr/>
          <w:p/>
        </w:tc>
      </w:tr>
      <w:tr>
        <w:tblPrEx>
          <w:tblW w:w="5000" w:type="pct"/>
          <w:tblCellMar>
            <w:left w:w="108" w:type="dxa"/>
            <w:right w:w="108" w:type="dxa"/>
          </w:tblCellMar>
        </w:tblPrEx>
        <w:tc>
          <w:tcPr/>
          <w:p>
            <w:r>
              <w:t>2</w:t>
            </w:r>
          </w:p>
        </w:tc>
        <w:tc>
          <w:tcPr>
            <w:vMerge/>
          </w:tcPr>
          <w:p>
            <w:r>
              <w:t>青海省气象灾害防御技术中心(001057016)</w:t>
            </w:r>
          </w:p>
        </w:tc>
        <w:tc>
          <w:tcPr/>
          <w:p>
            <w:r>
              <w:t>智能化监控识别终端</w:t>
            </w:r>
          </w:p>
        </w:tc>
        <w:tc>
          <w:tcPr/>
          <w:p>
            <w:r>
              <w:t>154</w:t>
            </w:r>
          </w:p>
        </w:tc>
        <w:tc>
          <w:tcPr/>
          <w:p>
            <w:r>
              <w:t>2310000.00</w:t>
            </w:r>
          </w:p>
        </w:tc>
        <w:tc>
          <w:tcPr>
            <w:vMerge/>
          </w:tcPr>
          <w:p>
            <w:r>
              <w:t xml:space="preserve">10148000.00  </w:t>
            </w:r>
          </w:p>
        </w:tc>
        <w:tc>
          <w:tcPr/>
          <w:p/>
        </w:tc>
        <w:tc>
          <w:tcPr/>
          <w:p/>
        </w:tc>
      </w:tr>
      <w:tr>
        <w:tblPrEx>
          <w:tblW w:w="5000" w:type="pct"/>
          <w:tblCellMar>
            <w:left w:w="108" w:type="dxa"/>
            <w:right w:w="108" w:type="dxa"/>
          </w:tblCellMar>
        </w:tblPrEx>
        <w:tc>
          <w:tcPr/>
          <w:p>
            <w:r>
              <w:t>3</w:t>
            </w:r>
          </w:p>
        </w:tc>
        <w:tc>
          <w:tcPr>
            <w:vMerge/>
          </w:tcPr>
          <w:p>
            <w:r>
              <w:t>青海省气象灾害防御技术中心(001057016)</w:t>
            </w:r>
          </w:p>
        </w:tc>
        <w:tc>
          <w:tcPr/>
          <w:p>
            <w:r>
              <w:t>烟炉作业监控终端</w:t>
            </w:r>
          </w:p>
        </w:tc>
        <w:tc>
          <w:tcPr/>
          <w:p>
            <w:r>
              <w:t>60</w:t>
            </w:r>
          </w:p>
        </w:tc>
        <w:tc>
          <w:tcPr/>
          <w:p>
            <w:r>
              <w:t>600000.00</w:t>
            </w:r>
          </w:p>
        </w:tc>
        <w:tc>
          <w:tcPr>
            <w:vMerge/>
          </w:tcPr>
          <w:p>
            <w:r>
              <w:t xml:space="preserve">10148000.00  </w:t>
            </w:r>
          </w:p>
        </w:tc>
        <w:tc>
          <w:tcPr/>
          <w:p/>
        </w:tc>
        <w:tc>
          <w:tcPr/>
          <w:p/>
        </w:tc>
      </w:tr>
      <w:tr>
        <w:tblPrEx>
          <w:tblW w:w="5000" w:type="pct"/>
          <w:tblCellMar>
            <w:left w:w="108" w:type="dxa"/>
            <w:right w:w="108" w:type="dxa"/>
          </w:tblCellMar>
        </w:tblPrEx>
        <w:tc>
          <w:tcPr/>
          <w:p>
            <w:r>
              <w:t>4</w:t>
            </w:r>
          </w:p>
        </w:tc>
        <w:tc>
          <w:tcPr>
            <w:vMerge/>
          </w:tcPr>
          <w:p>
            <w:r>
              <w:t>青海省气象灾害防御技术中心(001057016)</w:t>
            </w:r>
          </w:p>
        </w:tc>
        <w:tc>
          <w:tcPr/>
          <w:p>
            <w:r>
              <w:t>网络音箱</w:t>
            </w:r>
          </w:p>
        </w:tc>
        <w:tc>
          <w:tcPr/>
          <w:p>
            <w:r>
              <w:t>154</w:t>
            </w:r>
          </w:p>
        </w:tc>
        <w:tc>
          <w:tcPr/>
          <w:p>
            <w:r>
              <w:t>77000.00</w:t>
            </w:r>
          </w:p>
        </w:tc>
        <w:tc>
          <w:tcPr>
            <w:vMerge/>
          </w:tcPr>
          <w:p>
            <w:r>
              <w:t xml:space="preserve">10148000.00  </w:t>
            </w:r>
          </w:p>
        </w:tc>
        <w:tc>
          <w:tcPr/>
          <w:p/>
        </w:tc>
        <w:tc>
          <w:tcPr/>
          <w:p/>
        </w:tc>
      </w:tr>
      <w:tr>
        <w:tblPrEx>
          <w:tblW w:w="5000" w:type="pct"/>
          <w:tblCellMar>
            <w:left w:w="108" w:type="dxa"/>
            <w:right w:w="108" w:type="dxa"/>
          </w:tblCellMar>
        </w:tblPrEx>
        <w:tc>
          <w:tcPr/>
          <w:p>
            <w:r>
              <w:t>5</w:t>
            </w:r>
          </w:p>
        </w:tc>
        <w:tc>
          <w:tcPr>
            <w:vMerge/>
          </w:tcPr>
          <w:p>
            <w:r>
              <w:t>青海省气象灾害防御技术中心(001057016)</w:t>
            </w:r>
          </w:p>
        </w:tc>
        <w:tc>
          <w:tcPr/>
          <w:p>
            <w:r>
              <w:t>视频存储和传输设备</w:t>
            </w:r>
          </w:p>
        </w:tc>
        <w:tc>
          <w:tcPr/>
          <w:p>
            <w:r>
              <w:t>154</w:t>
            </w:r>
          </w:p>
        </w:tc>
        <w:tc>
          <w:tcPr/>
          <w:p>
            <w:r>
              <w:t>1463000.00</w:t>
            </w:r>
          </w:p>
        </w:tc>
        <w:tc>
          <w:tcPr>
            <w:vMerge/>
          </w:tcPr>
          <w:p>
            <w:r>
              <w:t xml:space="preserve">10148000.00  </w:t>
            </w:r>
          </w:p>
        </w:tc>
        <w:tc>
          <w:tcPr/>
          <w:p/>
        </w:tc>
        <w:tc>
          <w:tcPr/>
          <w:p/>
        </w:tc>
      </w:tr>
      <w:tr>
        <w:tblPrEx>
          <w:tblW w:w="5000" w:type="pct"/>
          <w:tblCellMar>
            <w:left w:w="108" w:type="dxa"/>
            <w:right w:w="108" w:type="dxa"/>
          </w:tblCellMar>
        </w:tblPrEx>
        <w:tc>
          <w:tcPr/>
          <w:p>
            <w:r>
              <w:t>6</w:t>
            </w:r>
          </w:p>
        </w:tc>
        <w:tc>
          <w:tcPr>
            <w:vMerge/>
          </w:tcPr>
          <w:p>
            <w:r>
              <w:t>青海省气象灾害防御技术中心(001057016)</w:t>
            </w:r>
          </w:p>
        </w:tc>
        <w:tc>
          <w:tcPr/>
          <w:p>
            <w:r>
              <w:t>高炮作业安全监控终端</w:t>
            </w:r>
          </w:p>
        </w:tc>
        <w:tc>
          <w:tcPr/>
          <w:p>
            <w:r>
              <w:t>154</w:t>
            </w:r>
          </w:p>
        </w:tc>
        <w:tc>
          <w:tcPr/>
          <w:p>
            <w:r>
              <w:t>1848000.00</w:t>
            </w:r>
          </w:p>
        </w:tc>
        <w:tc>
          <w:tcPr>
            <w:vMerge/>
          </w:tcPr>
          <w:p>
            <w:r>
              <w:t xml:space="preserve">10148000.00  </w:t>
            </w:r>
          </w:p>
        </w:tc>
        <w:tc>
          <w:tcPr/>
          <w:p/>
        </w:tc>
        <w:tc>
          <w:tcPr/>
          <w:p/>
        </w:tc>
      </w:tr>
    </w:tbl>
    <w:p w:rsidR="00A77B3E"/>
    <w:p>
      <w:pPr>
        <w:spacing w:line="360" w:lineRule="auto"/>
        <w:rPr>
          <w:rFonts w:ascii="宋体" w:hAnsi="宋体"/>
          <w:szCs w:val="21"/>
        </w:rPr>
      </w:pPr>
      <w:bookmarkEnd w:id="67"/>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8"/>
    </w:p>
    <w:p>
      <w:pPr>
        <w:tabs>
          <w:tab w:val="left" w:pos="1573"/>
        </w:tabs>
        <w:adjustRightInd w:val="0"/>
        <w:snapToGrid w:val="0"/>
        <w:spacing w:line="360" w:lineRule="auto"/>
        <w:jc w:val="center"/>
        <w:outlineLvl w:val="1"/>
        <w:rPr>
          <w:b/>
          <w:bCs/>
          <w:sz w:val="30"/>
          <w:szCs w:val="30"/>
          <w:highlight w:val="none"/>
        </w:rPr>
      </w:pPr>
      <w:bookmarkStart w:id="68"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9"/>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9"/>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rPr>
              <w:t>6.1.2</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Cs/>
                <w:kern w:val="0"/>
                <w:sz w:val="18"/>
                <w:szCs w:val="18"/>
              </w:rPr>
              <w:t>★（2）中标人须提供常设7天×24小时热线服务和长期的免费技术支持，对采购人的服务通知，中标人在接报后6小时内响应，24小时内到达现场，48小时内处理完毕；如在检修48小时后仍无法排除故障，则中标人应在72小时内提供不低于故障设备规格、型号、性能的备用设备供采购人使用，直至故障设备修复。投标人需对提供本项售后服务进行承诺，并加盖投标人公章。</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8"/>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tabs>
          <w:tab w:val="left" w:pos="1573"/>
        </w:tabs>
        <w:adjustRightInd w:val="0"/>
        <w:snapToGrid w:val="0"/>
        <w:spacing w:line="360" w:lineRule="auto"/>
        <w:jc w:val="center"/>
        <w:outlineLvl w:val="1"/>
        <w:rPr>
          <w:b/>
          <w:sz w:val="30"/>
          <w:szCs w:val="30"/>
        </w:rPr>
      </w:pPr>
      <w:bookmarkStart w:id="69" w:name="采购公告合同部分_ZBGGHT"/>
      <w:r>
        <w:rPr>
          <w:rFonts w:hint="eastAsia"/>
          <w:b/>
          <w:sz w:val="30"/>
          <w:szCs w:val="30"/>
        </w:rPr>
        <w:t>采购合同</w:t>
      </w:r>
    </w:p>
    <w:p>
      <w:pPr>
        <w:spacing w:line="360" w:lineRule="auto"/>
        <w:ind w:firstLine="3066" w:firstLineChars="1460"/>
        <w:jc w:val="left"/>
        <w:rPr>
          <w:b/>
          <w:bCs/>
          <w:szCs w:val="21"/>
        </w:rPr>
      </w:pPr>
    </w:p>
    <w:p>
      <w:pPr>
        <w:snapToGrid w:val="0"/>
        <w:spacing w:line="360" w:lineRule="auto"/>
        <w:ind w:firstLine="420"/>
        <w:rPr>
          <w:rFonts w:ascii="宋体" w:hAnsi="宋体" w:hint="eastAsia"/>
          <w:szCs w:val="21"/>
        </w:rPr>
      </w:pPr>
      <w:r>
        <w:rPr>
          <w:rFonts w:ascii="宋体" w:hAnsi="宋体" w:hint="eastAsia"/>
          <w:szCs w:val="21"/>
        </w:rPr>
        <w:t>甲方（采购人）：</w:t>
      </w:r>
      <w:r>
        <w:rPr>
          <w:rFonts w:hint="eastAsia"/>
          <w:szCs w:val="21"/>
          <w:u w:val="single"/>
        </w:rPr>
        <w:t xml:space="preserve">                                  </w:t>
      </w:r>
    </w:p>
    <w:p>
      <w:pPr>
        <w:snapToGrid w:val="0"/>
        <w:spacing w:line="360" w:lineRule="auto"/>
        <w:ind w:firstLine="420"/>
        <w:rPr>
          <w:rFonts w:ascii="宋体" w:hAnsi="宋体" w:hint="eastAsia"/>
          <w:szCs w:val="21"/>
        </w:rPr>
      </w:pPr>
      <w:r>
        <w:rPr>
          <w:rFonts w:ascii="宋体" w:hAnsi="宋体" w:hint="eastAsia"/>
          <w:szCs w:val="21"/>
        </w:rPr>
        <w:t>乙方（中标人）：</w:t>
      </w:r>
      <w:r>
        <w:rPr>
          <w:rFonts w:hint="eastAsia"/>
          <w:szCs w:val="21"/>
          <w:u w:val="single"/>
        </w:rPr>
        <w:t xml:space="preserve">                                  </w:t>
      </w:r>
    </w:p>
    <w:p>
      <w:pPr>
        <w:snapToGrid w:val="0"/>
        <w:spacing w:line="360" w:lineRule="auto"/>
        <w:ind w:firstLine="420"/>
        <w:rPr>
          <w:rFonts w:ascii="宋体" w:hAnsi="宋体" w:hint="eastAsia"/>
          <w:szCs w:val="21"/>
        </w:rPr>
      </w:pPr>
      <w:r>
        <w:rPr>
          <w:rFonts w:ascii="宋体" w:hAnsi="宋体" w:hint="eastAsia"/>
          <w:szCs w:val="21"/>
        </w:rPr>
        <w:t>甲乙双方</w:t>
      </w:r>
      <w:r>
        <w:rPr>
          <w:rFonts w:hint="eastAsia"/>
          <w:szCs w:val="21"/>
        </w:rPr>
        <w:t>根据《中华人民共和国政府采购法》、《中华人民共和国民法典》等相关法律法规以及本项目招标文件的规定，经平等协商达成合同如下：</w:t>
      </w:r>
    </w:p>
    <w:p>
      <w:pPr>
        <w:numPr>
          <w:ilvl w:val="0"/>
          <w:numId w:val="8"/>
        </w:numPr>
        <w:adjustRightInd w:val="0"/>
        <w:snapToGrid w:val="0"/>
        <w:spacing w:line="360" w:lineRule="auto"/>
        <w:rPr>
          <w:b/>
        </w:rPr>
      </w:pPr>
      <w:r>
        <w:rPr>
          <w:rFonts w:hint="eastAsia"/>
          <w:b/>
        </w:rPr>
        <w:t>定义</w:t>
      </w:r>
    </w:p>
    <w:p>
      <w:pPr>
        <w:adjustRightInd w:val="0"/>
        <w:snapToGrid w:val="0"/>
        <w:spacing w:line="360" w:lineRule="auto"/>
        <w:ind w:firstLine="420" w:firstLineChars="200"/>
        <w:rPr>
          <w:bCs/>
        </w:rPr>
      </w:pPr>
      <w:r>
        <w:rPr>
          <w:rFonts w:hint="eastAsia"/>
          <w:szCs w:val="21"/>
        </w:rPr>
        <w:t>采购人名称：</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项目编号和分包号：</w:t>
      </w:r>
      <w:r>
        <w:rPr>
          <w:rFonts w:hint="eastAsia"/>
          <w:szCs w:val="21"/>
          <w:u w:val="single"/>
        </w:rPr>
        <w:t xml:space="preserve">                            </w:t>
      </w:r>
    </w:p>
    <w:p>
      <w:pPr>
        <w:adjustRightInd w:val="0"/>
        <w:snapToGrid w:val="0"/>
        <w:spacing w:line="360" w:lineRule="auto"/>
        <w:ind w:firstLine="420" w:firstLineChars="200"/>
        <w:rPr>
          <w:szCs w:val="21"/>
          <w:u w:val="single"/>
        </w:rPr>
      </w:pPr>
      <w:r>
        <w:rPr>
          <w:rFonts w:hint="eastAsia"/>
          <w:szCs w:val="21"/>
        </w:rPr>
        <w:t>项目名称：</w:t>
      </w:r>
      <w:r>
        <w:rPr>
          <w:rFonts w:hint="eastAsia"/>
          <w:szCs w:val="21"/>
          <w:u w:val="single"/>
        </w:rPr>
        <w:t xml:space="preserve">                                    </w:t>
      </w:r>
    </w:p>
    <w:p>
      <w:pPr>
        <w:numPr>
          <w:ilvl w:val="0"/>
          <w:numId w:val="8"/>
        </w:numPr>
        <w:adjustRightInd w:val="0"/>
        <w:snapToGrid w:val="0"/>
        <w:spacing w:line="360" w:lineRule="auto"/>
        <w:rPr>
          <w:b/>
        </w:rPr>
      </w:pPr>
      <w:r>
        <w:rPr>
          <w:rFonts w:hint="eastAsia"/>
          <w:b/>
        </w:rPr>
        <w:t>合同标的</w:t>
      </w:r>
    </w:p>
    <w:p>
      <w:pPr>
        <w:adjustRightInd w:val="0"/>
        <w:snapToGrid w:val="0"/>
        <w:spacing w:line="360" w:lineRule="auto"/>
        <w:ind w:firstLine="420" w:firstLineChars="200"/>
        <w:rPr>
          <w:rFonts w:ascii="宋体" w:hAnsi="宋体" w:hint="eastAsia"/>
          <w:szCs w:val="21"/>
        </w:rPr>
      </w:pPr>
      <w:r>
        <w:rPr>
          <w:rFonts w:ascii="宋体" w:hAnsi="宋体" w:hint="eastAsia"/>
          <w:szCs w:val="21"/>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jc w:val="center"/>
              <w:rPr>
                <w:szCs w:val="21"/>
              </w:rPr>
            </w:pPr>
            <w:r>
              <w:rPr>
                <w:rFonts w:ascii="宋体" w:hAnsi="宋体"/>
                <w:szCs w:val="21"/>
              </w:rPr>
              <w:t>No.</w:t>
            </w:r>
          </w:p>
        </w:tc>
        <w:tc>
          <w:tcPr>
            <w:tcW w:w="29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服务产品名称</w:t>
            </w:r>
          </w:p>
        </w:tc>
        <w:tc>
          <w:tcPr>
            <w:tcW w:w="735"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数量</w:t>
            </w:r>
          </w:p>
        </w:tc>
        <w:tc>
          <w:tcPr>
            <w:tcW w:w="1318"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质量说明</w:t>
            </w:r>
          </w:p>
        </w:tc>
        <w:tc>
          <w:tcPr>
            <w:tcW w:w="750" w:type="dxa"/>
            <w:vAlign w:val="center"/>
          </w:tcPr>
          <w:p>
            <w:pPr>
              <w:tabs>
                <w:tab w:val="left" w:pos="1573"/>
              </w:tabs>
              <w:autoSpaceDE w:val="0"/>
              <w:autoSpaceDN w:val="0"/>
              <w:adjustRightInd w:val="0"/>
              <w:snapToGrid w:val="0"/>
              <w:spacing w:line="360" w:lineRule="auto"/>
              <w:jc w:val="center"/>
              <w:rPr>
                <w:szCs w:val="21"/>
              </w:rPr>
            </w:pPr>
            <w:r>
              <w:rPr>
                <w:rFonts w:ascii="宋体" w:hAnsi="宋体" w:hint="eastAsia"/>
                <w:szCs w:val="21"/>
              </w:rPr>
              <w:t>价格</w:t>
            </w:r>
          </w:p>
        </w:tc>
        <w:tc>
          <w:tcPr>
            <w:tcW w:w="1275" w:type="dxa"/>
            <w:vAlign w:val="center"/>
          </w:tcPr>
          <w:p>
            <w:pPr>
              <w:tabs>
                <w:tab w:val="left" w:pos="1573"/>
              </w:tabs>
              <w:autoSpaceDE w:val="0"/>
              <w:autoSpaceDN w:val="0"/>
              <w:adjustRightInd w:val="0"/>
              <w:snapToGrid w:val="0"/>
              <w:spacing w:line="360" w:lineRule="auto"/>
              <w:jc w:val="center"/>
              <w:rPr>
                <w:rFonts w:ascii="宋体" w:hAnsi="宋体" w:hint="eastAsia"/>
                <w:szCs w:val="21"/>
              </w:rPr>
            </w:pPr>
            <w:r>
              <w:rPr>
                <w:rFonts w:ascii="宋体" w:hAnsi="宋体" w:hint="eastAsia"/>
                <w:szCs w:val="21"/>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50"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hint="eastAsia"/>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50"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hint="eastAsia"/>
                <w:szCs w:val="21"/>
              </w:rPr>
            </w:pPr>
          </w:p>
        </w:tc>
      </w:tr>
      <w:tr>
        <w:tblPrEx>
          <w:tblW w:w="0" w:type="auto"/>
          <w:jc w:val="center"/>
          <w:tblLayout w:type="fixed"/>
          <w:tblCellMar>
            <w:top w:w="0" w:type="dxa"/>
            <w:left w:w="108" w:type="dxa"/>
            <w:bottom w:w="0" w:type="dxa"/>
            <w:right w:w="108" w:type="dxa"/>
          </w:tblCellMar>
        </w:tblPrEx>
        <w:trPr>
          <w:jc w:val="center"/>
        </w:trPr>
        <w:tc>
          <w:tcPr>
            <w:tcW w:w="76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29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35"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318"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750" w:type="dxa"/>
            <w:vAlign w:val="center"/>
          </w:tcPr>
          <w:p>
            <w:pPr>
              <w:tabs>
                <w:tab w:val="left" w:pos="1573"/>
              </w:tabs>
              <w:autoSpaceDE w:val="0"/>
              <w:autoSpaceDN w:val="0"/>
              <w:adjustRightInd w:val="0"/>
              <w:snapToGrid w:val="0"/>
              <w:spacing w:line="360" w:lineRule="auto"/>
              <w:rPr>
                <w:rFonts w:ascii="宋体" w:hAnsi="宋体" w:hint="eastAsia"/>
                <w:szCs w:val="21"/>
              </w:rPr>
            </w:pPr>
          </w:p>
        </w:tc>
        <w:tc>
          <w:tcPr>
            <w:tcW w:w="1275" w:type="dxa"/>
            <w:vAlign w:val="center"/>
          </w:tcPr>
          <w:p>
            <w:pPr>
              <w:tabs>
                <w:tab w:val="left" w:pos="1573"/>
              </w:tabs>
              <w:autoSpaceDE w:val="0"/>
              <w:autoSpaceDN w:val="0"/>
              <w:adjustRightInd w:val="0"/>
              <w:snapToGrid w:val="0"/>
              <w:spacing w:line="360" w:lineRule="auto"/>
              <w:rPr>
                <w:rFonts w:ascii="宋体" w:hAnsi="宋体" w:hint="eastAsia"/>
                <w:szCs w:val="21"/>
              </w:rPr>
            </w:pPr>
          </w:p>
        </w:tc>
      </w:tr>
    </w:tbl>
    <w:p>
      <w:pPr>
        <w:numPr>
          <w:ilvl w:val="0"/>
          <w:numId w:val="8"/>
        </w:numPr>
        <w:adjustRightInd w:val="0"/>
        <w:snapToGrid w:val="0"/>
        <w:spacing w:line="360" w:lineRule="auto"/>
        <w:rPr>
          <w:b/>
        </w:rPr>
      </w:pPr>
      <w:r>
        <w:rPr>
          <w:rFonts w:hint="eastAsia"/>
          <w:b/>
        </w:rPr>
        <w:t>质量标准及保证</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1.乙方保证提供的货物皆为符合国家标准的全新、未使用过的正品合格产品，且承诺为甲方提供符合或高于国家标准、行业的安全质量标准、环保标准及招标文件要求的服务，且若该货物在投标货物生产厂商中国总部对外公众网站上具有标准配置和服务的，乙方为甲方提供的产品及服务符合或高于其标准。</w:t>
      </w:r>
      <w:r>
        <w:rPr>
          <w:rFonts w:ascii="宋体" w:hAnsi="宋体" w:cs="宋体" w:hint="eastAsia"/>
        </w:rPr>
        <w:tab/>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2.乙方应提供产品达到合格标准的自测报告和出厂测试报告。</w:t>
      </w:r>
    </w:p>
    <w:p>
      <w:pPr>
        <w:tabs>
          <w:tab w:val="left" w:pos="1573"/>
        </w:tabs>
        <w:adjustRightInd w:val="0"/>
        <w:snapToGrid w:val="0"/>
        <w:spacing w:line="360" w:lineRule="auto"/>
        <w:ind w:firstLine="420" w:firstLineChars="200"/>
        <w:jc w:val="left"/>
        <w:rPr>
          <w:rFonts w:ascii="宋体" w:hAnsi="宋体" w:cs="宋体" w:hint="eastAsia"/>
        </w:rPr>
      </w:pPr>
      <w:r>
        <w:rPr>
          <w:rFonts w:ascii="宋体" w:hAnsi="宋体" w:cs="宋体" w:hint="eastAsia"/>
        </w:rPr>
        <w:t>3.</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日前，完成出厂测试。</w:t>
      </w:r>
    </w:p>
    <w:p>
      <w:pPr>
        <w:tabs>
          <w:tab w:val="left" w:pos="1573"/>
        </w:tabs>
        <w:adjustRightInd w:val="0"/>
        <w:snapToGrid w:val="0"/>
        <w:spacing w:line="360" w:lineRule="auto"/>
        <w:ind w:firstLine="420" w:firstLineChars="200"/>
        <w:jc w:val="left"/>
        <w:rPr>
          <w:rFonts w:ascii="宋体" w:hAnsi="宋体" w:cs="宋体" w:hint="eastAsia"/>
          <w:szCs w:val="21"/>
        </w:rPr>
      </w:pPr>
      <w:r>
        <w:rPr>
          <w:rFonts w:ascii="宋体" w:hAnsi="宋体" w:cs="宋体" w:hint="eastAsia"/>
        </w:rPr>
        <w:t>4.</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日前，完成现场验收，启动业务试运行。</w:t>
      </w:r>
    </w:p>
    <w:p>
      <w:pPr>
        <w:numPr>
          <w:ilvl w:val="0"/>
          <w:numId w:val="8"/>
        </w:numPr>
        <w:adjustRightInd w:val="0"/>
        <w:snapToGrid w:val="0"/>
        <w:spacing w:line="360" w:lineRule="auto"/>
        <w:rPr>
          <w:b/>
        </w:rPr>
      </w:pPr>
      <w:r>
        <w:rPr>
          <w:rFonts w:hint="eastAsia"/>
          <w:b/>
        </w:rPr>
        <w:t>验收</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1.验收分为现场验收及合同验收，乙方在完成安装调试</w:t>
      </w:r>
      <w:r>
        <w:rPr>
          <w:rFonts w:ascii="等线" w:hAnsi="等线" w:cs="宋体" w:hint="eastAsia"/>
          <w:kern w:val="0"/>
          <w:szCs w:val="21"/>
        </w:rPr>
        <w:t>并测试通过后，</w:t>
      </w:r>
      <w:r>
        <w:rPr>
          <w:rFonts w:ascii="宋体" w:hAnsi="宋体" w:cs="仿宋_GB2312" w:hint="eastAsia"/>
          <w:kern w:val="0"/>
          <w:szCs w:val="21"/>
        </w:rPr>
        <w:t>向甲方提出验收申请，甲方接到申请后组织人员进行验收，</w:t>
      </w:r>
      <w:r>
        <w:rPr>
          <w:rFonts w:ascii="等线" w:hAnsi="等线" w:cs="宋体" w:hint="eastAsia"/>
          <w:kern w:val="0"/>
          <w:szCs w:val="21"/>
        </w:rPr>
        <w:t>验收前由乙方向甲方提供验收大纲，经甲方认可后执行，</w:t>
      </w:r>
      <w:r>
        <w:rPr>
          <w:rFonts w:ascii="宋体" w:hAnsi="宋体" w:cs="仿宋_GB2312" w:hint="eastAsia"/>
          <w:kern w:val="0"/>
          <w:szCs w:val="21"/>
        </w:rPr>
        <w:t>验收合格视为项目交付完成。</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2.乙方应按照甲方要求提交合同实施情况报告、自测的产品性能测试报告、货物/服务接收清单、现场验收报告等。</w:t>
      </w:r>
    </w:p>
    <w:p>
      <w:pPr>
        <w:numPr>
          <w:ilvl w:val="0"/>
          <w:numId w:val="8"/>
        </w:numPr>
        <w:adjustRightInd w:val="0"/>
        <w:snapToGrid w:val="0"/>
        <w:spacing w:line="360" w:lineRule="auto"/>
        <w:rPr>
          <w:b/>
          <w:szCs w:val="21"/>
        </w:rPr>
      </w:pPr>
      <w:r>
        <w:rPr>
          <w:rFonts w:hint="eastAsia"/>
          <w:b/>
          <w:szCs w:val="21"/>
        </w:rPr>
        <w:t>运输</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1.本合同项下货物应由乙方承运至甲方指定地点，运输所产生的费用由乙方承担。乙方应同时承担运输过程中合同货物的所有在途风险，包括但不限于毁损、丢失等。</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2.货物运输过程中出现的所有事故，由乙方自行负责，与甲方无关，如因此给甲方造成损失的，乙方应该承担相应的赔偿责任。</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3.货物运输途中发生的可对运输产生的不利影响的所有不可预计情况均由乙方自行协调解决。</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4.因自然灾害、政策变动等不可抗力因素导致送货延迟的，乙方须及时通知甲方，并取得相关证明，以便甲方处理后续工作。</w:t>
      </w:r>
    </w:p>
    <w:p>
      <w:pPr>
        <w:numPr>
          <w:ilvl w:val="0"/>
          <w:numId w:val="8"/>
        </w:numPr>
        <w:adjustRightInd w:val="0"/>
        <w:snapToGrid w:val="0"/>
        <w:spacing w:line="360" w:lineRule="auto"/>
        <w:rPr>
          <w:b/>
          <w:szCs w:val="21"/>
        </w:rPr>
      </w:pPr>
      <w:r>
        <w:rPr>
          <w:rFonts w:hint="eastAsia"/>
          <w:b/>
          <w:szCs w:val="21"/>
        </w:rPr>
        <w:t>收货时间、地点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乙方应于</w:t>
      </w:r>
      <w:r>
        <w:rPr>
          <w:rFonts w:ascii="宋体" w:hAnsi="宋体" w:cs="仿宋_GB2312" w:hint="eastAsia"/>
          <w:kern w:val="0"/>
          <w:szCs w:val="21"/>
          <w:u w:val="single"/>
        </w:rPr>
        <w:t xml:space="preserve">    </w:t>
      </w:r>
      <w:r>
        <w:rPr>
          <w:rFonts w:ascii="宋体" w:hAnsi="宋体" w:cs="仿宋_GB2312" w:hint="eastAsia"/>
          <w:kern w:val="0"/>
          <w:szCs w:val="21"/>
        </w:rPr>
        <w:t>年</w:t>
      </w:r>
      <w:r>
        <w:rPr>
          <w:rFonts w:ascii="宋体" w:hAnsi="宋体" w:cs="仿宋_GB2312" w:hint="eastAsia"/>
          <w:kern w:val="0"/>
          <w:szCs w:val="21"/>
          <w:u w:val="single"/>
        </w:rPr>
        <w:t xml:space="preserve">  </w:t>
      </w:r>
      <w:r>
        <w:rPr>
          <w:rFonts w:ascii="宋体" w:hAnsi="宋体" w:cs="仿宋_GB2312" w:hint="eastAsia"/>
          <w:kern w:val="0"/>
          <w:szCs w:val="21"/>
        </w:rPr>
        <w:t>月</w:t>
      </w:r>
      <w:r>
        <w:rPr>
          <w:rFonts w:ascii="宋体" w:hAnsi="宋体" w:cs="仿宋_GB2312" w:hint="eastAsia"/>
          <w:kern w:val="0"/>
          <w:szCs w:val="21"/>
          <w:u w:val="single"/>
        </w:rPr>
        <w:t xml:space="preserve">  </w:t>
      </w:r>
      <w:r>
        <w:rPr>
          <w:rFonts w:ascii="宋体" w:hAnsi="宋体" w:cs="仿宋_GB2312" w:hint="eastAsia"/>
          <w:kern w:val="0"/>
          <w:szCs w:val="21"/>
        </w:rPr>
        <w:t>日前将本合同货物运至以下地点：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收货单位：</w:t>
      </w:r>
      <w:r>
        <w:rPr>
          <w:rFonts w:ascii="宋体" w:hAnsi="宋体" w:cs="仿宋_GB2312" w:hint="eastAsia"/>
          <w:kern w:val="0"/>
          <w:szCs w:val="21"/>
        </w:rPr>
        <w:tab/>
      </w:r>
      <w:r>
        <w:rPr>
          <w:rFonts w:ascii="宋体" w:hAnsi="宋体" w:cs="仿宋_GB2312" w:hint="eastAsia"/>
          <w:kern w:val="0"/>
          <w:szCs w:val="21"/>
        </w:rPr>
        <w:tab/>
      </w:r>
      <w:r>
        <w:rPr>
          <w:rFonts w:ascii="宋体" w:hAnsi="宋体" w:cs="仿宋_GB2312" w:hint="eastAsia"/>
          <w:kern w:val="0"/>
          <w:szCs w:val="21"/>
        </w:rPr>
        <w:tab/>
      </w:r>
      <w:r>
        <w:rPr>
          <w:rFonts w:ascii="宋体" w:hAnsi="宋体" w:cs="仿宋_GB2312" w:hint="eastAsia"/>
          <w:kern w:val="0"/>
          <w:szCs w:val="21"/>
        </w:rPr>
        <w:t xml:space="preserve">                          </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收货人：</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 xml:space="preserve">电话： </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收货地址：甲方指定地点</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邮编：</w:t>
      </w:r>
    </w:p>
    <w:p>
      <w:pPr>
        <w:numPr>
          <w:ilvl w:val="0"/>
          <w:numId w:val="8"/>
        </w:numPr>
        <w:adjustRightInd w:val="0"/>
        <w:snapToGrid w:val="0"/>
        <w:spacing w:line="360" w:lineRule="auto"/>
        <w:rPr>
          <w:b/>
          <w:szCs w:val="21"/>
        </w:rPr>
      </w:pPr>
      <w:r>
        <w:rPr>
          <w:rFonts w:hint="eastAsia"/>
          <w:b/>
          <w:szCs w:val="21"/>
        </w:rPr>
        <w:t>合同价格及付款方式</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1.合同总金额为人民币    整（大写），￥    元（小写），包含设备购置、运输、安装、保险、税金等全部费用。</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2.合同生效后付款：双方签署合同后30个工作日内，乙方向甲方提供金额为合同总价5%，有效截止日期为2026年12月31日的银行履约保函，甲方向乙方支付合同总金额的60%预付款，即人民币     （大写），￥    元（小写），设备到达现场开箱验收合格后预付款转为合同支付款。</w:t>
      </w:r>
    </w:p>
    <w:p>
      <w:pPr>
        <w:tabs>
          <w:tab w:val="left" w:pos="709"/>
        </w:tabs>
        <w:adjustRightInd w:val="0"/>
        <w:snapToGrid w:val="0"/>
        <w:spacing w:line="360" w:lineRule="auto"/>
        <w:ind w:firstLine="420" w:firstLineChars="200"/>
        <w:rPr>
          <w:rFonts w:ascii="宋体" w:hAnsi="宋体" w:cs="仿宋_GB2312" w:hint="eastAsia"/>
          <w:kern w:val="0"/>
          <w:szCs w:val="21"/>
        </w:rPr>
      </w:pPr>
      <w:r>
        <w:rPr>
          <w:rFonts w:ascii="宋体" w:hAnsi="宋体" w:cs="仿宋_GB2312" w:hint="eastAsia"/>
          <w:kern w:val="0"/>
          <w:szCs w:val="21"/>
        </w:rPr>
        <w:t>3.全部设备安装测试通过现场验收后20个工作日内甲方向乙方支付合同总金额的30%，即人民币     （大写），￥    元（小写）。</w:t>
      </w:r>
    </w:p>
    <w:p>
      <w:pPr>
        <w:tabs>
          <w:tab w:val="left" w:pos="709"/>
        </w:tabs>
        <w:adjustRightInd w:val="0"/>
        <w:snapToGrid w:val="0"/>
        <w:spacing w:line="360" w:lineRule="auto"/>
        <w:ind w:firstLine="420" w:firstLineChars="200"/>
      </w:pPr>
      <w:r>
        <w:rPr>
          <w:rFonts w:ascii="宋体" w:hAnsi="宋体" w:cs="仿宋_GB2312" w:hint="eastAsia"/>
          <w:kern w:val="0"/>
          <w:szCs w:val="21"/>
        </w:rPr>
        <w:t>4.项目通过甲方组织的合同验收后20个工作日内，甲方向乙方支付合同总金额的10%，即人民币    元整（大写），￥    元（小写）。</w:t>
      </w:r>
    </w:p>
    <w:tbl>
      <w:tblPr>
        <w:tblStyle w:val="TableNormal"/>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122"/>
        <w:gridCol w:w="7081"/>
      </w:tblGrid>
      <w:tr>
        <w:tblPrEx>
          <w:tblW w:w="92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7"/>
          <w:jc w:val="center"/>
        </w:trPr>
        <w:tc>
          <w:tcPr>
            <w:tcW w:w="9203" w:type="dxa"/>
            <w:gridSpan w:val="2"/>
          </w:tcPr>
          <w:p>
            <w:pPr>
              <w:autoSpaceDE w:val="0"/>
              <w:autoSpaceDN w:val="0"/>
              <w:spacing w:line="360" w:lineRule="auto"/>
              <w:jc w:val="center"/>
              <w:rPr>
                <w:kern w:val="0"/>
                <w:szCs w:val="21"/>
              </w:rPr>
            </w:pPr>
            <w:r>
              <w:rPr>
                <w:rFonts w:hint="eastAsia"/>
                <w:b/>
                <w:kern w:val="0"/>
                <w:szCs w:val="21"/>
              </w:rPr>
              <w:t>收</w:t>
            </w:r>
            <w:r>
              <w:rPr>
                <w:b/>
                <w:kern w:val="0"/>
                <w:szCs w:val="21"/>
              </w:rPr>
              <w:t>款</w:t>
            </w:r>
            <w:r>
              <w:rPr>
                <w:rFonts w:hint="eastAsia"/>
                <w:b/>
                <w:kern w:val="0"/>
                <w:szCs w:val="21"/>
              </w:rPr>
              <w:t>单位</w:t>
            </w:r>
            <w:r>
              <w:rPr>
                <w:b/>
                <w:kern w:val="0"/>
                <w:szCs w:val="21"/>
              </w:rPr>
              <w:t>信息</w:t>
            </w: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单位名称</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开户银行</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93"/>
          <w:jc w:val="center"/>
        </w:trPr>
        <w:tc>
          <w:tcPr>
            <w:tcW w:w="2122" w:type="dxa"/>
          </w:tcPr>
          <w:p>
            <w:pPr>
              <w:autoSpaceDE w:val="0"/>
              <w:autoSpaceDN w:val="0"/>
              <w:spacing w:line="360" w:lineRule="auto"/>
              <w:jc w:val="center"/>
              <w:rPr>
                <w:kern w:val="0"/>
                <w:szCs w:val="21"/>
              </w:rPr>
            </w:pPr>
            <w:r>
              <w:rPr>
                <w:kern w:val="0"/>
                <w:szCs w:val="21"/>
              </w:rPr>
              <w:t>账号</w:t>
            </w:r>
          </w:p>
        </w:tc>
        <w:tc>
          <w:tcPr>
            <w:tcW w:w="7081" w:type="dxa"/>
          </w:tcPr>
          <w:p>
            <w:pPr>
              <w:autoSpaceDE w:val="0"/>
              <w:autoSpaceDN w:val="0"/>
              <w:spacing w:line="360" w:lineRule="auto"/>
              <w:jc w:val="left"/>
              <w:rPr>
                <w:kern w:val="0"/>
                <w:szCs w:val="21"/>
              </w:rPr>
            </w:pPr>
          </w:p>
        </w:tc>
      </w:tr>
      <w:tr>
        <w:tblPrEx>
          <w:tblW w:w="9203" w:type="dxa"/>
          <w:jc w:val="center"/>
          <w:tblLayout w:type="fixed"/>
          <w:tblCellMar>
            <w:top w:w="0" w:type="dxa"/>
            <w:left w:w="108" w:type="dxa"/>
            <w:bottom w:w="0" w:type="dxa"/>
            <w:right w:w="108" w:type="dxa"/>
          </w:tblCellMar>
        </w:tblPrEx>
        <w:trPr>
          <w:trHeight w:val="296"/>
          <w:jc w:val="center"/>
        </w:trPr>
        <w:tc>
          <w:tcPr>
            <w:tcW w:w="9203" w:type="dxa"/>
            <w:gridSpan w:val="2"/>
          </w:tcPr>
          <w:p>
            <w:pPr>
              <w:autoSpaceDE w:val="0"/>
              <w:autoSpaceDN w:val="0"/>
              <w:spacing w:line="360" w:lineRule="auto"/>
              <w:jc w:val="center"/>
              <w:rPr>
                <w:kern w:val="0"/>
                <w:szCs w:val="21"/>
              </w:rPr>
            </w:pPr>
            <w:r>
              <w:rPr>
                <w:b/>
                <w:kern w:val="0"/>
                <w:szCs w:val="21"/>
              </w:rPr>
              <w:t>开具发票信息</w:t>
            </w: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rPr>
            </w:pPr>
            <w:r>
              <w:rPr>
                <w:kern w:val="0"/>
                <w:szCs w:val="21"/>
              </w:rPr>
              <w:t>单位名称</w:t>
            </w:r>
          </w:p>
        </w:tc>
        <w:tc>
          <w:tcPr>
            <w:tcW w:w="7081" w:type="dxa"/>
            <w:vAlign w:val="center"/>
          </w:tcPr>
          <w:p>
            <w:pPr>
              <w:autoSpaceDE w:val="0"/>
              <w:autoSpaceDN w:val="0"/>
              <w:adjustRightInd w:val="0"/>
              <w:snapToGrid w:val="0"/>
              <w:jc w:val="left"/>
              <w:rPr>
                <w:kern w:val="0"/>
                <w:szCs w:val="21"/>
              </w:rPr>
            </w:pP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highlight w:val="yellow"/>
              </w:rPr>
            </w:pPr>
            <w:r>
              <w:rPr>
                <w:kern w:val="0"/>
                <w:szCs w:val="21"/>
              </w:rPr>
              <w:t>纳税人识别号</w:t>
            </w:r>
          </w:p>
        </w:tc>
        <w:tc>
          <w:tcPr>
            <w:tcW w:w="7081" w:type="dxa"/>
            <w:vAlign w:val="center"/>
          </w:tcPr>
          <w:p>
            <w:pPr>
              <w:autoSpaceDE w:val="0"/>
              <w:autoSpaceDN w:val="0"/>
              <w:spacing w:line="360" w:lineRule="auto"/>
              <w:jc w:val="left"/>
              <w:rPr>
                <w:kern w:val="0"/>
                <w:szCs w:val="21"/>
                <w:highlight w:val="yellow"/>
              </w:rPr>
            </w:pPr>
          </w:p>
        </w:tc>
      </w:tr>
      <w:tr>
        <w:tblPrEx>
          <w:tblW w:w="9203" w:type="dxa"/>
          <w:jc w:val="center"/>
          <w:tblLayout w:type="fixed"/>
          <w:tblCellMar>
            <w:top w:w="0" w:type="dxa"/>
            <w:left w:w="108" w:type="dxa"/>
            <w:bottom w:w="0" w:type="dxa"/>
            <w:right w:w="108" w:type="dxa"/>
          </w:tblCellMar>
        </w:tblPrEx>
        <w:trPr>
          <w:trHeight w:val="133"/>
          <w:jc w:val="center"/>
        </w:trPr>
        <w:tc>
          <w:tcPr>
            <w:tcW w:w="2122" w:type="dxa"/>
          </w:tcPr>
          <w:p>
            <w:pPr>
              <w:autoSpaceDE w:val="0"/>
              <w:autoSpaceDN w:val="0"/>
              <w:spacing w:line="360" w:lineRule="auto"/>
              <w:jc w:val="center"/>
              <w:rPr>
                <w:kern w:val="0"/>
                <w:szCs w:val="21"/>
              </w:rPr>
            </w:pPr>
            <w:r>
              <w:rPr>
                <w:kern w:val="0"/>
                <w:szCs w:val="21"/>
              </w:rPr>
              <w:t>发票类型</w:t>
            </w:r>
          </w:p>
        </w:tc>
        <w:tc>
          <w:tcPr>
            <w:tcW w:w="7081" w:type="dxa"/>
          </w:tcPr>
          <w:p>
            <w:pPr>
              <w:autoSpaceDE w:val="0"/>
              <w:autoSpaceDN w:val="0"/>
              <w:spacing w:line="360" w:lineRule="auto"/>
              <w:jc w:val="left"/>
              <w:rPr>
                <w:kern w:val="0"/>
                <w:szCs w:val="21"/>
              </w:rPr>
            </w:pPr>
            <w:r>
              <w:rPr>
                <w:kern w:val="0"/>
                <w:szCs w:val="21"/>
              </w:rPr>
              <w:t>■增值税普通发票  □增值税专用发票</w:t>
            </w:r>
          </w:p>
        </w:tc>
      </w:tr>
    </w:tbl>
    <w:p>
      <w:pPr>
        <w:numPr>
          <w:ilvl w:val="0"/>
          <w:numId w:val="8"/>
        </w:numPr>
        <w:adjustRightInd w:val="0"/>
        <w:snapToGrid w:val="0"/>
        <w:spacing w:line="360" w:lineRule="auto"/>
        <w:rPr>
          <w:b/>
          <w:szCs w:val="21"/>
        </w:rPr>
      </w:pPr>
      <w:r>
        <w:rPr>
          <w:rFonts w:hint="eastAsia"/>
          <w:b/>
          <w:szCs w:val="21"/>
        </w:rPr>
        <w:t>技术服务和保修责任方式</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color w:val="000000"/>
          <w:kern w:val="0"/>
          <w:szCs w:val="21"/>
          <w:lang w:bidi="ar"/>
        </w:rPr>
        <w:t>1.</w:t>
      </w:r>
      <w:r>
        <w:rPr>
          <w:rFonts w:ascii="宋体" w:hAnsi="宋体" w:cs="宋体" w:hint="eastAsia"/>
          <w:kern w:val="0"/>
          <w:szCs w:val="21"/>
        </w:rPr>
        <w:t>乙方对合同货物的质量保修期为验收证书签署之日起</w:t>
      </w:r>
      <w:r>
        <w:rPr>
          <w:rFonts w:ascii="宋体" w:hAnsi="宋体" w:cs="宋体" w:hint="eastAsia"/>
          <w:kern w:val="0"/>
          <w:szCs w:val="21"/>
          <w:u w:val="single"/>
        </w:rPr>
        <w:t>60</w:t>
      </w:r>
      <w:r>
        <w:rPr>
          <w:rFonts w:ascii="宋体" w:hAnsi="宋体" w:cs="宋体" w:hint="eastAsia"/>
          <w:kern w:val="0"/>
          <w:szCs w:val="21"/>
        </w:rPr>
        <w:t>个月，质保期内实行三包（包修、包换、包更新）。</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2.乙方在合同货物的质量保修期内，免费为甲方提供合同货物的技术指导和维修服务的时间是：每周7天*24小时（工作时间）。</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3.乙方保证在合同货物出现故障和缺陷时，或接到甲方提出的技术服务要求后2小时内予以答复，如甲方有要求或必要时，乙方应在接到甲方通知后72小时内派员至甲方免费维修和提供现场指导。</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4.如乙方在接到甲方维修通知后72小时仍不能修复有关货物，乙方应免费提供与该货物同一型号的备用货物。</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如乙方在接到甲方提出的技术服务要求或维修通知后48小时内没有响应、拒绝或没有派员到达甲方提供技术服务、修理或退换货物，甲方有权委托第三人对合同货物进行维修或提供技术服务，由此产生的相关费用由乙方承担。</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6.在合同货物保修期届满后，如果因合同货物硬件或软件的固有缺陷和瑕疵出现紧急故障和事故，乙方应在接到甲方通知之后72小时内到达现场。</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7.乙方应保证甲方在使用本合同项下的货物或其任何一部分时免受第三方提出侵犯其知识产权、商标权或工业设计权的起诉。如果发生此类问题，乙方应负责交涉并承担一切费用和责任。</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8.乙方应提供所交付货物的全套技术文件资料，包括操作使用说明书或使用指南、零配件手册、服务手册、维修保养说明书；产品的合格证、保修卡等；所有货物均要求技术资料完整，有中文资料的必须提供完整中文资料。</w:t>
      </w:r>
    </w:p>
    <w:p>
      <w:pPr>
        <w:widowControl/>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9.由于乙方更换、修理和续补货物，而造成货物不得不停止使用，货物质量保修期应依照停止使用的实际时间加以延长，如有需要，乙方应当按照甲方的要求提供备用货物，如因此给甲方造成损失，乙方应负责赔偿。</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10.在质量保修期内，乙方必须按甲方要求及时免费维修、更换有缺陷的产品或部件。如发现产品有其他潜在缺陷及不符合标准要求，甲方有权退货或向乙方索赔。</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11.乙方还应提供下列服务：货物的现场安装、启动和试运行；提供货物组装和维修所需的工具；在质量保修期内对所交付货物提供运行监督、维修、保养等；在项目现场就货物的安装、启动、运行、维护等对甲方人员进行培训。</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12.乙方应按约定提供完善的培训服务，制定详实可行的培训计划，提供配套培训材料，对观测人员及设备维护人员制定有针对性的培训方案，有效组织和控制培训课程的顺利进行，确保培训质量。</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13.上述服务的费用应包含在合同价中，不单独进行支付。</w:t>
      </w:r>
    </w:p>
    <w:p>
      <w:pPr>
        <w:numPr>
          <w:ilvl w:val="0"/>
          <w:numId w:val="8"/>
        </w:numPr>
        <w:adjustRightInd w:val="0"/>
        <w:snapToGrid w:val="0"/>
        <w:spacing w:line="360" w:lineRule="auto"/>
        <w:rPr>
          <w:b/>
          <w:szCs w:val="21"/>
        </w:rPr>
      </w:pPr>
      <w:r>
        <w:rPr>
          <w:rFonts w:hint="eastAsia"/>
          <w:b/>
          <w:szCs w:val="21"/>
        </w:rPr>
        <w:t>违约责任</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1.双方签订合同后，任何一方未能按合同条款履行各自应尽义务的，一律视为违约。双方另有约定的除外。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延期交付或延期付款的违约责任：如乙方延期交付或甲方延期付款，每逾期一天，违约方应按延期交货所折合的金额或延期付款金额每天0.3‰的比例向对方支付违约金，但该违约金累计不得超过合同总金额的5%；上述逾期超过90天，守约方有权解除合同，并要求违约方赔偿由此造成的损失。</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如因乙方提供的货物硬件或软件有缺陷，或乙方提供的技术资料有错误，或乙方的技术人员指导有错误而使货物不能达到合同规定的指标和技术性能，乙方应负责更换或修理，使货物运行指标和技术性能达到招标文件规定，由此引起的全部费用由乙方承担，并向甲方赔偿合同总金额20%的违约金。若因软件或硬件缺陷导致甲方遭受损失，或致使第三方受到损害，乙方应承担全部赔偿责任。此时，相关货物的质量保修期及相关的其他期限也应相应顺延或重新起算。</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4.若乙方无故解除合同，需承担合同总金额50%的违约金；若乙方违反本合同其他规定，均视为违约行为，应就每一项违约向对方支付合同总金额5%的违约金。</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任何一方由于不可抗力原因不能按约履行合同时，应在不可抗力事件结束后3个工作日内向对方有效通报，以减轻可能给对方造成的损失，在取得有关机构的不可抗力证明或双方谅解并书面确认后，应当根据具体情况允许延期履行、修订或终止合同，并根据情况可部分或全部免予承担违约责任。</w:t>
      </w:r>
    </w:p>
    <w:p>
      <w:pPr>
        <w:numPr>
          <w:ilvl w:val="0"/>
          <w:numId w:val="8"/>
        </w:numPr>
        <w:adjustRightInd w:val="0"/>
        <w:snapToGrid w:val="0"/>
        <w:spacing w:line="360" w:lineRule="auto"/>
        <w:rPr>
          <w:b/>
          <w:szCs w:val="21"/>
        </w:rPr>
      </w:pPr>
      <w:r>
        <w:rPr>
          <w:rFonts w:hint="eastAsia"/>
          <w:b/>
          <w:szCs w:val="21"/>
        </w:rPr>
        <w:t>争议的解决</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合同签订后甲乙双方即直接产生权利与义务的关系，合同执行过程中出现的问题应按照《中华人民共和国民法典》等有关规定处理。合同在执行过程中，如有争议，双方协商解决；协商仍未解决，可以向甲方所在地人民法院提起诉讼。</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2.诉讼期间，本合同继续履行。</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3.未尽事宜，双方在不违背本合同和招标文件的原则下，协商解决。协商结果以书面形式签字盖章记录在案，作为本合同的附件，与本合同有同等效力。</w:t>
      </w:r>
    </w:p>
    <w:p>
      <w:pPr>
        <w:numPr>
          <w:ilvl w:val="0"/>
          <w:numId w:val="8"/>
        </w:numPr>
        <w:adjustRightInd w:val="0"/>
        <w:snapToGrid w:val="0"/>
        <w:spacing w:line="360" w:lineRule="auto"/>
        <w:rPr>
          <w:b/>
          <w:szCs w:val="21"/>
        </w:rPr>
      </w:pPr>
      <w:r>
        <w:rPr>
          <w:rFonts w:hint="eastAsia"/>
          <w:b/>
          <w:szCs w:val="21"/>
        </w:rPr>
        <w:t>联系与通知</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合同双方就合同中涉及各类通知、协议等文件以及就合同发生纠纷时相关文件和法律文书送达时的送达地址及法律后果作如下约定：</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1.一方基于本合同发出的任何通知或其他通信应全部满足以下条件，否则该等通知不应被视为完整、有效的正式书面通知：</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（1）以中文书面形式作出。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（2）由通知发出方或其代表签署并加盖公章（用电子邮件发出的通知除外）。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（3）按本条第3款所列地址送交相关方。</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2.通知可选择下述方式发送，并于下述对应时间视为送达：</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（1）亲自送达：送达双方指定的联系人签收之时。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（2）采用邮寄方式：投递服务商记录的签收时间，或发件人按照经双方确认的地址寄送，邮件被退件或无法送达时，以邮件发出时间后的第五日为送达时间。</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采用传真方式：于通知到达各方确认的传真号码之时，或收到来自经双方确认号码的确认无中断无错误的传输报告之时，或发送至经双方确认的传真号码且发件人系统显示发送成功之时，或收到来自收件人的确认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电子邮件：于通知到达各方确认的电子邮件地址之时，或收到来自经双方确认的电子邮件地址的送达回执之时，或发送至经双方确认的电子邮件地址且发件人系统显示发送成功之时，或收到来自收件人的确认之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3.通知或其他通信应被发送至：</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（1）甲方确认的其有效的送达地址为：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甲</w:t>
      </w:r>
      <w:r>
        <w:rPr>
          <w:rFonts w:ascii="宋体" w:hAnsi="宋体" w:cs="宋体" w:hint="eastAsia"/>
          <w:kern w:val="0"/>
          <w:szCs w:val="21"/>
        </w:rPr>
        <w:t>方名称：【青海省气象灾害防御技术中心】</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甲</w:t>
      </w:r>
      <w:r>
        <w:rPr>
          <w:rFonts w:ascii="宋体" w:hAnsi="宋体" w:cs="宋体" w:hint="eastAsia"/>
          <w:kern w:val="0"/>
          <w:szCs w:val="21"/>
        </w:rPr>
        <w:t>方地址：【青海省西宁市五四大街19号】</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收件人（联系人）：【】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邮政编码：【810001】</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联系电话：【】</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传真：【】</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电子邮件：</w:t>
      </w:r>
      <w:hyperlink r:id="rId8" w:history="1">
        <w:r>
          <w:rPr>
            <w:rFonts w:ascii="宋体" w:hAnsi="宋体" w:cs="宋体" w:hint="eastAsia"/>
            <w:color w:val="0000FF"/>
            <w:kern w:val="0"/>
            <w:szCs w:val="21"/>
            <w:u w:val="single"/>
          </w:rPr>
          <w:t>【】</w:t>
        </w:r>
      </w:hyperlink>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（2）乙方确认的其有效的送达地址为：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乙</w:t>
      </w:r>
      <w:r>
        <w:rPr>
          <w:rFonts w:ascii="宋体" w:hAnsi="宋体" w:cs="宋体" w:hint="eastAsia"/>
          <w:kern w:val="0"/>
          <w:szCs w:val="21"/>
        </w:rPr>
        <w:t>方名称：【】</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lang w:val="en-US" w:eastAsia="zh-CN"/>
        </w:rPr>
        <w:t>乙</w:t>
      </w:r>
      <w:r>
        <w:rPr>
          <w:rFonts w:ascii="宋体" w:hAnsi="宋体" w:cs="宋体" w:hint="eastAsia"/>
          <w:kern w:val="0"/>
          <w:szCs w:val="21"/>
        </w:rPr>
        <w:t>方地址：【】</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收件人（联系人）：【】</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邮政编码：【】</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联系电话：【】</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传真：【】</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电子邮件：【】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任何对本条第3款所载的各方联系方式的修改根据本条第1款的规定通知另一方，该等修改应在通知中指明的修改的日期生效。如未通知另一方新修改的联系方式或新修改的联系方式无法接收送达，则另一方有权以双方在本合同中确认的送达地址按照本条第2款规定的方式进行送达，以本条第2款规定的时间即视为有效送达时间。</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5.双方的送达地址适用范围包括双方非诉时的各类通知、协议等文件，以及就合同发生纠纷时相关文件和法律文书的送达，同时包括在争议进入仲裁、民事诉讼程序后的一审、二审、再审和执行程序。</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6.上述发出通知、回复的费用由发出一方承担。</w:t>
      </w:r>
    </w:p>
    <w:p>
      <w:pPr>
        <w:numPr>
          <w:ilvl w:val="0"/>
          <w:numId w:val="8"/>
        </w:numPr>
        <w:adjustRightInd w:val="0"/>
        <w:snapToGrid w:val="0"/>
        <w:spacing w:line="360" w:lineRule="auto"/>
        <w:rPr>
          <w:b/>
          <w:szCs w:val="21"/>
        </w:rPr>
      </w:pPr>
      <w:r>
        <w:rPr>
          <w:rFonts w:hint="eastAsia"/>
          <w:b/>
          <w:szCs w:val="21"/>
        </w:rPr>
        <w:t>其他</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1.本合同经双方法定代表人或书面授权代表签名并加盖合同专用章或公章后生效。授权代表签署的，必须向对方提交代理权限及代理期限的授权文书。</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2.本合同签署后，任何一方不得擅自解除本合同（本合同另有约定的除外）。本合同项下所有权利义务不得转让给第三人。任何一方分立或与其它公司合并，则由其继承本合同项下权利义务的新公司继续履行本合同。</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3.本合同所包含附件以及因履行情况而签署的变更协议、补充协议、配置明细表等均为本合同不可分割的一部分，与本合同具有同等法律效力。</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4.本合同一式肆份，甲乙双方各持贰份，具有同等法律效力。</w:t>
      </w:r>
    </w:p>
    <w:p>
      <w:pPr>
        <w:numPr>
          <w:ilvl w:val="0"/>
          <w:numId w:val="8"/>
        </w:numPr>
        <w:adjustRightInd w:val="0"/>
        <w:snapToGrid w:val="0"/>
        <w:spacing w:line="360" w:lineRule="auto"/>
        <w:rPr>
          <w:b/>
          <w:szCs w:val="21"/>
        </w:rPr>
      </w:pPr>
      <w:r>
        <w:rPr>
          <w:rFonts w:hint="eastAsia"/>
          <w:b/>
          <w:szCs w:val="21"/>
        </w:rPr>
        <w:t>合同附件</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附件1：；</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附件2：；</w:t>
      </w:r>
    </w:p>
    <w:p>
      <w:pPr>
        <w:autoSpaceDE w:val="0"/>
        <w:autoSpaceDN w:val="0"/>
        <w:spacing w:line="360" w:lineRule="auto"/>
        <w:ind w:firstLine="420" w:firstLineChars="200"/>
        <w:rPr>
          <w:rFonts w:ascii="宋体" w:hAnsi="宋体" w:cs="宋体" w:hint="eastAsia"/>
          <w:kern w:val="0"/>
          <w:szCs w:val="21"/>
        </w:rPr>
      </w:pPr>
      <w:r>
        <w:rPr>
          <w:rFonts w:ascii="宋体" w:hAnsi="宋体" w:cs="宋体" w:hint="eastAsia"/>
          <w:kern w:val="0"/>
          <w:szCs w:val="21"/>
        </w:rPr>
        <w:t>附件3：。</w:t>
      </w:r>
    </w:p>
    <w:tbl>
      <w:tblPr>
        <w:tblStyle w:val="TableGrid"/>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55"/>
        <w:gridCol w:w="4245"/>
      </w:tblGrid>
      <w:tr>
        <w:tblPrEx>
          <w:tblW w:w="8400"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kern w:val="0"/>
                <w:szCs w:val="21"/>
              </w:rPr>
              <w:t>甲方（盖章）</w:t>
            </w:r>
            <w:r>
              <w:rPr>
                <w:rFonts w:ascii="宋体" w:hAnsi="宋体" w:cs="宋体" w:hint="eastAsia"/>
                <w:b/>
                <w:spacing w:val="-10"/>
                <w:kern w:val="0"/>
                <w:szCs w:val="21"/>
              </w:rPr>
              <w:t>：</w:t>
            </w:r>
            <w:r>
              <w:rPr>
                <w:rFonts w:ascii="宋体" w:hAnsi="宋体" w:cs="宋体" w:hint="eastAsia"/>
                <w:b/>
                <w:bCs/>
                <w:color w:val="000000"/>
                <w:kern w:val="0"/>
                <w:szCs w:val="21"/>
                <w:lang w:bidi="ar"/>
              </w:rPr>
              <w:t>青海省气象灾害防御技术中心</w:t>
            </w:r>
          </w:p>
        </w:tc>
        <w:tc>
          <w:tcPr>
            <w:tcW w:w="424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spacing w:val="-2"/>
                <w:kern w:val="0"/>
                <w:szCs w:val="21"/>
              </w:rPr>
              <w:t>乙方（盖章）</w:t>
            </w:r>
            <w:r>
              <w:rPr>
                <w:rFonts w:ascii="宋体" w:hAnsi="宋体" w:cs="宋体" w:hint="eastAsia"/>
                <w:b/>
                <w:spacing w:val="-10"/>
                <w:kern w:val="0"/>
                <w:szCs w:val="21"/>
              </w:rPr>
              <w:t>：</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地址：青海省西宁市城西区五四大街19号</w:t>
            </w:r>
          </w:p>
        </w:tc>
        <w:tc>
          <w:tcPr>
            <w:tcW w:w="4245" w:type="dxa"/>
          </w:tcPr>
          <w:p>
            <w:pPr>
              <w:tabs>
                <w:tab w:val="left" w:pos="709"/>
              </w:tabs>
              <w:autoSpaceDE w:val="0"/>
              <w:autoSpaceDN w:val="0"/>
              <w:adjustRightInd w:val="0"/>
              <w:snapToGrid w:val="0"/>
              <w:spacing w:line="360" w:lineRule="auto"/>
              <w:jc w:val="left"/>
              <w:rPr>
                <w:rFonts w:ascii="宋体" w:hAnsi="宋体" w:cs="宋体" w:hint="eastAsia"/>
                <w:kern w:val="0"/>
                <w:szCs w:val="21"/>
              </w:rPr>
            </w:pPr>
            <w:r>
              <w:rPr>
                <w:rFonts w:ascii="宋体" w:hAnsi="宋体" w:cs="宋体" w:hint="eastAsia"/>
                <w:b/>
                <w:bCs/>
                <w:color w:val="000000"/>
                <w:kern w:val="0"/>
                <w:szCs w:val="21"/>
                <w:lang w:bidi="ar"/>
              </w:rPr>
              <w:t>地址：</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电话：0971-6135315</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电话：</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开户银行：建行西宁市城西支行</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开户银行：</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账号：63001373637050014257</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账号：</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法定代表人或授权代表（签章）：</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法定代表人或授权代表</w:t>
            </w:r>
            <w:r>
              <w:rPr>
                <w:rFonts w:ascii="宋体" w:hAnsi="宋体" w:cs="宋体" w:hint="eastAsia"/>
                <w:b/>
                <w:bCs/>
                <w:kern w:val="0"/>
                <w:szCs w:val="21"/>
              </w:rPr>
              <w:t>（签章）</w:t>
            </w:r>
            <w:r>
              <w:rPr>
                <w:rFonts w:ascii="宋体" w:hAnsi="宋体" w:cs="宋体" w:hint="eastAsia"/>
                <w:b/>
                <w:kern w:val="0"/>
                <w:szCs w:val="21"/>
              </w:rPr>
              <w:t>：</w:t>
            </w:r>
          </w:p>
        </w:tc>
      </w:tr>
      <w:tr>
        <w:tblPrEx>
          <w:tblW w:w="8400" w:type="dxa"/>
          <w:tblInd w:w="235" w:type="dxa"/>
          <w:tblCellMar>
            <w:top w:w="0" w:type="dxa"/>
            <w:left w:w="108" w:type="dxa"/>
            <w:bottom w:w="0" w:type="dxa"/>
            <w:right w:w="108" w:type="dxa"/>
          </w:tblCellMar>
        </w:tblPrEx>
        <w:trPr>
          <w:trHeight w:val="1308"/>
        </w:trPr>
        <w:tc>
          <w:tcPr>
            <w:tcW w:w="4155" w:type="dxa"/>
          </w:tcPr>
          <w:p>
            <w:pPr>
              <w:tabs>
                <w:tab w:val="left" w:pos="709"/>
              </w:tabs>
              <w:autoSpaceDE w:val="0"/>
              <w:autoSpaceDN w:val="0"/>
              <w:adjustRightInd w:val="0"/>
              <w:snapToGrid w:val="0"/>
              <w:spacing w:line="360" w:lineRule="auto"/>
              <w:jc w:val="left"/>
              <w:rPr>
                <w:rFonts w:ascii="宋体" w:hAnsi="宋体" w:cs="宋体" w:hint="eastAsia"/>
                <w:b/>
                <w:bCs/>
                <w:kern w:val="0"/>
                <w:szCs w:val="21"/>
              </w:rPr>
            </w:pPr>
            <w:r>
              <w:rPr>
                <w:rFonts w:ascii="宋体" w:hAnsi="宋体" w:cs="宋体" w:hint="eastAsia"/>
                <w:b/>
                <w:bCs/>
                <w:kern w:val="0"/>
                <w:szCs w:val="21"/>
              </w:rPr>
              <w:t>日期：</w:t>
            </w:r>
          </w:p>
        </w:tc>
        <w:tc>
          <w:tcPr>
            <w:tcW w:w="4245" w:type="dxa"/>
          </w:tcPr>
          <w:p>
            <w:pPr>
              <w:tabs>
                <w:tab w:val="left" w:pos="709"/>
              </w:tabs>
              <w:autoSpaceDE w:val="0"/>
              <w:autoSpaceDN w:val="0"/>
              <w:adjustRightInd w:val="0"/>
              <w:snapToGrid w:val="0"/>
              <w:spacing w:line="360" w:lineRule="auto"/>
              <w:jc w:val="left"/>
              <w:rPr>
                <w:rFonts w:ascii="宋体" w:hAnsi="宋体" w:cs="宋体" w:hint="eastAsia"/>
                <w:b/>
                <w:kern w:val="0"/>
                <w:szCs w:val="21"/>
              </w:rPr>
            </w:pPr>
            <w:r>
              <w:rPr>
                <w:rFonts w:ascii="宋体" w:hAnsi="宋体" w:cs="宋体" w:hint="eastAsia"/>
                <w:b/>
                <w:kern w:val="0"/>
                <w:szCs w:val="21"/>
              </w:rPr>
              <w:t>日期：</w:t>
            </w:r>
          </w:p>
        </w:tc>
      </w:tr>
    </w:tbl>
    <w:p>
      <w:pPr>
        <w:rPr>
          <w:b/>
          <w:bCs/>
          <w:sz w:val="44"/>
          <w:szCs w:val="44"/>
        </w:rPr>
      </w:pPr>
    </w:p>
    <w:p/>
    <w:p/>
    <w:p/>
    <w:p w:rsidR="00A77B3E"/>
    <w:p>
      <w:pPr>
        <w:spacing w:line="360" w:lineRule="auto"/>
        <w:ind w:firstLine="3066" w:firstLineChars="1460"/>
        <w:jc w:val="left"/>
        <w:rPr>
          <w:b/>
          <w:bCs/>
          <w:szCs w:val="21"/>
          <w:highlight w:val="none"/>
        </w:rPr>
      </w:pPr>
      <w:bookmarkEnd w:id="69"/>
    </w:p>
    <w:sectPr>
      <w:headerReference w:type="even" r:id="rId9"/>
      <w:headerReference w:type="default" r:id="rId10"/>
      <w:footerReference w:type="default" r:id="rId11"/>
      <w:headerReference w:type="first" r:id="rId12"/>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106441A"/>
    <w:multiLevelType w:val="singleLevel"/>
    <w:tmpl w:val="8106441A"/>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1">
    <w:nsid w:val="E22A095B"/>
    <w:multiLevelType w:val="singleLevel"/>
    <w:tmpl w:val="E22A095B"/>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1195924E"/>
    <w:multiLevelType w:val="singleLevel"/>
    <w:tmpl w:val="1195924E"/>
    <w:lvl w:ilvl="0">
      <w:start w:val="1"/>
      <w:numFmt w:val="decimal"/>
      <w:lvlText w:val="%1)"/>
      <w:lvlJc w:val="left"/>
      <w:pPr>
        <w:tabs>
          <w:tab w:val="left" w:pos="283"/>
        </w:tabs>
        <w:ind w:left="454" w:hanging="454"/>
      </w:pPr>
      <w:rPr>
        <w:rFonts w:hint="default"/>
      </w:rPr>
    </w:lvl>
  </w:abstractNum>
  <w:abstractNum w:abstractNumId="6">
    <w:nsid w:val="1A2D9026"/>
    <w:multiLevelType w:val="singleLevel"/>
    <w:tmpl w:val="1A2D9026"/>
    <w:lvl w:ilvl="0">
      <w:start w:val="1"/>
      <w:numFmt w:val="decimal"/>
      <w:lvlText w:val="%1)"/>
      <w:lvlJc w:val="left"/>
      <w:pPr>
        <w:tabs>
          <w:tab w:val="left" w:pos="283"/>
        </w:tabs>
        <w:ind w:left="454" w:hanging="454"/>
      </w:pPr>
      <w:rPr>
        <w:rFonts w:ascii="Times New Roman" w:hAnsi="Times New Roman" w:cs="Times New Roman" w:hint="default"/>
        <w:b w:val="0"/>
        <w:bCs w:val="0"/>
      </w:rPr>
    </w:lvl>
  </w:abstractNum>
  <w:abstractNum w:abstractNumId="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nsid w:val="60A1B3A6"/>
    <w:multiLevelType w:val="singleLevel"/>
    <w:tmpl w:val="60A1B3A6"/>
    <w:lvl w:ilvl="0">
      <w:start w:val="1"/>
      <w:numFmt w:val="chineseCounting"/>
      <w:suff w:val="nothing"/>
      <w:lvlText w:val="%1、"/>
      <w:lvlJc w:val="left"/>
      <w:pPr>
        <w:ind w:left="0" w:firstLine="420"/>
      </w:pPr>
      <w:rPr>
        <w:rFonts w:hint="eastAsia"/>
      </w:rPr>
    </w:lvl>
  </w:abstractNum>
  <w:num w:numId="1">
    <w:abstractNumId w:val="3"/>
  </w:num>
  <w:num w:numId="2">
    <w:abstractNumId w:val="2"/>
  </w:num>
  <w:num w:numId="3">
    <w:abstractNumId w:val="4"/>
  </w:num>
  <w:num w:numId="4">
    <w:abstractNumId w:val="6"/>
  </w:num>
  <w:num w:numId="5">
    <w:abstractNumId w:val="1"/>
  </w:num>
  <w:num w:numId="6">
    <w:abstractNumId w:val="5"/>
  </w:num>
  <w:num w:numId="7">
    <w:abstractNumId w:val="0"/>
  </w:num>
  <w:num w:numId="8">
    <w:abstractNumId w:val="8"/>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0F0B"/>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a2">
    <w:name w:val="表格内容"/>
    <w:basedOn w:val="Normal"/>
    <w:unhideWhenUsed/>
    <w:qFormat/>
    <w:rPr>
      <w:rFonts w:asciiTheme="minorHAnsi" w:eastAsiaTheme="minorEastAsia" w:hAnsiTheme="minorHAnsi" w:cstheme="minorBidi"/>
      <w:szCs w:val="21"/>
    </w:rPr>
  </w:style>
  <w:style w:type="paragraph" w:customStyle="1" w:styleId="-1">
    <w:name w:val="正文-公1"/>
    <w:basedOn w:val="Normal"/>
    <w:autoRedefine/>
    <w:qFormat/>
    <w:pPr>
      <w:ind w:firstLine="200"/>
    </w:pPr>
    <w:rPr>
      <w:rFonts w:asciiTheme="minorHAnsi" w:eastAsiaTheme="minorEastAsia" w:hAnsiTheme="minorHAnsi" w:cs="Calibri"/>
      <w:color w:val="000000"/>
      <w:szCs w:val="21"/>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3.xml" /><Relationship Id="rId12" Type="http://schemas.openxmlformats.org/officeDocument/2006/relationships/header" Target="header5.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yperlink" Target="mailto:&#12304;13327695665@163.com&#12305;" TargetMode="External" /><Relationship Id="rId9" Type="http://schemas.openxmlformats.org/officeDocument/2006/relationships/header" Target="head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