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2025年高光谱辐射观测系统-地面设备及机载设备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ZQCD-25381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天津气象雷达研究试验中心；江西省气象探测中心；丰林县气象局；南宁市气象局；拉萨市气象局；浙江省大气探测技术保障中心；吉林省气象探测保障中心；湖北省气象信息与技术保障中心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2025年高光谱辐射观测系统-地面设备及机载设备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ZQCD-25381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采购单位指定</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2025年10月31日 00:00:00</w:t>
      </w:r>
      <w:bookmarkEnd w:id="26"/>
      <w:r>
        <w:rPr>
          <w:rFonts w:ascii="宋体" w:hint="eastAsia"/>
          <w:szCs w:val="21"/>
          <w:highlight w:val="none"/>
        </w:rPr>
        <w:t>至</w:t>
      </w:r>
      <w:bookmarkStart w:id="27" w:name="项目公告_signUpLastTime"/>
      <w:r>
        <w:rPr>
          <w:rFonts w:ascii="宋体" w:hint="eastAsia"/>
          <w:szCs w:val="21"/>
          <w:highlight w:val="none"/>
        </w:rPr>
        <w:t>2025年11月07日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2025年11月21日 13:30:00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天津气象雷达研究试验中心；江西省气象探测中心；丰林县气象局；南宁市气象局；拉萨市气象局；浙江省大气探测技术保障中心；吉林省气象探测保障中心；湖北省气象信息与技术保障中心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李波</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022-28379491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天津市河西区友谊路62号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天津气象雷达研究试验中心；江西省气象探测中心；丰林县气象局；南宁市气象局；拉萨市气象局；浙江省大气探测技术保障中心；吉林省气象探测保障中心；湖北省气象信息与技术保障中心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不允许（仅针对以下产品：1、高光谱辐射观测系统，2、作物多模态高光谱仪不允许代理商投标）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（1）标的：高光谱辐射观测系统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1,788.600000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1,788.600000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销售合同必须包括气象光谱设备或本项目机载相关设备，每提供1份合同得1分，最多得5分。否则不得分。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包含：荧光观测仪、可见近红外地物光谱仪、智能采集器、机载多波段光谱成像仪、机载光合植被观测仪、实景相机、多点温度传感器），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针对气象光谱设备或本项目机载相关设备，每提供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针对作物多模态高光谱仪（包含：荧光观测仪、可见近红外地物光谱仪、智能采集器、机载多波段光谱成像仪、机载光合植被观测仪、实景相机）设备，测试报告应涵盖低温、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689"/>
        <w:gridCol w:w="2361"/>
        <w:gridCol w:w="5435"/>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6"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trHeight w:val="2280"/>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作物多模态高光谱仪</w:t>
            </w:r>
          </w:p>
        </w:tc>
        <w:tc>
          <w:tcPr>
            <w:tcW w:w="1282" w:type="pct"/>
            <w:vAlign w:val="center"/>
          </w:tcPr>
          <w:p>
            <w:pPr>
              <w:rPr>
                <w:rFonts w:ascii="仿宋" w:eastAsia="仿宋" w:hAnsi="仿宋" w:cs="仿宋" w:hint="eastAsia"/>
              </w:rPr>
            </w:pPr>
            <w:r>
              <w:rPr>
                <w:rFonts w:ascii="仿宋" w:eastAsia="仿宋" w:hAnsi="仿宋" w:cs="仿宋" w:hint="eastAsia"/>
                <w:sz w:val="24"/>
              </w:rPr>
              <w:t>荧光观测仪</w:t>
            </w:r>
          </w:p>
        </w:tc>
        <w:tc>
          <w:tcPr>
            <w:tcW w:w="2951" w:type="pct"/>
            <w:vAlign w:val="center"/>
          </w:tcPr>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rPr>
              <w:t>光谱有效范围：650～800nm</w:t>
            </w:r>
            <w:r>
              <w:rPr>
                <w:rFonts w:ascii="仿宋" w:eastAsia="仿宋" w:hAnsi="仿宋" w:cs="仿宋"/>
                <w:sz w:val="24"/>
                <w:szCs w:val="24"/>
              </w:rPr>
              <w:br/>
            </w:r>
            <w:r>
              <w:rPr>
                <w:rFonts w:ascii="仿宋" w:eastAsia="仿宋" w:hAnsi="仿宋" w:cs="仿宋" w:hint="eastAsia"/>
                <w:sz w:val="24"/>
                <w:szCs w:val="24"/>
                <w:highlight w:val="yellow"/>
              </w:rPr>
              <w:t>#</w:t>
            </w:r>
            <w:r>
              <w:rPr>
                <w:rFonts w:ascii="仿宋" w:eastAsia="仿宋" w:hAnsi="仿宋" w:cs="仿宋" w:hint="eastAsia"/>
                <w:sz w:val="24"/>
                <w:highlight w:val="yellow"/>
              </w:rPr>
              <w:t>光学分辨率：0.3</w:t>
            </w:r>
            <w:r>
              <w:rPr>
                <w:rFonts w:ascii="仿宋" w:eastAsia="仿宋" w:hAnsi="仿宋" w:cs="仿宋" w:hint="eastAsia"/>
                <w:sz w:val="24"/>
                <w:highlight w:val="yellow"/>
              </w:rPr>
              <w:t>±</w:t>
            </w:r>
            <w:r>
              <w:rPr>
                <w:rFonts w:ascii="仿宋" w:eastAsia="仿宋" w:hAnsi="仿宋" w:cs="仿宋" w:hint="eastAsia"/>
                <w:sz w:val="24"/>
                <w:highlight w:val="yellow"/>
              </w:rPr>
              <w:t>0.1nm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波长示值误差：</w:t>
            </w:r>
            <w:r>
              <w:rPr>
                <w:rFonts w:ascii="仿宋" w:eastAsia="仿宋" w:hAnsi="仿宋" w:cs="仿宋" w:hint="eastAsia"/>
                <w:sz w:val="24"/>
                <w:highlight w:val="yellow"/>
              </w:rPr>
              <w:t>≤</w:t>
            </w:r>
            <w:r>
              <w:rPr>
                <w:rFonts w:ascii="仿宋" w:eastAsia="仿宋" w:hAnsi="仿宋" w:cs="仿宋" w:hint="eastAsia"/>
                <w:sz w:val="24"/>
                <w:highlight w:val="yellow"/>
              </w:rPr>
              <w:t>0.2nm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#杂散光：</w:t>
            </w:r>
            <w:r>
              <w:rPr>
                <w:rFonts w:ascii="仿宋" w:eastAsia="仿宋" w:hAnsi="仿宋" w:cs="仿宋" w:hint="eastAsia"/>
                <w:sz w:val="24"/>
                <w:highlight w:val="yellow"/>
              </w:rPr>
              <w:t>≤</w:t>
            </w:r>
            <w:r>
              <w:rPr>
                <w:rFonts w:ascii="仿宋" w:eastAsia="仿宋" w:hAnsi="仿宋" w:cs="仿宋" w:hint="eastAsia"/>
                <w:sz w:val="24"/>
                <w:highlight w:val="yellow"/>
              </w:rPr>
              <w:t>0.1%</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修正线性度：</w:t>
            </w:r>
            <w:r>
              <w:rPr>
                <w:rFonts w:ascii="仿宋" w:eastAsia="仿宋" w:hAnsi="仿宋" w:cs="仿宋" w:hint="eastAsia"/>
                <w:sz w:val="24"/>
              </w:rPr>
              <w:t>≥</w:t>
            </w:r>
            <w:r>
              <w:rPr>
                <w:rFonts w:ascii="仿宋" w:eastAsia="仿宋" w:hAnsi="仿宋" w:cs="仿宋" w:hint="eastAsia"/>
                <w:sz w:val="24"/>
              </w:rPr>
              <w:t>99.5%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widowControl/>
              <w:jc w:val="left"/>
              <w:rPr>
                <w:rFonts w:ascii="仿宋" w:eastAsia="仿宋" w:hAnsi="仿宋" w:cs="仿宋" w:hint="eastAsia"/>
              </w:rPr>
            </w:pPr>
            <w:r>
              <w:rPr>
                <w:rStyle w:val="fontstyle01"/>
                <w:rFonts w:ascii="仿宋" w:eastAsia="仿宋" w:hAnsi="仿宋" w:hint="default"/>
                <w:sz w:val="24"/>
                <w:szCs w:val="24"/>
              </w:rPr>
              <w:t>强光响应上限：辐射亮度可检测值</w:t>
            </w:r>
            <w:r>
              <w:rPr>
                <w:rStyle w:val="fontstyle11"/>
                <w:rFonts w:ascii="仿宋" w:eastAsia="仿宋" w:hAnsi="仿宋"/>
                <w:sz w:val="24"/>
                <w:szCs w:val="24"/>
              </w:rPr>
              <w:t>≥5.3E-1W/nm-sr-m2(760nm)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sz w:val="24"/>
              </w:rPr>
              <w:t>4.4E-3W/nm-sr-m2(760nm)</w:t>
            </w:r>
          </w:p>
          <w:p>
            <w:pPr>
              <w:widowControl/>
              <w:jc w:val="left"/>
              <w:rPr>
                <w:rFonts w:ascii="仿宋" w:eastAsia="仿宋" w:hAnsi="仿宋" w:cs="仿宋" w:hint="eastAsia"/>
                <w:kern w:val="0"/>
                <w:szCs w:val="32"/>
              </w:rPr>
            </w:pPr>
            <w:r>
              <w:rPr>
                <w:rFonts w:ascii="仿宋" w:eastAsia="仿宋" w:hAnsi="仿宋" w:cs="仿宋" w:hint="eastAsia"/>
                <w:sz w:val="24"/>
                <w:highlight w:val="yellow"/>
              </w:rPr>
              <w:t>#</w:t>
            </w:r>
            <w:r>
              <w:rPr>
                <w:rFonts w:ascii="仿宋" w:eastAsia="仿宋" w:hAnsi="仿宋" w:cs="仿宋" w:hint="eastAsia"/>
                <w:kern w:val="0"/>
                <w:sz w:val="24"/>
                <w:szCs w:val="32"/>
                <w:highlight w:val="yellow"/>
              </w:rPr>
              <w:t>反射率测量稳定性：</w:t>
            </w:r>
            <w:r>
              <w:rPr>
                <w:rFonts w:ascii="仿宋" w:eastAsia="仿宋" w:hAnsi="仿宋" w:cs="仿宋" w:hint="eastAsia"/>
                <w:kern w:val="0"/>
                <w:sz w:val="24"/>
                <w:szCs w:val="32"/>
                <w:highlight w:val="yellow"/>
              </w:rPr>
              <w:t>≤</w:t>
            </w:r>
            <w:r>
              <w:rPr>
                <w:rFonts w:ascii="仿宋" w:eastAsia="仿宋" w:hAnsi="仿宋" w:cs="仿宋" w:hint="eastAsia"/>
                <w:kern w:val="0"/>
                <w:sz w:val="24"/>
                <w:szCs w:val="32"/>
                <w:highlight w:val="yellow"/>
              </w:rPr>
              <w:t>0.5%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4.4E-4W/m2-sr-nm（760nm）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#波长示值温漂：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szCs w:val="24"/>
                <w:highlight w:val="yellow"/>
              </w:rPr>
              <w:t>#</w:t>
            </w:r>
            <w:r>
              <w:rPr>
                <w:rFonts w:ascii="仿宋" w:eastAsia="仿宋" w:hAnsi="仿宋" w:cs="仿宋" w:hint="eastAsia"/>
                <w:sz w:val="24"/>
                <w:highlight w:val="yellow"/>
              </w:rPr>
              <w:t>分辨率温漂：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反射率测量最大允许误差</w:t>
            </w:r>
            <w:r>
              <w:rPr>
                <w:rFonts w:ascii="仿宋" w:eastAsia="仿宋" w:hAnsi="仿宋" w:cs="仿宋" w:hint="eastAsia"/>
                <w:sz w:val="24"/>
                <w:highlight w:val="yellow"/>
              </w:rPr>
              <w:t>≤</w:t>
            </w:r>
            <w:r>
              <w:rPr>
                <w:rFonts w:ascii="仿宋" w:eastAsia="仿宋" w:hAnsi="仿宋" w:cs="仿宋" w:hint="eastAsia"/>
                <w:sz w:val="24"/>
                <w:highlight w:val="yellow"/>
              </w:rPr>
              <w:t>1%（760nm）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A/D位深：</w:t>
            </w:r>
            <w:r>
              <w:rPr>
                <w:rFonts w:ascii="仿宋" w:eastAsia="仿宋" w:hAnsi="仿宋" w:cs="仿宋" w:hint="eastAsia"/>
                <w:sz w:val="24"/>
              </w:rPr>
              <w:t>≥</w:t>
            </w:r>
            <w:r>
              <w:rPr>
                <w:rFonts w:ascii="仿宋" w:eastAsia="仿宋" w:hAnsi="仿宋" w:cs="仿宋" w:hint="eastAsia"/>
                <w:sz w:val="24"/>
              </w:rPr>
              <w:t>16bit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动态范围：</w:t>
            </w:r>
            <w:r>
              <w:rPr>
                <w:rFonts w:ascii="仿宋" w:eastAsia="仿宋" w:hAnsi="仿宋" w:cs="仿宋" w:hint="eastAsia"/>
                <w:sz w:val="24"/>
              </w:rPr>
              <w:t>≥</w:t>
            </w:r>
            <w:r>
              <w:rPr>
                <w:rFonts w:ascii="仿宋" w:eastAsia="仿宋" w:hAnsi="仿宋" w:cs="仿宋" w:hint="eastAsia"/>
                <w:sz w:val="24"/>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可见近红外地物光谱仪</w:t>
            </w:r>
          </w:p>
        </w:tc>
        <w:tc>
          <w:tcPr>
            <w:tcW w:w="2951" w:type="pct"/>
            <w:vAlign w:val="center"/>
          </w:tcPr>
          <w:p>
            <w:pPr>
              <w:rPr>
                <w:rFonts w:ascii="仿宋" w:eastAsia="仿宋" w:hAnsi="仿宋" w:cs="仿宋"/>
                <w:kern w:val="0"/>
              </w:rPr>
            </w:pPr>
            <w:r>
              <w:rPr>
                <w:rFonts w:ascii="仿宋" w:eastAsia="仿宋" w:hAnsi="仿宋" w:cs="仿宋" w:hint="eastAsia"/>
                <w:kern w:val="0"/>
                <w:sz w:val="24"/>
              </w:rPr>
              <w:t>光谱有效范围:400～1700nm</w:t>
            </w:r>
          </w:p>
          <w:p>
            <w:pPr>
              <w:rPr>
                <w:rFonts w:ascii="仿宋" w:eastAsia="仿宋" w:hAnsi="仿宋" w:cs="仿宋"/>
              </w:rPr>
            </w:pPr>
            <w:r>
              <w:rPr>
                <w:rFonts w:ascii="仿宋" w:eastAsia="仿宋" w:hAnsi="仿宋" w:cs="仿宋" w:hint="eastAsia"/>
                <w:sz w:val="24"/>
              </w:rPr>
              <w:t>光谱采样间隔:</w:t>
            </w:r>
          </w:p>
          <w:p>
            <w:pPr>
              <w:rPr>
                <w:rFonts w:ascii="仿宋" w:eastAsia="仿宋" w:hAnsi="仿宋" w:cs="仿宋"/>
              </w:rPr>
            </w:pPr>
            <w:r>
              <w:rPr>
                <w:rFonts w:ascii="仿宋" w:eastAsia="仿宋" w:hAnsi="仿宋" w:cs="仿宋" w:hint="eastAsia"/>
                <w:sz w:val="24"/>
              </w:rPr>
              <w:t>原始数据</w:t>
            </w:r>
            <w:r>
              <w:rPr>
                <w:rFonts w:ascii="仿宋" w:eastAsia="仿宋" w:hAnsi="仿宋" w:cs="仿宋" w:hint="eastAsia"/>
                <w:sz w:val="24"/>
              </w:rPr>
              <w:t>≤</w:t>
            </w:r>
            <w:r>
              <w:rPr>
                <w:rFonts w:ascii="仿宋" w:eastAsia="仿宋" w:hAnsi="仿宋" w:cs="仿宋" w:hint="eastAsia"/>
                <w:sz w:val="24"/>
              </w:rPr>
              <w:t>0.5nm（4000~1000nm）</w:t>
            </w:r>
            <w:r>
              <w:rPr>
                <w:rFonts w:ascii="仿宋" w:eastAsia="仿宋" w:hAnsi="仿宋" w:cs="仿宋" w:hint="eastAsia"/>
                <w:sz w:val="24"/>
              </w:rPr>
              <w:t>≤</w:t>
            </w:r>
            <w:r>
              <w:rPr>
                <w:rFonts w:ascii="仿宋" w:eastAsia="仿宋" w:hAnsi="仿宋" w:cs="仿宋" w:hint="eastAsia"/>
                <w:sz w:val="24"/>
              </w:rPr>
              <w:t>2nm（1000~1700nm）</w:t>
            </w:r>
          </w:p>
          <w:p>
            <w:pPr>
              <w:rPr>
                <w:rFonts w:ascii="仿宋" w:eastAsia="仿宋" w:hAnsi="仿宋" w:cs="仿宋"/>
              </w:rPr>
            </w:pPr>
            <w:r>
              <w:rPr>
                <w:rFonts w:ascii="仿宋" w:eastAsia="仿宋" w:hAnsi="仿宋" w:cs="仿宋" w:hint="eastAsia"/>
                <w:sz w:val="24"/>
              </w:rPr>
              <w:t>插值后光谱数据间隔0.25nm（400~1000nm）1nm（1000~1700nm）</w:t>
            </w:r>
          </w:p>
          <w:p>
            <w:pPr>
              <w:rPr>
                <w:highlight w:val="yellow"/>
              </w:rPr>
            </w:pPr>
            <w:r>
              <w:rPr>
                <w:rFonts w:ascii="仿宋" w:eastAsia="仿宋" w:hAnsi="仿宋" w:cs="仿宋" w:hint="eastAsia"/>
                <w:sz w:val="24"/>
                <w:highlight w:val="yellow"/>
              </w:rPr>
              <w:t>#光学分辨率:</w:t>
            </w:r>
            <w:r>
              <w:rPr>
                <w:rFonts w:hint="eastAsia"/>
                <w:highlight w:val="yellow"/>
              </w:rPr>
              <w:t xml:space="preserve"> </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7nm(1000～1700nm)</w:t>
            </w:r>
          </w:p>
          <w:p>
            <w:pPr>
              <w:rPr>
                <w:rFonts w:ascii="仿宋" w:eastAsia="仿宋" w:hAnsi="仿宋" w:cs="仿宋"/>
                <w:highlight w:val="yellow"/>
              </w:rPr>
            </w:pPr>
            <w:r>
              <w:rPr>
                <w:rFonts w:ascii="仿宋" w:eastAsia="仿宋" w:hAnsi="仿宋" w:cs="仿宋" w:hint="eastAsia"/>
                <w:sz w:val="24"/>
                <w:highlight w:val="yellow"/>
              </w:rPr>
              <w:t>#波长示值误差:</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0.5nm（400～1000nm）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1nm（1000～1700nm）</w:t>
            </w:r>
          </w:p>
          <w:p>
            <w:pPr>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0.15%（740nm，1150nm）</w:t>
            </w:r>
          </w:p>
          <w:p>
            <w:pPr>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 （700nm，1400nm）</w:t>
            </w:r>
          </w:p>
          <w:p>
            <w:pPr>
              <w:rPr>
                <w:rFonts w:ascii="仿宋" w:eastAsia="仿宋" w:hAnsi="仿宋" w:cs="仿宋" w:hint="eastAsia"/>
              </w:rPr>
            </w:pPr>
            <w:r>
              <w:rPr>
                <w:rFonts w:ascii="仿宋" w:eastAsia="仿宋" w:hAnsi="仿宋" w:cs="仿宋" w:hint="eastAsia"/>
                <w:sz w:val="24"/>
              </w:rPr>
              <w:t>光谱辐射亮度最大</w:t>
            </w:r>
            <w:r>
              <w:rPr>
                <w:rFonts w:ascii="仿宋" w:eastAsia="仿宋" w:hAnsi="仿宋" w:cs="仿宋" w:hint="eastAsia"/>
                <w:sz w:val="24"/>
              </w:rPr>
              <w:t>允许</w:t>
            </w:r>
            <w:r>
              <w:rPr>
                <w:rFonts w:ascii="仿宋" w:eastAsia="仿宋" w:hAnsi="仿宋" w:cs="仿宋" w:hint="eastAsia"/>
                <w:sz w:val="24"/>
              </w:rPr>
              <w:t>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rPr>
            </w:pPr>
            <w:r>
              <w:rPr>
                <w:rFonts w:ascii="仿宋" w:eastAsia="仿宋" w:hAnsi="仿宋" w:cs="仿宋" w:hint="eastAsia"/>
                <w:sz w:val="24"/>
              </w:rPr>
              <w:t>光谱辐射照度最大允许误差: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hint="eastAsia"/>
              </w:rPr>
            </w:pPr>
            <w:r>
              <w:rPr>
                <w:rFonts w:ascii="仿宋" w:eastAsia="仿宋" w:hAnsi="仿宋" w:cs="仿宋" w:hint="eastAsia"/>
                <w:sz w:val="24"/>
              </w:rPr>
              <w:t>强光响应上限:辐射亮度可检测值</w:t>
            </w:r>
            <w:r>
              <w:rPr>
                <w:rFonts w:ascii="仿宋" w:eastAsia="仿宋" w:hAnsi="仿宋" w:cs="仿宋" w:hint="eastAsia"/>
                <w:sz w:val="24"/>
              </w:rPr>
              <w:t>≥</w:t>
            </w:r>
            <w:r>
              <w:rPr>
                <w:rFonts w:ascii="仿宋" w:eastAsia="仿宋" w:hAnsi="仿宋" w:cs="仿宋" w:hint="eastAsia"/>
                <w:sz w:val="24"/>
              </w:rPr>
              <w:t>5.3E-1W/nm-sr-m2(700nm)</w:t>
            </w:r>
            <w:r>
              <w:rPr>
                <w:rFonts w:ascii="仿宋" w:eastAsia="仿宋" w:hAnsi="仿宋" w:cs="仿宋" w:hint="eastAsia"/>
                <w:sz w:val="24"/>
              </w:rPr>
              <w:t>≥</w:t>
            </w:r>
            <w:r>
              <w:rPr>
                <w:rFonts w:ascii="仿宋" w:eastAsia="仿宋" w:hAnsi="仿宋" w:cs="仿宋" w:hint="eastAsia"/>
                <w:sz w:val="24"/>
              </w:rPr>
              <w:t>1.3E-1W/nm-sr-m2(1400nm)</w:t>
            </w:r>
          </w:p>
          <w:p>
            <w:pPr>
              <w:rPr>
                <w:rFonts w:ascii="仿宋" w:eastAsia="仿宋" w:hAnsi="仿宋" w:cs="仿宋"/>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hint="eastAsia"/>
                <w:sz w:val="24"/>
              </w:rPr>
              <w:t>4.4E-3W/nm-sr-m2(700nm)</w:t>
            </w:r>
            <w:r>
              <w:rPr>
                <w:rFonts w:ascii="仿宋" w:eastAsia="仿宋" w:hAnsi="仿宋" w:cs="仿宋" w:hint="eastAsia"/>
                <w:sz w:val="24"/>
              </w:rPr>
              <w:t>≤</w:t>
            </w:r>
            <w:r>
              <w:rPr>
                <w:rFonts w:ascii="仿宋" w:eastAsia="仿宋" w:hAnsi="仿宋" w:cs="仿宋" w:hint="eastAsia"/>
                <w:sz w:val="24"/>
              </w:rPr>
              <w:t>1.1E-3W/nm-sr-m2(1400nm)</w:t>
            </w:r>
          </w:p>
          <w:p>
            <w:pPr>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1%（0/45测量条件）（700nm，1400nm</w:t>
            </w:r>
            <w:r>
              <w:rPr>
                <w:rFonts w:ascii="仿宋" w:eastAsia="仿宋" w:hAnsi="仿宋" w:cs="仿宋"/>
                <w:sz w:val="24"/>
              </w:rPr>
              <w:t>）</w:t>
            </w:r>
          </w:p>
          <w:p>
            <w:pPr>
              <w:rPr>
                <w:rFonts w:ascii="仿宋" w:hAnsi="仿宋" w:cs="仿宋"/>
              </w:rPr>
            </w:pPr>
            <w:r>
              <w:rPr>
                <w:rFonts w:ascii="仿宋" w:eastAsia="仿宋" w:hAnsi="仿宋" w:cs="仿宋" w:hint="eastAsia"/>
                <w:sz w:val="24"/>
              </w:rPr>
              <w:t>光谱等效辐射暗噪声:</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4.4E-4W/nm-sr-m2（700nm）</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5.5E-4W/nm-sr-m2（1400nm）</w:t>
            </w:r>
          </w:p>
          <w:p>
            <w:pPr>
              <w:rPr>
                <w:rFonts w:ascii="仿宋" w:eastAsia="仿宋" w:hAnsi="仿宋" w:cs="仿宋"/>
                <w:highlight w:val="yellow"/>
              </w:rPr>
            </w:pPr>
            <w:r>
              <w:rPr>
                <w:rFonts w:ascii="仿宋" w:eastAsia="仿宋" w:hAnsi="仿宋" w:cs="仿宋" w:hint="eastAsia"/>
                <w:sz w:val="24"/>
                <w:highlight w:val="yellow"/>
              </w:rPr>
              <w:t>#信噪比:</w:t>
            </w:r>
          </w:p>
          <w:p>
            <w:pPr>
              <w:rPr>
                <w:rFonts w:ascii="宋体" w:eastAsia="宋体" w:hAnsi="宋体" w:cs="宋体"/>
                <w:szCs w:val="18"/>
                <w:highlight w:val="yellow"/>
              </w:rPr>
            </w:pPr>
            <w:r>
              <w:rPr>
                <w:rFonts w:ascii="宋体" w:eastAsia="宋体" w:hAnsi="宋体"/>
                <w:sz w:val="24"/>
                <w:szCs w:val="18"/>
                <w:highlight w:val="yellow"/>
              </w:rPr>
              <w:t>≥2</w:t>
            </w:r>
            <w:r>
              <w:rPr>
                <w:rFonts w:ascii="宋体" w:eastAsia="宋体" w:hAnsi="宋体" w:hint="eastAsia"/>
                <w:sz w:val="24"/>
                <w:szCs w:val="18"/>
                <w:highlight w:val="yellow"/>
              </w:rPr>
              <w:t>5</w:t>
            </w:r>
            <w:r>
              <w:rPr>
                <w:rFonts w:ascii="宋体" w:eastAsia="宋体" w:hAnsi="宋体"/>
                <w:sz w:val="24"/>
                <w:szCs w:val="18"/>
                <w:highlight w:val="yellow"/>
              </w:rPr>
              <w:t>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=700n</w:t>
            </w:r>
            <w:r>
              <w:rPr>
                <w:rFonts w:ascii="宋体" w:eastAsia="宋体" w:hAnsi="宋体" w:hint="eastAsia"/>
                <w:sz w:val="24"/>
                <w:szCs w:val="18"/>
                <w:highlight w:val="yellow"/>
              </w:rPr>
              <w:t>m,</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w:t>
            </w:r>
            <w:r>
              <w:rPr>
                <w:rFonts w:ascii="宋体" w:eastAsia="宋体" w:hAnsi="宋体" w:hint="eastAsia"/>
                <w:sz w:val="24"/>
                <w:szCs w:val="18"/>
                <w:highlight w:val="yellow"/>
              </w:rPr>
              <w:t>r</w:t>
            </w:r>
            <w:r>
              <w:rPr>
                <w:rFonts w:ascii="Symbol" w:eastAsia="宋体" w:hAnsi="Symbol"/>
                <w:sz w:val="24"/>
                <w:szCs w:val="18"/>
                <w:highlight w:val="yellow"/>
              </w:rPr>
              <w:sym w:font="Symbol" w:char="F0D7"/>
            </w:r>
            <w:r>
              <w:rPr>
                <w:rFonts w:ascii="宋体" w:eastAsia="宋体" w:hAnsi="宋体" w:hint="eastAsia"/>
                <w:sz w:val="24"/>
                <w:szCs w:val="18"/>
                <w:highlight w:val="yellow"/>
              </w:rPr>
              <w:t>nm)</w:t>
            </w:r>
            <w:r>
              <w:rPr>
                <w:rFonts w:ascii="宋体" w:eastAsia="宋体" w:hAnsi="宋体" w:cs="宋体" w:hint="eastAsia"/>
                <w:sz w:val="24"/>
                <w:szCs w:val="18"/>
                <w:highlight w:val="yellow"/>
              </w:rPr>
              <w:t>，</w:t>
            </w:r>
          </w:p>
          <w:p>
            <w:pPr>
              <w:rPr>
                <w:rFonts w:ascii="宋体" w:eastAsia="宋体" w:hAnsi="宋体" w:cs="宋体"/>
                <w:szCs w:val="18"/>
              </w:rPr>
            </w:pPr>
            <w:r>
              <w:rPr>
                <w:rFonts w:ascii="宋体" w:eastAsia="宋体" w:hAnsi="宋体"/>
                <w:sz w:val="24"/>
                <w:szCs w:val="18"/>
                <w:highlight w:val="yellow"/>
              </w:rPr>
              <w:t>≥3000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=1400nm</w:t>
            </w:r>
            <w:r>
              <w:rPr>
                <w:rFonts w:ascii="宋体" w:eastAsia="宋体" w:hAnsi="宋体" w:hint="eastAsia"/>
                <w:sz w:val="24"/>
                <w:szCs w:val="18"/>
                <w:highlight w:val="yellow"/>
              </w:rPr>
              <w:t>,</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sr</w:t>
            </w:r>
            <w:r>
              <w:rPr>
                <w:rFonts w:ascii="Symbol" w:eastAsia="宋体" w:hAnsi="Symbol"/>
                <w:sz w:val="24"/>
                <w:szCs w:val="18"/>
                <w:highlight w:val="yellow"/>
              </w:rPr>
              <w:sym w:font="Symbol" w:char="F0D7"/>
            </w:r>
            <w:r>
              <w:rPr>
                <w:rFonts w:ascii="宋体" w:eastAsia="宋体" w:hAnsi="宋体"/>
                <w:sz w:val="24"/>
                <w:szCs w:val="18"/>
                <w:highlight w:val="yellow"/>
              </w:rPr>
              <w:t>nm</w:t>
            </w:r>
            <w:r>
              <w:rPr>
                <w:rFonts w:ascii="宋体" w:eastAsia="宋体" w:hAnsi="宋体" w:cs="宋体" w:hint="eastAsia"/>
                <w:sz w:val="24"/>
                <w:szCs w:val="18"/>
                <w:highlight w:val="yellow"/>
              </w:rPr>
              <w:t>）</w:t>
            </w:r>
          </w:p>
          <w:p>
            <w:pPr>
              <w:rPr>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波长示值温漂:</w:t>
            </w:r>
            <w:r>
              <w:rPr>
                <w:rFonts w:hint="eastAsia"/>
                <w:highlight w:val="yellow"/>
              </w:rPr>
              <w:t xml:space="preserve"> </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分辨率温漂:</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rPr>
              <w:t>光谱反射率测量最大允许误差:</w:t>
            </w:r>
            <w:r>
              <w:rPr>
                <w:rFonts w:ascii="宋体" w:eastAsia="宋体" w:hAnsi="宋体" w:hint="eastAsia"/>
                <w:sz w:val="24"/>
                <w:szCs w:val="18"/>
              </w:rPr>
              <w:t>≤</w:t>
            </w:r>
            <w:r>
              <w:rPr>
                <w:rFonts w:ascii="宋体" w:eastAsia="宋体" w:hAnsi="宋体" w:hint="eastAsia"/>
                <w:sz w:val="24"/>
                <w:szCs w:val="18"/>
              </w:rPr>
              <w:t>2%（700nm，1400nm）</w:t>
            </w:r>
          </w:p>
          <w:p>
            <w:pPr>
              <w:rPr>
                <w:rFonts w:ascii="宋体" w:eastAsia="宋体" w:hAnsi="宋体" w:hint="eastAsia"/>
                <w:szCs w:val="18"/>
              </w:rPr>
            </w:pPr>
            <w:r>
              <w:rPr>
                <w:rFonts w:ascii="宋体" w:eastAsia="宋体" w:hAnsi="宋体" w:hint="eastAsia"/>
                <w:sz w:val="24"/>
                <w:szCs w:val="18"/>
              </w:rPr>
              <w:t>动态范围:</w:t>
            </w:r>
            <w:r>
              <w:rPr>
                <w:rFonts w:ascii="宋体" w:eastAsia="宋体" w:hAnsi="宋体" w:hint="eastAsia"/>
                <w:sz w:val="24"/>
                <w:szCs w:val="18"/>
              </w:rPr>
              <w:t>≥</w:t>
            </w:r>
            <w:r>
              <w:rPr>
                <w:rFonts w:ascii="宋体" w:eastAsia="宋体" w:hAnsi="宋体" w:hint="eastAsia"/>
                <w:sz w:val="24"/>
                <w:szCs w:val="18"/>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智能采集器</w:t>
            </w:r>
          </w:p>
        </w:tc>
        <w:tc>
          <w:tcPr>
            <w:tcW w:w="2951" w:type="pct"/>
            <w:vAlign w:val="center"/>
          </w:tcPr>
          <w:p>
            <w:pPr>
              <w:rPr>
                <w:rFonts w:ascii="仿宋" w:eastAsia="仿宋" w:hAnsi="仿宋" w:cs="仿宋" w:hint="eastAsia"/>
              </w:rPr>
            </w:pPr>
            <w:r>
              <w:rPr>
                <w:rFonts w:ascii="仿宋" w:eastAsia="仿宋" w:hAnsi="仿宋" w:cs="仿宋" w:hint="eastAsia"/>
                <w:sz w:val="24"/>
              </w:rPr>
              <w:t>CPU：不低于4核1.6GHz；</w:t>
            </w:r>
          </w:p>
          <w:p>
            <w:pPr>
              <w:rPr>
                <w:rFonts w:ascii="仿宋" w:eastAsia="仿宋" w:hAnsi="仿宋" w:cs="仿宋" w:hint="eastAsia"/>
              </w:rPr>
            </w:pPr>
            <w:r>
              <w:rPr>
                <w:rFonts w:ascii="仿宋" w:eastAsia="仿宋" w:hAnsi="仿宋" w:cs="仿宋" w:hint="eastAsia"/>
                <w:sz w:val="24"/>
              </w:rPr>
              <w:t>RAM：LPDDR4，不低于4GB；</w:t>
            </w:r>
          </w:p>
          <w:p>
            <w:pPr>
              <w:rPr>
                <w:rFonts w:ascii="仿宋" w:eastAsia="仿宋" w:hAnsi="仿宋" w:cs="仿宋"/>
              </w:rPr>
            </w:pPr>
            <w:r>
              <w:rPr>
                <w:rFonts w:ascii="仿宋" w:eastAsia="仿宋" w:hAnsi="仿宋" w:cs="仿宋" w:hint="eastAsia"/>
                <w:sz w:val="24"/>
              </w:rPr>
              <w:t>ROM：不低于32GB的eMMC存储容量，支持1TB及以上的存储空间，可满足数据存储业务（1年）；</w:t>
            </w:r>
          </w:p>
          <w:p>
            <w:pPr>
              <w:rPr>
                <w:rFonts w:ascii="仿宋" w:eastAsia="仿宋" w:hAnsi="仿宋" w:cs="仿宋" w:hint="eastAsia"/>
              </w:rPr>
            </w:pPr>
            <w:r>
              <w:rPr>
                <w:rFonts w:ascii="仿宋" w:eastAsia="仿宋" w:hAnsi="仿宋" w:cs="仿宋" w:hint="eastAsia"/>
                <w:sz w:val="24"/>
              </w:rPr>
              <w:t>操作系统：可运行Linux系统;</w:t>
            </w:r>
          </w:p>
          <w:p>
            <w:pPr>
              <w:rPr>
                <w:rFonts w:ascii="仿宋" w:eastAsia="仿宋" w:hAnsi="仿宋" w:cs="仿宋" w:hint="eastAsia"/>
              </w:rPr>
            </w:pPr>
            <w:r>
              <w:rPr>
                <w:rFonts w:ascii="仿宋" w:eastAsia="仿宋" w:hAnsi="仿宋" w:cs="仿宋" w:hint="eastAsia"/>
                <w:sz w:val="24"/>
              </w:rPr>
              <w:t>RS485或RS232接口不低于4个;</w:t>
            </w:r>
          </w:p>
          <w:p>
            <w:pPr>
              <w:rPr>
                <w:rFonts w:ascii="仿宋" w:eastAsia="仿宋" w:hAnsi="仿宋" w:cs="仿宋" w:hint="eastAsia"/>
              </w:rPr>
            </w:pPr>
            <w:r>
              <w:rPr>
                <w:rFonts w:ascii="仿宋" w:eastAsia="仿宋" w:hAnsi="仿宋" w:cs="仿宋" w:hint="eastAsia"/>
                <w:sz w:val="24"/>
              </w:rPr>
              <w:t>RJ45接口不低于4个;</w:t>
            </w:r>
          </w:p>
          <w:p>
            <w:r>
              <w:rPr>
                <w:rFonts w:ascii="仿宋" w:eastAsia="仿宋" w:hAnsi="仿宋" w:cs="仿宋" w:hint="eastAsia"/>
                <w:sz w:val="24"/>
              </w:rPr>
              <w:t>USB接口不低于2个（其中至少1个为USB3.0）;</w:t>
            </w:r>
          </w:p>
          <w:p>
            <w:pPr>
              <w:rPr>
                <w:rFonts w:ascii="仿宋" w:eastAsia="仿宋" w:hAnsi="仿宋" w:cs="仿宋" w:hint="eastAsia"/>
              </w:rPr>
            </w:pPr>
          </w:p>
          <w:p>
            <w:pPr>
              <w:rPr>
                <w:rFonts w:ascii="仿宋" w:eastAsia="仿宋" w:hAnsi="仿宋" w:cs="仿宋" w:hint="eastAsia"/>
              </w:rPr>
            </w:pPr>
            <w:r>
              <w:rPr>
                <w:rFonts w:ascii="仿宋" w:eastAsia="仿宋" w:hAnsi="仿宋" w:cs="仿宋" w:hint="eastAsia"/>
                <w:sz w:val="24"/>
              </w:rPr>
              <w:t>具有HDMI接口可连接显示屏。</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机载多波段光谱成像仪</w:t>
            </w:r>
          </w:p>
        </w:tc>
        <w:tc>
          <w:tcPr>
            <w:tcW w:w="2951" w:type="pct"/>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rPr>
            </w:pP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6nm@530nm,570nm；</w:t>
            </w:r>
          </w:p>
          <w:p>
            <w:r>
              <w:rPr>
                <w:rFonts w:ascii="仿宋" w:eastAsia="仿宋" w:hAnsi="仿宋" w:cs="仿宋" w:hint="eastAsia"/>
                <w:sz w:val="24"/>
                <w:highlight w:val="yellow"/>
              </w:rPr>
              <w:t>≤</w:t>
            </w:r>
            <w:r>
              <w:rPr>
                <w:rFonts w:ascii="仿宋" w:eastAsia="仿宋" w:hAnsi="仿宋" w:cs="仿宋" w:hint="eastAsia"/>
                <w:sz w:val="24"/>
                <w:highlight w:val="yellow"/>
              </w:rPr>
              <w:t>10nm@470nm,650nm,705nm,</w:t>
            </w:r>
          </w:p>
          <w:p>
            <w:pPr>
              <w:rPr>
                <w:rFonts w:ascii="仿宋" w:eastAsia="仿宋" w:hAnsi="仿宋" w:cs="仿宋"/>
              </w:rPr>
            </w:pP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
            <w:pPr>
              <w:rPr>
                <w:rFonts w:ascii="仿宋" w:eastAsia="仿宋" w:hAnsi="仿宋" w:cs="仿宋" w:hint="eastAsia"/>
              </w:rPr>
            </w:pP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100：1（35dB）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机载光合植被观测仪</w:t>
            </w:r>
          </w:p>
        </w:tc>
        <w:tc>
          <w:tcPr>
            <w:tcW w:w="2951" w:type="pct"/>
            <w:vAlign w:val="center"/>
          </w:tcPr>
          <w:p>
            <w:pPr>
              <w:shd w:val="clear" w:color="auto" w:fill="FFFFFF"/>
              <w:snapToGrid w:val="0"/>
              <w:contextualSpacing/>
              <w:rPr>
                <w:rFonts w:ascii="仿宋" w:eastAsia="仿宋" w:hAnsi="仿宋" w:cs="仿宋"/>
              </w:rPr>
            </w:pPr>
            <w:r>
              <w:rPr>
                <w:rFonts w:ascii="仿宋" w:eastAsia="仿宋" w:hAnsi="仿宋" w:cs="仿宋" w:hint="eastAsia"/>
                <w:sz w:val="24"/>
              </w:rPr>
              <w:t>日光诱导叶绿素荧光观测仪: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650～800nm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highlight w:val="yellow"/>
              </w:rPr>
              <w:t xml:space="preserve"> </w:t>
            </w:r>
            <w:r>
              <w:rPr>
                <w:rFonts w:ascii="仿宋" w:eastAsia="仿宋" w:hAnsi="仿宋" w:cs="仿宋"/>
                <w:sz w:val="24"/>
                <w:highlight w:val="yellow"/>
              </w:rPr>
              <w:t>0.3±0.1nm</w:t>
            </w:r>
          </w:p>
          <w:p>
            <w:pPr>
              <w:shd w:val="clear" w:color="auto" w:fill="FFFFFF"/>
              <w:snapToGrid w:val="0"/>
              <w:contextualSpacing/>
              <w:rPr>
                <w:rFonts w:ascii="仿宋" w:eastAsia="仿宋" w:hAnsi="仿宋" w:cs="仿宋"/>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shd w:val="clear" w:color="auto" w:fill="FFFFFF"/>
              <w:snapToGrid w:val="0"/>
              <w:contextualSpacing/>
              <w:rPr>
                <w:rFonts w:ascii="仿宋" w:eastAsia="仿宋" w:hAnsi="仿宋" w:cs="仿宋"/>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10000：1</w:t>
            </w:r>
          </w:p>
          <w:p>
            <w:pPr>
              <w:shd w:val="clear" w:color="auto" w:fill="FFFFFF"/>
              <w:snapToGrid w:val="0"/>
              <w:contextualSpacing/>
              <w:rPr>
                <w:rFonts w:ascii="仿宋" w:eastAsia="仿宋" w:hAnsi="仿宋" w:cs="仿宋"/>
              </w:rPr>
            </w:pPr>
            <w:r>
              <w:rPr>
                <w:rFonts w:ascii="仿宋" w:eastAsia="仿宋" w:hAnsi="仿宋" w:cs="仿宋" w:hint="eastAsia"/>
                <w:sz w:val="24"/>
              </w:rPr>
              <w:t>A/D 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16bit</w:t>
            </w:r>
          </w:p>
          <w:p>
            <w:pPr>
              <w:shd w:val="clear" w:color="auto" w:fill="FFFFFF"/>
              <w:snapToGrid w:val="0"/>
              <w:contextualSpacing/>
              <w:rPr>
                <w:rFonts w:ascii="仿宋" w:eastAsia="仿宋" w:hAnsi="仿宋" w:cs="仿宋"/>
              </w:rPr>
            </w:pPr>
            <w:r>
              <w:rPr>
                <w:rFonts w:ascii="仿宋" w:eastAsia="仿宋" w:hAnsi="仿宋" w:cs="仿宋" w:hint="eastAsia"/>
                <w:sz w:val="24"/>
              </w:rPr>
              <w:t>波长示值误差:</w:t>
            </w:r>
            <w:r>
              <w:rPr>
                <w:rFonts w:hint="eastAsia"/>
              </w:rPr>
              <w:t xml:space="preserve"> </w:t>
            </w:r>
            <w:r>
              <w:rPr>
                <w:rFonts w:ascii="仿宋" w:eastAsia="仿宋" w:hAnsi="仿宋" w:cs="仿宋" w:hint="eastAsia"/>
                <w:sz w:val="24"/>
              </w:rPr>
              <w:t>≤</w:t>
            </w:r>
            <w:r>
              <w:rPr>
                <w:rFonts w:ascii="仿宋" w:eastAsia="仿宋" w:hAnsi="仿宋" w:cs="仿宋" w:hint="eastAsia"/>
                <w:sz w:val="24"/>
              </w:rPr>
              <w:t>0.2nm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w:t>
            </w:r>
          </w:p>
          <w:p>
            <w:pPr>
              <w:shd w:val="clear" w:color="auto" w:fill="FFFFFF"/>
              <w:snapToGrid w:val="0"/>
              <w:contextualSpacing/>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w:t>
            </w:r>
          </w:p>
          <w:p>
            <w:pPr>
              <w:shd w:val="clear" w:color="auto" w:fill="FFFFFF"/>
              <w:snapToGrid w:val="0"/>
              <w:contextualSpacing/>
              <w:rPr>
                <w:rFonts w:ascii="仿宋" w:eastAsia="仿宋" w:hAnsi="仿宋" w:cs="仿宋"/>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弱光响应下限：辐射亮度可检测值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4.4E-3W/nm-sr-m2(760nm)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强光响应上限：辐射亮度可检测值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5.3E-1W/nm-sr-m2(760nm)</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0.5%</w:t>
            </w:r>
          </w:p>
          <w:p>
            <w:pPr>
              <w:shd w:val="clear" w:color="auto" w:fill="FFFFFF"/>
              <w:snapToGrid w:val="0"/>
              <w:contextualSpacing/>
              <w:rPr>
                <w:rFonts w:ascii="仿宋" w:eastAsia="仿宋" w:hAnsi="仿宋" w:cs="仿宋"/>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w:t>
            </w:r>
            <w:r>
              <w:rPr>
                <w:rFonts w:ascii="仿宋" w:eastAsia="仿宋" w:hAnsi="仿宋" w:cs="仿宋"/>
                <w:sz w:val="24"/>
              </w:rPr>
              <w:t>E-</w:t>
            </w:r>
            <w:r>
              <w:rPr>
                <w:rFonts w:ascii="仿宋" w:eastAsia="仿宋" w:hAnsi="仿宋" w:cs="仿宋" w:hint="eastAsia"/>
                <w:sz w:val="24"/>
              </w:rPr>
              <w:t>4</w:t>
            </w:r>
            <w:r>
              <w:rPr>
                <w:rFonts w:ascii="仿宋" w:eastAsia="仿宋" w:hAnsi="仿宋" w:cs="仿宋"/>
                <w:sz w:val="24"/>
              </w:rPr>
              <w:t>W/m2-sr-nm (760nm)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反射率测量最大允许误差:</w:t>
            </w:r>
            <w:r>
              <w:rPr>
                <w:rFonts w:hint="eastAsia"/>
              </w:rPr>
              <w:t xml:space="preserve"> </w:t>
            </w:r>
            <w:r>
              <w:rPr>
                <w:rFonts w:ascii="仿宋" w:eastAsia="仿宋" w:hAnsi="仿宋" w:cs="仿宋" w:hint="eastAsia"/>
                <w:sz w:val="24"/>
              </w:rPr>
              <w:t>≤</w:t>
            </w:r>
            <w:r>
              <w:rPr>
                <w:rFonts w:ascii="仿宋" w:eastAsia="仿宋" w:hAnsi="仿宋" w:cs="仿宋" w:hint="eastAsia"/>
                <w:sz w:val="24"/>
              </w:rPr>
              <w:t>1%（760nm）</w:t>
            </w:r>
          </w:p>
          <w:p>
            <w:pPr>
              <w:shd w:val="clear" w:color="auto" w:fill="FFFFFF"/>
              <w:snapToGrid w:val="0"/>
              <w:contextualSpacing/>
              <w:rPr>
                <w:rFonts w:ascii="仿宋" w:eastAsia="仿宋" w:hAnsi="仿宋" w:cs="仿宋"/>
              </w:rPr>
            </w:pPr>
            <w:r>
              <w:rPr>
                <w:rFonts w:ascii="仿宋" w:eastAsia="仿宋" w:hAnsi="仿宋" w:cs="仿宋" w:hint="eastAsia"/>
                <w:sz w:val="24"/>
              </w:rPr>
              <w:t>植被指数观测仪: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400～1000nm</w:t>
            </w:r>
          </w:p>
          <w:p>
            <w:pPr>
              <w:shd w:val="clear" w:color="auto" w:fill="FFFFFF"/>
              <w:snapToGrid w:val="0"/>
              <w:contextualSpacing/>
              <w:rPr>
                <w:rFonts w:ascii="仿宋" w:eastAsia="仿宋" w:hAnsi="仿宋" w:cs="仿宋"/>
                <w:highlight w:val="yellow"/>
              </w:rPr>
            </w:pPr>
            <w:r>
              <w:rPr>
                <w:rFonts w:ascii="仿宋" w:eastAsia="仿宋" w:hAnsi="仿宋" w:cs="仿宋" w:hint="eastAsia"/>
                <w:sz w:val="24"/>
                <w:highlight w:val="yellow"/>
              </w:rPr>
              <w:t>#信噪比:</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300：1（760nm）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1.5nm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1300:1（单次扫描）</w:t>
            </w:r>
          </w:p>
        </w:tc>
      </w:tr>
    </w:tbl>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校准要求：荧光观测仪、可见近红外地物光谱仪、机载多波段光谱成像仪、机载光合植被观测仪由供应商每年至少进行2次校准。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要求：供应商提供的荧光观测仪、可见近红外地物光谱仪、智能采集器、机载多波段光谱成像仪、机载光合植被观测仪、实景相机应能够实时回传功能规格需求书中要求的数据，智能机库应能够接收并存储机载多波段光谱成像仪、机载光合植被观测仪的功能规格需求书中要求存储的所有数据，同时支持有线或无线网络传输的方式将所有存储的数据传输到智能机库，支持有线网络导出到本地台站。采集器不低于32GB的eMMC存储容量，支持1TB及以上的存储空间，可满足数据存储业务（1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四、质保服务等要求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供应商按照业务运行规范要求执行，确保设备可稳定运行，主要包括巡检、巡查工作，以及关键器件及系统故障的维修等。故障维修和巡检巡查等需按照《</w:t>
      </w:r>
      <w:r>
        <w:rPr>
          <w:rFonts w:ascii="仿宋" w:eastAsia="仿宋" w:hAnsi="仿宋" w:cs="仿宋" w:hint="eastAsia"/>
          <w:sz w:val="28"/>
          <w:szCs w:val="28"/>
        </w:rPr>
        <w:t>“</w:t>
      </w:r>
      <w:r>
        <w:rPr>
          <w:rFonts w:ascii="仿宋" w:eastAsia="仿宋" w:hAnsi="仿宋" w:cs="仿宋" w:hint="eastAsia"/>
          <w:sz w:val="28"/>
          <w:szCs w:val="28"/>
        </w:rPr>
        <w:t>十四五</w:t>
      </w:r>
      <w:r>
        <w:rPr>
          <w:rFonts w:ascii="仿宋" w:eastAsia="仿宋" w:hAnsi="仿宋" w:cs="仿宋" w:hint="eastAsia"/>
          <w:sz w:val="28"/>
          <w:szCs w:val="28"/>
        </w:rPr>
        <w:t>”</w:t>
      </w:r>
      <w:r>
        <w:rPr>
          <w:rFonts w:ascii="仿宋" w:eastAsia="仿宋" w:hAnsi="仿宋" w:cs="仿宋" w:hint="eastAsia"/>
          <w:sz w:val="28"/>
          <w:szCs w:val="28"/>
        </w:rPr>
        <w:t>期间综合观测类工程项目新上设备建设及质保指导意见》中</w:t>
      </w:r>
      <w:r>
        <w:rPr>
          <w:rFonts w:ascii="仿宋" w:eastAsia="仿宋" w:hAnsi="仿宋" w:cs="仿宋" w:hint="eastAsia"/>
          <w:sz w:val="28"/>
          <w:szCs w:val="28"/>
        </w:rPr>
        <w:t>“</w:t>
      </w:r>
      <w:r>
        <w:rPr>
          <w:rFonts w:ascii="仿宋" w:eastAsia="仿宋" w:hAnsi="仿宋" w:cs="仿宋" w:hint="eastAsia"/>
          <w:sz w:val="28"/>
          <w:szCs w:val="28"/>
        </w:rPr>
        <w:t>作物多模态高光谱仪</w:t>
      </w:r>
      <w:r>
        <w:rPr>
          <w:rFonts w:ascii="仿宋" w:eastAsia="仿宋" w:hAnsi="仿宋" w:cs="仿宋" w:hint="eastAsia"/>
          <w:sz w:val="28"/>
          <w:szCs w:val="28"/>
        </w:rPr>
        <w:t>”</w:t>
      </w:r>
      <w:r>
        <w:rPr>
          <w:rFonts w:ascii="仿宋" w:eastAsia="仿宋" w:hAnsi="仿宋" w:cs="仿宋" w:hint="eastAsia"/>
          <w:sz w:val="28"/>
          <w:szCs w:val="28"/>
        </w:rPr>
        <w:t>采购要求中相关要求执行，并提供相关承诺函。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（1）供应商将所有设备运送到招标人指定地点（运输相关费用由供应商负责），并负责安装调试。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*质保期：8年</w:t>
      </w:r>
      <w:r>
        <w:rPr>
          <w:rFonts w:ascii="仿宋" w:eastAsia="仿宋" w:hAnsi="仿宋" w:cs="仿宋" w:hint="eastAsia"/>
          <w:sz w:val="28"/>
          <w:szCs w:val="28"/>
        </w:rPr>
        <w:t>，供应商需对质保期（保内、保外）政策进行阐述或承诺，列明有偿服务和无偿服务内容。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（3）在质保期内， 设备供应商服务时间应为7</w:t>
      </w:r>
      <w:r>
        <w:rPr>
          <w:rFonts w:ascii="仿宋" w:eastAsia="仿宋" w:hAnsi="仿宋" w:cs="仿宋" w:hint="eastAsia"/>
          <w:sz w:val="28"/>
          <w:szCs w:val="28"/>
        </w:rPr>
        <w:t>×</w:t>
      </w:r>
      <w:r>
        <w:rPr>
          <w:rFonts w:ascii="仿宋" w:eastAsia="仿宋" w:hAnsi="仿宋" w:cs="仿宋" w:hint="eastAsia"/>
          <w:sz w:val="28"/>
          <w:szCs w:val="28"/>
        </w:rPr>
        <w:t>24小时，当投标产品或软件遭到损坏或出现故障时，要在用户报修之时起48小时内做出响应，开展维修维护工作，视情况双方协商设备恢复正常运行时限。</w:t>
      </w:r>
    </w:p>
    <w:p>
      <w:pPr>
        <w:widowControl w:val="0"/>
        <w:spacing w:line="560" w:lineRule="exact"/>
        <w:ind w:firstLine="560" w:firstLineChars="200"/>
        <w:jc w:val="both"/>
        <w:rPr>
          <w:rFonts w:ascii="仿宋" w:eastAsia="仿宋" w:hAnsi="仿宋" w:cs="仿宋" w:hint="eastAsia"/>
          <w:sz w:val="28"/>
          <w:szCs w:val="28"/>
        </w:rPr>
      </w:pPr>
      <w:r>
        <w:rPr>
          <w:rFonts w:ascii="仿宋" w:eastAsia="仿宋" w:hAnsi="仿宋" w:cs="仿宋" w:hint="eastAsia"/>
          <w:sz w:val="28"/>
          <w:szCs w:val="28"/>
        </w:rPr>
        <w:t>（4）质保期过后，供应商仍有义务提供技术服务（包括提供设备维护、备件等）。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五、技术培训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（1）供应商应免费向甲方提供培训，培训次数不少于5次，培训人次不少于20人次，免费向用户提供设备安装、调试以及软件技术培训。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（3）技术培训内容包括：设备工作原理、使用方法、日常维护、仪器校准及一般常见故障的诊断及排除等。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五、验收要求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参照功能规格需求书、测试大纲，以及中国气象局最新业务管理规定等有关文件要求开展检验考核。</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提供的荧光观测仪、可见近红外地物光谱仪、智能采集器、机载多波段光谱成像仪、机载光合植被观测仪设备均需具备装备许可，否则验收为不合格，追究中标方责任。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出厂前，采购人需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经过1个月试运行期，其中机载设备部分，在试运行期间进行1次/每天，每次不少于30分钟的飞行试验，指标达到《作物多模态高光谱仪-荧光观测仪功能规格需求书》、《作物多模态高光谱仪-可见近红外地物光谱仪功能规格需求书》、《作物多模态高光谱仪-机载多波段光谱成像仪功能规格需求书》、《作物多模态高光谱仪-机载光合植被观测仪功能规格需求书》、《作物多模态高光谱仪-智能采集器功能规格需求书》的要求可进行最终验收。在试运行期间，由于设备质量等造成某些指标达不到要求，允许供应商更换或进行修复。</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供应商已提供合同中签署的全部货物及完整技术资料；</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hint="eastAsia"/>
          <w:sz w:val="28"/>
          <w:szCs w:val="28"/>
        </w:rPr>
        <w:t>货物符合技术规格，性能满足要求；</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安装工程符合技术要求，系统性能满足要求，设备正常运行。</w:t>
      </w:r>
    </w:p>
    <w:p>
      <w:pPr>
        <w:spacing w:line="560" w:lineRule="exact"/>
        <w:ind w:firstLine="560" w:firstLineChars="200"/>
        <w:rPr>
          <w:rFonts w:ascii="仿宋" w:eastAsia="仿宋" w:hAnsi="仿宋" w:cs="仿宋" w:hint="eastAsia"/>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供应商提供1个月试运行报告。</w:t>
      </w:r>
    </w:p>
    <w:p>
      <w:pPr>
        <w:spacing w:line="560" w:lineRule="exact"/>
        <w:ind w:firstLine="560" w:firstLineChars="200"/>
        <w:rPr>
          <w:rFonts w:eastAsia="仿宋"/>
          <w:sz w:val="28"/>
          <w:szCs w:val="20"/>
        </w:rPr>
      </w:pPr>
      <w:r>
        <w:rPr>
          <w:rFonts w:eastAsia="仿宋"/>
          <w:sz w:val="28"/>
          <w:szCs w:val="28"/>
        </w:rPr>
        <w:t>六、其他要求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ind w:firstLine="560" w:firstLineChars="200"/>
        <w:rPr>
          <w:rFonts w:ascii="仿宋" w:eastAsia="仿宋" w:hAnsi="仿宋" w:cs="仿宋" w:hint="eastAsia"/>
          <w:sz w:val="28"/>
          <w:szCs w:val="28"/>
        </w:rPr>
      </w:pPr>
    </w:p>
    <w:p>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9"/>
        <w:gridCol w:w="581"/>
        <w:gridCol w:w="294"/>
        <w:gridCol w:w="409"/>
        <w:gridCol w:w="466"/>
        <w:gridCol w:w="294"/>
        <w:gridCol w:w="633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高光谱辐射观测系统-地面设备及机载设备</w:t>
            </w:r>
          </w:p>
        </w:tc>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17,886,000.00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可见近红外地物光谱仪、荧光观测仪、机载光合植被观测仪、机载多波段光谱成像仪、实景相机、多点位温度传感器、智能采集器。除湖北省外，其余省份还包含建筑与安装工程费9.8万(含选址费、设备及无人机基础建设费、安装调试费、测试费等)</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17,886,000.00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8"/>
        <w:gridCol w:w="1843"/>
        <w:gridCol w:w="1321"/>
        <w:gridCol w:w="408"/>
        <w:gridCol w:w="930"/>
        <w:gridCol w:w="775"/>
        <w:gridCol w:w="1974"/>
        <w:gridCol w:w="86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雷达研试中心(001033019)</w:t>
            </w:r>
          </w:p>
        </w:tc>
        <w:tc>
          <w:tcPr/>
          <w:p>
            <w:r>
              <w:t>高光谱辐射观测系统-地面设备及机载设备</w:t>
            </w:r>
          </w:p>
        </w:tc>
        <w:tc>
          <w:tcPr/>
          <w:p>
            <w:r>
              <w:t>1</w:t>
            </w:r>
          </w:p>
        </w:tc>
        <w:tc>
          <w:tcPr/>
          <w:p>
            <w:r>
              <w:t>2248000.00</w:t>
            </w:r>
          </w:p>
        </w:tc>
        <w:tc>
          <w:tcPr>
            <w:vMerge w:val="restart"/>
          </w:tcPr>
          <w:p>
            <w:r>
              <w:t xml:space="preserve">2248000.00  </w:t>
            </w:r>
          </w:p>
        </w:tc>
        <w:tc>
          <w:tcPr/>
          <w:p>
            <w:r>
              <w:t>天津气象雷达研究试验中心</w:t>
            </w:r>
          </w:p>
        </w:tc>
        <w:tc>
          <w:tcPr/>
          <w:p>
            <w:r>
              <w:t>李波 18582304806</w:t>
            </w:r>
          </w:p>
        </w:tc>
      </w:tr>
      <w:tr>
        <w:tblPrEx>
          <w:tblW w:w="5000" w:type="pct"/>
          <w:tblCellMar>
            <w:left w:w="108" w:type="dxa"/>
            <w:right w:w="108" w:type="dxa"/>
          </w:tblCellMar>
        </w:tblPrEx>
        <w:tc>
          <w:tcPr/>
          <w:p>
            <w:r>
              <w:t>2</w:t>
            </w:r>
          </w:p>
        </w:tc>
        <w:tc>
          <w:tcPr>
            <w:vMerge w:val="restart"/>
          </w:tcPr>
          <w:p>
            <w:r>
              <w:t>探测中心(001037017)</w:t>
            </w:r>
          </w:p>
        </w:tc>
        <w:tc>
          <w:tcPr/>
          <w:p>
            <w:r>
              <w:t>高光谱辐射观测系统-地面设备及机载设备</w:t>
            </w:r>
          </w:p>
        </w:tc>
        <w:tc>
          <w:tcPr/>
          <w:p>
            <w:r>
              <w:t>1</w:t>
            </w:r>
          </w:p>
        </w:tc>
        <w:tc>
          <w:tcPr/>
          <w:p>
            <w:r>
              <w:t>2248000.00</w:t>
            </w:r>
          </w:p>
        </w:tc>
        <w:tc>
          <w:tcPr>
            <w:vMerge w:val="restart"/>
          </w:tcPr>
          <w:p>
            <w:r>
              <w:t xml:space="preserve">2248000.00 </w:t>
            </w:r>
          </w:p>
        </w:tc>
        <w:tc>
          <w:tcPr/>
          <w:p>
            <w:r>
              <w:t>吉林省气象探测保障中心</w:t>
            </w:r>
          </w:p>
        </w:tc>
        <w:tc>
          <w:tcPr/>
          <w:p>
            <w:r>
              <w:t>马千惠 18604270843</w:t>
            </w:r>
          </w:p>
        </w:tc>
      </w:tr>
      <w:tr>
        <w:tblPrEx>
          <w:tblW w:w="5000" w:type="pct"/>
          <w:tblCellMar>
            <w:left w:w="108" w:type="dxa"/>
            <w:right w:w="108" w:type="dxa"/>
          </w:tblCellMar>
        </w:tblPrEx>
        <w:tc>
          <w:tcPr/>
          <w:p>
            <w:r>
              <w:t>3</w:t>
            </w:r>
          </w:p>
        </w:tc>
        <w:tc>
          <w:tcPr>
            <w:vMerge w:val="restart"/>
          </w:tcPr>
          <w:p>
            <w:r>
              <w:t>丰林县气象局(001038033016)</w:t>
            </w:r>
          </w:p>
        </w:tc>
        <w:tc>
          <w:tcPr/>
          <w:p>
            <w:r>
              <w:t>高光谱辐射观测系统-地面设备及机载设备</w:t>
            </w:r>
          </w:p>
        </w:tc>
        <w:tc>
          <w:tcPr/>
          <w:p>
            <w:r>
              <w:t>1</w:t>
            </w:r>
          </w:p>
        </w:tc>
        <w:tc>
          <w:tcPr/>
          <w:p>
            <w:r>
              <w:t>2248000.00</w:t>
            </w:r>
          </w:p>
        </w:tc>
        <w:tc>
          <w:tcPr>
            <w:vMerge w:val="restart"/>
          </w:tcPr>
          <w:p>
            <w:r>
              <w:t xml:space="preserve">2248000.00  </w:t>
            </w:r>
          </w:p>
        </w:tc>
        <w:tc>
          <w:tcPr/>
          <w:p>
            <w:r>
              <w:t>丰林县气象局</w:t>
            </w:r>
          </w:p>
        </w:tc>
        <w:tc>
          <w:tcPr/>
          <w:p>
            <w:r>
              <w:t>马宏达 18845802097</w:t>
            </w:r>
          </w:p>
        </w:tc>
      </w:tr>
      <w:tr>
        <w:tblPrEx>
          <w:tblW w:w="5000" w:type="pct"/>
          <w:tblCellMar>
            <w:left w:w="108" w:type="dxa"/>
            <w:right w:w="108" w:type="dxa"/>
          </w:tblCellMar>
        </w:tblPrEx>
        <w:tc>
          <w:tcPr/>
          <w:p>
            <w:r>
              <w:t>4</w:t>
            </w:r>
          </w:p>
        </w:tc>
        <w:tc>
          <w:tcPr/>
          <w:p>
            <w:r>
              <w:t>省大探中心(001041017)</w:t>
            </w:r>
          </w:p>
        </w:tc>
        <w:tc>
          <w:tcPr/>
          <w:p>
            <w:r>
              <w:t>高光谱辐射观测系统-地面设备及机载设备</w:t>
            </w:r>
          </w:p>
        </w:tc>
        <w:tc>
          <w:tcPr/>
          <w:p>
            <w:r>
              <w:t>1</w:t>
            </w:r>
          </w:p>
        </w:tc>
        <w:tc>
          <w:tcPr/>
          <w:p>
            <w:r>
              <w:t>2248000.00</w:t>
            </w:r>
          </w:p>
        </w:tc>
        <w:tc>
          <w:tcPr/>
          <w:p>
            <w:r>
              <w:t xml:space="preserve">2248000.00 </w:t>
            </w:r>
          </w:p>
        </w:tc>
        <w:tc>
          <w:tcPr/>
          <w:p>
            <w:r>
              <w:t>浙江省大气探测技术保障中心</w:t>
            </w:r>
          </w:p>
        </w:tc>
        <w:tc>
          <w:tcPr/>
          <w:p>
            <w:r>
              <w:t>周自忠 15968883490</w:t>
            </w:r>
          </w:p>
        </w:tc>
      </w:tr>
      <w:tr>
        <w:tblPrEx>
          <w:tblW w:w="5000" w:type="pct"/>
          <w:tblCellMar>
            <w:left w:w="108" w:type="dxa"/>
            <w:right w:w="108" w:type="dxa"/>
          </w:tblCellMar>
        </w:tblPrEx>
        <w:tc>
          <w:tcPr/>
          <w:p>
            <w:r>
              <w:t>5</w:t>
            </w:r>
          </w:p>
        </w:tc>
        <w:tc>
          <w:tcPr/>
          <w:p>
            <w:r>
              <w:t>探测中心(001044022)</w:t>
            </w:r>
          </w:p>
        </w:tc>
        <w:tc>
          <w:tcPr/>
          <w:p>
            <w:r>
              <w:t>高光谱辐射观测系统-地面设备及机载设备</w:t>
            </w:r>
          </w:p>
        </w:tc>
        <w:tc>
          <w:tcPr/>
          <w:p>
            <w:r>
              <w:t>1</w:t>
            </w:r>
          </w:p>
        </w:tc>
        <w:tc>
          <w:tcPr/>
          <w:p>
            <w:r>
              <w:t>2248000.00</w:t>
            </w:r>
          </w:p>
        </w:tc>
        <w:tc>
          <w:tcPr/>
          <w:p>
            <w:r>
              <w:t xml:space="preserve">2248000.00  </w:t>
            </w:r>
          </w:p>
        </w:tc>
        <w:tc>
          <w:tcPr/>
          <w:p>
            <w:r>
              <w:t>江西省气象探测中心</w:t>
            </w:r>
          </w:p>
        </w:tc>
        <w:tc>
          <w:tcPr/>
          <w:p>
            <w:r>
              <w:t>余博嵩 13694885634</w:t>
            </w:r>
          </w:p>
        </w:tc>
      </w:tr>
      <w:tr>
        <w:tblPrEx>
          <w:tblW w:w="5000" w:type="pct"/>
          <w:tblCellMar>
            <w:left w:w="108" w:type="dxa"/>
            <w:right w:w="108" w:type="dxa"/>
          </w:tblCellMar>
        </w:tblPrEx>
        <w:tc>
          <w:tcPr/>
          <w:p>
            <w:r>
              <w:t>6</w:t>
            </w:r>
          </w:p>
        </w:tc>
        <w:tc>
          <w:tcPr/>
          <w:p>
            <w:r>
              <w:t>信息保障中心(001047019)</w:t>
            </w:r>
          </w:p>
        </w:tc>
        <w:tc>
          <w:tcPr/>
          <w:p>
            <w:r>
              <w:t>高光谱辐射观测系统-地面设备及机载设备</w:t>
            </w:r>
          </w:p>
        </w:tc>
        <w:tc>
          <w:tcPr/>
          <w:p>
            <w:r>
              <w:t>1</w:t>
            </w:r>
          </w:p>
        </w:tc>
        <w:tc>
          <w:tcPr/>
          <w:p>
            <w:r>
              <w:t>2150000.00</w:t>
            </w:r>
          </w:p>
        </w:tc>
        <w:tc>
          <w:tcPr/>
          <w:p>
            <w:r>
              <w:t xml:space="preserve">2150000.00 </w:t>
            </w:r>
          </w:p>
        </w:tc>
        <w:tc>
          <w:tcPr/>
          <w:p>
            <w:r>
              <w:t>湖北省气象信息与技术保障中心</w:t>
            </w:r>
          </w:p>
        </w:tc>
        <w:tc>
          <w:tcPr/>
          <w:p>
            <w:r>
              <w:t>李中华 027-67848012</w:t>
            </w:r>
          </w:p>
        </w:tc>
      </w:tr>
      <w:tr>
        <w:tblPrEx>
          <w:tblW w:w="5000" w:type="pct"/>
          <w:tblCellMar>
            <w:left w:w="108" w:type="dxa"/>
            <w:right w:w="108" w:type="dxa"/>
          </w:tblCellMar>
        </w:tblPrEx>
        <w:tc>
          <w:tcPr/>
          <w:p>
            <w:r>
              <w:t>7</w:t>
            </w:r>
          </w:p>
        </w:tc>
        <w:tc>
          <w:tcPr/>
          <w:p>
            <w:r>
              <w:t>南宁市局(001049031)</w:t>
            </w:r>
          </w:p>
        </w:tc>
        <w:tc>
          <w:tcPr/>
          <w:p>
            <w:r>
              <w:t>高光谱辐射观测系统-地面设备及机载设备</w:t>
            </w:r>
          </w:p>
        </w:tc>
        <w:tc>
          <w:tcPr/>
          <w:p>
            <w:r>
              <w:t>1</w:t>
            </w:r>
          </w:p>
        </w:tc>
        <w:tc>
          <w:tcPr/>
          <w:p>
            <w:r>
              <w:t>2248000.00</w:t>
            </w:r>
          </w:p>
        </w:tc>
        <w:tc>
          <w:tcPr/>
          <w:p>
            <w:r>
              <w:t xml:space="preserve">2248000.00  </w:t>
            </w:r>
          </w:p>
        </w:tc>
        <w:tc>
          <w:tcPr/>
          <w:p>
            <w:r>
              <w:t>南宁市气象局</w:t>
            </w:r>
          </w:p>
        </w:tc>
        <w:tc>
          <w:tcPr/>
          <w:p>
            <w:r>
              <w:t>叶骏菲 19195622217</w:t>
            </w:r>
          </w:p>
        </w:tc>
      </w:tr>
      <w:tr>
        <w:tblPrEx>
          <w:tblW w:w="5000" w:type="pct"/>
          <w:tblCellMar>
            <w:left w:w="108" w:type="dxa"/>
            <w:right w:w="108" w:type="dxa"/>
          </w:tblCellMar>
        </w:tblPrEx>
        <w:tc>
          <w:tcPr/>
          <w:p>
            <w:r>
              <w:t>8</w:t>
            </w:r>
          </w:p>
        </w:tc>
        <w:tc>
          <w:tcPr/>
          <w:p>
            <w:r>
              <w:t>拉萨局(001054022)</w:t>
            </w:r>
          </w:p>
        </w:tc>
        <w:tc>
          <w:tcPr/>
          <w:p>
            <w:r>
              <w:t>高光谱辐射观测系统-地面设备及机载设备</w:t>
            </w:r>
          </w:p>
        </w:tc>
        <w:tc>
          <w:tcPr/>
          <w:p>
            <w:r>
              <w:t>1</w:t>
            </w:r>
          </w:p>
        </w:tc>
        <w:tc>
          <w:tcPr/>
          <w:p>
            <w:r>
              <w:t>2248000.00</w:t>
            </w:r>
          </w:p>
        </w:tc>
        <w:tc>
          <w:tcPr/>
          <w:p>
            <w:r>
              <w:t xml:space="preserve">2248000.00 </w:t>
            </w:r>
          </w:p>
        </w:tc>
        <w:tc>
          <w:tcPr/>
          <w:p>
            <w:r>
              <w:t>拉萨市气象局</w:t>
            </w:r>
          </w:p>
        </w:tc>
        <w:tc>
          <w:tcPr/>
          <w:p>
            <w:r>
              <w:t>张勇永 18689010919</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5003F9">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5003F9">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5003F9">
      <w:pPr>
        <w:ind w:firstLine="560" w:firstLineChars="200"/>
        <w:rPr>
          <w:rFonts w:ascii="仿宋" w:eastAsia="仿宋" w:hAnsi="仿宋" w:cs="仿宋"/>
          <w:sz w:val="28"/>
        </w:rPr>
      </w:pPr>
      <w:r>
        <w:rPr>
          <w:rFonts w:ascii="仿宋" w:eastAsia="仿宋" w:hAnsi="仿宋" w:cs="仿宋" w:hint="eastAsia"/>
          <w:sz w:val="28"/>
        </w:rPr>
        <w:t>依据中国气象局《</w:t>
      </w:r>
      <w:r>
        <w:rPr>
          <w:rFonts w:ascii="仿宋" w:eastAsia="仿宋" w:hAnsi="仿宋" w:cs="仿宋" w:hint="eastAsia"/>
          <w:sz w:val="28"/>
        </w:rPr>
        <w:t>2025</w:t>
      </w:r>
      <w:r>
        <w:rPr>
          <w:rFonts w:ascii="仿宋" w:eastAsia="仿宋" w:hAnsi="仿宋" w:cs="仿宋" w:hint="eastAsia"/>
          <w:sz w:val="28"/>
        </w:rPr>
        <w:t>年站网和雷达工程建设初步设计安排》，在</w:t>
      </w:r>
      <w:r>
        <w:rPr>
          <w:rFonts w:ascii="仿宋" w:eastAsia="仿宋" w:hAnsi="仿宋" w:cs="仿宋" w:hint="eastAsia"/>
          <w:sz w:val="28"/>
        </w:rPr>
        <w:t>天津等</w:t>
      </w:r>
      <w:r>
        <w:rPr>
          <w:rFonts w:ascii="仿宋" w:eastAsia="仿宋" w:hAnsi="仿宋" w:cs="仿宋" w:hint="eastAsia"/>
          <w:sz w:val="28"/>
        </w:rPr>
        <w:t>8</w:t>
      </w:r>
      <w:r>
        <w:rPr>
          <w:rFonts w:ascii="仿宋" w:eastAsia="仿宋" w:hAnsi="仿宋" w:cs="仿宋" w:hint="eastAsia"/>
          <w:sz w:val="28"/>
        </w:rPr>
        <w:t>省、市</w:t>
      </w:r>
      <w:r>
        <w:rPr>
          <w:rFonts w:ascii="仿宋" w:eastAsia="仿宋" w:hAnsi="仿宋" w:cs="仿宋" w:hint="eastAsia"/>
          <w:sz w:val="28"/>
        </w:rPr>
        <w:t>建设</w:t>
      </w:r>
      <w:r>
        <w:rPr>
          <w:rFonts w:ascii="仿宋" w:eastAsia="仿宋" w:hAnsi="仿宋" w:cs="仿宋" w:hint="eastAsia"/>
          <w:sz w:val="28"/>
        </w:rPr>
        <w:t>8</w:t>
      </w:r>
      <w:r>
        <w:rPr>
          <w:rFonts w:ascii="仿宋" w:eastAsia="仿宋" w:hAnsi="仿宋" w:cs="仿宋" w:hint="eastAsia"/>
          <w:sz w:val="28"/>
        </w:rPr>
        <w:t>套</w:t>
      </w:r>
      <w:r>
        <w:rPr>
          <w:rFonts w:ascii="仿宋" w:eastAsia="仿宋" w:hAnsi="仿宋" w:cs="仿宋" w:hint="eastAsia"/>
          <w:sz w:val="28"/>
        </w:rPr>
        <w:t>高光谱辐射观测系统，通过项目建设，可获取农田和植被的反射、辐射特性信息，反演叶绿素含量、植物光合作用效率、水分含量、氮含量、土壤质地等作物和土壤的基本特征。作物机理监测评估，</w:t>
      </w:r>
      <w:r>
        <w:rPr>
          <w:rFonts w:ascii="仿宋" w:eastAsia="仿宋" w:hAnsi="仿宋" w:cs="仿宋" w:hint="eastAsia"/>
          <w:sz w:val="28"/>
        </w:rPr>
        <w:t>从更深层面</w:t>
      </w:r>
      <w:r>
        <w:rPr>
          <w:rFonts w:ascii="仿宋" w:eastAsia="仿宋" w:hAnsi="仿宋" w:cs="仿宋" w:hint="eastAsia"/>
          <w:sz w:val="28"/>
        </w:rPr>
        <w:t>研</w:t>
      </w:r>
      <w:r>
        <w:rPr>
          <w:rFonts w:ascii="仿宋" w:eastAsia="仿宋" w:hAnsi="仿宋" w:cs="仿宋" w:hint="eastAsia"/>
          <w:sz w:val="28"/>
        </w:rPr>
        <w:t>判作物长势及灾害的影响，提高农田农业气象精密监测能力，科学分析作物长势及病虫害等信息，制定农作物种植和管理策略，为作物灌溉、施肥、防治病虫害等提供依据，将气象服务深度融入现代农业生产体系。满足高时空精度、全链条格点化农业气象服务对监测的需求，赋能现代化农业，进一步提升农业和生态气象观测现代化水平和能力，为保障国家粮食安全、全面推进乡村振兴提供基础数据支撑。</w:t>
      </w:r>
    </w:p>
    <w:p w:rsidR="005003F9">
      <w:pPr>
        <w:ind w:firstLine="560" w:firstLineChars="200"/>
        <w:rPr>
          <w:rFonts w:ascii="仿宋" w:eastAsia="仿宋" w:hAnsi="仿宋" w:cs="仿宋"/>
          <w:sz w:val="28"/>
        </w:rPr>
      </w:pPr>
      <w:r>
        <w:rPr>
          <w:rFonts w:ascii="仿宋" w:eastAsia="仿宋" w:hAnsi="仿宋" w:cs="仿宋" w:hint="eastAsia"/>
          <w:sz w:val="28"/>
        </w:rPr>
        <w:t>本项目拟采购</w:t>
      </w:r>
      <w:r>
        <w:rPr>
          <w:rFonts w:ascii="仿宋" w:eastAsia="仿宋" w:hAnsi="仿宋" w:cs="仿宋" w:hint="eastAsia"/>
          <w:sz w:val="28"/>
        </w:rPr>
        <w:t>8</w:t>
      </w:r>
      <w:r>
        <w:rPr>
          <w:rFonts w:ascii="仿宋" w:eastAsia="仿宋" w:hAnsi="仿宋" w:cs="仿宋" w:hint="eastAsia"/>
          <w:sz w:val="28"/>
        </w:rPr>
        <w:t>套高光谱辐射观测系统</w:t>
      </w:r>
      <w:r>
        <w:rPr>
          <w:rFonts w:ascii="仿宋" w:eastAsia="仿宋" w:hAnsi="仿宋" w:cs="仿宋" w:hint="eastAsia"/>
          <w:sz w:val="28"/>
        </w:rPr>
        <w:t>-</w:t>
      </w:r>
      <w:r>
        <w:rPr>
          <w:rFonts w:ascii="仿宋" w:eastAsia="仿宋" w:hAnsi="仿宋" w:cs="仿宋" w:hint="eastAsia"/>
          <w:sz w:val="28"/>
        </w:rPr>
        <w:t>地面设备及机载设备（可见近红外地物光谱仪、荧光观测仪、机载光合植被观测仪、机载多波段光谱成像仪、实景相机</w:t>
      </w:r>
      <w:r>
        <w:rPr>
          <w:rFonts w:ascii="仿宋" w:eastAsia="仿宋" w:hAnsi="仿宋" w:cs="仿宋" w:hint="eastAsia"/>
          <w:sz w:val="28"/>
        </w:rPr>
        <w:t>、多点位温度传感器、</w:t>
      </w:r>
      <w:r>
        <w:rPr>
          <w:rFonts w:ascii="仿宋" w:eastAsia="仿宋" w:hAnsi="仿宋" w:cs="仿宋" w:hint="eastAsia"/>
          <w:sz w:val="28"/>
          <w:szCs w:val="28"/>
        </w:rPr>
        <w:t>智能采集器</w:t>
      </w:r>
      <w:r>
        <w:rPr>
          <w:rFonts w:ascii="仿宋" w:eastAsia="仿宋" w:hAnsi="仿宋" w:cs="仿宋" w:hint="eastAsia"/>
          <w:sz w:val="28"/>
        </w:rPr>
        <w:t>），包括但不限于设备供货、设备及无人机机库土建、安装调试、售后、检定、验收、维修、维持、软件升级、培训、通讯费用等。</w:t>
      </w:r>
    </w:p>
    <w:p w:rsidR="005003F9">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5003F9">
      <w:pPr>
        <w:ind w:firstLine="560" w:firstLineChars="20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1</w:t>
      </w:r>
      <w:r>
        <w:rPr>
          <w:rFonts w:ascii="仿宋" w:eastAsia="仿宋" w:hAnsi="仿宋" w:cs="仿宋" w:hint="eastAsia"/>
          <w:sz w:val="28"/>
        </w:rPr>
        <w:t>）设备供应商需提供详细售后服务方案，包括设备售后服务组织机构、人员组成、技术支持、</w:t>
      </w:r>
      <w:r>
        <w:rPr>
          <w:rFonts w:ascii="仿宋" w:eastAsia="仿宋" w:hAnsi="仿宋" w:cs="仿宋"/>
          <w:sz w:val="28"/>
        </w:rPr>
        <w:t>服务期限、故障响应及维修时间、零配件供应方式等情况。中标人服务时间应为</w:t>
      </w:r>
      <w:r>
        <w:rPr>
          <w:rFonts w:ascii="仿宋" w:eastAsia="仿宋" w:hAnsi="仿宋" w:cs="仿宋"/>
          <w:sz w:val="28"/>
        </w:rPr>
        <w:t>7×24</w:t>
      </w:r>
      <w:r>
        <w:rPr>
          <w:rFonts w:ascii="仿宋" w:eastAsia="仿宋" w:hAnsi="仿宋" w:cs="仿宋"/>
          <w:sz w:val="28"/>
        </w:rPr>
        <w:t>小时。</w:t>
      </w:r>
    </w:p>
    <w:p w:rsidR="005003F9">
      <w:pPr>
        <w:ind w:firstLine="560" w:firstLineChars="200"/>
        <w:rPr>
          <w:rFonts w:ascii="仿宋" w:eastAsia="仿宋" w:hAnsi="仿宋" w:cs="仿宋"/>
          <w:sz w:val="28"/>
          <w:szCs w:val="20"/>
        </w:rPr>
      </w:pPr>
      <w:r>
        <w:rPr>
          <w:rFonts w:ascii="仿宋" w:eastAsia="仿宋" w:hAnsi="仿宋" w:cs="仿宋" w:hint="eastAsia"/>
          <w:sz w:val="28"/>
        </w:rPr>
        <w:t>（</w:t>
      </w:r>
      <w:r>
        <w:rPr>
          <w:rFonts w:ascii="仿宋" w:eastAsia="仿宋" w:hAnsi="仿宋" w:cs="仿宋" w:hint="eastAsia"/>
          <w:sz w:val="28"/>
        </w:rPr>
        <w:t>2</w:t>
      </w:r>
      <w:r>
        <w:rPr>
          <w:rFonts w:ascii="仿宋" w:eastAsia="仿宋" w:hAnsi="仿宋" w:cs="仿宋" w:hint="eastAsia"/>
          <w:sz w:val="28"/>
        </w:rPr>
        <w:t>）设备供应商对所有设备提供自验收合格后</w:t>
      </w:r>
      <w:r>
        <w:rPr>
          <w:rFonts w:ascii="仿宋" w:eastAsia="仿宋" w:hAnsi="仿宋" w:cs="仿宋" w:hint="eastAsia"/>
          <w:sz w:val="28"/>
        </w:rPr>
        <w:t>8</w:t>
      </w:r>
      <w:r>
        <w:rPr>
          <w:rFonts w:ascii="仿宋" w:eastAsia="仿宋" w:hAnsi="仿宋" w:cs="仿宋" w:hint="eastAsia"/>
          <w:sz w:val="28"/>
        </w:rPr>
        <w:t>年</w:t>
      </w:r>
      <w:r>
        <w:rPr>
          <w:rFonts w:ascii="仿宋" w:eastAsia="仿宋" w:hAnsi="仿宋" w:cs="仿宋" w:hint="eastAsia"/>
          <w:sz w:val="28"/>
        </w:rPr>
        <w:t>的维保服务</w:t>
      </w:r>
      <w:r>
        <w:rPr>
          <w:rFonts w:ascii="仿宋" w:eastAsia="仿宋" w:hAnsi="仿宋" w:cs="仿宋" w:hint="eastAsia"/>
          <w:sz w:val="28"/>
        </w:rPr>
        <w:t>。保修期内因设备设计、质量出现问题，均由设备供应商即时无偿解决（包括更换器件）；设备安装后的试运行期间（六个月）内，遇设备故障或数据明显异常、性能不达标等，中标人负责</w:t>
      </w:r>
      <w:r>
        <w:rPr>
          <w:rFonts w:ascii="仿宋" w:eastAsia="仿宋" w:hAnsi="仿宋" w:cs="仿宋" w:hint="eastAsia"/>
          <w:sz w:val="28"/>
        </w:rPr>
        <w:t>48</w:t>
      </w:r>
      <w:r>
        <w:rPr>
          <w:rFonts w:ascii="仿宋" w:eastAsia="仿宋" w:hAnsi="仿宋" w:cs="仿宋" w:hint="eastAsia"/>
          <w:sz w:val="28"/>
        </w:rPr>
        <w:t>小时内到站对故障设备进行测试和更换，确保设备正常投入业务运行。</w:t>
      </w:r>
      <w:r>
        <w:rPr>
          <w:rFonts w:ascii="仿宋" w:eastAsia="仿宋" w:hAnsi="仿宋" w:cs="仿宋"/>
          <w:sz w:val="28"/>
        </w:rPr>
        <w:t>质保期过后，中标人以最优惠的价格提供技术服务（包括提供设备维护、备件等）</w:t>
      </w:r>
      <w:r>
        <w:rPr>
          <w:rFonts w:ascii="仿宋" w:eastAsia="仿宋" w:hAnsi="仿宋" w:cs="仿宋" w:hint="eastAsia"/>
          <w:sz w:val="28"/>
        </w:rPr>
        <w:t>，并提供远程技术服务等支持。</w:t>
      </w:r>
    </w:p>
    <w:p w:rsidR="005003F9">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5003F9">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w:t>
      </w:r>
      <w:r>
        <w:rPr>
          <w:rFonts w:ascii="仿宋" w:eastAsia="仿宋" w:hAnsi="仿宋" w:cs="仿宋" w:hint="eastAsia"/>
          <w:sz w:val="28"/>
          <w:szCs w:val="20"/>
        </w:rPr>
        <w:t>、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5003F9">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5</w:t>
      </w:r>
      <w:r>
        <w:rPr>
          <w:rFonts w:ascii="仿宋" w:eastAsia="仿宋" w:hAnsi="仿宋" w:cs="仿宋" w:hint="eastAsia"/>
          <w:sz w:val="28"/>
          <w:szCs w:val="20"/>
        </w:rPr>
        <w:t>次技术培训，培训人数不少于</w:t>
      </w:r>
      <w:r>
        <w:rPr>
          <w:rFonts w:ascii="仿宋" w:eastAsia="仿宋" w:hAnsi="仿宋" w:cs="仿宋" w:hint="eastAsia"/>
          <w:sz w:val="28"/>
          <w:szCs w:val="20"/>
        </w:rPr>
        <w:t>20</w:t>
      </w:r>
      <w:r>
        <w:rPr>
          <w:rFonts w:ascii="仿宋" w:eastAsia="仿宋" w:hAnsi="仿宋" w:cs="仿宋" w:hint="eastAsia"/>
          <w:sz w:val="28"/>
          <w:szCs w:val="20"/>
        </w:rPr>
        <w:t>人。培训内容包括设备安装、使用、日常维护、观测原理及产品应用，培训时间及地点双方协商确定。</w:t>
      </w:r>
    </w:p>
    <w:p w:rsidR="005003F9">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5003F9">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中标供应商将所有设备运送至天津市河西区友谊路</w:t>
      </w:r>
      <w:r>
        <w:rPr>
          <w:rFonts w:ascii="仿宋" w:eastAsia="仿宋" w:hAnsi="仿宋" w:cs="仿宋" w:hint="eastAsia"/>
          <w:sz w:val="28"/>
          <w:szCs w:val="20"/>
        </w:rPr>
        <w:t>62</w:t>
      </w:r>
      <w:r>
        <w:rPr>
          <w:rFonts w:ascii="仿宋" w:eastAsia="仿宋" w:hAnsi="仿宋" w:cs="仿宋" w:hint="eastAsia"/>
          <w:sz w:val="28"/>
          <w:szCs w:val="20"/>
        </w:rPr>
        <w:t>号</w:t>
      </w:r>
      <w:r>
        <w:rPr>
          <w:rFonts w:ascii="仿宋" w:eastAsia="仿宋" w:hAnsi="仿宋" w:cs="仿宋" w:hint="eastAsia"/>
          <w:sz w:val="28"/>
          <w:szCs w:val="20"/>
        </w:rPr>
        <w:t>、</w:t>
      </w:r>
      <w:r>
        <w:rPr>
          <w:rFonts w:ascii="仿宋" w:eastAsia="仿宋" w:hAnsi="仿宋" w:cs="仿宋" w:hint="eastAsia"/>
          <w:sz w:val="28"/>
          <w:szCs w:val="20"/>
        </w:rPr>
        <w:t>江西省南昌市高</w:t>
      </w:r>
      <w:r>
        <w:rPr>
          <w:rFonts w:ascii="仿宋" w:eastAsia="仿宋" w:hAnsi="仿宋" w:cs="仿宋" w:hint="eastAsia"/>
          <w:sz w:val="28"/>
          <w:szCs w:val="20"/>
        </w:rPr>
        <w:t>新区艾溪湖</w:t>
      </w:r>
      <w:r>
        <w:rPr>
          <w:rFonts w:ascii="仿宋" w:eastAsia="仿宋" w:hAnsi="仿宋" w:cs="仿宋" w:hint="eastAsia"/>
          <w:sz w:val="28"/>
          <w:szCs w:val="20"/>
        </w:rPr>
        <w:t>二路</w:t>
      </w:r>
      <w:r>
        <w:rPr>
          <w:rFonts w:ascii="仿宋" w:eastAsia="仿宋" w:hAnsi="仿宋" w:cs="仿宋" w:hint="eastAsia"/>
          <w:sz w:val="28"/>
          <w:szCs w:val="20"/>
        </w:rPr>
        <w:t>323</w:t>
      </w:r>
      <w:r>
        <w:rPr>
          <w:rFonts w:ascii="仿宋" w:eastAsia="仿宋" w:hAnsi="仿宋" w:cs="仿宋" w:hint="eastAsia"/>
          <w:sz w:val="28"/>
          <w:szCs w:val="20"/>
        </w:rPr>
        <w:t>号</w:t>
      </w:r>
      <w:r>
        <w:rPr>
          <w:rFonts w:ascii="仿宋" w:eastAsia="仿宋" w:hAnsi="仿宋" w:cs="仿宋" w:hint="eastAsia"/>
          <w:sz w:val="28"/>
          <w:szCs w:val="20"/>
        </w:rPr>
        <w:t>、</w:t>
      </w:r>
      <w:r>
        <w:rPr>
          <w:rFonts w:ascii="仿宋" w:eastAsia="仿宋" w:hAnsi="仿宋" w:cs="仿宋" w:hint="eastAsia"/>
          <w:sz w:val="28"/>
          <w:szCs w:val="20"/>
        </w:rPr>
        <w:t>黑龙江省伊春市丰林县五</w:t>
      </w:r>
      <w:r>
        <w:rPr>
          <w:rFonts w:ascii="仿宋" w:eastAsia="仿宋" w:hAnsi="仿宋" w:cs="仿宋" w:hint="eastAsia"/>
          <w:sz w:val="28"/>
          <w:szCs w:val="20"/>
        </w:rPr>
        <w:t>营镇丰林县气象局</w:t>
      </w:r>
      <w:r>
        <w:rPr>
          <w:rFonts w:ascii="仿宋" w:eastAsia="仿宋" w:hAnsi="仿宋" w:cs="仿宋" w:hint="eastAsia"/>
          <w:sz w:val="28"/>
          <w:szCs w:val="20"/>
        </w:rPr>
        <w:t>、</w:t>
      </w:r>
      <w:r>
        <w:rPr>
          <w:rFonts w:ascii="仿宋" w:eastAsia="仿宋" w:hAnsi="仿宋" w:cs="仿宋" w:hint="eastAsia"/>
          <w:sz w:val="28"/>
          <w:szCs w:val="20"/>
        </w:rPr>
        <w:t>广西南宁市邕宁区蒲庙镇张村</w:t>
      </w:r>
      <w:r>
        <w:rPr>
          <w:rFonts w:ascii="仿宋" w:eastAsia="仿宋" w:hAnsi="仿宋" w:cs="仿宋" w:hint="eastAsia"/>
          <w:sz w:val="28"/>
          <w:szCs w:val="20"/>
        </w:rPr>
        <w:t>、拉萨市林周县气象局、浙江省杭州市</w:t>
      </w:r>
      <w:r>
        <w:rPr>
          <w:rFonts w:ascii="仿宋" w:eastAsia="仿宋" w:hAnsi="仿宋" w:cs="仿宋" w:hint="eastAsia"/>
          <w:sz w:val="28"/>
          <w:szCs w:val="20"/>
        </w:rPr>
        <w:t>钱塘区</w:t>
      </w:r>
      <w:r>
        <w:rPr>
          <w:rFonts w:ascii="仿宋" w:eastAsia="仿宋" w:hAnsi="仿宋" w:cs="仿宋" w:hint="eastAsia"/>
          <w:sz w:val="28"/>
          <w:szCs w:val="20"/>
        </w:rPr>
        <w:t>11</w:t>
      </w:r>
      <w:r>
        <w:rPr>
          <w:rFonts w:ascii="仿宋" w:eastAsia="仿宋" w:hAnsi="仿宋" w:cs="仿宋" w:hint="eastAsia"/>
          <w:sz w:val="28"/>
          <w:szCs w:val="20"/>
        </w:rPr>
        <w:t>号大街</w:t>
      </w:r>
      <w:r>
        <w:rPr>
          <w:rFonts w:ascii="仿宋" w:eastAsia="仿宋" w:hAnsi="仿宋" w:cs="仿宋" w:hint="eastAsia"/>
          <w:sz w:val="28"/>
          <w:szCs w:val="20"/>
        </w:rPr>
        <w:t>8</w:t>
      </w:r>
      <w:r>
        <w:rPr>
          <w:rFonts w:ascii="仿宋" w:eastAsia="仿宋" w:hAnsi="仿宋" w:cs="仿宋" w:hint="eastAsia"/>
          <w:sz w:val="28"/>
          <w:szCs w:val="20"/>
        </w:rPr>
        <w:t>号、吉林省长春市绿园区</w:t>
      </w:r>
      <w:r>
        <w:rPr>
          <w:rFonts w:ascii="仿宋" w:eastAsia="仿宋" w:hAnsi="仿宋" w:cs="仿宋" w:hint="eastAsia"/>
          <w:sz w:val="28"/>
          <w:szCs w:val="20"/>
        </w:rPr>
        <w:t>绥</w:t>
      </w:r>
      <w:r>
        <w:rPr>
          <w:rFonts w:ascii="仿宋" w:eastAsia="仿宋" w:hAnsi="仿宋" w:cs="仿宋" w:hint="eastAsia"/>
          <w:sz w:val="28"/>
          <w:szCs w:val="20"/>
        </w:rPr>
        <w:t>中路</w:t>
      </w:r>
      <w:r>
        <w:rPr>
          <w:rFonts w:ascii="仿宋" w:eastAsia="仿宋" w:hAnsi="仿宋" w:cs="仿宋" w:hint="eastAsia"/>
          <w:sz w:val="28"/>
          <w:szCs w:val="20"/>
        </w:rPr>
        <w:t>176</w:t>
      </w:r>
      <w:r>
        <w:rPr>
          <w:rFonts w:ascii="仿宋" w:eastAsia="仿宋" w:hAnsi="仿宋" w:cs="仿宋" w:hint="eastAsia"/>
          <w:sz w:val="28"/>
          <w:szCs w:val="20"/>
        </w:rPr>
        <w:t>号、湖北省武汉市洪山区东湖东路</w:t>
      </w:r>
      <w:r>
        <w:rPr>
          <w:rFonts w:ascii="仿宋" w:eastAsia="仿宋" w:hAnsi="仿宋" w:cs="仿宋" w:hint="eastAsia"/>
          <w:sz w:val="28"/>
          <w:szCs w:val="20"/>
        </w:rPr>
        <w:t>3</w:t>
      </w:r>
      <w:r>
        <w:rPr>
          <w:rFonts w:ascii="仿宋" w:eastAsia="仿宋" w:hAnsi="仿宋" w:cs="仿宋" w:hint="eastAsia"/>
          <w:sz w:val="28"/>
          <w:szCs w:val="20"/>
        </w:rPr>
        <w:t>号，</w:t>
      </w:r>
      <w:r>
        <w:rPr>
          <w:rFonts w:ascii="仿宋" w:eastAsia="仿宋" w:hAnsi="仿宋" w:cs="仿宋" w:hint="eastAsia"/>
          <w:sz w:val="28"/>
          <w:szCs w:val="20"/>
        </w:rPr>
        <w:t>运输相关费用由供应商负责，并负责安装调试。</w:t>
      </w:r>
    </w:p>
    <w:p w:rsidR="005003F9">
      <w:pPr>
        <w:ind w:left="559" w:leftChars="266"/>
        <w:rPr>
          <w:rFonts w:ascii="仿宋" w:eastAsia="仿宋" w:hAnsi="仿宋" w:cs="仿宋"/>
          <w:b/>
          <w:bCs/>
          <w:sz w:val="28"/>
          <w:szCs w:val="20"/>
        </w:rPr>
      </w:pPr>
      <w:r w:rsidRPr="002A5F18">
        <w:rPr>
          <w:rFonts w:ascii="仿宋" w:eastAsia="仿宋" w:hAnsi="仿宋" w:cs="仿宋" w:hint="eastAsia"/>
          <w:sz w:val="28"/>
          <w:szCs w:val="20"/>
        </w:rPr>
        <w:t>合同签订后120天内交货，交货完成后30天内完成安装调试并具备验收条件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5003F9">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w:t>
      </w:r>
      <w:r>
        <w:rPr>
          <w:rFonts w:ascii="仿宋" w:eastAsia="仿宋" w:hAnsi="仿宋" w:cs="仿宋" w:hint="eastAsia"/>
          <w:sz w:val="28"/>
          <w:szCs w:val="20"/>
        </w:rPr>
        <w:t>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w:t>
      </w:r>
      <w:r>
        <w:rPr>
          <w:rFonts w:ascii="仿宋" w:eastAsia="仿宋" w:hAnsi="仿宋" w:cs="仿宋" w:hint="eastAsia"/>
          <w:sz w:val="28"/>
          <w:szCs w:val="20"/>
        </w:rPr>
        <w:t>关人员为退休人员的，可提供聘用合同）。</w:t>
      </w:r>
    </w:p>
    <w:p w:rsidR="005003F9">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5003F9">
      <w:pPr>
        <w:ind w:firstLine="560" w:firstLineChars="200"/>
        <w:rPr>
          <w:rFonts w:ascii="仿宋" w:eastAsia="仿宋" w:hAnsi="仿宋" w:cs="仿宋"/>
          <w:sz w:val="28"/>
          <w:szCs w:val="20"/>
        </w:rPr>
      </w:pPr>
      <w:r>
        <w:rPr>
          <w:rFonts w:ascii="仿宋" w:eastAsia="仿宋" w:hAnsi="仿宋" w:cs="仿宋" w:hint="eastAsia"/>
          <w:sz w:val="28"/>
        </w:rPr>
        <w:t>投标产品硬件需兼容性强，投标人对台站现有的运行设备型号有较强的兼容性</w:t>
      </w:r>
      <w:r>
        <w:rPr>
          <w:rFonts w:ascii="仿宋" w:eastAsia="仿宋" w:hAnsi="仿宋" w:cs="仿宋" w:hint="eastAsia"/>
          <w:sz w:val="28"/>
          <w:szCs w:val="20"/>
        </w:rPr>
        <w:t>，</w:t>
      </w:r>
      <w:r>
        <w:rPr>
          <w:rFonts w:ascii="仿宋" w:eastAsia="仿宋" w:hAnsi="仿宋" w:cs="仿宋" w:hint="eastAsia"/>
          <w:sz w:val="28"/>
        </w:rPr>
        <w:t>设备数据传输模式、数据格式、数据通讯协议满足国家局下发</w:t>
      </w:r>
      <w:r>
        <w:rPr>
          <w:rFonts w:ascii="仿宋" w:eastAsia="仿宋" w:hAnsi="仿宋" w:cs="仿宋" w:hint="eastAsia"/>
          <w:sz w:val="28"/>
        </w:rPr>
        <w:t>相关要求，</w:t>
      </w:r>
      <w:r>
        <w:rPr>
          <w:rFonts w:ascii="仿宋" w:eastAsia="仿宋" w:hAnsi="仿宋" w:cs="仿宋" w:hint="eastAsia"/>
          <w:sz w:val="28"/>
        </w:rPr>
        <w:t>设备观测数据</w:t>
      </w:r>
      <w:r>
        <w:rPr>
          <w:rFonts w:ascii="仿宋" w:eastAsia="仿宋" w:hAnsi="仿宋" w:cs="仿宋" w:hint="eastAsia"/>
          <w:sz w:val="28"/>
          <w:szCs w:val="20"/>
        </w:rPr>
        <w:t>完全符合甲方相关要求和规范，保证其系统的兼容性和功能的完整性。</w:t>
      </w:r>
    </w:p>
    <w:p w:rsidR="005003F9">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5003F9">
      <w:pPr>
        <w:ind w:firstLine="560" w:firstLineChars="200"/>
        <w:rPr>
          <w:rFonts w:ascii="仿宋" w:eastAsia="仿宋" w:hAnsi="仿宋" w:cs="仿宋"/>
          <w:sz w:val="28"/>
          <w:szCs w:val="20"/>
        </w:rPr>
      </w:pPr>
      <w:r>
        <w:rPr>
          <w:rFonts w:ascii="仿宋" w:eastAsia="仿宋" w:hAnsi="仿宋" w:cs="仿宋" w:hint="eastAsia"/>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3B2A6E">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3B2A6E">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4168D">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3B2A6E">
            <w:pPr>
              <w:rPr>
                <w:sz w:val="18"/>
                <w:szCs w:val="18"/>
              </w:rPr>
            </w:pPr>
            <w:r>
              <w:rPr>
                <w:rFonts w:hint="eastAsia"/>
                <w:sz w:val="18"/>
                <w:szCs w:val="18"/>
              </w:rPr>
              <w:t>序号</w:t>
            </w:r>
          </w:p>
        </w:tc>
        <w:tc>
          <w:tcPr>
            <w:tcW w:w="898" w:type="dxa"/>
            <w:vAlign w:val="center"/>
          </w:tcPr>
          <w:p w:rsidR="003B2A6E">
            <w:pPr>
              <w:jc w:val="center"/>
              <w:rPr>
                <w:sz w:val="18"/>
                <w:szCs w:val="18"/>
              </w:rPr>
            </w:pPr>
            <w:r>
              <w:rPr>
                <w:rFonts w:hint="eastAsia"/>
                <w:sz w:val="18"/>
                <w:szCs w:val="18"/>
              </w:rPr>
              <w:t>对应</w:t>
            </w:r>
          </w:p>
          <w:p w:rsidR="003B2A6E">
            <w:pPr>
              <w:jc w:val="center"/>
              <w:rPr>
                <w:sz w:val="18"/>
                <w:szCs w:val="18"/>
              </w:rPr>
            </w:pPr>
            <w:r>
              <w:rPr>
                <w:rFonts w:hint="eastAsia"/>
                <w:sz w:val="18"/>
                <w:szCs w:val="18"/>
              </w:rPr>
              <w:t>条款号</w:t>
            </w:r>
          </w:p>
        </w:tc>
        <w:tc>
          <w:tcPr>
            <w:tcW w:w="7347" w:type="dxa"/>
            <w:vAlign w:val="center"/>
          </w:tcPr>
          <w:p w:rsidR="003B2A6E">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4168D">
        <w:tblPrEx>
          <w:tblW w:w="8789" w:type="dxa"/>
          <w:tblLayout w:type="fixed"/>
          <w:tblLook w:val="04A0"/>
        </w:tblPrEx>
        <w:trPr>
          <w:cantSplit/>
        </w:trPr>
        <w:tc>
          <w:tcPr>
            <w:tcW w:w="8789" w:type="dxa"/>
            <w:gridSpan w:val="3"/>
            <w:vAlign w:val="center"/>
          </w:tcPr>
          <w:p w:rsidR="003B2A6E">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4168D">
        <w:tblPrEx>
          <w:tblW w:w="8789" w:type="dxa"/>
          <w:tblLayout w:type="fixed"/>
          <w:tblLook w:val="04A0"/>
        </w:tblPrEx>
        <w:trPr>
          <w:cantSplit/>
        </w:trPr>
        <w:tc>
          <w:tcPr>
            <w:tcW w:w="544" w:type="dxa"/>
            <w:vAlign w:val="center"/>
          </w:tcPr>
          <w:p w:rsidR="003B2A6E">
            <w:pPr>
              <w:numPr>
                <w:ilvl w:val="0"/>
                <w:numId w:val="14"/>
              </w:numPr>
              <w:rPr>
                <w:rFonts w:ascii="宋体" w:hAnsi="宋体"/>
                <w:sz w:val="18"/>
                <w:szCs w:val="18"/>
              </w:rPr>
            </w:pPr>
          </w:p>
        </w:tc>
        <w:tc>
          <w:tcPr>
            <w:tcW w:w="898" w:type="dxa"/>
            <w:vAlign w:val="center"/>
          </w:tcPr>
          <w:p w:rsidR="003B2A6E">
            <w:pPr>
              <w:jc w:val="center"/>
              <w:rPr>
                <w:rFonts w:ascii="宋体" w:hAnsi="宋体"/>
                <w:sz w:val="18"/>
                <w:szCs w:val="18"/>
              </w:rPr>
            </w:pPr>
          </w:p>
        </w:tc>
        <w:tc>
          <w:tcPr>
            <w:tcW w:w="7347" w:type="dxa"/>
          </w:tcPr>
          <w:p w:rsidR="003B2A6E">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E4168D">
        <w:tblPrEx>
          <w:tblW w:w="8789" w:type="dxa"/>
          <w:tblLayout w:type="fixed"/>
          <w:tblLook w:val="04A0"/>
        </w:tblPrEx>
        <w:trPr>
          <w:cantSplit/>
        </w:trPr>
        <w:tc>
          <w:tcPr>
            <w:tcW w:w="8789" w:type="dxa"/>
            <w:gridSpan w:val="3"/>
            <w:vAlign w:val="center"/>
          </w:tcPr>
          <w:p w:rsidR="003B2A6E">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4168D">
        <w:tblPrEx>
          <w:tblW w:w="8789" w:type="dxa"/>
          <w:tblLayout w:type="fixed"/>
          <w:tblLook w:val="04A0"/>
        </w:tblPrEx>
        <w:trPr>
          <w:cantSplit/>
        </w:trPr>
        <w:tc>
          <w:tcPr>
            <w:tcW w:w="544" w:type="dxa"/>
            <w:vAlign w:val="center"/>
          </w:tcPr>
          <w:p w:rsidR="003B2A6E">
            <w:pPr>
              <w:numPr>
                <w:ilvl w:val="0"/>
                <w:numId w:val="14"/>
              </w:numPr>
              <w:rPr>
                <w:rFonts w:ascii="宋体" w:hAnsi="宋体"/>
                <w:sz w:val="18"/>
                <w:szCs w:val="18"/>
              </w:rPr>
            </w:pPr>
          </w:p>
        </w:tc>
        <w:tc>
          <w:tcPr>
            <w:tcW w:w="898" w:type="dxa"/>
            <w:vAlign w:val="center"/>
          </w:tcPr>
          <w:p w:rsidR="003B2A6E">
            <w:pPr>
              <w:jc w:val="center"/>
              <w:rPr>
                <w:rFonts w:ascii="宋体" w:hAnsi="宋体"/>
                <w:sz w:val="18"/>
                <w:szCs w:val="18"/>
              </w:rPr>
            </w:pPr>
            <w:r>
              <w:rPr>
                <w:rFonts w:ascii="宋体" w:hAnsi="宋体" w:hint="eastAsia"/>
                <w:sz w:val="18"/>
                <w:szCs w:val="18"/>
              </w:rPr>
              <w:t>第七章第四节</w:t>
            </w:r>
          </w:p>
          <w:p w:rsidR="003B2A6E">
            <w:pPr>
              <w:jc w:val="center"/>
              <w:rPr>
                <w:rFonts w:ascii="宋体" w:hAnsi="宋体"/>
                <w:sz w:val="18"/>
                <w:szCs w:val="18"/>
              </w:rPr>
            </w:pPr>
            <w:r>
              <w:rPr>
                <w:rFonts w:ascii="宋体" w:hAnsi="宋体" w:hint="eastAsia"/>
                <w:sz w:val="18"/>
                <w:szCs w:val="18"/>
              </w:rPr>
              <w:t>第</w:t>
            </w:r>
            <w:r>
              <w:rPr>
                <w:rFonts w:ascii="宋体" w:hAnsi="宋体" w:hint="eastAsia"/>
                <w:sz w:val="18"/>
                <w:szCs w:val="18"/>
              </w:rPr>
              <w:t>2</w:t>
            </w:r>
            <w:r>
              <w:rPr>
                <w:rFonts w:ascii="宋体" w:hAnsi="宋体" w:hint="eastAsia"/>
                <w:sz w:val="18"/>
                <w:szCs w:val="18"/>
              </w:rPr>
              <w:t>条</w:t>
            </w:r>
          </w:p>
        </w:tc>
        <w:tc>
          <w:tcPr>
            <w:tcW w:w="7347" w:type="dxa"/>
            <w:vAlign w:val="center"/>
          </w:tcPr>
          <w:p w:rsidR="003B2A6E">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年的质保服务，需提供设备质</w:t>
            </w:r>
            <w:r>
              <w:rPr>
                <w:rFonts w:ascii="宋体" w:hAnsi="宋体" w:cs="微软雅黑" w:hint="eastAsia"/>
                <w:b/>
                <w:color w:val="0000FF"/>
                <w:kern w:val="0"/>
                <w:sz w:val="18"/>
                <w:szCs w:val="18"/>
              </w:rPr>
              <w:t>保承诺</w:t>
            </w:r>
            <w:r>
              <w:rPr>
                <w:rFonts w:ascii="宋体" w:hAnsi="宋体" w:cs="微软雅黑" w:hint="eastAsia"/>
                <w:b/>
                <w:color w:val="0000FF"/>
                <w:kern w:val="0"/>
                <w:sz w:val="18"/>
                <w:szCs w:val="18"/>
              </w:rPr>
              <w:t>函原件（格式自拟）。</w:t>
            </w:r>
          </w:p>
        </w:tc>
      </w:tr>
    </w:tbl>
    <w:p w:rsidR="003B2A6E">
      <w:pPr>
        <w:spacing w:before="156" w:beforeLines="50" w:line="360" w:lineRule="auto"/>
        <w:ind w:firstLine="420"/>
      </w:pPr>
      <w:r>
        <w:rPr>
          <w:rFonts w:ascii="宋体" w:hAnsi="宋体" w:hint="eastAsia"/>
          <w:szCs w:val="21"/>
        </w:rPr>
        <w:t>注：根据项目具体情</w:t>
      </w:r>
      <w:r>
        <w:rPr>
          <w:rFonts w:ascii="宋体" w:hAnsi="宋体" w:hint="eastAsia"/>
          <w:szCs w:val="21"/>
        </w:rPr>
        <w:t>况，对投标人有具体要求，且投标人必须遵守的，逐条列出。</w:t>
      </w:r>
    </w:p>
    <w:p w:rsidR="00A77B3E"/>
    <w:p w:rsidR="003B2A6E">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left="630" w:firstLine="0" w:leftChars="300" w:firstLineChars="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1.</w:t>
      </w:r>
      <w:r>
        <w:rPr>
          <w:rFonts w:ascii="宋体" w:hAnsi="宋体" w:hint="eastAsia"/>
          <w:szCs w:val="21"/>
          <w:highlight w:val="none"/>
          <w:u w:val="single"/>
        </w:rPr>
        <w:t xml:space="preserve"> </w:t>
      </w:r>
      <w:r>
        <w:rPr>
          <w:rFonts w:ascii="宋体" w:hAnsi="宋体" w:hint="eastAsia"/>
          <w:szCs w:val="21"/>
          <w:highlight w:val="none"/>
          <w:u w:val="single"/>
          <w:lang w:val="en-US" w:eastAsia="zh-CN"/>
        </w:rPr>
        <w:t>合同生效后付款：双方签署合同后7个工作日内，甲方向乙方支付合同总金额的85%，即：                  （大写），              （小写）</w:t>
      </w:r>
      <w:r>
        <w:rPr>
          <w:rFonts w:ascii="宋体" w:hAnsi="宋体" w:hint="eastAsia"/>
          <w:szCs w:val="21"/>
          <w:highlight w:val="none"/>
          <w:u w:val="single"/>
        </w:rPr>
        <w:t xml:space="preserve"> </w:t>
      </w:r>
      <w:r>
        <w:rPr>
          <w:rFonts w:ascii="宋体" w:hAnsi="宋体" w:hint="eastAsia"/>
          <w:szCs w:val="21"/>
          <w:highlight w:val="none"/>
          <w:lang w:eastAsia="zh-CN"/>
        </w:rPr>
        <w:t>。</w:t>
      </w:r>
    </w:p>
    <w:p>
      <w:pPr>
        <w:snapToGrid w:val="0"/>
        <w:spacing w:line="400" w:lineRule="exact"/>
        <w:ind w:left="630" w:firstLine="0" w:leftChars="300" w:firstLineChars="0"/>
        <w:rPr>
          <w:rFonts w:ascii="宋体" w:hAnsi="宋体" w:hint="eastAsia"/>
          <w:szCs w:val="21"/>
          <w:highlight w:val="none"/>
          <w:u w:val="single"/>
        </w:rPr>
      </w:pPr>
      <w:r>
        <w:rPr>
          <w:rFonts w:ascii="宋体" w:hAnsi="宋体" w:hint="eastAsia"/>
          <w:szCs w:val="21"/>
          <w:highlight w:val="none"/>
          <w:u w:val="single"/>
          <w:lang w:val="en-US" w:eastAsia="zh-CN"/>
        </w:rPr>
        <w:t>2.到货检验后，双方签订验收报告后，7个工作日内，甲方向乙方支付合同金额的15%，即：                  （大写），              （小写）</w:t>
      </w:r>
      <w:r>
        <w:rPr>
          <w:rFonts w:ascii="宋体" w:hAnsi="宋体" w:hint="eastAsia"/>
          <w:szCs w:val="21"/>
          <w:highlight w:val="none"/>
          <w:u w:val="single"/>
        </w:rPr>
        <w:t xml:space="preserve"> </w:t>
      </w:r>
      <w:r>
        <w:rPr>
          <w:rFonts w:ascii="宋体" w:hAnsi="宋体" w:hint="eastAsia"/>
          <w:szCs w:val="21"/>
          <w:highlight w:val="none"/>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adjustRightInd w:val="0"/>
        <w:snapToGrid w:val="0"/>
        <w:spacing w:line="400" w:lineRule="exact"/>
        <w:ind w:firstLine="630" w:firstLineChars="300"/>
        <w:rPr>
          <w:rFonts w:ascii="宋体" w:hAnsi="宋体" w:hint="eastAsia"/>
          <w:szCs w:val="21"/>
          <w:highlight w:val="none"/>
          <w:u w:val="single"/>
        </w:rPr>
      </w:pPr>
    </w:p>
    <w:p>
      <w:pPr>
        <w:adjustRightInd w:val="0"/>
        <w:snapToGrid w:val="0"/>
        <w:spacing w:line="400" w:lineRule="exact"/>
        <w:ind w:firstLine="630" w:firstLineChars="300"/>
        <w:rPr>
          <w:rFonts w:ascii="宋体" w:hAnsi="宋体" w:hint="eastAsia"/>
          <w:b/>
          <w:bCs/>
          <w:szCs w:val="21"/>
          <w:highlight w:val="none"/>
          <w:u w:val="none"/>
        </w:rPr>
      </w:pPr>
      <w:r>
        <w:rPr>
          <w:rFonts w:ascii="宋体" w:hAnsi="宋体" w:hint="eastAsia"/>
          <w:b/>
          <w:bCs/>
          <w:szCs w:val="21"/>
          <w:highlight w:val="none"/>
          <w:u w:val="none"/>
          <w:lang w:val="en-US" w:eastAsia="zh-CN"/>
        </w:rPr>
        <w:t>江西省气象探测中心按以下方式付款：</w:t>
      </w:r>
    </w:p>
    <w:p>
      <w:pPr>
        <w:snapToGrid w:val="0"/>
        <w:spacing w:line="400" w:lineRule="exact"/>
        <w:ind w:left="630" w:firstLine="0" w:leftChars="300" w:firstLineChars="0"/>
        <w:rPr>
          <w:rFonts w:ascii="宋体" w:hAnsi="宋体" w:hint="default"/>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1.合同生效后付款：双方签署合同后20个工作日内，乙方向甲方提供合同总金额10%即人民币             元（大写）              （小写）的履约保函或保证金。乙方向甲方开具合同总金额的 95% 即人民币                元（大写）   </w:t>
      </w:r>
    </w:p>
    <w:p>
      <w:pPr>
        <w:snapToGrid w:val="0"/>
        <w:spacing w:line="400" w:lineRule="exact"/>
        <w:ind w:left="630" w:firstLine="0" w:leftChars="300" w:firstLineChars="0"/>
        <w:rPr>
          <w:rFonts w:ascii="宋体" w:hAnsi="宋体" w:hint="default"/>
          <w:szCs w:val="21"/>
          <w:highlight w:val="none"/>
        </w:rPr>
      </w:pPr>
      <w:r>
        <w:rPr>
          <w:rFonts w:ascii="宋体" w:hAnsi="宋体" w:hint="eastAsia"/>
          <w:szCs w:val="21"/>
          <w:highlight w:val="none"/>
          <w:u w:val="single"/>
          <w:lang w:val="en-US" w:eastAsia="zh-CN"/>
        </w:rPr>
        <w:t xml:space="preserve">                    （小写）的增值税发票，同时甲方向乙方支付相应金额款项。  </w:t>
      </w:r>
    </w:p>
    <w:p>
      <w:pPr>
        <w:snapToGrid w:val="0"/>
        <w:spacing w:line="400" w:lineRule="exact"/>
        <w:ind w:left="630" w:firstLine="0" w:leftChars="300" w:firstLineChars="0"/>
        <w:rPr>
          <w:rFonts w:ascii="宋体" w:hAnsi="宋体" w:hint="eastAsia"/>
          <w:szCs w:val="21"/>
          <w:highlight w:val="none"/>
          <w:u w:val="single"/>
        </w:rPr>
      </w:pPr>
      <w:r>
        <w:rPr>
          <w:rFonts w:ascii="宋体" w:hAnsi="宋体" w:hint="eastAsia"/>
          <w:szCs w:val="21"/>
          <w:highlight w:val="none"/>
          <w:u w:val="single"/>
          <w:lang w:val="en-US" w:eastAsia="zh-CN"/>
        </w:rPr>
        <w:t>2.到货后付款：设备到货、签收后 20个工作日内，乙方向甲方开具合同总金额的 5% 即人民币               元（大写）              元（小写） 的增值税发票，同时甲方向乙方支付相应金额款项。</w:t>
      </w:r>
    </w:p>
    <w:p>
      <w:pPr>
        <w:snapToGrid w:val="0"/>
        <w:spacing w:line="400" w:lineRule="exact"/>
        <w:ind w:left="630" w:firstLine="0" w:leftChars="300" w:firstLineChars="0"/>
        <w:rPr>
          <w:rFonts w:ascii="宋体" w:hAnsi="宋体" w:hint="default"/>
          <w:szCs w:val="21"/>
          <w:highlight w:val="none"/>
          <w:u w:val="single"/>
        </w:rPr>
      </w:pPr>
      <w:r>
        <w:rPr>
          <w:rFonts w:ascii="宋体" w:hAnsi="宋体" w:hint="eastAsia"/>
          <w:szCs w:val="21"/>
          <w:highlight w:val="none"/>
          <w:u w:val="single"/>
          <w:lang w:val="en-US" w:eastAsia="zh-CN"/>
        </w:rPr>
        <w:t xml:space="preserve">3.履约验收一年后，甲方将履约保函或保证金无息退还乙方。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r>
        <w:rPr>
          <w:rFonts w:ascii="宋体" w:hAnsi="宋体" w:hint="eastAsia"/>
          <w:b/>
          <w:szCs w:val="21"/>
          <w:highlight w:val="none"/>
          <w:lang w:val="en-US" w:eastAsia="zh-CN"/>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NewRomanPSMT">
    <w:altName w:val="Times New Roman"/>
    <w:panose1 w:val="00000000000000000000"/>
    <w:charset w:val="00"/>
    <w:family w:val="roman"/>
    <w:pitch w:val="default"/>
    <w:sig w:usb0="00000000" w:usb1="00000000" w:usb2="00000000" w:usb3="00000000" w:csb0="00040001"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5F18"/>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2A6E"/>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3F9"/>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character" w:customStyle="1" w:styleId="fontstyle01">
    <w:name w:val="fontstyle01"/>
    <w:rPr>
      <w:rFonts w:ascii="宋体" w:eastAsia="宋体" w:hAnsi="宋体"/>
      <w:color w:val="000000"/>
      <w:sz w:val="22"/>
      <w:szCs w:val="22"/>
    </w:rPr>
  </w:style>
  <w:style w:type="character" w:customStyle="1" w:styleId="fontstyle11">
    <w:name w:val="fontstyle11"/>
    <w:rPr>
      <w:rFonts w:ascii="TimesNewRomanPSMT" w:hAnsi="TimesNewRomanPSMT"/>
      <w:color w:val="00000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