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2026年中国气象局综合管理系统业务维护项目-2026年电子公文系统运维服务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ZQCD-26140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2026年中国气象局综合管理系统业务维护项目-2026年电子公文系统运维服务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ZQCD-26140</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自合同签订之日起至合同期结束履约</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2026年07月13日 00:00:00</w:t>
      </w:r>
      <w:bookmarkEnd w:id="26"/>
      <w:r>
        <w:rPr>
          <w:rFonts w:ascii="宋体" w:hint="eastAsia"/>
          <w:szCs w:val="21"/>
          <w:highlight w:val="none"/>
        </w:rPr>
        <w:t>至</w:t>
      </w:r>
      <w:bookmarkStart w:id="27" w:name="项目公告_signUpLastTime"/>
      <w:r>
        <w:rPr>
          <w:rFonts w:ascii="宋体" w:hint="eastAsia"/>
          <w:szCs w:val="21"/>
          <w:highlight w:val="none"/>
        </w:rPr>
        <w:t>2026年07月20日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2026年08月07日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王甫棣</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010-58994129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3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3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（1）标的：2026年中国气象局综合管理系统业务维护项目-2026年电子公文系统运维服务，属于 软件和信息技术服务业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是，代理服务费：1.8万元。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135.000000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135.000000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(8)</w:t>
            </w:r>
          </w:p>
        </w:tc>
        <w:tc>
          <w:tcPr/>
          <w:p>
            <w:r>
              <w:t>评审标准：</w:t>
            </w:r>
          </w:p>
          <w:p>
            <w:r>
              <w:t>1、投标人具有 ISO9000系列或GJB9001B质量管理体系认证；</w:t>
              <w:cr/>
              <w:t>2、投标人具有ISO20000信息技术服务管理体系认证；</w:t>
              <w:cr/>
              <w:t>3、投标人具有ISO27001信息安全管理体系认证或或信息安全服务资质认证；</w:t>
              <w:cr/>
              <w:t>4、投标人具有ISO22301业务连续性管理体系认证；</w:t>
              <w:cr/>
              <w:t>每提供1个得2分，最高得8分。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服务团队（客观分）</w:t>
            </w:r>
          </w:p>
        </w:tc>
        <w:tc>
          <w:tcPr/>
          <w:p>
            <w:r>
              <w:t>区间打分</w:t>
            </w:r>
            <w:r>
              <w:t>(16)</w:t>
            </w:r>
          </w:p>
        </w:tc>
        <w:tc>
          <w:tcPr/>
          <w:p>
            <w:r>
              <w:t>评审标准：</w:t>
            </w:r>
          </w:p>
          <w:p>
            <w:r>
              <w:t>投标人应组成本项目服务团队，团队组织结构清晰，应设服务团队负责人（项目经理），人员专业背景齐全。具体如下：</w:t>
              <w:cr/>
              <w:t>1、组成不少于 3 人的服务团队，且驻场人员不少于3人，完全满足得4分，否则不得分；</w:t>
              <w:cr/>
              <w:t>1、项目经理具有信息系统项目管理师证书，得4分，否则不得分；</w:t>
              <w:cr/>
              <w:t>2、其他团队成员中（不含项目经理）每有一人具有高级信息安全管理工程师，得2分，最多得4分；</w:t>
              <w:cr/>
              <w:t>3、其他团队成员中（不含项目经理）每有一人具有高级软件测试工程师，得2分，最多得4分。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质量保障与实施方案（主观分）</w:t>
            </w:r>
          </w:p>
        </w:tc>
        <w:tc>
          <w:tcPr/>
          <w:p>
            <w:r>
              <w:t>勾选打分</w:t>
            </w:r>
            <w:r>
              <w:t>(4)</w:t>
            </w:r>
          </w:p>
        </w:tc>
        <w:tc>
          <w:tcPr/>
          <w:p>
            <w:r>
              <w:t>评审标准：</w:t>
            </w:r>
          </w:p>
          <w:p>
            <w:r>
              <w:t>一档0分</w:t>
              <w:cr/>
              <w:t>二档1分</w:t>
              <w:cr/>
              <w:t>三档2分</w:t>
              <w:cr/>
              <w:t>四档4分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6</w:t>
            </w:r>
          </w:p>
        </w:tc>
        <w:tc>
          <w:tcPr>
            <w:vMerge/>
          </w:tcPr>
          <w:p>
            <w:r>
              <w:t>服务部分</w:t>
            </w:r>
          </w:p>
        </w:tc>
        <w:tc>
          <w:tcPr/>
          <w:p>
            <w:r>
              <w:t>项目需求分析</w:t>
            </w:r>
          </w:p>
        </w:tc>
        <w:tc>
          <w:tcPr/>
          <w:p>
            <w:r>
              <w:t>勾选打分</w:t>
            </w:r>
            <w:r>
              <w:t>(4)</w:t>
            </w:r>
          </w:p>
        </w:tc>
        <w:tc>
          <w:tcPr/>
          <w:p>
            <w:r>
              <w:t>评审标准：</w:t>
            </w:r>
          </w:p>
          <w:p>
            <w:r>
              <w:t>一档0分</w:t>
              <w:cr/>
              <w:t>二档1分</w:t>
              <w:cr/>
              <w:t>三档2分</w:t>
              <w:cr/>
              <w:t>四档4分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7</w:t>
            </w:r>
          </w:p>
        </w:tc>
        <w:tc>
          <w:tcPr>
            <w:vMerge/>
          </w:tcPr>
          <w:p>
            <w:r>
              <w:t>服务部分</w:t>
            </w:r>
          </w:p>
        </w:tc>
        <w:tc>
          <w:tcPr/>
          <w:p>
            <w:r>
              <w:t>培训方案</w:t>
            </w:r>
          </w:p>
        </w:tc>
        <w:tc>
          <w:tcPr/>
          <w:p>
            <w:r>
              <w:t>勾选打分</w:t>
            </w:r>
            <w:r>
              <w:t>(4)</w:t>
            </w:r>
          </w:p>
        </w:tc>
        <w:tc>
          <w:tcPr/>
          <w:p>
            <w:r>
              <w:t>评审标准：</w:t>
            </w:r>
          </w:p>
          <w:p>
            <w:r>
              <w:t>一档0分</w:t>
              <w:cr/>
              <w:t>二档1分</w:t>
              <w:cr/>
              <w:t>三档2分</w:t>
              <w:cr/>
              <w:t>四档4分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(4)</w:t>
            </w:r>
          </w:p>
        </w:tc>
        <w:tc>
          <w:tcPr/>
          <w:p>
            <w:r>
              <w:t>评审标准：</w:t>
            </w:r>
          </w:p>
          <w:p>
            <w:r>
              <w:t>一档0分</w:t>
              <w:cr/>
              <w:t>二档1分</w:t>
              <w:cr/>
              <w:t>三档2分</w:t>
              <w:cr/>
              <w:t>四档4分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具体服务方案（主观分）</w:t>
            </w:r>
          </w:p>
        </w:tc>
        <w:tc>
          <w:tcPr/>
          <w:p>
            <w:r>
              <w:t>区间打分</w:t>
            </w:r>
            <w:r>
              <w:t>(20)</w:t>
            </w:r>
          </w:p>
        </w:tc>
        <w:tc>
          <w:tcPr/>
          <w:p>
            <w:r>
              <w:t>评审标准：</w:t>
            </w:r>
          </w:p>
          <w:p>
            <w:r>
              <w:t>针对以下每项服务内容提交具体服务方案：</w:t>
              <w:cr/>
              <w:t>1、运维服务方案</w:t>
              <w:cr/>
              <w:t>2、系统巡检方案</w:t>
              <w:cr/>
              <w:t>3、值班检查方案</w:t>
              <w:cr/>
              <w:t>4、业务变更方案</w:t>
              <w:cr/>
              <w:t>5、应急故障处理方案</w:t>
              <w:cr/>
              <w:t>6、安全保密方案</w:t>
              <w:cr/>
              <w:t>7、公文管理子系统功能优化方案</w:t>
              <w:cr/>
              <w:t>8、突发事件管理子系统功能优化和技术支持服务</w:t>
              <w:cr/>
              <w:t>9、要情管理子系统功能优化和技术支持服务</w:t>
              <w:cr/>
              <w:t>10、电子签章系统功能优化和技术支持服务</w:t>
              <w:cr/>
              <w:t>以上每项服务内容：</w:t>
              <w:cr/>
              <w:t>一档0分</w:t>
              <w:cr/>
              <w:t>二档0.5分</w:t>
              <w:cr/>
              <w:t>三档1分</w:t>
              <w:cr/>
              <w:t>四档2分</w:t>
              <w:cr/>
              <w:t>以上共计10项服务内容，满分20分。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10</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bl>
    <w:p w:rsidR="00A77B3E">
      <w:r>
        <w:t xml:space="preserve">      </w:t>
      </w:r>
    </w:p>
    <w:p w:rsidR="00A77B3E"/>
    <w:p w:rsidR="00A77B3E">
      <w:bookmarkEnd w:id="57"/>
    </w:p>
    <w:p>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pStyle w:val="Heading1"/>
        <w:numPr>
          <w:ilvl w:val="0"/>
          <w:numId w:val="4"/>
        </w:numPr>
        <w:spacing w:before="120" w:after="120" w:line="480" w:lineRule="auto"/>
        <w:ind w:left="505" w:hanging="505"/>
        <w:rPr>
          <w:rFonts w:ascii="宋体" w:hAnsi="宋体"/>
          <w:sz w:val="28"/>
        </w:rPr>
      </w:pPr>
      <w:bookmarkStart w:id="59" w:name="_Toc136003995"/>
      <w:bookmarkStart w:id="60" w:name="_Toc531336028"/>
      <w:bookmarkStart w:id="61" w:name="_Toc1387"/>
      <w:r>
        <w:rPr>
          <w:rFonts w:ascii="宋体" w:hAnsi="宋体" w:hint="eastAsia"/>
          <w:sz w:val="28"/>
        </w:rPr>
        <w:t>项目背景</w:t>
      </w:r>
      <w:bookmarkEnd w:id="59"/>
      <w:bookmarkEnd w:id="60"/>
      <w:bookmarkEnd w:id="61"/>
    </w:p>
    <w:p>
      <w:pPr>
        <w:tabs>
          <w:tab w:val="left" w:pos="5580"/>
        </w:tabs>
        <w:spacing w:line="360" w:lineRule="auto"/>
        <w:ind w:firstLine="480" w:firstLineChars="200"/>
        <w:rPr>
          <w:rFonts w:ascii="宋体" w:hAnsi="宋体"/>
        </w:rPr>
      </w:pPr>
      <w:bookmarkStart w:id="62" w:name="_Toc531336029"/>
      <w:r>
        <w:rPr>
          <w:rFonts w:ascii="宋体" w:hAnsi="宋体" w:hint="eastAsia"/>
          <w:sz w:val="24"/>
          <w:szCs w:val="24"/>
        </w:rPr>
        <w:t>电子公文系统运行网络环境全部依托气象业务网和国省集约化资源池，由公文管理子系统、突发事件管理子系统、要情管理子系统等应用软件，及配套软件电子签章组成。该系统实现气象部门公文及专项信息的无纸化拟制和办理，与气象管理数据中心、信息门户、督查督办等部门内系统对接协同，实现气象部门专项电子文件的集中起草、流转与发布，显著提高公文及专项事项处理效率，大幅缩短流转周期。系统全面适配国产化软硬件环境，为电子文件规范化处理、安全运转等提供了坚实底座。</w:t>
      </w:r>
    </w:p>
    <w:p>
      <w:pPr>
        <w:tabs>
          <w:tab w:val="left" w:pos="5580"/>
        </w:tabs>
        <w:spacing w:line="360" w:lineRule="auto"/>
        <w:ind w:firstLine="480" w:firstLineChars="200"/>
        <w:rPr>
          <w:rFonts w:ascii="宋体" w:hAnsi="宋体"/>
        </w:rPr>
      </w:pPr>
      <w:r>
        <w:rPr>
          <w:rFonts w:ascii="宋体" w:hAnsi="宋体" w:hint="eastAsia"/>
          <w:sz w:val="24"/>
          <w:szCs w:val="24"/>
        </w:rPr>
        <w:t>为了使得电子公文系统及应用在全国气象部门正常运行，需要开展所有软件的支持工作，包括：软件运维、服务运行环境保障、系统支持等。同时，还通过本项目满足电子签章系统的技术支持。</w:t>
      </w:r>
    </w:p>
    <w:p>
      <w:pPr>
        <w:pStyle w:val="Heading1"/>
        <w:numPr>
          <w:ilvl w:val="0"/>
          <w:numId w:val="4"/>
        </w:numPr>
        <w:spacing w:before="120" w:after="120" w:line="480" w:lineRule="auto"/>
        <w:ind w:left="505" w:hanging="505"/>
        <w:rPr>
          <w:rFonts w:ascii="宋体" w:hAnsi="宋体"/>
          <w:sz w:val="28"/>
        </w:rPr>
      </w:pPr>
      <w:bookmarkStart w:id="63" w:name="_Toc136003996"/>
      <w:bookmarkStart w:id="64" w:name="_Toc26053"/>
      <w:r>
        <w:rPr>
          <w:rFonts w:ascii="宋体" w:hAnsi="宋体" w:hint="eastAsia"/>
          <w:sz w:val="28"/>
        </w:rPr>
        <w:t>运维</w:t>
      </w:r>
      <w:bookmarkEnd w:id="62"/>
      <w:r>
        <w:rPr>
          <w:rFonts w:ascii="宋体" w:hAnsi="宋体" w:hint="eastAsia"/>
          <w:sz w:val="28"/>
        </w:rPr>
        <w:t>目标</w:t>
      </w:r>
      <w:bookmarkEnd w:id="63"/>
      <w:bookmarkEnd w:id="64"/>
    </w:p>
    <w:p>
      <w:pPr>
        <w:tabs>
          <w:tab w:val="left" w:pos="5580"/>
        </w:tabs>
        <w:spacing w:line="360" w:lineRule="auto"/>
        <w:ind w:firstLine="480" w:firstLineChars="200"/>
        <w:rPr>
          <w:rFonts w:ascii="宋体" w:hAnsi="宋体"/>
        </w:rPr>
      </w:pPr>
      <w:r>
        <w:rPr>
          <w:rFonts w:ascii="宋体" w:hAnsi="宋体" w:hint="eastAsia"/>
          <w:sz w:val="24"/>
          <w:szCs w:val="24"/>
        </w:rPr>
        <w:t>通过对各应用服务提供持续运维服务，承建方须建立完整的系统运维框架、技术标准。</w:t>
      </w:r>
    </w:p>
    <w:p>
      <w:pPr>
        <w:tabs>
          <w:tab w:val="left" w:pos="5580"/>
        </w:tabs>
        <w:spacing w:line="360" w:lineRule="auto"/>
        <w:ind w:firstLine="480" w:firstLineChars="200"/>
        <w:rPr>
          <w:rFonts w:ascii="宋体" w:hAnsi="宋体"/>
        </w:rPr>
      </w:pPr>
      <w:r>
        <w:rPr>
          <w:rFonts w:ascii="宋体" w:hAnsi="宋体" w:hint="eastAsia"/>
          <w:sz w:val="24"/>
          <w:szCs w:val="24"/>
        </w:rPr>
        <w:t>依照采购人相关运行维护管理制度建立自身服务完整的管理制度、上下互动的沟通机制，制定统一的标准规范，根据统一标准规范进行有条不紊的运维服务。同时在运维服务过程中不断完善管理制度以及运维方案，根据系统的变化发展进行不断改进。</w:t>
      </w:r>
    </w:p>
    <w:p>
      <w:pPr>
        <w:tabs>
          <w:tab w:val="left" w:pos="5580"/>
        </w:tabs>
        <w:spacing w:line="360" w:lineRule="auto"/>
        <w:ind w:firstLine="480" w:firstLineChars="200"/>
        <w:rPr>
          <w:rFonts w:ascii="宋体" w:hAnsi="宋体"/>
        </w:rPr>
      </w:pPr>
      <w:r>
        <w:rPr>
          <w:rFonts w:ascii="宋体" w:hAnsi="宋体" w:hint="eastAsia"/>
          <w:sz w:val="24"/>
          <w:szCs w:val="24"/>
        </w:rPr>
        <w:t>优化运维管理流程加大对重大系统故障的应急预案编制力度，强化对运维工作的技术总结，提高运维工作的处理能力和效率。</w:t>
      </w:r>
    </w:p>
    <w:p>
      <w:pPr>
        <w:tabs>
          <w:tab w:val="left" w:pos="5580"/>
        </w:tabs>
        <w:spacing w:line="360" w:lineRule="auto"/>
        <w:ind w:firstLine="480" w:firstLineChars="200"/>
        <w:rPr>
          <w:rFonts w:ascii="宋体" w:hAnsi="宋体"/>
        </w:rPr>
      </w:pPr>
      <w:r>
        <w:rPr>
          <w:rFonts w:ascii="宋体" w:hAnsi="宋体" w:hint="eastAsia"/>
          <w:sz w:val="24"/>
          <w:szCs w:val="24"/>
        </w:rPr>
        <w:t>提高工作人员的计算机应用水平和对专业系统的业务使用技能，加强技术人员的专业技能培训，多学习新的IT技术；提高技术人员的实际处理问题能力，有条件的情况下通过实验环境、培训环境进行IT 运维模拟实践。</w:t>
      </w:r>
    </w:p>
    <w:p>
      <w:pPr>
        <w:tabs>
          <w:tab w:val="left" w:pos="5580"/>
        </w:tabs>
        <w:spacing w:line="360" w:lineRule="auto"/>
        <w:ind w:firstLine="480" w:firstLineChars="200"/>
        <w:rPr>
          <w:rFonts w:ascii="宋体" w:hAnsi="宋体"/>
        </w:rPr>
      </w:pPr>
      <w:r>
        <w:rPr>
          <w:rFonts w:ascii="宋体" w:hAnsi="宋体" w:hint="eastAsia"/>
          <w:sz w:val="24"/>
          <w:szCs w:val="24"/>
        </w:rPr>
        <w:t xml:space="preserve">为确保中国气象局电子公文系统高效、稳定、安全的运行，提供必要的系统日常运维，对系统进行有序的运维服务和管理，包括运维技术支持和运维管理服务。服务方式主要为驻场服务、电话支持。 </w:t>
      </w:r>
    </w:p>
    <w:p>
      <w:pPr>
        <w:tabs>
          <w:tab w:val="left" w:pos="5580"/>
        </w:tabs>
        <w:spacing w:line="360" w:lineRule="auto"/>
        <w:ind w:firstLine="480" w:firstLineChars="200"/>
        <w:rPr>
          <w:rFonts w:ascii="宋体" w:hAnsi="宋体"/>
        </w:rPr>
      </w:pPr>
      <w:r>
        <w:rPr>
          <w:rFonts w:ascii="宋体" w:hAnsi="宋体" w:hint="eastAsia"/>
          <w:sz w:val="24"/>
          <w:szCs w:val="24"/>
        </w:rPr>
        <w:t>实现：</w:t>
      </w:r>
    </w:p>
    <w:p>
      <w:pPr>
        <w:numPr>
          <w:ilvl w:val="0"/>
          <w:numId w:val="5"/>
        </w:numPr>
        <w:adjustRightInd w:val="0"/>
        <w:snapToGrid w:val="0"/>
        <w:spacing w:line="560" w:lineRule="exact"/>
        <w:ind w:left="840"/>
        <w:jc w:val="left"/>
        <w:rPr>
          <w:rFonts w:ascii="宋体" w:hAnsi="宋体" w:cs="宋体"/>
        </w:rPr>
      </w:pPr>
      <w:r>
        <w:rPr>
          <w:rFonts w:ascii="宋体" w:hAnsi="宋体" w:cs="宋体" w:hint="eastAsia"/>
          <w:sz w:val="24"/>
          <w:szCs w:val="24"/>
        </w:rPr>
        <w:t>驻场运维服务，</w:t>
      </w:r>
      <w:r>
        <w:rPr>
          <w:rFonts w:ascii="宋体" w:hAnsi="宋体" w:hint="eastAsia"/>
          <w:sz w:val="24"/>
        </w:rPr>
        <w:t>负责中国气象局</w:t>
      </w:r>
      <w:r>
        <w:rPr>
          <w:rFonts w:ascii="宋体" w:hAnsi="宋体" w:hint="eastAsia"/>
          <w:sz w:val="24"/>
          <w:szCs w:val="24"/>
        </w:rPr>
        <w:t>电子公文</w:t>
      </w:r>
      <w:r>
        <w:rPr>
          <w:rFonts w:ascii="宋体" w:hAnsi="宋体" w:hint="eastAsia"/>
          <w:sz w:val="24"/>
        </w:rPr>
        <w:t>系统的技术支持</w:t>
      </w:r>
      <w:r>
        <w:rPr>
          <w:rFonts w:ascii="宋体" w:hAnsi="宋体" w:cs="宋体" w:hint="eastAsia"/>
          <w:sz w:val="24"/>
          <w:szCs w:val="24"/>
        </w:rPr>
        <w:t>；</w:t>
      </w:r>
    </w:p>
    <w:p>
      <w:pPr>
        <w:numPr>
          <w:ilvl w:val="0"/>
          <w:numId w:val="5"/>
        </w:numPr>
        <w:adjustRightInd w:val="0"/>
        <w:snapToGrid w:val="0"/>
        <w:spacing w:line="560" w:lineRule="exact"/>
        <w:ind w:left="840"/>
        <w:jc w:val="left"/>
        <w:rPr>
          <w:rFonts w:ascii="宋体" w:hAnsi="宋体" w:cs="宋体"/>
        </w:rPr>
      </w:pPr>
      <w:r>
        <w:rPr>
          <w:rFonts w:ascii="宋体" w:hAnsi="宋体" w:hint="eastAsia"/>
          <w:sz w:val="24"/>
        </w:rPr>
        <w:t>定期巡检，保障各系统服务环境正常运行，服务器巡检、应用系统巡检、数据库巡检、程序及数据库备份巡检、软件配置管理、运维流程管理、应急保障服务、文档管理服务及其他服务</w:t>
      </w:r>
      <w:r>
        <w:rPr>
          <w:rFonts w:ascii="宋体" w:hAnsi="宋体" w:cs="宋体" w:hint="eastAsia"/>
          <w:sz w:val="24"/>
          <w:szCs w:val="24"/>
        </w:rPr>
        <w:t>；</w:t>
      </w:r>
    </w:p>
    <w:p>
      <w:pPr>
        <w:numPr>
          <w:ilvl w:val="0"/>
          <w:numId w:val="5"/>
        </w:numPr>
        <w:adjustRightInd w:val="0"/>
        <w:snapToGrid w:val="0"/>
        <w:spacing w:line="560" w:lineRule="exact"/>
        <w:ind w:left="840"/>
        <w:jc w:val="left"/>
        <w:rPr>
          <w:rFonts w:ascii="宋体" w:hAnsi="宋体" w:cs="宋体"/>
        </w:rPr>
      </w:pPr>
      <w:r>
        <w:rPr>
          <w:rFonts w:ascii="宋体" w:hAnsi="宋体" w:hint="eastAsia"/>
          <w:sz w:val="24"/>
        </w:rPr>
        <w:t>对各系统使用提供运维支持服务，包括疑问解答、异常数据处理，根据相关规定或管理要求可能安排进行远程技术服务、电话转接方式</w:t>
      </w:r>
      <w:r>
        <w:rPr>
          <w:rFonts w:ascii="宋体" w:hAnsi="宋体" w:cs="宋体" w:hint="eastAsia"/>
          <w:sz w:val="24"/>
          <w:szCs w:val="24"/>
        </w:rPr>
        <w:t>。</w:t>
      </w:r>
    </w:p>
    <w:p>
      <w:pPr>
        <w:pStyle w:val="Heading1"/>
        <w:numPr>
          <w:ilvl w:val="0"/>
          <w:numId w:val="4"/>
        </w:numPr>
        <w:spacing w:before="120" w:after="120" w:line="480" w:lineRule="auto"/>
        <w:ind w:left="505" w:hanging="505"/>
        <w:rPr>
          <w:rFonts w:ascii="宋体" w:hAnsi="宋体"/>
          <w:sz w:val="28"/>
        </w:rPr>
      </w:pPr>
      <w:bookmarkStart w:id="65" w:name="_Toc14349"/>
      <w:bookmarkStart w:id="66" w:name="_Toc136003997"/>
      <w:r>
        <w:rPr>
          <w:rFonts w:ascii="宋体" w:hAnsi="宋体" w:hint="eastAsia"/>
          <w:sz w:val="28"/>
        </w:rPr>
        <w:t>运维子系统</w:t>
      </w:r>
      <w:bookmarkEnd w:id="65"/>
      <w:bookmarkEnd w:id="66"/>
    </w:p>
    <w:p>
      <w:pPr>
        <w:adjustRightInd w:val="0"/>
        <w:snapToGrid w:val="0"/>
        <w:spacing w:line="360" w:lineRule="auto"/>
        <w:ind w:firstLine="480" w:firstLineChars="200"/>
        <w:rPr>
          <w:rFonts w:ascii="宋体" w:hAnsi="宋体" w:cs="宋体"/>
        </w:rPr>
      </w:pPr>
      <w:r>
        <w:rPr>
          <w:rFonts w:ascii="宋体" w:hAnsi="宋体" w:cs="宋体" w:hint="eastAsia"/>
          <w:sz w:val="24"/>
          <w:szCs w:val="24"/>
        </w:rPr>
        <w:t>本项目涉及到的运维子系统包括：</w:t>
      </w:r>
    </w:p>
    <w:p>
      <w:pPr>
        <w:pStyle w:val="ListParagraph"/>
        <w:numPr>
          <w:ilvl w:val="0"/>
          <w:numId w:val="6"/>
        </w:numPr>
        <w:adjustRightInd w:val="0"/>
        <w:snapToGrid w:val="0"/>
        <w:spacing w:line="360" w:lineRule="auto"/>
        <w:ind w:firstLine="154" w:firstLineChars="0"/>
        <w:rPr>
          <w:rFonts w:ascii="宋体" w:eastAsia="宋体" w:hAnsi="宋体" w:cs="宋体"/>
          <w:sz w:val="24"/>
        </w:rPr>
      </w:pPr>
      <w:r>
        <w:rPr>
          <w:rFonts w:ascii="宋体" w:eastAsia="宋体" w:hAnsi="宋体" w:cs="宋体" w:hint="eastAsia"/>
          <w:sz w:val="24"/>
        </w:rPr>
        <w:t>公文管理子系统</w:t>
      </w:r>
    </w:p>
    <w:p>
      <w:pPr>
        <w:pStyle w:val="ListParagraph"/>
        <w:numPr>
          <w:ilvl w:val="0"/>
          <w:numId w:val="6"/>
        </w:numPr>
        <w:adjustRightInd w:val="0"/>
        <w:snapToGrid w:val="0"/>
        <w:spacing w:line="360" w:lineRule="auto"/>
        <w:ind w:firstLine="154" w:firstLineChars="0"/>
        <w:rPr>
          <w:rFonts w:ascii="宋体" w:eastAsia="宋体" w:hAnsi="宋体" w:cs="宋体"/>
          <w:sz w:val="24"/>
        </w:rPr>
      </w:pPr>
      <w:r>
        <w:rPr>
          <w:rFonts w:ascii="宋体" w:eastAsia="宋体" w:hAnsi="宋体" w:cs="宋体" w:hint="eastAsia"/>
          <w:sz w:val="24"/>
        </w:rPr>
        <w:t>突发事件管理子系统</w:t>
      </w:r>
    </w:p>
    <w:p>
      <w:pPr>
        <w:pStyle w:val="ListParagraph"/>
        <w:numPr>
          <w:ilvl w:val="0"/>
          <w:numId w:val="6"/>
        </w:numPr>
        <w:adjustRightInd w:val="0"/>
        <w:snapToGrid w:val="0"/>
        <w:spacing w:line="360" w:lineRule="auto"/>
        <w:ind w:firstLine="154" w:firstLineChars="0"/>
        <w:rPr>
          <w:rFonts w:ascii="宋体" w:eastAsia="宋体" w:hAnsi="宋体" w:cs="宋体"/>
          <w:sz w:val="24"/>
        </w:rPr>
      </w:pPr>
      <w:r>
        <w:rPr>
          <w:rFonts w:ascii="宋体" w:eastAsia="宋体" w:hAnsi="宋体" w:cs="宋体" w:hint="eastAsia"/>
          <w:sz w:val="24"/>
        </w:rPr>
        <w:t>要情管理子系统</w:t>
      </w:r>
    </w:p>
    <w:p>
      <w:pPr>
        <w:pStyle w:val="ListParagraph"/>
        <w:numPr>
          <w:ilvl w:val="0"/>
          <w:numId w:val="6"/>
        </w:numPr>
        <w:adjustRightInd w:val="0"/>
        <w:snapToGrid w:val="0"/>
        <w:spacing w:line="360" w:lineRule="auto"/>
        <w:ind w:firstLine="154" w:firstLineChars="0"/>
        <w:rPr>
          <w:rFonts w:ascii="宋体" w:eastAsia="宋体" w:hAnsi="宋体" w:cs="宋体"/>
          <w:sz w:val="24"/>
        </w:rPr>
      </w:pPr>
      <w:r>
        <w:rPr>
          <w:rFonts w:ascii="宋体" w:eastAsia="宋体" w:hAnsi="宋体" w:cs="宋体" w:hint="eastAsia"/>
          <w:sz w:val="24"/>
        </w:rPr>
        <w:t>电子签章系统</w:t>
      </w:r>
    </w:p>
    <w:p>
      <w:pPr>
        <w:pStyle w:val="Heading1"/>
        <w:numPr>
          <w:ilvl w:val="0"/>
          <w:numId w:val="4"/>
        </w:numPr>
        <w:spacing w:before="120" w:after="120" w:line="480" w:lineRule="auto"/>
        <w:ind w:left="505" w:hanging="505"/>
        <w:rPr>
          <w:rFonts w:ascii="宋体" w:hAnsi="宋体"/>
          <w:sz w:val="28"/>
        </w:rPr>
      </w:pPr>
      <w:bookmarkStart w:id="67" w:name="_Toc136003998"/>
      <w:bookmarkStart w:id="68" w:name="_Toc8162"/>
      <w:r>
        <w:rPr>
          <w:rFonts w:ascii="宋体" w:hAnsi="宋体" w:hint="eastAsia"/>
          <w:sz w:val="28"/>
        </w:rPr>
        <w:t>运维周期</w:t>
      </w:r>
      <w:bookmarkEnd w:id="67"/>
    </w:p>
    <w:p>
      <w:pPr>
        <w:adjustRightInd w:val="0"/>
        <w:snapToGrid w:val="0"/>
        <w:spacing w:line="360" w:lineRule="auto"/>
        <w:ind w:firstLine="480" w:firstLineChars="200"/>
        <w:rPr>
          <w:rFonts w:ascii="宋体" w:hAnsi="宋体"/>
          <w:highlight w:val="yellow"/>
        </w:rPr>
      </w:pPr>
      <w:r>
        <w:rPr>
          <w:rFonts w:ascii="宋体" w:hAnsi="宋体" w:hint="eastAsia"/>
          <w:sz w:val="24"/>
          <w:szCs w:val="24"/>
          <w:highlight w:val="yellow"/>
        </w:rPr>
        <w:t>本项目的运维周期为2026年9月1日至2027年8月31日。</w:t>
      </w:r>
    </w:p>
    <w:p>
      <w:pPr>
        <w:pStyle w:val="Heading1"/>
        <w:numPr>
          <w:ilvl w:val="0"/>
          <w:numId w:val="4"/>
        </w:numPr>
        <w:spacing w:before="120" w:after="120" w:line="480" w:lineRule="auto"/>
        <w:ind w:left="505" w:hanging="505"/>
        <w:rPr>
          <w:rFonts w:ascii="宋体" w:hAnsi="宋体"/>
          <w:sz w:val="28"/>
        </w:rPr>
      </w:pPr>
      <w:bookmarkStart w:id="69" w:name="_Toc136003999"/>
      <w:r>
        <w:rPr>
          <w:rFonts w:ascii="宋体" w:hAnsi="宋体" w:hint="eastAsia"/>
          <w:sz w:val="28"/>
        </w:rPr>
        <w:t>运维内容</w:t>
      </w:r>
      <w:bookmarkEnd w:id="68"/>
      <w:bookmarkEnd w:id="69"/>
    </w:p>
    <w:p>
      <w:pPr>
        <w:adjustRightInd w:val="0"/>
        <w:snapToGrid w:val="0"/>
        <w:spacing w:line="360" w:lineRule="auto"/>
        <w:ind w:firstLine="480" w:firstLineChars="200"/>
        <w:rPr>
          <w:rFonts w:ascii="宋体" w:hAnsi="宋体"/>
        </w:rPr>
      </w:pPr>
      <w:r>
        <w:rPr>
          <w:rFonts w:ascii="宋体" w:hAnsi="宋体" w:hint="eastAsia"/>
          <w:sz w:val="24"/>
          <w:szCs w:val="24"/>
        </w:rPr>
        <w:t>运维内容包括：应用服务环境运维、系统使用支持运维、上门服务、系统使用优化及系统安全加固。</w:t>
      </w:r>
    </w:p>
    <w:p>
      <w:pPr>
        <w:adjustRightInd w:val="0"/>
        <w:snapToGrid w:val="0"/>
        <w:spacing w:line="360" w:lineRule="auto"/>
        <w:ind w:firstLine="480" w:firstLineChars="200"/>
        <w:rPr>
          <w:rFonts w:ascii="宋体" w:hAnsi="宋体"/>
        </w:rPr>
      </w:pPr>
      <w:r>
        <w:rPr>
          <w:rFonts w:ascii="宋体" w:hAnsi="宋体" w:hint="eastAsia"/>
          <w:sz w:val="24"/>
          <w:szCs w:val="24"/>
        </w:rPr>
        <w:t>（1）应用服务环境运维：对各系统涉及到的系统软件和应用服务软件提供运维服务，保障服务正常运行，服务包括：系统巡检、值班检查、故障排除。（不包括原厂服务）。</w:t>
      </w:r>
    </w:p>
    <w:p>
      <w:pPr>
        <w:adjustRightInd w:val="0"/>
        <w:snapToGrid w:val="0"/>
        <w:spacing w:line="360" w:lineRule="auto"/>
        <w:ind w:firstLine="480" w:firstLineChars="200"/>
        <w:rPr>
          <w:rFonts w:ascii="宋体" w:hAnsi="宋体"/>
        </w:rPr>
      </w:pPr>
      <w:r>
        <w:rPr>
          <w:rFonts w:ascii="宋体" w:hAnsi="宋体" w:hint="eastAsia"/>
          <w:sz w:val="24"/>
          <w:szCs w:val="24"/>
        </w:rPr>
        <w:t>（</w:t>
      </w:r>
      <w:r>
        <w:rPr>
          <w:rFonts w:ascii="宋体" w:hAnsi="宋体"/>
          <w:sz w:val="24"/>
          <w:szCs w:val="24"/>
        </w:rPr>
        <w:t>2</w:t>
      </w:r>
      <w:r>
        <w:rPr>
          <w:rFonts w:ascii="宋体" w:hAnsi="宋体" w:hint="eastAsia"/>
          <w:sz w:val="24"/>
          <w:szCs w:val="24"/>
        </w:rPr>
        <w:t>）系统使用支持运维：各系统对用户使用过程中的疑问解答、异常数据处理、原系统bug处理、用户使用功能优化。</w:t>
      </w:r>
    </w:p>
    <w:p>
      <w:pPr>
        <w:adjustRightInd w:val="0"/>
        <w:snapToGrid w:val="0"/>
        <w:spacing w:line="360" w:lineRule="auto"/>
        <w:ind w:firstLine="480" w:firstLineChars="200"/>
        <w:rPr>
          <w:rFonts w:ascii="宋体" w:hAnsi="宋体"/>
        </w:rPr>
      </w:pPr>
      <w:r>
        <w:rPr>
          <w:rFonts w:ascii="宋体" w:hAnsi="宋体" w:hint="eastAsia"/>
          <w:sz w:val="24"/>
          <w:szCs w:val="24"/>
        </w:rPr>
        <w:t>（</w:t>
      </w:r>
      <w:r>
        <w:rPr>
          <w:rFonts w:ascii="宋体" w:hAnsi="宋体"/>
          <w:sz w:val="24"/>
          <w:szCs w:val="24"/>
        </w:rPr>
        <w:t>3</w:t>
      </w:r>
      <w:r>
        <w:rPr>
          <w:rFonts w:ascii="宋体" w:hAnsi="宋体" w:hint="eastAsia"/>
          <w:sz w:val="24"/>
          <w:szCs w:val="24"/>
        </w:rPr>
        <w:t>）上门服务：对以上系统需要使用的终端环境，需要时提供对局大院用户上门技术服务（不包括网络和设备检修服务）；</w:t>
      </w:r>
    </w:p>
    <w:p>
      <w:pPr>
        <w:adjustRightInd w:val="0"/>
        <w:snapToGrid w:val="0"/>
        <w:spacing w:line="360" w:lineRule="auto"/>
        <w:ind w:firstLine="480" w:firstLineChars="200"/>
        <w:rPr>
          <w:rFonts w:ascii="宋体" w:hAnsi="宋体"/>
        </w:rPr>
      </w:pPr>
      <w:r>
        <w:rPr>
          <w:rFonts w:ascii="宋体" w:hAnsi="宋体" w:hint="eastAsia"/>
          <w:sz w:val="24"/>
          <w:szCs w:val="24"/>
        </w:rPr>
        <w:t>（4）重大任务保障期间（不定期），配合开展应急演练工作，响应需5分钟到达现场，所产生的费用由投标人承担。</w:t>
      </w:r>
    </w:p>
    <w:p>
      <w:pPr>
        <w:adjustRightInd w:val="0"/>
        <w:snapToGrid w:val="0"/>
        <w:spacing w:line="360" w:lineRule="auto"/>
        <w:ind w:firstLine="480" w:firstLineChars="200"/>
        <w:rPr>
          <w:rFonts w:ascii="宋体" w:hAnsi="宋体"/>
        </w:rPr>
      </w:pPr>
      <w:r>
        <w:rPr>
          <w:rFonts w:ascii="宋体" w:hAnsi="宋体" w:hint="eastAsia"/>
          <w:sz w:val="24"/>
          <w:szCs w:val="24"/>
        </w:rPr>
        <w:t>（5）系统安全加固：负责年度等保测评、商用密码改造、数据备份等安全完善整改的任务。</w:t>
      </w:r>
    </w:p>
    <w:p>
      <w:pPr>
        <w:adjustRightInd w:val="0"/>
        <w:snapToGrid w:val="0"/>
        <w:spacing w:line="360" w:lineRule="auto"/>
        <w:ind w:firstLine="480" w:firstLineChars="200"/>
        <w:rPr>
          <w:rFonts w:ascii="宋体" w:eastAsia="宋体" w:hAnsi="宋体"/>
        </w:rPr>
      </w:pPr>
      <w:r>
        <w:rPr>
          <w:rFonts w:ascii="宋体" w:hAnsi="宋体" w:hint="eastAsia"/>
          <w:sz w:val="24"/>
          <w:szCs w:val="24"/>
        </w:rPr>
        <w:t>（6）系统使用优化：负责领导批示、文创作品管理、智库声音、规范性文件备案审批等电子文件在线运转能力优化。</w:t>
      </w:r>
    </w:p>
    <w:p>
      <w:pPr>
        <w:pStyle w:val="Heading1"/>
        <w:numPr>
          <w:ilvl w:val="0"/>
          <w:numId w:val="4"/>
        </w:numPr>
        <w:spacing w:before="120" w:after="120" w:line="480" w:lineRule="auto"/>
        <w:ind w:left="505" w:hanging="505"/>
        <w:rPr>
          <w:rFonts w:ascii="宋体" w:hAnsi="宋体"/>
          <w:sz w:val="28"/>
        </w:rPr>
      </w:pPr>
      <w:bookmarkStart w:id="70" w:name="_Toc136004000"/>
      <w:bookmarkStart w:id="71" w:name="_Toc25164"/>
      <w:r>
        <w:rPr>
          <w:rFonts w:ascii="宋体" w:hAnsi="宋体" w:hint="eastAsia"/>
          <w:sz w:val="28"/>
        </w:rPr>
        <w:t>运维方式</w:t>
      </w:r>
      <w:bookmarkEnd w:id="70"/>
      <w:bookmarkEnd w:id="71"/>
    </w:p>
    <w:p>
      <w:pPr>
        <w:adjustRightInd w:val="0"/>
        <w:snapToGrid w:val="0"/>
        <w:spacing w:line="360" w:lineRule="auto"/>
        <w:ind w:firstLine="480" w:firstLineChars="200"/>
        <w:rPr>
          <w:rFonts w:ascii="宋体" w:hAnsi="宋体"/>
        </w:rPr>
      </w:pPr>
      <w:r>
        <w:rPr>
          <w:rFonts w:ascii="宋体" w:hAnsi="宋体" w:hint="eastAsia"/>
          <w:sz w:val="24"/>
          <w:szCs w:val="24"/>
        </w:rPr>
        <w:t>各系统承建商需要提供电话、上门、呼叫中心工单系统转发三种方式的运维服务。</w:t>
      </w:r>
    </w:p>
    <w:p>
      <w:pPr>
        <w:pStyle w:val="Heading3"/>
        <w:numPr>
          <w:ilvl w:val="1"/>
          <w:numId w:val="4"/>
        </w:numPr>
        <w:spacing w:before="240" w:after="240" w:line="360" w:lineRule="auto"/>
        <w:ind w:left="0" w:firstLine="560" w:firstLineChars="200"/>
        <w:rPr>
          <w:rFonts w:ascii="宋体" w:hAnsi="宋体"/>
          <w:sz w:val="28"/>
        </w:rPr>
      </w:pPr>
      <w:bookmarkStart w:id="72" w:name="_Toc37233789"/>
      <w:bookmarkStart w:id="73" w:name="_Toc11134"/>
      <w:bookmarkStart w:id="74" w:name="_Toc136004001"/>
      <w:r>
        <w:rPr>
          <w:rFonts w:ascii="宋体" w:hAnsi="宋体" w:hint="eastAsia"/>
          <w:sz w:val="28"/>
        </w:rPr>
        <w:t>电话支持</w:t>
      </w:r>
      <w:bookmarkEnd w:id="72"/>
      <w:bookmarkEnd w:id="73"/>
      <w:bookmarkEnd w:id="74"/>
    </w:p>
    <w:p>
      <w:pPr>
        <w:adjustRightInd w:val="0"/>
        <w:snapToGrid w:val="0"/>
        <w:spacing w:line="360" w:lineRule="auto"/>
        <w:ind w:firstLine="480" w:firstLineChars="200"/>
        <w:rPr>
          <w:rFonts w:ascii="宋体" w:hAnsi="宋体"/>
        </w:rPr>
      </w:pPr>
      <w:r>
        <w:rPr>
          <w:rFonts w:ascii="宋体" w:hAnsi="宋体" w:hint="eastAsia"/>
          <w:sz w:val="24"/>
          <w:szCs w:val="24"/>
        </w:rPr>
        <w:t>支持人员通过电话为系统用户提供支持服务，要求支持人员做到：</w:t>
      </w:r>
    </w:p>
    <w:p>
      <w:pPr>
        <w:adjustRightInd w:val="0"/>
        <w:snapToGrid w:val="0"/>
        <w:spacing w:line="360" w:lineRule="auto"/>
        <w:ind w:firstLine="480" w:firstLineChars="200"/>
        <w:rPr>
          <w:rFonts w:ascii="宋体" w:hAnsi="宋体"/>
        </w:rPr>
      </w:pPr>
      <w:r>
        <w:rPr>
          <w:rFonts w:ascii="宋体" w:hAnsi="宋体" w:hint="eastAsia"/>
          <w:sz w:val="24"/>
          <w:szCs w:val="24"/>
        </w:rPr>
        <w:t>（1）了解支持内容、支持时间要求、之前支持情况以及遗留问题等，并与用户确认；</w:t>
      </w:r>
    </w:p>
    <w:p>
      <w:pPr>
        <w:adjustRightInd w:val="0"/>
        <w:snapToGrid w:val="0"/>
        <w:spacing w:line="360" w:lineRule="auto"/>
        <w:ind w:firstLine="480" w:firstLineChars="200"/>
        <w:rPr>
          <w:rFonts w:ascii="宋体" w:hAnsi="宋体"/>
        </w:rPr>
      </w:pPr>
      <w:r>
        <w:rPr>
          <w:rFonts w:ascii="宋体" w:hAnsi="宋体" w:hint="eastAsia"/>
          <w:sz w:val="24"/>
          <w:szCs w:val="24"/>
        </w:rPr>
        <w:t>（2）支持结束后，经过客户确认是否已经解决问题，并得到客户确认后，记为一次电话客户支持；</w:t>
      </w:r>
    </w:p>
    <w:p>
      <w:pPr>
        <w:adjustRightInd w:val="0"/>
        <w:snapToGrid w:val="0"/>
        <w:spacing w:line="360" w:lineRule="auto"/>
        <w:ind w:firstLine="480" w:firstLineChars="200"/>
        <w:rPr>
          <w:rFonts w:ascii="宋体" w:hAnsi="宋体"/>
        </w:rPr>
      </w:pPr>
      <w:r>
        <w:rPr>
          <w:rFonts w:ascii="宋体" w:hAnsi="宋体" w:hint="eastAsia"/>
          <w:sz w:val="24"/>
          <w:szCs w:val="24"/>
        </w:rPr>
        <w:t>（3）为保证对客户服务需求的响应时间，中标方需安排工程师进行非工作时间值班，以保障非工作时间应急响应服务；</w:t>
      </w:r>
      <w:r>
        <w:rPr>
          <w:rFonts w:hint="eastAsia"/>
          <w:sz w:val="24"/>
          <w:szCs w:val="24"/>
        </w:rPr>
        <w:t>手机24小时值班，</w:t>
      </w:r>
      <w:r>
        <w:rPr>
          <w:rFonts w:ascii="宋体" w:hAnsi="宋体" w:hint="eastAsia"/>
          <w:sz w:val="22"/>
        </w:rPr>
        <w:t>特</w:t>
      </w:r>
      <w:r>
        <w:rPr>
          <w:rFonts w:ascii="宋体" w:hAnsi="宋体" w:hint="eastAsia"/>
          <w:sz w:val="24"/>
          <w:szCs w:val="24"/>
        </w:rPr>
        <w:t>殊情况下如果不宜接听手机，工程师也不得关机并且在15分钟内给与回电；值班工程师接到用户电话后立即进行问题处理，同时通知采购方、中标方项目负责人，以便协调其它工程师或为到现场救援做好准备。</w:t>
      </w:r>
    </w:p>
    <w:p>
      <w:pPr>
        <w:pStyle w:val="Heading3"/>
        <w:numPr>
          <w:ilvl w:val="1"/>
          <w:numId w:val="4"/>
        </w:numPr>
        <w:spacing w:before="240" w:after="240" w:line="360" w:lineRule="auto"/>
        <w:ind w:left="0" w:firstLine="560" w:firstLineChars="200"/>
        <w:rPr>
          <w:rFonts w:ascii="宋体" w:hAnsi="宋体"/>
          <w:sz w:val="28"/>
        </w:rPr>
      </w:pPr>
      <w:bookmarkStart w:id="75" w:name="_Toc37233790"/>
      <w:bookmarkStart w:id="76" w:name="_Toc25601"/>
      <w:bookmarkStart w:id="77" w:name="_Toc136004002"/>
      <w:bookmarkStart w:id="78" w:name="_Toc37233791"/>
      <w:r>
        <w:rPr>
          <w:rFonts w:ascii="宋体" w:hAnsi="宋体" w:hint="eastAsia"/>
          <w:sz w:val="28"/>
        </w:rPr>
        <w:t>上门支持</w:t>
      </w:r>
      <w:bookmarkEnd w:id="75"/>
      <w:bookmarkEnd w:id="76"/>
      <w:bookmarkEnd w:id="77"/>
    </w:p>
    <w:p>
      <w:pPr>
        <w:adjustRightInd w:val="0"/>
        <w:snapToGrid w:val="0"/>
        <w:spacing w:line="360" w:lineRule="auto"/>
        <w:ind w:firstLine="480" w:firstLineChars="200"/>
        <w:rPr>
          <w:rFonts w:ascii="宋体" w:hAnsi="宋体"/>
        </w:rPr>
      </w:pPr>
      <w:r>
        <w:rPr>
          <w:rFonts w:ascii="宋体" w:hAnsi="宋体" w:hint="eastAsia"/>
          <w:sz w:val="24"/>
          <w:szCs w:val="24"/>
        </w:rPr>
        <w:t>根据客户要求，到达客户现场提供支持服务，要求支持人员做到：</w:t>
      </w:r>
    </w:p>
    <w:p>
      <w:pPr>
        <w:adjustRightInd w:val="0"/>
        <w:snapToGrid w:val="0"/>
        <w:spacing w:line="360" w:lineRule="auto"/>
        <w:ind w:firstLine="480" w:firstLineChars="200"/>
        <w:rPr>
          <w:rFonts w:ascii="宋体" w:hAnsi="宋体"/>
        </w:rPr>
      </w:pPr>
      <w:r>
        <w:rPr>
          <w:rFonts w:ascii="宋体" w:hAnsi="宋体" w:hint="eastAsia"/>
          <w:sz w:val="24"/>
          <w:szCs w:val="24"/>
        </w:rPr>
        <w:t>（1）了解现场支持内容、到达时间要求、之前支持情况以及遗留问题，并与用户确认；</w:t>
      </w:r>
    </w:p>
    <w:p>
      <w:pPr>
        <w:adjustRightInd w:val="0"/>
        <w:snapToGrid w:val="0"/>
        <w:spacing w:line="360" w:lineRule="auto"/>
        <w:ind w:firstLine="480" w:firstLineChars="200"/>
        <w:rPr>
          <w:rFonts w:ascii="宋体" w:hAnsi="宋体"/>
        </w:rPr>
      </w:pPr>
      <w:r>
        <w:rPr>
          <w:rFonts w:ascii="宋体" w:hAnsi="宋体" w:hint="eastAsia"/>
          <w:sz w:val="24"/>
          <w:szCs w:val="24"/>
        </w:rPr>
        <w:t>（2）携带必要的应用工具、资料和需要用户签署确认的现场服务单；</w:t>
      </w:r>
    </w:p>
    <w:p>
      <w:pPr>
        <w:adjustRightInd w:val="0"/>
        <w:snapToGrid w:val="0"/>
        <w:spacing w:line="360" w:lineRule="auto"/>
        <w:ind w:firstLine="480" w:firstLineChars="200"/>
        <w:rPr>
          <w:rFonts w:ascii="宋体" w:hAnsi="宋体"/>
        </w:rPr>
      </w:pPr>
      <w:r>
        <w:rPr>
          <w:rFonts w:ascii="宋体" w:hAnsi="宋体" w:hint="eastAsia"/>
          <w:sz w:val="24"/>
          <w:szCs w:val="24"/>
        </w:rPr>
        <w:t>（3）根据现场支持的要求，提前做好准备工作；</w:t>
      </w:r>
    </w:p>
    <w:p>
      <w:pPr>
        <w:adjustRightInd w:val="0"/>
        <w:snapToGrid w:val="0"/>
        <w:spacing w:line="360" w:lineRule="auto"/>
        <w:ind w:firstLine="480" w:firstLineChars="200"/>
        <w:rPr>
          <w:rFonts w:ascii="宋体" w:hAnsi="宋体"/>
        </w:rPr>
      </w:pPr>
      <w:r>
        <w:rPr>
          <w:rFonts w:ascii="宋体" w:hAnsi="宋体" w:hint="eastAsia"/>
          <w:sz w:val="24"/>
          <w:szCs w:val="24"/>
        </w:rPr>
        <w:t>（4）与用户确认服务内容和操作流程后进行实施；</w:t>
      </w:r>
    </w:p>
    <w:p>
      <w:pPr>
        <w:adjustRightInd w:val="0"/>
        <w:snapToGrid w:val="0"/>
        <w:spacing w:line="360" w:lineRule="auto"/>
        <w:ind w:firstLine="480" w:firstLineChars="200"/>
        <w:rPr>
          <w:rFonts w:ascii="宋体" w:hAnsi="宋体"/>
        </w:rPr>
      </w:pPr>
      <w:r>
        <w:rPr>
          <w:rFonts w:ascii="宋体" w:hAnsi="宋体" w:hint="eastAsia"/>
          <w:sz w:val="24"/>
          <w:szCs w:val="24"/>
        </w:rPr>
        <w:t>（5）严格遵守用户现场的管理制度；</w:t>
      </w:r>
    </w:p>
    <w:p>
      <w:pPr>
        <w:adjustRightInd w:val="0"/>
        <w:snapToGrid w:val="0"/>
        <w:spacing w:line="360" w:lineRule="auto"/>
        <w:ind w:firstLine="480" w:firstLineChars="200"/>
        <w:rPr>
          <w:rFonts w:ascii="宋体" w:hAnsi="宋体"/>
        </w:rPr>
      </w:pPr>
      <w:r>
        <w:rPr>
          <w:rFonts w:ascii="宋体" w:hAnsi="宋体" w:hint="eastAsia"/>
          <w:sz w:val="24"/>
          <w:szCs w:val="24"/>
        </w:rPr>
        <w:t>（6）如果遇到无法解决的问题或用户提出额外要求，应及时向相关管理部门汇报，得到授权后再做处理；</w:t>
      </w:r>
    </w:p>
    <w:p>
      <w:pPr>
        <w:adjustRightInd w:val="0"/>
        <w:snapToGrid w:val="0"/>
        <w:spacing w:line="360" w:lineRule="auto"/>
        <w:ind w:firstLine="480" w:firstLineChars="200"/>
        <w:rPr>
          <w:rFonts w:ascii="宋体" w:hAnsi="宋体"/>
        </w:rPr>
      </w:pPr>
      <w:r>
        <w:rPr>
          <w:rFonts w:ascii="宋体" w:hAnsi="宋体" w:hint="eastAsia"/>
          <w:sz w:val="24"/>
          <w:szCs w:val="24"/>
        </w:rPr>
        <w:t>（7）解决问题结束后，签署上门服务单，确认现场服务工作情况；</w:t>
      </w:r>
    </w:p>
    <w:p>
      <w:pPr>
        <w:adjustRightInd w:val="0"/>
        <w:snapToGrid w:val="0"/>
        <w:spacing w:line="360" w:lineRule="auto"/>
        <w:ind w:firstLine="480" w:firstLineChars="200"/>
        <w:rPr>
          <w:rFonts w:ascii="宋体" w:hAnsi="宋体"/>
        </w:rPr>
      </w:pPr>
      <w:r>
        <w:rPr>
          <w:rFonts w:ascii="宋体" w:hAnsi="宋体" w:hint="eastAsia"/>
          <w:sz w:val="24"/>
          <w:szCs w:val="24"/>
        </w:rPr>
        <w:t>（8）定期向客户提交上门服务单。</w:t>
      </w:r>
    </w:p>
    <w:p>
      <w:pPr>
        <w:pStyle w:val="Heading3"/>
        <w:numPr>
          <w:ilvl w:val="1"/>
          <w:numId w:val="4"/>
        </w:numPr>
        <w:spacing w:before="240" w:after="240" w:line="360" w:lineRule="auto"/>
        <w:ind w:left="0" w:firstLine="560" w:firstLineChars="200"/>
        <w:rPr>
          <w:rFonts w:ascii="宋体" w:hAnsi="宋体"/>
          <w:sz w:val="28"/>
        </w:rPr>
      </w:pPr>
      <w:bookmarkStart w:id="79" w:name="_Toc136004003"/>
      <w:bookmarkStart w:id="80" w:name="_Toc28129"/>
      <w:r>
        <w:rPr>
          <w:rFonts w:ascii="宋体" w:hAnsi="宋体"/>
          <w:sz w:val="28"/>
        </w:rPr>
        <w:t>呼</w:t>
      </w:r>
      <w:r>
        <w:rPr>
          <w:rFonts w:ascii="宋体" w:hAnsi="宋体" w:hint="eastAsia"/>
          <w:sz w:val="28"/>
        </w:rPr>
        <w:t>叫中心工单系统</w:t>
      </w:r>
      <w:bookmarkEnd w:id="79"/>
      <w:bookmarkEnd w:id="80"/>
    </w:p>
    <w:p>
      <w:pPr>
        <w:adjustRightInd w:val="0"/>
        <w:snapToGrid w:val="0"/>
        <w:spacing w:line="360" w:lineRule="auto"/>
        <w:ind w:firstLine="480" w:firstLineChars="200"/>
        <w:rPr>
          <w:rFonts w:ascii="宋体" w:hAnsi="宋体"/>
        </w:rPr>
      </w:pPr>
      <w:r>
        <w:rPr>
          <w:rFonts w:ascii="宋体" w:hAnsi="宋体" w:hint="eastAsia"/>
          <w:sz w:val="24"/>
          <w:szCs w:val="24"/>
        </w:rPr>
        <w:t>系统支持人员可以对国家局用户提供呼叫中心的支持服务，为系统用户提供支持服务，要求支持人员做到：</w:t>
      </w:r>
    </w:p>
    <w:p>
      <w:pPr>
        <w:numPr>
          <w:ilvl w:val="0"/>
          <w:numId w:val="7"/>
        </w:numPr>
        <w:adjustRightInd w:val="0"/>
        <w:snapToGrid w:val="0"/>
        <w:spacing w:line="360" w:lineRule="auto"/>
        <w:ind w:firstLine="480" w:firstLineChars="200"/>
        <w:rPr>
          <w:rFonts w:ascii="宋体" w:hAnsi="宋体"/>
        </w:rPr>
      </w:pPr>
      <w:r>
        <w:rPr>
          <w:rFonts w:ascii="宋体" w:hAnsi="宋体" w:hint="eastAsia"/>
          <w:sz w:val="24"/>
          <w:szCs w:val="24"/>
        </w:rPr>
        <w:t>了解支持内容、支持时间要求、录入支持记录，并与用户确认；</w:t>
      </w:r>
    </w:p>
    <w:p>
      <w:pPr>
        <w:numPr>
          <w:ilvl w:val="0"/>
          <w:numId w:val="7"/>
        </w:numPr>
        <w:adjustRightInd w:val="0"/>
        <w:snapToGrid w:val="0"/>
        <w:spacing w:line="360" w:lineRule="auto"/>
        <w:ind w:firstLine="480" w:firstLineChars="200"/>
        <w:rPr>
          <w:rFonts w:ascii="宋体" w:hAnsi="宋体"/>
        </w:rPr>
      </w:pPr>
      <w:r>
        <w:rPr>
          <w:rFonts w:ascii="宋体" w:hAnsi="宋体" w:hint="eastAsia"/>
          <w:sz w:val="24"/>
          <w:szCs w:val="24"/>
        </w:rPr>
        <w:t>根据要求，在呼叫中心工单系统中录入任务单，根据任务划分，把不同类型的任务单提交给相应供应商的支持人员，由各供应商支持人员解决支持问题；</w:t>
      </w:r>
    </w:p>
    <w:p>
      <w:pPr>
        <w:numPr>
          <w:ilvl w:val="0"/>
          <w:numId w:val="7"/>
        </w:numPr>
        <w:adjustRightInd w:val="0"/>
        <w:snapToGrid w:val="0"/>
        <w:spacing w:line="360" w:lineRule="auto"/>
        <w:ind w:firstLine="480" w:firstLineChars="200"/>
        <w:rPr>
          <w:rFonts w:ascii="宋体" w:hAnsi="宋体"/>
        </w:rPr>
      </w:pPr>
      <w:r>
        <w:rPr>
          <w:rFonts w:ascii="宋体" w:hAnsi="宋体" w:hint="eastAsia"/>
          <w:sz w:val="24"/>
          <w:szCs w:val="24"/>
        </w:rPr>
        <w:t>各系统供应商支持人员解决任务之后，在工单系统上填写解决方案，提交服务小结，关闭任务。</w:t>
      </w:r>
    </w:p>
    <w:p>
      <w:pPr>
        <w:numPr>
          <w:ilvl w:val="0"/>
          <w:numId w:val="7"/>
        </w:numPr>
        <w:adjustRightInd w:val="0"/>
        <w:snapToGrid w:val="0"/>
        <w:spacing w:line="360" w:lineRule="auto"/>
        <w:ind w:firstLine="480" w:firstLineChars="200"/>
        <w:rPr>
          <w:rFonts w:ascii="宋体" w:hAnsi="宋体"/>
        </w:rPr>
      </w:pPr>
      <w:r>
        <w:rPr>
          <w:rFonts w:ascii="宋体" w:hAnsi="宋体" w:hint="eastAsia"/>
          <w:sz w:val="24"/>
          <w:szCs w:val="24"/>
        </w:rPr>
        <w:t>呼叫中心的范围不仅包括本项目实施运维的部分，还包括局机关业务网、无线网络、国产化终端等相关用户问题的接入、咨询以及转接服务。</w:t>
      </w:r>
    </w:p>
    <w:p>
      <w:pPr>
        <w:ind w:firstLine="360"/>
        <w:rPr>
          <w:rFonts w:ascii="宋体" w:eastAsia="宋体" w:hAnsi="宋体" w:cs="宋体"/>
        </w:rPr>
      </w:pPr>
      <w:r>
        <w:rPr>
          <w:rFonts w:ascii="宋体" w:hAnsi="宋体" w:hint="eastAsia"/>
          <w:sz w:val="24"/>
          <w:szCs w:val="24"/>
        </w:rPr>
        <w:t>通过统一呼叫中心</w:t>
      </w:r>
      <w:r>
        <w:rPr>
          <w:rFonts w:ascii="宋体" w:hAnsi="宋体" w:cs="宋体" w:hint="eastAsia"/>
          <w:sz w:val="24"/>
          <w:szCs w:val="24"/>
        </w:rPr>
        <w:t>主要针对国家级用户进行运维，包括</w:t>
      </w:r>
    </w:p>
    <w:p>
      <w:pPr>
        <w:numPr>
          <w:ilvl w:val="0"/>
          <w:numId w:val="8"/>
        </w:numPr>
        <w:ind w:left="0" w:firstLine="480" w:firstLineChars="200"/>
        <w:rPr>
          <w:rFonts w:ascii="宋体" w:eastAsia="宋体" w:hAnsi="宋体" w:cs="宋体"/>
        </w:rPr>
      </w:pPr>
      <w:r>
        <w:rPr>
          <w:rFonts w:ascii="宋体" w:eastAsia="宋体" w:hAnsi="宋体" w:cs="宋体" w:hint="eastAsia"/>
          <w:sz w:val="24"/>
        </w:rPr>
        <w:t>公文管理子系统（电话转接）</w:t>
      </w:r>
    </w:p>
    <w:p>
      <w:pPr>
        <w:numPr>
          <w:ilvl w:val="0"/>
          <w:numId w:val="8"/>
        </w:numPr>
        <w:ind w:left="0" w:firstLine="480" w:firstLineChars="200"/>
        <w:rPr>
          <w:rFonts w:ascii="宋体" w:eastAsia="宋体" w:hAnsi="宋体" w:cs="宋体"/>
        </w:rPr>
      </w:pPr>
      <w:r>
        <w:rPr>
          <w:rFonts w:ascii="宋体" w:eastAsia="宋体" w:hAnsi="宋体" w:cs="宋体" w:hint="eastAsia"/>
          <w:sz w:val="24"/>
        </w:rPr>
        <w:t>突发事件管理子系统（电话转接）</w:t>
      </w:r>
    </w:p>
    <w:p>
      <w:pPr>
        <w:numPr>
          <w:ilvl w:val="0"/>
          <w:numId w:val="8"/>
        </w:numPr>
        <w:ind w:left="0" w:firstLine="480" w:firstLineChars="200"/>
        <w:rPr>
          <w:rFonts w:ascii="宋体" w:eastAsia="宋体" w:hAnsi="宋体" w:cs="宋体"/>
        </w:rPr>
      </w:pPr>
      <w:r>
        <w:rPr>
          <w:rFonts w:ascii="宋体" w:eastAsia="宋体" w:hAnsi="宋体" w:cs="宋体" w:hint="eastAsia"/>
          <w:sz w:val="24"/>
        </w:rPr>
        <w:t>要情管理子系统（电话转接）</w:t>
      </w:r>
    </w:p>
    <w:p>
      <w:pPr>
        <w:numPr>
          <w:ilvl w:val="0"/>
          <w:numId w:val="8"/>
        </w:numPr>
        <w:ind w:left="0" w:firstLine="480" w:firstLineChars="200"/>
        <w:rPr>
          <w:rFonts w:ascii="宋体" w:eastAsia="宋体" w:hAnsi="宋体" w:cs="宋体"/>
        </w:rPr>
      </w:pPr>
      <w:r>
        <w:rPr>
          <w:rFonts w:ascii="宋体" w:eastAsia="宋体" w:hAnsi="宋体" w:cs="宋体" w:hint="eastAsia"/>
          <w:sz w:val="24"/>
        </w:rPr>
        <w:t>电子签章系统（电话转接）</w:t>
      </w:r>
    </w:p>
    <w:bookmarkEnd w:id="78"/>
    <w:p>
      <w:pPr>
        <w:pStyle w:val="Heading1"/>
        <w:numPr>
          <w:ilvl w:val="0"/>
          <w:numId w:val="4"/>
        </w:numPr>
        <w:spacing w:before="120" w:after="120" w:line="480" w:lineRule="auto"/>
        <w:ind w:left="505" w:hanging="505"/>
        <w:rPr>
          <w:rFonts w:ascii="宋体" w:hAnsi="宋体"/>
          <w:sz w:val="28"/>
        </w:rPr>
      </w:pPr>
      <w:bookmarkStart w:id="81" w:name="_Toc136004004"/>
      <w:bookmarkStart w:id="82" w:name="_Toc9977"/>
      <w:r>
        <w:rPr>
          <w:rFonts w:ascii="宋体" w:hAnsi="宋体" w:hint="eastAsia"/>
          <w:sz w:val="28"/>
        </w:rPr>
        <w:t>运维范围</w:t>
      </w:r>
      <w:bookmarkEnd w:id="81"/>
      <w:bookmarkEnd w:id="82"/>
    </w:p>
    <w:p>
      <w:pPr>
        <w:spacing w:line="360" w:lineRule="auto"/>
        <w:ind w:firstLine="482"/>
        <w:rPr>
          <w:rFonts w:ascii="宋体" w:hAnsi="宋体"/>
        </w:rPr>
      </w:pPr>
      <w:r>
        <w:rPr>
          <w:rFonts w:ascii="宋体" w:hAnsi="宋体" w:hint="eastAsia"/>
          <w:sz w:val="24"/>
          <w:szCs w:val="24"/>
        </w:rPr>
        <w:t>本项目运维范围为以下各系统涉及到的应用服务、数据库服务、应用子系统系统支持服务、上门终端运维服务，协助提供各类运维基线文档，各系统的运维服务由各系统承建单位负责。</w:t>
      </w:r>
    </w:p>
    <w:p>
      <w:pPr>
        <w:spacing w:line="360" w:lineRule="auto"/>
        <w:ind w:firstLine="482"/>
        <w:rPr>
          <w:rFonts w:ascii="宋体" w:hAnsi="宋体"/>
        </w:rPr>
      </w:pPr>
      <w:r>
        <w:rPr>
          <w:rFonts w:ascii="宋体" w:hAnsi="宋体" w:hint="eastAsia"/>
          <w:sz w:val="24"/>
          <w:szCs w:val="24"/>
        </w:rPr>
        <w:t>各系统的相关技术支持和功能优化工作如下：</w:t>
      </w:r>
    </w:p>
    <w:p>
      <w:pPr>
        <w:pStyle w:val="Heading3"/>
        <w:numPr>
          <w:ilvl w:val="1"/>
          <w:numId w:val="4"/>
        </w:numPr>
        <w:spacing w:before="240" w:after="240" w:line="360" w:lineRule="auto"/>
        <w:ind w:left="0" w:firstLine="560" w:firstLineChars="200"/>
        <w:rPr>
          <w:rFonts w:ascii="宋体" w:hAnsi="宋体"/>
          <w:sz w:val="28"/>
        </w:rPr>
      </w:pPr>
      <w:bookmarkStart w:id="83" w:name="_Toc26859"/>
      <w:bookmarkStart w:id="84" w:name="_Toc136004006"/>
      <w:r>
        <w:rPr>
          <w:rFonts w:ascii="宋体" w:hAnsi="宋体" w:hint="eastAsia"/>
          <w:sz w:val="28"/>
        </w:rPr>
        <w:t>公文管理子系统</w:t>
      </w:r>
      <w:bookmarkEnd w:id="83"/>
      <w:bookmarkEnd w:id="84"/>
    </w:p>
    <w:p>
      <w:pPr>
        <w:pStyle w:val="ListParagraph"/>
        <w:adjustRightInd w:val="0"/>
        <w:snapToGrid w:val="0"/>
        <w:spacing w:line="360" w:lineRule="auto"/>
        <w:ind w:firstLine="482"/>
        <w:rPr>
          <w:rFonts w:ascii="宋体" w:eastAsia="宋体" w:hAnsi="宋体" w:cs="宋体"/>
          <w:b/>
          <w:bCs/>
          <w:sz w:val="24"/>
        </w:rPr>
      </w:pPr>
      <w:r>
        <w:rPr>
          <w:rFonts w:ascii="宋体" w:eastAsia="宋体" w:hAnsi="宋体" w:cs="宋体" w:hint="eastAsia"/>
          <w:b/>
          <w:bCs/>
          <w:sz w:val="24"/>
        </w:rPr>
        <w:t>（1）公文管理系统两套</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具备同址异楼备份系统建设，具备在半小时内实现应急切换的能力</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改造主NAS和备份NAS文件双写入，保障主备NAS数据同步一致性</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配合商用密码改造，配合满足商用密码安全性评估测评</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修改文件主/协办结束流程</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优化电子公文系统退回统计功能，针对文件处节点按照“退回”和“综合退回”进行统计，可按照文件处指定格式导出</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国家级机关、直属单位、省局单点登录门户等维护</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数据库、资源系统同步、气政通平台同步、公文归档、扫描仪扫描、电子文件上传、文件格式转换、电子印章、通知消息等功能维护</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系统故障运行维护，确保应用服务主备系统快速切换。及时提交故障处置报告、定期提交报告</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配合测评检查和整改</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配合安全管理要求，及时提交系统使用审计报告等文件</w:t>
      </w:r>
    </w:p>
    <w:p>
      <w:pPr>
        <w:pStyle w:val="ListParagraph"/>
        <w:numPr>
          <w:ilvl w:val="0"/>
          <w:numId w:val="9"/>
        </w:numPr>
        <w:adjustRightInd w:val="0"/>
        <w:snapToGrid w:val="0"/>
        <w:spacing w:line="360" w:lineRule="auto"/>
        <w:ind w:firstLineChars="0"/>
        <w:rPr>
          <w:rFonts w:ascii="宋体" w:eastAsia="宋体" w:hAnsi="宋体" w:cs="宋体" w:hint="eastAsia"/>
          <w:sz w:val="24"/>
        </w:rPr>
      </w:pPr>
      <w:r>
        <w:rPr>
          <w:rFonts w:ascii="宋体" w:eastAsia="宋体" w:hAnsi="宋体" w:cs="宋体" w:hint="eastAsia"/>
          <w:sz w:val="24"/>
        </w:rPr>
        <w:t>两套公文管理系统主体通用功能维护一致</w:t>
      </w:r>
    </w:p>
    <w:p>
      <w:pPr>
        <w:pStyle w:val="ListParagraph"/>
        <w:numPr>
          <w:ilvl w:val="0"/>
          <w:numId w:val="9"/>
        </w:numPr>
        <w:adjustRightInd w:val="0"/>
        <w:snapToGrid w:val="0"/>
        <w:spacing w:line="360" w:lineRule="auto"/>
        <w:ind w:firstLineChars="0"/>
        <w:rPr>
          <w:rFonts w:ascii="宋体" w:eastAsia="宋体" w:hAnsi="宋体" w:cs="宋体" w:hint="eastAsia"/>
          <w:sz w:val="24"/>
        </w:rPr>
      </w:pPr>
      <w:r>
        <w:rPr>
          <w:rFonts w:ascii="宋体" w:eastAsia="宋体" w:hAnsi="宋体" w:cs="宋体" w:hint="eastAsia"/>
          <w:sz w:val="24"/>
        </w:rPr>
        <w:t>完成不超过4人月的软件功能优化和配置调整</w:t>
      </w:r>
    </w:p>
    <w:p>
      <w:pPr>
        <w:pStyle w:val="ListParagraph"/>
        <w:adjustRightInd w:val="0"/>
        <w:snapToGrid w:val="0"/>
        <w:spacing w:line="360" w:lineRule="auto"/>
        <w:ind w:left="630" w:firstLine="0" w:firstLineChars="0"/>
        <w:rPr>
          <w:rFonts w:ascii="宋体" w:eastAsia="宋体" w:hAnsi="宋体" w:cs="宋体"/>
          <w:b/>
          <w:bCs/>
          <w:sz w:val="24"/>
        </w:rPr>
      </w:pPr>
      <w:r>
        <w:rPr>
          <w:rFonts w:ascii="宋体" w:eastAsia="宋体" w:hAnsi="宋体" w:cs="宋体" w:hint="eastAsia"/>
          <w:b/>
          <w:bCs/>
          <w:sz w:val="24"/>
        </w:rPr>
        <w:t>（2）领导批示管理</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公文管理、突发事件、电话摘报、两办信息等数据具备领导批示数据推送功能</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领导批示综合查询、展示功能优化，满足今年批示和全量批示分别查询，支持按时间范围、标题、文号、批示信息等组合查询，兼容主流浏览器以及自适应不同分辨率正常显示，可导出自选数据保存为excel文件</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领导批示实时推送提醒功能优化</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业务网公文管理领导批示数据查询、展示、导出功能优化</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与决策区系统对接维护</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公文管理、突发事件、电话摘报、两办信息等应用的领导批示历史数据导入与数据维护</w:t>
      </w:r>
    </w:p>
    <w:p>
      <w:pPr>
        <w:pStyle w:val="ListParagraph"/>
        <w:adjustRightInd w:val="0"/>
        <w:snapToGrid w:val="0"/>
        <w:spacing w:line="360" w:lineRule="auto"/>
        <w:ind w:left="630" w:firstLine="0" w:firstLineChars="0"/>
        <w:rPr>
          <w:rFonts w:ascii="宋体" w:eastAsia="宋体" w:hAnsi="宋体" w:cs="宋体"/>
          <w:b/>
          <w:bCs/>
          <w:sz w:val="24"/>
        </w:rPr>
      </w:pPr>
      <w:r>
        <w:rPr>
          <w:rFonts w:ascii="宋体" w:eastAsia="宋体" w:hAnsi="宋体" w:cs="宋体" w:hint="eastAsia"/>
          <w:b/>
          <w:bCs/>
          <w:sz w:val="24"/>
        </w:rPr>
        <w:t>（3）文创作品申请管理</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文创作品展示功能优化，实时展示文创作品及内容，便捷用户作品查询检索</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文创作品申请功能优化，实现文创作品申请审批，规范文创作品规范管理</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文创作品维护功能优化，实现文创作品及内容的更新，具备修改及后台维护功能</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文创作品统计功能优化，实现对文创作品的统计与分析，方便用户科学决策</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与气政通平台等系统对接维护</w:t>
      </w:r>
    </w:p>
    <w:p>
      <w:pPr>
        <w:pStyle w:val="ListParagraph"/>
        <w:adjustRightInd w:val="0"/>
        <w:snapToGrid w:val="0"/>
        <w:spacing w:line="360" w:lineRule="auto"/>
        <w:ind w:left="420" w:firstLine="240" w:leftChars="200" w:firstLineChars="100"/>
        <w:rPr>
          <w:rFonts w:ascii="宋体" w:eastAsia="宋体" w:hAnsi="宋体" w:cs="宋体"/>
          <w:b/>
          <w:bCs/>
          <w:sz w:val="24"/>
        </w:rPr>
      </w:pPr>
      <w:r>
        <w:rPr>
          <w:rFonts w:ascii="宋体" w:eastAsia="宋体" w:hAnsi="宋体" w:cs="宋体" w:hint="eastAsia"/>
          <w:b/>
          <w:bCs/>
          <w:sz w:val="24"/>
        </w:rPr>
        <w:t>（4）智库声音管理</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智库产品报送模块优化，满足6个直属单位智库产品的标准化、便捷化在线报送需求，覆盖报送全流程，贴合各单位智库报送业务特点</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智库产品签收模块优化，满足实现国家局智库产品签收、分发、流转办理全流程管理</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历史智库数据导入维护，满足完整的气象智库产品数据管理，支持各直属单位历史智库产品数据的集中管理、共享复用</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与气政通平台、督办系统对接维护</w:t>
      </w:r>
    </w:p>
    <w:p>
      <w:pPr>
        <w:pStyle w:val="ListParagraph"/>
        <w:adjustRightInd w:val="0"/>
        <w:snapToGrid w:val="0"/>
        <w:spacing w:line="360" w:lineRule="auto"/>
        <w:ind w:left="420" w:firstLine="240" w:leftChars="200" w:firstLineChars="100"/>
        <w:rPr>
          <w:rFonts w:ascii="宋体" w:eastAsia="宋体" w:hAnsi="宋体" w:cs="宋体"/>
          <w:b/>
          <w:bCs/>
          <w:sz w:val="24"/>
        </w:rPr>
      </w:pPr>
      <w:r>
        <w:rPr>
          <w:rFonts w:ascii="宋体" w:eastAsia="宋体" w:hAnsi="宋体" w:cs="宋体" w:hint="eastAsia"/>
          <w:b/>
          <w:bCs/>
          <w:sz w:val="24"/>
        </w:rPr>
        <w:t>（5）规范性文件备案审批管理</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党组文件查询优化，用户可通过检索功能，查询省局和直属单位党组（委）备案文件查询</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党组文件汇总收集，汇总收集省局和直属单位党组（委）文件，实现集中展示</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党组文件审核，实现对省局和直属单位党组（委）文件审核，规范党组文件内容与形式</w:t>
      </w:r>
    </w:p>
    <w:p>
      <w:pPr>
        <w:pStyle w:val="ListParagraph"/>
        <w:numPr>
          <w:ilvl w:val="0"/>
          <w:numId w:val="9"/>
        </w:numPr>
        <w:adjustRightInd w:val="0"/>
        <w:snapToGrid w:val="0"/>
        <w:spacing w:line="360" w:lineRule="auto"/>
        <w:ind w:left="0" w:firstLine="480"/>
        <w:rPr>
          <w:rFonts w:ascii="宋体" w:eastAsia="宋体" w:hAnsi="宋体" w:cs="宋体"/>
          <w:sz w:val="24"/>
        </w:rPr>
      </w:pPr>
      <w:r>
        <w:rPr>
          <w:rFonts w:ascii="宋体" w:eastAsia="宋体" w:hAnsi="宋体" w:cs="宋体" w:hint="eastAsia"/>
          <w:sz w:val="24"/>
        </w:rPr>
        <w:t>党组文件导出，实现党组文件的导出，便于用户线下使用</w:t>
      </w:r>
    </w:p>
    <w:p>
      <w:pPr>
        <w:pStyle w:val="Heading3"/>
        <w:numPr>
          <w:ilvl w:val="1"/>
          <w:numId w:val="4"/>
        </w:numPr>
        <w:spacing w:before="240" w:after="240" w:line="360" w:lineRule="auto"/>
        <w:ind w:left="0" w:firstLine="560" w:firstLineChars="200"/>
        <w:rPr>
          <w:rFonts w:ascii="宋体" w:hAnsi="宋体"/>
          <w:sz w:val="28"/>
        </w:rPr>
      </w:pPr>
      <w:r>
        <w:rPr>
          <w:rFonts w:ascii="宋体" w:hAnsi="宋体" w:hint="eastAsia"/>
          <w:sz w:val="28"/>
        </w:rPr>
        <w:t>突发事件管理子系统</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与安全生产系统集成，将突发事件办结后的基本信息、领导意见、正文附件推送至安全生产系统</w:t>
      </w:r>
    </w:p>
    <w:p>
      <w:pPr>
        <w:pStyle w:val="Heading3"/>
        <w:numPr>
          <w:ilvl w:val="1"/>
          <w:numId w:val="4"/>
        </w:numPr>
        <w:spacing w:before="240" w:after="240" w:line="360" w:lineRule="auto"/>
        <w:ind w:left="0" w:firstLine="560" w:firstLineChars="200"/>
        <w:rPr>
          <w:rFonts w:ascii="宋体" w:hAnsi="宋体"/>
          <w:sz w:val="28"/>
        </w:rPr>
      </w:pPr>
      <w:r>
        <w:rPr>
          <w:rFonts w:ascii="宋体" w:hAnsi="宋体" w:hint="eastAsia"/>
          <w:sz w:val="28"/>
        </w:rPr>
        <w:t>要情管理子系统</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分类汇总各单位稿件使用信息，便于年底综合考评</w:t>
      </w:r>
    </w:p>
    <w:p>
      <w:pPr>
        <w:pStyle w:val="Heading3"/>
        <w:numPr>
          <w:ilvl w:val="1"/>
          <w:numId w:val="4"/>
        </w:numPr>
        <w:spacing w:before="240" w:after="240" w:line="360" w:lineRule="auto"/>
        <w:ind w:left="0" w:firstLine="560" w:firstLineChars="200"/>
        <w:rPr>
          <w:rFonts w:ascii="宋体" w:hAnsi="宋体"/>
          <w:sz w:val="28"/>
        </w:rPr>
      </w:pPr>
      <w:bookmarkStart w:id="85" w:name="_Toc4039"/>
      <w:bookmarkStart w:id="86" w:name="_Toc136004010"/>
      <w:r>
        <w:rPr>
          <w:rFonts w:ascii="宋体" w:hAnsi="宋体" w:hint="eastAsia"/>
          <w:sz w:val="28"/>
        </w:rPr>
        <w:t>电子签章系统</w:t>
      </w:r>
      <w:bookmarkEnd w:id="85"/>
      <w:bookmarkEnd w:id="86"/>
    </w:p>
    <w:p>
      <w:pPr>
        <w:pStyle w:val="ListParagraph"/>
        <w:numPr>
          <w:ilvl w:val="0"/>
          <w:numId w:val="9"/>
        </w:numPr>
        <w:adjustRightInd w:val="0"/>
        <w:snapToGrid w:val="0"/>
        <w:spacing w:line="360" w:lineRule="auto"/>
        <w:ind w:firstLineChars="0"/>
        <w:rPr>
          <w:rFonts w:ascii="宋体" w:eastAsia="宋体" w:hAnsi="宋体" w:cs="宋体"/>
          <w:sz w:val="24"/>
        </w:rPr>
      </w:pPr>
      <w:bookmarkStart w:id="87" w:name="_Toc136004011"/>
      <w:r>
        <w:rPr>
          <w:rFonts w:ascii="宋体" w:eastAsia="宋体" w:hAnsi="宋体" w:cs="宋体" w:hint="eastAsia"/>
          <w:sz w:val="24"/>
        </w:rPr>
        <w:t>制作印章并完成相关配置</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制作签章key</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国家局大院内上面处置文秘节点白板等常见问题</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每季度提交全国（地市级）各单位用章使用情况</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每季度提交全国（县级）签章制作和使用情况</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配合商用密码改造</w:t>
      </w:r>
    </w:p>
    <w:bookmarkEnd w:id="87"/>
    <w:p>
      <w:pPr>
        <w:pStyle w:val="Heading3"/>
        <w:numPr>
          <w:ilvl w:val="1"/>
          <w:numId w:val="4"/>
        </w:numPr>
        <w:spacing w:before="240" w:after="240" w:line="360" w:lineRule="auto"/>
        <w:ind w:left="0" w:firstLine="560" w:firstLineChars="200"/>
        <w:rPr>
          <w:rFonts w:ascii="宋体" w:hAnsi="宋体"/>
          <w:sz w:val="28"/>
        </w:rPr>
      </w:pPr>
      <w:r>
        <w:rPr>
          <w:rFonts w:ascii="宋体" w:hAnsi="宋体" w:hint="eastAsia"/>
          <w:sz w:val="28"/>
        </w:rPr>
        <w:t>运维基线文档</w:t>
      </w:r>
    </w:p>
    <w:p>
      <w:pPr>
        <w:pStyle w:val="ListParagraph"/>
        <w:adjustRightInd w:val="0"/>
        <w:snapToGrid w:val="0"/>
        <w:spacing w:line="360" w:lineRule="auto"/>
        <w:ind w:left="630" w:firstLine="0" w:firstLineChars="0"/>
        <w:rPr>
          <w:rFonts w:ascii="宋体" w:eastAsia="宋体" w:hAnsi="宋体" w:cs="宋体"/>
          <w:sz w:val="24"/>
          <w:lang w:bidi="ar"/>
        </w:rPr>
      </w:pPr>
      <w:r>
        <w:rPr>
          <w:rFonts w:ascii="宋体" w:eastAsia="宋体" w:hAnsi="宋体" w:cs="宋体" w:hint="eastAsia"/>
          <w:sz w:val="24"/>
          <w:lang w:bidi="ar"/>
        </w:rPr>
        <w:t>各系统协助提供运维基线文档如下：</w:t>
      </w:r>
    </w:p>
    <w:p>
      <w:pPr>
        <w:pStyle w:val="ListParagraph"/>
        <w:numPr>
          <w:ilvl w:val="0"/>
          <w:numId w:val="9"/>
        </w:numPr>
        <w:adjustRightInd w:val="0"/>
        <w:snapToGrid w:val="0"/>
        <w:spacing w:line="360" w:lineRule="auto"/>
        <w:ind w:firstLineChars="0"/>
        <w:rPr>
          <w:rFonts w:ascii="宋体" w:eastAsia="宋体" w:hAnsi="宋体" w:cs="宋体"/>
          <w:sz w:val="24"/>
          <w:lang w:bidi="ar"/>
        </w:rPr>
      </w:pPr>
      <w:r>
        <w:rPr>
          <w:rFonts w:ascii="宋体" w:eastAsia="宋体" w:hAnsi="宋体" w:cs="宋体" w:hint="eastAsia"/>
          <w:sz w:val="24"/>
          <w:lang w:bidi="ar"/>
        </w:rPr>
        <w:t>系统资产文档：覆盖生产系统、备份系统和测试仿真系统的资产基本信息，包括但不限于主机、网络端口、云平台、数据库、中间件、第三方软件等</w:t>
      </w:r>
    </w:p>
    <w:p>
      <w:pPr>
        <w:pStyle w:val="ListParagraph"/>
        <w:numPr>
          <w:ilvl w:val="0"/>
          <w:numId w:val="9"/>
        </w:numPr>
        <w:adjustRightInd w:val="0"/>
        <w:snapToGrid w:val="0"/>
        <w:spacing w:line="360" w:lineRule="auto"/>
        <w:ind w:firstLineChars="0"/>
        <w:rPr>
          <w:rFonts w:ascii="宋体" w:eastAsia="宋体" w:hAnsi="宋体" w:cs="宋体"/>
          <w:sz w:val="24"/>
          <w:lang w:bidi="ar"/>
        </w:rPr>
      </w:pPr>
      <w:r>
        <w:rPr>
          <w:rFonts w:ascii="宋体" w:eastAsia="宋体" w:hAnsi="宋体" w:cs="宋体" w:hint="eastAsia"/>
          <w:sz w:val="24"/>
          <w:lang w:bidi="ar"/>
        </w:rPr>
        <w:t>巡检手册：系统日常巡检维护工作的内容、频次、技术操作步骤及异常判定标准，包括但不限于服务器资源使用情况、系统软件和应用软件运行状态、应用和数据备份情况等；巡检工作记录，包括但不限于巡检时间、巡检人员、巡检内容、发现的问题等</w:t>
      </w:r>
    </w:p>
    <w:p>
      <w:pPr>
        <w:pStyle w:val="ListParagraph"/>
        <w:numPr>
          <w:ilvl w:val="0"/>
          <w:numId w:val="9"/>
        </w:numPr>
        <w:adjustRightInd w:val="0"/>
        <w:snapToGrid w:val="0"/>
        <w:spacing w:line="360" w:lineRule="auto"/>
        <w:ind w:firstLineChars="0"/>
        <w:rPr>
          <w:rFonts w:ascii="宋体" w:eastAsia="宋体" w:hAnsi="宋体" w:cs="宋体"/>
          <w:sz w:val="24"/>
          <w:lang w:bidi="ar"/>
        </w:rPr>
      </w:pPr>
      <w:r>
        <w:rPr>
          <w:rFonts w:ascii="宋体" w:eastAsia="宋体" w:hAnsi="宋体" w:cs="宋体" w:hint="eastAsia"/>
          <w:sz w:val="24"/>
          <w:lang w:bidi="ar"/>
        </w:rPr>
        <w:t>配置和运维手册：系统核心配置文件的配置参数及调整方法，应用启停、集群扩展、应用升级的过程、方法及技术操作步骤，应用主要日志文件及日志信息等</w:t>
      </w:r>
    </w:p>
    <w:p>
      <w:pPr>
        <w:pStyle w:val="ListParagraph"/>
        <w:numPr>
          <w:ilvl w:val="0"/>
          <w:numId w:val="9"/>
        </w:numPr>
        <w:adjustRightInd w:val="0"/>
        <w:snapToGrid w:val="0"/>
        <w:spacing w:line="360" w:lineRule="auto"/>
        <w:ind w:firstLineChars="0"/>
        <w:rPr>
          <w:rFonts w:ascii="宋体" w:eastAsia="宋体" w:hAnsi="宋体" w:cs="宋体"/>
          <w:sz w:val="24"/>
          <w:lang w:bidi="ar"/>
        </w:rPr>
      </w:pPr>
      <w:r>
        <w:rPr>
          <w:rFonts w:ascii="宋体" w:eastAsia="宋体" w:hAnsi="宋体" w:cs="宋体" w:hint="eastAsia"/>
          <w:sz w:val="24"/>
          <w:lang w:bidi="ar"/>
        </w:rPr>
        <w:t>故障处理手册：系统常见运行故障的发生场景、表现现象、判定方法、排查手段、解决方法、故障恢复技术操作步骤和故障排除验证方法等</w:t>
      </w:r>
    </w:p>
    <w:p>
      <w:pPr>
        <w:pStyle w:val="ListParagraph"/>
        <w:numPr>
          <w:ilvl w:val="0"/>
          <w:numId w:val="9"/>
        </w:numPr>
        <w:adjustRightInd w:val="0"/>
        <w:snapToGrid w:val="0"/>
        <w:spacing w:line="360" w:lineRule="auto"/>
        <w:ind w:firstLineChars="0"/>
        <w:rPr>
          <w:rFonts w:ascii="宋体" w:eastAsia="宋体" w:hAnsi="宋体" w:cs="宋体"/>
          <w:sz w:val="24"/>
          <w:lang w:bidi="ar"/>
        </w:rPr>
      </w:pPr>
      <w:r>
        <w:rPr>
          <w:rFonts w:ascii="宋体" w:eastAsia="宋体" w:hAnsi="宋体" w:cs="宋体" w:hint="eastAsia"/>
          <w:sz w:val="24"/>
          <w:lang w:bidi="ar"/>
        </w:rPr>
        <w:t>系统用户手册：系统面向不同用户群的具体使用方法和操作步骤等</w:t>
      </w:r>
    </w:p>
    <w:p>
      <w:pPr>
        <w:pStyle w:val="ListParagraph"/>
        <w:numPr>
          <w:ilvl w:val="0"/>
          <w:numId w:val="9"/>
        </w:numPr>
        <w:adjustRightInd w:val="0"/>
        <w:snapToGrid w:val="0"/>
        <w:spacing w:line="360" w:lineRule="auto"/>
        <w:ind w:firstLineChars="0"/>
        <w:rPr>
          <w:rFonts w:ascii="宋体" w:eastAsia="宋体" w:hAnsi="宋体" w:cs="宋体"/>
          <w:sz w:val="24"/>
          <w:lang w:bidi="ar"/>
        </w:rPr>
      </w:pPr>
      <w:r>
        <w:rPr>
          <w:rFonts w:ascii="宋体" w:eastAsia="宋体" w:hAnsi="宋体" w:cs="宋体" w:hint="eastAsia"/>
          <w:sz w:val="24"/>
          <w:lang w:bidi="ar"/>
        </w:rPr>
        <w:t>气象服务保障工作方案（暨应急预案）：系统的保障任务和保障措施，以及重要政务应用发生业务故障、网络安全事件时的应急预案，包括应急处理流程、处置步骤和操作方法</w:t>
      </w:r>
    </w:p>
    <w:p>
      <w:pPr>
        <w:pStyle w:val="ListParagraph"/>
        <w:numPr>
          <w:ilvl w:val="0"/>
          <w:numId w:val="9"/>
        </w:numPr>
        <w:adjustRightInd w:val="0"/>
        <w:snapToGrid w:val="0"/>
        <w:spacing w:line="360" w:lineRule="auto"/>
        <w:ind w:firstLineChars="0"/>
        <w:rPr>
          <w:rFonts w:ascii="宋体" w:eastAsia="宋体" w:hAnsi="宋体" w:cs="宋体"/>
          <w:sz w:val="24"/>
          <w:lang w:bidi="ar"/>
        </w:rPr>
      </w:pPr>
      <w:r>
        <w:rPr>
          <w:rFonts w:ascii="宋体" w:eastAsia="宋体" w:hAnsi="宋体" w:cs="宋体" w:hint="eastAsia"/>
          <w:sz w:val="24"/>
          <w:lang w:bidi="ar"/>
        </w:rPr>
        <w:t>汛期检查手册：汛期检查工作的检查内容、检查人员、检查结果、发现的问题、解决措施和计划、备份系统或措施以及应急处置方案</w:t>
      </w:r>
    </w:p>
    <w:p>
      <w:pPr>
        <w:pStyle w:val="ListParagraph"/>
        <w:numPr>
          <w:ilvl w:val="0"/>
          <w:numId w:val="9"/>
        </w:numPr>
        <w:adjustRightInd w:val="0"/>
        <w:snapToGrid w:val="0"/>
        <w:spacing w:line="360" w:lineRule="auto"/>
        <w:ind w:firstLineChars="0"/>
        <w:rPr>
          <w:rFonts w:ascii="宋体" w:eastAsia="宋体" w:hAnsi="宋体" w:cs="宋体"/>
          <w:sz w:val="24"/>
          <w:lang w:bidi="ar"/>
        </w:rPr>
      </w:pPr>
      <w:r>
        <w:rPr>
          <w:rFonts w:ascii="宋体" w:eastAsia="宋体" w:hAnsi="宋体" w:cs="宋体" w:hint="eastAsia"/>
          <w:sz w:val="24"/>
          <w:lang w:bidi="ar"/>
        </w:rPr>
        <w:t>汛期应急演练方案：包括但不限于系统汛期演练的过程及操作规程，模拟核心数据库及多应用生产系统的多种故障场景，演练如何切换至备份系统，以及生产系统恢复后的系统回切，验证操作步骤及备份系统的有效性</w:t>
      </w:r>
    </w:p>
    <w:p>
      <w:pPr>
        <w:pStyle w:val="ListParagraph"/>
        <w:numPr>
          <w:ilvl w:val="0"/>
          <w:numId w:val="9"/>
        </w:numPr>
        <w:adjustRightInd w:val="0"/>
        <w:snapToGrid w:val="0"/>
        <w:spacing w:line="360" w:lineRule="auto"/>
        <w:ind w:firstLineChars="0"/>
        <w:rPr>
          <w:rFonts w:ascii="宋体" w:hAnsi="宋体" w:cs="宋体"/>
          <w:sz w:val="24"/>
        </w:rPr>
      </w:pPr>
      <w:r>
        <w:rPr>
          <w:rFonts w:ascii="宋体" w:eastAsia="宋体" w:hAnsi="宋体" w:cs="宋体" w:hint="eastAsia"/>
          <w:sz w:val="24"/>
          <w:lang w:bidi="ar"/>
        </w:rPr>
        <w:t>培训课件：提供培训要求的课件，包括但不限于功能介绍、用户使用、系统管理、技术交流等，并开展技术培训</w:t>
      </w:r>
    </w:p>
    <w:p>
      <w:pPr>
        <w:pStyle w:val="Heading1"/>
        <w:numPr>
          <w:ilvl w:val="0"/>
          <w:numId w:val="4"/>
        </w:numPr>
        <w:spacing w:before="120" w:after="120" w:line="480" w:lineRule="auto"/>
        <w:ind w:left="505" w:hanging="505"/>
        <w:rPr>
          <w:rFonts w:ascii="宋体" w:hAnsi="宋体"/>
          <w:sz w:val="28"/>
        </w:rPr>
      </w:pPr>
      <w:bookmarkStart w:id="88" w:name="_Toc136004016"/>
      <w:bookmarkStart w:id="89" w:name="_Toc32766"/>
      <w:bookmarkStart w:id="90" w:name="_Toc531336031"/>
      <w:r>
        <w:rPr>
          <w:rFonts w:ascii="宋体" w:hAnsi="宋体" w:hint="eastAsia"/>
          <w:sz w:val="28"/>
        </w:rPr>
        <w:t>项目约束</w:t>
      </w:r>
      <w:bookmarkEnd w:id="88"/>
      <w:bookmarkEnd w:id="89"/>
    </w:p>
    <w:p>
      <w:pPr>
        <w:adjustRightInd w:val="0"/>
        <w:snapToGrid w:val="0"/>
        <w:spacing w:line="360" w:lineRule="auto"/>
        <w:ind w:firstLine="480" w:firstLineChars="200"/>
        <w:rPr>
          <w:rFonts w:ascii="宋体" w:hAnsi="宋体" w:cs="宋体"/>
        </w:rPr>
      </w:pPr>
      <w:r>
        <w:rPr>
          <w:rFonts w:ascii="宋体" w:hAnsi="宋体" w:cs="宋体" w:hint="eastAsia"/>
          <w:sz w:val="24"/>
          <w:szCs w:val="24"/>
        </w:rPr>
        <w:t>根据国家气象信息中心制定的《气政通运行管理办法》、《业务变更管理流程》、《业务故障管理流程》等管理办法及要求执行运维工作。</w:t>
      </w:r>
    </w:p>
    <w:p>
      <w:pPr>
        <w:pStyle w:val="Heading1"/>
        <w:numPr>
          <w:ilvl w:val="0"/>
          <w:numId w:val="4"/>
        </w:numPr>
        <w:spacing w:before="120" w:after="120" w:line="480" w:lineRule="auto"/>
        <w:ind w:left="505" w:hanging="505"/>
        <w:rPr>
          <w:rFonts w:ascii="宋体" w:hAnsi="宋体"/>
          <w:sz w:val="28"/>
        </w:rPr>
      </w:pPr>
      <w:bookmarkStart w:id="91" w:name="_Toc136004017"/>
      <w:bookmarkStart w:id="92" w:name="_Toc20982"/>
      <w:r>
        <w:rPr>
          <w:rFonts w:ascii="宋体" w:hAnsi="宋体" w:hint="eastAsia"/>
          <w:sz w:val="28"/>
        </w:rPr>
        <w:t>运维要求</w:t>
      </w:r>
      <w:bookmarkEnd w:id="90"/>
      <w:bookmarkEnd w:id="91"/>
      <w:bookmarkEnd w:id="92"/>
    </w:p>
    <w:p>
      <w:pPr>
        <w:adjustRightInd w:val="0"/>
        <w:snapToGrid w:val="0"/>
        <w:spacing w:line="360" w:lineRule="auto"/>
        <w:ind w:firstLine="480" w:firstLineChars="200"/>
        <w:rPr>
          <w:rFonts w:ascii="宋体" w:hAnsi="宋体" w:cs="宋体"/>
        </w:rPr>
      </w:pPr>
      <w:r>
        <w:rPr>
          <w:rFonts w:ascii="宋体" w:hAnsi="宋体" w:cs="宋体" w:hint="eastAsia"/>
          <w:sz w:val="24"/>
          <w:szCs w:val="24"/>
        </w:rPr>
        <w:t>本项目要求各系统承建商安排有专门服务人员驻国家气象信息中心，提供驻场技术支持服务，具体服务指标要求如下：</w:t>
      </w:r>
    </w:p>
    <w:p>
      <w:pPr>
        <w:pStyle w:val="ListParagraph"/>
        <w:numPr>
          <w:ilvl w:val="0"/>
          <w:numId w:val="9"/>
        </w:numPr>
        <w:adjustRightInd w:val="0"/>
        <w:snapToGrid w:val="0"/>
        <w:spacing w:line="360" w:lineRule="auto"/>
        <w:ind w:firstLineChars="0"/>
        <w:rPr>
          <w:rFonts w:ascii="宋体" w:hAnsi="宋体" w:cs="宋体"/>
          <w:sz w:val="24"/>
        </w:rPr>
      </w:pPr>
      <w:r>
        <w:rPr>
          <w:rFonts w:ascii="宋体" w:eastAsia="宋体" w:hAnsi="宋体" w:cs="宋体" w:hint="eastAsia"/>
          <w:sz w:val="24"/>
        </w:rPr>
        <w:t>提供不少于3人的驻场运维及技术支持服务，其中公文管理系统不少于2人。</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驻场运维工程师5×10小时（工作日 7:30-18:00（国家法定节假日除外），18:00-19:00需要至少1人留守响应）常驻中国气象局现场，专职为</w:t>
      </w:r>
      <w:r>
        <w:rPr>
          <w:rFonts w:ascii="宋体" w:hAnsi="宋体" w:hint="eastAsia"/>
          <w:sz w:val="24"/>
        </w:rPr>
        <w:t>采购</w:t>
      </w:r>
      <w:r>
        <w:rPr>
          <w:rFonts w:ascii="宋体" w:eastAsia="宋体" w:hAnsi="宋体" w:cs="宋体" w:hint="eastAsia"/>
          <w:sz w:val="24"/>
        </w:rPr>
        <w:t>方服务，驻现场运维工程师的作息时间与甲方保持一致，第一时间解决和处理系统日常运行中的问题及突发事件</w:t>
      </w:r>
    </w:p>
    <w:p>
      <w:pPr>
        <w:pStyle w:val="ListParagraph"/>
        <w:numPr>
          <w:ilvl w:val="0"/>
          <w:numId w:val="9"/>
        </w:numPr>
        <w:adjustRightInd w:val="0"/>
        <w:snapToGrid w:val="0"/>
        <w:spacing w:line="360" w:lineRule="auto"/>
        <w:ind w:firstLineChars="0"/>
        <w:rPr>
          <w:rFonts w:ascii="宋体" w:eastAsia="宋体" w:hAnsi="宋体" w:cs="宋体"/>
          <w:sz w:val="24"/>
        </w:rPr>
      </w:pPr>
      <w:r>
        <w:rPr>
          <w:rFonts w:ascii="宋体" w:eastAsia="宋体" w:hAnsi="宋体" w:cs="宋体" w:hint="eastAsia"/>
          <w:sz w:val="24"/>
        </w:rPr>
        <w:t>需有专人保持手机24小时畅通</w:t>
      </w:r>
    </w:p>
    <w:p>
      <w:pPr>
        <w:pStyle w:val="ListParagraph"/>
        <w:numPr>
          <w:ilvl w:val="0"/>
          <w:numId w:val="9"/>
        </w:numPr>
        <w:adjustRightInd w:val="0"/>
        <w:snapToGrid w:val="0"/>
        <w:spacing w:line="360" w:lineRule="auto"/>
        <w:ind w:firstLineChars="0"/>
        <w:rPr>
          <w:rFonts w:ascii="宋体" w:eastAsia="宋体" w:hAnsi="宋体" w:cs="宋体"/>
          <w:szCs w:val="21"/>
        </w:rPr>
      </w:pPr>
      <w:r>
        <w:rPr>
          <w:rFonts w:ascii="宋体" w:eastAsia="宋体" w:hAnsi="宋体" w:cs="宋体" w:hint="eastAsia"/>
          <w:sz w:val="24"/>
        </w:rPr>
        <w:t>驻场人员需掌握所辖系统具体情况，运维期间确定驻场人员后无特殊原因不可自行更换</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17"/>
        <w:gridCol w:w="2268"/>
        <w:gridCol w:w="2268"/>
        <w:gridCol w:w="316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817" w:type="dxa"/>
            <w:vAlign w:val="center"/>
          </w:tcPr>
          <w:p>
            <w:pPr>
              <w:rPr>
                <w:rFonts w:ascii="宋体" w:hAnsi="宋体" w:cs="宋体"/>
                <w:kern w:val="0"/>
                <w:szCs w:val="21"/>
              </w:rPr>
            </w:pPr>
            <w:r>
              <w:rPr>
                <w:rFonts w:ascii="宋体" w:hAnsi="宋体" w:cs="宋体" w:hint="eastAsia"/>
                <w:kern w:val="0"/>
                <w:szCs w:val="21"/>
              </w:rPr>
              <w:t>序号</w:t>
            </w:r>
          </w:p>
        </w:tc>
        <w:tc>
          <w:tcPr>
            <w:tcW w:w="2268" w:type="dxa"/>
            <w:vAlign w:val="center"/>
          </w:tcPr>
          <w:p>
            <w:pPr>
              <w:rPr>
                <w:rFonts w:ascii="宋体" w:hAnsi="宋体" w:cs="宋体"/>
                <w:kern w:val="0"/>
                <w:szCs w:val="21"/>
              </w:rPr>
            </w:pPr>
            <w:r>
              <w:rPr>
                <w:rFonts w:ascii="宋体" w:hAnsi="宋体" w:cs="宋体" w:hint="eastAsia"/>
                <w:kern w:val="0"/>
                <w:szCs w:val="21"/>
              </w:rPr>
              <w:t>服务指标</w:t>
            </w:r>
          </w:p>
        </w:tc>
        <w:tc>
          <w:tcPr>
            <w:tcW w:w="2268" w:type="dxa"/>
            <w:vAlign w:val="center"/>
          </w:tcPr>
          <w:p>
            <w:pPr>
              <w:rPr>
                <w:rFonts w:ascii="宋体" w:hAnsi="宋体" w:cs="宋体"/>
                <w:kern w:val="0"/>
                <w:szCs w:val="21"/>
              </w:rPr>
            </w:pPr>
            <w:r>
              <w:rPr>
                <w:rFonts w:ascii="宋体" w:hAnsi="宋体" w:cs="宋体" w:hint="eastAsia"/>
                <w:kern w:val="0"/>
                <w:szCs w:val="21"/>
              </w:rPr>
              <w:t>指标计算说明</w:t>
            </w:r>
          </w:p>
        </w:tc>
        <w:tc>
          <w:tcPr>
            <w:tcW w:w="3169" w:type="dxa"/>
          </w:tcPr>
          <w:p>
            <w:pPr>
              <w:rPr>
                <w:rFonts w:ascii="宋体" w:hAnsi="宋体" w:cs="宋体"/>
                <w:kern w:val="0"/>
                <w:szCs w:val="21"/>
              </w:rPr>
            </w:pPr>
            <w:r>
              <w:rPr>
                <w:rFonts w:ascii="宋体" w:hAnsi="宋体" w:cs="宋体" w:hint="eastAsia"/>
                <w:kern w:val="0"/>
                <w:szCs w:val="21"/>
              </w:rPr>
              <w:t>目标值</w:t>
            </w:r>
          </w:p>
        </w:tc>
      </w:tr>
      <w:tr>
        <w:tblPrEx>
          <w:tblW w:w="0" w:type="auto"/>
          <w:tblInd w:w="0" w:type="dxa"/>
          <w:tblCellMar>
            <w:top w:w="0" w:type="dxa"/>
            <w:left w:w="108" w:type="dxa"/>
            <w:bottom w:w="0" w:type="dxa"/>
            <w:right w:w="108" w:type="dxa"/>
          </w:tblCellMar>
        </w:tblPrEx>
        <w:tc>
          <w:tcPr>
            <w:tcW w:w="817" w:type="dxa"/>
            <w:vAlign w:val="center"/>
          </w:tcPr>
          <w:p>
            <w:pPr>
              <w:rPr>
                <w:rFonts w:ascii="宋体" w:hAnsi="宋体" w:cs="宋体"/>
                <w:kern w:val="0"/>
                <w:szCs w:val="21"/>
              </w:rPr>
            </w:pPr>
            <w:r>
              <w:rPr>
                <w:rFonts w:ascii="宋体" w:hAnsi="宋体" w:cs="宋体" w:hint="eastAsia"/>
                <w:kern w:val="0"/>
                <w:szCs w:val="21"/>
              </w:rPr>
              <w:t>1</w:t>
            </w:r>
          </w:p>
        </w:tc>
        <w:tc>
          <w:tcPr>
            <w:tcW w:w="2268" w:type="dxa"/>
            <w:vAlign w:val="center"/>
          </w:tcPr>
          <w:p>
            <w:pPr>
              <w:rPr>
                <w:rFonts w:ascii="宋体" w:hAnsi="宋体" w:cs="宋体"/>
                <w:kern w:val="0"/>
                <w:szCs w:val="21"/>
              </w:rPr>
            </w:pPr>
            <w:r>
              <w:rPr>
                <w:rFonts w:ascii="宋体" w:hAnsi="宋体" w:cs="宋体" w:hint="eastAsia"/>
                <w:kern w:val="0"/>
                <w:szCs w:val="21"/>
              </w:rPr>
              <w:t>终端运维-应用服务运维支持响应</w:t>
            </w:r>
          </w:p>
        </w:tc>
        <w:tc>
          <w:tcPr>
            <w:tcW w:w="2268" w:type="dxa"/>
            <w:vMerge w:val="restart"/>
            <w:vAlign w:val="center"/>
          </w:tcPr>
          <w:p>
            <w:pPr>
              <w:rPr>
                <w:rFonts w:ascii="宋体" w:hAnsi="宋体" w:cs="宋体"/>
                <w:kern w:val="0"/>
                <w:szCs w:val="21"/>
              </w:rPr>
            </w:pPr>
            <w:r>
              <w:rPr>
                <w:rFonts w:ascii="宋体" w:hAnsi="宋体" w:cs="宋体" w:hint="eastAsia"/>
                <w:kern w:val="0"/>
                <w:szCs w:val="21"/>
              </w:rPr>
              <w:t>从接听服务电话到开始服务的时间</w:t>
            </w:r>
          </w:p>
        </w:tc>
        <w:tc>
          <w:tcPr>
            <w:tcW w:w="3169" w:type="dxa"/>
            <w:vMerge w:val="restart"/>
            <w:vAlign w:val="center"/>
          </w:tcPr>
          <w:p>
            <w:pPr>
              <w:pStyle w:val="NormalWeb"/>
              <w:numPr>
                <w:ilvl w:val="0"/>
                <w:numId w:val="10"/>
              </w:numPr>
              <w:spacing w:before="0" w:beforeAutospacing="0" w:after="0" w:afterAutospacing="0"/>
              <w:rPr>
                <w:kern w:val="2"/>
                <w:sz w:val="21"/>
                <w:szCs w:val="21"/>
              </w:rPr>
            </w:pPr>
            <w:r>
              <w:rPr>
                <w:rFonts w:hint="eastAsia"/>
                <w:kern w:val="2"/>
                <w:sz w:val="21"/>
                <w:szCs w:val="21"/>
              </w:rPr>
              <w:t>重点用户15分钟内响应并提供服务</w:t>
            </w:r>
          </w:p>
          <w:p>
            <w:pPr>
              <w:pStyle w:val="NormalWeb"/>
              <w:numPr>
                <w:ilvl w:val="0"/>
                <w:numId w:val="10"/>
              </w:numPr>
              <w:spacing w:before="0" w:beforeAutospacing="0" w:after="0" w:afterAutospacing="0"/>
              <w:rPr>
                <w:kern w:val="2"/>
                <w:sz w:val="21"/>
                <w:szCs w:val="21"/>
              </w:rPr>
            </w:pPr>
            <w:r>
              <w:rPr>
                <w:rFonts w:hint="eastAsia"/>
                <w:kern w:val="2"/>
                <w:sz w:val="21"/>
                <w:szCs w:val="21"/>
              </w:rPr>
              <w:t>其他人员30分钟内提供远程或电话支持；</w:t>
            </w:r>
          </w:p>
          <w:p>
            <w:pPr>
              <w:pStyle w:val="NormalWeb"/>
              <w:spacing w:before="0" w:beforeAutospacing="0" w:after="0" w:afterAutospacing="0"/>
              <w:rPr>
                <w:kern w:val="2"/>
                <w:sz w:val="21"/>
                <w:szCs w:val="21"/>
              </w:rPr>
            </w:pPr>
            <w:r>
              <w:rPr>
                <w:rFonts w:hint="eastAsia"/>
                <w:kern w:val="2"/>
                <w:sz w:val="21"/>
                <w:szCs w:val="21"/>
              </w:rPr>
              <w:t>如需现场服务1小时以内到场</w:t>
            </w:r>
          </w:p>
        </w:tc>
      </w:tr>
      <w:tr>
        <w:tblPrEx>
          <w:tblW w:w="0" w:type="auto"/>
          <w:tblInd w:w="0" w:type="dxa"/>
          <w:tblCellMar>
            <w:top w:w="0" w:type="dxa"/>
            <w:left w:w="108" w:type="dxa"/>
            <w:bottom w:w="0" w:type="dxa"/>
            <w:right w:w="108" w:type="dxa"/>
          </w:tblCellMar>
        </w:tblPrEx>
        <w:tc>
          <w:tcPr>
            <w:tcW w:w="817" w:type="dxa"/>
            <w:vAlign w:val="center"/>
          </w:tcPr>
          <w:p>
            <w:pPr>
              <w:rPr>
                <w:rFonts w:ascii="宋体" w:hAnsi="宋体" w:cs="宋体"/>
                <w:kern w:val="0"/>
                <w:szCs w:val="21"/>
              </w:rPr>
            </w:pPr>
            <w:r>
              <w:rPr>
                <w:rFonts w:ascii="宋体" w:hAnsi="宋体" w:cs="宋体" w:hint="eastAsia"/>
                <w:kern w:val="0"/>
                <w:szCs w:val="21"/>
              </w:rPr>
              <w:t>2</w:t>
            </w:r>
          </w:p>
        </w:tc>
        <w:tc>
          <w:tcPr>
            <w:tcW w:w="2268" w:type="dxa"/>
            <w:vAlign w:val="center"/>
          </w:tcPr>
          <w:p>
            <w:pPr>
              <w:rPr>
                <w:rFonts w:ascii="宋体" w:hAnsi="宋体" w:cs="宋体"/>
                <w:kern w:val="0"/>
                <w:szCs w:val="21"/>
              </w:rPr>
            </w:pPr>
          </w:p>
        </w:tc>
        <w:tc>
          <w:tcPr>
            <w:tcW w:w="2268" w:type="dxa"/>
            <w:vMerge/>
            <w:vAlign w:val="center"/>
          </w:tcPr>
          <w:p>
            <w:pPr>
              <w:rPr>
                <w:rFonts w:ascii="宋体" w:hAnsi="宋体" w:cs="宋体"/>
                <w:kern w:val="0"/>
                <w:szCs w:val="21"/>
              </w:rPr>
            </w:pPr>
          </w:p>
        </w:tc>
        <w:tc>
          <w:tcPr>
            <w:tcW w:w="3169" w:type="dxa"/>
            <w:vMerge/>
            <w:vAlign w:val="center"/>
          </w:tcPr>
          <w:p>
            <w:pPr>
              <w:rPr>
                <w:rFonts w:ascii="宋体" w:hAnsi="宋体" w:cs="宋体"/>
                <w:kern w:val="0"/>
                <w:szCs w:val="21"/>
              </w:rPr>
            </w:pPr>
          </w:p>
        </w:tc>
      </w:tr>
      <w:tr>
        <w:tblPrEx>
          <w:tblW w:w="0" w:type="auto"/>
          <w:tblInd w:w="0" w:type="dxa"/>
          <w:tblCellMar>
            <w:top w:w="0" w:type="dxa"/>
            <w:left w:w="108" w:type="dxa"/>
            <w:bottom w:w="0" w:type="dxa"/>
            <w:right w:w="108" w:type="dxa"/>
          </w:tblCellMar>
        </w:tblPrEx>
        <w:tc>
          <w:tcPr>
            <w:tcW w:w="817" w:type="dxa"/>
            <w:vAlign w:val="center"/>
          </w:tcPr>
          <w:p>
            <w:pPr>
              <w:rPr>
                <w:rFonts w:ascii="宋体" w:hAnsi="宋体" w:cs="宋体"/>
                <w:kern w:val="0"/>
                <w:szCs w:val="21"/>
              </w:rPr>
            </w:pPr>
            <w:r>
              <w:rPr>
                <w:rFonts w:ascii="宋体" w:hAnsi="宋体" w:cs="宋体" w:hint="eastAsia"/>
                <w:kern w:val="0"/>
                <w:szCs w:val="21"/>
              </w:rPr>
              <w:t>3</w:t>
            </w:r>
          </w:p>
        </w:tc>
        <w:tc>
          <w:tcPr>
            <w:tcW w:w="2268" w:type="dxa"/>
            <w:vAlign w:val="center"/>
          </w:tcPr>
          <w:p>
            <w:pPr>
              <w:rPr>
                <w:rFonts w:ascii="宋体" w:hAnsi="宋体" w:cs="宋体"/>
                <w:kern w:val="0"/>
                <w:szCs w:val="21"/>
              </w:rPr>
            </w:pPr>
            <w:r>
              <w:rPr>
                <w:rFonts w:ascii="宋体" w:hAnsi="宋体" w:cs="宋体" w:hint="eastAsia"/>
                <w:kern w:val="0"/>
                <w:szCs w:val="21"/>
              </w:rPr>
              <w:t>应用服务运维支持响应</w:t>
            </w:r>
          </w:p>
        </w:tc>
        <w:tc>
          <w:tcPr>
            <w:tcW w:w="2268" w:type="dxa"/>
            <w:vMerge/>
            <w:vAlign w:val="center"/>
          </w:tcPr>
          <w:p>
            <w:pPr>
              <w:rPr>
                <w:rFonts w:ascii="宋体" w:hAnsi="宋体" w:cs="宋体"/>
                <w:kern w:val="0"/>
                <w:szCs w:val="21"/>
              </w:rPr>
            </w:pPr>
          </w:p>
        </w:tc>
        <w:tc>
          <w:tcPr>
            <w:tcW w:w="3169" w:type="dxa"/>
            <w:vMerge/>
            <w:vAlign w:val="center"/>
          </w:tcPr>
          <w:p>
            <w:pPr>
              <w:rPr>
                <w:rFonts w:ascii="宋体" w:hAnsi="宋体" w:cs="宋体"/>
                <w:kern w:val="0"/>
                <w:szCs w:val="21"/>
              </w:rPr>
            </w:pPr>
          </w:p>
        </w:tc>
      </w:tr>
      <w:tr>
        <w:tblPrEx>
          <w:tblW w:w="0" w:type="auto"/>
          <w:tblInd w:w="0" w:type="dxa"/>
          <w:tblCellMar>
            <w:top w:w="0" w:type="dxa"/>
            <w:left w:w="108" w:type="dxa"/>
            <w:bottom w:w="0" w:type="dxa"/>
            <w:right w:w="108" w:type="dxa"/>
          </w:tblCellMar>
        </w:tblPrEx>
        <w:tc>
          <w:tcPr>
            <w:tcW w:w="817" w:type="dxa"/>
            <w:vAlign w:val="center"/>
          </w:tcPr>
          <w:p>
            <w:pPr>
              <w:rPr>
                <w:rFonts w:ascii="宋体" w:hAnsi="宋体" w:cs="宋体"/>
                <w:kern w:val="0"/>
                <w:szCs w:val="21"/>
              </w:rPr>
            </w:pPr>
            <w:r>
              <w:rPr>
                <w:rFonts w:ascii="宋体" w:hAnsi="宋体" w:cs="宋体" w:hint="eastAsia"/>
                <w:kern w:val="0"/>
                <w:szCs w:val="21"/>
              </w:rPr>
              <w:t>4</w:t>
            </w:r>
          </w:p>
        </w:tc>
        <w:tc>
          <w:tcPr>
            <w:tcW w:w="2268" w:type="dxa"/>
            <w:vAlign w:val="center"/>
          </w:tcPr>
          <w:p>
            <w:pPr>
              <w:rPr>
                <w:rFonts w:ascii="宋体" w:hAnsi="宋体" w:cs="宋体"/>
                <w:kern w:val="0"/>
                <w:szCs w:val="21"/>
              </w:rPr>
            </w:pPr>
            <w:r>
              <w:rPr>
                <w:rFonts w:ascii="宋体" w:hAnsi="宋体" w:cs="宋体" w:hint="eastAsia"/>
                <w:kern w:val="0"/>
                <w:szCs w:val="21"/>
              </w:rPr>
              <w:t>应用服务环境故障处理电话响应</w:t>
            </w:r>
          </w:p>
        </w:tc>
        <w:tc>
          <w:tcPr>
            <w:tcW w:w="2268" w:type="dxa"/>
            <w:vAlign w:val="center"/>
          </w:tcPr>
          <w:p>
            <w:pPr>
              <w:rPr>
                <w:rFonts w:ascii="宋体" w:hAnsi="宋体" w:cs="宋体"/>
                <w:kern w:val="0"/>
                <w:szCs w:val="21"/>
              </w:rPr>
            </w:pPr>
            <w:r>
              <w:rPr>
                <w:rFonts w:ascii="宋体" w:hAnsi="宋体" w:cs="宋体" w:hint="eastAsia"/>
                <w:kern w:val="0"/>
                <w:szCs w:val="21"/>
              </w:rPr>
              <w:t>主动发现故障或接到</w:t>
            </w:r>
            <w:r>
              <w:rPr>
                <w:rFonts w:ascii="宋体" w:hAnsi="宋体" w:hint="eastAsia"/>
                <w:sz w:val="22"/>
              </w:rPr>
              <w:t>采购</w:t>
            </w:r>
            <w:r>
              <w:rPr>
                <w:rFonts w:ascii="宋体" w:hAnsi="宋体" w:cs="宋体" w:hint="eastAsia"/>
                <w:kern w:val="0"/>
                <w:szCs w:val="21"/>
              </w:rPr>
              <w:t>方故障报告电话时到开始处理故障的时间</w:t>
            </w:r>
          </w:p>
        </w:tc>
        <w:tc>
          <w:tcPr>
            <w:tcW w:w="3169" w:type="dxa"/>
            <w:vAlign w:val="center"/>
          </w:tcPr>
          <w:p>
            <w:pPr>
              <w:rPr>
                <w:rFonts w:ascii="宋体" w:hAnsi="宋体" w:cs="宋体"/>
                <w:kern w:val="0"/>
                <w:szCs w:val="21"/>
              </w:rPr>
            </w:pPr>
            <w:r>
              <w:rPr>
                <w:rFonts w:ascii="宋体" w:hAnsi="宋体" w:cs="宋体" w:hint="eastAsia"/>
                <w:kern w:val="0"/>
                <w:szCs w:val="21"/>
              </w:rPr>
              <w:t>工作时间响应时间不超过15分钟，非工作时间响应时间不超过2小时</w:t>
            </w:r>
          </w:p>
        </w:tc>
      </w:tr>
      <w:tr>
        <w:tblPrEx>
          <w:tblW w:w="0" w:type="auto"/>
          <w:tblInd w:w="0" w:type="dxa"/>
          <w:tblCellMar>
            <w:top w:w="0" w:type="dxa"/>
            <w:left w:w="108" w:type="dxa"/>
            <w:bottom w:w="0" w:type="dxa"/>
            <w:right w:w="108" w:type="dxa"/>
          </w:tblCellMar>
        </w:tblPrEx>
        <w:tc>
          <w:tcPr>
            <w:tcW w:w="817" w:type="dxa"/>
            <w:vAlign w:val="center"/>
          </w:tcPr>
          <w:p>
            <w:pPr>
              <w:rPr>
                <w:rFonts w:ascii="宋体" w:hAnsi="宋体" w:cs="宋体"/>
                <w:kern w:val="0"/>
                <w:szCs w:val="21"/>
              </w:rPr>
            </w:pPr>
            <w:r>
              <w:rPr>
                <w:rFonts w:ascii="宋体" w:hAnsi="宋体" w:cs="宋体" w:hint="eastAsia"/>
                <w:kern w:val="0"/>
                <w:szCs w:val="21"/>
              </w:rPr>
              <w:t>5</w:t>
            </w:r>
          </w:p>
        </w:tc>
        <w:tc>
          <w:tcPr>
            <w:tcW w:w="2268" w:type="dxa"/>
            <w:vAlign w:val="center"/>
          </w:tcPr>
          <w:p>
            <w:pPr>
              <w:rPr>
                <w:rFonts w:ascii="宋体" w:hAnsi="宋体" w:cs="宋体"/>
                <w:kern w:val="0"/>
                <w:szCs w:val="21"/>
              </w:rPr>
            </w:pPr>
            <w:r>
              <w:rPr>
                <w:rFonts w:ascii="宋体" w:hAnsi="宋体" w:cs="宋体" w:hint="eastAsia"/>
                <w:kern w:val="0"/>
                <w:szCs w:val="21"/>
              </w:rPr>
              <w:t>协助用户处理文件</w:t>
            </w:r>
          </w:p>
        </w:tc>
        <w:tc>
          <w:tcPr>
            <w:tcW w:w="2268" w:type="dxa"/>
            <w:vAlign w:val="center"/>
          </w:tcPr>
          <w:p>
            <w:pPr>
              <w:rPr>
                <w:rFonts w:ascii="宋体" w:hAnsi="宋体" w:cs="宋体"/>
                <w:kern w:val="0"/>
                <w:szCs w:val="21"/>
              </w:rPr>
            </w:pPr>
            <w:r>
              <w:rPr>
                <w:rFonts w:ascii="宋体" w:hAnsi="宋体" w:cs="宋体" w:hint="eastAsia"/>
                <w:kern w:val="0"/>
                <w:szCs w:val="21"/>
              </w:rPr>
              <w:t>包括流程结束后意见错别字处理等临时问题处理</w:t>
            </w:r>
          </w:p>
        </w:tc>
        <w:tc>
          <w:tcPr>
            <w:tcW w:w="3169" w:type="dxa"/>
            <w:vAlign w:val="center"/>
          </w:tcPr>
          <w:p>
            <w:pPr>
              <w:rPr>
                <w:rFonts w:ascii="宋体" w:hAnsi="宋体" w:cs="宋体"/>
                <w:kern w:val="0"/>
                <w:szCs w:val="21"/>
              </w:rPr>
            </w:pPr>
            <w:r>
              <w:rPr>
                <w:rFonts w:ascii="宋体" w:hAnsi="宋体" w:cs="宋体" w:hint="eastAsia"/>
                <w:kern w:val="0"/>
                <w:szCs w:val="21"/>
              </w:rPr>
              <w:t>在与客户商议的时间范围内解决</w:t>
            </w:r>
          </w:p>
        </w:tc>
      </w:tr>
    </w:tbl>
    <w:p>
      <w:pPr>
        <w:pStyle w:val="Heading1"/>
        <w:numPr>
          <w:ilvl w:val="0"/>
          <w:numId w:val="4"/>
        </w:numPr>
        <w:spacing w:before="120" w:after="120" w:line="480" w:lineRule="auto"/>
        <w:ind w:left="505" w:hanging="505"/>
        <w:rPr>
          <w:rFonts w:ascii="宋体" w:hAnsi="宋体"/>
          <w:sz w:val="28"/>
        </w:rPr>
      </w:pPr>
      <w:bookmarkStart w:id="93" w:name="_Toc24755"/>
      <w:bookmarkStart w:id="94" w:name="_Toc136004018"/>
      <w:bookmarkStart w:id="95" w:name="_Toc531336049"/>
      <w:bookmarkStart w:id="96" w:name="_Toc426535975"/>
      <w:bookmarkStart w:id="97" w:name="_Toc461180270"/>
      <w:r>
        <w:rPr>
          <w:rFonts w:ascii="宋体" w:hAnsi="宋体" w:hint="eastAsia"/>
          <w:sz w:val="28"/>
        </w:rPr>
        <w:t>项目交付物</w:t>
      </w:r>
      <w:bookmarkEnd w:id="93"/>
      <w:bookmarkEnd w:id="94"/>
    </w:p>
    <w:p>
      <w:pPr>
        <w:adjustRightInd w:val="0"/>
        <w:snapToGrid w:val="0"/>
        <w:spacing w:line="360" w:lineRule="auto"/>
        <w:ind w:firstLine="480" w:firstLineChars="200"/>
        <w:rPr>
          <w:rFonts w:ascii="宋体" w:hAnsi="宋体" w:cs="宋体"/>
        </w:rPr>
      </w:pPr>
      <w:r>
        <w:rPr>
          <w:rFonts w:ascii="宋体" w:hAnsi="宋体" w:cs="宋体" w:hint="eastAsia"/>
          <w:sz w:val="24"/>
          <w:szCs w:val="24"/>
        </w:rPr>
        <w:t>本项目要求的提交物包括：</w:t>
      </w:r>
    </w:p>
    <w:p>
      <w:pPr>
        <w:numPr>
          <w:ilvl w:val="0"/>
          <w:numId w:val="11"/>
        </w:numPr>
        <w:adjustRightInd w:val="0"/>
        <w:snapToGrid w:val="0"/>
        <w:spacing w:line="360" w:lineRule="auto"/>
        <w:ind w:firstLine="480" w:firstLineChars="200"/>
      </w:pPr>
      <w:r>
        <w:rPr>
          <w:rFonts w:hint="eastAsia"/>
          <w:sz w:val="24"/>
          <w:szCs w:val="24"/>
        </w:rPr>
        <w:t>系统资产文档</w:t>
      </w:r>
    </w:p>
    <w:p>
      <w:pPr>
        <w:numPr>
          <w:ilvl w:val="0"/>
          <w:numId w:val="11"/>
        </w:numPr>
        <w:adjustRightInd w:val="0"/>
        <w:snapToGrid w:val="0"/>
        <w:spacing w:line="360" w:lineRule="auto"/>
        <w:ind w:firstLine="480" w:firstLineChars="200"/>
      </w:pPr>
      <w:r>
        <w:rPr>
          <w:rFonts w:hint="eastAsia"/>
          <w:sz w:val="24"/>
          <w:szCs w:val="24"/>
        </w:rPr>
        <w:t>系统巡检操作手册</w:t>
      </w:r>
    </w:p>
    <w:p>
      <w:pPr>
        <w:numPr>
          <w:ilvl w:val="0"/>
          <w:numId w:val="11"/>
        </w:numPr>
        <w:adjustRightInd w:val="0"/>
        <w:snapToGrid w:val="0"/>
        <w:spacing w:line="360" w:lineRule="auto"/>
        <w:ind w:firstLine="480" w:firstLineChars="200"/>
      </w:pPr>
      <w:r>
        <w:rPr>
          <w:rFonts w:hint="eastAsia"/>
          <w:sz w:val="24"/>
          <w:szCs w:val="24"/>
        </w:rPr>
        <w:t>系统巡检报告</w:t>
      </w:r>
    </w:p>
    <w:p>
      <w:pPr>
        <w:numPr>
          <w:ilvl w:val="0"/>
          <w:numId w:val="11"/>
        </w:numPr>
        <w:adjustRightInd w:val="0"/>
        <w:snapToGrid w:val="0"/>
        <w:spacing w:line="360" w:lineRule="auto"/>
        <w:ind w:firstLine="480" w:firstLineChars="200"/>
      </w:pPr>
      <w:r>
        <w:rPr>
          <w:rFonts w:hint="eastAsia"/>
          <w:sz w:val="24"/>
          <w:szCs w:val="24"/>
        </w:rPr>
        <w:t>系统部署及配置说明书</w:t>
      </w:r>
    </w:p>
    <w:p>
      <w:pPr>
        <w:numPr>
          <w:ilvl w:val="0"/>
          <w:numId w:val="11"/>
        </w:numPr>
        <w:adjustRightInd w:val="0"/>
        <w:snapToGrid w:val="0"/>
        <w:spacing w:line="360" w:lineRule="auto"/>
        <w:ind w:firstLine="480" w:firstLineChars="200"/>
      </w:pPr>
      <w:r>
        <w:rPr>
          <w:rFonts w:hint="eastAsia"/>
          <w:sz w:val="24"/>
          <w:szCs w:val="24"/>
        </w:rPr>
        <w:t>运行维护手册</w:t>
      </w:r>
    </w:p>
    <w:p>
      <w:pPr>
        <w:numPr>
          <w:ilvl w:val="0"/>
          <w:numId w:val="11"/>
        </w:numPr>
        <w:adjustRightInd w:val="0"/>
        <w:snapToGrid w:val="0"/>
        <w:spacing w:line="360" w:lineRule="auto"/>
        <w:ind w:firstLine="480" w:firstLineChars="200"/>
      </w:pPr>
      <w:r>
        <w:rPr>
          <w:rFonts w:hint="eastAsia"/>
          <w:sz w:val="24"/>
          <w:szCs w:val="24"/>
        </w:rPr>
        <w:t>运维报告</w:t>
      </w:r>
    </w:p>
    <w:p>
      <w:pPr>
        <w:numPr>
          <w:ilvl w:val="0"/>
          <w:numId w:val="11"/>
        </w:numPr>
        <w:adjustRightInd w:val="0"/>
        <w:snapToGrid w:val="0"/>
        <w:spacing w:line="360" w:lineRule="auto"/>
        <w:ind w:firstLine="480" w:firstLineChars="200"/>
      </w:pPr>
      <w:r>
        <w:rPr>
          <w:rFonts w:ascii="宋体" w:hAnsi="宋体" w:cs="宋体" w:hint="eastAsia"/>
          <w:sz w:val="24"/>
          <w:szCs w:val="24"/>
        </w:rPr>
        <w:t>故障处理手册</w:t>
      </w:r>
    </w:p>
    <w:p>
      <w:pPr>
        <w:numPr>
          <w:ilvl w:val="0"/>
          <w:numId w:val="11"/>
        </w:numPr>
        <w:adjustRightInd w:val="0"/>
        <w:snapToGrid w:val="0"/>
        <w:spacing w:line="360" w:lineRule="auto"/>
        <w:ind w:firstLine="480" w:firstLineChars="200"/>
      </w:pPr>
      <w:r>
        <w:rPr>
          <w:rFonts w:hint="eastAsia"/>
          <w:sz w:val="24"/>
          <w:szCs w:val="24"/>
        </w:rPr>
        <w:t>故障报告（按需）</w:t>
      </w:r>
    </w:p>
    <w:p>
      <w:pPr>
        <w:numPr>
          <w:ilvl w:val="0"/>
          <w:numId w:val="11"/>
        </w:numPr>
        <w:adjustRightInd w:val="0"/>
        <w:snapToGrid w:val="0"/>
        <w:spacing w:line="360" w:lineRule="auto"/>
        <w:ind w:firstLine="480" w:firstLineChars="200"/>
      </w:pPr>
      <w:r>
        <w:rPr>
          <w:rFonts w:hint="eastAsia"/>
          <w:sz w:val="24"/>
          <w:szCs w:val="24"/>
        </w:rPr>
        <w:t>系统用户手册</w:t>
      </w:r>
    </w:p>
    <w:p>
      <w:pPr>
        <w:numPr>
          <w:ilvl w:val="0"/>
          <w:numId w:val="11"/>
        </w:numPr>
        <w:adjustRightInd w:val="0"/>
        <w:snapToGrid w:val="0"/>
        <w:spacing w:line="360" w:lineRule="auto"/>
        <w:ind w:firstLine="480" w:firstLineChars="200"/>
        <w:rPr>
          <w:rFonts w:ascii="Times New Roman" w:eastAsia="宋体" w:hAnsi="Times New Roman" w:cs="Times New Roman"/>
        </w:rPr>
      </w:pPr>
      <w:r>
        <w:rPr>
          <w:rFonts w:ascii="宋体" w:hAnsi="宋体" w:cs="宋体" w:hint="eastAsia"/>
          <w:sz w:val="24"/>
          <w:szCs w:val="24"/>
        </w:rPr>
        <w:t>汛期自查手册和汛期演练方案</w:t>
      </w:r>
    </w:p>
    <w:p>
      <w:pPr>
        <w:numPr>
          <w:ilvl w:val="0"/>
          <w:numId w:val="11"/>
        </w:numPr>
        <w:adjustRightInd w:val="0"/>
        <w:snapToGrid w:val="0"/>
        <w:spacing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rPr>
        <w:t>培训课件</w:t>
      </w:r>
    </w:p>
    <w:p>
      <w:pPr>
        <w:numPr>
          <w:ilvl w:val="0"/>
          <w:numId w:val="11"/>
        </w:numPr>
        <w:adjustRightInd w:val="0"/>
        <w:snapToGrid w:val="0"/>
        <w:spacing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rPr>
        <w:t>备份系统切换处置手册</w:t>
      </w:r>
    </w:p>
    <w:p>
      <w:pPr>
        <w:numPr>
          <w:ilvl w:val="0"/>
          <w:numId w:val="11"/>
        </w:numPr>
        <w:adjustRightInd w:val="0"/>
        <w:snapToGrid w:val="0"/>
        <w:spacing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rPr>
        <w:t>重大气象服务报告（按需）</w:t>
      </w:r>
    </w:p>
    <w:p>
      <w:pPr>
        <w:numPr>
          <w:ilvl w:val="0"/>
          <w:numId w:val="11"/>
        </w:numPr>
        <w:adjustRightInd w:val="0"/>
        <w:snapToGrid w:val="0"/>
        <w:spacing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rPr>
        <w:t>用户满意度调查表及统计情况</w:t>
      </w:r>
    </w:p>
    <w:p>
      <w:pPr>
        <w:pStyle w:val="Heading1"/>
        <w:numPr>
          <w:ilvl w:val="0"/>
          <w:numId w:val="4"/>
        </w:numPr>
        <w:spacing w:before="120" w:after="120" w:line="480" w:lineRule="auto"/>
        <w:ind w:left="505" w:hanging="505"/>
        <w:rPr>
          <w:rFonts w:ascii="宋体" w:hAnsi="宋体"/>
          <w:sz w:val="28"/>
        </w:rPr>
      </w:pPr>
      <w:bookmarkStart w:id="98" w:name="_Toc136004019"/>
      <w:bookmarkStart w:id="99" w:name="_Toc23356"/>
      <w:r>
        <w:rPr>
          <w:rFonts w:ascii="宋体" w:hAnsi="宋体" w:hint="eastAsia"/>
          <w:sz w:val="28"/>
        </w:rPr>
        <w:t>培训要求</w:t>
      </w:r>
      <w:bookmarkEnd w:id="98"/>
      <w:bookmarkEnd w:id="99"/>
    </w:p>
    <w:p>
      <w:pPr>
        <w:adjustRightInd w:val="0"/>
        <w:snapToGrid w:val="0"/>
        <w:spacing w:line="360" w:lineRule="auto"/>
        <w:ind w:firstLine="480" w:firstLineChars="200"/>
        <w:rPr>
          <w:rFonts w:ascii="宋体" w:hAnsi="宋体" w:cs="宋体"/>
        </w:rPr>
      </w:pPr>
      <w:r>
        <w:rPr>
          <w:rFonts w:ascii="宋体" w:hAnsi="宋体" w:cs="宋体" w:hint="eastAsia"/>
          <w:sz w:val="24"/>
          <w:szCs w:val="24"/>
        </w:rPr>
        <w:t>制定详细的应用培训方案和技术培训方案，服务期内提供不少于1次应用和技术培训，提供训班要求的课件。</w:t>
      </w:r>
    </w:p>
    <w:p>
      <w:pPr>
        <w:pStyle w:val="Heading1"/>
        <w:numPr>
          <w:ilvl w:val="0"/>
          <w:numId w:val="4"/>
        </w:numPr>
        <w:spacing w:before="120" w:after="120" w:line="480" w:lineRule="auto"/>
        <w:ind w:left="505" w:hanging="505"/>
        <w:rPr>
          <w:rFonts w:ascii="宋体" w:hAnsi="宋体"/>
          <w:sz w:val="28"/>
        </w:rPr>
      </w:pPr>
      <w:bookmarkStart w:id="100" w:name="_Toc136004020"/>
      <w:bookmarkStart w:id="101" w:name="_Toc6481"/>
      <w:r>
        <w:rPr>
          <w:rFonts w:ascii="宋体" w:hAnsi="宋体" w:hint="eastAsia"/>
          <w:sz w:val="28"/>
        </w:rPr>
        <w:t>项目的人员及组织结构要求</w:t>
      </w:r>
      <w:bookmarkEnd w:id="95"/>
      <w:bookmarkEnd w:id="96"/>
      <w:bookmarkEnd w:id="97"/>
      <w:bookmarkEnd w:id="100"/>
      <w:bookmarkEnd w:id="101"/>
    </w:p>
    <w:p>
      <w:pPr>
        <w:adjustRightInd w:val="0"/>
        <w:snapToGrid w:val="0"/>
        <w:spacing w:line="360" w:lineRule="auto"/>
        <w:ind w:firstLine="480" w:firstLineChars="200"/>
        <w:rPr>
          <w:rFonts w:ascii="宋体" w:hAnsi="宋体" w:cs="宋体"/>
        </w:rPr>
      </w:pPr>
      <w:r>
        <w:rPr>
          <w:rFonts w:ascii="宋体" w:hAnsi="宋体" w:cs="宋体" w:hint="eastAsia"/>
          <w:sz w:val="24"/>
          <w:szCs w:val="24"/>
        </w:rPr>
        <w:t>投标人必须成立合理的组织机构，建立健全保障运维工作顺利实施的各项管理制度和质量保证体系，安排好足够的高素质人才参加本项目工作。</w:t>
      </w:r>
    </w:p>
    <w:p>
      <w:pPr>
        <w:adjustRightInd w:val="0"/>
        <w:snapToGrid w:val="0"/>
        <w:spacing w:line="360" w:lineRule="auto"/>
        <w:ind w:firstLine="480" w:firstLineChars="200"/>
        <w:rPr>
          <w:rFonts w:ascii="宋体" w:hAnsi="宋体" w:cs="宋体"/>
        </w:rPr>
      </w:pPr>
      <w:r>
        <w:rPr>
          <w:rFonts w:ascii="宋体" w:hAnsi="宋体" w:cs="宋体" w:hint="eastAsia"/>
          <w:sz w:val="24"/>
          <w:szCs w:val="24"/>
        </w:rPr>
        <w:t>在组织机构中应该明确各岗位的职责、任职资格及成果、确保项目顺利实施，应分别配备有项目经理。</w:t>
      </w:r>
    </w:p>
    <w:p>
      <w:pPr>
        <w:adjustRightInd w:val="0"/>
        <w:snapToGrid w:val="0"/>
        <w:spacing w:line="360" w:lineRule="auto"/>
        <w:ind w:firstLine="480" w:firstLineChars="200"/>
        <w:rPr>
          <w:rFonts w:ascii="宋体" w:hAnsi="宋体" w:cs="宋体"/>
        </w:rPr>
      </w:pPr>
      <w:r>
        <w:rPr>
          <w:rFonts w:ascii="宋体" w:hAnsi="宋体" w:cs="宋体" w:hint="eastAsia"/>
          <w:sz w:val="24"/>
          <w:szCs w:val="24"/>
        </w:rPr>
        <w:t>运维服务要求团队人员数不得</w:t>
      </w:r>
      <w:bookmarkStart w:id="102" w:name="_Toc531336052"/>
      <w:bookmarkStart w:id="103" w:name="_Toc461180273"/>
      <w:bookmarkStart w:id="104" w:name="_Toc426535978"/>
      <w:r>
        <w:rPr>
          <w:rFonts w:ascii="宋体" w:hAnsi="宋体" w:cs="宋体" w:hint="eastAsia"/>
          <w:sz w:val="24"/>
          <w:szCs w:val="24"/>
        </w:rPr>
        <w:t>少于</w:t>
      </w:r>
      <w:r>
        <w:rPr>
          <w:rFonts w:ascii="宋体" w:hAnsi="宋体" w:cs="宋体" w:hint="eastAsia"/>
          <w:sz w:val="24"/>
          <w:szCs w:val="24"/>
          <w:highlight w:val="yellow"/>
        </w:rPr>
        <w:t>3人</w:t>
      </w:r>
      <w:r>
        <w:rPr>
          <w:rFonts w:ascii="宋体" w:hAnsi="宋体" w:cs="宋体" w:hint="eastAsia"/>
          <w:sz w:val="24"/>
          <w:szCs w:val="24"/>
        </w:rPr>
        <w:t>的驻场团队运维支持。</w:t>
      </w:r>
    </w:p>
    <w:p>
      <w:pPr>
        <w:pStyle w:val="Heading1"/>
        <w:numPr>
          <w:ilvl w:val="0"/>
          <w:numId w:val="4"/>
        </w:numPr>
        <w:spacing w:before="120" w:after="120" w:line="480" w:lineRule="auto"/>
        <w:ind w:left="505" w:hanging="505"/>
        <w:rPr>
          <w:rFonts w:ascii="宋体" w:hAnsi="宋体"/>
          <w:sz w:val="28"/>
        </w:rPr>
      </w:pPr>
      <w:bookmarkStart w:id="105" w:name="_Toc136004021"/>
      <w:bookmarkStart w:id="106" w:name="_Toc12336"/>
      <w:r>
        <w:rPr>
          <w:rFonts w:ascii="宋体" w:hAnsi="宋体" w:hint="eastAsia"/>
          <w:sz w:val="28"/>
        </w:rPr>
        <w:t>安全保密要求</w:t>
      </w:r>
      <w:bookmarkEnd w:id="102"/>
      <w:bookmarkEnd w:id="103"/>
      <w:bookmarkEnd w:id="104"/>
      <w:bookmarkEnd w:id="105"/>
      <w:bookmarkEnd w:id="106"/>
    </w:p>
    <w:p>
      <w:pPr>
        <w:spacing w:line="360" w:lineRule="auto"/>
        <w:ind w:firstLine="480" w:firstLineChars="200"/>
        <w:rPr>
          <w:rFonts w:ascii="宋体" w:eastAsia="宋体" w:hAnsi="宋体" w:cs="Times New Roman"/>
          <w:szCs w:val="21"/>
        </w:rPr>
      </w:pPr>
      <w:r>
        <w:rPr>
          <w:rFonts w:ascii="宋体" w:hAnsi="宋体" w:cs="宋体" w:hint="eastAsia"/>
          <w:sz w:val="24"/>
          <w:szCs w:val="24"/>
        </w:rPr>
        <w:t>投标人必须对项目技术文件以及由采购方提供的所有内部资料、技术文档和信息予以保密。投标人必须遵守与采购方签订的保密协议，未经采购方书面许可，投标人不得以任何形式向第三方透露本项目标书以及本项目的任何内容。</w:t>
      </w:r>
    </w:p>
    <w:p>
      <w:pPr>
        <w:spacing w:line="360" w:lineRule="auto"/>
        <w:ind w:firstLine="420" w:firstLineChars="200"/>
        <w:rPr>
          <w:rFonts w:ascii="宋体" w:eastAsia="宋体" w:hAnsi="宋体" w:cs="Times New Roman"/>
          <w:szCs w:val="21"/>
        </w:rPr>
      </w:pPr>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rsidR="003D57F7">
      <w:pPr>
        <w:spacing w:before="156" w:beforeLines="50" w:line="360" w:lineRule="auto"/>
        <w:jc w:val="center"/>
        <w:outlineLvl w:val="1"/>
        <w:rPr>
          <w:rFonts w:ascii="宋体" w:hAnsi="宋体"/>
          <w:b/>
          <w:sz w:val="30"/>
          <w:szCs w:val="30"/>
        </w:rPr>
      </w:pPr>
      <w:bookmarkStart w:id="107"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3D57F7">
      <w:pPr>
        <w:adjustRightInd w:val="0"/>
        <w:snapToGrid w:val="0"/>
        <w:spacing w:before="156" w:beforeLines="50" w:line="360" w:lineRule="auto"/>
        <w:rPr>
          <w:rFonts w:ascii="宋体" w:hAnsi="宋体"/>
          <w:szCs w:val="21"/>
        </w:rPr>
      </w:pPr>
    </w:p>
    <w:p w:rsidR="003D57F7">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3D291B">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3D57F7">
            <w:pPr>
              <w:rPr>
                <w:sz w:val="18"/>
                <w:szCs w:val="18"/>
              </w:rPr>
            </w:pPr>
            <w:r>
              <w:rPr>
                <w:rFonts w:hint="eastAsia"/>
                <w:sz w:val="18"/>
                <w:szCs w:val="18"/>
              </w:rPr>
              <w:t>序号</w:t>
            </w:r>
          </w:p>
        </w:tc>
        <w:tc>
          <w:tcPr>
            <w:tcW w:w="898" w:type="dxa"/>
            <w:vAlign w:val="center"/>
          </w:tcPr>
          <w:p w:rsidR="003D57F7">
            <w:pPr>
              <w:jc w:val="center"/>
              <w:rPr>
                <w:sz w:val="18"/>
                <w:szCs w:val="18"/>
              </w:rPr>
            </w:pPr>
            <w:r>
              <w:rPr>
                <w:rFonts w:hint="eastAsia"/>
                <w:sz w:val="18"/>
                <w:szCs w:val="18"/>
              </w:rPr>
              <w:t>对应</w:t>
            </w:r>
          </w:p>
          <w:p w:rsidR="003D57F7">
            <w:pPr>
              <w:jc w:val="center"/>
              <w:rPr>
                <w:sz w:val="18"/>
                <w:szCs w:val="18"/>
              </w:rPr>
            </w:pPr>
            <w:r>
              <w:rPr>
                <w:rFonts w:hint="eastAsia"/>
                <w:sz w:val="18"/>
                <w:szCs w:val="18"/>
              </w:rPr>
              <w:t>条款号</w:t>
            </w:r>
          </w:p>
        </w:tc>
        <w:tc>
          <w:tcPr>
            <w:tcW w:w="7347" w:type="dxa"/>
            <w:vAlign w:val="center"/>
          </w:tcPr>
          <w:p w:rsidR="003D57F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3D291B">
        <w:tblPrEx>
          <w:tblW w:w="8789" w:type="dxa"/>
          <w:tblLayout w:type="fixed"/>
          <w:tblLook w:val="04A0"/>
        </w:tblPrEx>
        <w:trPr>
          <w:cantSplit/>
        </w:trPr>
        <w:tc>
          <w:tcPr>
            <w:tcW w:w="8789" w:type="dxa"/>
            <w:gridSpan w:val="3"/>
            <w:vAlign w:val="center"/>
          </w:tcPr>
          <w:p w:rsidR="003D57F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3D291B">
        <w:tblPrEx>
          <w:tblW w:w="8789" w:type="dxa"/>
          <w:tblLayout w:type="fixed"/>
          <w:tblLook w:val="04A0"/>
        </w:tblPrEx>
        <w:trPr>
          <w:cantSplit/>
        </w:trPr>
        <w:tc>
          <w:tcPr>
            <w:tcW w:w="544" w:type="dxa"/>
            <w:vAlign w:val="center"/>
          </w:tcPr>
          <w:p w:rsidR="003D57F7">
            <w:pPr>
              <w:numPr>
                <w:ilvl w:val="0"/>
                <w:numId w:val="15"/>
              </w:numPr>
              <w:rPr>
                <w:rFonts w:ascii="宋体" w:hAnsi="宋体"/>
                <w:sz w:val="18"/>
                <w:szCs w:val="18"/>
              </w:rPr>
            </w:pPr>
          </w:p>
        </w:tc>
        <w:tc>
          <w:tcPr>
            <w:tcW w:w="898" w:type="dxa"/>
            <w:vAlign w:val="center"/>
          </w:tcPr>
          <w:p w:rsidR="003D57F7">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3D57F7">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r w:rsidTr="003D291B">
        <w:tblPrEx>
          <w:tblW w:w="8789" w:type="dxa"/>
          <w:tblLayout w:type="fixed"/>
          <w:tblLook w:val="04A0"/>
        </w:tblPrEx>
        <w:trPr>
          <w:cantSplit/>
        </w:trPr>
        <w:tc>
          <w:tcPr>
            <w:tcW w:w="8789" w:type="dxa"/>
            <w:gridSpan w:val="3"/>
            <w:vAlign w:val="center"/>
          </w:tcPr>
          <w:p w:rsidR="003D57F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3D291B">
        <w:tblPrEx>
          <w:tblW w:w="8789" w:type="dxa"/>
          <w:tblLayout w:type="fixed"/>
          <w:tblLook w:val="04A0"/>
        </w:tblPrEx>
        <w:trPr>
          <w:cantSplit/>
        </w:trPr>
        <w:tc>
          <w:tcPr>
            <w:tcW w:w="544" w:type="dxa"/>
            <w:vAlign w:val="center"/>
          </w:tcPr>
          <w:p w:rsidR="003D57F7">
            <w:pPr>
              <w:numPr>
                <w:ilvl w:val="0"/>
                <w:numId w:val="15"/>
              </w:numPr>
              <w:rPr>
                <w:rFonts w:ascii="宋体" w:hAnsi="宋体"/>
                <w:sz w:val="18"/>
                <w:szCs w:val="18"/>
              </w:rPr>
            </w:pPr>
          </w:p>
        </w:tc>
        <w:tc>
          <w:tcPr>
            <w:tcW w:w="898" w:type="dxa"/>
            <w:vAlign w:val="center"/>
          </w:tcPr>
          <w:p w:rsidR="003D57F7">
            <w:pPr>
              <w:jc w:val="center"/>
              <w:rPr>
                <w:rFonts w:ascii="宋体" w:hAnsi="宋体"/>
                <w:sz w:val="18"/>
                <w:szCs w:val="18"/>
              </w:rPr>
            </w:pPr>
          </w:p>
        </w:tc>
        <w:tc>
          <w:tcPr>
            <w:tcW w:w="7347" w:type="dxa"/>
            <w:vAlign w:val="center"/>
          </w:tcPr>
          <w:p w:rsidR="003D57F7">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3D57F7">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3D57F7">
      <w:pPr>
        <w:spacing w:before="156" w:beforeLines="50" w:line="360" w:lineRule="auto"/>
        <w:ind w:firstLine="420"/>
      </w:pPr>
    </w:p>
    <w:p w:rsidR="00A77B3E"/>
    <w:p w:rsidR="003D57F7">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10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5677A1">
      <w:pPr>
        <w:numPr>
          <w:ilvl w:val="0"/>
          <w:numId w:val="12"/>
        </w:numPr>
        <w:spacing w:line="360" w:lineRule="auto"/>
        <w:ind w:firstLine="3066" w:firstLineChars="1460"/>
        <w:jc w:val="left"/>
        <w:rPr>
          <w:rFonts w:ascii="Times New Roman" w:eastAsia="宋体" w:hAnsi="Times New Roman" w:cs="Times New Roman"/>
          <w:b/>
          <w:bCs/>
          <w:szCs w:val="21"/>
        </w:rPr>
      </w:pPr>
      <w:bookmarkStart w:id="108"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5677A1">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5677A1">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5677A1">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5677A1">
      <w:pPr>
        <w:rPr>
          <w:rFonts w:ascii="宋体" w:eastAsia="宋体" w:hAnsi="宋体" w:cs="宋体"/>
          <w:b/>
          <w:bCs/>
          <w:spacing w:val="-20"/>
          <w:kern w:val="44"/>
          <w:sz w:val="40"/>
          <w:szCs w:val="40"/>
        </w:rPr>
      </w:pPr>
    </w:p>
    <w:p w:rsidR="005677A1">
      <w:pPr>
        <w:rPr>
          <w:rFonts w:ascii="宋体" w:eastAsia="宋体" w:hAnsi="宋体" w:cs="宋体"/>
          <w:b/>
          <w:bCs/>
          <w:spacing w:val="-20"/>
          <w:kern w:val="44"/>
          <w:sz w:val="40"/>
          <w:szCs w:val="40"/>
        </w:rPr>
      </w:pPr>
    </w:p>
    <w:p w:rsidR="005677A1">
      <w:pPr>
        <w:rPr>
          <w:rFonts w:ascii="宋体" w:eastAsia="宋体" w:hAnsi="宋体" w:cs="宋体"/>
          <w:b/>
          <w:bCs/>
          <w:spacing w:val="-20"/>
          <w:kern w:val="44"/>
          <w:sz w:val="40"/>
          <w:szCs w:val="40"/>
        </w:rPr>
      </w:pPr>
    </w:p>
    <w:p w:rsidR="005677A1">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5677A1">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5677A1">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5677A1">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5677A1">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5677A1">
      <w:pPr>
        <w:rPr>
          <w:rFonts w:ascii="Times New Roman" w:eastAsia="宋体" w:hAnsi="Times New Roman" w:cs="Times New Roman"/>
          <w:szCs w:val="20"/>
        </w:rPr>
      </w:pPr>
    </w:p>
    <w:p w:rsidR="005677A1">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5677A1">
      <w:pPr>
        <w:rPr>
          <w:rFonts w:ascii="Times New Roman" w:eastAsia="黑体" w:hAnsi="Times New Roman" w:cs="Times New Roman"/>
          <w:sz w:val="44"/>
          <w:szCs w:val="44"/>
        </w:rPr>
      </w:pPr>
    </w:p>
    <w:p w:rsidR="005677A1">
      <w:pPr>
        <w:rPr>
          <w:rFonts w:ascii="Times New Roman" w:eastAsia="黑体" w:hAnsi="Times New Roman" w:cs="Times New Roman"/>
          <w:sz w:val="44"/>
          <w:szCs w:val="44"/>
        </w:rPr>
      </w:pPr>
    </w:p>
    <w:p w:rsidR="005677A1">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5677A1">
      <w:pPr>
        <w:ind w:firstLine="640" w:firstLineChars="200"/>
        <w:rPr>
          <w:rFonts w:ascii="仿宋_GB2312" w:eastAsia="仿宋_GB2312" w:hAnsi="仿宋_GB2312" w:cs="仿宋_GB2312"/>
          <w:sz w:val="32"/>
          <w:szCs w:val="32"/>
        </w:rPr>
      </w:pPr>
    </w:p>
    <w:p w:rsidR="005677A1">
      <w:pPr>
        <w:numPr>
          <w:ilvl w:val="0"/>
          <w:numId w:val="13"/>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5677A1">
      <w:pPr>
        <w:numPr>
          <w:ilvl w:val="0"/>
          <w:numId w:val="13"/>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5677A1">
      <w:pPr>
        <w:numPr>
          <w:ilvl w:val="0"/>
          <w:numId w:val="13"/>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5677A1">
      <w:pPr>
        <w:widowControl/>
        <w:jc w:val="left"/>
        <w:rPr>
          <w:rFonts w:ascii="宋体" w:eastAsia="宋体" w:hAnsi="宋体" w:cs="Times New Roman"/>
          <w:szCs w:val="21"/>
        </w:rPr>
      </w:pPr>
      <w:r>
        <w:rPr>
          <w:rFonts w:ascii="宋体" w:eastAsia="宋体" w:hAnsi="宋体" w:cs="Times New Roman"/>
          <w:szCs w:val="21"/>
        </w:rPr>
        <w:br w:type="page"/>
      </w:r>
    </w:p>
    <w:p w:rsidR="005677A1">
      <w:pPr>
        <w:snapToGrid w:val="0"/>
        <w:spacing w:line="360" w:lineRule="auto"/>
        <w:ind w:firstLine="420"/>
        <w:rPr>
          <w:rFonts w:ascii="宋体" w:eastAsia="宋体" w:hAnsi="宋体" w:cs="Times New Roman"/>
          <w:szCs w:val="21"/>
        </w:rPr>
      </w:pPr>
    </w:p>
    <w:p w:rsidR="005677A1">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5677A1">
      <w:pPr>
        <w:snapToGrid w:val="0"/>
        <w:spacing w:line="360" w:lineRule="auto"/>
        <w:ind w:firstLine="420"/>
        <w:jc w:val="center"/>
        <w:rPr>
          <w:rFonts w:ascii="宋体" w:eastAsia="宋体" w:hAnsi="宋体" w:cs="Times New Roman"/>
          <w:szCs w:val="21"/>
        </w:rPr>
      </w:pPr>
    </w:p>
    <w:p w:rsidR="005677A1">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5677A1">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5677A1">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5677A1">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5677A1">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5677A1">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5677A1">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5677A1">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5677A1">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5677A1">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5677A1">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5677A1">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5677A1">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5677A1">
            <w:pPr>
              <w:tabs>
                <w:tab w:val="left" w:pos="1573"/>
              </w:tabs>
              <w:autoSpaceDE w:val="0"/>
              <w:autoSpaceDN w:val="0"/>
              <w:adjustRightInd w:val="0"/>
              <w:snapToGrid w:val="0"/>
              <w:spacing w:line="360" w:lineRule="auto"/>
              <w:rPr>
                <w:rFonts w:ascii="宋体" w:eastAsia="宋体" w:hAnsi="宋体" w:cs="Times New Roman"/>
                <w:szCs w:val="21"/>
              </w:rPr>
            </w:pPr>
          </w:p>
        </w:tc>
      </w:tr>
    </w:tbl>
    <w:p w:rsidR="005677A1">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286622" w:rsidP="00286622">
      <w:pPr>
        <w:adjustRightInd w:val="0"/>
        <w:snapToGrid w:val="0"/>
        <w:spacing w:line="360" w:lineRule="auto"/>
        <w:ind w:firstLine="420" w:firstLineChars="200"/>
        <w:rPr>
          <w:rFonts w:ascii="宋体" w:hAnsi="宋体" w:hint="eastAsia"/>
          <w:bCs/>
          <w:szCs w:val="21"/>
          <w:highlight w:val="cyan"/>
          <w:shd w:val="clear" w:color="auto" w:fill="FFFF00"/>
        </w:rPr>
      </w:pPr>
      <w:r>
        <w:rPr>
          <w:rFonts w:ascii="宋体" w:hAnsi="宋体" w:hint="eastAsia"/>
          <w:bCs/>
          <w:szCs w:val="21"/>
          <w:highlight w:val="cyan"/>
          <w:shd w:val="clear" w:color="auto" w:fill="FFFF00"/>
        </w:rPr>
        <w:t>1.合同总金额为人民币</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元（大写）：</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元（小写）。</w:t>
      </w:r>
    </w:p>
    <w:p w:rsidR="00286622" w:rsidP="00286622">
      <w:pPr>
        <w:adjustRightInd w:val="0"/>
        <w:snapToGrid w:val="0"/>
        <w:spacing w:line="360" w:lineRule="auto"/>
        <w:ind w:firstLine="420" w:firstLineChars="200"/>
        <w:rPr>
          <w:rFonts w:ascii="宋体" w:hAnsi="宋体" w:hint="eastAsia"/>
          <w:bCs/>
          <w:szCs w:val="21"/>
          <w:highlight w:val="cyan"/>
          <w:shd w:val="clear" w:color="auto" w:fill="FFFF00"/>
        </w:rPr>
      </w:pPr>
      <w:r>
        <w:rPr>
          <w:rFonts w:ascii="宋体" w:hAnsi="宋体" w:hint="eastAsia"/>
          <w:bCs/>
          <w:szCs w:val="21"/>
          <w:highlight w:val="cyan"/>
          <w:shd w:val="clear" w:color="auto" w:fill="FFFF00"/>
        </w:rPr>
        <w:t>2.甲乙双方签署合同后</w:t>
      </w:r>
      <w:r>
        <w:rPr>
          <w:rFonts w:ascii="宋体" w:hAnsi="宋体" w:hint="eastAsia"/>
          <w:bCs/>
          <w:szCs w:val="21"/>
          <w:highlight w:val="cyan"/>
          <w:u w:val="single"/>
          <w:shd w:val="clear" w:color="auto" w:fill="FFFF00"/>
        </w:rPr>
        <w:t>10</w:t>
      </w:r>
      <w:r>
        <w:rPr>
          <w:rFonts w:ascii="宋体" w:hAnsi="宋体" w:hint="eastAsia"/>
          <w:bCs/>
          <w:szCs w:val="21"/>
          <w:highlight w:val="cyan"/>
          <w:shd w:val="clear" w:color="auto" w:fill="FFFF00"/>
        </w:rPr>
        <w:t>个工作日内，乙方向甲方提供合同总金额</w:t>
      </w:r>
      <w:r>
        <w:rPr>
          <w:rFonts w:ascii="宋体" w:hAnsi="宋体" w:hint="eastAsia"/>
          <w:bCs/>
          <w:szCs w:val="21"/>
          <w:highlight w:val="cyan"/>
          <w:u w:val="single"/>
          <w:shd w:val="clear" w:color="auto" w:fill="FFFF00"/>
        </w:rPr>
        <w:t>30%</w:t>
      </w:r>
      <w:r>
        <w:rPr>
          <w:rFonts w:ascii="宋体" w:hAnsi="宋体" w:hint="eastAsia"/>
          <w:bCs/>
          <w:szCs w:val="21"/>
          <w:highlight w:val="cyan"/>
          <w:shd w:val="clear" w:color="auto" w:fill="FFFF00"/>
        </w:rPr>
        <w:t xml:space="preserve"> 的预付款保函，即人民币：</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元(大写)：</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元（小写），有效期截止</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年</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月</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日。甲方收到乙方提供的预付款保函后</w:t>
      </w:r>
      <w:r>
        <w:rPr>
          <w:rFonts w:ascii="宋体" w:hAnsi="宋体" w:hint="eastAsia"/>
          <w:bCs/>
          <w:szCs w:val="21"/>
          <w:highlight w:val="cyan"/>
          <w:u w:val="single"/>
          <w:shd w:val="clear" w:color="auto" w:fill="FFFF00"/>
        </w:rPr>
        <w:t xml:space="preserve"> 10</w:t>
      </w:r>
      <w:r>
        <w:rPr>
          <w:rFonts w:ascii="宋体" w:hAnsi="宋体" w:hint="eastAsia"/>
          <w:bCs/>
          <w:szCs w:val="21"/>
          <w:highlight w:val="cyan"/>
          <w:shd w:val="clear" w:color="auto" w:fill="FFFF00"/>
        </w:rPr>
        <w:t>个工作日内，向乙方支付合同总金额的</w:t>
      </w:r>
      <w:r>
        <w:rPr>
          <w:rFonts w:ascii="宋体" w:hAnsi="宋体" w:hint="eastAsia"/>
          <w:bCs/>
          <w:szCs w:val="21"/>
          <w:highlight w:val="cyan"/>
          <w:u w:val="single"/>
          <w:shd w:val="clear" w:color="auto" w:fill="FFFF00"/>
        </w:rPr>
        <w:t>100%</w:t>
      </w:r>
      <w:r>
        <w:rPr>
          <w:rFonts w:ascii="宋体" w:hAnsi="宋体" w:hint="eastAsia"/>
          <w:bCs/>
          <w:szCs w:val="21"/>
          <w:highlight w:val="cyan"/>
          <w:shd w:val="clear" w:color="auto" w:fill="FFFF00"/>
        </w:rPr>
        <w:t>，即人民币         元(大写)：</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元（小写）。甲方组织完成本服务合同履约情况评审且评审通过后，将退还乙方前述预付款保函；同时乙方向甲方提供合同总金额</w:t>
      </w:r>
      <w:r>
        <w:rPr>
          <w:rFonts w:ascii="宋体" w:hAnsi="宋体" w:hint="eastAsia"/>
          <w:bCs/>
          <w:szCs w:val="21"/>
          <w:highlight w:val="cyan"/>
          <w:u w:val="single"/>
          <w:shd w:val="clear" w:color="auto" w:fill="FFFF00"/>
        </w:rPr>
        <w:t>10%</w:t>
      </w:r>
      <w:r>
        <w:rPr>
          <w:rFonts w:ascii="宋体" w:hAnsi="宋体" w:hint="eastAsia"/>
          <w:bCs/>
          <w:szCs w:val="21"/>
          <w:highlight w:val="cyan"/>
          <w:shd w:val="clear" w:color="auto" w:fill="FFFF00"/>
        </w:rPr>
        <w:t>的履约保函，即人民币：</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元(大写)：</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 xml:space="preserve"> 元（小写），有效期截止</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年</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月</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日。</w:t>
      </w:r>
    </w:p>
    <w:p w:rsidR="00286622" w:rsidP="00286622">
      <w:pPr>
        <w:adjustRightInd w:val="0"/>
        <w:snapToGrid w:val="0"/>
        <w:spacing w:line="360" w:lineRule="auto"/>
        <w:ind w:firstLine="420" w:firstLineChars="200"/>
        <w:rPr>
          <w:rFonts w:ascii="宋体" w:hAnsi="宋体" w:hint="eastAsia"/>
          <w:bCs/>
          <w:szCs w:val="21"/>
          <w:shd w:val="clear" w:color="auto" w:fill="FFFF00"/>
        </w:rPr>
      </w:pPr>
      <w:r>
        <w:rPr>
          <w:rFonts w:ascii="宋体" w:hAnsi="宋体" w:hint="eastAsia"/>
          <w:bCs/>
          <w:szCs w:val="21"/>
          <w:highlight w:val="cyan"/>
          <w:shd w:val="clear" w:color="auto" w:fill="FFFF00"/>
        </w:rPr>
        <w:t>3.项目终验合格且收到终验合格证明</w:t>
      </w:r>
      <w:r>
        <w:rPr>
          <w:rFonts w:ascii="宋体" w:hAnsi="宋体" w:hint="eastAsia"/>
          <w:bCs/>
          <w:szCs w:val="21"/>
          <w:highlight w:val="cyan"/>
          <w:u w:val="single"/>
          <w:shd w:val="clear" w:color="auto" w:fill="FFFF00"/>
        </w:rPr>
        <w:t>10</w:t>
      </w:r>
      <w:r>
        <w:rPr>
          <w:rFonts w:ascii="宋体" w:hAnsi="宋体" w:hint="eastAsia"/>
          <w:bCs/>
          <w:szCs w:val="21"/>
          <w:highlight w:val="cyan"/>
          <w:shd w:val="clear" w:color="auto" w:fill="FFFF00"/>
        </w:rPr>
        <w:t>个工作日内，甲方退还乙方履约保函。</w:t>
      </w:r>
    </w:p>
    <w:p w:rsidR="005677A1" w:rsidRPr="00286622">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p>
    <w:p w:rsidR="005677A1">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5677A1">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5677A1">
      <w:pPr>
        <w:tabs>
          <w:tab w:val="left" w:pos="1573"/>
        </w:tabs>
        <w:adjustRightInd w:val="0"/>
        <w:snapToGrid w:val="0"/>
        <w:spacing w:line="360" w:lineRule="auto"/>
        <w:ind w:firstLine="412" w:firstLineChars="196"/>
        <w:jc w:val="left"/>
        <w:rPr>
          <w:rFonts w:ascii="宋体" w:eastAsia="宋体" w:hAnsi="宋体" w:cs="Times New Roman"/>
          <w:szCs w:val="28"/>
        </w:rPr>
      </w:pPr>
    </w:p>
    <w:p w:rsidR="005677A1">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5677A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5677A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5677A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5677A1">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5677A1">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5677A1">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5677A1">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5677A1">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5677A1">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5677A1">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5677A1">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w:t>
      </w:r>
      <w:r>
        <w:rPr>
          <w:rFonts w:ascii="宋体" w:eastAsia="宋体" w:hAnsi="宋体" w:cs="Times New Roman" w:hint="eastAsia"/>
          <w:szCs w:val="20"/>
        </w:rPr>
        <w:t>提出有针对性的处置措施和替代方案。如本项目不属于上述项目，“八、风险管理”可省略）</w:t>
      </w:r>
    </w:p>
    <w:p w:rsidR="005677A1">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5677A1">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5677A1">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5677A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5677A1">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5677A1">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5677A1">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5677A1">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5677A1">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5677A1">
      <w:pPr>
        <w:tabs>
          <w:tab w:val="left" w:pos="1573"/>
        </w:tabs>
        <w:adjustRightInd w:val="0"/>
        <w:snapToGrid w:val="0"/>
        <w:ind w:firstLine="315" w:firstLineChars="150"/>
        <w:jc w:val="left"/>
        <w:rPr>
          <w:rFonts w:ascii="宋体" w:eastAsia="宋体" w:hAnsi="宋体" w:cs="Times New Roman"/>
          <w:szCs w:val="21"/>
          <w:u w:val="single"/>
        </w:rPr>
      </w:pPr>
    </w:p>
    <w:p w:rsidR="005677A1">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5677A1">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5677A1">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5677A1">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5677A1">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5677A1">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5677A1">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5677A1">
      <w:pPr>
        <w:tabs>
          <w:tab w:val="left" w:pos="1573"/>
        </w:tabs>
        <w:adjustRightInd w:val="0"/>
        <w:snapToGrid w:val="0"/>
        <w:spacing w:line="360" w:lineRule="auto"/>
        <w:ind w:firstLine="420" w:firstLineChars="200"/>
        <w:jc w:val="left"/>
        <w:rPr>
          <w:rFonts w:ascii="宋体" w:eastAsia="宋体" w:hAnsi="宋体" w:cs="Times New Roman"/>
          <w:b/>
          <w:szCs w:val="28"/>
        </w:rPr>
      </w:pPr>
    </w:p>
    <w:p w:rsidR="005677A1">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5677A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5677A1">
      <w:pPr>
        <w:tabs>
          <w:tab w:val="left" w:pos="1573"/>
        </w:tabs>
        <w:adjustRightInd w:val="0"/>
        <w:snapToGrid w:val="0"/>
        <w:spacing w:line="360" w:lineRule="auto"/>
        <w:ind w:firstLine="412" w:firstLineChars="196"/>
        <w:jc w:val="left"/>
        <w:rPr>
          <w:rFonts w:ascii="宋体" w:eastAsia="宋体" w:hAnsi="宋体" w:cs="Times New Roman"/>
          <w:b/>
          <w:szCs w:val="28"/>
        </w:rPr>
      </w:pPr>
    </w:p>
    <w:p w:rsidR="005677A1">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5677A1">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5677A1">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5677A1">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5677A1">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签约日期</w:t>
      </w:r>
      <w:r>
        <w:rPr>
          <w:rFonts w:ascii="宋体" w:eastAsia="宋体" w:hAnsi="宋体" w:cs="Times New Roman" w:hint="eastAsia"/>
          <w:b/>
          <w:szCs w:val="21"/>
        </w:rPr>
        <w:t>：</w:t>
      </w:r>
    </w:p>
    <w:p w:rsidR="005677A1">
      <w:pPr>
        <w:widowControl/>
        <w:jc w:val="left"/>
        <w:rPr>
          <w:rFonts w:ascii="宋体" w:eastAsia="宋体" w:hAnsi="宋体" w:cs="Times New Roman"/>
          <w:b/>
          <w:szCs w:val="21"/>
        </w:rPr>
      </w:pPr>
      <w:r>
        <w:rPr>
          <w:rFonts w:ascii="宋体" w:eastAsia="宋体" w:hAnsi="宋体" w:cs="Times New Roman"/>
          <w:b/>
          <w:szCs w:val="21"/>
        </w:rPr>
        <w:br w:type="page"/>
      </w:r>
    </w:p>
    <w:p w:rsidR="005677A1">
      <w:pPr>
        <w:spacing w:line="360" w:lineRule="auto"/>
        <w:jc w:val="left"/>
        <w:rPr>
          <w:rFonts w:ascii="Times New Roman" w:eastAsia="宋体" w:hAnsi="Times New Roman" w:cs="Times New Roman"/>
          <w:b/>
          <w:bCs/>
          <w:sz w:val="44"/>
          <w:szCs w:val="44"/>
        </w:rPr>
      </w:pPr>
    </w:p>
    <w:p w:rsidR="005677A1">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5677A1">
      <w:pPr>
        <w:tabs>
          <w:tab w:val="left" w:pos="1573"/>
        </w:tabs>
        <w:snapToGrid w:val="0"/>
        <w:spacing w:line="360" w:lineRule="auto"/>
        <w:jc w:val="center"/>
        <w:rPr>
          <w:rFonts w:ascii="宋体" w:eastAsia="宋体" w:hAnsi="宋体" w:cs="Times New Roman"/>
          <w:szCs w:val="21"/>
        </w:rPr>
      </w:pPr>
    </w:p>
    <w:p w:rsidR="005677A1">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5677A1">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5677A1">
      <w:pPr>
        <w:numPr>
          <w:ilvl w:val="0"/>
          <w:numId w:val="14"/>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5677A1">
      <w:pPr>
        <w:numPr>
          <w:ilvl w:val="0"/>
          <w:numId w:val="14"/>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5677A1">
      <w:pPr>
        <w:numPr>
          <w:ilvl w:val="0"/>
          <w:numId w:val="14"/>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5677A1">
      <w:pPr>
        <w:numPr>
          <w:ilvl w:val="0"/>
          <w:numId w:val="14"/>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5677A1">
      <w:pPr>
        <w:numPr>
          <w:ilvl w:val="0"/>
          <w:numId w:val="14"/>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5677A1">
      <w:pPr>
        <w:numPr>
          <w:ilvl w:val="0"/>
          <w:numId w:val="14"/>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5677A1">
      <w:pPr>
        <w:numPr>
          <w:ilvl w:val="0"/>
          <w:numId w:val="14"/>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5677A1">
      <w:pPr>
        <w:numPr>
          <w:ilvl w:val="0"/>
          <w:numId w:val="14"/>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5677A1">
      <w:pPr>
        <w:numPr>
          <w:ilvl w:val="0"/>
          <w:numId w:val="14"/>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、“保修期”指自验收证书甲方签署之日起，乙方免费对所提供给甲方服务内容进行技术支持、现场服务、升级服务等，并自担费用方式保证合同服务正常运行的时期。</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w:t>
      </w:r>
      <w:r>
        <w:rPr>
          <w:rFonts w:ascii="宋体" w:eastAsia="宋体" w:hAnsi="宋体" w:cs="Times New Roman" w:hint="eastAsia"/>
          <w:szCs w:val="21"/>
        </w:rPr>
        <w:t>然人、法人或其他经济组织。</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、“投标文件”指乙方按照采购中心发布的本项目招标文件的要求编制和投递，并最终被采购中心接受的投标文件。</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5677A1">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w:t>
      </w:r>
      <w:r>
        <w:rPr>
          <w:rFonts w:ascii="黑体" w:eastAsia="黑体" w:hAnsi="黑体" w:cs="Times New Roman" w:hint="eastAsia"/>
          <w:b/>
          <w:bCs/>
          <w:szCs w:val="21"/>
        </w:rPr>
        <w:t>同条款专用部分</w:t>
      </w:r>
      <w:r>
        <w:rPr>
          <w:rFonts w:ascii="宋体" w:eastAsia="宋体" w:hAnsi="宋体" w:cs="Times New Roman" w:hint="eastAsia"/>
          <w:szCs w:val="21"/>
        </w:rPr>
        <w:t>。</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、双方因本合同发生的一切费用均以人民币结算及支付。</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、双方的帐户名称、开户银行及帐号以本合同提供的为准。</w:t>
      </w:r>
    </w:p>
    <w:p w:rsidR="005677A1">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5677A1">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5677A1">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5677A1">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）保修期满后付款：合同服务的保修期（合同服务的保修期自全部服务验收合格，双方签署验收证书之日起算）期满后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、乙方在收到甲方每一笔付款的同时，应向甲方开具相应金额的商业发票。</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w:t>
      </w:r>
      <w:r>
        <w:rPr>
          <w:rFonts w:ascii="宋体" w:eastAsia="宋体" w:hAnsi="宋体" w:cs="Times New Roman" w:hint="eastAsia"/>
          <w:szCs w:val="21"/>
        </w:rPr>
        <w:t>履行所引起的任何及所有责任均应当全部给予赔偿。</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5677A1">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、没有甲方事先书面同意，除了履行本合同之外，乙方不应使用甲方提供的任何文件和资料。</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、任何一方均不可凭借本协议取得另一方此前所已经拥有且根据本合同不应被合理的推论为其已经同意转移的版权、专利、商业秘密、商标或其他知识产权的所有权。</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w:t>
      </w:r>
      <w:r>
        <w:rPr>
          <w:rFonts w:ascii="宋体" w:eastAsia="宋体" w:hAnsi="宋体" w:cs="Times New Roman" w:hint="eastAsia"/>
          <w:szCs w:val="21"/>
        </w:rPr>
        <w:t>当符合当事人约定。</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、保护知识产权原则：乙方应当保证其有关参与本次采购相关的活动包括履行本次采购的任何行为，以及本次采购活动结束之后的任何涉</w:t>
      </w:r>
      <w:r>
        <w:rPr>
          <w:rFonts w:ascii="宋体" w:eastAsia="宋体" w:hAnsi="宋体" w:cs="Times New Roman" w:hint="eastAsia"/>
          <w:szCs w:val="21"/>
        </w:rPr>
        <w:t>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、甲方将拥有其在本协议项下所从事的所有工作（包括各类纸质文档，电子文档及其他可交付物）中所包含的或与之相关的全部版权、专利、商业秘密、商标和其他知识产权以及所有权和其他权益。</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5677A1">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w:t>
      </w:r>
      <w:r>
        <w:rPr>
          <w:rFonts w:ascii="宋体" w:eastAsia="宋体" w:hAnsi="宋体" w:cs="Times New Roman" w:hint="eastAsia"/>
          <w:szCs w:val="21"/>
        </w:rPr>
        <w:t>终止合同及索赔的权利。</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w:t>
      </w:r>
      <w:r>
        <w:rPr>
          <w:rFonts w:ascii="宋体" w:eastAsia="宋体" w:hAnsi="宋体" w:cs="Times New Roman" w:hint="eastAsia"/>
          <w:szCs w:val="21"/>
        </w:rPr>
        <w:t>执行，甲方将有充分理由取消该中标决定，并不予退还其投标保证金。在此情况下甲方可将合同授予排名第二的中标候选人，或重新招标。</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、中标人的履约保证金将在合同服务试经甲方终验合格，履行完必要的审批手续后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、如乙方未能完全履行合同规定的义务，甲方有权从履约保证金中得到补偿。</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5677A1">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、若乙方未如期按照合同约定的任何或全部款项内容之要求交付合同服务产品，或乙方未能履行合同规定的任何其它义务时，甲方有权直</w:t>
      </w:r>
      <w:r>
        <w:rPr>
          <w:rFonts w:ascii="宋体" w:eastAsia="宋体" w:hAnsi="宋体" w:cs="Times New Roman" w:hint="eastAsia"/>
          <w:szCs w:val="21"/>
        </w:rPr>
        <w:t>接向乙方发出违约通知书，乙方应按照甲方选择的下列一种或多种方式承担赔偿责任及违约责任：</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）上述情形下甲方为采取必要的补救措施或因防止损失扩大而支出的合理费用应由乙方承担。</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w:t>
      </w:r>
      <w:r>
        <w:rPr>
          <w:rFonts w:ascii="宋体" w:eastAsia="宋体" w:hAnsi="宋体" w:cs="Times New Roman" w:hint="eastAsia"/>
          <w:szCs w:val="21"/>
        </w:rPr>
        <w:t>则甲方有权从尚未支付的合同价款中扣回相当于甲方选择的方式计算的索赔金额。如果这些金额不足以补偿，甲方有权向乙方提出不足部分的赔偿要求。</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、乙方违反规定，有下列行为之一的，甲方有权对因此造成的损失追究责任；构成犯罪的，由司法机关追究其刑事责任：</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）擅自向第三方提供或者转让项目资料的；</w:t>
      </w:r>
    </w:p>
    <w:p w:rsidR="005677A1">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5677A1">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5677A1">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的违约金。当违约行为给对方造成损失时，若违约金不足以弥补全部损失，违约方还应当赔偿对方因此所受全部损失。当构成严重违约时，对方可以单方面决定解除或终止合同履行，违约方同时还应当</w:t>
      </w:r>
      <w:r>
        <w:rPr>
          <w:rFonts w:ascii="宋体" w:eastAsia="宋体" w:hAnsi="宋体" w:cs="Times New Roman" w:hint="eastAsia"/>
          <w:szCs w:val="21"/>
        </w:rPr>
        <w:t>承担违约或赔偿责任。</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5677A1">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w:t>
      </w:r>
      <w:r>
        <w:rPr>
          <w:rFonts w:ascii="宋体" w:eastAsia="宋体" w:hAnsi="宋体" w:cs="Times New Roman" w:hint="eastAsia"/>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w:t>
      </w:r>
      <w:r>
        <w:rPr>
          <w:rFonts w:ascii="宋体" w:eastAsia="宋体" w:hAnsi="宋体" w:cs="Times New Roman" w:hint="eastAsia"/>
          <w:szCs w:val="21"/>
        </w:rPr>
        <w:t>格遵守法律、法规，并且应当独立承担全部及任何法律责任，包括对采购中心、采购人、甲方、最终用户或任何第三方的民事侵权赔偿责任。上述该等责任同时亦均属严重违约责任。</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、不可抗力指下列事件：战争、动乱、瘟疫、严重火灾、洪水、地震、风暴或其他自然灾害，以及本合同各方不可预见、不可防止并不能避免或克服的一切其他因素及事件。</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、任何一方因不可抗力不能履行本合同规定的全部或部分义务，该方应尽快通知另一方，并须在不可抗力发生后三日内以书面形式向另一方提供详细情况报告及不可抗力对履行本合同的影响程度的说明</w:t>
      </w:r>
      <w:r>
        <w:rPr>
          <w:rFonts w:ascii="宋体" w:eastAsia="宋体" w:hAnsi="宋体" w:cs="Times New Roman" w:hint="eastAsia"/>
          <w:szCs w:val="21"/>
        </w:rPr>
        <w:t>。就上述不可抗力的发生须由受到不可抗力影响的一方负责同时提供由公证机关作出的公证证明。</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w:t>
      </w:r>
      <w:r>
        <w:rPr>
          <w:rFonts w:ascii="宋体" w:eastAsia="宋体" w:hAnsi="宋体" w:cs="Times New Roman" w:hint="eastAsia"/>
          <w:szCs w:val="21"/>
        </w:rPr>
        <w:t>果承担法律责任。</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任何一方对其获知的本合同及附件中其他各方的商业秘密和国家秘密负有保密义务。</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、在下列情形下：当发布中标公告和其它公告时，当国家机关调查、审查、审计时，以及其他符合法律规定的情形下，无须事先征求投标人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w:t>
      </w:r>
      <w:r>
        <w:rPr>
          <w:rFonts w:ascii="宋体" w:eastAsia="宋体" w:hAnsi="宋体" w:cs="Times New Roman" w:hint="eastAsia"/>
          <w:szCs w:val="21"/>
        </w:rPr>
        <w:t>，无须再承担保密责任。</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、本合同标题仅供查阅方便，并非对本合同的诠释或解释；本合同中以日表述的时间期限均指自然日。</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、对本合同的任何解释均应以书面作</w:t>
      </w:r>
      <w:r>
        <w:rPr>
          <w:rFonts w:ascii="宋体" w:eastAsia="宋体" w:hAnsi="宋体" w:cs="Times New Roman" w:hint="eastAsia"/>
          <w:szCs w:val="21"/>
        </w:rPr>
        <w:t>出。</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5677A1">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、本合同因下列原因而终止：</w:t>
      </w:r>
    </w:p>
    <w:p w:rsidR="005677A1">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5677A1">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5677A1">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5677A1">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、合同双方应通过友好协商解决因解释﹑执行本合同所发生的和本合同有关的一切争议。如果经协商不能达成协议，则双方同意：</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）由贸易仲裁委员会根据现行有效的仲裁程序进行仲裁。仲裁裁决为最终裁决对双方均具有约束力。仲裁费除仲裁机关另有裁决外的应由败诉方承担。</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w:t>
      </w:r>
      <w:r>
        <w:rPr>
          <w:rFonts w:ascii="宋体" w:eastAsia="宋体" w:hAnsi="宋体" w:cs="Times New Roman"/>
          <w:szCs w:val="21"/>
        </w:rPr>
        <w:t>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5677A1">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日内对此作出书面回应，其内容包括详细的该修改对合同价格、项目交付日期、项目技术参数的影响和变化以及对合同条款的影响等。</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w:t>
      </w:r>
      <w:r>
        <w:rPr>
          <w:rFonts w:ascii="宋体" w:eastAsia="宋体" w:hAnsi="宋体" w:cs="Times New Roman" w:hint="eastAsia"/>
          <w:szCs w:val="21"/>
        </w:rPr>
        <w:t>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日内以书面方式通知乙方是否同意和接受乙方的上述修改建议。如果甲方接受乙方的上述回应，则双方另行对此</w:t>
      </w:r>
      <w:r>
        <w:rPr>
          <w:rFonts w:ascii="宋体" w:eastAsia="宋体" w:hAnsi="宋体" w:cs="Times New Roman" w:hint="eastAsia"/>
          <w:szCs w:val="21"/>
        </w:rPr>
        <w:t>修改建议签署予以确认，甲乙双方则按修改后的约定履行本合同。如甲方不同意乙方的上述建议，双方仍按原合同执行。</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5677A1">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、任何对合同条件的变更或修改均须双方签订书面的修改书。</w:t>
      </w:r>
    </w:p>
    <w:p w:rsidR="005677A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、招投标文件及其全部条款、双方签订的补充协议以及修改或变更的条款与本合同具有同等法律效力。补充、修改或变更的协议的签署及生效方式与本合同的签署及生效方式相同。</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5677A1">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5677A1">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、本合同正本一式两份，甲、乙双方各执一份，每份正本具有同等法律效力，副本报财政部备案。</w:t>
      </w:r>
    </w:p>
    <w:p w:rsidR="005677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w:t>
      </w:r>
      <w:r>
        <w:rPr>
          <w:rFonts w:ascii="宋体" w:eastAsia="宋体" w:hAnsi="宋体" w:cs="Times New Roman" w:hint="eastAsia"/>
          <w:szCs w:val="21"/>
        </w:rPr>
        <w:t>和投标文件，正本由中国气象局政府采购中心保存。</w:t>
      </w:r>
    </w:p>
    <w:p w:rsidR="005677A1">
      <w:pPr>
        <w:tabs>
          <w:tab w:val="left" w:pos="1573"/>
        </w:tabs>
        <w:adjustRightInd w:val="0"/>
        <w:snapToGrid w:val="0"/>
        <w:spacing w:line="360" w:lineRule="auto"/>
        <w:ind w:firstLine="412" w:firstLineChars="196"/>
        <w:jc w:val="left"/>
        <w:rPr>
          <w:rFonts w:ascii="宋体" w:eastAsia="宋体" w:hAnsi="宋体" w:cs="Times New Roman"/>
          <w:szCs w:val="21"/>
        </w:rPr>
      </w:pPr>
    </w:p>
    <w:p w:rsidR="005677A1"/>
    <w:p w:rsidR="00A77B3E"/>
    <w:p w:rsidR="005677A1">
      <w:pPr>
        <w:numPr>
          <w:ilvl w:val="0"/>
          <w:numId w:val="12"/>
        </w:numPr>
        <w:spacing w:line="360" w:lineRule="auto"/>
        <w:ind w:firstLine="3066" w:firstLineChars="1460"/>
        <w:jc w:val="left"/>
        <w:rPr>
          <w:rFonts w:ascii="Times New Roman" w:eastAsia="宋体" w:hAnsi="Times New Roman" w:cs="Times New Roman"/>
          <w:b/>
          <w:bCs/>
          <w:szCs w:val="21"/>
        </w:rPr>
      </w:pPr>
      <w:bookmarkEnd w:id="108"/>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AF656DE8"/>
    <w:multiLevelType w:val="singleLevel"/>
    <w:tmpl w:val="AF656DE8"/>
    <w:lvl w:ilvl="0">
      <w:start w:val="1"/>
      <w:numFmt w:val="bullet"/>
      <w:lvlText w:val=""/>
      <w:lvlJc w:val="left"/>
      <w:pPr>
        <w:ind w:left="420" w:hanging="420"/>
      </w:pPr>
      <w:rPr>
        <w:rFonts w:ascii="Wingdings" w:hAnsi="Wingdings" w:hint="default"/>
      </w:rPr>
    </w:lvl>
  </w:abstractNum>
  <w:abstractNum w:abstractNumId="3">
    <w:nsid w:val="DD306ED1"/>
    <w:multiLevelType w:val="multilevel"/>
    <w:tmpl w:val="DD306ED1"/>
    <w:lvl w:ilvl="0">
      <w:start w:val="1"/>
      <w:numFmt w:val="decimal"/>
      <w:lvlText w:val="%1)"/>
      <w:lvlJc w:val="left"/>
      <w:pPr>
        <w:ind w:left="420" w:hanging="42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6">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07F07F2"/>
    <w:multiLevelType w:val="multilevel"/>
    <w:tmpl w:val="107F07F2"/>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nsid w:val="164CF424"/>
    <w:multiLevelType w:val="singleLevel"/>
    <w:tmpl w:val="164CF424"/>
    <w:lvl w:ilvl="0">
      <w:start w:val="1"/>
      <w:numFmt w:val="decimal"/>
      <w:suff w:val="nothing"/>
      <w:lvlText w:val="（%1）"/>
      <w:lvlJc w:val="left"/>
    </w:lvl>
  </w:abstractNum>
  <w:abstractNum w:abstractNumId="9">
    <w:nsid w:val="1A6F3CC2"/>
    <w:multiLevelType w:val="multilevel"/>
    <w:tmpl w:val="1A6F3CC2"/>
    <w:lvl w:ilvl="0">
      <w:start w:val="1"/>
      <w:numFmt w:val="decimal"/>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0">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11">
    <w:nsid w:val="2E616CF6"/>
    <w:multiLevelType w:val="multilevel"/>
    <w:tmpl w:val="2E616CF6"/>
    <w:lvl w:ilvl="0">
      <w:start w:val="1"/>
      <w:numFmt w:val="bullet"/>
      <w:lvlText w:val=""/>
      <w:lvlJc w:val="left"/>
      <w:pPr>
        <w:ind w:left="105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680EECD"/>
    <w:multiLevelType w:val="singleLevel"/>
    <w:tmpl w:val="3680EECD"/>
    <w:lvl w:ilvl="0">
      <w:start w:val="1"/>
      <w:numFmt w:val="bullet"/>
      <w:lvlText w:val=""/>
      <w:lvlJc w:val="left"/>
      <w:pPr>
        <w:ind w:left="420" w:hanging="420"/>
      </w:pPr>
      <w:rPr>
        <w:rFonts w:ascii="Wingdings" w:hAnsi="Wingdings" w:hint="default"/>
      </w:rPr>
    </w:lvl>
  </w:abstractNum>
  <w:abstractNum w:abstractNumId="14">
    <w:nsid w:val="369CA7FC"/>
    <w:multiLevelType w:val="singleLevel"/>
    <w:tmpl w:val="369CA7FC"/>
    <w:lvl w:ilvl="0">
      <w:start w:val="1"/>
      <w:numFmt w:val="decimal"/>
      <w:suff w:val="nothing"/>
      <w:lvlText w:val="（%1）"/>
      <w:lvlJc w:val="left"/>
    </w:lvl>
  </w:abstractNum>
  <w:num w:numId="1">
    <w:abstractNumId w:val="5"/>
  </w:num>
  <w:num w:numId="2">
    <w:abstractNumId w:val="4"/>
  </w:num>
  <w:num w:numId="3">
    <w:abstractNumId w:val="6"/>
  </w:num>
  <w:num w:numId="4">
    <w:abstractNumId w:val="7"/>
  </w:num>
  <w:num w:numId="5">
    <w:abstractNumId w:val="2"/>
  </w:num>
  <w:num w:numId="6">
    <w:abstractNumId w:val="9"/>
  </w:num>
  <w:num w:numId="7">
    <w:abstractNumId w:val="8"/>
  </w:num>
  <w:num w:numId="8">
    <w:abstractNumId w:val="13"/>
  </w:num>
  <w:num w:numId="9">
    <w:abstractNumId w:val="11"/>
  </w:num>
  <w:num w:numId="10">
    <w:abstractNumId w:val="3"/>
  </w:num>
  <w:num w:numId="11">
    <w:abstractNumId w:val="14"/>
  </w:num>
  <w:num w:numId="12">
    <w:abstractNumId w:val="1"/>
  </w:num>
  <w:num w:numId="13">
    <w:abstractNumId w:val="0"/>
  </w:num>
  <w:num w:numId="14">
    <w:abstractNumId w:val="10"/>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86622"/>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7F7"/>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677A1"/>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