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2025年人影作业催化剂采购（第4部分）</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ZQCD-25199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2025年人影作业催化剂采购（第4部分）</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ZQCD-25199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青海省境内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2025年07月30日 00:00:00</w:t>
      </w:r>
      <w:bookmarkEnd w:id="26"/>
      <w:r>
        <w:rPr>
          <w:rFonts w:ascii="宋体" w:hint="eastAsia"/>
          <w:szCs w:val="21"/>
          <w:highlight w:val="none"/>
        </w:rPr>
        <w:t>至</w:t>
      </w:r>
      <w:bookmarkStart w:id="27" w:name="项目公告_signUpLastTime"/>
      <w:r>
        <w:rPr>
          <w:rFonts w:ascii="宋体" w:hint="eastAsia"/>
          <w:szCs w:val="21"/>
          <w:highlight w:val="none"/>
        </w:rPr>
        <w:t>2025年08月08日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2025年08月29日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青海省人工影响天气中心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郭三刚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西宁市五四大街19号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青海省人工影响天气中心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不允许（仅针对以下产品：1、37mm人工防雹高炮弹，2、37mm人工防雹高炮训练弹不允许代理商投标）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设有，核心产品为37mm人工防雹高炮弹</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（1）标的：37mm人工防雹高炮弹和高炮训练弹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722.258000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722.258000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0"/>
        <w:gridCol w:w="246"/>
        <w:gridCol w:w="2364"/>
        <w:gridCol w:w="246"/>
        <w:gridCol w:w="599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(4)</w:t>
            </w:r>
          </w:p>
        </w:tc>
        <w:tc>
          <w:tcPr/>
          <w:p>
            <w:r>
              <w:t>评审标准：</w:t>
            </w:r>
          </w:p>
          <w:p>
            <w:r>
              <w:t>1.投标人具有 ISO9000系列或GJB9001B质量管理体系认证，得1分。否则不得分。</w:t>
              <w:cr/>
              <w:t>2. 投标人提供具有有效内的军方颁发的“装备承制单位资格证书”得1分，否则不得分；</w:t>
              <w:cr/>
              <w:t>3.投标人具有民用爆炸物品生产许可证， 得2 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(4)</w:t>
            </w:r>
          </w:p>
        </w:tc>
        <w:tc>
          <w:tcPr/>
          <w:p>
            <w:r>
              <w:t>评审标准：</w:t>
            </w:r>
          </w:p>
          <w:p>
            <w:r>
              <w:t>销售合同必须包括“37mm人工防雹高炮弹”及“37mm人工防雹高炮训练弹”，每提供1份合同得1分，最多得4分。否则不得分。</w:t>
              <w:cr/>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cr/>
            </w:r>
          </w:p>
          <w:p/>
        </w:tc>
      </w:tr>
      <w:tr>
        <w:tblPrEx>
          <w:tblW w:w="5000" w:type="pct"/>
          <w:tblCellMar>
            <w:left w:w="108" w:type="dxa"/>
            <w:right w:w="108" w:type="dxa"/>
          </w:tblCellMar>
        </w:tblPrEx>
        <w:tc>
          <w:tcPr/>
          <w:p>
            <w:r>
              <w:t>4</w:t>
            </w:r>
          </w:p>
        </w:tc>
        <w:tc>
          <w:tcPr>
            <w:vMerge w:val="restart"/>
          </w:tcPr>
          <w:p>
            <w:r>
              <w:t>服务部分</w:t>
            </w:r>
          </w:p>
        </w:tc>
        <w:tc>
          <w:tcPr/>
          <w:p>
            <w:r>
              <w:t>质保期服务（主观分）</w:t>
            </w:r>
          </w:p>
        </w:tc>
        <w:tc>
          <w:tcPr/>
          <w:p>
            <w:r>
              <w:t>勾选打分</w:t>
            </w:r>
            <w:r>
              <w:t>(2)</w:t>
            </w:r>
          </w:p>
        </w:tc>
        <w:tc>
          <w:tcPr/>
          <w:p>
            <w:r>
              <w:t>评审标准：</w:t>
            </w:r>
          </w:p>
          <w:p>
            <w:r>
              <w:t>一档0分</w:t>
              <w:cr/>
              <w:t>二档0.5分</w:t>
              <w:cr/>
              <w:t>三档1分</w:t>
              <w:cr/>
              <w:t>四档2分</w:t>
            </w:r>
          </w:p>
          <w:p>
            <w:r>
              <w:t>评审标准说明：</w:t>
            </w:r>
          </w:p>
          <w:p>
            <w:r>
              <w:t>根据投标人提供质保期服务方案进行评分。质保期服务方案应包括质保期服务响应速度、质保期服务承诺、技术支持服务、售后人员配置等。具体评分标准如下：</w:t>
              <w:cr/>
              <w:t>一档：未提供质保期服务方案；</w:t>
              <w:cr/>
              <w:t>二档：质保期服务方案不完整（指缺失质保期服务响应速度、质保期服务承诺、技术支持服务、售后人员配置中任一项内容）；</w:t>
              <w:cr/>
              <w:t>三档：质保期服务方案较完整，但针对性一般，没有建立合理的技术支持机构或技术支持小组，技术支持内容不明确；或者未提供质保期内的7×24小时电话技术支持和保修的承诺。</w:t>
              <w:cr/>
              <w:t>四档：质保期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5</w:t>
            </w:r>
          </w:p>
        </w:tc>
        <w:tc>
          <w:tcPr>
            <w:vMerge/>
          </w:tcPr>
          <w:p>
            <w:r>
              <w:t>服务部分</w:t>
            </w:r>
          </w:p>
        </w:tc>
        <w:tc>
          <w:tcPr/>
          <w:p>
            <w:r>
              <w:t>危险品安全管理方案（主观分）</w:t>
            </w:r>
          </w:p>
        </w:tc>
        <w:tc>
          <w:tcPr/>
          <w:p>
            <w:r>
              <w:t>勾选打分</w:t>
            </w:r>
            <w:r>
              <w:t>(3)</w:t>
            </w:r>
          </w:p>
        </w:tc>
        <w:tc>
          <w:tcPr/>
          <w:p>
            <w:r>
              <w:t>评审标准：</w:t>
            </w:r>
          </w:p>
          <w:p>
            <w:r>
              <w:t>一档0分</w:t>
              <w:cr/>
              <w:t>二档1分</w:t>
              <w:cr/>
              <w:t>三档2分</w:t>
              <w:cr/>
              <w:t>四档3分</w:t>
            </w:r>
          </w:p>
          <w:p>
            <w:r>
              <w:t>评审标准说明：</w:t>
            </w:r>
          </w:p>
          <w:p>
            <w:r>
              <w:t>提供生产、存储、运输、使用等环节中37mm防雹高炮弹及防雹高炮训练弹安全管理方案。根据投标人提供的37mm防雹高炮弹及防雹高炮训练弹安全管理方案进行评分。具体评分标准如下：</w:t>
              <w:cr/>
              <w:t xml:space="preserve">一档：未提供37mm防雹高炮弹及防雹高炮训练弹安全管理方案。 </w:t>
              <w:cr/>
              <w:t xml:space="preserve">二档：37mm防雹高炮弹及防雹高炮训练弹安全管理方案能按照招标文件的要求进行响应，方案结构不清晰，缺乏系统性。 </w:t>
              <w:cr/>
              <w:t xml:space="preserve">三档：37mm防雹高炮弹及防雹高炮训练弹安全管理方案基本能按照招标文件的要求进行响应，有一定针对性，基本满足采购文件的需求。 </w:t>
              <w:cr/>
              <w:t xml:space="preserve">四档：37mm防雹高炮弹及防雹高炮训练弹安全管理方案能按照招标文件的要求进行响应，详细具体，针对性强，与项目实际情况相契合，完全满足采购文件的需求。 </w:t>
              <w:cr/>
            </w:r>
          </w:p>
          <w:p/>
        </w:tc>
      </w:tr>
      <w:tr>
        <w:tblPrEx>
          <w:tblW w:w="5000" w:type="pct"/>
          <w:tblCellMar>
            <w:left w:w="108" w:type="dxa"/>
            <w:right w:w="108" w:type="dxa"/>
          </w:tblCellMar>
        </w:tblPrEx>
        <w:tc>
          <w:tcPr/>
          <w:p>
            <w:r>
              <w:t>6</w:t>
            </w:r>
          </w:p>
        </w:tc>
        <w:tc>
          <w:tcPr>
            <w:vMerge/>
          </w:tcPr>
          <w:p>
            <w:r>
              <w:t>服务部分</w:t>
            </w:r>
          </w:p>
        </w:tc>
        <w:tc>
          <w:tcPr/>
          <w:p>
            <w:r>
              <w:t>事故处理解决方案（主观分）</w:t>
            </w:r>
          </w:p>
        </w:tc>
        <w:tc>
          <w:tcPr/>
          <w:p>
            <w:r>
              <w:t>勾选打分</w:t>
            </w:r>
            <w:r>
              <w:t>(3)</w:t>
            </w:r>
          </w:p>
        </w:tc>
        <w:tc>
          <w:tcPr/>
          <w:p>
            <w:r>
              <w:t>评审标准：</w:t>
            </w:r>
          </w:p>
          <w:p>
            <w:r>
              <w:t>一档0分</w:t>
              <w:cr/>
              <w:t>二档1分</w:t>
              <w:cr/>
              <w:t>三档2分</w:t>
              <w:cr/>
              <w:t>四档3分</w:t>
            </w:r>
          </w:p>
          <w:p>
            <w:r>
              <w:t>评审标准说明：</w:t>
            </w:r>
          </w:p>
          <w:p>
            <w:r>
              <w:t>提供人影作业催化剂出现事故后，投标人派员到场处理时间、事故处理解决时长、事故解决满意度等内容的事故处理解决方案。根据投标人提供事故处理解决方案进行评分。具体评分标准如下：</w:t>
              <w:cr/>
              <w:t xml:space="preserve">一档：未提供事故处理解决方案。 </w:t>
              <w:cr/>
              <w:t xml:space="preserve">二档：事故处理解决方案能按照到场处理时间≤72 小时、安全事故处理时长≤10 个工作日、事故解决满意度≥90%的要求进行响应，方案结构不清晰，缺乏系统性。 </w:t>
              <w:cr/>
              <w:t xml:space="preserve">三档：事故处理解决方案基本能按照到场处理≤72 小时、安全事故处理时长≤10 个工作日、事故解决满意度≥90%的要求进行响应，有一定针对性，基本满足采购文件的需求。 </w:t>
              <w:cr/>
              <w:t>四档：事故处理解决方案能按照到场处理≤72 小时、安全事故处理时长≤10 个工作日、事故解决满意度≥90%的要求进行响应，详细具体，针对性强，与实际情况相契合，完全满足采购文件的需求。</w:t>
              <w:cr/>
            </w:r>
          </w:p>
          <w:p/>
        </w:tc>
      </w:tr>
      <w:tr>
        <w:tblPrEx>
          <w:tblW w:w="5000" w:type="pct"/>
          <w:tblCellMar>
            <w:left w:w="108" w:type="dxa"/>
            <w:right w:w="108" w:type="dxa"/>
          </w:tblCellMar>
        </w:tblPrEx>
        <w:tc>
          <w:tcPr/>
          <w:p>
            <w:r>
              <w:t>7</w:t>
            </w:r>
          </w:p>
        </w:tc>
        <w:tc>
          <w:tcPr>
            <w:vMerge/>
          </w:tcPr>
          <w:p>
            <w:r>
              <w:t>服务部分</w:t>
            </w:r>
          </w:p>
        </w:tc>
        <w:tc>
          <w:tcPr/>
          <w:p>
            <w:r>
              <w:t>废旧故障人影催化剂的处理方案（废旧故障人影催化剂的处理所涉及全部费用须包含在总价中），（主观分）</w:t>
            </w:r>
          </w:p>
        </w:tc>
        <w:tc>
          <w:tcPr/>
          <w:p>
            <w:r>
              <w:t>勾选打分</w:t>
            </w:r>
            <w:r>
              <w:t>(4)</w:t>
            </w:r>
          </w:p>
        </w:tc>
        <w:tc>
          <w:tcPr/>
          <w:p>
            <w:r>
              <w:t>评审标准：</w:t>
            </w:r>
          </w:p>
          <w:p>
            <w:r>
              <w:t>每提供一项承诺得2分，最高得4分，未提供得0分</w:t>
            </w:r>
          </w:p>
          <w:p>
            <w:r>
              <w:t>评审标准说明：</w:t>
            </w:r>
          </w:p>
          <w:p>
            <w:r>
              <w:t>1、投标人提供每 2 年（无废旧故障弹产生年份除外）免费进行一次废旧故障人影催化剂回收返厂销毁的承诺；</w:t>
              <w:cr/>
              <w:t>2、投标人提供负责废旧故障人影催化剂在采购方全省范围的免费运输回收事宜，不得指定回收地点和方式。</w:t>
              <w:cr/>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(2)</w:t>
            </w:r>
          </w:p>
        </w:tc>
        <w:tc>
          <w:tcPr/>
          <w:p>
            <w:r>
              <w:t>评审标准：</w:t>
            </w:r>
          </w:p>
          <w:p>
            <w:r>
              <w:t>针对“37mm人工防雹高炮弹”及“37mm人工防雹高炮训练弹”，每提供 1份用户证明材料得1 分，最多得2分。否则不得分。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2、除项目经理外至少4人具有2年及以上相关工作经验的，得1分；3、为本项目派出的技术人员至少2人具有1年及以上相关工作经验的，得1分；其他不得分。</w:t>
              <w:cr/>
            </w:r>
          </w:p>
          <w:p>
            <w:r>
              <w:t>评审标准说明：</w:t>
            </w:r>
          </w:p>
          <w:p>
            <w:r>
              <w:t>服务团队应有一名项目经理，以及若干技术人员。须提供团队人员名单及背景材料（证书复印件、技术能力、从业及相关项目经验等）。以上材料需加盖投标人公章。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(39)</w:t>
            </w:r>
          </w:p>
        </w:tc>
        <w:tc>
          <w:tcPr/>
          <w:p>
            <w:r>
              <w:t>评审标准：</w:t>
            </w:r>
          </w:p>
          <w:p>
            <w:r>
              <w:t>1. 招标文件第八章技术性能指标中，标注#的重要指标共22项，每满足1项得1.5分，共33分。</w:t>
              <w:cr/>
              <w:t>2. 招标文件第八章技术性能指标中，未标注#的指标共6项（不包括37mm人工防雹高炮弹主要技术指标要求第6和第7项），每满足1项得1分，共6分。</w:t>
              <w:cr/>
            </w:r>
          </w:p>
          <w:p>
            <w:r>
              <w:t>评审标准说明：</w:t>
            </w:r>
          </w:p>
          <w:p>
            <w:r>
              <w:t>需提供技术文档。响应且满足招标文件第八章详细技术性能指标要求，标注#的重要指标需提供加盖投标人公章的证明材料。</w:t>
            </w:r>
          </w:p>
          <w:p/>
        </w:tc>
      </w:tr>
      <w:tr>
        <w:tblPrEx>
          <w:tblW w:w="5000" w:type="pct"/>
          <w:tblCellMar>
            <w:left w:w="108" w:type="dxa"/>
            <w:right w:w="108" w:type="dxa"/>
          </w:tblCellMar>
        </w:tblPrEx>
        <w:tc>
          <w:tcPr/>
          <w:p>
            <w:r>
              <w:t>11</w:t>
            </w:r>
          </w:p>
        </w:tc>
        <w:tc>
          <w:tcPr>
            <w:vMerge/>
          </w:tcPr>
          <w:p>
            <w:r>
              <w:t>技术部分</w:t>
            </w:r>
          </w:p>
        </w:tc>
        <w:tc>
          <w:tcPr/>
          <w:p>
            <w:r>
              <w:t>单发炮弹弹丸最大破片要求（客观分）</w:t>
            </w:r>
          </w:p>
        </w:tc>
        <w:tc>
          <w:tcPr/>
          <w:p>
            <w:r>
              <w:t>勾选打分</w:t>
            </w:r>
            <w:r>
              <w:t>(3)</w:t>
            </w:r>
          </w:p>
        </w:tc>
        <w:tc>
          <w:tcPr/>
          <w:p>
            <w:r>
              <w:t>评审标准：</w:t>
            </w:r>
          </w:p>
          <w:p>
            <w:r>
              <w:t>单发炮弹弹丸最大破片达到A级，得3分；</w:t>
              <w:cr/>
              <w:t>达到B级，得2分；</w:t>
              <w:cr/>
              <w:t>达到C级，得1分。</w:t>
              <w:cr/>
              <w:t>该项最高得3分，不提供不得分。</w:t>
              <w:cr/>
            </w:r>
          </w:p>
          <w:p>
            <w:r>
              <w:t>评审标准说明：</w:t>
            </w:r>
          </w:p>
          <w:p>
            <w:r>
              <w:t>提供加盖投标人公章的证明材料</w:t>
            </w:r>
          </w:p>
          <w:p/>
        </w:tc>
      </w:tr>
      <w:tr>
        <w:tblPrEx>
          <w:tblW w:w="5000" w:type="pct"/>
          <w:tblCellMar>
            <w:left w:w="108" w:type="dxa"/>
            <w:right w:w="108" w:type="dxa"/>
          </w:tblCellMar>
        </w:tblPrEx>
        <w:tc>
          <w:tcPr/>
          <w:p>
            <w:r>
              <w:t>12</w:t>
            </w:r>
          </w:p>
        </w:tc>
        <w:tc>
          <w:tcPr>
            <w:vMerge/>
          </w:tcPr>
          <w:p>
            <w:r>
              <w:t>技术部分</w:t>
            </w:r>
          </w:p>
        </w:tc>
        <w:tc>
          <w:tcPr/>
          <w:p>
            <w:r>
              <w:t>炮弹引信瞎火率（客观分）</w:t>
            </w:r>
          </w:p>
        </w:tc>
        <w:tc>
          <w:tcPr/>
          <w:p>
            <w:r>
              <w:t>勾选打分</w:t>
            </w:r>
            <w:r>
              <w:t>(3)</w:t>
            </w:r>
          </w:p>
        </w:tc>
        <w:tc>
          <w:tcPr/>
          <w:p>
            <w:r>
              <w:t>评审标准：</w:t>
            </w:r>
          </w:p>
          <w:p>
            <w:r>
              <w:t>引信瞎火率达到A级，得3分；</w:t>
              <w:cr/>
              <w:t>达到B级，得2分；</w:t>
              <w:cr/>
              <w:t>达到C级，得1分。</w:t>
              <w:cr/>
              <w:t>该项最高得3分，不提供不得分。</w:t>
              <w:cr/>
            </w:r>
          </w:p>
          <w:p>
            <w:r>
              <w:t>评审标准说明：</w:t>
            </w:r>
          </w:p>
          <w:p>
            <w:r>
              <w:t>提供加盖投标人公章的证明材料</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F36C73">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2C3F14" w:rsidRPr="003A36B1" w:rsidP="002C3F14">
      <w:pPr>
        <w:spacing w:line="360" w:lineRule="auto"/>
        <w:ind w:firstLine="420" w:firstLineChars="200"/>
        <w:outlineLvl w:val="2"/>
        <w:rPr>
          <w:rFonts w:ascii="宋体" w:hAnsi="宋体"/>
          <w:b/>
          <w:color w:val="000000"/>
          <w:szCs w:val="21"/>
        </w:rPr>
      </w:pPr>
      <w:r w:rsidRPr="003A36B1">
        <w:rPr>
          <w:rFonts w:ascii="宋体" w:hAnsi="宋体" w:hint="eastAsia"/>
          <w:b/>
          <w:color w:val="000000"/>
          <w:szCs w:val="21"/>
        </w:rPr>
        <w:t>一、项目概况及总体要求</w:t>
      </w:r>
    </w:p>
    <w:p w:rsidR="002C3F14" w:rsidP="002C3F14">
      <w:pPr>
        <w:spacing w:line="360" w:lineRule="auto"/>
        <w:ind w:firstLine="420" w:firstLineChars="200"/>
        <w:rPr>
          <w:rFonts w:ascii="宋体" w:hAnsi="宋体"/>
          <w:color w:val="000000"/>
          <w:szCs w:val="21"/>
        </w:rPr>
      </w:pPr>
      <w:r>
        <w:rPr>
          <w:rFonts w:ascii="宋体" w:hAnsi="宋体" w:hint="eastAsia"/>
          <w:szCs w:val="21"/>
        </w:rPr>
        <w:t>根据《2025年青海省人工影响天气工作计划》（</w:t>
      </w:r>
      <w:r w:rsidRPr="0017470A">
        <w:rPr>
          <w:rFonts w:ascii="宋体" w:hAnsi="宋体" w:hint="eastAsia"/>
          <w:szCs w:val="21"/>
        </w:rPr>
        <w:t>青气专报〔2025〕2号</w:t>
      </w:r>
      <w:r>
        <w:rPr>
          <w:rFonts w:ascii="宋体" w:hAnsi="宋体" w:hint="eastAsia"/>
          <w:szCs w:val="21"/>
        </w:rPr>
        <w:t>）安排，青海省人工影响天气中心为开展2025年全省农业区人工防雹工作，特采购</w:t>
      </w:r>
      <w:r w:rsidRPr="004A3E25">
        <w:rPr>
          <w:rFonts w:ascii="宋体" w:hAnsi="宋体" w:hint="eastAsia"/>
          <w:szCs w:val="21"/>
        </w:rPr>
        <w:t>37mm人工防雹高炮弹及训练弹</w:t>
      </w:r>
      <w:r>
        <w:rPr>
          <w:rFonts w:ascii="宋体" w:hAnsi="宋体" w:hint="eastAsia"/>
          <w:color w:val="000000"/>
          <w:szCs w:val="21"/>
        </w:rPr>
        <w:t>。</w:t>
      </w:r>
    </w:p>
    <w:p w:rsidR="002C3F14" w:rsidP="002C3F14">
      <w:pPr>
        <w:spacing w:line="360" w:lineRule="auto"/>
        <w:ind w:firstLine="420" w:firstLineChars="200"/>
        <w:rPr>
          <w:rFonts w:ascii="宋体" w:hAnsi="宋体"/>
          <w:szCs w:val="21"/>
        </w:rPr>
      </w:pPr>
      <w:r>
        <w:rPr>
          <w:rFonts w:ascii="宋体" w:hAnsi="宋体" w:hint="eastAsia"/>
          <w:color w:val="000000"/>
          <w:szCs w:val="21"/>
        </w:rPr>
        <w:t>青海省人工影响天气中心本次采购的</w:t>
      </w:r>
      <w:r w:rsidRPr="004A3E25">
        <w:rPr>
          <w:rFonts w:ascii="宋体" w:hAnsi="宋体" w:hint="eastAsia"/>
          <w:color w:val="000000"/>
          <w:szCs w:val="21"/>
        </w:rPr>
        <w:t>37mm人工防雹高炮弹及训练弹</w:t>
      </w:r>
      <w:r>
        <w:rPr>
          <w:rFonts w:ascii="宋体" w:hAnsi="宋体" w:hint="eastAsia"/>
          <w:color w:val="000000"/>
          <w:szCs w:val="21"/>
        </w:rPr>
        <w:t>，由中标</w:t>
      </w:r>
      <w:r>
        <w:rPr>
          <w:rFonts w:ascii="宋体" w:hAnsi="宋体"/>
          <w:color w:val="000000"/>
          <w:szCs w:val="21"/>
        </w:rPr>
        <w:t>供应商</w:t>
      </w:r>
      <w:r>
        <w:rPr>
          <w:rFonts w:ascii="宋体" w:hAnsi="宋体" w:hint="eastAsia"/>
          <w:color w:val="000000"/>
          <w:szCs w:val="21"/>
        </w:rPr>
        <w:t>运输至采购</w:t>
      </w:r>
      <w:r>
        <w:rPr>
          <w:rFonts w:ascii="宋体" w:hAnsi="宋体"/>
          <w:color w:val="000000"/>
          <w:szCs w:val="21"/>
        </w:rPr>
        <w:t>单位</w:t>
      </w:r>
      <w:r>
        <w:rPr>
          <w:rFonts w:ascii="宋体" w:hAnsi="宋体" w:hint="eastAsia"/>
          <w:color w:val="000000"/>
          <w:szCs w:val="21"/>
        </w:rPr>
        <w:t>指定地点，并完成交付</w:t>
      </w:r>
      <w:r>
        <w:rPr>
          <w:rFonts w:ascii="宋体" w:hAnsi="宋体" w:hint="eastAsia"/>
          <w:szCs w:val="21"/>
        </w:rPr>
        <w:t>验收。运输费根据实际产生由采购方与中标供应商签订运输合同并另行承担运输费用。</w:t>
      </w:r>
    </w:p>
    <w:p w:rsidR="002C3F14" w:rsidRPr="003A36B1" w:rsidP="002C3F14">
      <w:pPr>
        <w:spacing w:line="360" w:lineRule="auto"/>
        <w:ind w:firstLine="420" w:firstLineChars="200"/>
        <w:rPr>
          <w:rFonts w:ascii="宋体" w:hAnsi="宋体"/>
          <w:b/>
          <w:bCs/>
          <w:szCs w:val="21"/>
        </w:rPr>
      </w:pPr>
      <w:r w:rsidRPr="003A36B1">
        <w:rPr>
          <w:rFonts w:ascii="宋体" w:hAnsi="宋体" w:hint="eastAsia"/>
          <w:b/>
          <w:bCs/>
          <w:szCs w:val="21"/>
        </w:rPr>
        <w:t>二、设备需求一览表</w:t>
      </w:r>
      <w:r w:rsidR="00BC4CA7">
        <w:rPr>
          <w:rFonts w:ascii="宋体" w:hAnsi="宋体" w:hint="eastAsia"/>
          <w:b/>
          <w:bCs/>
          <w:szCs w:val="21"/>
        </w:rPr>
        <w:t xml:space="preserve">(具体见附表) </w:t>
      </w:r>
    </w:p>
    <w:p w:rsidR="002C3F14" w:rsidRPr="003A36B1" w:rsidP="002C3F14">
      <w:pPr>
        <w:spacing w:line="360" w:lineRule="auto"/>
        <w:ind w:firstLine="420" w:firstLineChars="200"/>
        <w:outlineLvl w:val="2"/>
        <w:rPr>
          <w:rFonts w:ascii="宋体" w:hAnsi="宋体"/>
          <w:b/>
          <w:szCs w:val="21"/>
        </w:rPr>
      </w:pPr>
      <w:r w:rsidRPr="003A36B1">
        <w:rPr>
          <w:rFonts w:ascii="宋体" w:hAnsi="宋体" w:hint="eastAsia"/>
          <w:b/>
          <w:szCs w:val="21"/>
        </w:rPr>
        <w:t>三、技术性能指标</w:t>
      </w:r>
    </w:p>
    <w:p w:rsidR="002C3F14" w:rsidP="002C3F14">
      <w:pPr>
        <w:spacing w:line="360" w:lineRule="auto"/>
        <w:ind w:firstLine="420" w:firstLineChars="200"/>
        <w:rPr>
          <w:rFonts w:ascii="宋体" w:hAnsi="宋体"/>
          <w:b/>
          <w:szCs w:val="21"/>
        </w:rPr>
      </w:pPr>
      <w:r>
        <w:rPr>
          <w:rFonts w:ascii="宋体" w:hAnsi="宋体" w:hint="eastAsia"/>
          <w:b/>
          <w:szCs w:val="21"/>
        </w:rPr>
        <w:t>（一）</w:t>
      </w:r>
      <w:r>
        <w:rPr>
          <w:rFonts w:ascii="宋体" w:hAnsi="宋体"/>
          <w:b/>
          <w:szCs w:val="21"/>
        </w:rPr>
        <w:t xml:space="preserve"> </w:t>
      </w:r>
      <w:r>
        <w:rPr>
          <w:rFonts w:ascii="宋体" w:hAnsi="宋体" w:hint="eastAsia"/>
          <w:b/>
          <w:szCs w:val="21"/>
        </w:rPr>
        <w:t>37mm人工防雹高炮弹主要技术指标要求（气象行业标准——增雨防雹高炮系统技术要求）</w:t>
      </w:r>
    </w:p>
    <w:p w:rsidR="002C3F14" w:rsidP="002C3F14">
      <w:pPr>
        <w:spacing w:line="360" w:lineRule="auto"/>
        <w:ind w:firstLine="420" w:firstLineChars="200"/>
        <w:rPr>
          <w:rFonts w:ascii="宋体"/>
          <w:kern w:val="0"/>
          <w:szCs w:val="21"/>
        </w:rPr>
      </w:pPr>
      <w:bookmarkStart w:id="60" w:name="_Hlk202258954"/>
      <w:r w:rsidRPr="00371A4E">
        <w:rPr>
          <w:rFonts w:ascii="宋体"/>
          <w:color w:val="EE0000"/>
          <w:kern w:val="0"/>
          <w:szCs w:val="21"/>
        </w:rPr>
        <w:t>#</w:t>
      </w:r>
      <w:bookmarkEnd w:id="60"/>
      <w:r>
        <w:rPr>
          <w:rFonts w:ascii="宋体" w:hint="eastAsia"/>
          <w:kern w:val="0"/>
          <w:szCs w:val="21"/>
        </w:rPr>
        <w:t>1</w:t>
      </w:r>
      <w:r>
        <w:rPr>
          <w:rFonts w:ascii="宋体"/>
          <w:kern w:val="0"/>
          <w:szCs w:val="21"/>
        </w:rPr>
        <w:t>.</w:t>
      </w:r>
      <w:r>
        <w:rPr>
          <w:rFonts w:ascii="宋体" w:hint="eastAsia"/>
          <w:kern w:val="0"/>
          <w:szCs w:val="21"/>
        </w:rPr>
        <w:t>装药弹体尺寸、外观、重量应满足的投标产品的技术要求。</w:t>
      </w:r>
    </w:p>
    <w:p w:rsidR="002C3F14" w:rsidP="002C3F14">
      <w:pPr>
        <w:spacing w:line="360" w:lineRule="auto"/>
        <w:ind w:firstLine="420" w:firstLineChars="200"/>
        <w:rPr>
          <w:rFonts w:ascii="宋体"/>
          <w:kern w:val="0"/>
          <w:szCs w:val="21"/>
        </w:rPr>
      </w:pPr>
      <w:r>
        <w:rPr>
          <w:rFonts w:ascii="宋体" w:hint="eastAsia"/>
          <w:kern w:val="0"/>
          <w:szCs w:val="21"/>
        </w:rPr>
        <w:t>尺寸(弹径×弹长)（mm）：37×（382～386）mm；</w:t>
      </w:r>
    </w:p>
    <w:p w:rsidR="002C3F14" w:rsidP="002C3F14">
      <w:pPr>
        <w:spacing w:line="360" w:lineRule="auto"/>
        <w:ind w:firstLine="420" w:firstLineChars="200"/>
        <w:rPr>
          <w:rFonts w:ascii="宋体"/>
          <w:kern w:val="0"/>
          <w:szCs w:val="21"/>
        </w:rPr>
      </w:pPr>
      <w:r>
        <w:rPr>
          <w:rFonts w:ascii="宋体" w:hint="eastAsia"/>
          <w:kern w:val="0"/>
          <w:szCs w:val="21"/>
        </w:rPr>
        <w:t>质量约：1.</w:t>
      </w:r>
      <w:r>
        <w:rPr>
          <w:rFonts w:ascii="宋体"/>
          <w:kern w:val="0"/>
          <w:szCs w:val="21"/>
        </w:rPr>
        <w:t>2</w:t>
      </w:r>
      <w:r>
        <w:rPr>
          <w:rFonts w:ascii="宋体" w:hint="eastAsia"/>
          <w:kern w:val="0"/>
          <w:szCs w:val="21"/>
        </w:rPr>
        <w:t xml:space="preserve"> kg。</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2.</w:t>
      </w:r>
      <w:r>
        <w:rPr>
          <w:rFonts w:ascii="宋体" w:hint="eastAsia"/>
          <w:kern w:val="0"/>
          <w:szCs w:val="21"/>
        </w:rPr>
        <w:t>包装箱外观及装箱正确性应满足投标产品的技术要求。</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3.</w:t>
      </w:r>
      <w:r>
        <w:rPr>
          <w:rFonts w:ascii="宋体" w:hint="eastAsia"/>
          <w:kern w:val="0"/>
          <w:szCs w:val="21"/>
        </w:rPr>
        <w:t>炮弹的标识应清晰可辨，外表面应清洁、完好。</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4.</w:t>
      </w:r>
      <w:r>
        <w:rPr>
          <w:rFonts w:ascii="宋体" w:hint="eastAsia"/>
          <w:kern w:val="0"/>
          <w:szCs w:val="21"/>
        </w:rPr>
        <w:t>炮弹的有效作用高度应为2000 m～8000 m。</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hint="eastAsia"/>
          <w:kern w:val="0"/>
          <w:szCs w:val="21"/>
        </w:rPr>
        <w:t>5</w:t>
      </w:r>
      <w:r>
        <w:rPr>
          <w:rFonts w:ascii="宋体"/>
          <w:kern w:val="0"/>
          <w:szCs w:val="21"/>
        </w:rPr>
        <w:t>.</w:t>
      </w:r>
      <w:r>
        <w:rPr>
          <w:rFonts w:ascii="宋体" w:hint="eastAsia"/>
          <w:kern w:val="0"/>
          <w:szCs w:val="21"/>
        </w:rPr>
        <w:t>炮弹最大射高（射角为85°时）：不应小于6700 m；</w:t>
      </w:r>
    </w:p>
    <w:p w:rsidR="002C3F14" w:rsidP="002C3F14">
      <w:pPr>
        <w:spacing w:line="360" w:lineRule="auto"/>
        <w:ind w:firstLine="420" w:firstLineChars="200"/>
        <w:rPr>
          <w:rFonts w:ascii="宋体"/>
          <w:kern w:val="0"/>
          <w:szCs w:val="21"/>
        </w:rPr>
      </w:pPr>
      <w:r>
        <w:rPr>
          <w:rFonts w:ascii="宋体" w:hint="eastAsia"/>
          <w:kern w:val="0"/>
          <w:szCs w:val="21"/>
        </w:rPr>
        <w:t>6</w:t>
      </w:r>
      <w:r>
        <w:rPr>
          <w:rFonts w:ascii="宋体"/>
          <w:kern w:val="0"/>
          <w:szCs w:val="21"/>
        </w:rPr>
        <w:t>.</w:t>
      </w:r>
      <w:r>
        <w:rPr>
          <w:rFonts w:ascii="宋体" w:hint="eastAsia"/>
          <w:kern w:val="0"/>
          <w:szCs w:val="21"/>
        </w:rPr>
        <w:t>单发炮弹弹丸最大破片分三级：</w:t>
      </w:r>
    </w:p>
    <w:p w:rsidR="002C3F14" w:rsidP="002C3F14">
      <w:pPr>
        <w:spacing w:line="360" w:lineRule="auto"/>
        <w:ind w:firstLine="420" w:firstLineChars="200"/>
        <w:rPr>
          <w:rFonts w:ascii="宋体"/>
          <w:kern w:val="0"/>
          <w:szCs w:val="21"/>
        </w:rPr>
      </w:pPr>
      <w:r>
        <w:rPr>
          <w:rFonts w:ascii="宋体" w:hint="eastAsia"/>
          <w:kern w:val="0"/>
          <w:szCs w:val="21"/>
        </w:rPr>
        <w:t>A级应小于等于5 g；</w:t>
      </w:r>
    </w:p>
    <w:p w:rsidR="002C3F14" w:rsidP="002C3F14">
      <w:pPr>
        <w:spacing w:line="360" w:lineRule="auto"/>
        <w:ind w:firstLine="420" w:firstLineChars="200"/>
        <w:rPr>
          <w:rFonts w:ascii="宋体"/>
          <w:kern w:val="0"/>
          <w:szCs w:val="21"/>
        </w:rPr>
      </w:pPr>
      <w:r>
        <w:rPr>
          <w:rFonts w:ascii="宋体" w:hint="eastAsia"/>
          <w:kern w:val="0"/>
          <w:szCs w:val="21"/>
        </w:rPr>
        <w:t xml:space="preserve">B级应小于等于10 g；  </w:t>
      </w:r>
    </w:p>
    <w:p w:rsidR="002C3F14" w:rsidP="002C3F14">
      <w:pPr>
        <w:spacing w:line="360" w:lineRule="auto"/>
        <w:ind w:firstLine="420" w:firstLineChars="200"/>
        <w:rPr>
          <w:rFonts w:ascii="宋体"/>
          <w:kern w:val="0"/>
          <w:szCs w:val="21"/>
        </w:rPr>
      </w:pPr>
      <w:r>
        <w:rPr>
          <w:rFonts w:ascii="宋体" w:hint="eastAsia"/>
          <w:kern w:val="0"/>
          <w:szCs w:val="21"/>
        </w:rPr>
        <w:t>C级应小于等于14 g。</w:t>
      </w:r>
    </w:p>
    <w:p w:rsidR="002C3F14" w:rsidP="002C3F14">
      <w:pPr>
        <w:spacing w:line="360" w:lineRule="auto"/>
        <w:ind w:firstLine="420" w:firstLineChars="200"/>
        <w:rPr>
          <w:rFonts w:ascii="宋体"/>
          <w:kern w:val="0"/>
          <w:szCs w:val="21"/>
        </w:rPr>
      </w:pPr>
      <w:r>
        <w:rPr>
          <w:rFonts w:ascii="宋体" w:hint="eastAsia"/>
          <w:kern w:val="0"/>
          <w:szCs w:val="21"/>
        </w:rPr>
        <w:t>7</w:t>
      </w:r>
      <w:r>
        <w:rPr>
          <w:rFonts w:ascii="宋体"/>
          <w:kern w:val="0"/>
          <w:szCs w:val="21"/>
        </w:rPr>
        <w:t>.</w:t>
      </w:r>
      <w:r>
        <w:rPr>
          <w:rFonts w:ascii="宋体" w:hint="eastAsia"/>
          <w:kern w:val="0"/>
          <w:szCs w:val="21"/>
        </w:rPr>
        <w:t>炮弹引信瞎火率为：</w:t>
      </w:r>
    </w:p>
    <w:p w:rsidR="002C3F14" w:rsidP="002C3F14">
      <w:pPr>
        <w:spacing w:line="360" w:lineRule="auto"/>
        <w:rPr>
          <w:rFonts w:ascii="宋体"/>
          <w:kern w:val="0"/>
          <w:szCs w:val="21"/>
        </w:rPr>
      </w:pPr>
      <w:r>
        <w:rPr>
          <w:rFonts w:ascii="宋体" w:hint="eastAsia"/>
          <w:kern w:val="0"/>
          <w:szCs w:val="21"/>
        </w:rPr>
        <w:t xml:space="preserve">    A级小于等于1/10000；</w:t>
      </w:r>
    </w:p>
    <w:p w:rsidR="002C3F14" w:rsidP="002C3F14">
      <w:pPr>
        <w:spacing w:line="360" w:lineRule="auto"/>
        <w:rPr>
          <w:rFonts w:ascii="宋体"/>
          <w:kern w:val="0"/>
          <w:szCs w:val="21"/>
        </w:rPr>
      </w:pPr>
      <w:r>
        <w:rPr>
          <w:rFonts w:ascii="宋体" w:hint="eastAsia"/>
          <w:kern w:val="0"/>
          <w:szCs w:val="21"/>
        </w:rPr>
        <w:t xml:space="preserve">    B级小于等于1/1000；</w:t>
      </w:r>
    </w:p>
    <w:p w:rsidR="002C3F14" w:rsidP="002C3F14">
      <w:pPr>
        <w:spacing w:line="360" w:lineRule="auto"/>
        <w:rPr>
          <w:rFonts w:ascii="宋体"/>
          <w:kern w:val="0"/>
          <w:szCs w:val="21"/>
        </w:rPr>
      </w:pPr>
      <w:r>
        <w:rPr>
          <w:rFonts w:ascii="宋体" w:hint="eastAsia"/>
          <w:kern w:val="0"/>
          <w:szCs w:val="21"/>
        </w:rPr>
        <w:t xml:space="preserve">    C级小于等于3/1000。</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8.</w:t>
      </w:r>
      <w:r>
        <w:rPr>
          <w:rFonts w:ascii="宋体" w:hint="eastAsia"/>
          <w:kern w:val="0"/>
          <w:szCs w:val="21"/>
        </w:rPr>
        <w:t>炮弹应具有冗余保险，应至少包括两个独立保险件，其中每一个都应能防止引信意外解除保险，启动这至少两个保险件的激励应从不同的环境获得。</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9.</w:t>
      </w:r>
      <w:r>
        <w:rPr>
          <w:rFonts w:ascii="宋体" w:hint="eastAsia"/>
          <w:kern w:val="0"/>
          <w:szCs w:val="21"/>
        </w:rPr>
        <w:t>炮弹应采用具有延期解除保险功能的隔爆型引信。</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10.</w:t>
      </w:r>
      <w:r>
        <w:rPr>
          <w:rFonts w:ascii="宋体" w:hint="eastAsia"/>
          <w:kern w:val="0"/>
          <w:szCs w:val="21"/>
        </w:rPr>
        <w:t>炮弹引信的无损落高应不小于1.5 m。</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11.</w:t>
      </w:r>
      <w:r>
        <w:rPr>
          <w:rFonts w:ascii="宋体" w:hint="eastAsia"/>
          <w:kern w:val="0"/>
          <w:szCs w:val="21"/>
        </w:rPr>
        <w:t>带包装的全弹安全落高应不小于4.5 m。</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12.</w:t>
      </w:r>
      <w:r>
        <w:rPr>
          <w:rFonts w:ascii="宋体" w:hint="eastAsia"/>
          <w:kern w:val="0"/>
          <w:szCs w:val="21"/>
        </w:rPr>
        <w:t>炮弹的催化剂成核率（试验室内，-10℃）应大于等于</w:t>
      </w:r>
      <w:r>
        <w:rPr>
          <w:rFonts w:hAnsi="宋体" w:hint="eastAsia"/>
        </w:rPr>
        <w:t>1.0</w:t>
      </w:r>
      <w:r>
        <w:rPr>
          <w:rFonts w:hAnsi="宋体" w:hint="eastAsia"/>
        </w:rPr>
        <w:t>×</w:t>
      </w:r>
      <w:r>
        <w:rPr>
          <w:rFonts w:hAnsi="宋体" w:hint="eastAsia"/>
        </w:rPr>
        <w:t>10</w:t>
      </w:r>
      <w:r>
        <w:rPr>
          <w:rFonts w:hAnsi="宋体" w:hint="eastAsia"/>
          <w:vertAlign w:val="superscript"/>
        </w:rPr>
        <w:t>11</w:t>
      </w:r>
      <w:r>
        <w:rPr>
          <w:rFonts w:ascii="宋体" w:hint="eastAsia"/>
          <w:kern w:val="0"/>
          <w:szCs w:val="21"/>
        </w:rPr>
        <w:t>个每克碘化银。</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hint="eastAsia"/>
          <w:kern w:val="0"/>
          <w:szCs w:val="21"/>
        </w:rPr>
        <w:t>1</w:t>
      </w:r>
      <w:r>
        <w:rPr>
          <w:rFonts w:ascii="宋体"/>
          <w:kern w:val="0"/>
          <w:szCs w:val="21"/>
        </w:rPr>
        <w:t>3.</w:t>
      </w:r>
      <w:r>
        <w:rPr>
          <w:rFonts w:ascii="宋体" w:hint="eastAsia"/>
          <w:kern w:val="0"/>
          <w:szCs w:val="21"/>
        </w:rPr>
        <w:t>炮弹适用海拔高度范围应不小于4500 m。</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hint="eastAsia"/>
          <w:kern w:val="0"/>
          <w:szCs w:val="21"/>
        </w:rPr>
        <w:t>1</w:t>
      </w:r>
      <w:r>
        <w:rPr>
          <w:rFonts w:ascii="宋体"/>
          <w:kern w:val="0"/>
          <w:szCs w:val="21"/>
        </w:rPr>
        <w:t>4.</w:t>
      </w:r>
      <w:r>
        <w:rPr>
          <w:rFonts w:ascii="宋体" w:hint="eastAsia"/>
          <w:kern w:val="0"/>
          <w:szCs w:val="21"/>
        </w:rPr>
        <w:t>炮弹适用温度范围应为 -20 ℃～50 ℃。</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15.</w:t>
      </w:r>
      <w:r>
        <w:rPr>
          <w:rFonts w:ascii="宋体" w:hint="eastAsia"/>
          <w:kern w:val="0"/>
          <w:szCs w:val="21"/>
        </w:rPr>
        <w:t>炮弹使用有效期限应不小于 5年。</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hint="eastAsia"/>
          <w:kern w:val="0"/>
          <w:szCs w:val="21"/>
        </w:rPr>
        <w:t>1</w:t>
      </w:r>
      <w:r>
        <w:rPr>
          <w:rFonts w:ascii="宋体"/>
          <w:kern w:val="0"/>
          <w:szCs w:val="21"/>
        </w:rPr>
        <w:t>6.</w:t>
      </w:r>
      <w:r>
        <w:rPr>
          <w:rFonts w:ascii="宋体" w:hint="eastAsia"/>
          <w:kern w:val="0"/>
          <w:szCs w:val="21"/>
        </w:rPr>
        <w:t>炮弹应具有符合规定的条维码标识。</w:t>
      </w:r>
    </w:p>
    <w:p w:rsidR="002C3F14" w:rsidP="002C3F14">
      <w:pPr>
        <w:spacing w:line="360" w:lineRule="auto"/>
        <w:ind w:firstLine="420" w:firstLineChars="200"/>
        <w:rPr>
          <w:rFonts w:ascii="宋体"/>
          <w:kern w:val="0"/>
          <w:szCs w:val="21"/>
        </w:rPr>
      </w:pPr>
      <w:r>
        <w:rPr>
          <w:rFonts w:ascii="宋体" w:hint="eastAsia"/>
          <w:kern w:val="0"/>
          <w:szCs w:val="21"/>
        </w:rPr>
        <w:t>17.单发引信自炸时间13s～17s。</w:t>
      </w:r>
    </w:p>
    <w:p w:rsidR="002C3F14" w:rsidP="002C3F14">
      <w:pPr>
        <w:spacing w:line="360" w:lineRule="auto"/>
        <w:ind w:firstLine="420" w:firstLineChars="200"/>
        <w:rPr>
          <w:rFonts w:ascii="宋体"/>
          <w:kern w:val="0"/>
          <w:szCs w:val="21"/>
        </w:rPr>
      </w:pPr>
      <w:r>
        <w:rPr>
          <w:rFonts w:ascii="宋体" w:hint="eastAsia"/>
          <w:kern w:val="0"/>
          <w:szCs w:val="21"/>
        </w:rPr>
        <w:t>18.炮弹初速满足被考核产品的技术要求。≥930m/s</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hint="eastAsia"/>
          <w:kern w:val="0"/>
          <w:szCs w:val="21"/>
        </w:rPr>
        <w:t>19.全弹在高温、低温、常温下连发不应出现：</w:t>
      </w:r>
    </w:p>
    <w:p w:rsidR="002C3F14" w:rsidP="002C3F14">
      <w:pPr>
        <w:spacing w:line="360" w:lineRule="auto"/>
        <w:ind w:firstLine="420" w:firstLineChars="200"/>
        <w:rPr>
          <w:rFonts w:ascii="宋体"/>
          <w:kern w:val="0"/>
          <w:szCs w:val="21"/>
        </w:rPr>
      </w:pPr>
      <w:r>
        <w:rPr>
          <w:rFonts w:ascii="宋体" w:hint="eastAsia"/>
          <w:kern w:val="0"/>
          <w:szCs w:val="21"/>
        </w:rPr>
        <w:t>——药筒破裂</w:t>
      </w:r>
    </w:p>
    <w:p w:rsidR="002C3F14" w:rsidP="002C3F14">
      <w:pPr>
        <w:spacing w:line="360" w:lineRule="auto"/>
        <w:ind w:firstLine="420" w:firstLineChars="200"/>
        <w:rPr>
          <w:rFonts w:ascii="宋体"/>
          <w:kern w:val="0"/>
          <w:szCs w:val="21"/>
        </w:rPr>
      </w:pPr>
      <w:r>
        <w:rPr>
          <w:rFonts w:ascii="宋体" w:hint="eastAsia"/>
          <w:kern w:val="0"/>
          <w:szCs w:val="21"/>
        </w:rPr>
        <w:t>——连发异常</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hint="eastAsia"/>
          <w:kern w:val="0"/>
          <w:szCs w:val="21"/>
        </w:rPr>
        <w:t>20.全弹储存经高、低温环境变化后，不应出现：</w:t>
      </w:r>
    </w:p>
    <w:p w:rsidR="002C3F14" w:rsidP="002C3F14">
      <w:pPr>
        <w:spacing w:line="360" w:lineRule="auto"/>
        <w:ind w:firstLine="420" w:firstLineChars="200"/>
        <w:rPr>
          <w:rFonts w:ascii="宋体"/>
          <w:kern w:val="0"/>
          <w:szCs w:val="21"/>
        </w:rPr>
      </w:pPr>
      <w:r>
        <w:rPr>
          <w:rFonts w:ascii="宋体" w:hint="eastAsia"/>
          <w:kern w:val="0"/>
          <w:szCs w:val="21"/>
        </w:rPr>
        <w:t>——弹丸在膛内、炮口爆炸</w:t>
      </w:r>
    </w:p>
    <w:p w:rsidR="002C3F14" w:rsidP="002C3F14">
      <w:pPr>
        <w:spacing w:line="360" w:lineRule="auto"/>
        <w:ind w:firstLine="420" w:firstLineChars="200"/>
        <w:rPr>
          <w:rFonts w:ascii="宋体"/>
          <w:kern w:val="0"/>
          <w:szCs w:val="21"/>
        </w:rPr>
      </w:pPr>
      <w:r>
        <w:rPr>
          <w:rFonts w:ascii="宋体" w:hint="eastAsia"/>
          <w:kern w:val="0"/>
          <w:szCs w:val="21"/>
        </w:rPr>
        <w:t>——引信瞎火</w:t>
      </w:r>
    </w:p>
    <w:p w:rsidR="002C3F14" w:rsidP="002C3F14">
      <w:pPr>
        <w:spacing w:line="360" w:lineRule="auto"/>
        <w:ind w:firstLine="420" w:firstLineChars="200"/>
        <w:rPr>
          <w:rFonts w:ascii="宋体"/>
          <w:kern w:val="0"/>
          <w:szCs w:val="21"/>
        </w:rPr>
      </w:pPr>
      <w:r>
        <w:rPr>
          <w:rFonts w:ascii="宋体" w:hint="eastAsia"/>
          <w:kern w:val="0"/>
          <w:szCs w:val="21"/>
        </w:rPr>
        <w:t>——弹丸爆炸不完全</w:t>
      </w:r>
    </w:p>
    <w:p w:rsidR="002C3F14" w:rsidP="002C3F14">
      <w:pPr>
        <w:spacing w:line="360" w:lineRule="auto"/>
        <w:ind w:firstLine="420" w:firstLineChars="200"/>
        <w:rPr>
          <w:rFonts w:ascii="宋体"/>
          <w:kern w:val="0"/>
          <w:szCs w:val="21"/>
        </w:rPr>
      </w:pPr>
      <w:r>
        <w:rPr>
          <w:rFonts w:ascii="宋体" w:hint="eastAsia"/>
          <w:kern w:val="0"/>
          <w:szCs w:val="21"/>
        </w:rPr>
        <w:t>——引信自毁时间超差</w:t>
      </w:r>
    </w:p>
    <w:p w:rsidR="002C3F14" w:rsidP="002C3F14">
      <w:pPr>
        <w:spacing w:line="360" w:lineRule="auto"/>
        <w:ind w:firstLine="420" w:firstLineChars="200"/>
        <w:rPr>
          <w:rFonts w:ascii="宋体"/>
          <w:b/>
          <w:bCs/>
          <w:color w:val="000000"/>
          <w:kern w:val="0"/>
          <w:szCs w:val="21"/>
        </w:rPr>
      </w:pPr>
      <w:r>
        <w:rPr>
          <w:rFonts w:ascii="宋体" w:hint="eastAsia"/>
          <w:b/>
          <w:bCs/>
          <w:color w:val="000000"/>
          <w:kern w:val="0"/>
          <w:szCs w:val="21"/>
        </w:rPr>
        <w:t>（二）3</w:t>
      </w:r>
      <w:r>
        <w:rPr>
          <w:rFonts w:ascii="宋体"/>
          <w:b/>
          <w:bCs/>
          <w:color w:val="000000"/>
          <w:kern w:val="0"/>
          <w:szCs w:val="21"/>
        </w:rPr>
        <w:t>7mm</w:t>
      </w:r>
      <w:r>
        <w:rPr>
          <w:rFonts w:ascii="宋体" w:hint="eastAsia"/>
          <w:b/>
          <w:bCs/>
          <w:color w:val="000000"/>
          <w:kern w:val="0"/>
          <w:szCs w:val="21"/>
        </w:rPr>
        <w:t>人工防雹高炮训练弹</w:t>
      </w:r>
      <w:r>
        <w:rPr>
          <w:rFonts w:ascii="宋体" w:hAnsi="宋体" w:hint="eastAsia"/>
          <w:b/>
          <w:szCs w:val="21"/>
        </w:rPr>
        <w:t>主要技术指标要求</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hint="eastAsia"/>
          <w:kern w:val="0"/>
          <w:szCs w:val="21"/>
        </w:rPr>
        <w:t>1.装药弹体尺寸、外观重量应与37mm人工防雹高炮弹一致：</w:t>
      </w:r>
    </w:p>
    <w:p w:rsidR="002C3F14" w:rsidP="002C3F14">
      <w:pPr>
        <w:spacing w:line="360" w:lineRule="auto"/>
        <w:ind w:firstLine="420" w:firstLineChars="200"/>
        <w:rPr>
          <w:rFonts w:ascii="宋体"/>
          <w:kern w:val="0"/>
          <w:szCs w:val="21"/>
        </w:rPr>
      </w:pPr>
      <w:r>
        <w:rPr>
          <w:rFonts w:ascii="宋体" w:hint="eastAsia"/>
          <w:kern w:val="0"/>
          <w:szCs w:val="21"/>
        </w:rPr>
        <w:t>尺寸(弹径×弹长)（mm）：37×（382～386）mm；</w:t>
      </w:r>
    </w:p>
    <w:p w:rsidR="002C3F14" w:rsidP="002C3F14">
      <w:pPr>
        <w:spacing w:line="360" w:lineRule="auto"/>
        <w:ind w:firstLine="420" w:firstLineChars="200"/>
        <w:rPr>
          <w:rFonts w:ascii="宋体"/>
          <w:kern w:val="0"/>
          <w:szCs w:val="21"/>
        </w:rPr>
      </w:pPr>
      <w:r>
        <w:rPr>
          <w:rFonts w:ascii="宋体" w:hint="eastAsia"/>
          <w:kern w:val="0"/>
          <w:szCs w:val="21"/>
        </w:rPr>
        <w:t>重量约为：1.2 kg。</w:t>
      </w:r>
    </w:p>
    <w:p w:rsidR="002C3F14" w:rsidP="002C3F14">
      <w:pPr>
        <w:spacing w:line="360" w:lineRule="auto"/>
        <w:ind w:firstLine="420" w:firstLineChars="200"/>
        <w:rPr>
          <w:rFonts w:ascii="宋体"/>
          <w:kern w:val="0"/>
          <w:szCs w:val="21"/>
        </w:rPr>
      </w:pPr>
      <w:r>
        <w:rPr>
          <w:rFonts w:ascii="宋体" w:hint="eastAsia"/>
          <w:kern w:val="0"/>
          <w:szCs w:val="21"/>
        </w:rPr>
        <w:t>2.包装箱外观及装箱技术要求应与37mm人工防雹高炮弹包装箱外观及装箱技术要求一致。</w:t>
      </w:r>
    </w:p>
    <w:p w:rsidR="002C3F14" w:rsidP="002C3F14">
      <w:pPr>
        <w:spacing w:line="360" w:lineRule="auto"/>
        <w:ind w:firstLine="420" w:firstLineChars="200"/>
        <w:rPr>
          <w:rFonts w:ascii="宋体"/>
          <w:kern w:val="0"/>
          <w:szCs w:val="21"/>
        </w:rPr>
      </w:pPr>
      <w:r>
        <w:rPr>
          <w:rFonts w:ascii="宋体" w:hint="eastAsia"/>
          <w:kern w:val="0"/>
          <w:szCs w:val="21"/>
        </w:rPr>
        <w:t>3.训练炮弹的标识应清晰可辨，外表面应清洁、完好。</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hint="eastAsia"/>
          <w:kern w:val="0"/>
          <w:szCs w:val="21"/>
        </w:rPr>
        <w:t>4.训练弹射击安全范围：</w:t>
      </w:r>
    </w:p>
    <w:p w:rsidR="002C3F14" w:rsidP="002C3F14">
      <w:pPr>
        <w:spacing w:line="360" w:lineRule="auto"/>
        <w:ind w:firstLine="420" w:firstLineChars="200"/>
        <w:rPr>
          <w:rFonts w:ascii="宋体"/>
          <w:kern w:val="0"/>
          <w:szCs w:val="21"/>
        </w:rPr>
      </w:pPr>
      <w:r>
        <w:rPr>
          <w:rFonts w:ascii="宋体" w:hint="eastAsia"/>
          <w:kern w:val="0"/>
          <w:szCs w:val="21"/>
        </w:rPr>
        <w:t>A.射角45°(含）以上时，纵向安全距离炮口</w:t>
      </w:r>
      <w:r>
        <w:rPr>
          <w:rFonts w:ascii="宋体"/>
          <w:kern w:val="0"/>
          <w:szCs w:val="21"/>
        </w:rPr>
        <w:t>2</w:t>
      </w:r>
      <w:r>
        <w:rPr>
          <w:rFonts w:ascii="宋体" w:hint="eastAsia"/>
          <w:kern w:val="0"/>
          <w:szCs w:val="21"/>
        </w:rPr>
        <w:t>00米以外；横向安全距离炮口</w:t>
      </w:r>
      <w:r>
        <w:rPr>
          <w:rFonts w:ascii="宋体"/>
          <w:kern w:val="0"/>
          <w:szCs w:val="21"/>
        </w:rPr>
        <w:t>1</w:t>
      </w:r>
      <w:r>
        <w:rPr>
          <w:rFonts w:ascii="宋体" w:hint="eastAsia"/>
          <w:kern w:val="0"/>
          <w:szCs w:val="21"/>
        </w:rPr>
        <w:t>0米以外；</w:t>
      </w:r>
    </w:p>
    <w:p w:rsidR="002C3F14" w:rsidP="002C3F14">
      <w:pPr>
        <w:spacing w:line="360" w:lineRule="auto"/>
        <w:ind w:firstLine="420" w:firstLineChars="200"/>
        <w:rPr>
          <w:rFonts w:ascii="宋体"/>
          <w:kern w:val="0"/>
          <w:szCs w:val="21"/>
        </w:rPr>
      </w:pPr>
      <w:r>
        <w:rPr>
          <w:rFonts w:ascii="宋体" w:hint="eastAsia"/>
          <w:kern w:val="0"/>
          <w:szCs w:val="21"/>
        </w:rPr>
        <w:t>B.射角45°以下时，纵向安全距离炮口</w:t>
      </w:r>
      <w:r>
        <w:rPr>
          <w:rFonts w:ascii="宋体"/>
          <w:kern w:val="0"/>
          <w:szCs w:val="21"/>
        </w:rPr>
        <w:t>3</w:t>
      </w:r>
      <w:r>
        <w:rPr>
          <w:rFonts w:ascii="宋体" w:hint="eastAsia"/>
          <w:kern w:val="0"/>
          <w:szCs w:val="21"/>
        </w:rPr>
        <w:t>00米以外；横向安全距离炮口</w:t>
      </w:r>
      <w:r>
        <w:rPr>
          <w:rFonts w:ascii="宋体"/>
          <w:kern w:val="0"/>
          <w:szCs w:val="21"/>
        </w:rPr>
        <w:t>2</w:t>
      </w:r>
      <w:r>
        <w:rPr>
          <w:rFonts w:ascii="宋体" w:hint="eastAsia"/>
          <w:kern w:val="0"/>
          <w:szCs w:val="21"/>
        </w:rPr>
        <w:t>0米以外。</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5</w:t>
      </w:r>
      <w:r>
        <w:rPr>
          <w:rFonts w:ascii="宋体" w:hint="eastAsia"/>
          <w:kern w:val="0"/>
          <w:szCs w:val="21"/>
        </w:rPr>
        <w:t>.训练炮弹引信的无损落高及带包装的全弹安全落高应与37mm人工防雹高炮弹引信</w:t>
      </w:r>
      <w:r>
        <w:rPr>
          <w:rFonts w:ascii="宋体" w:hint="eastAsia"/>
          <w:kern w:val="0"/>
          <w:szCs w:val="21"/>
        </w:rPr>
        <w:t>的无损落高及带包装的全弹安全落高要求一致。</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6</w:t>
      </w:r>
      <w:r>
        <w:rPr>
          <w:rFonts w:ascii="宋体" w:hint="eastAsia"/>
          <w:kern w:val="0"/>
          <w:szCs w:val="21"/>
        </w:rPr>
        <w:t>.训练炮弹适用海拔高度范围应不小于4500 m。</w:t>
      </w:r>
    </w:p>
    <w:p w:rsidR="002C3F14" w:rsidP="002C3F14">
      <w:pPr>
        <w:spacing w:line="360" w:lineRule="auto"/>
        <w:ind w:firstLine="420" w:firstLineChars="200"/>
        <w:rPr>
          <w:rFonts w:ascii="宋体"/>
          <w:kern w:val="0"/>
          <w:szCs w:val="21"/>
        </w:rPr>
      </w:pPr>
      <w:r>
        <w:rPr>
          <w:rFonts w:ascii="宋体"/>
          <w:kern w:val="0"/>
          <w:szCs w:val="21"/>
        </w:rPr>
        <w:t>7</w:t>
      </w:r>
      <w:r>
        <w:rPr>
          <w:rFonts w:ascii="宋体" w:hint="eastAsia"/>
          <w:kern w:val="0"/>
          <w:szCs w:val="21"/>
        </w:rPr>
        <w:t>.训练炮弹适用温度范围应与37mm人工防雹高炮弹适用温度范围一致。</w:t>
      </w:r>
    </w:p>
    <w:p w:rsidR="002C3F14" w:rsidP="002C3F14">
      <w:pPr>
        <w:spacing w:line="360" w:lineRule="auto"/>
        <w:ind w:firstLine="420" w:firstLineChars="200"/>
        <w:rPr>
          <w:rFonts w:ascii="宋体"/>
          <w:kern w:val="0"/>
          <w:szCs w:val="21"/>
        </w:rPr>
      </w:pPr>
      <w:r>
        <w:rPr>
          <w:rFonts w:ascii="宋体"/>
          <w:kern w:val="0"/>
          <w:szCs w:val="21"/>
        </w:rPr>
        <w:t>8</w:t>
      </w:r>
      <w:r>
        <w:rPr>
          <w:rFonts w:ascii="宋体" w:hint="eastAsia"/>
          <w:kern w:val="0"/>
          <w:szCs w:val="21"/>
        </w:rPr>
        <w:t>.炮弹使用有效期限应不小于 5年。</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hint="eastAsia"/>
          <w:kern w:val="0"/>
          <w:szCs w:val="21"/>
        </w:rPr>
        <w:t>9</w:t>
      </w:r>
      <w:r>
        <w:rPr>
          <w:rFonts w:ascii="宋体"/>
          <w:kern w:val="0"/>
          <w:szCs w:val="21"/>
        </w:rPr>
        <w:t>.</w:t>
      </w:r>
      <w:r>
        <w:rPr>
          <w:rFonts w:ascii="宋体" w:hint="eastAsia"/>
          <w:kern w:val="0"/>
          <w:szCs w:val="21"/>
        </w:rPr>
        <w:t>全弹在高温、低温、常温下连发不应出现：</w:t>
      </w:r>
    </w:p>
    <w:p w:rsidR="002C3F14" w:rsidP="002C3F14">
      <w:pPr>
        <w:spacing w:line="360" w:lineRule="auto"/>
        <w:ind w:firstLine="420" w:firstLineChars="200"/>
        <w:rPr>
          <w:rFonts w:ascii="宋体"/>
          <w:kern w:val="0"/>
          <w:szCs w:val="21"/>
        </w:rPr>
      </w:pPr>
      <w:r>
        <w:rPr>
          <w:rFonts w:ascii="宋体" w:hint="eastAsia"/>
          <w:kern w:val="0"/>
          <w:szCs w:val="21"/>
        </w:rPr>
        <w:t>——药筒破裂</w:t>
      </w:r>
    </w:p>
    <w:p w:rsidR="002C3F14" w:rsidP="002C3F14">
      <w:pPr>
        <w:spacing w:line="360" w:lineRule="auto"/>
        <w:ind w:firstLine="420" w:firstLineChars="200"/>
        <w:rPr>
          <w:rFonts w:ascii="宋体"/>
          <w:kern w:val="0"/>
          <w:szCs w:val="21"/>
        </w:rPr>
      </w:pPr>
      <w:r>
        <w:rPr>
          <w:rFonts w:ascii="宋体" w:hint="eastAsia"/>
          <w:kern w:val="0"/>
          <w:szCs w:val="21"/>
        </w:rPr>
        <w:t>——连发异常</w:t>
      </w:r>
    </w:p>
    <w:p w:rsidR="002C3F14" w:rsidP="002C3F14">
      <w:pPr>
        <w:spacing w:line="360" w:lineRule="auto"/>
        <w:ind w:firstLine="420" w:firstLineChars="200"/>
        <w:rPr>
          <w:rFonts w:ascii="宋体"/>
          <w:kern w:val="0"/>
          <w:szCs w:val="21"/>
        </w:rPr>
      </w:pPr>
      <w:r w:rsidRPr="00371A4E">
        <w:rPr>
          <w:rFonts w:ascii="宋体"/>
          <w:color w:val="EE0000"/>
          <w:kern w:val="0"/>
          <w:szCs w:val="21"/>
        </w:rPr>
        <w:t>#</w:t>
      </w:r>
      <w:r>
        <w:rPr>
          <w:rFonts w:ascii="宋体"/>
          <w:kern w:val="0"/>
          <w:szCs w:val="21"/>
        </w:rPr>
        <w:t>1</w:t>
      </w:r>
      <w:r>
        <w:rPr>
          <w:rFonts w:ascii="宋体" w:hint="eastAsia"/>
          <w:kern w:val="0"/>
          <w:szCs w:val="21"/>
        </w:rPr>
        <w:t>0</w:t>
      </w:r>
      <w:r>
        <w:rPr>
          <w:rFonts w:ascii="宋体"/>
          <w:kern w:val="0"/>
          <w:szCs w:val="21"/>
        </w:rPr>
        <w:t>.</w:t>
      </w:r>
      <w:r>
        <w:rPr>
          <w:rFonts w:ascii="宋体" w:hint="eastAsia"/>
          <w:kern w:val="0"/>
          <w:szCs w:val="21"/>
        </w:rPr>
        <w:t>弹储存经高、低温环境变化后，不应出现：</w:t>
      </w:r>
    </w:p>
    <w:p w:rsidR="002C3F14" w:rsidP="002C3F14">
      <w:pPr>
        <w:spacing w:line="360" w:lineRule="auto"/>
        <w:ind w:firstLine="420" w:firstLineChars="200"/>
        <w:rPr>
          <w:rFonts w:ascii="宋体"/>
          <w:kern w:val="0"/>
          <w:szCs w:val="21"/>
        </w:rPr>
      </w:pPr>
      <w:r>
        <w:rPr>
          <w:rFonts w:ascii="宋体" w:hint="eastAsia"/>
          <w:kern w:val="0"/>
          <w:szCs w:val="21"/>
        </w:rPr>
        <w:t>——弹丸在膛内、炮口爆炸</w:t>
      </w:r>
    </w:p>
    <w:p w:rsidR="002C3F14" w:rsidP="002C3F14">
      <w:pPr>
        <w:spacing w:line="360" w:lineRule="auto"/>
        <w:ind w:firstLine="420" w:firstLineChars="200"/>
        <w:rPr>
          <w:rFonts w:ascii="宋体"/>
          <w:kern w:val="0"/>
          <w:szCs w:val="21"/>
        </w:rPr>
      </w:pPr>
      <w:r>
        <w:rPr>
          <w:rFonts w:ascii="宋体" w:hint="eastAsia"/>
          <w:kern w:val="0"/>
          <w:szCs w:val="21"/>
        </w:rPr>
        <w:t>——引信瞎火</w:t>
      </w:r>
    </w:p>
    <w:p w:rsidR="002C3F14" w:rsidP="002C3F14">
      <w:pPr>
        <w:spacing w:line="360" w:lineRule="auto"/>
        <w:ind w:firstLine="420" w:firstLineChars="200"/>
        <w:rPr>
          <w:rFonts w:ascii="宋体"/>
          <w:kern w:val="0"/>
          <w:szCs w:val="21"/>
        </w:rPr>
      </w:pPr>
      <w:r>
        <w:rPr>
          <w:rFonts w:ascii="宋体" w:hint="eastAsia"/>
          <w:kern w:val="0"/>
          <w:szCs w:val="21"/>
        </w:rPr>
        <w:t>——弹丸爆炸不完全</w:t>
      </w:r>
    </w:p>
    <w:p w:rsidR="003A36B1" w:rsidP="003A36B1">
      <w:pPr>
        <w:spacing w:line="360" w:lineRule="auto"/>
        <w:ind w:firstLine="420" w:firstLineChars="200"/>
        <w:outlineLvl w:val="2"/>
        <w:rPr>
          <w:rFonts w:ascii="宋体" w:hAnsi="宋体"/>
          <w:b/>
          <w:color w:val="000000"/>
          <w:szCs w:val="21"/>
        </w:rPr>
      </w:pPr>
      <w:r>
        <w:rPr>
          <w:rFonts w:ascii="宋体" w:hAnsi="宋体" w:hint="eastAsia"/>
          <w:b/>
          <w:color w:val="000000"/>
          <w:szCs w:val="21"/>
        </w:rPr>
        <w:t>四、</w:t>
      </w:r>
      <w:r>
        <w:rPr>
          <w:rFonts w:ascii="宋体" w:hAnsi="宋体"/>
          <w:b/>
          <w:color w:val="000000"/>
          <w:szCs w:val="21"/>
        </w:rPr>
        <w:t>验收</w:t>
      </w:r>
    </w:p>
    <w:p w:rsidR="003A36B1" w:rsidP="003A36B1">
      <w:pPr>
        <w:spacing w:line="360" w:lineRule="auto"/>
        <w:ind w:firstLine="420" w:firstLineChars="200"/>
      </w:pPr>
      <w:r>
        <w:rPr>
          <w:rFonts w:hint="eastAsia"/>
        </w:rPr>
        <w:t>1</w:t>
      </w:r>
      <w:r>
        <w:rPr>
          <w:rFonts w:hint="eastAsia"/>
        </w:rPr>
        <w:t>、验收依</w:t>
      </w:r>
      <w:r>
        <w:rPr>
          <w:rFonts w:ascii="宋体" w:hAnsi="宋体" w:hint="eastAsia"/>
          <w:color w:val="000000"/>
          <w:szCs w:val="21"/>
        </w:rPr>
        <w:t>据《37mm人工增雨防雹炮弹考核实验办法》（</w:t>
      </w:r>
      <w:r>
        <w:rPr>
          <w:rFonts w:ascii="仿宋_GB2312" w:hint="eastAsia"/>
        </w:rPr>
        <w:t>气减函〔</w:t>
      </w:r>
      <w:r>
        <w:rPr>
          <w:rFonts w:ascii="仿宋_GB2312" w:hint="eastAsia"/>
        </w:rPr>
        <w:t>2017</w:t>
      </w:r>
      <w:r>
        <w:rPr>
          <w:rFonts w:ascii="仿宋_GB2312" w:hint="eastAsia"/>
        </w:rPr>
        <w:t>〕</w:t>
      </w:r>
      <w:r>
        <w:rPr>
          <w:rFonts w:ascii="仿宋_GB2312" w:hint="eastAsia"/>
        </w:rPr>
        <w:t>4</w:t>
      </w:r>
      <w:r>
        <w:rPr>
          <w:rFonts w:ascii="仿宋_GB2312" w:hint="eastAsia"/>
        </w:rPr>
        <w:t>号</w:t>
      </w:r>
      <w:r>
        <w:rPr>
          <w:rFonts w:ascii="宋体" w:hAnsi="宋体" w:hint="eastAsia"/>
          <w:color w:val="000000"/>
          <w:szCs w:val="21"/>
        </w:rPr>
        <w:t>）的内容和要求，</w:t>
      </w:r>
      <w:r>
        <w:rPr>
          <w:rFonts w:hint="eastAsia"/>
        </w:rPr>
        <w:t>产品质量达到设计要求，静态检测及动态试验等各项指标符合技术参数；</w:t>
      </w:r>
    </w:p>
    <w:p w:rsidR="003A36B1" w:rsidP="003A36B1">
      <w:pPr>
        <w:spacing w:line="360" w:lineRule="auto"/>
        <w:ind w:firstLine="420" w:firstLineChars="200"/>
      </w:pPr>
      <w:r>
        <w:rPr>
          <w:rFonts w:hint="eastAsia"/>
        </w:rPr>
        <w:t>2</w:t>
      </w:r>
      <w:r>
        <w:rPr>
          <w:rFonts w:hint="eastAsia"/>
        </w:rPr>
        <w:t>、出厂验收。产品出厂前由国务院气象主管机构指定人影业务单位进行组织验收。</w:t>
      </w:r>
      <w:r>
        <w:rPr>
          <w:rFonts w:ascii="宋体" w:hAnsi="宋体" w:hint="eastAsia"/>
          <w:szCs w:val="21"/>
        </w:rPr>
        <w:t>中标供应商</w:t>
      </w:r>
      <w:r>
        <w:rPr>
          <w:rFonts w:hint="eastAsia"/>
        </w:rPr>
        <w:t>需配合并具体实施，采购单位派人参加。</w:t>
      </w:r>
    </w:p>
    <w:p w:rsidR="003A36B1" w:rsidP="003A36B1">
      <w:pPr>
        <w:spacing w:line="360" w:lineRule="auto"/>
        <w:ind w:right="420" w:firstLine="420" w:firstLineChars="200"/>
        <w:rPr>
          <w:rFonts w:ascii="宋体" w:hAnsi="宋体"/>
          <w:color w:val="000000"/>
          <w:szCs w:val="21"/>
        </w:rPr>
      </w:pPr>
      <w:r>
        <w:rPr>
          <w:rFonts w:hint="eastAsia"/>
        </w:rPr>
        <w:t>3</w:t>
      </w:r>
      <w:r>
        <w:rPr>
          <w:rFonts w:hint="eastAsia"/>
        </w:rPr>
        <w:t>、到货验收。到货后用户检查包装并核对货物品种、数量以及完好性。未通过验收的货物，将不予接受。</w:t>
      </w:r>
    </w:p>
    <w:p w:rsidR="003A36B1" w:rsidP="003A36B1">
      <w:pPr>
        <w:spacing w:line="360" w:lineRule="auto"/>
        <w:ind w:firstLine="420" w:firstLineChars="200"/>
        <w:outlineLvl w:val="2"/>
        <w:rPr>
          <w:rFonts w:ascii="宋体" w:hAnsi="宋体"/>
          <w:b/>
          <w:color w:val="000000"/>
          <w:szCs w:val="21"/>
        </w:rPr>
      </w:pPr>
      <w:r>
        <w:rPr>
          <w:rFonts w:ascii="宋体" w:hAnsi="宋体" w:hint="eastAsia"/>
          <w:b/>
          <w:color w:val="000000"/>
          <w:szCs w:val="21"/>
        </w:rPr>
        <w:t>五</w:t>
      </w:r>
      <w:r>
        <w:rPr>
          <w:rFonts w:ascii="宋体" w:hAnsi="宋体"/>
          <w:b/>
          <w:color w:val="000000"/>
          <w:szCs w:val="21"/>
        </w:rPr>
        <w:t>、</w:t>
      </w:r>
      <w:r>
        <w:rPr>
          <w:rFonts w:ascii="宋体" w:hAnsi="宋体" w:hint="eastAsia"/>
          <w:b/>
          <w:color w:val="000000"/>
          <w:szCs w:val="21"/>
        </w:rPr>
        <w:t>标识</w:t>
      </w:r>
      <w:r>
        <w:rPr>
          <w:rFonts w:ascii="宋体" w:hAnsi="宋体"/>
          <w:b/>
          <w:color w:val="000000"/>
          <w:szCs w:val="21"/>
        </w:rPr>
        <w:t>、</w:t>
      </w:r>
      <w:r>
        <w:rPr>
          <w:rFonts w:ascii="宋体" w:hAnsi="宋体" w:hint="eastAsia"/>
          <w:b/>
          <w:color w:val="000000"/>
          <w:szCs w:val="21"/>
        </w:rPr>
        <w:t>包装</w:t>
      </w:r>
      <w:r>
        <w:rPr>
          <w:rFonts w:ascii="宋体" w:hAnsi="宋体"/>
          <w:b/>
          <w:color w:val="000000"/>
          <w:szCs w:val="21"/>
        </w:rPr>
        <w:t>和</w:t>
      </w:r>
      <w:r>
        <w:rPr>
          <w:rFonts w:ascii="宋体" w:hAnsi="宋体" w:hint="eastAsia"/>
          <w:b/>
          <w:color w:val="000000"/>
          <w:szCs w:val="21"/>
        </w:rPr>
        <w:t>运输</w:t>
      </w:r>
    </w:p>
    <w:p w:rsidR="003A36B1" w:rsidP="003A36B1">
      <w:pPr>
        <w:tabs>
          <w:tab w:val="left" w:pos="1573"/>
        </w:tabs>
        <w:adjustRightInd w:val="0"/>
        <w:snapToGrid w:val="0"/>
        <w:spacing w:line="360" w:lineRule="auto"/>
        <w:ind w:firstLine="420" w:firstLineChars="200"/>
        <w:rPr>
          <w:rFonts w:ascii="宋体" w:hAnsi="宋体"/>
        </w:rPr>
      </w:pPr>
      <w:r>
        <w:rPr>
          <w:rFonts w:ascii="宋体" w:hAnsi="宋体" w:hint="eastAsia"/>
        </w:rPr>
        <w:t>1、标识</w:t>
      </w:r>
    </w:p>
    <w:p w:rsidR="003A36B1" w:rsidP="003A36B1">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炮弹和弹药箱的包装标识应符合中华人民共和国气象行业标准《人工影响天气作业装备与弹药标识编码技术规范》（QX/T471-2019）的要求。</w:t>
      </w:r>
    </w:p>
    <w:p w:rsidR="003A36B1" w:rsidP="003A36B1">
      <w:pPr>
        <w:tabs>
          <w:tab w:val="left" w:pos="1573"/>
        </w:tabs>
        <w:adjustRightInd w:val="0"/>
        <w:snapToGrid w:val="0"/>
        <w:spacing w:line="360" w:lineRule="auto"/>
        <w:ind w:firstLine="420" w:firstLineChars="200"/>
        <w:rPr>
          <w:rFonts w:ascii="宋体" w:hAnsi="宋体"/>
        </w:rPr>
      </w:pPr>
      <w:r>
        <w:rPr>
          <w:rFonts w:ascii="宋体" w:hAnsi="宋体" w:hint="eastAsia"/>
        </w:rPr>
        <w:t>2、包装</w:t>
      </w:r>
    </w:p>
    <w:p w:rsidR="003A36B1" w:rsidP="003A36B1">
      <w:pPr>
        <w:spacing w:line="360" w:lineRule="auto"/>
        <w:ind w:firstLine="420" w:firstLineChars="200"/>
        <w:rPr>
          <w:rFonts w:ascii="宋体" w:hAnsi="宋体"/>
          <w:szCs w:val="21"/>
        </w:rPr>
      </w:pPr>
      <w:r>
        <w:rPr>
          <w:rFonts w:ascii="宋体" w:hAnsi="宋体" w:hint="eastAsia"/>
          <w:szCs w:val="21"/>
        </w:rPr>
        <w:t>炮弹应按危险品包装规范或者</w:t>
      </w:r>
      <w:r>
        <w:rPr>
          <w:rFonts w:ascii="宋体" w:hAnsi="宋体"/>
          <w:szCs w:val="21"/>
        </w:rPr>
        <w:t>其他相关规定</w:t>
      </w:r>
      <w:r>
        <w:rPr>
          <w:rFonts w:ascii="宋体" w:hAnsi="宋体" w:hint="eastAsia"/>
          <w:szCs w:val="21"/>
        </w:rPr>
        <w:t>进行包装。</w:t>
      </w:r>
    </w:p>
    <w:p w:rsidR="003A36B1" w:rsidP="003A36B1">
      <w:pPr>
        <w:tabs>
          <w:tab w:val="left" w:pos="1573"/>
        </w:tabs>
        <w:adjustRightInd w:val="0"/>
        <w:snapToGrid w:val="0"/>
        <w:spacing w:line="360" w:lineRule="auto"/>
        <w:ind w:firstLine="420" w:firstLineChars="200"/>
        <w:rPr>
          <w:rFonts w:ascii="宋体" w:hAnsi="宋体"/>
        </w:rPr>
      </w:pPr>
      <w:r>
        <w:rPr>
          <w:rFonts w:ascii="宋体" w:hAnsi="宋体" w:hint="eastAsia"/>
        </w:rPr>
        <w:t>3、运输</w:t>
      </w:r>
    </w:p>
    <w:p w:rsidR="003A36B1" w:rsidP="003A36B1">
      <w:pPr>
        <w:tabs>
          <w:tab w:val="left" w:pos="1573"/>
        </w:tabs>
        <w:adjustRightInd w:val="0"/>
        <w:snapToGrid w:val="0"/>
        <w:spacing w:line="360" w:lineRule="auto"/>
        <w:ind w:firstLine="420" w:firstLineChars="200"/>
        <w:rPr>
          <w:rFonts w:ascii="宋体" w:hAnsi="宋体"/>
          <w:b/>
          <w:szCs w:val="21"/>
        </w:rPr>
      </w:pPr>
      <w:r>
        <w:rPr>
          <w:rFonts w:hint="eastAsia"/>
        </w:rPr>
        <w:t>出厂验收合格后，中标供应商负责将产品运输到用户指定的地点，运输过程应当遵守国家有关武器装备、爆炸物品管理的法律、法规。运输费根据实际产生由采购单位与中标供应商签订运输合同后另行支付运输费。</w:t>
      </w:r>
    </w:p>
    <w:p w:rsidR="003A36B1" w:rsidP="003A36B1">
      <w:pPr>
        <w:spacing w:line="360" w:lineRule="auto"/>
        <w:ind w:firstLine="420" w:firstLineChars="200"/>
        <w:rPr>
          <w:rFonts w:ascii="宋体" w:hAnsi="宋体"/>
          <w:b/>
          <w:color w:val="000000"/>
          <w:szCs w:val="21"/>
        </w:rPr>
      </w:pPr>
      <w:r>
        <w:rPr>
          <w:rFonts w:ascii="宋体" w:hAnsi="宋体" w:hint="eastAsia"/>
          <w:b/>
          <w:color w:val="000000"/>
          <w:szCs w:val="21"/>
        </w:rPr>
        <w:t>六、技术服务和质保期服务要求</w:t>
      </w:r>
    </w:p>
    <w:p w:rsidR="003A36B1" w:rsidP="003A36B1">
      <w:pPr>
        <w:tabs>
          <w:tab w:val="left" w:pos="1573"/>
        </w:tabs>
        <w:adjustRightInd w:val="0"/>
        <w:snapToGrid w:val="0"/>
        <w:spacing w:line="360" w:lineRule="auto"/>
        <w:ind w:firstLine="412" w:firstLineChars="196"/>
        <w:rPr>
          <w:rFonts w:ascii="宋体" w:hAnsi="宋体"/>
        </w:rPr>
      </w:pPr>
      <w:r>
        <w:rPr>
          <w:rFonts w:ascii="宋体" w:hAnsi="宋体" w:hint="eastAsia"/>
        </w:rPr>
        <w:t>1、</w:t>
      </w:r>
      <w:r w:rsidR="001A3F47">
        <w:rPr>
          <w:rFonts w:ascii="宋体" w:hAnsi="宋体" w:hint="eastAsia"/>
        </w:rPr>
        <w:t>服务团队</w:t>
      </w:r>
    </w:p>
    <w:p w:rsidR="003A36B1" w:rsidP="003A36B1">
      <w:pPr>
        <w:tabs>
          <w:tab w:val="left" w:pos="1573"/>
        </w:tabs>
        <w:adjustRightInd w:val="0"/>
        <w:snapToGrid w:val="0"/>
        <w:spacing w:line="360" w:lineRule="auto"/>
        <w:ind w:firstLine="412" w:firstLineChars="196"/>
        <w:rPr>
          <w:rFonts w:ascii="宋体" w:hAnsi="宋体"/>
        </w:rPr>
      </w:pPr>
      <w:r>
        <w:rPr>
          <w:rFonts w:ascii="宋体" w:hAnsi="宋体" w:hint="eastAsia"/>
          <w:szCs w:val="21"/>
        </w:rPr>
        <w:t>中标供应商应</w:t>
      </w:r>
      <w:r w:rsidR="001A3F47">
        <w:rPr>
          <w:rFonts w:ascii="宋体" w:hAnsi="宋体" w:hint="eastAsia"/>
          <w:szCs w:val="21"/>
        </w:rPr>
        <w:t>具备应对采购单位需求的服务团队，服务团队主要</w:t>
      </w:r>
      <w:r>
        <w:rPr>
          <w:rFonts w:ascii="宋体" w:hAnsi="宋体" w:hint="eastAsia"/>
          <w:szCs w:val="21"/>
        </w:rPr>
        <w:t>对采购</w:t>
      </w:r>
      <w:r>
        <w:rPr>
          <w:rFonts w:ascii="宋体" w:hAnsi="宋体"/>
          <w:szCs w:val="21"/>
        </w:rPr>
        <w:t>单位</w:t>
      </w:r>
      <w:r>
        <w:rPr>
          <w:rFonts w:ascii="宋体" w:hAnsi="宋体" w:hint="eastAsia"/>
          <w:szCs w:val="21"/>
        </w:rPr>
        <w:t>人员进行专</w:t>
      </w:r>
      <w:r>
        <w:rPr>
          <w:rFonts w:ascii="宋体" w:hAnsi="宋体" w:hint="eastAsia"/>
          <w:szCs w:val="21"/>
        </w:rPr>
        <w:t>业培训</w:t>
      </w:r>
      <w:r w:rsidR="001A3F47">
        <w:rPr>
          <w:rFonts w:ascii="宋体" w:hAnsi="宋体" w:hint="eastAsia"/>
          <w:szCs w:val="21"/>
        </w:rPr>
        <w:t>、售后服务、</w:t>
      </w:r>
      <w:r w:rsidRPr="001A3F47" w:rsidR="001A3F47">
        <w:rPr>
          <w:rFonts w:ascii="宋体" w:hAnsi="宋体" w:hint="eastAsia"/>
          <w:szCs w:val="21"/>
        </w:rPr>
        <w:t>废旧故障</w:t>
      </w:r>
      <w:r w:rsidR="001A3F47">
        <w:rPr>
          <w:rFonts w:ascii="宋体" w:hAnsi="宋体" w:hint="eastAsia"/>
          <w:szCs w:val="21"/>
        </w:rPr>
        <w:t>弹药处理等工作</w:t>
      </w:r>
      <w:r>
        <w:rPr>
          <w:rFonts w:hint="eastAsia"/>
        </w:rPr>
        <w:t>。</w:t>
      </w:r>
    </w:p>
    <w:p w:rsidR="003A36B1" w:rsidP="003A36B1">
      <w:pPr>
        <w:tabs>
          <w:tab w:val="left" w:pos="1573"/>
        </w:tabs>
        <w:adjustRightInd w:val="0"/>
        <w:snapToGrid w:val="0"/>
        <w:spacing w:line="360" w:lineRule="auto"/>
        <w:ind w:firstLine="412" w:firstLineChars="196"/>
        <w:jc w:val="left"/>
        <w:outlineLvl w:val="4"/>
        <w:rPr>
          <w:rFonts w:ascii="宋体" w:hAnsi="宋体"/>
        </w:rPr>
      </w:pPr>
      <w:r>
        <w:rPr>
          <w:rFonts w:ascii="宋体" w:hAnsi="宋体" w:hint="eastAsia"/>
        </w:rPr>
        <w:t>2、</w:t>
      </w:r>
      <w:r>
        <w:rPr>
          <w:rFonts w:ascii="宋体" w:hAnsi="宋体"/>
        </w:rPr>
        <w:t>技术支持</w:t>
      </w:r>
    </w:p>
    <w:p w:rsidR="003A36B1" w:rsidP="003A36B1">
      <w:pPr>
        <w:spacing w:line="360" w:lineRule="auto"/>
        <w:ind w:firstLine="420" w:firstLineChars="200"/>
        <w:rPr>
          <w:rFonts w:ascii="宋体" w:hAnsi="宋体"/>
          <w:szCs w:val="21"/>
        </w:rPr>
      </w:pPr>
      <w:r>
        <w:rPr>
          <w:rFonts w:ascii="宋体" w:hAnsi="宋体" w:hint="eastAsia"/>
          <w:szCs w:val="21"/>
        </w:rPr>
        <w:t>中标供应商提供免费热线服务电话、保障服务货物收发联系部门及人员的名称和联系方式。炮弹的更换，过期弹</w:t>
      </w:r>
      <w:r>
        <w:rPr>
          <w:rFonts w:ascii="宋体" w:hAnsi="宋体"/>
          <w:szCs w:val="21"/>
        </w:rPr>
        <w:t>的</w:t>
      </w:r>
      <w:r>
        <w:rPr>
          <w:rFonts w:ascii="宋体" w:hAnsi="宋体" w:hint="eastAsia"/>
          <w:szCs w:val="21"/>
        </w:rPr>
        <w:t>回收及销毁工作按照采购单位要求在约定时间内完成。</w:t>
      </w:r>
    </w:p>
    <w:p w:rsidR="003A36B1" w:rsidP="003A36B1">
      <w:pPr>
        <w:tabs>
          <w:tab w:val="left" w:pos="1573"/>
        </w:tabs>
        <w:adjustRightInd w:val="0"/>
        <w:snapToGrid w:val="0"/>
        <w:spacing w:line="360" w:lineRule="auto"/>
        <w:ind w:firstLine="412" w:firstLineChars="196"/>
        <w:jc w:val="left"/>
        <w:outlineLvl w:val="4"/>
        <w:rPr>
          <w:rFonts w:ascii="宋体" w:hAnsi="宋体"/>
        </w:rPr>
      </w:pPr>
      <w:r>
        <w:rPr>
          <w:rFonts w:ascii="宋体" w:hAnsi="宋体" w:hint="eastAsia"/>
        </w:rPr>
        <w:t>3、</w:t>
      </w:r>
      <w:r>
        <w:rPr>
          <w:rFonts w:ascii="宋体" w:hAnsi="宋体"/>
        </w:rPr>
        <w:t>技术资料</w:t>
      </w:r>
    </w:p>
    <w:p w:rsidR="003A36B1" w:rsidP="003A36B1">
      <w:pPr>
        <w:pStyle w:val="10"/>
        <w:spacing w:line="360" w:lineRule="auto"/>
        <w:ind w:firstLine="525" w:firstLineChars="250"/>
      </w:pPr>
      <w:r>
        <w:rPr>
          <w:rFonts w:hint="eastAsia"/>
        </w:rPr>
        <w:t>提供完整的技术资料，包括：危险品生产、存储、运输、使用等安全保障手册；产品验收标准（含产品合格证验收清单等）；使用说明书及合同中要求的其他文件资料。</w:t>
      </w:r>
    </w:p>
    <w:p w:rsidR="003A36B1" w:rsidP="003A36B1">
      <w:pPr>
        <w:tabs>
          <w:tab w:val="left" w:pos="1573"/>
        </w:tabs>
        <w:adjustRightInd w:val="0"/>
        <w:snapToGrid w:val="0"/>
        <w:spacing w:line="360" w:lineRule="auto"/>
        <w:ind w:firstLine="412" w:firstLineChars="196"/>
        <w:jc w:val="left"/>
        <w:outlineLvl w:val="4"/>
        <w:rPr>
          <w:rFonts w:ascii="宋体" w:hAnsi="宋体"/>
        </w:rPr>
      </w:pPr>
      <w:r>
        <w:rPr>
          <w:rFonts w:ascii="宋体" w:hAnsi="宋体" w:hint="eastAsia"/>
        </w:rPr>
        <w:t>4、质保期</w:t>
      </w:r>
      <w:r>
        <w:rPr>
          <w:rFonts w:ascii="宋体" w:hAnsi="宋体"/>
        </w:rPr>
        <w:t>内服务内容</w:t>
      </w:r>
    </w:p>
    <w:p w:rsidR="003A36B1" w:rsidP="003A36B1">
      <w:pPr>
        <w:spacing w:line="360" w:lineRule="auto"/>
        <w:ind w:firstLine="420" w:firstLineChars="200"/>
        <w:rPr>
          <w:rFonts w:ascii="宋体" w:hAnsi="宋体"/>
          <w:color w:val="000000"/>
          <w:szCs w:val="21"/>
        </w:rPr>
      </w:pPr>
      <w:r>
        <w:rPr>
          <w:rFonts w:ascii="仿宋_GB2312" w:hint="eastAsia"/>
        </w:rPr>
        <w:t>（</w:t>
      </w:r>
      <w:r>
        <w:rPr>
          <w:rFonts w:ascii="仿宋_GB2312" w:hint="eastAsia"/>
        </w:rPr>
        <w:t>1</w:t>
      </w:r>
      <w:r>
        <w:rPr>
          <w:rFonts w:ascii="仿宋_GB2312" w:hint="eastAsia"/>
        </w:rPr>
        <w:t>）炮弹的</w:t>
      </w:r>
      <w:r>
        <w:rPr>
          <w:rFonts w:ascii="宋体" w:hAnsi="宋体" w:hint="eastAsia"/>
          <w:color w:val="000000"/>
          <w:szCs w:val="21"/>
        </w:rPr>
        <w:t>质保期为</w:t>
      </w:r>
      <w:r>
        <w:rPr>
          <w:rFonts w:ascii="仿宋_GB2312" w:hint="eastAsia"/>
        </w:rPr>
        <w:t>出厂</w:t>
      </w:r>
      <w:r>
        <w:rPr>
          <w:rFonts w:ascii="仿宋_GB2312"/>
        </w:rPr>
        <w:t>验收后</w:t>
      </w:r>
      <w:r>
        <w:rPr>
          <w:rFonts w:ascii="宋体" w:hAnsi="宋体" w:hint="eastAsia"/>
          <w:color w:val="000000"/>
          <w:szCs w:val="21"/>
        </w:rPr>
        <w:t>5年；</w:t>
      </w:r>
    </w:p>
    <w:p w:rsidR="003A36B1" w:rsidP="003A36B1">
      <w:pPr>
        <w:spacing w:line="360" w:lineRule="auto"/>
        <w:ind w:firstLine="420" w:firstLineChars="200"/>
        <w:rPr>
          <w:rFonts w:ascii="仿宋_GB2312"/>
        </w:rPr>
      </w:pPr>
      <w:r>
        <w:rPr>
          <w:rFonts w:ascii="宋体" w:hAnsi="宋体" w:hint="eastAsia"/>
          <w:color w:val="000000"/>
          <w:szCs w:val="21"/>
        </w:rPr>
        <w:t>（2</w:t>
      </w:r>
      <w:r>
        <w:rPr>
          <w:rFonts w:ascii="宋体" w:hAnsi="宋体"/>
          <w:color w:val="000000"/>
          <w:szCs w:val="21"/>
        </w:rPr>
        <w:t>）</w:t>
      </w:r>
      <w:r>
        <w:rPr>
          <w:rFonts w:ascii="宋体" w:hAnsi="宋体" w:hint="eastAsia"/>
          <w:color w:val="000000"/>
          <w:szCs w:val="21"/>
        </w:rPr>
        <w:t>因</w:t>
      </w:r>
      <w:r>
        <w:rPr>
          <w:rFonts w:ascii="仿宋_GB2312" w:hint="eastAsia"/>
        </w:rPr>
        <w:t>产品质量问题（包含但不限于哑弹、爆炸后碎片过大等）所造成的直接或间接损失由中标供应商负责，并且</w:t>
      </w:r>
      <w:r>
        <w:rPr>
          <w:rFonts w:ascii="宋体" w:hAnsi="宋体" w:hint="eastAsia"/>
          <w:color w:val="000000"/>
          <w:szCs w:val="21"/>
        </w:rPr>
        <w:t>中标供应商应</w:t>
      </w:r>
      <w:r>
        <w:rPr>
          <w:rFonts w:hint="eastAsia"/>
        </w:rPr>
        <w:t>负责免费更换合格品</w:t>
      </w:r>
      <w:r>
        <w:rPr>
          <w:rFonts w:ascii="仿宋_GB2312" w:hint="eastAsia"/>
        </w:rPr>
        <w:t>；</w:t>
      </w:r>
    </w:p>
    <w:p w:rsidR="003A36B1" w:rsidP="003A36B1">
      <w:pPr>
        <w:spacing w:line="360" w:lineRule="auto"/>
        <w:ind w:firstLine="420" w:firstLineChars="200"/>
        <w:rPr>
          <w:rFonts w:ascii="仿宋_GB2312"/>
        </w:rPr>
      </w:pPr>
      <w:r>
        <w:rPr>
          <w:rFonts w:ascii="仿宋_GB2312" w:hint="eastAsia"/>
        </w:rPr>
        <w:t>（</w:t>
      </w:r>
      <w:r>
        <w:rPr>
          <w:rFonts w:ascii="仿宋_GB2312" w:hint="eastAsia"/>
        </w:rPr>
        <w:t>3</w:t>
      </w:r>
      <w:r>
        <w:rPr>
          <w:rFonts w:ascii="仿宋_GB2312" w:hint="eastAsia"/>
        </w:rPr>
        <w:t>）中标供应商根据采购方要求回收及销毁本项目</w:t>
      </w:r>
      <w:r>
        <w:rPr>
          <w:rFonts w:ascii="仿宋_GB2312"/>
        </w:rPr>
        <w:t>采购的</w:t>
      </w:r>
      <w:r>
        <w:rPr>
          <w:rFonts w:ascii="仿宋_GB2312" w:hint="eastAsia"/>
        </w:rPr>
        <w:t>过期弹和故障弹，产生的所有费用包含在报价中。</w:t>
      </w:r>
    </w:p>
    <w:p w:rsidR="003A36B1" w:rsidP="003A36B1">
      <w:pPr>
        <w:pStyle w:val="10"/>
        <w:spacing w:line="360" w:lineRule="auto"/>
        <w:ind w:firstLine="525" w:firstLineChars="250"/>
      </w:pPr>
      <w:r>
        <w:rPr>
          <w:rFonts w:hint="eastAsia"/>
        </w:rPr>
        <w:t>（4）因产品质量原因造成人员伤亡等事故时，中标供应商应迅速赶赴现场，协助当地有关部门分析事故原因，承担应有的责任，并将产品质量原因分析报告报国务院气象主管机构。</w:t>
      </w:r>
    </w:p>
    <w:p w:rsidR="003A36B1" w:rsidRPr="003A36B1" w:rsidP="002C3F14">
      <w:pPr>
        <w:spacing w:line="360" w:lineRule="auto"/>
        <w:ind w:firstLine="420" w:firstLineChars="200"/>
        <w:rPr>
          <w:rFonts w:ascii="宋体"/>
          <w:kern w:val="0"/>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42"/>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37mm人工防雹高炮弹</w:t>
            </w:r>
          </w:p>
        </w:tc>
        <w:tc>
          <w:tcPr/>
          <w:p>
            <w:pPr>
              <w:autoSpaceDE w:val="0"/>
              <w:jc w:val="center"/>
              <w:rPr>
                <w:rFonts w:asciiTheme="minorEastAsia" w:hAnsiTheme="minorEastAsia" w:cstheme="minorEastAsia"/>
                <w:kern w:val="0"/>
                <w:szCs w:val="21"/>
              </w:rPr>
            </w:pPr>
            <w:r>
              <w:t>23960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7,140,080.00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37mm人工防雹高炮训练弹</w:t>
            </w:r>
          </w:p>
        </w:tc>
        <w:tc>
          <w:tcPr/>
          <w:p>
            <w:pPr>
              <w:autoSpaceDE w:val="0"/>
              <w:jc w:val="center"/>
              <w:rPr>
                <w:rFonts w:asciiTheme="minorEastAsia" w:hAnsiTheme="minorEastAsia" w:cstheme="minorEastAsia"/>
                <w:kern w:val="0"/>
                <w:szCs w:val="21"/>
              </w:rPr>
            </w:pPr>
            <w:r>
              <w:t>550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82,500.00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7,222,580.00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75"/>
        <w:gridCol w:w="1845"/>
        <w:gridCol w:w="1262"/>
        <w:gridCol w:w="556"/>
        <w:gridCol w:w="1084"/>
        <w:gridCol w:w="903"/>
        <w:gridCol w:w="932"/>
        <w:gridCol w:w="146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青海省人工影响天气中心</w:t>
            </w:r>
          </w:p>
        </w:tc>
        <w:tc>
          <w:tcPr/>
          <w:p>
            <w:r>
              <w:t>37mm人工防雹高炮弹</w:t>
            </w:r>
          </w:p>
        </w:tc>
        <w:tc>
          <w:tcPr/>
          <w:p>
            <w:r>
              <w:t>23960</w:t>
            </w:r>
          </w:p>
        </w:tc>
        <w:tc>
          <w:tcPr/>
          <w:p>
            <w:r>
              <w:t>7140080.00</w:t>
            </w:r>
          </w:p>
        </w:tc>
        <w:tc>
          <w:tcPr>
            <w:vMerge w:val="restart"/>
          </w:tcPr>
          <w:p>
            <w:r>
              <w:t xml:space="preserve">7222580.00  </w:t>
            </w:r>
          </w:p>
        </w:tc>
        <w:tc>
          <w:tcPr/>
          <w:p>
            <w:r>
              <w:t>青海省境内</w:t>
            </w:r>
          </w:p>
        </w:tc>
        <w:tc>
          <w:tcPr/>
          <w:p>
            <w:r>
              <w:t>郭三刚13897231028</w:t>
            </w:r>
          </w:p>
        </w:tc>
      </w:tr>
      <w:tr>
        <w:tblPrEx>
          <w:tblW w:w="5000" w:type="pct"/>
          <w:tblCellMar>
            <w:left w:w="108" w:type="dxa"/>
            <w:right w:w="108" w:type="dxa"/>
          </w:tblCellMar>
        </w:tblPrEx>
        <w:tc>
          <w:tcPr/>
          <w:p>
            <w:r>
              <w:t>2</w:t>
            </w:r>
          </w:p>
        </w:tc>
        <w:tc>
          <w:tcPr>
            <w:vMerge/>
          </w:tcPr>
          <w:p>
            <w:r>
              <w:t>青海省人工影响天气中心</w:t>
            </w:r>
          </w:p>
        </w:tc>
        <w:tc>
          <w:tcPr/>
          <w:p>
            <w:r>
              <w:t>37mm人工防雹高炮训练弹</w:t>
            </w:r>
          </w:p>
        </w:tc>
        <w:tc>
          <w:tcPr/>
          <w:p>
            <w:r>
              <w:t>550</w:t>
            </w:r>
          </w:p>
        </w:tc>
        <w:tc>
          <w:tcPr/>
          <w:p>
            <w:r>
              <w:t>82500.00</w:t>
            </w:r>
          </w:p>
        </w:tc>
        <w:tc>
          <w:tcPr>
            <w:vMerge/>
          </w:tcPr>
          <w:p>
            <w:r>
              <w:t xml:space="preserve">7222580.00  </w:t>
            </w:r>
          </w:p>
        </w:tc>
        <w:tc>
          <w:tcPr/>
          <w:p>
            <w:r>
              <w:t>青海省境内</w:t>
            </w:r>
          </w:p>
        </w:tc>
        <w:tc>
          <w:tcPr/>
          <w:p>
            <w:r>
              <w:t>郭三刚13897231028</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3C412B">
      <w:pPr>
        <w:numPr>
          <w:ilvl w:val="0"/>
          <w:numId w:val="4"/>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3C412B">
      <w:pPr>
        <w:spacing w:line="360" w:lineRule="auto"/>
        <w:ind w:left="1680" w:firstLine="420"/>
        <w:jc w:val="left"/>
        <w:rPr>
          <w:b/>
          <w:bCs/>
          <w:szCs w:val="21"/>
        </w:rPr>
      </w:pPr>
      <w:r>
        <w:rPr>
          <w:rFonts w:hint="eastAsia"/>
          <w:b/>
          <w:bCs/>
          <w:szCs w:val="21"/>
        </w:rPr>
        <w:t>必须明确合同金额支付条件及支付比例</w:t>
      </w:r>
    </w:p>
    <w:p w:rsidR="003C412B">
      <w:pPr>
        <w:pStyle w:val="BodyText"/>
        <w:spacing w:after="0"/>
        <w:jc w:val="center"/>
        <w:rPr>
          <w:rFonts w:ascii="宋体" w:hAnsi="宋体" w:cs="宋体" w:hint="eastAsia"/>
          <w:b/>
          <w:bCs/>
          <w:spacing w:val="-20"/>
          <w:kern w:val="44"/>
          <w:sz w:val="48"/>
          <w:szCs w:val="48"/>
        </w:rPr>
      </w:pPr>
      <w:r>
        <w:rPr>
          <w:b/>
          <w:bCs/>
          <w:szCs w:val="21"/>
        </w:rPr>
        <w:br w:type="page"/>
      </w:r>
      <w:bookmarkStart w:id="71" w:name="_Toc3995"/>
    </w:p>
    <w:p w:rsidR="003C412B">
      <w:pPr>
        <w:pStyle w:val="BodyText"/>
        <w:spacing w:after="0"/>
        <w:jc w:val="center"/>
        <w:rPr>
          <w:rFonts w:ascii="宋体" w:hAnsi="宋体" w:cs="宋体" w:hint="eastAsia"/>
          <w:b/>
          <w:bCs/>
          <w:spacing w:val="-20"/>
          <w:kern w:val="44"/>
          <w:sz w:val="48"/>
          <w:szCs w:val="48"/>
        </w:rPr>
      </w:pPr>
    </w:p>
    <w:p w:rsidR="003C412B">
      <w:pPr>
        <w:pStyle w:val="BodyText"/>
        <w:spacing w:after="0"/>
        <w:jc w:val="center"/>
        <w:rPr>
          <w:rFonts w:ascii="宋体" w:hAnsi="宋体" w:cs="宋体" w:hint="eastAsia"/>
          <w:b/>
          <w:bCs/>
          <w:spacing w:val="-20"/>
          <w:kern w:val="44"/>
          <w:sz w:val="48"/>
          <w:szCs w:val="48"/>
        </w:rPr>
      </w:pPr>
    </w:p>
    <w:p w:rsidR="003C412B">
      <w:pPr>
        <w:pStyle w:val="BodyText"/>
        <w:spacing w:after="0"/>
        <w:jc w:val="center"/>
        <w:rPr>
          <w:rFonts w:ascii="宋体" w:hAnsi="宋体" w:cs="宋体" w:hint="eastAsia"/>
          <w:b/>
          <w:bCs/>
          <w:spacing w:val="-20"/>
          <w:kern w:val="44"/>
          <w:sz w:val="48"/>
          <w:szCs w:val="48"/>
        </w:rPr>
      </w:pPr>
    </w:p>
    <w:p w:rsidR="003C412B">
      <w:pPr>
        <w:pStyle w:val="BodyText"/>
        <w:spacing w:after="0"/>
        <w:jc w:val="center"/>
        <w:rPr>
          <w:rFonts w:ascii="宋体" w:hAnsi="宋体" w:cs="宋体" w:hint="eastAsia"/>
          <w:b/>
          <w:bCs/>
          <w:spacing w:val="-20"/>
          <w:kern w:val="44"/>
          <w:sz w:val="48"/>
          <w:szCs w:val="48"/>
        </w:rPr>
      </w:pPr>
    </w:p>
    <w:p w:rsidR="003C412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3C412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3C412B">
      <w:pPr>
        <w:rPr>
          <w:rFonts w:ascii="宋体" w:hAnsi="宋体" w:cs="宋体" w:hint="eastAsia"/>
          <w:b/>
          <w:bCs/>
          <w:spacing w:val="-20"/>
          <w:kern w:val="44"/>
          <w:sz w:val="40"/>
          <w:szCs w:val="40"/>
        </w:rPr>
      </w:pPr>
    </w:p>
    <w:p w:rsidR="003C412B">
      <w:pPr>
        <w:rPr>
          <w:rFonts w:ascii="宋体" w:hAnsi="宋体" w:cs="宋体" w:hint="eastAsia"/>
          <w:b/>
          <w:bCs/>
          <w:spacing w:val="-20"/>
          <w:kern w:val="44"/>
          <w:sz w:val="40"/>
          <w:szCs w:val="40"/>
        </w:rPr>
      </w:pPr>
    </w:p>
    <w:p w:rsidR="003C412B">
      <w:pPr>
        <w:rPr>
          <w:rFonts w:ascii="宋体" w:hAnsi="宋体" w:cs="宋体" w:hint="eastAsia"/>
          <w:b/>
          <w:bCs/>
          <w:spacing w:val="-20"/>
          <w:kern w:val="44"/>
          <w:sz w:val="40"/>
          <w:szCs w:val="40"/>
        </w:rPr>
      </w:pPr>
    </w:p>
    <w:p w:rsidR="003C412B">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3C412B">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3C412B">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3C412B">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3C412B">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3C412B"/>
    <w:p w:rsidR="003C412B">
      <w:pPr>
        <w:rPr>
          <w:rFonts w:eastAsia="黑体"/>
          <w:sz w:val="44"/>
          <w:szCs w:val="44"/>
        </w:rPr>
      </w:pPr>
      <w:r>
        <w:rPr>
          <w:rFonts w:eastAsia="黑体"/>
          <w:sz w:val="44"/>
          <w:szCs w:val="44"/>
        </w:rPr>
        <w:br w:type="page"/>
      </w:r>
    </w:p>
    <w:p w:rsidR="003C412B">
      <w:pPr>
        <w:rPr>
          <w:rFonts w:eastAsia="黑体"/>
          <w:sz w:val="44"/>
          <w:szCs w:val="44"/>
        </w:rPr>
      </w:pPr>
    </w:p>
    <w:p w:rsidR="003C412B">
      <w:pPr>
        <w:rPr>
          <w:rFonts w:eastAsia="黑体"/>
          <w:sz w:val="44"/>
          <w:szCs w:val="44"/>
        </w:rPr>
      </w:pPr>
    </w:p>
    <w:p w:rsidR="003C412B">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3C412B">
      <w:pPr>
        <w:ind w:firstLine="640" w:firstLineChars="200"/>
        <w:rPr>
          <w:rFonts w:ascii="仿宋_GB2312" w:eastAsia="仿宋_GB2312" w:hAnsi="仿宋_GB2312" w:cs="仿宋_GB2312" w:hint="eastAsia"/>
          <w:sz w:val="32"/>
          <w:szCs w:val="32"/>
        </w:rPr>
      </w:pPr>
    </w:p>
    <w:p w:rsidR="003C412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3C412B">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3C412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3C412B">
      <w:pPr>
        <w:rPr>
          <w:rFonts w:eastAsia="黑体"/>
          <w:sz w:val="44"/>
          <w:szCs w:val="44"/>
        </w:rPr>
        <w:sectPr>
          <w:pgSz w:w="11906" w:h="16838"/>
          <w:pgMar w:top="1440" w:right="1800" w:bottom="1440" w:left="1800" w:header="851" w:footer="992" w:gutter="0"/>
          <w:cols w:space="425"/>
          <w:docGrid w:type="lines" w:linePitch="312"/>
        </w:sectPr>
      </w:pPr>
    </w:p>
    <w:p w:rsidR="003C412B">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3C412B">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3C412B">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3C412B">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3C412B">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3C412B">
      <w:pPr>
        <w:spacing w:line="400" w:lineRule="exact"/>
      </w:pPr>
    </w:p>
    <w:p w:rsidR="003C412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3C412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3C412B">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3C412B">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3C412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3C412B">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3C412B">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3C412B">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3C412B">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3C412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3C412B">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C412B">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3C412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3C412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3C412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C412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3C412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3C412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3C412B">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3C412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3C412B">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C412B">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C412B">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C412B">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C412B">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C412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3C412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3C412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3C412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3C412B">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3C412B">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3C412B">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3C412B">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3C412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3C412B">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3C412B">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3C412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3C412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3C412B">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3C412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3C412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C412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3C412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3C412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3C412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C412B">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3C412B">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3C412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3C412B">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C412B">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3C412B">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3C412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3C412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3C412B">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3C412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3C412B">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3C412B">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3C412B">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3C412B">
      <w:pPr>
        <w:pStyle w:val="12"/>
        <w:spacing w:line="400" w:lineRule="exact"/>
      </w:pPr>
      <w:r>
        <w:rPr>
          <w:rFonts w:ascii="宋体" w:hAnsi="宋体" w:hint="eastAsia"/>
        </w:rPr>
        <w:t>（3）付款方式（按项目实际勾选填写）：</w:t>
      </w:r>
    </w:p>
    <w:p w:rsidR="003C412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D314CD" w:rsidRPr="00D314CD" w:rsidP="00D314CD">
      <w:pPr>
        <w:snapToGrid w:val="0"/>
        <w:spacing w:line="400" w:lineRule="exact"/>
        <w:ind w:firstLine="630" w:firstLineChars="300"/>
        <w:rPr>
          <w:rFonts w:ascii="宋体" w:hAnsi="宋体" w:hint="eastAsia"/>
          <w:szCs w:val="21"/>
          <w:u w:val="single"/>
        </w:rPr>
      </w:pPr>
      <w:r w:rsidRPr="00BC2133">
        <w:rPr>
          <w:rFonts w:ascii="Segoe UI Symbol" w:eastAsia="宋体" w:hAnsi="Segoe UI Symbol" w:cs="Segoe UI Symbol"/>
          <w:szCs w:val="21"/>
        </w:rPr>
        <w:t>☑</w:t>
      </w:r>
      <w:r>
        <w:rPr>
          <w:rFonts w:ascii="宋体" w:hAnsi="宋体" w:hint="eastAsia"/>
          <w:szCs w:val="21"/>
        </w:rPr>
        <w:t>分期付款：</w:t>
      </w:r>
      <w:r>
        <w:rPr>
          <w:rFonts w:ascii="宋体" w:hAnsi="宋体" w:hint="eastAsia"/>
          <w:szCs w:val="21"/>
          <w:u w:val="single"/>
        </w:rPr>
        <w:t xml:space="preserve">  </w:t>
      </w:r>
      <w:r w:rsidRPr="00D314CD">
        <w:rPr>
          <w:rFonts w:ascii="宋体" w:hAnsi="宋体" w:hint="eastAsia"/>
          <w:szCs w:val="21"/>
          <w:u w:val="single"/>
        </w:rPr>
        <w:t>1.付款条件说明：合同签订后10日内，支付合同总金额的 30.00%。</w:t>
      </w:r>
    </w:p>
    <w:p w:rsidR="00D314CD" w:rsidRPr="00D314CD" w:rsidP="00D314CD">
      <w:pPr>
        <w:snapToGrid w:val="0"/>
        <w:spacing w:line="400" w:lineRule="exact"/>
        <w:ind w:firstLine="630" w:firstLineChars="300"/>
        <w:rPr>
          <w:rFonts w:ascii="宋体" w:hAnsi="宋体" w:hint="eastAsia"/>
          <w:szCs w:val="21"/>
          <w:u w:val="single"/>
        </w:rPr>
      </w:pPr>
      <w:r w:rsidRPr="00D314CD">
        <w:rPr>
          <w:rFonts w:ascii="宋体" w:hAnsi="宋体" w:hint="eastAsia"/>
          <w:szCs w:val="21"/>
          <w:u w:val="single"/>
        </w:rPr>
        <w:t>2.付款条件说明：2025年9月20日前，支付合同总金额的 40.00%。</w:t>
      </w:r>
    </w:p>
    <w:p w:rsidR="003C412B" w:rsidP="00D314CD">
      <w:pPr>
        <w:snapToGrid w:val="0"/>
        <w:spacing w:line="400" w:lineRule="exact"/>
        <w:ind w:firstLine="630" w:firstLineChars="300"/>
      </w:pPr>
      <w:r w:rsidRPr="00D314CD">
        <w:rPr>
          <w:rFonts w:ascii="宋体" w:hAnsi="宋体" w:hint="eastAsia"/>
          <w:szCs w:val="21"/>
          <w:u w:val="single"/>
        </w:rPr>
        <w:t>3.付款条件说明：2025年12月20日，支付剩余合同金额。</w:t>
      </w:r>
    </w:p>
    <w:p w:rsidR="003C412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3C412B">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3C412B">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3C412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3C412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3C412B">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3C412B">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3C412B">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3C412B">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3C412B">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3C412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3C412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3C412B">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3C412B">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3C412B">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3C412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3C412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3C412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3C412B">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3C412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3C412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3C412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3C412B">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3C412B">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3C412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3C412B">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3C412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3C412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3C412B">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3C412B">
      <w:r>
        <w:rPr>
          <w:rFonts w:hint="eastAsia"/>
        </w:rPr>
        <w:br w:type="page"/>
      </w:r>
    </w:p>
    <w:p w:rsidR="003C412B">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3C412B">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3C412B">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法定代表人</w:t>
            </w:r>
          </w:p>
          <w:p w:rsidR="003C412B">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法定代表人</w:t>
            </w:r>
          </w:p>
          <w:p w:rsidR="003C412B">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3C412B">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3C412B">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3C412B">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3C412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3C412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3C412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3C412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3C412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3C412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3C412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3C412B">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3C412B">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3C412B">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3C412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3C412B">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3C412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3C412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3C412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3C412B">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3C412B">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3C412B">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3C412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3C412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3C412B">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3C412B">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3C412B">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3C412B">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3C412B">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3C412B">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3C412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3C412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3C412B">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3C412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3C412B">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3C412B">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3C412B">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3C412B">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3C412B">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3C412B">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3C412B">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3C412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3C412B">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3C412B">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3C412B">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3C412B">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3C412B">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3C412B">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3C412B">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3C412B">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3C412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3C412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3C412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3C412B">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3C412B">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3C412B">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3C412B">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3C412B">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3C412B">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3C412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3C412B">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5" w:name="_Toc20313"/>
    </w:p>
    <w:p w:rsidR="003C412B">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3C412B">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snapToGrid w:val="0"/>
              <w:jc w:val="center"/>
            </w:pPr>
            <w:r>
              <w:rPr>
                <w:rFonts w:ascii="宋体" w:hAnsi="宋体" w:hint="eastAsia"/>
                <w:szCs w:val="21"/>
              </w:rPr>
              <w:t>第5.4款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snapToGrid w:val="0"/>
              <w:jc w:val="center"/>
              <w:rPr>
                <w:rFonts w:ascii="宋体" w:hAnsi="宋体" w:hint="eastAsia"/>
                <w:szCs w:val="21"/>
              </w:rPr>
            </w:pPr>
            <w:r>
              <w:rPr>
                <w:rFonts w:ascii="宋体" w:hAnsi="宋体" w:hint="eastAsia"/>
                <w:szCs w:val="21"/>
              </w:rPr>
              <w:t>第6.1款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3C412B"/>
        </w:tc>
      </w:tr>
      <w:tr>
        <w:tblPrEx>
          <w:tblW w:w="8519" w:type="dxa"/>
          <w:tblInd w:w="108" w:type="dxa"/>
          <w:tblLayout w:type="fixed"/>
          <w:tblLook w:val="04A0"/>
        </w:tblPrEx>
        <w:trPr>
          <w:trHeight w:val="667"/>
        </w:trPr>
        <w:tc>
          <w:tcPr>
            <w:tcW w:w="1607" w:type="dxa"/>
            <w:vMerge/>
            <w:vAlign w:val="center"/>
          </w:tcPr>
          <w:p w:rsidR="003C412B">
            <w:pPr>
              <w:adjustRightInd w:val="0"/>
              <w:snapToGrid w:val="0"/>
              <w:jc w:val="center"/>
              <w:rPr>
                <w:rFonts w:ascii="宋体" w:hAnsi="宋体" w:hint="eastAsia"/>
                <w:szCs w:val="21"/>
              </w:rPr>
            </w:pP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3C412B"/>
        </w:tc>
      </w:tr>
      <w:tr>
        <w:tblPrEx>
          <w:tblW w:w="8519" w:type="dxa"/>
          <w:tblInd w:w="108" w:type="dxa"/>
          <w:tblLayout w:type="fixed"/>
          <w:tblLook w:val="04A0"/>
        </w:tblPrEx>
        <w:trPr>
          <w:trHeight w:val="772"/>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3C412B"/>
        </w:tc>
      </w:tr>
      <w:tr>
        <w:tblPrEx>
          <w:tblW w:w="8519" w:type="dxa"/>
          <w:tblInd w:w="108" w:type="dxa"/>
          <w:tblLayout w:type="fixed"/>
          <w:tblLook w:val="04A0"/>
        </w:tblPrEx>
        <w:trPr>
          <w:trHeight w:val="667"/>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3C412B"/>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3C412B">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货物质量缺陷</w:t>
            </w:r>
          </w:p>
          <w:p w:rsidR="003C412B">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snapToGrid w:val="0"/>
              <w:jc w:val="center"/>
              <w:rPr>
                <w:rFonts w:ascii="宋体" w:hAnsi="宋体" w:cs="宋体" w:hint="eastAsia"/>
                <w:szCs w:val="21"/>
              </w:rPr>
            </w:pPr>
            <w:r>
              <w:rPr>
                <w:rFonts w:ascii="宋体" w:hAnsi="宋体" w:cs="宋体" w:hint="eastAsia"/>
                <w:szCs w:val="21"/>
              </w:rPr>
              <w:t>第二节</w:t>
            </w:r>
          </w:p>
          <w:p w:rsidR="003C412B">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3C412B">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3C412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3C412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3C412B">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3C412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3C412B">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3C412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3C412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3C412B">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3C412B">
            <w:pPr>
              <w:adjustRightInd w:val="0"/>
              <w:snapToGrid w:val="0"/>
              <w:jc w:val="left"/>
              <w:rPr>
                <w:rFonts w:ascii="宋体" w:hAnsi="宋体" w:hint="eastAsia"/>
                <w:szCs w:val="21"/>
              </w:rPr>
            </w:pPr>
          </w:p>
        </w:tc>
      </w:tr>
    </w:tbl>
    <w:p w:rsidR="003C412B"/>
    <w:p w:rsidR="003C412B">
      <w:pPr>
        <w:rPr>
          <w:b/>
          <w:bCs/>
          <w:sz w:val="44"/>
          <w:szCs w:val="44"/>
        </w:rPr>
      </w:pPr>
    </w:p>
    <w:p w:rsidR="003C412B"/>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0A"/>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3F47"/>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3F14"/>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A4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36B1"/>
    <w:rsid w:val="003A4338"/>
    <w:rsid w:val="003A4FAE"/>
    <w:rsid w:val="003A5FFE"/>
    <w:rsid w:val="003A661F"/>
    <w:rsid w:val="003A718A"/>
    <w:rsid w:val="003A7A2D"/>
    <w:rsid w:val="003B175C"/>
    <w:rsid w:val="003B2A16"/>
    <w:rsid w:val="003B3431"/>
    <w:rsid w:val="003B489F"/>
    <w:rsid w:val="003B6D1E"/>
    <w:rsid w:val="003C1C24"/>
    <w:rsid w:val="003C3435"/>
    <w:rsid w:val="003C412B"/>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3E25"/>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2133"/>
    <w:rsid w:val="00BC49B9"/>
    <w:rsid w:val="00BC49CB"/>
    <w:rsid w:val="00BC4CA7"/>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14CD"/>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6C73"/>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