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2025年河北省高精度温室气体浓度观测系统建设项目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ZQCD-25453</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河北省气象技术装备中心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2025年河北省高精度温室气体浓度观测系统建设项目</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ZQCD-25453</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合同签订后120天内交货、180天内完成安装调试并具备验收条件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河北省</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2025年12月05日 10:00:00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2025年12月12日 17:00:00</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2025年12月17日 14:30:00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张夏虹</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010-68406136</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河北省气象技术装备中心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印佳楠</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0311-67108883</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河北省石家庄市裕华区槐中路253号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856F317">
      <w:pPr>
        <w:spacing w:line="360" w:lineRule="auto"/>
        <w:jc w:val="center"/>
        <w:outlineLvl w:val="1"/>
        <w:rPr>
          <w:b/>
          <w:sz w:val="30"/>
          <w:szCs w:val="30"/>
          <w:highlight w:val="none"/>
        </w:rPr>
      </w:pPr>
      <w:r>
        <w:rPr>
          <w:rFonts w:ascii="Times New Roman" w:eastAsia="宋体" w:hAnsi="Times New Roman" w:cs="Times New Roman"/>
          <w:b/>
          <w:bCs/>
          <w:szCs w:val="21"/>
        </w:rPr>
        <w:br w:type="page"/>
      </w:r>
      <w:bookmarkStart w:id="35" w:name="投标人须知专用部分_TBXZ"/>
      <w:r>
        <w:rPr>
          <w:rFonts w:hint="eastAsia"/>
          <w:b/>
          <w:sz w:val="30"/>
          <w:szCs w:val="30"/>
          <w:highlight w:val="none"/>
        </w:rPr>
        <w:t>第五章  投标人须知专用部分</w:t>
      </w:r>
    </w:p>
    <w:p w14:paraId="34C5AFC9">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262BD214">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w:t>
      </w:r>
      <w:r>
        <w:rPr>
          <w:rFonts w:hint="eastAsia"/>
          <w:szCs w:val="21"/>
          <w:highlight w:val="none"/>
        </w:rPr>
        <w:t>第</w:t>
      </w:r>
      <w:r>
        <w:rPr>
          <w:rFonts w:hint="eastAsia"/>
          <w:szCs w:val="21"/>
          <w:highlight w:val="none"/>
        </w:rPr>
        <w:t>三章、</w:t>
      </w:r>
      <w:r>
        <w:rPr>
          <w:rFonts w:hint="eastAsia"/>
          <w:szCs w:val="21"/>
          <w:highlight w:val="none"/>
        </w:rPr>
        <w:t>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4F5A7B0D">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345B131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12A54C7">
            <w:pPr>
              <w:jc w:val="center"/>
              <w:rPr>
                <w:b/>
                <w:szCs w:val="21"/>
                <w:highlight w:val="none"/>
              </w:rPr>
            </w:pPr>
            <w:r>
              <w:rPr>
                <w:rFonts w:hint="eastAsia"/>
                <w:b/>
                <w:szCs w:val="21"/>
                <w:highlight w:val="none"/>
              </w:rPr>
              <w:t>序号</w:t>
            </w:r>
          </w:p>
        </w:tc>
        <w:tc>
          <w:tcPr>
            <w:tcW w:w="1418" w:type="dxa"/>
            <w:noWrap w:val="0"/>
            <w:vAlign w:val="center"/>
          </w:tcPr>
          <w:p w14:paraId="5A8C13B2">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335AADD0">
            <w:pPr>
              <w:jc w:val="center"/>
              <w:rPr>
                <w:b/>
                <w:szCs w:val="21"/>
                <w:highlight w:val="none"/>
              </w:rPr>
            </w:pPr>
            <w:r>
              <w:rPr>
                <w:rFonts w:hint="eastAsia"/>
                <w:b/>
                <w:szCs w:val="21"/>
                <w:highlight w:val="none"/>
              </w:rPr>
              <w:t>内容</w:t>
            </w:r>
          </w:p>
        </w:tc>
        <w:tc>
          <w:tcPr>
            <w:tcW w:w="5209" w:type="dxa"/>
            <w:noWrap w:val="0"/>
            <w:vAlign w:val="center"/>
          </w:tcPr>
          <w:p w14:paraId="4E131261">
            <w:pPr>
              <w:jc w:val="center"/>
              <w:rPr>
                <w:b/>
                <w:szCs w:val="21"/>
                <w:highlight w:val="none"/>
              </w:rPr>
            </w:pPr>
            <w:r>
              <w:rPr>
                <w:rFonts w:hint="eastAsia"/>
                <w:b/>
                <w:szCs w:val="21"/>
                <w:highlight w:val="none"/>
              </w:rPr>
              <w:t>说明与要求</w:t>
            </w:r>
          </w:p>
        </w:tc>
      </w:tr>
      <w:tr w14:paraId="4AF7CDB1">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0F6D6C0C">
            <w:pPr>
              <w:rPr>
                <w:szCs w:val="21"/>
                <w:highlight w:val="none"/>
              </w:rPr>
            </w:pPr>
            <w:r>
              <w:rPr>
                <w:rFonts w:hint="eastAsia"/>
                <w:szCs w:val="21"/>
                <w:highlight w:val="none"/>
              </w:rPr>
              <w:t>5.1</w:t>
            </w:r>
          </w:p>
        </w:tc>
        <w:tc>
          <w:tcPr>
            <w:tcW w:w="1418" w:type="dxa"/>
            <w:noWrap w:val="0"/>
            <w:vAlign w:val="center"/>
          </w:tcPr>
          <w:p w14:paraId="5C643ABC">
            <w:pPr>
              <w:rPr>
                <w:szCs w:val="21"/>
                <w:highlight w:val="none"/>
              </w:rPr>
            </w:pPr>
            <w:r>
              <w:rPr>
                <w:rFonts w:hint="eastAsia"/>
                <w:szCs w:val="21"/>
                <w:highlight w:val="none"/>
              </w:rPr>
              <w:t>1.2.1</w:t>
            </w:r>
          </w:p>
        </w:tc>
        <w:tc>
          <w:tcPr>
            <w:tcW w:w="1701" w:type="dxa"/>
            <w:noWrap w:val="0"/>
            <w:vAlign w:val="center"/>
          </w:tcPr>
          <w:p w14:paraId="527381B5">
            <w:pPr>
              <w:rPr>
                <w:szCs w:val="21"/>
                <w:highlight w:val="none"/>
              </w:rPr>
            </w:pPr>
            <w:r>
              <w:rPr>
                <w:rFonts w:hint="eastAsia"/>
                <w:szCs w:val="21"/>
                <w:highlight w:val="none"/>
              </w:rPr>
              <w:t>采购人名称</w:t>
            </w:r>
          </w:p>
        </w:tc>
        <w:tc>
          <w:tcPr>
            <w:tcW w:w="5209" w:type="dxa"/>
            <w:noWrap w:val="0"/>
            <w:vAlign w:val="center"/>
          </w:tcPr>
          <w:p w14:paraId="0ED14FD7">
            <w:pPr>
              <w:rPr>
                <w:szCs w:val="21"/>
                <w:highlight w:val="none"/>
              </w:rPr>
            </w:pPr>
            <w:bookmarkStart w:id="36" w:name="采购人2_recorderOrgName"/>
            <w:r>
              <w:rPr>
                <w:rFonts w:ascii="宋体" w:hAnsi="宋体" w:cs="微软雅黑" w:hint="eastAsia"/>
                <w:kern w:val="0"/>
                <w:szCs w:val="21"/>
                <w:highlight w:val="none"/>
              </w:rPr>
              <w:t>河北省气象技术装备中心</w:t>
            </w:r>
            <w:bookmarkEnd w:id="36"/>
          </w:p>
        </w:tc>
      </w:tr>
      <w:tr w14:paraId="63EEFEA1">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402B5D68">
            <w:pPr>
              <w:rPr>
                <w:szCs w:val="21"/>
                <w:highlight w:val="none"/>
              </w:rPr>
            </w:pPr>
            <w:r>
              <w:rPr>
                <w:rFonts w:hint="eastAsia"/>
                <w:szCs w:val="21"/>
                <w:highlight w:val="none"/>
              </w:rPr>
              <w:t>5.2</w:t>
            </w:r>
          </w:p>
        </w:tc>
        <w:tc>
          <w:tcPr>
            <w:tcW w:w="1418" w:type="dxa"/>
            <w:noWrap w:val="0"/>
            <w:vAlign w:val="center"/>
          </w:tcPr>
          <w:p w14:paraId="05DE9B9D">
            <w:pPr>
              <w:rPr>
                <w:szCs w:val="21"/>
                <w:highlight w:val="none"/>
              </w:rPr>
            </w:pPr>
            <w:r>
              <w:rPr>
                <w:rFonts w:hint="eastAsia"/>
                <w:szCs w:val="21"/>
                <w:highlight w:val="none"/>
              </w:rPr>
              <w:t>1.3.3、1.14.2</w:t>
            </w:r>
          </w:p>
        </w:tc>
        <w:tc>
          <w:tcPr>
            <w:tcW w:w="1701" w:type="dxa"/>
            <w:noWrap w:val="0"/>
            <w:vAlign w:val="center"/>
          </w:tcPr>
          <w:p w14:paraId="3A48F351">
            <w:pPr>
              <w:rPr>
                <w:szCs w:val="21"/>
                <w:highlight w:val="none"/>
              </w:rPr>
            </w:pPr>
            <w:r>
              <w:rPr>
                <w:rFonts w:hint="eastAsia"/>
                <w:szCs w:val="21"/>
                <w:highlight w:val="none"/>
              </w:rPr>
              <w:t>投标人特殊资质条件</w:t>
            </w:r>
          </w:p>
        </w:tc>
        <w:tc>
          <w:tcPr>
            <w:tcW w:w="5209" w:type="dxa"/>
            <w:noWrap w:val="0"/>
            <w:vAlign w:val="center"/>
          </w:tcPr>
          <w:p w14:paraId="0540773A">
            <w:pPr>
              <w:rPr>
                <w:kern w:val="0"/>
                <w:szCs w:val="21"/>
                <w:highlight w:val="none"/>
              </w:rPr>
            </w:pPr>
            <w:r>
              <w:rPr>
                <w:rFonts w:cs="微软雅黑" w:hint="eastAsia"/>
                <w:kern w:val="0"/>
                <w:szCs w:val="21"/>
                <w:highlight w:val="none"/>
              </w:rPr>
              <w:t>投标人应具有以下有效期超过投标截止日的资质：</w:t>
            </w:r>
            <w:bookmarkStart w:id="37" w:name="资_bidderQualificationValidBeyondDeadline"/>
            <w:r>
              <w:rPr>
                <w:rFonts w:ascii="宋体" w:hAnsi="宋体" w:cs="微软雅黑" w:hint="eastAsia"/>
                <w:kern w:val="0"/>
                <w:szCs w:val="21"/>
                <w:highlight w:val="none"/>
              </w:rPr>
              <w:t>无</w:t>
            </w:r>
            <w:bookmarkEnd w:id="37"/>
          </w:p>
        </w:tc>
      </w:tr>
      <w:tr w14:paraId="373A287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CD46468">
            <w:pPr>
              <w:rPr>
                <w:szCs w:val="21"/>
                <w:highlight w:val="none"/>
              </w:rPr>
            </w:pPr>
            <w:r>
              <w:rPr>
                <w:rFonts w:hint="eastAsia"/>
                <w:szCs w:val="21"/>
                <w:highlight w:val="none"/>
              </w:rPr>
              <w:t>5.3</w:t>
            </w:r>
          </w:p>
        </w:tc>
        <w:tc>
          <w:tcPr>
            <w:tcW w:w="1418" w:type="dxa"/>
            <w:noWrap w:val="0"/>
            <w:vAlign w:val="center"/>
          </w:tcPr>
          <w:p w14:paraId="4D3AAFBC">
            <w:pPr>
              <w:rPr>
                <w:szCs w:val="21"/>
                <w:highlight w:val="none"/>
              </w:rPr>
            </w:pPr>
            <w:r>
              <w:rPr>
                <w:rFonts w:hint="eastAsia"/>
                <w:szCs w:val="21"/>
                <w:highlight w:val="none"/>
              </w:rPr>
              <w:t>1.3.4</w:t>
            </w:r>
          </w:p>
        </w:tc>
        <w:tc>
          <w:tcPr>
            <w:tcW w:w="1701" w:type="dxa"/>
            <w:noWrap w:val="0"/>
            <w:vAlign w:val="center"/>
          </w:tcPr>
          <w:p w14:paraId="4BB8D7E1">
            <w:pPr>
              <w:rPr>
                <w:szCs w:val="21"/>
                <w:highlight w:val="none"/>
              </w:rPr>
            </w:pPr>
            <w:r>
              <w:rPr>
                <w:rFonts w:hint="eastAsia"/>
                <w:szCs w:val="21"/>
                <w:highlight w:val="none"/>
              </w:rPr>
              <w:t>是否允许代理商投标</w:t>
            </w:r>
          </w:p>
        </w:tc>
        <w:tc>
          <w:tcPr>
            <w:tcW w:w="5209" w:type="dxa"/>
            <w:noWrap w:val="0"/>
            <w:vAlign w:val="center"/>
          </w:tcPr>
          <w:p w14:paraId="219211A2">
            <w:pPr>
              <w:rPr>
                <w:rFonts w:asciiTheme="minorEastAsia" w:hAnsiTheme="minorEastAsia" w:cstheme="minorEastAsia" w:hint="eastAsia"/>
                <w:kern w:val="0"/>
                <w:szCs w:val="21"/>
                <w:highlight w:val="none"/>
              </w:rPr>
            </w:pPr>
            <w:bookmarkStart w:id="38" w:name="代理商投标_agentFlagText"/>
            <w:r>
              <w:rPr>
                <w:rFonts w:asciiTheme="minorEastAsia" w:eastAsiaTheme="minorEastAsia" w:hAnsiTheme="minorEastAsia" w:cstheme="minorEastAsia" w:hint="eastAsia"/>
                <w:kern w:val="0"/>
                <w:szCs w:val="21"/>
                <w:highlight w:val="none"/>
              </w:rPr>
              <w:t>不允许（仅针对以下产品：光谱吸收法大气二氧化碳/甲烷高精度分析仪不允许代理商响应）</w:t>
            </w:r>
            <w:bookmarkEnd w:id="38"/>
          </w:p>
        </w:tc>
      </w:tr>
      <w:tr w14:paraId="54891D6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BFA9490">
            <w:pPr>
              <w:rPr>
                <w:rFonts w:hint="eastAsia"/>
                <w:szCs w:val="21"/>
                <w:highlight w:val="none"/>
              </w:rPr>
            </w:pPr>
            <w:r>
              <w:rPr>
                <w:rFonts w:hint="eastAsia"/>
                <w:szCs w:val="21"/>
                <w:highlight w:val="none"/>
              </w:rPr>
              <w:t>5.4</w:t>
            </w:r>
          </w:p>
        </w:tc>
        <w:tc>
          <w:tcPr>
            <w:tcW w:w="1418" w:type="dxa"/>
            <w:noWrap w:val="0"/>
            <w:vAlign w:val="center"/>
          </w:tcPr>
          <w:p w14:paraId="52577581">
            <w:pPr>
              <w:rPr>
                <w:rFonts w:hint="eastAsia"/>
                <w:szCs w:val="21"/>
                <w:highlight w:val="none"/>
              </w:rPr>
            </w:pPr>
            <w:r>
              <w:rPr>
                <w:rFonts w:hint="eastAsia"/>
                <w:szCs w:val="21"/>
                <w:highlight w:val="none"/>
              </w:rPr>
              <w:t>1.3.4</w:t>
            </w:r>
          </w:p>
        </w:tc>
        <w:tc>
          <w:tcPr>
            <w:tcW w:w="1701" w:type="dxa"/>
            <w:noWrap w:val="0"/>
            <w:vAlign w:val="center"/>
          </w:tcPr>
          <w:p w14:paraId="23CCFFDC">
            <w:pPr>
              <w:rPr>
                <w:rFonts w:hint="eastAsia"/>
                <w:szCs w:val="21"/>
                <w:highlight w:val="none"/>
              </w:rPr>
            </w:pPr>
            <w:r>
              <w:rPr>
                <w:rFonts w:hint="eastAsia"/>
                <w:szCs w:val="21"/>
                <w:highlight w:val="none"/>
              </w:rPr>
              <w:t>进口产品</w:t>
            </w:r>
            <w:r>
              <w:rPr>
                <w:rFonts w:hint="eastAsia"/>
                <w:szCs w:val="21"/>
                <w:highlight w:val="none"/>
              </w:rPr>
              <w:t>代理商应提交资料</w:t>
            </w:r>
          </w:p>
        </w:tc>
        <w:tc>
          <w:tcPr>
            <w:tcW w:w="5209" w:type="dxa"/>
            <w:noWrap w:val="0"/>
            <w:vAlign w:val="center"/>
          </w:tcPr>
          <w:p w14:paraId="0667556A">
            <w:pPr>
              <w:rPr>
                <w:rFonts w:ascii="宋体" w:hAnsi="宋体" w:cs="微软雅黑"/>
                <w:kern w:val="0"/>
                <w:szCs w:val="21"/>
                <w:highlight w:val="none"/>
              </w:rPr>
            </w:pPr>
            <w:r>
              <w:rPr>
                <w:rFonts w:ascii="宋体" w:hAnsi="宋体" w:cs="微软雅黑" w:hint="eastAsia"/>
                <w:kern w:val="0"/>
                <w:szCs w:val="21"/>
                <w:highlight w:val="none"/>
              </w:rPr>
              <w:t>进口产品制造商授权书</w:t>
            </w:r>
          </w:p>
        </w:tc>
      </w:tr>
      <w:tr w14:paraId="3E761C8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B71A110">
            <w:pPr>
              <w:rPr>
                <w:szCs w:val="21"/>
                <w:highlight w:val="none"/>
              </w:rPr>
            </w:pPr>
            <w:r>
              <w:rPr>
                <w:rFonts w:hint="eastAsia"/>
                <w:szCs w:val="21"/>
                <w:highlight w:val="none"/>
              </w:rPr>
              <w:t>5.5</w:t>
            </w:r>
          </w:p>
        </w:tc>
        <w:tc>
          <w:tcPr>
            <w:tcW w:w="1418" w:type="dxa"/>
            <w:noWrap w:val="0"/>
            <w:vAlign w:val="center"/>
          </w:tcPr>
          <w:p w14:paraId="2CF8F4D2">
            <w:pPr>
              <w:rPr>
                <w:szCs w:val="21"/>
                <w:highlight w:val="none"/>
              </w:rPr>
            </w:pPr>
            <w:r>
              <w:rPr>
                <w:rFonts w:hint="eastAsia"/>
                <w:szCs w:val="21"/>
                <w:highlight w:val="none"/>
              </w:rPr>
              <w:t>1.3.4，1.28.4</w:t>
            </w:r>
          </w:p>
        </w:tc>
        <w:tc>
          <w:tcPr>
            <w:tcW w:w="1701" w:type="dxa"/>
            <w:noWrap w:val="0"/>
            <w:vAlign w:val="center"/>
          </w:tcPr>
          <w:p w14:paraId="5905F8DF">
            <w:pPr>
              <w:rPr>
                <w:szCs w:val="21"/>
                <w:highlight w:val="none"/>
              </w:rPr>
            </w:pPr>
            <w:r>
              <w:rPr>
                <w:rFonts w:hint="eastAsia"/>
                <w:szCs w:val="21"/>
                <w:highlight w:val="none"/>
              </w:rPr>
              <w:t>是否设有核心产品</w:t>
            </w:r>
          </w:p>
        </w:tc>
        <w:tc>
          <w:tcPr>
            <w:tcW w:w="5209" w:type="dxa"/>
            <w:noWrap w:val="0"/>
            <w:vAlign w:val="center"/>
          </w:tcPr>
          <w:p w14:paraId="243A46A2">
            <w:pPr>
              <w:rPr>
                <w:rFonts w:asciiTheme="minorEastAsia" w:hAnsiTheme="minorEastAsia" w:cstheme="minorEastAsia" w:hint="eastAsia"/>
                <w:kern w:val="0"/>
                <w:szCs w:val="21"/>
                <w:highlight w:val="none"/>
              </w:rPr>
            </w:pPr>
            <w:bookmarkStart w:id="39" w:name="是否设有核心产品_coreFlagText"/>
            <w:r>
              <w:rPr>
                <w:rFonts w:asciiTheme="minorEastAsia" w:eastAsiaTheme="minorEastAsia" w:hAnsiTheme="minorEastAsia" w:cstheme="minorEastAsia" w:hint="eastAsia"/>
                <w:kern w:val="0"/>
                <w:szCs w:val="21"/>
                <w:highlight w:val="none"/>
              </w:rPr>
              <w:t>不设有</w:t>
            </w:r>
            <w:bookmarkEnd w:id="39"/>
          </w:p>
        </w:tc>
      </w:tr>
      <w:tr w14:paraId="02D1EB8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6F8C3CE1">
            <w:pPr>
              <w:rPr>
                <w:szCs w:val="21"/>
                <w:highlight w:val="none"/>
              </w:rPr>
            </w:pPr>
            <w:r>
              <w:rPr>
                <w:rFonts w:hint="eastAsia"/>
                <w:szCs w:val="21"/>
                <w:highlight w:val="none"/>
              </w:rPr>
              <w:t>5.6</w:t>
            </w:r>
          </w:p>
        </w:tc>
        <w:tc>
          <w:tcPr>
            <w:tcW w:w="1418" w:type="dxa"/>
            <w:noWrap w:val="0"/>
            <w:vAlign w:val="center"/>
          </w:tcPr>
          <w:p w14:paraId="4F41D26B">
            <w:pPr>
              <w:rPr>
                <w:szCs w:val="21"/>
                <w:highlight w:val="none"/>
              </w:rPr>
            </w:pPr>
            <w:r>
              <w:rPr>
                <w:rFonts w:hint="eastAsia"/>
                <w:szCs w:val="21"/>
                <w:highlight w:val="none"/>
              </w:rPr>
              <w:t>1.3.6</w:t>
            </w:r>
          </w:p>
        </w:tc>
        <w:tc>
          <w:tcPr>
            <w:tcW w:w="1701" w:type="dxa"/>
            <w:noWrap w:val="0"/>
            <w:vAlign w:val="center"/>
          </w:tcPr>
          <w:p w14:paraId="3C1BB27B">
            <w:pPr>
              <w:rPr>
                <w:szCs w:val="21"/>
                <w:highlight w:val="none"/>
              </w:rPr>
            </w:pPr>
            <w:r>
              <w:rPr>
                <w:rFonts w:hint="eastAsia"/>
                <w:szCs w:val="21"/>
                <w:highlight w:val="none"/>
              </w:rPr>
              <w:t>是否允许</w:t>
            </w:r>
            <w:r>
              <w:rPr>
                <w:rFonts w:hint="eastAsia"/>
                <w:szCs w:val="21"/>
                <w:highlight w:val="none"/>
              </w:rPr>
              <w:t>联合体投标</w:t>
            </w:r>
          </w:p>
        </w:tc>
        <w:tc>
          <w:tcPr>
            <w:tcW w:w="5209" w:type="dxa"/>
            <w:noWrap w:val="0"/>
            <w:vAlign w:val="center"/>
          </w:tcPr>
          <w:p w14:paraId="141607C6">
            <w:pPr>
              <w:rPr>
                <w:rFonts w:ascii="宋体" w:hAnsi="宋体" w:cs="微软雅黑" w:hint="eastAsia"/>
                <w:kern w:val="0"/>
                <w:szCs w:val="21"/>
                <w:highlight w:val="none"/>
              </w:rPr>
            </w:pPr>
            <w:bookmarkStart w:id="40" w:name="联合体投标_jointFlagText"/>
            <w:r>
              <w:rPr>
                <w:rFonts w:ascii="宋体" w:hAnsi="宋体" w:cs="微软雅黑" w:hint="eastAsia"/>
                <w:kern w:val="0"/>
                <w:szCs w:val="21"/>
                <w:highlight w:val="none"/>
              </w:rPr>
              <w:t>不允许</w:t>
            </w:r>
            <w:bookmarkEnd w:id="40"/>
          </w:p>
        </w:tc>
      </w:tr>
      <w:tr w14:paraId="72658ED4">
        <w:tblPrEx>
          <w:tblW w:w="0" w:type="auto"/>
          <w:tblInd w:w="0" w:type="dxa"/>
          <w:tblLayout w:type="fixed"/>
          <w:tblCellMar>
            <w:top w:w="0" w:type="dxa"/>
            <w:left w:w="108" w:type="dxa"/>
            <w:bottom w:w="0" w:type="dxa"/>
            <w:right w:w="108" w:type="dxa"/>
          </w:tblCellMar>
        </w:tblPrEx>
        <w:tc>
          <w:tcPr>
            <w:tcW w:w="675" w:type="dxa"/>
            <w:noWrap w:val="0"/>
            <w:vAlign w:val="center"/>
          </w:tcPr>
          <w:p w14:paraId="71F7AAA1">
            <w:pPr>
              <w:rPr>
                <w:szCs w:val="21"/>
                <w:highlight w:val="none"/>
              </w:rPr>
            </w:pPr>
            <w:r>
              <w:rPr>
                <w:rFonts w:hint="eastAsia"/>
                <w:szCs w:val="21"/>
                <w:highlight w:val="none"/>
              </w:rPr>
              <w:t>5.7</w:t>
            </w:r>
          </w:p>
        </w:tc>
        <w:tc>
          <w:tcPr>
            <w:tcW w:w="1418" w:type="dxa"/>
            <w:noWrap w:val="0"/>
            <w:vAlign w:val="center"/>
          </w:tcPr>
          <w:p w14:paraId="28F064DB">
            <w:pPr>
              <w:rPr>
                <w:szCs w:val="21"/>
                <w:highlight w:val="none"/>
              </w:rPr>
            </w:pPr>
            <w:r>
              <w:rPr>
                <w:rFonts w:hint="eastAsia"/>
                <w:szCs w:val="21"/>
                <w:highlight w:val="none"/>
              </w:rPr>
              <w:t>1.3.7</w:t>
            </w:r>
          </w:p>
        </w:tc>
        <w:tc>
          <w:tcPr>
            <w:tcW w:w="1701" w:type="dxa"/>
            <w:noWrap w:val="0"/>
            <w:vAlign w:val="center"/>
          </w:tcPr>
          <w:p w14:paraId="6D3E0451">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9CC0DDE">
            <w:pPr>
              <w:rPr>
                <w:rFonts w:asciiTheme="minorEastAsia" w:hAnsiTheme="minorEastAsia" w:cstheme="minorEastAsia" w:hint="eastAsia"/>
                <w:kern w:val="0"/>
                <w:szCs w:val="21"/>
                <w:highlight w:val="none"/>
              </w:rPr>
            </w:pPr>
            <w:bookmarkStart w:id="41" w:name="许可证_exclusiveLicenseFlagText"/>
            <w:r>
              <w:rPr>
                <w:rFonts w:asciiTheme="minorEastAsia" w:eastAsiaTheme="minorEastAsia" w:hAnsiTheme="minorEastAsia" w:cstheme="minorEastAsia" w:hint="eastAsia"/>
                <w:kern w:val="0"/>
                <w:szCs w:val="21"/>
                <w:highlight w:val="none"/>
              </w:rPr>
              <w:t>必须，以下产品需要提供至响应截止日仍有效的《气象专用技术装备使用许可证》：光谱吸收法大气二氧化碳/甲烷高精度分析仪</w:t>
            </w:r>
            <w:bookmarkEnd w:id="41"/>
          </w:p>
        </w:tc>
      </w:tr>
      <w:tr w14:paraId="05B6A43B">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1C355B0">
            <w:pPr>
              <w:rPr>
                <w:szCs w:val="21"/>
                <w:highlight w:val="none"/>
              </w:rPr>
            </w:pPr>
            <w:r>
              <w:rPr>
                <w:rFonts w:hint="eastAsia"/>
                <w:szCs w:val="21"/>
                <w:highlight w:val="none"/>
              </w:rPr>
              <w:t>5.8</w:t>
            </w:r>
          </w:p>
        </w:tc>
        <w:tc>
          <w:tcPr>
            <w:tcW w:w="1418" w:type="dxa"/>
            <w:noWrap w:val="0"/>
            <w:vAlign w:val="center"/>
          </w:tcPr>
          <w:p w14:paraId="0FE1651F">
            <w:pPr>
              <w:rPr>
                <w:szCs w:val="21"/>
                <w:highlight w:val="none"/>
              </w:rPr>
            </w:pPr>
            <w:r>
              <w:rPr>
                <w:rFonts w:hint="eastAsia"/>
                <w:szCs w:val="21"/>
                <w:highlight w:val="none"/>
              </w:rPr>
              <w:t>1.4.1</w:t>
            </w:r>
          </w:p>
        </w:tc>
        <w:tc>
          <w:tcPr>
            <w:tcW w:w="1701" w:type="dxa"/>
            <w:noWrap w:val="0"/>
            <w:vAlign w:val="center"/>
          </w:tcPr>
          <w:p w14:paraId="7640597D">
            <w:pPr>
              <w:rPr>
                <w:szCs w:val="21"/>
                <w:highlight w:val="none"/>
              </w:rPr>
            </w:pPr>
            <w:r>
              <w:rPr>
                <w:rFonts w:hint="eastAsia"/>
                <w:szCs w:val="21"/>
                <w:highlight w:val="none"/>
              </w:rPr>
              <w:t>是否允许进口产品投标</w:t>
            </w:r>
          </w:p>
        </w:tc>
        <w:tc>
          <w:tcPr>
            <w:tcW w:w="5209" w:type="dxa"/>
            <w:noWrap w:val="0"/>
            <w:vAlign w:val="center"/>
          </w:tcPr>
          <w:p w14:paraId="3DB3AC5C">
            <w:pPr>
              <w:rPr>
                <w:rFonts w:asciiTheme="minorEastAsia" w:hAnsiTheme="minorEastAsia" w:cstheme="minorEastAsia" w:hint="eastAsia"/>
                <w:kern w:val="0"/>
                <w:szCs w:val="21"/>
                <w:highlight w:val="none"/>
              </w:rPr>
            </w:pPr>
            <w:bookmarkStart w:id="42" w:name="进口产品投标_entranceFlagText"/>
            <w:r>
              <w:rPr>
                <w:rFonts w:asciiTheme="minorEastAsia" w:eastAsiaTheme="minorEastAsia" w:hAnsiTheme="minorEastAsia" w:cstheme="minorEastAsia" w:hint="eastAsia"/>
                <w:kern w:val="0"/>
                <w:szCs w:val="21"/>
                <w:highlight w:val="none"/>
              </w:rPr>
              <w:t>不允许</w:t>
            </w:r>
            <w:bookmarkEnd w:id="42"/>
          </w:p>
        </w:tc>
      </w:tr>
      <w:tr w14:paraId="119B9F0A">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6B52CB4D">
            <w:pPr>
              <w:rPr>
                <w:rFonts w:hint="eastAsia"/>
                <w:szCs w:val="21"/>
                <w:highlight w:val="none"/>
              </w:rPr>
            </w:pPr>
            <w:r>
              <w:rPr>
                <w:rFonts w:hint="eastAsia"/>
                <w:szCs w:val="21"/>
                <w:highlight w:val="none"/>
              </w:rPr>
              <w:t>5.9</w:t>
            </w:r>
          </w:p>
        </w:tc>
        <w:tc>
          <w:tcPr>
            <w:tcW w:w="1418" w:type="dxa"/>
            <w:noWrap w:val="0"/>
            <w:vAlign w:val="center"/>
          </w:tcPr>
          <w:p w14:paraId="02B4613B">
            <w:pPr>
              <w:rPr>
                <w:rFonts w:hint="eastAsia"/>
                <w:szCs w:val="21"/>
                <w:highlight w:val="none"/>
              </w:rPr>
            </w:pPr>
            <w:r>
              <w:rPr>
                <w:rFonts w:hint="eastAsia"/>
                <w:szCs w:val="21"/>
                <w:highlight w:val="none"/>
              </w:rPr>
              <w:t>1.5.1</w:t>
            </w:r>
          </w:p>
        </w:tc>
        <w:tc>
          <w:tcPr>
            <w:tcW w:w="1701" w:type="dxa"/>
            <w:noWrap w:val="0"/>
            <w:vAlign w:val="center"/>
          </w:tcPr>
          <w:p w14:paraId="2F7B8FDB">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75D93B4">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标的：光谱吸收法大气二氧化碳/甲烷高精度分析仪，属于工业</w:t>
            </w:r>
            <w:bookmarkEnd w:id="43"/>
          </w:p>
        </w:tc>
      </w:tr>
      <w:tr w14:paraId="4AA34D70">
        <w:tblPrEx>
          <w:tblW w:w="0" w:type="auto"/>
          <w:tblInd w:w="0" w:type="dxa"/>
          <w:tblLayout w:type="fixed"/>
          <w:tblCellMar>
            <w:top w:w="0" w:type="dxa"/>
            <w:left w:w="108" w:type="dxa"/>
            <w:bottom w:w="0" w:type="dxa"/>
            <w:right w:w="108" w:type="dxa"/>
          </w:tblCellMar>
        </w:tblPrEx>
        <w:tc>
          <w:tcPr>
            <w:tcW w:w="675" w:type="dxa"/>
            <w:noWrap w:val="0"/>
            <w:vAlign w:val="center"/>
          </w:tcPr>
          <w:p w14:paraId="55FFE70E">
            <w:pPr>
              <w:rPr>
                <w:rFonts w:hint="eastAsia"/>
                <w:szCs w:val="21"/>
                <w:highlight w:val="none"/>
              </w:rPr>
            </w:pPr>
            <w:r>
              <w:rPr>
                <w:rFonts w:hint="eastAsia"/>
                <w:szCs w:val="21"/>
                <w:highlight w:val="none"/>
              </w:rPr>
              <w:t>5.10</w:t>
            </w:r>
          </w:p>
        </w:tc>
        <w:tc>
          <w:tcPr>
            <w:tcW w:w="1418" w:type="dxa"/>
            <w:noWrap w:val="0"/>
            <w:vAlign w:val="center"/>
          </w:tcPr>
          <w:p w14:paraId="7FF4B43E">
            <w:pPr>
              <w:jc w:val="left"/>
              <w:rPr>
                <w:rFonts w:hint="eastAsia"/>
                <w:szCs w:val="21"/>
                <w:highlight w:val="none"/>
              </w:rPr>
            </w:pPr>
            <w:r>
              <w:rPr>
                <w:rFonts w:hint="eastAsia"/>
                <w:szCs w:val="21"/>
                <w:highlight w:val="none"/>
              </w:rPr>
              <w:t>1.5.3</w:t>
            </w:r>
          </w:p>
        </w:tc>
        <w:tc>
          <w:tcPr>
            <w:tcW w:w="1701" w:type="dxa"/>
            <w:noWrap w:val="0"/>
            <w:vAlign w:val="center"/>
          </w:tcPr>
          <w:p w14:paraId="4B71D2CE">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70DD74C4">
            <w:pPr>
              <w:rPr>
                <w:rFonts w:ascii="宋体" w:hAnsi="宋体" w:cs="微软雅黑" w:hint="eastAsia"/>
                <w:kern w:val="0"/>
                <w:szCs w:val="21"/>
                <w:highlight w:val="none"/>
              </w:rPr>
            </w:pPr>
            <w:bookmarkStart w:id="44" w:name="中小企业_minorEnterprisesFlagText"/>
            <w:r>
              <w:rPr>
                <w:rFonts w:ascii="Wingdings 2" w:hAnsi="Wingdings 2" w:cs="微软雅黑" w:hint="eastAsia"/>
                <w:kern w:val="0"/>
                <w:szCs w:val="21"/>
                <w:highlight w:val="none"/>
                <w:lang w:eastAsia="zh-CN"/>
              </w:rPr>
              <w:t>否</w:t>
            </w:r>
            <w:bookmarkEnd w:id="44"/>
          </w:p>
        </w:tc>
      </w:tr>
      <w:tr w14:paraId="0E2D708E">
        <w:tblPrEx>
          <w:tblW w:w="0" w:type="auto"/>
          <w:tblInd w:w="0" w:type="dxa"/>
          <w:tblLayout w:type="fixed"/>
          <w:tblCellMar>
            <w:top w:w="0" w:type="dxa"/>
            <w:left w:w="108" w:type="dxa"/>
            <w:bottom w:w="0" w:type="dxa"/>
            <w:right w:w="108" w:type="dxa"/>
          </w:tblCellMar>
        </w:tblPrEx>
        <w:tc>
          <w:tcPr>
            <w:tcW w:w="675" w:type="dxa"/>
            <w:noWrap w:val="0"/>
            <w:vAlign w:val="center"/>
          </w:tcPr>
          <w:p w14:paraId="153223EC">
            <w:pPr>
              <w:rPr>
                <w:szCs w:val="21"/>
                <w:highlight w:val="none"/>
              </w:rPr>
            </w:pPr>
            <w:r>
              <w:rPr>
                <w:rFonts w:hint="eastAsia"/>
                <w:szCs w:val="21"/>
                <w:highlight w:val="none"/>
              </w:rPr>
              <w:t>5.11</w:t>
            </w:r>
          </w:p>
        </w:tc>
        <w:tc>
          <w:tcPr>
            <w:tcW w:w="1418" w:type="dxa"/>
            <w:noWrap w:val="0"/>
            <w:vAlign w:val="center"/>
          </w:tcPr>
          <w:p w14:paraId="6F56CB59">
            <w:pPr>
              <w:rPr>
                <w:szCs w:val="21"/>
                <w:highlight w:val="none"/>
              </w:rPr>
            </w:pPr>
            <w:r>
              <w:rPr>
                <w:rFonts w:hint="eastAsia"/>
                <w:szCs w:val="21"/>
                <w:highlight w:val="none"/>
              </w:rPr>
              <w:t>1.9.2</w:t>
            </w:r>
          </w:p>
        </w:tc>
        <w:tc>
          <w:tcPr>
            <w:tcW w:w="1701" w:type="dxa"/>
            <w:noWrap w:val="0"/>
            <w:vAlign w:val="center"/>
          </w:tcPr>
          <w:p w14:paraId="777083AF">
            <w:pPr>
              <w:rPr>
                <w:szCs w:val="21"/>
                <w:highlight w:val="none"/>
              </w:rPr>
            </w:pPr>
            <w:r>
              <w:rPr>
                <w:rFonts w:hint="eastAsia"/>
                <w:szCs w:val="21"/>
                <w:highlight w:val="none"/>
              </w:rPr>
              <w:t>中标人是否</w:t>
            </w:r>
            <w:r>
              <w:rPr>
                <w:rFonts w:hint="eastAsia"/>
                <w:szCs w:val="21"/>
                <w:highlight w:val="none"/>
              </w:rPr>
              <w:t>需要</w:t>
            </w:r>
            <w:r>
              <w:rPr>
                <w:rFonts w:hint="eastAsia"/>
                <w:szCs w:val="21"/>
                <w:highlight w:val="none"/>
              </w:rPr>
              <w:t>交纳</w:t>
            </w:r>
            <w:r>
              <w:rPr>
                <w:rFonts w:hint="eastAsia"/>
                <w:szCs w:val="21"/>
                <w:highlight w:val="none"/>
              </w:rPr>
              <w:t>代理服务费</w:t>
            </w:r>
          </w:p>
        </w:tc>
        <w:tc>
          <w:tcPr>
            <w:tcW w:w="5209" w:type="dxa"/>
            <w:noWrap w:val="0"/>
            <w:vAlign w:val="center"/>
          </w:tcPr>
          <w:p w14:paraId="4A7F98C0">
            <w:pPr>
              <w:rPr>
                <w:rFonts w:hint="eastAsia"/>
                <w:highlight w:val="none"/>
              </w:rPr>
            </w:pPr>
            <w:bookmarkStart w:id="45" w:name="中标服务费_finalAmountText"/>
            <w:r>
              <w:rPr>
                <w:rFonts w:hint="eastAsia"/>
                <w:highlight w:val="none"/>
                <w:lang w:eastAsia="zh-CN"/>
              </w:rPr>
              <w:t>是，中标服务费：8.4万元。</w:t>
            </w:r>
            <w:bookmarkEnd w:id="45"/>
            <w:r>
              <w:rPr>
                <w:rFonts w:ascii="宋体" w:hAnsi="宋体" w:cs="微软雅黑" w:hint="eastAsia"/>
                <w:kern w:val="0"/>
                <w:szCs w:val="21"/>
                <w:highlight w:val="none"/>
              </w:rPr>
              <w:t xml:space="preserve"> </w:t>
            </w:r>
          </w:p>
        </w:tc>
      </w:tr>
      <w:tr w14:paraId="7EF8D7B4">
        <w:tblPrEx>
          <w:tblW w:w="0" w:type="auto"/>
          <w:tblInd w:w="0" w:type="dxa"/>
          <w:tblLayout w:type="fixed"/>
          <w:tblCellMar>
            <w:top w:w="0" w:type="dxa"/>
            <w:left w:w="108" w:type="dxa"/>
            <w:bottom w:w="0" w:type="dxa"/>
            <w:right w:w="108" w:type="dxa"/>
          </w:tblCellMar>
        </w:tblPrEx>
        <w:tc>
          <w:tcPr>
            <w:tcW w:w="675" w:type="dxa"/>
            <w:noWrap w:val="0"/>
            <w:vAlign w:val="center"/>
          </w:tcPr>
          <w:p w14:paraId="75562179">
            <w:pPr>
              <w:rPr>
                <w:szCs w:val="21"/>
                <w:highlight w:val="none"/>
              </w:rPr>
            </w:pPr>
            <w:r>
              <w:rPr>
                <w:rFonts w:hint="eastAsia"/>
                <w:szCs w:val="21"/>
                <w:highlight w:val="none"/>
              </w:rPr>
              <w:t>5.12</w:t>
            </w:r>
          </w:p>
        </w:tc>
        <w:tc>
          <w:tcPr>
            <w:tcW w:w="1418" w:type="dxa"/>
            <w:noWrap w:val="0"/>
            <w:vAlign w:val="center"/>
          </w:tcPr>
          <w:p w14:paraId="0C53CE63">
            <w:pPr>
              <w:rPr>
                <w:szCs w:val="21"/>
                <w:highlight w:val="none"/>
              </w:rPr>
            </w:pPr>
            <w:r>
              <w:rPr>
                <w:rFonts w:hint="eastAsia"/>
                <w:szCs w:val="21"/>
                <w:highlight w:val="none"/>
              </w:rPr>
              <w:t>1.12.7</w:t>
            </w:r>
          </w:p>
        </w:tc>
        <w:tc>
          <w:tcPr>
            <w:tcW w:w="1701" w:type="dxa"/>
            <w:noWrap w:val="0"/>
            <w:vAlign w:val="center"/>
          </w:tcPr>
          <w:p w14:paraId="7200CDE2">
            <w:pPr>
              <w:rPr>
                <w:szCs w:val="21"/>
                <w:highlight w:val="none"/>
              </w:rPr>
            </w:pPr>
            <w:r>
              <w:rPr>
                <w:rFonts w:hint="eastAsia"/>
                <w:szCs w:val="21"/>
                <w:highlight w:val="none"/>
              </w:rPr>
              <w:t>是否组织现场考察或开标前答疑会</w:t>
            </w:r>
          </w:p>
        </w:tc>
        <w:tc>
          <w:tcPr>
            <w:tcW w:w="5209" w:type="dxa"/>
            <w:noWrap w:val="0"/>
            <w:vAlign w:val="center"/>
          </w:tcPr>
          <w:p w14:paraId="785E60C0">
            <w:pPr>
              <w:rPr>
                <w:rFonts w:ascii="宋体" w:hAnsi="宋体" w:cs="微软雅黑" w:hint="eastAsia"/>
                <w:kern w:val="0"/>
                <w:szCs w:val="21"/>
                <w:highlight w:val="none"/>
              </w:rPr>
            </w:pPr>
            <w:bookmarkStart w:id="46" w:name="答疑会_answeringQuestionFlagText"/>
            <w:r>
              <w:rPr>
                <w:rFonts w:ascii="宋体" w:hAnsi="宋体" w:cs="微软雅黑" w:hint="eastAsia"/>
                <w:kern w:val="0"/>
                <w:szCs w:val="21"/>
                <w:highlight w:val="none"/>
              </w:rPr>
              <w:t>否</w:t>
            </w:r>
            <w:bookmarkEnd w:id="46"/>
          </w:p>
        </w:tc>
      </w:tr>
      <w:tr w14:paraId="4A07345C">
        <w:tblPrEx>
          <w:tblW w:w="0" w:type="auto"/>
          <w:tblInd w:w="0" w:type="dxa"/>
          <w:tblLayout w:type="fixed"/>
          <w:tblCellMar>
            <w:top w:w="0" w:type="dxa"/>
            <w:left w:w="108" w:type="dxa"/>
            <w:bottom w:w="0" w:type="dxa"/>
            <w:right w:w="108" w:type="dxa"/>
          </w:tblCellMar>
        </w:tblPrEx>
        <w:tc>
          <w:tcPr>
            <w:tcW w:w="675" w:type="dxa"/>
            <w:noWrap w:val="0"/>
            <w:vAlign w:val="center"/>
          </w:tcPr>
          <w:p w14:paraId="180BEA5C">
            <w:pPr>
              <w:rPr>
                <w:szCs w:val="21"/>
                <w:highlight w:val="none"/>
              </w:rPr>
            </w:pPr>
            <w:r>
              <w:rPr>
                <w:rFonts w:hint="eastAsia"/>
                <w:szCs w:val="21"/>
                <w:highlight w:val="none"/>
              </w:rPr>
              <w:t>5.13</w:t>
            </w:r>
          </w:p>
        </w:tc>
        <w:tc>
          <w:tcPr>
            <w:tcW w:w="1418" w:type="dxa"/>
            <w:noWrap w:val="0"/>
            <w:vAlign w:val="center"/>
          </w:tcPr>
          <w:p w14:paraId="78B4CC0C">
            <w:pPr>
              <w:rPr>
                <w:szCs w:val="21"/>
                <w:highlight w:val="none"/>
              </w:rPr>
            </w:pPr>
            <w:r>
              <w:rPr>
                <w:rFonts w:hint="eastAsia"/>
                <w:szCs w:val="21"/>
                <w:highlight w:val="none"/>
              </w:rPr>
              <w:t>1.14.2、1.14.3</w:t>
            </w:r>
          </w:p>
        </w:tc>
        <w:tc>
          <w:tcPr>
            <w:tcW w:w="1701" w:type="dxa"/>
            <w:noWrap w:val="0"/>
            <w:vAlign w:val="center"/>
          </w:tcPr>
          <w:p w14:paraId="7C03FEC3">
            <w:pPr>
              <w:rPr>
                <w:szCs w:val="21"/>
                <w:highlight w:val="none"/>
              </w:rPr>
            </w:pPr>
            <w:r>
              <w:rPr>
                <w:rFonts w:hint="eastAsia"/>
                <w:szCs w:val="21"/>
                <w:highlight w:val="none"/>
              </w:rPr>
              <w:t>投标人应提交其他商务文件和技术文件</w:t>
            </w:r>
          </w:p>
        </w:tc>
        <w:tc>
          <w:tcPr>
            <w:tcW w:w="5209" w:type="dxa"/>
            <w:noWrap w:val="0"/>
            <w:vAlign w:val="center"/>
          </w:tcPr>
          <w:p w14:paraId="1FB06187">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1B0D1566">
            <w:pPr>
              <w:rPr>
                <w:rFonts w:hint="default"/>
                <w:kern w:val="0"/>
                <w:szCs w:val="21"/>
                <w:highlight w:val="none"/>
              </w:rPr>
            </w:pPr>
            <w:r>
              <w:rPr>
                <w:rFonts w:hint="eastAsia"/>
                <w:kern w:val="0"/>
                <w:szCs w:val="21"/>
                <w:highlight w:val="none"/>
                <w:lang w:val="en-US" w:eastAsia="zh-CN"/>
              </w:rPr>
              <w:t>无</w:t>
            </w:r>
          </w:p>
        </w:tc>
      </w:tr>
      <w:tr w14:paraId="1FE536D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CFE66C5">
            <w:pPr>
              <w:rPr>
                <w:szCs w:val="21"/>
                <w:highlight w:val="none"/>
              </w:rPr>
            </w:pPr>
            <w:r>
              <w:rPr>
                <w:rFonts w:hint="eastAsia"/>
                <w:szCs w:val="21"/>
                <w:highlight w:val="none"/>
              </w:rPr>
              <w:t>5.14</w:t>
            </w:r>
          </w:p>
        </w:tc>
        <w:tc>
          <w:tcPr>
            <w:tcW w:w="1418" w:type="dxa"/>
            <w:noWrap w:val="0"/>
            <w:vAlign w:val="center"/>
          </w:tcPr>
          <w:p w14:paraId="6D01F031">
            <w:pPr>
              <w:rPr>
                <w:szCs w:val="21"/>
                <w:highlight w:val="none"/>
              </w:rPr>
            </w:pPr>
            <w:r>
              <w:rPr>
                <w:rFonts w:hint="eastAsia"/>
                <w:szCs w:val="21"/>
                <w:highlight w:val="none"/>
              </w:rPr>
              <w:t>1.16.1</w:t>
            </w:r>
          </w:p>
        </w:tc>
        <w:tc>
          <w:tcPr>
            <w:tcW w:w="1701" w:type="dxa"/>
            <w:noWrap w:val="0"/>
            <w:vAlign w:val="center"/>
          </w:tcPr>
          <w:p w14:paraId="78E54506">
            <w:pPr>
              <w:rPr>
                <w:szCs w:val="21"/>
                <w:highlight w:val="none"/>
              </w:rPr>
            </w:pPr>
            <w:r>
              <w:rPr>
                <w:rFonts w:hint="eastAsia"/>
                <w:szCs w:val="21"/>
                <w:highlight w:val="none"/>
              </w:rPr>
              <w:t>本次招标是否需要提交投标保证金</w:t>
            </w:r>
          </w:p>
        </w:tc>
        <w:tc>
          <w:tcPr>
            <w:tcW w:w="5209" w:type="dxa"/>
            <w:noWrap w:val="0"/>
            <w:vAlign w:val="center"/>
          </w:tcPr>
          <w:p w14:paraId="0D8F3B95">
            <w:pPr>
              <w:rPr>
                <w:rFonts w:asciiTheme="minorEastAsia" w:hAnsiTheme="minorEastAsia" w:cstheme="minorEastAsia" w:hint="eastAsia"/>
                <w:kern w:val="0"/>
                <w:szCs w:val="21"/>
                <w:highlight w:val="none"/>
              </w:rPr>
            </w:pPr>
            <w:bookmarkStart w:id="47" w:name="标保证金_bailFlagText"/>
            <w:r>
              <w:rPr>
                <w:rFonts w:asciiTheme="minorEastAsia" w:eastAsiaTheme="minorEastAsia" w:hAnsiTheme="minorEastAsia" w:cstheme="minorEastAsia" w:hint="eastAsia"/>
                <w:kern w:val="0"/>
                <w:szCs w:val="21"/>
                <w:highlight w:val="none"/>
              </w:rPr>
              <w:t>否</w:t>
            </w:r>
            <w:bookmarkEnd w:id="47"/>
          </w:p>
        </w:tc>
      </w:tr>
      <w:tr w14:paraId="4F4736A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6B7A38B">
            <w:pPr>
              <w:rPr>
                <w:rFonts w:hint="eastAsia"/>
                <w:szCs w:val="21"/>
                <w:highlight w:val="none"/>
              </w:rPr>
            </w:pPr>
            <w:r>
              <w:rPr>
                <w:rFonts w:hint="eastAsia"/>
                <w:szCs w:val="21"/>
                <w:highlight w:val="none"/>
              </w:rPr>
              <w:t>5.15</w:t>
            </w:r>
          </w:p>
        </w:tc>
        <w:tc>
          <w:tcPr>
            <w:tcW w:w="1418" w:type="dxa"/>
            <w:noWrap w:val="0"/>
            <w:vAlign w:val="center"/>
          </w:tcPr>
          <w:p w14:paraId="577C2552">
            <w:pPr>
              <w:rPr>
                <w:rFonts w:hint="eastAsia"/>
                <w:szCs w:val="21"/>
                <w:highlight w:val="none"/>
              </w:rPr>
            </w:pPr>
            <w:r>
              <w:rPr>
                <w:rFonts w:hint="eastAsia"/>
                <w:szCs w:val="21"/>
                <w:highlight w:val="none"/>
              </w:rPr>
              <w:t>1.17.2</w:t>
            </w:r>
          </w:p>
        </w:tc>
        <w:tc>
          <w:tcPr>
            <w:tcW w:w="1701" w:type="dxa"/>
            <w:noWrap w:val="0"/>
            <w:vAlign w:val="center"/>
          </w:tcPr>
          <w:p w14:paraId="4F147608">
            <w:pPr>
              <w:rPr>
                <w:rFonts w:hint="eastAsia"/>
                <w:szCs w:val="21"/>
                <w:highlight w:val="none"/>
              </w:rPr>
            </w:pPr>
            <w:r>
              <w:rPr>
                <w:rFonts w:hint="eastAsia"/>
                <w:szCs w:val="21"/>
                <w:highlight w:val="none"/>
              </w:rPr>
              <w:t>项目预算</w:t>
            </w:r>
          </w:p>
        </w:tc>
        <w:tc>
          <w:tcPr>
            <w:tcW w:w="5209" w:type="dxa"/>
            <w:noWrap w:val="0"/>
            <w:vAlign w:val="center"/>
          </w:tcPr>
          <w:p w14:paraId="2420037D">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48" w:name="预算金额_budgetAmount"/>
            <w:r>
              <w:rPr>
                <w:rFonts w:ascii="宋体" w:hAnsi="宋体" w:cs="微软雅黑" w:hint="eastAsia"/>
                <w:kern w:val="0"/>
                <w:szCs w:val="21"/>
                <w:highlight w:val="none"/>
              </w:rPr>
              <w:t>1,565.200000</w:t>
            </w:r>
            <w:bookmarkEnd w:id="48"/>
            <w:r>
              <w:rPr>
                <w:rFonts w:ascii="宋体" w:hAnsi="宋体" w:cs="微软雅黑" w:hint="eastAsia"/>
                <w:kern w:val="0"/>
                <w:szCs w:val="21"/>
                <w:highlight w:val="none"/>
              </w:rPr>
              <w:t>万元</w:t>
            </w:r>
            <w:r>
              <w:rPr>
                <w:rFonts w:hint="eastAsia"/>
                <w:szCs w:val="21"/>
                <w:highlight w:val="none"/>
              </w:rPr>
              <w:t>。</w:t>
            </w:r>
          </w:p>
        </w:tc>
      </w:tr>
      <w:tr w14:paraId="6A74C0B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903F3EC">
            <w:pPr>
              <w:rPr>
                <w:szCs w:val="21"/>
                <w:highlight w:val="none"/>
              </w:rPr>
            </w:pPr>
            <w:r>
              <w:rPr>
                <w:rFonts w:hint="eastAsia"/>
                <w:szCs w:val="21"/>
                <w:highlight w:val="none"/>
              </w:rPr>
              <w:t>5.16</w:t>
            </w:r>
          </w:p>
        </w:tc>
        <w:tc>
          <w:tcPr>
            <w:tcW w:w="1418" w:type="dxa"/>
            <w:noWrap w:val="0"/>
            <w:vAlign w:val="center"/>
          </w:tcPr>
          <w:p w14:paraId="6ED4BE69">
            <w:pPr>
              <w:rPr>
                <w:szCs w:val="21"/>
                <w:highlight w:val="none"/>
              </w:rPr>
            </w:pPr>
            <w:r>
              <w:rPr>
                <w:rFonts w:hint="eastAsia"/>
                <w:szCs w:val="21"/>
                <w:highlight w:val="none"/>
              </w:rPr>
              <w:t>1.18.1</w:t>
            </w:r>
          </w:p>
        </w:tc>
        <w:tc>
          <w:tcPr>
            <w:tcW w:w="1701" w:type="dxa"/>
            <w:noWrap w:val="0"/>
            <w:vAlign w:val="center"/>
          </w:tcPr>
          <w:p w14:paraId="16EFE623">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2505C6D2">
            <w:pPr>
              <w:rPr>
                <w:rFonts w:ascii="宋体" w:hAnsi="宋体" w:cs="微软雅黑" w:hint="eastAsia"/>
                <w:kern w:val="0"/>
                <w:szCs w:val="21"/>
                <w:highlight w:val="none"/>
              </w:rPr>
            </w:pPr>
            <w:bookmarkStart w:id="49" w:name="关键性工作_entrustingOthersFlagText"/>
            <w:r>
              <w:rPr>
                <w:rFonts w:ascii="Wingdings 2" w:hAnsi="Wingdings 2" w:cs="微软雅黑"/>
                <w:kern w:val="0"/>
                <w:szCs w:val="21"/>
                <w:highlight w:val="none"/>
              </w:rPr>
              <w:t>不允许</w:t>
            </w:r>
            <w:bookmarkEnd w:id="49"/>
          </w:p>
        </w:tc>
      </w:tr>
      <w:tr w14:paraId="700D1F71">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5400EF5E">
            <w:pPr>
              <w:rPr>
                <w:szCs w:val="21"/>
                <w:highlight w:val="none"/>
              </w:rPr>
            </w:pPr>
            <w:r>
              <w:rPr>
                <w:rFonts w:hint="eastAsia"/>
                <w:szCs w:val="21"/>
                <w:highlight w:val="none"/>
              </w:rPr>
              <w:t>5.17</w:t>
            </w:r>
          </w:p>
        </w:tc>
        <w:tc>
          <w:tcPr>
            <w:tcW w:w="1418" w:type="dxa"/>
            <w:noWrap w:val="0"/>
            <w:vAlign w:val="center"/>
          </w:tcPr>
          <w:p w14:paraId="102F8482">
            <w:pPr>
              <w:rPr>
                <w:szCs w:val="21"/>
                <w:highlight w:val="none"/>
              </w:rPr>
            </w:pPr>
            <w:r>
              <w:rPr>
                <w:rFonts w:hint="eastAsia"/>
                <w:szCs w:val="21"/>
                <w:highlight w:val="none"/>
              </w:rPr>
              <w:t>1.20.1</w:t>
            </w:r>
          </w:p>
        </w:tc>
        <w:tc>
          <w:tcPr>
            <w:tcW w:w="1701" w:type="dxa"/>
            <w:noWrap w:val="0"/>
            <w:vAlign w:val="center"/>
          </w:tcPr>
          <w:p w14:paraId="2142F596">
            <w:pPr>
              <w:rPr>
                <w:szCs w:val="21"/>
                <w:highlight w:val="none"/>
              </w:rPr>
            </w:pPr>
            <w:r>
              <w:rPr>
                <w:rFonts w:hint="eastAsia"/>
                <w:szCs w:val="21"/>
                <w:highlight w:val="none"/>
              </w:rPr>
              <w:t>投标有效期</w:t>
            </w:r>
          </w:p>
        </w:tc>
        <w:tc>
          <w:tcPr>
            <w:tcW w:w="5209" w:type="dxa"/>
            <w:noWrap w:val="0"/>
            <w:vAlign w:val="center"/>
          </w:tcPr>
          <w:p w14:paraId="0CF0F5AF">
            <w:pPr>
              <w:rPr>
                <w:szCs w:val="21"/>
                <w:highlight w:val="none"/>
              </w:rPr>
            </w:pPr>
            <w:bookmarkStart w:id="50" w:name="投标有效期_bidExpirationDate"/>
            <w:r>
              <w:rPr>
                <w:rFonts w:ascii="宋体" w:hAnsi="宋体" w:cs="微软雅黑" w:hint="eastAsia"/>
                <w:kern w:val="0"/>
                <w:szCs w:val="21"/>
                <w:highlight w:val="none"/>
              </w:rPr>
              <w:t>120日历天</w:t>
            </w:r>
            <w:bookmarkEnd w:id="50"/>
          </w:p>
        </w:tc>
      </w:tr>
      <w:tr w14:paraId="7CB19648">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603C6CC8">
            <w:pPr>
              <w:rPr>
                <w:rFonts w:hint="eastAsia"/>
                <w:szCs w:val="21"/>
                <w:highlight w:val="none"/>
              </w:rPr>
            </w:pPr>
            <w:r>
              <w:rPr>
                <w:rFonts w:hint="eastAsia"/>
                <w:szCs w:val="21"/>
                <w:highlight w:val="none"/>
              </w:rPr>
              <w:t>5.18</w:t>
            </w:r>
          </w:p>
        </w:tc>
        <w:tc>
          <w:tcPr>
            <w:tcW w:w="1418" w:type="dxa"/>
            <w:noWrap w:val="0"/>
            <w:vAlign w:val="center"/>
          </w:tcPr>
          <w:p w14:paraId="3EA2D621">
            <w:pPr>
              <w:rPr>
                <w:rFonts w:hint="eastAsia"/>
                <w:szCs w:val="21"/>
                <w:highlight w:val="none"/>
              </w:rPr>
            </w:pPr>
            <w:r>
              <w:rPr>
                <w:rFonts w:hint="eastAsia"/>
                <w:szCs w:val="21"/>
                <w:highlight w:val="none"/>
              </w:rPr>
              <w:t>1.22.1、1.22.2</w:t>
            </w:r>
          </w:p>
        </w:tc>
        <w:tc>
          <w:tcPr>
            <w:tcW w:w="1701" w:type="dxa"/>
            <w:noWrap w:val="0"/>
            <w:vAlign w:val="center"/>
          </w:tcPr>
          <w:p w14:paraId="2306C8A3">
            <w:pPr>
              <w:rPr>
                <w:rFonts w:hint="eastAsia"/>
                <w:szCs w:val="21"/>
                <w:highlight w:val="none"/>
              </w:rPr>
            </w:pPr>
            <w:r>
              <w:rPr>
                <w:rFonts w:hint="eastAsia"/>
                <w:szCs w:val="21"/>
                <w:highlight w:val="none"/>
              </w:rPr>
              <w:t>投标文件递交</w:t>
            </w:r>
          </w:p>
        </w:tc>
        <w:tc>
          <w:tcPr>
            <w:tcW w:w="5209" w:type="dxa"/>
            <w:noWrap w:val="0"/>
            <w:vAlign w:val="center"/>
          </w:tcPr>
          <w:p w14:paraId="49666D48">
            <w:pPr>
              <w:adjustRightInd w:val="0"/>
              <w:snapToGrid w:val="0"/>
              <w:spacing w:line="360" w:lineRule="auto"/>
              <w:jc w:val="left"/>
              <w:rPr>
                <w:rFonts w:hint="eastAsia"/>
                <w:szCs w:val="21"/>
                <w:highlight w:val="none"/>
              </w:rPr>
            </w:pPr>
            <w:r>
              <w:rPr>
                <w:rFonts w:ascii="宋体" w:hAnsi="宋体" w:hint="eastAsia"/>
                <w:bCs/>
                <w:szCs w:val="21"/>
                <w:highlight w:val="none"/>
              </w:rPr>
              <w:t>除通过系统</w:t>
            </w:r>
            <w:r>
              <w:rPr>
                <w:rFonts w:ascii="宋体" w:cs="微软雅黑" w:hint="eastAsia"/>
                <w:szCs w:val="21"/>
                <w:highlight w:val="none"/>
              </w:rPr>
              <w:t>上传加密的电子投标文件外，同时在线下提供</w:t>
            </w:r>
            <w:r>
              <w:rPr>
                <w:rFonts w:ascii="宋体" w:hAnsi="宋体" w:hint="eastAsia"/>
                <w:bCs/>
                <w:szCs w:val="21"/>
                <w:highlight w:val="none"/>
              </w:rPr>
              <w:t>通过系统下载的投标文件电子版文件包（使用</w:t>
            </w:r>
            <w:r>
              <w:rPr>
                <w:rFonts w:hint="eastAsia"/>
                <w:bCs/>
                <w:highlight w:val="none"/>
              </w:rPr>
              <w:t>不可擦写的刻录光盘或其他只读存储介质）</w:t>
            </w:r>
          </w:p>
        </w:tc>
      </w:tr>
      <w:tr w14:paraId="4878925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261B1BC">
            <w:pPr>
              <w:rPr>
                <w:szCs w:val="21"/>
                <w:highlight w:val="none"/>
              </w:rPr>
            </w:pPr>
            <w:r>
              <w:rPr>
                <w:rFonts w:hint="eastAsia"/>
                <w:szCs w:val="21"/>
                <w:highlight w:val="none"/>
              </w:rPr>
              <w:t>5.19</w:t>
            </w:r>
          </w:p>
        </w:tc>
        <w:tc>
          <w:tcPr>
            <w:tcW w:w="1418" w:type="dxa"/>
            <w:noWrap w:val="0"/>
            <w:vAlign w:val="center"/>
          </w:tcPr>
          <w:p w14:paraId="7A332F9A">
            <w:pPr>
              <w:rPr>
                <w:szCs w:val="21"/>
                <w:highlight w:val="none"/>
              </w:rPr>
            </w:pPr>
            <w:r>
              <w:rPr>
                <w:rFonts w:hint="eastAsia"/>
                <w:szCs w:val="21"/>
                <w:highlight w:val="none"/>
              </w:rPr>
              <w:t>1.26.2</w:t>
            </w:r>
          </w:p>
        </w:tc>
        <w:tc>
          <w:tcPr>
            <w:tcW w:w="1701" w:type="dxa"/>
            <w:noWrap w:val="0"/>
            <w:vAlign w:val="center"/>
          </w:tcPr>
          <w:p w14:paraId="738FECCB">
            <w:pPr>
              <w:rPr>
                <w:szCs w:val="21"/>
                <w:highlight w:val="none"/>
              </w:rPr>
            </w:pPr>
            <w:r>
              <w:rPr>
                <w:rFonts w:hint="eastAsia"/>
                <w:szCs w:val="21"/>
                <w:highlight w:val="none"/>
              </w:rPr>
              <w:t>是否进行述标</w:t>
            </w:r>
          </w:p>
        </w:tc>
        <w:tc>
          <w:tcPr>
            <w:tcW w:w="5209" w:type="dxa"/>
            <w:noWrap w:val="0"/>
            <w:vAlign w:val="center"/>
          </w:tcPr>
          <w:p w14:paraId="0EB66B35">
            <w:pPr>
              <w:rPr>
                <w:rFonts w:ascii="宋体" w:hAnsi="宋体" w:cs="微软雅黑" w:hint="eastAsia"/>
                <w:kern w:val="0"/>
                <w:szCs w:val="21"/>
                <w:highlight w:val="none"/>
              </w:rPr>
            </w:pPr>
            <w:bookmarkStart w:id="51" w:name="进行述标_describeStandardFlagText"/>
            <w:r>
              <w:rPr>
                <w:rFonts w:ascii="宋体" w:hAnsi="宋体" w:cs="微软雅黑" w:hint="eastAsia"/>
                <w:kern w:val="0"/>
                <w:szCs w:val="21"/>
                <w:highlight w:val="none"/>
              </w:rPr>
              <w:t>否</w:t>
            </w:r>
            <w:bookmarkEnd w:id="51"/>
          </w:p>
        </w:tc>
      </w:tr>
      <w:tr w14:paraId="6776245D">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F072FDE">
            <w:pPr>
              <w:rPr>
                <w:rFonts w:hint="eastAsia"/>
                <w:szCs w:val="21"/>
                <w:highlight w:val="none"/>
              </w:rPr>
            </w:pPr>
            <w:r>
              <w:rPr>
                <w:rFonts w:hint="eastAsia"/>
                <w:szCs w:val="21"/>
                <w:highlight w:val="none"/>
              </w:rPr>
              <w:t>5.20</w:t>
            </w:r>
          </w:p>
        </w:tc>
        <w:tc>
          <w:tcPr>
            <w:tcW w:w="1418" w:type="dxa"/>
            <w:noWrap w:val="0"/>
            <w:vAlign w:val="center"/>
          </w:tcPr>
          <w:p w14:paraId="2A75194C">
            <w:pPr>
              <w:rPr>
                <w:rFonts w:hint="eastAsia"/>
                <w:szCs w:val="21"/>
                <w:highlight w:val="none"/>
              </w:rPr>
            </w:pPr>
          </w:p>
        </w:tc>
        <w:tc>
          <w:tcPr>
            <w:tcW w:w="1701" w:type="dxa"/>
            <w:noWrap w:val="0"/>
            <w:vAlign w:val="center"/>
          </w:tcPr>
          <w:p w14:paraId="29EEC204">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4CA8BC32">
            <w:pPr>
              <w:rPr>
                <w:rFonts w:ascii="宋体" w:hAnsi="宋体" w:hint="eastAsia"/>
                <w:szCs w:val="21"/>
                <w:highlight w:val="none"/>
              </w:rPr>
            </w:pPr>
            <w:r>
              <w:rPr>
                <w:rFonts w:ascii="宋体" w:hAnsi="宋体" w:hint="eastAsia"/>
                <w:szCs w:val="21"/>
                <w:highlight w:val="none"/>
              </w:rPr>
              <w:t>详见第九章采购合同</w:t>
            </w:r>
          </w:p>
        </w:tc>
      </w:tr>
      <w:tr w14:paraId="35EBB6E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9F8FC6D">
            <w:pPr>
              <w:rPr>
                <w:rFonts w:hint="eastAsia"/>
                <w:szCs w:val="21"/>
                <w:highlight w:val="none"/>
              </w:rPr>
            </w:pPr>
            <w:r>
              <w:rPr>
                <w:rFonts w:hint="eastAsia"/>
                <w:szCs w:val="21"/>
                <w:highlight w:val="none"/>
              </w:rPr>
              <w:t>5.21</w:t>
            </w:r>
          </w:p>
        </w:tc>
        <w:tc>
          <w:tcPr>
            <w:tcW w:w="1418" w:type="dxa"/>
            <w:noWrap w:val="0"/>
            <w:vAlign w:val="center"/>
          </w:tcPr>
          <w:p w14:paraId="4280EE88">
            <w:pPr>
              <w:rPr>
                <w:rFonts w:hint="eastAsia"/>
                <w:szCs w:val="21"/>
                <w:highlight w:val="none"/>
              </w:rPr>
            </w:pPr>
          </w:p>
        </w:tc>
        <w:tc>
          <w:tcPr>
            <w:tcW w:w="1701" w:type="dxa"/>
            <w:noWrap w:val="0"/>
            <w:vAlign w:val="center"/>
          </w:tcPr>
          <w:p w14:paraId="6B6F2FE6">
            <w:pPr>
              <w:rPr>
                <w:rFonts w:hint="eastAsia"/>
                <w:szCs w:val="21"/>
                <w:highlight w:val="none"/>
              </w:rPr>
            </w:pPr>
            <w:r>
              <w:rPr>
                <w:rFonts w:hint="eastAsia"/>
                <w:szCs w:val="21"/>
                <w:highlight w:val="none"/>
              </w:rPr>
              <w:t>其他事项</w:t>
            </w:r>
          </w:p>
        </w:tc>
        <w:tc>
          <w:tcPr>
            <w:tcW w:w="5209" w:type="dxa"/>
            <w:noWrap w:val="0"/>
            <w:vAlign w:val="center"/>
          </w:tcPr>
          <w:p w14:paraId="1BEB4024">
            <w:pPr>
              <w:rPr>
                <w:rFonts w:ascii="宋体" w:hAnsi="宋体" w:hint="eastAsia"/>
                <w:szCs w:val="21"/>
                <w:highlight w:val="none"/>
              </w:rPr>
            </w:pPr>
            <w:bookmarkStart w:id="52" w:name="其他事项_ottherReemarks"/>
            <w:r>
              <w:rPr>
                <w:rFonts w:ascii="宋体" w:hAnsi="宋体" w:hint="eastAsia"/>
                <w:szCs w:val="21"/>
                <w:highlight w:val="none"/>
              </w:rPr>
              <w:t>无</w:t>
            </w:r>
            <w:bookmarkEnd w:id="52"/>
          </w:p>
        </w:tc>
      </w:tr>
    </w:tbl>
    <w:p w14:paraId="7DA87820">
      <w:pPr>
        <w:rPr>
          <w:highlight w:val="none"/>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3"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针对本项目采购高精度温室气体浓度观测系统，承诺每提前10天交货的得0.5分，最多得1分。否则不得分。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针对高精度温室气体观测系统设备，测试报告应涵盖温度、湿度、抗腐蚀、抗锈蚀、抗震、抗风（环境指标）等内容，每包含一项得0.5分，最多得3分。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3"/>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4" w:name="插入_采购需求书"/>
      <w:bookmarkStart w:id="55" w:name="插入_采购需求标题"/>
      <w:r>
        <w:rPr>
          <w:rFonts w:hint="default"/>
          <w:b/>
          <w:bCs/>
          <w:sz w:val="30"/>
          <w:szCs w:val="30"/>
        </w:rPr>
        <w:t>第七章  采购需求</w:t>
      </w:r>
      <w:bookmarkEnd w:id="55"/>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689"/>
        <w:gridCol w:w="726"/>
        <w:gridCol w:w="1634"/>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高精度温室气体浓度观测系统</w:t>
            </w:r>
          </w:p>
          <w:p>
            <w:pPr>
              <w:rPr>
                <w:rFonts w:ascii="仿宋" w:eastAsia="仿宋" w:hAnsi="仿宋" w:cs="仿宋" w:hint="eastAsia"/>
              </w:rPr>
            </w:pPr>
          </w:p>
        </w:tc>
        <w:tc>
          <w:tcPr>
            <w:tcW w:w="4231" w:type="pct"/>
            <w:gridSpan w:val="3"/>
            <w:vAlign w:val="center"/>
          </w:tcPr>
          <w:p>
            <w:pPr>
              <w:rPr>
                <w:rFonts w:ascii="仿宋" w:eastAsia="仿宋" w:hAnsi="仿宋" w:cs="仿宋" w:hint="eastAsia"/>
              </w:rPr>
            </w:pPr>
            <w:r>
              <w:rPr>
                <w:rFonts w:ascii="仿宋" w:eastAsia="仿宋" w:hAnsi="仿宋" w:cs="仿宋" w:hint="eastAsia"/>
                <w:sz w:val="24"/>
              </w:rPr>
              <w:t>在标气条件下（5min平均，1</w:t>
            </w:r>
            <w:r>
              <w:rPr>
                <w:rFonts w:ascii="仿宋" w:eastAsia="仿宋" w:hAnsi="仿宋" w:cs="仿宋" w:hint="eastAsia"/>
                <w:sz w:val="24"/>
              </w:rPr>
              <w:t>σ</w:t>
            </w: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浓度测量精度 &lt;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Align w:val="center"/>
          </w:tcPr>
          <w:p>
            <w:pPr>
              <w:rPr>
                <w:rFonts w:ascii="仿宋" w:eastAsia="仿宋" w:hAnsi="仿宋" w:cs="仿宋" w:hint="eastAsia"/>
              </w:rPr>
            </w:pPr>
            <w:r>
              <w:rPr>
                <w:rFonts w:ascii="仿宋" w:eastAsia="仿宋" w:hAnsi="仿宋" w:cs="仿宋" w:hint="eastAsia"/>
                <w:sz w:val="24"/>
              </w:rPr>
              <w:t>测量单元</w:t>
            </w:r>
          </w:p>
        </w:tc>
        <w:tc>
          <w:tcPr>
            <w:tcW w:w="885" w:type="pct"/>
            <w:vAlign w:val="center"/>
          </w:tcPr>
          <w:p>
            <w:pPr>
              <w:rPr>
                <w:rFonts w:ascii="仿宋" w:eastAsia="仿宋" w:hAnsi="仿宋" w:cs="仿宋" w:hint="eastAsia"/>
              </w:rPr>
            </w:pPr>
            <w:r>
              <w:rPr>
                <w:rFonts w:ascii="仿宋" w:eastAsia="仿宋" w:hAnsi="仿宋" w:cs="仿宋" w:hint="eastAsia"/>
                <w:sz w:val="24"/>
              </w:rPr>
              <w:t>分析主机</w:t>
            </w:r>
          </w:p>
        </w:tc>
        <w:tc>
          <w:tcPr>
            <w:tcW w:w="2951" w:type="pct"/>
            <w:vAlign w:val="center"/>
          </w:tcPr>
          <w:p>
            <w:pPr>
              <w:rPr>
                <w:rFonts w:ascii="仿宋" w:eastAsia="仿宋" w:hAnsi="仿宋" w:cs="仿宋" w:hint="eastAsia"/>
              </w:rPr>
            </w:pPr>
            <w:r>
              <w:rPr>
                <w:rFonts w:ascii="仿宋" w:eastAsia="仿宋" w:hAnsi="仿宋" w:cs="仿宋" w:hint="eastAsia"/>
                <w:sz w:val="24"/>
              </w:rPr>
              <w:t>（1）测量原理：光腔衰荡光谱法</w:t>
            </w:r>
          </w:p>
          <w:p>
            <w:pPr>
              <w:rPr>
                <w:rFonts w:ascii="仿宋" w:eastAsia="仿宋" w:hAnsi="仿宋" w:cs="仿宋" w:hint="eastAsia"/>
                <w:highlight w:val="yellow"/>
              </w:rPr>
            </w:pPr>
            <w:r>
              <w:rPr>
                <w:rFonts w:ascii="仿宋" w:eastAsia="仿宋" w:hAnsi="仿宋" w:cs="仿宋" w:hint="eastAsia"/>
                <w:sz w:val="24"/>
              </w:rPr>
              <w:t>（2）</w:t>
            </w:r>
            <w:r>
              <w:rPr>
                <w:rFonts w:ascii="仿宋" w:eastAsia="仿宋" w:hAnsi="仿宋" w:cs="仿宋" w:hint="eastAsia"/>
                <w:sz w:val="24"/>
                <w:highlight w:val="yellow"/>
              </w:rPr>
              <w:t>#精度（l</w:t>
            </w:r>
            <w:r>
              <w:rPr>
                <w:rFonts w:ascii="仿宋" w:eastAsia="仿宋" w:hAnsi="仿宋" w:cs="仿宋" w:hint="eastAsia"/>
                <w:sz w:val="24"/>
                <w:highlight w:val="yellow"/>
              </w:rPr>
              <w:t>δ</w:t>
            </w:r>
            <w:r>
              <w:rPr>
                <w:rFonts w:ascii="仿宋" w:eastAsia="仿宋" w:hAnsi="仿宋" w:cs="仿宋" w:hint="eastAsia"/>
                <w:sz w:val="24"/>
                <w:highlight w:val="yellow"/>
              </w:rPr>
              <w:t>, 5分钟）</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hint="eastAsia"/>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hint="eastAsia"/>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nt="eastAsia"/>
                <w:highlight w:val="yellow"/>
              </w:rPr>
            </w:pPr>
            <w:r>
              <w:rPr>
                <w:rFonts w:ascii="仿宋" w:eastAsia="仿宋" w:hAnsi="仿宋" w:cs="仿宋" w:hint="eastAsia"/>
                <w:sz w:val="24"/>
                <w:highlight w:val="yellow"/>
              </w:rPr>
              <w:t>（5）#线性</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restart"/>
            <w:vAlign w:val="center"/>
          </w:tcPr>
          <w:p>
            <w:pPr>
              <w:rPr>
                <w:rFonts w:ascii="仿宋" w:eastAsia="仿宋" w:hAnsi="仿宋" w:cs="仿宋" w:hint="eastAsia"/>
              </w:rPr>
            </w:pPr>
            <w:r>
              <w:rPr>
                <w:rFonts w:ascii="仿宋" w:eastAsia="仿宋" w:hAnsi="仿宋" w:cs="仿宋" w:hint="eastAsia"/>
                <w:sz w:val="24"/>
              </w:rPr>
              <w:t>样气采集单元</w:t>
            </w:r>
          </w:p>
        </w:tc>
        <w:tc>
          <w:tcPr>
            <w:tcW w:w="885" w:type="pct"/>
            <w:vAlign w:val="center"/>
          </w:tcPr>
          <w:p>
            <w:pPr>
              <w:rPr>
                <w:rFonts w:ascii="仿宋" w:eastAsia="仿宋" w:hAnsi="仿宋" w:cs="仿宋" w:hint="eastAsia"/>
              </w:rPr>
            </w:pPr>
            <w:r>
              <w:rPr>
                <w:rFonts w:ascii="仿宋" w:eastAsia="仿宋" w:hAnsi="仿宋" w:cs="仿宋" w:hint="eastAsia"/>
                <w:sz w:val="24"/>
              </w:rPr>
              <w:t>采样泵</w:t>
            </w:r>
          </w:p>
        </w:tc>
        <w:tc>
          <w:tcPr>
            <w:tcW w:w="2951" w:type="pct"/>
            <w:vAlign w:val="center"/>
          </w:tcPr>
          <w:p>
            <w:pPr>
              <w:rPr>
                <w:rFonts w:ascii="仿宋" w:eastAsia="仿宋" w:hAnsi="仿宋" w:cs="仿宋" w:hint="eastAsia"/>
              </w:rPr>
            </w:pPr>
            <w:r>
              <w:rPr>
                <w:rFonts w:ascii="仿宋" w:eastAsia="仿宋" w:hAnsi="仿宋" w:cs="仿宋" w:hint="eastAsia"/>
                <w:sz w:val="24"/>
              </w:rPr>
              <w:t>采样泵规格：无油隔膜式气泵</w:t>
            </w:r>
          </w:p>
          <w:p>
            <w:pPr>
              <w:rPr>
                <w:rFonts w:ascii="仿宋" w:eastAsia="仿宋" w:hAnsi="仿宋" w:cs="仿宋" w:hint="eastAsia"/>
              </w:rPr>
            </w:pPr>
            <w:r>
              <w:rPr>
                <w:rFonts w:ascii="仿宋" w:eastAsia="仿宋" w:hAnsi="仿宋" w:cs="仿宋" w:hint="eastAsia"/>
                <w:sz w:val="24"/>
              </w:rPr>
              <w:t>采样泵抽气/排气速度：＞10L/min</w:t>
            </w:r>
          </w:p>
          <w:p>
            <w:pPr>
              <w:rPr>
                <w:rFonts w:ascii="仿宋" w:eastAsia="仿宋" w:hAnsi="仿宋" w:cs="仿宋" w:hint="eastAsia"/>
              </w:rPr>
            </w:pPr>
            <w:r>
              <w:rPr>
                <w:rFonts w:ascii="仿宋" w:eastAsia="仿宋" w:hAnsi="仿宋" w:cs="仿宋" w:hint="eastAsia"/>
                <w:sz w:val="24"/>
              </w:rPr>
              <w:t>采样泵最大真空度：＞100mbar abs</w:t>
            </w:r>
          </w:p>
          <w:p>
            <w:pPr>
              <w:rPr>
                <w:rFonts w:ascii="仿宋" w:eastAsia="仿宋" w:hAnsi="仿宋" w:cs="仿宋" w:hint="eastAsia"/>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采样管</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采样口过滤器</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采样泵过滤器</w:t>
            </w:r>
          </w:p>
        </w:tc>
        <w:tc>
          <w:tcPr>
            <w:tcW w:w="2951" w:type="pct"/>
            <w:vAlign w:val="center"/>
          </w:tcPr>
          <w:p>
            <w:pPr>
              <w:rPr>
                <w:rFonts w:ascii="仿宋" w:eastAsia="仿宋" w:hAnsi="仿宋" w:cs="仿宋" w:hint="eastAsia"/>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restart"/>
            <w:vAlign w:val="center"/>
          </w:tcPr>
          <w:p>
            <w:pPr>
              <w:rPr>
                <w:rFonts w:ascii="仿宋" w:eastAsia="仿宋" w:hAnsi="仿宋" w:cs="仿宋" w:hint="eastAsia"/>
              </w:rPr>
            </w:pPr>
            <w:r>
              <w:rPr>
                <w:rFonts w:ascii="仿宋" w:eastAsia="仿宋" w:hAnsi="仿宋" w:cs="仿宋" w:hint="eastAsia"/>
                <w:sz w:val="24"/>
              </w:rPr>
              <w:t>样气处理单元</w:t>
            </w:r>
          </w:p>
        </w:tc>
        <w:tc>
          <w:tcPr>
            <w:tcW w:w="3836" w:type="pct"/>
            <w:gridSpan w:val="2"/>
            <w:vAlign w:val="center"/>
          </w:tcPr>
          <w:p>
            <w:pPr>
              <w:rPr>
                <w:rFonts w:ascii="仿宋" w:eastAsia="仿宋" w:hAnsi="仿宋" w:cs="仿宋" w:hint="eastAsia"/>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hint="eastAsia"/>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hint="eastAsia"/>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气体冷却器</w:t>
            </w:r>
          </w:p>
        </w:tc>
        <w:tc>
          <w:tcPr>
            <w:tcW w:w="2951" w:type="pct"/>
            <w:vAlign w:val="center"/>
          </w:tcPr>
          <w:p>
            <w:pPr>
              <w:rPr>
                <w:rFonts w:ascii="仿宋" w:eastAsia="仿宋" w:hAnsi="仿宋" w:cs="仿宋" w:hint="eastAsia"/>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hint="eastAsia"/>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Merge w:val="restart"/>
            <w:vAlign w:val="center"/>
          </w:tcPr>
          <w:p>
            <w:pPr>
              <w:rPr>
                <w:rFonts w:ascii="仿宋" w:eastAsia="仿宋" w:hAnsi="仿宋" w:cs="仿宋" w:hint="eastAsia"/>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hint="eastAsia"/>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超低温冷阱</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室内管路及接头</w:t>
            </w:r>
          </w:p>
        </w:tc>
        <w:tc>
          <w:tcPr>
            <w:tcW w:w="2951" w:type="pct"/>
            <w:vAlign w:val="center"/>
          </w:tcPr>
          <w:p>
            <w:pPr>
              <w:rPr>
                <w:rFonts w:ascii="仿宋" w:eastAsia="仿宋" w:hAnsi="仿宋" w:cs="仿宋" w:hint="eastAsia"/>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Align w:val="center"/>
          </w:tcPr>
          <w:p>
            <w:pPr>
              <w:rPr>
                <w:rFonts w:ascii="仿宋" w:eastAsia="仿宋" w:hAnsi="仿宋" w:cs="仿宋" w:hint="eastAsia"/>
              </w:rPr>
            </w:pPr>
            <w:r>
              <w:rPr>
                <w:rFonts w:ascii="仿宋" w:eastAsia="仿宋" w:hAnsi="仿宋" w:cs="仿宋" w:hint="eastAsia"/>
                <w:sz w:val="24"/>
              </w:rPr>
              <w:t>样气选择单元</w:t>
            </w:r>
          </w:p>
        </w:tc>
        <w:tc>
          <w:tcPr>
            <w:tcW w:w="885" w:type="pct"/>
            <w:vAlign w:val="center"/>
          </w:tcPr>
          <w:p>
            <w:pPr>
              <w:rPr>
                <w:rFonts w:ascii="仿宋" w:eastAsia="仿宋" w:hAnsi="仿宋" w:cs="仿宋" w:hint="eastAsia"/>
              </w:rPr>
            </w:pPr>
            <w:r>
              <w:rPr>
                <w:rFonts w:ascii="仿宋" w:eastAsia="仿宋" w:hAnsi="仿宋" w:cs="仿宋" w:hint="eastAsia"/>
                <w:sz w:val="24"/>
              </w:rPr>
              <w:t>进样阀箱</w:t>
            </w:r>
          </w:p>
        </w:tc>
        <w:tc>
          <w:tcPr>
            <w:tcW w:w="2951" w:type="pct"/>
            <w:vAlign w:val="center"/>
          </w:tcPr>
          <w:p>
            <w:pPr>
              <w:rPr>
                <w:rFonts w:ascii="仿宋" w:eastAsia="仿宋" w:hAnsi="仿宋" w:cs="仿宋" w:hint="eastAsia"/>
              </w:rPr>
            </w:pPr>
            <w:r>
              <w:rPr>
                <w:rFonts w:ascii="仿宋" w:eastAsia="仿宋" w:hAnsi="仿宋" w:cs="仿宋" w:hint="eastAsia"/>
                <w:sz w:val="24"/>
              </w:rPr>
              <w:t>包括质量流量控制器、样气选择模块（可选用电磁阀或多口阀等）。</w:t>
            </w:r>
          </w:p>
          <w:p>
            <w:pPr>
              <w:rPr>
                <w:rFonts w:ascii="仿宋" w:eastAsia="仿宋" w:hAnsi="仿宋" w:cs="仿宋" w:hint="eastAsia"/>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restart"/>
            <w:vAlign w:val="center"/>
          </w:tcPr>
          <w:p>
            <w:pPr>
              <w:rPr>
                <w:rFonts w:ascii="仿宋" w:eastAsia="仿宋" w:hAnsi="仿宋" w:cs="仿宋" w:hint="eastAsia"/>
              </w:rPr>
            </w:pPr>
            <w:r>
              <w:rPr>
                <w:rFonts w:ascii="仿宋" w:eastAsia="仿宋" w:hAnsi="仿宋" w:cs="仿宋" w:hint="eastAsia"/>
                <w:sz w:val="24"/>
              </w:rPr>
              <w:t>标气单元</w:t>
            </w:r>
          </w:p>
          <w:p>
            <w:pPr>
              <w:jc w:val="cente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气瓶</w:t>
            </w:r>
          </w:p>
        </w:tc>
        <w:tc>
          <w:tcPr>
            <w:tcW w:w="2951" w:type="pct"/>
            <w:vAlign w:val="center"/>
          </w:tcPr>
          <w:p>
            <w:pPr>
              <w:rPr>
                <w:rFonts w:ascii="仿宋" w:eastAsia="仿宋" w:hAnsi="仿宋" w:cs="仿宋" w:hint="eastAsia"/>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高精度减压阀</w:t>
            </w:r>
          </w:p>
        </w:tc>
        <w:tc>
          <w:tcPr>
            <w:tcW w:w="2951" w:type="pct"/>
            <w:vAlign w:val="center"/>
          </w:tcPr>
          <w:p>
            <w:pPr>
              <w:rPr>
                <w:rFonts w:ascii="仿宋" w:eastAsia="仿宋" w:hAnsi="仿宋" w:cs="仿宋" w:hint="eastAsia"/>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混合标气（不含瓶）</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hint="eastAsia"/>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hint="eastAsia"/>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气瓶架</w:t>
            </w:r>
          </w:p>
        </w:tc>
        <w:tc>
          <w:tcPr>
            <w:tcW w:w="2951" w:type="pct"/>
            <w:vAlign w:val="center"/>
          </w:tcPr>
          <w:p>
            <w:pPr>
              <w:rPr>
                <w:rFonts w:ascii="仿宋" w:eastAsia="仿宋" w:hAnsi="仿宋" w:cs="仿宋" w:hint="eastAsia"/>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restart"/>
            <w:vAlign w:val="center"/>
          </w:tcPr>
          <w:p>
            <w:pPr>
              <w:rPr>
                <w:rFonts w:ascii="仿宋" w:eastAsia="仿宋" w:hAnsi="仿宋" w:cs="仿宋" w:hint="eastAsia"/>
              </w:rPr>
            </w:pPr>
            <w:r>
              <w:rPr>
                <w:rFonts w:ascii="仿宋" w:eastAsia="仿宋" w:hAnsi="仿宋" w:cs="仿宋" w:hint="eastAsia"/>
                <w:sz w:val="24"/>
              </w:rPr>
              <w:t>数据采集与处理单元</w:t>
            </w:r>
          </w:p>
        </w:tc>
        <w:tc>
          <w:tcPr>
            <w:tcW w:w="3836" w:type="pct"/>
            <w:gridSpan w:val="2"/>
            <w:vAlign w:val="center"/>
          </w:tcPr>
          <w:p>
            <w:pPr>
              <w:rPr>
                <w:rFonts w:ascii="仿宋" w:eastAsia="仿宋" w:hAnsi="仿宋" w:cs="仿宋" w:hint="eastAsia"/>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hint="eastAsia"/>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工控机</w:t>
            </w:r>
          </w:p>
        </w:tc>
        <w:tc>
          <w:tcPr>
            <w:tcW w:w="2951" w:type="pct"/>
            <w:vAlign w:val="center"/>
          </w:tcPr>
          <w:p>
            <w:pPr>
              <w:rPr>
                <w:rFonts w:ascii="仿宋" w:eastAsia="仿宋" w:hAnsi="仿宋" w:cs="仿宋" w:hint="eastAsia"/>
              </w:rPr>
            </w:pPr>
            <w:r>
              <w:rPr>
                <w:rFonts w:ascii="仿宋" w:eastAsia="仿宋" w:hAnsi="仿宋" w:cs="仿宋" w:hint="eastAsia"/>
                <w:sz w:val="24"/>
              </w:rPr>
              <w:t>CPU主频：3GHz或更高。</w:t>
            </w:r>
          </w:p>
          <w:p>
            <w:pPr>
              <w:rPr>
                <w:rFonts w:ascii="仿宋" w:eastAsia="仿宋" w:hAnsi="仿宋" w:cs="仿宋" w:hint="eastAsia"/>
              </w:rPr>
            </w:pPr>
            <w:r>
              <w:rPr>
                <w:rFonts w:ascii="仿宋" w:eastAsia="仿宋" w:hAnsi="仿宋" w:cs="仿宋" w:hint="eastAsia"/>
                <w:sz w:val="24"/>
              </w:rPr>
              <w:t>内存容量：4G或更高。</w:t>
            </w:r>
          </w:p>
          <w:p>
            <w:pPr>
              <w:rPr>
                <w:rFonts w:ascii="仿宋" w:eastAsia="仿宋" w:hAnsi="仿宋" w:cs="仿宋" w:hint="eastAsia"/>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监测报警系统</w:t>
            </w:r>
          </w:p>
        </w:tc>
        <w:tc>
          <w:tcPr>
            <w:tcW w:w="2951" w:type="pct"/>
            <w:vAlign w:val="center"/>
          </w:tcPr>
          <w:p>
            <w:pPr>
              <w:rPr>
                <w:rFonts w:ascii="仿宋" w:eastAsia="仿宋" w:hAnsi="仿宋" w:cs="仿宋" w:hint="eastAsia"/>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hint="eastAsia"/>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机柜</w:t>
            </w:r>
          </w:p>
        </w:tc>
        <w:tc>
          <w:tcPr>
            <w:tcW w:w="2951" w:type="pct"/>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restart"/>
            <w:vAlign w:val="center"/>
          </w:tcPr>
          <w:p>
            <w:pPr>
              <w:rPr>
                <w:rFonts w:ascii="仿宋" w:eastAsia="仿宋" w:hAnsi="仿宋" w:cs="仿宋" w:hint="eastAsia"/>
              </w:rPr>
            </w:pPr>
            <w:r>
              <w:rPr>
                <w:rFonts w:ascii="仿宋" w:eastAsia="仿宋" w:hAnsi="仿宋" w:cs="仿宋" w:hint="eastAsia"/>
                <w:sz w:val="24"/>
              </w:rPr>
              <w:t>三维超声风速观测系统</w:t>
            </w:r>
          </w:p>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三维超声传感器</w:t>
            </w:r>
          </w:p>
        </w:tc>
        <w:tc>
          <w:tcPr>
            <w:tcW w:w="2951" w:type="pct"/>
            <w:vAlign w:val="center"/>
          </w:tcPr>
          <w:p>
            <w:pPr>
              <w:rPr>
                <w:rFonts w:ascii="仿宋" w:eastAsia="仿宋" w:hAnsi="仿宋" w:cs="仿宋" w:hint="eastAsia"/>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供电单元</w:t>
            </w:r>
          </w:p>
        </w:tc>
        <w:tc>
          <w:tcPr>
            <w:tcW w:w="2951" w:type="pct"/>
            <w:vAlign w:val="center"/>
          </w:tcPr>
          <w:p>
            <w:pPr>
              <w:rPr>
                <w:rFonts w:ascii="仿宋" w:eastAsia="仿宋" w:hAnsi="仿宋" w:cs="仿宋" w:hint="eastAsia"/>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restart"/>
            <w:vAlign w:val="center"/>
          </w:tcPr>
          <w:p>
            <w:pPr>
              <w:rPr>
                <w:rFonts w:ascii="仿宋" w:eastAsia="仿宋" w:hAnsi="仿宋" w:cs="仿宋" w:hint="eastAsia"/>
              </w:rPr>
            </w:pPr>
            <w:r>
              <w:rPr>
                <w:rFonts w:ascii="仿宋" w:eastAsia="仿宋" w:hAnsi="仿宋" w:cs="仿宋" w:hint="eastAsia"/>
                <w:sz w:val="24"/>
              </w:rPr>
              <w:t>配套设施</w:t>
            </w:r>
          </w:p>
        </w:tc>
        <w:tc>
          <w:tcPr>
            <w:tcW w:w="885" w:type="pct"/>
            <w:vAlign w:val="center"/>
          </w:tcPr>
          <w:p>
            <w:pPr>
              <w:rPr>
                <w:rFonts w:ascii="仿宋" w:eastAsia="仿宋" w:hAnsi="仿宋" w:cs="仿宋" w:hint="eastAsia"/>
              </w:rPr>
            </w:pPr>
            <w:r>
              <w:rPr>
                <w:rFonts w:ascii="仿宋" w:eastAsia="仿宋" w:hAnsi="仿宋" w:cs="仿宋" w:hint="eastAsia"/>
                <w:sz w:val="24"/>
              </w:rPr>
              <w:t>采样塔</w:t>
            </w:r>
          </w:p>
        </w:tc>
        <w:tc>
          <w:tcPr>
            <w:tcW w:w="2951" w:type="pct"/>
            <w:vAlign w:val="center"/>
          </w:tcPr>
          <w:p>
            <w:pPr>
              <w:rPr>
                <w:rFonts w:ascii="仿宋" w:eastAsia="仿宋" w:hAnsi="仿宋" w:cs="仿宋" w:hint="eastAsia"/>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nt="eastAsia"/>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hint="eastAsia"/>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hint="eastAsia"/>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hint="eastAsia"/>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hint="eastAsia"/>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hint="eastAsia"/>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方舱</w:t>
            </w:r>
          </w:p>
        </w:tc>
        <w:tc>
          <w:tcPr>
            <w:tcW w:w="2951" w:type="pct"/>
            <w:vAlign w:val="center"/>
          </w:tcPr>
          <w:p>
            <w:pPr>
              <w:rPr>
                <w:rFonts w:ascii="仿宋" w:eastAsia="仿宋" w:hAnsi="仿宋" w:cs="仿宋" w:hint="eastAsia"/>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hint="eastAsia"/>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hint="eastAsia"/>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hint="eastAsia"/>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（6）观测室具有良好的通风条件和排风设施，以保持室内空气清洁。</w:t>
            </w:r>
          </w:p>
          <w:p>
            <w:pPr>
              <w:rPr>
                <w:rFonts w:ascii="仿宋" w:eastAsia="仿宋" w:hAnsi="仿宋" w:cs="仿宋" w:hint="eastAsia"/>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hint="eastAsia"/>
              </w:rPr>
            </w:pPr>
            <w:r>
              <w:rPr>
                <w:rFonts w:ascii="仿宋" w:eastAsia="仿宋" w:hAnsi="仿宋" w:cs="仿宋" w:hint="eastAsia"/>
                <w:sz w:val="24"/>
              </w:rPr>
              <w:t>（8）观测室内设有可靠的网络、通讯线路等。</w:t>
            </w:r>
          </w:p>
          <w:p>
            <w:pPr>
              <w:rPr>
                <w:rFonts w:ascii="仿宋" w:eastAsia="仿宋" w:hAnsi="仿宋" w:cs="仿宋" w:hint="eastAsia"/>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3"/>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394" w:type="pct"/>
            <w:vMerge/>
            <w:vAlign w:val="center"/>
          </w:tcPr>
          <w:p>
            <w:pPr>
              <w:rPr>
                <w:rFonts w:ascii="仿宋" w:eastAsia="仿宋" w:hAnsi="仿宋" w:cs="仿宋" w:hint="eastAsia"/>
              </w:rPr>
            </w:pPr>
          </w:p>
        </w:tc>
        <w:tc>
          <w:tcPr>
            <w:tcW w:w="885" w:type="pct"/>
            <w:vAlign w:val="center"/>
          </w:tcPr>
          <w:p>
            <w:pPr>
              <w:rPr>
                <w:rFonts w:ascii="仿宋" w:eastAsia="仿宋" w:hAnsi="仿宋" w:cs="仿宋" w:hint="eastAsia"/>
              </w:rPr>
            </w:pPr>
            <w:r>
              <w:rPr>
                <w:rFonts w:ascii="仿宋" w:eastAsia="仿宋" w:hAnsi="仿宋" w:cs="仿宋" w:hint="eastAsia"/>
                <w:sz w:val="24"/>
              </w:rPr>
              <w:t>UPS</w:t>
            </w:r>
          </w:p>
        </w:tc>
        <w:tc>
          <w:tcPr>
            <w:tcW w:w="2951" w:type="pct"/>
            <w:vAlign w:val="center"/>
          </w:tcPr>
          <w:p>
            <w:pPr>
              <w:rPr>
                <w:rFonts w:ascii="仿宋" w:eastAsia="仿宋" w:hAnsi="仿宋" w:cs="仿宋" w:hint="eastAsia"/>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jc w:val="left"/>
        <w:outlineLvl w:val="9"/>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6" w:name="货物一览表_index"/>
            <w:r>
              <w:rPr>
                <w:rFonts w:asciiTheme="minorEastAsia" w:eastAsiaTheme="minorEastAsia" w:hAnsiTheme="minorEastAsia" w:cstheme="minorEastAsia" w:hint="eastAsia"/>
                <w:kern w:val="0"/>
                <w:szCs w:val="21"/>
              </w:rPr>
              <w:t>序号</w:t>
            </w:r>
            <w:bookmarkEnd w:id="56"/>
          </w:p>
        </w:tc>
        <w:tc>
          <w:tcPr>
            <w:tcW w:w="1135" w:type="dxa"/>
          </w:tcPr>
          <w:p w14:paraId="6B7F00AC">
            <w:pPr>
              <w:autoSpaceDE w:val="0"/>
              <w:jc w:val="center"/>
              <w:rPr>
                <w:rFonts w:asciiTheme="minorEastAsia" w:hAnsiTheme="minorEastAsia" w:cstheme="minorEastAsia"/>
                <w:kern w:val="0"/>
                <w:szCs w:val="21"/>
              </w:rPr>
            </w:pPr>
            <w:bookmarkStart w:id="57" w:name="货物一览表_goodsName"/>
            <w:r>
              <w:rPr>
                <w:rFonts w:asciiTheme="minorEastAsia" w:eastAsiaTheme="minorEastAsia" w:hAnsiTheme="minorEastAsia" w:cstheme="minorEastAsia" w:hint="eastAsia"/>
                <w:kern w:val="0"/>
                <w:szCs w:val="21"/>
              </w:rPr>
              <w:t>设备名称</w:t>
            </w:r>
            <w:bookmarkEnd w:id="57"/>
          </w:p>
        </w:tc>
        <w:tc>
          <w:tcPr>
            <w:tcW w:w="965" w:type="dxa"/>
          </w:tcPr>
          <w:p w14:paraId="7B8390AF">
            <w:pPr>
              <w:autoSpaceDE w:val="0"/>
              <w:jc w:val="center"/>
              <w:rPr>
                <w:rFonts w:asciiTheme="minorEastAsia" w:hAnsiTheme="minorEastAsia" w:cstheme="minorEastAsia"/>
                <w:kern w:val="0"/>
                <w:szCs w:val="21"/>
              </w:rPr>
            </w:pPr>
            <w:bookmarkStart w:id="58" w:name="货物一览表_nums"/>
            <w:r>
              <w:rPr>
                <w:rFonts w:asciiTheme="minorEastAsia" w:eastAsiaTheme="minorEastAsia" w:hAnsiTheme="minorEastAsia" w:cstheme="minorEastAsia" w:hint="eastAsia"/>
                <w:kern w:val="0"/>
                <w:szCs w:val="21"/>
              </w:rPr>
              <w:t>采购数量</w:t>
            </w:r>
            <w:bookmarkEnd w:id="58"/>
          </w:p>
        </w:tc>
        <w:tc>
          <w:tcPr>
            <w:tcW w:w="1062" w:type="dxa"/>
          </w:tcPr>
          <w:p w14:paraId="72F33D6D">
            <w:pPr>
              <w:autoSpaceDE w:val="0"/>
              <w:jc w:val="center"/>
              <w:rPr>
                <w:rFonts w:asciiTheme="minorEastAsia" w:hAnsiTheme="minorEastAsia" w:cstheme="minorEastAsia"/>
                <w:kern w:val="0"/>
                <w:szCs w:val="21"/>
              </w:rPr>
            </w:pPr>
            <w:bookmarkStart w:id="59" w:name="货物一览表_units"/>
            <w:r>
              <w:rPr>
                <w:rFonts w:asciiTheme="minorEastAsia" w:eastAsiaTheme="minorEastAsia" w:hAnsiTheme="minorEastAsia" w:cstheme="minorEastAsia" w:hint="eastAsia"/>
                <w:kern w:val="0"/>
                <w:szCs w:val="21"/>
              </w:rPr>
              <w:t>计量单位</w:t>
            </w:r>
            <w:bookmarkEnd w:id="59"/>
          </w:p>
        </w:tc>
        <w:tc>
          <w:tcPr>
            <w:tcW w:w="1220" w:type="dxa"/>
          </w:tcPr>
          <w:p w14:paraId="24892D20">
            <w:pPr>
              <w:autoSpaceDE w:val="0"/>
              <w:jc w:val="center"/>
              <w:rPr>
                <w:rFonts w:asciiTheme="minorEastAsia" w:hAnsiTheme="minorEastAsia" w:cstheme="minorEastAsia"/>
                <w:kern w:val="0"/>
                <w:szCs w:val="21"/>
              </w:rPr>
            </w:pPr>
            <w:bookmarkStart w:id="60" w:name="货物一览表_procurementBudget"/>
            <w:r>
              <w:rPr>
                <w:rFonts w:asciiTheme="minorEastAsia" w:eastAsiaTheme="minorEastAsia" w:hAnsiTheme="minorEastAsia" w:cstheme="minorEastAsia" w:hint="eastAsia"/>
                <w:kern w:val="0"/>
                <w:szCs w:val="21"/>
              </w:rPr>
              <w:t>采购预算（元）</w:t>
            </w:r>
            <w:bookmarkEnd w:id="60"/>
          </w:p>
        </w:tc>
        <w:tc>
          <w:tcPr>
            <w:tcW w:w="1329" w:type="dxa"/>
          </w:tcPr>
          <w:p w14:paraId="27138270">
            <w:pPr>
              <w:autoSpaceDE w:val="0"/>
              <w:jc w:val="center"/>
              <w:rPr>
                <w:rFonts w:asciiTheme="minorEastAsia" w:hAnsiTheme="minorEastAsia" w:cstheme="minorEastAsia" w:hint="eastAsia"/>
                <w:kern w:val="0"/>
                <w:szCs w:val="21"/>
              </w:rPr>
            </w:pPr>
            <w:bookmarkStart w:id="6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1"/>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2" w:name="货物一览表_remark"/>
            <w:r>
              <w:rPr>
                <w:rFonts w:asciiTheme="minorEastAsia" w:eastAsiaTheme="minorEastAsia" w:hAnsiTheme="minorEastAsia" w:cstheme="minorEastAsia" w:hint="eastAsia"/>
                <w:kern w:val="0"/>
                <w:szCs w:val="21"/>
              </w:rPr>
              <w:t>备注</w:t>
            </w:r>
            <w:bookmarkEnd w:id="6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15,652,000.00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15,652,000.00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2254"/>
        <w:gridCol w:w="2607"/>
        <w:gridCol w:w="368"/>
        <w:gridCol w:w="840"/>
        <w:gridCol w:w="759"/>
        <w:gridCol w:w="604"/>
        <w:gridCol w:w="7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河北省气象技术装备中心(001015021004)</w:t>
            </w:r>
          </w:p>
        </w:tc>
        <w:tc>
          <w:tcPr/>
          <w:p>
            <w:r>
              <w:t>通量观测系统（高精度温室气体浓度观测系统）</w:t>
            </w:r>
          </w:p>
        </w:tc>
        <w:tc>
          <w:tcPr/>
          <w:p>
            <w:r>
              <w:t>7</w:t>
            </w:r>
          </w:p>
        </w:tc>
        <w:tc>
          <w:tcPr/>
          <w:p>
            <w:r>
              <w:t>15652000.00</w:t>
            </w:r>
          </w:p>
        </w:tc>
        <w:tc>
          <w:tcPr/>
          <w:p>
            <w:r>
              <w:t xml:space="preserve">15652000.00  </w:t>
            </w:r>
          </w:p>
        </w:tc>
        <w:tc>
          <w:tcPr/>
          <w:p>
            <w:r>
              <w:t>河北省</w:t>
            </w:r>
          </w:p>
        </w:tc>
        <w:tc>
          <w:tcPr/>
          <w:p>
            <w:r>
              <w:t>印佳楠0311-67108883</w:t>
            </w:r>
          </w:p>
        </w:tc>
      </w:tr>
    </w:tbl>
    <w:p w:rsidR="00A77B3E"/>
    <w:p w14:paraId="51954372">
      <w:pPr>
        <w:spacing w:line="360" w:lineRule="auto"/>
        <w:rPr>
          <w:rFonts w:ascii="宋体" w:hAnsi="宋体"/>
          <w:szCs w:val="21"/>
        </w:rPr>
      </w:pPr>
      <w:bookmarkEnd w:id="63"/>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建设7套高精度温室气体浓度观测系统以及相关配套设施，实现CO</w:t>
      </w:r>
      <w:r>
        <w:rPr>
          <w:rFonts w:ascii="仿宋" w:eastAsia="仿宋" w:hAnsi="仿宋" w:cs="仿宋" w:hint="eastAsia"/>
          <w:sz w:val="28"/>
          <w:szCs w:val="20"/>
          <w:vertAlign w:val="subscript"/>
        </w:rPr>
        <w:t>2</w:t>
      </w:r>
      <w:r>
        <w:rPr>
          <w:rFonts w:ascii="仿宋" w:eastAsia="仿宋" w:hAnsi="仿宋" w:cs="仿宋" w:hint="eastAsia"/>
          <w:sz w:val="28"/>
          <w:szCs w:val="20"/>
        </w:rPr>
        <w:t>、CH</w:t>
      </w:r>
      <w:r>
        <w:rPr>
          <w:rFonts w:ascii="仿宋" w:eastAsia="仿宋" w:hAnsi="仿宋" w:cs="仿宋" w:hint="eastAsia"/>
          <w:sz w:val="28"/>
          <w:szCs w:val="20"/>
          <w:vertAlign w:val="subscript"/>
        </w:rPr>
        <w:t>4</w:t>
      </w:r>
      <w:r>
        <w:rPr>
          <w:rFonts w:ascii="仿宋" w:eastAsia="仿宋" w:hAnsi="仿宋" w:cs="仿宋" w:hint="eastAsia"/>
          <w:sz w:val="28"/>
          <w:szCs w:val="20"/>
        </w:rPr>
        <w:t>浓度的在线观测，提升河北应对气候变化服务能力，服务国家“碳达峰、碳中和”战略。</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培训课时不少于8个课时，包含现场安装培训和集中授课培训，其中集中授课培训人数要求每套设备至少2人，并邀请项目建设单位参与</w:t>
      </w:r>
      <w:r>
        <w:rPr>
          <w:rFonts w:ascii="仿宋" w:eastAsia="仿宋" w:hAnsi="仿宋" w:cs="仿宋" w:hint="eastAsia"/>
          <w:sz w:val="28"/>
          <w:szCs w:val="20"/>
          <w:highlight w:val="yellow"/>
          <w:lang w:eastAsia="zh-CN"/>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中标供应商将所有设备运送至河北</w:t>
      </w:r>
      <w:r>
        <w:rPr>
          <w:rFonts w:ascii="仿宋" w:eastAsia="仿宋" w:hAnsi="仿宋" w:cs="仿宋" w:hint="eastAsia"/>
          <w:sz w:val="28"/>
          <w:szCs w:val="20"/>
          <w:lang w:val="en-US" w:eastAsia="zh-CN"/>
        </w:rPr>
        <w:t>省指定地点</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hint="eastAsia"/>
          <w:sz w:val="28"/>
          <w:szCs w:val="20"/>
        </w:rPr>
      </w:pPr>
      <w:r>
        <w:rPr>
          <w:rFonts w:ascii="仿宋" w:eastAsia="仿宋" w:hAnsi="仿宋" w:cs="仿宋" w:hint="eastAsia"/>
          <w:sz w:val="28"/>
          <w:szCs w:val="20"/>
        </w:rPr>
        <w:t>合同签订后120天内完成供货、180天内安装调试并具备验收条件。</w:t>
      </w:r>
    </w:p>
    <w:p>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设备完全符合甲方相关要求和规范，保证其系统的兼容性和功能的完整性。</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lang w:val="en-US" w:eastAsia="zh-CN"/>
        </w:rPr>
        <w:t>质保服务</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质保期：高精度温室气体浓度观测系统6年，从双方签署现场安装测试报告之日起开始计算质保期。</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质保期服务内容要求：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default"/>
          <w:b/>
          <w:bCs/>
          <w:sz w:val="28"/>
          <w:szCs w:val="20"/>
        </w:rPr>
      </w:pPr>
      <w:r>
        <w:rPr>
          <w:rFonts w:ascii="仿宋" w:eastAsia="仿宋" w:hAnsi="仿宋" w:cs="仿宋" w:hint="eastAsia"/>
          <w:b/>
          <w:bCs/>
          <w:sz w:val="28"/>
          <w:szCs w:val="20"/>
          <w:lang w:val="en-US" w:eastAsia="zh-CN"/>
        </w:rPr>
        <w:t>八</w:t>
      </w:r>
      <w:r>
        <w:rPr>
          <w:rFonts w:ascii="仿宋" w:eastAsia="仿宋" w:hAnsi="仿宋" w:cs="仿宋" w:hint="eastAsia"/>
          <w:b/>
          <w:bCs/>
          <w:sz w:val="28"/>
          <w:szCs w:val="20"/>
        </w:rPr>
        <w:t>、</w:t>
      </w:r>
      <w:r>
        <w:rPr>
          <w:rFonts w:ascii="仿宋" w:eastAsia="仿宋" w:hAnsi="仿宋" w:cs="仿宋" w:hint="eastAsia"/>
          <w:b/>
          <w:bCs/>
          <w:sz w:val="28"/>
          <w:szCs w:val="20"/>
          <w:lang w:val="en-US" w:eastAsia="zh-CN"/>
        </w:rPr>
        <w:t>付款方式</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分期付款：</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 xml:space="preserve">（1）合同生效后付款：双方签署合同后20个工作日内，乙方向甲方开具合同总金额的 </w:t>
      </w:r>
      <w:r>
        <w:rPr>
          <w:rFonts w:ascii="仿宋" w:eastAsia="仿宋" w:hAnsi="仿宋" w:cs="仿宋" w:hint="eastAsia"/>
          <w:sz w:val="28"/>
          <w:szCs w:val="20"/>
          <w:lang w:val="en-US" w:eastAsia="zh-CN"/>
        </w:rPr>
        <w:t>9</w:t>
      </w:r>
      <w:r>
        <w:rPr>
          <w:rFonts w:ascii="仿宋" w:eastAsia="仿宋" w:hAnsi="仿宋" w:cs="仿宋" w:hint="eastAsia"/>
          <w:sz w:val="28"/>
          <w:szCs w:val="20"/>
        </w:rPr>
        <w:t>0%</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的增值税普通发票，同时甲方向乙方支付相应金额款项。</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（2）到货后付款：设备到货、签收后 20个工作日内，乙方向甲方开具合同总金额的</w:t>
      </w:r>
      <w:r>
        <w:rPr>
          <w:rFonts w:ascii="仿宋" w:eastAsia="仿宋" w:hAnsi="仿宋" w:cs="仿宋" w:hint="eastAsia"/>
          <w:sz w:val="28"/>
          <w:szCs w:val="20"/>
          <w:lang w:val="en-US" w:eastAsia="zh-CN"/>
        </w:rPr>
        <w:t xml:space="preserve"> 1</w:t>
      </w:r>
      <w:r>
        <w:rPr>
          <w:rFonts w:ascii="仿宋" w:eastAsia="仿宋" w:hAnsi="仿宋" w:cs="仿宋" w:hint="eastAsia"/>
          <w:sz w:val="28"/>
          <w:szCs w:val="20"/>
        </w:rPr>
        <w:t>0%</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元（小写） 的增值税普通发票，同时甲方向乙方支付相应金额款项。</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sz w:val="28"/>
          <w:szCs w:val="20"/>
        </w:rPr>
      </w:pP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3</w:t>
      </w:r>
      <w:r>
        <w:rPr>
          <w:rFonts w:ascii="仿宋" w:eastAsia="仿宋" w:hAnsi="仿宋" w:cs="仿宋" w:hint="eastAsia"/>
          <w:sz w:val="28"/>
          <w:szCs w:val="20"/>
          <w:lang w:eastAsia="zh-CN"/>
        </w:rPr>
        <w:t>）乙方在合同签订后20个工作日内，向甲方提供合同总金额 5%</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即人民币</w:t>
      </w:r>
      <w:r>
        <w:rPr>
          <w:rFonts w:ascii="仿宋" w:eastAsia="仿宋" w:hAnsi="仿宋" w:cs="仿宋" w:hint="eastAsia"/>
          <w:sz w:val="28"/>
          <w:szCs w:val="20"/>
          <w:u w:val="single"/>
          <w:lang w:val="en-US" w:eastAsia="zh-CN"/>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 xml:space="preserve">（小写） </w:t>
      </w:r>
      <w:r>
        <w:rPr>
          <w:rFonts w:ascii="仿宋" w:eastAsia="仿宋" w:hAnsi="仿宋" w:cs="仿宋" w:hint="eastAsia"/>
          <w:sz w:val="28"/>
          <w:szCs w:val="20"/>
          <w:lang w:eastAsia="zh-CN"/>
        </w:rPr>
        <w:t>的银行履约保函。验收合格一年后，甲方将银行履约保函退还乙方</w:t>
      </w:r>
      <w:r>
        <w:rPr>
          <w:rFonts w:ascii="仿宋" w:eastAsia="仿宋" w:hAnsi="仿宋" w:cs="仿宋" w:hint="eastAsia"/>
          <w:sz w:val="28"/>
          <w:szCs w:val="20"/>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default"/>
          <w:b/>
          <w:bCs/>
          <w:sz w:val="28"/>
          <w:szCs w:val="20"/>
        </w:rPr>
      </w:pPr>
      <w:r>
        <w:rPr>
          <w:rFonts w:ascii="仿宋" w:eastAsia="仿宋" w:hAnsi="仿宋" w:cs="仿宋" w:hint="eastAsia"/>
          <w:b/>
          <w:bCs/>
          <w:sz w:val="28"/>
          <w:szCs w:val="20"/>
          <w:lang w:val="en-US" w:eastAsia="zh-CN"/>
        </w:rPr>
        <w:t>九</w:t>
      </w:r>
      <w:r>
        <w:rPr>
          <w:rFonts w:ascii="仿宋" w:eastAsia="仿宋" w:hAnsi="仿宋" w:cs="仿宋" w:hint="eastAsia"/>
          <w:b/>
          <w:bCs/>
          <w:sz w:val="28"/>
          <w:szCs w:val="20"/>
        </w:rPr>
        <w:t>、</w:t>
      </w:r>
      <w:r>
        <w:rPr>
          <w:rFonts w:ascii="仿宋" w:eastAsia="仿宋" w:hAnsi="仿宋" w:cs="仿宋" w:hint="eastAsia"/>
          <w:b/>
          <w:bCs/>
          <w:sz w:val="28"/>
          <w:szCs w:val="20"/>
          <w:lang w:val="en-US" w:eastAsia="zh-CN"/>
        </w:rPr>
        <w:t>检验考核要求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设备出厂、包装运输、安装调试、设备验收、保修及售后服务、工程进度方面还应满足以下要求：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.1设备出厂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.2包装和运输要求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.3安装、调试</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（1）设备安装由中标人负责。</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.4设备验收</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keepNext w:val="0"/>
        <w:keepLines w:val="0"/>
        <w:pageBreakBefore w:val="0"/>
        <w:widowControl w:val="0"/>
        <w:numPr>
          <w:ilvl w:val="0"/>
          <w:numId w:val="5"/>
        </w:numPr>
        <w:kinsoku/>
        <w:wordWrap/>
        <w:overflowPunct/>
        <w:topLinePunct w:val="0"/>
        <w:autoSpaceDE/>
        <w:autoSpaceDN/>
        <w:bidi w:val="0"/>
        <w:adjustRightInd/>
        <w:snapToGrid/>
        <w:ind w:left="420" w:hanging="420" w:leftChars="0" w:firstLineChars="0"/>
        <w:textAlignment w:val="auto"/>
        <w:outlineLvl w:val="9"/>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keepNext w:val="0"/>
        <w:keepLines w:val="0"/>
        <w:pageBreakBefore w:val="0"/>
        <w:widowControl w:val="0"/>
        <w:numPr>
          <w:ilvl w:val="0"/>
          <w:numId w:val="5"/>
        </w:numPr>
        <w:kinsoku/>
        <w:wordWrap/>
        <w:overflowPunct/>
        <w:topLinePunct w:val="0"/>
        <w:autoSpaceDE/>
        <w:autoSpaceDN/>
        <w:bidi w:val="0"/>
        <w:adjustRightInd/>
        <w:snapToGrid/>
        <w:ind w:left="420" w:hanging="420" w:leftChars="0" w:firstLineChars="0"/>
        <w:textAlignment w:val="auto"/>
        <w:outlineLvl w:val="9"/>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keepNext w:val="0"/>
        <w:keepLines w:val="0"/>
        <w:pageBreakBefore w:val="0"/>
        <w:widowControl w:val="0"/>
        <w:numPr>
          <w:ilvl w:val="0"/>
          <w:numId w:val="5"/>
        </w:numPr>
        <w:kinsoku/>
        <w:wordWrap/>
        <w:overflowPunct/>
        <w:topLinePunct w:val="0"/>
        <w:autoSpaceDE/>
        <w:autoSpaceDN/>
        <w:bidi w:val="0"/>
        <w:adjustRightInd/>
        <w:snapToGrid/>
        <w:ind w:left="420" w:hanging="420" w:leftChars="0" w:firstLineChars="0"/>
        <w:textAlignment w:val="auto"/>
        <w:outlineLvl w:val="9"/>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5保修及售后服务</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w:t>
      </w:r>
      <w:r>
        <w:rPr>
          <w:rFonts w:ascii="仿宋" w:eastAsia="仿宋" w:hAnsi="仿宋" w:cs="仿宋" w:hint="eastAsia"/>
          <w:b/>
          <w:bCs/>
          <w:sz w:val="28"/>
          <w:szCs w:val="20"/>
          <w:lang w:val="en-US" w:eastAsia="zh-CN"/>
        </w:rPr>
        <w:t>6</w:t>
      </w:r>
      <w:r>
        <w:rPr>
          <w:rFonts w:ascii="仿宋" w:eastAsia="仿宋" w:hAnsi="仿宋" w:cs="仿宋" w:hint="eastAsia"/>
          <w:b/>
          <w:bCs/>
          <w:sz w:val="28"/>
          <w:szCs w:val="20"/>
        </w:rPr>
        <w:t>工程进度</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4"/>
    </w:p>
    <w:p w:rsidR="0025081A" w14:paraId="6A5D2D1F" w14:textId="77777777">
      <w:pPr>
        <w:tabs>
          <w:tab w:val="left" w:pos="1573"/>
        </w:tabs>
        <w:adjustRightInd w:val="0"/>
        <w:snapToGrid w:val="0"/>
        <w:spacing w:line="360" w:lineRule="auto"/>
        <w:jc w:val="center"/>
        <w:outlineLvl w:val="1"/>
        <w:rPr>
          <w:b/>
          <w:bCs/>
          <w:sz w:val="30"/>
          <w:szCs w:val="30"/>
        </w:rPr>
      </w:pPr>
      <w:bookmarkStart w:id="64"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25081A"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86B2B47" w14:textId="77777777" w:rsidTr="007E196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E1968" w:rsidP="00254027" w14:paraId="37350BC0" w14:textId="77777777">
            <w:pPr>
              <w:rPr>
                <w:sz w:val="18"/>
                <w:szCs w:val="18"/>
              </w:rPr>
            </w:pPr>
            <w:r>
              <w:rPr>
                <w:rFonts w:hint="eastAsia"/>
                <w:sz w:val="18"/>
                <w:szCs w:val="18"/>
              </w:rPr>
              <w:t>序号</w:t>
            </w:r>
          </w:p>
        </w:tc>
        <w:tc>
          <w:tcPr>
            <w:tcW w:w="898" w:type="dxa"/>
            <w:vAlign w:val="center"/>
          </w:tcPr>
          <w:p w:rsidR="007E1968" w:rsidP="00254027" w14:paraId="09108C63" w14:textId="77777777">
            <w:pPr>
              <w:jc w:val="center"/>
              <w:rPr>
                <w:sz w:val="18"/>
                <w:szCs w:val="18"/>
              </w:rPr>
            </w:pPr>
            <w:r>
              <w:rPr>
                <w:rFonts w:hint="eastAsia"/>
                <w:sz w:val="18"/>
                <w:szCs w:val="18"/>
              </w:rPr>
              <w:t>对应</w:t>
            </w:r>
          </w:p>
          <w:p w:rsidR="007E1968" w:rsidP="00254027" w14:paraId="5AE657F4" w14:textId="77777777">
            <w:pPr>
              <w:jc w:val="center"/>
              <w:rPr>
                <w:sz w:val="18"/>
                <w:szCs w:val="18"/>
              </w:rPr>
            </w:pPr>
            <w:r>
              <w:rPr>
                <w:rFonts w:hint="eastAsia"/>
                <w:sz w:val="18"/>
                <w:szCs w:val="18"/>
              </w:rPr>
              <w:t>条款号</w:t>
            </w:r>
          </w:p>
        </w:tc>
        <w:tc>
          <w:tcPr>
            <w:tcW w:w="7347" w:type="dxa"/>
            <w:vAlign w:val="center"/>
          </w:tcPr>
          <w:p w:rsidR="007E1968" w:rsidP="00254027" w14:paraId="51C90900"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5EC62888" w14:textId="77777777" w:rsidTr="007E1968">
        <w:tblPrEx>
          <w:tblW w:w="8789" w:type="dxa"/>
          <w:tblLayout w:type="fixed"/>
          <w:tblLook w:val="04A0"/>
        </w:tblPrEx>
        <w:trPr>
          <w:cantSplit/>
        </w:trPr>
        <w:tc>
          <w:tcPr>
            <w:tcW w:w="8789" w:type="dxa"/>
            <w:gridSpan w:val="3"/>
            <w:vAlign w:val="center"/>
          </w:tcPr>
          <w:p w:rsidR="007E1968" w:rsidP="00254027" w14:paraId="32681A4F"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响应人须知专用部分</w:t>
            </w:r>
          </w:p>
        </w:tc>
      </w:tr>
      <w:tr w14:paraId="508234D4" w14:textId="77777777" w:rsidTr="007E1968">
        <w:tblPrEx>
          <w:tblW w:w="8789" w:type="dxa"/>
          <w:tblLayout w:type="fixed"/>
          <w:tblLook w:val="04A0"/>
        </w:tblPrEx>
        <w:trPr>
          <w:cantSplit/>
        </w:trPr>
        <w:tc>
          <w:tcPr>
            <w:tcW w:w="544" w:type="dxa"/>
            <w:vAlign w:val="center"/>
          </w:tcPr>
          <w:p w:rsidR="007E1968" w:rsidP="007E1968" w14:paraId="730DCF75" w14:textId="77777777">
            <w:pPr>
              <w:numPr>
                <w:ilvl w:val="0"/>
                <w:numId w:val="14"/>
              </w:numPr>
              <w:rPr>
                <w:rFonts w:ascii="宋体" w:hAnsi="宋体"/>
                <w:sz w:val="18"/>
                <w:szCs w:val="18"/>
              </w:rPr>
            </w:pPr>
          </w:p>
        </w:tc>
        <w:tc>
          <w:tcPr>
            <w:tcW w:w="898" w:type="dxa"/>
            <w:vAlign w:val="center"/>
          </w:tcPr>
          <w:p w:rsidR="007E1968" w:rsidP="007E1968" w14:paraId="73DCA47A" w14:textId="63AACF7F">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7E1968" w:rsidP="00254027" w14:paraId="729EC897" w14:textId="7777777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投标产品</w:t>
            </w:r>
            <w:r>
              <w:rPr>
                <w:rFonts w:ascii="宋体" w:hAnsi="宋体" w:cs="微软雅黑"/>
                <w:b/>
                <w:color w:val="0000FF"/>
                <w:kern w:val="0"/>
                <w:sz w:val="18"/>
                <w:szCs w:val="18"/>
              </w:rPr>
              <w:t>必须取得</w:t>
            </w:r>
            <w:r>
              <w:rPr>
                <w:rFonts w:ascii="宋体" w:hAnsi="宋体" w:cs="微软雅黑" w:hint="eastAsia"/>
                <w:b/>
                <w:color w:val="0000FF"/>
                <w:kern w:val="0"/>
                <w:sz w:val="18"/>
                <w:szCs w:val="18"/>
              </w:rPr>
              <w:t>《光谱吸收法大气二氧化碳/甲烷高精度分析仪气象专用技术装备许可证》</w:t>
            </w:r>
          </w:p>
        </w:tc>
      </w:tr>
      <w:tr w14:paraId="5CBEF46B" w14:textId="77777777" w:rsidTr="007E1968">
        <w:tblPrEx>
          <w:tblW w:w="8789" w:type="dxa"/>
          <w:tblLayout w:type="fixed"/>
          <w:tblLook w:val="04A0"/>
        </w:tblPrEx>
        <w:trPr>
          <w:cantSplit/>
        </w:trPr>
        <w:tc>
          <w:tcPr>
            <w:tcW w:w="8789" w:type="dxa"/>
            <w:gridSpan w:val="3"/>
            <w:vAlign w:val="center"/>
          </w:tcPr>
          <w:p w:rsidR="007E1968" w:rsidP="00254027" w14:paraId="04AC302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6144B41F" w14:textId="77777777" w:rsidTr="007E1968">
        <w:tblPrEx>
          <w:tblW w:w="8789" w:type="dxa"/>
          <w:tblLayout w:type="fixed"/>
          <w:tblLook w:val="04A0"/>
        </w:tblPrEx>
        <w:trPr>
          <w:cantSplit/>
        </w:trPr>
        <w:tc>
          <w:tcPr>
            <w:tcW w:w="544" w:type="dxa"/>
            <w:vAlign w:val="center"/>
          </w:tcPr>
          <w:p w:rsidR="007E1968" w:rsidP="007E1968" w14:paraId="24B3A0F0" w14:textId="77777777">
            <w:pPr>
              <w:numPr>
                <w:ilvl w:val="0"/>
                <w:numId w:val="14"/>
              </w:numPr>
              <w:rPr>
                <w:rFonts w:ascii="宋体" w:hAnsi="宋体"/>
                <w:sz w:val="18"/>
                <w:szCs w:val="18"/>
              </w:rPr>
            </w:pPr>
          </w:p>
        </w:tc>
        <w:tc>
          <w:tcPr>
            <w:tcW w:w="898" w:type="dxa"/>
            <w:vAlign w:val="center"/>
          </w:tcPr>
          <w:p w:rsidR="007E1968" w:rsidP="00254027" w14:paraId="1A31D887" w14:textId="1D175928">
            <w:pPr>
              <w:jc w:val="center"/>
              <w:rPr>
                <w:rFonts w:ascii="宋体" w:hAnsi="宋体"/>
                <w:sz w:val="18"/>
                <w:szCs w:val="18"/>
              </w:rPr>
            </w:pPr>
            <w:r w:rsidRPr="007E1968">
              <w:rPr>
                <w:rFonts w:ascii="宋体" w:hAnsi="宋体" w:hint="eastAsia"/>
                <w:sz w:val="18"/>
                <w:szCs w:val="18"/>
              </w:rPr>
              <w:t>四、质保服务要求</w:t>
            </w:r>
          </w:p>
        </w:tc>
        <w:tc>
          <w:tcPr>
            <w:tcW w:w="7347" w:type="dxa"/>
            <w:vAlign w:val="center"/>
          </w:tcPr>
          <w:p w:rsidR="007E1968" w:rsidP="00254027" w14:paraId="054C7582" w14:textId="77777777">
            <w:pPr>
              <w:tabs>
                <w:tab w:val="left" w:pos="709"/>
              </w:tabs>
              <w:spacing w:line="360" w:lineRule="auto"/>
              <w:jc w:val="left"/>
              <w:rPr>
                <w:rFonts w:ascii="宋体" w:hAnsi="宋体"/>
                <w:sz w:val="18"/>
                <w:szCs w:val="18"/>
              </w:rPr>
            </w:pPr>
            <w:r w:rsidRPr="002F1A36">
              <w:rPr>
                <w:rFonts w:ascii="宋体" w:hAnsi="宋体" w:cs="微软雅黑" w:hint="eastAsia"/>
                <w:b/>
                <w:color w:val="0000FF"/>
                <w:kern w:val="0"/>
                <w:sz w:val="18"/>
                <w:szCs w:val="18"/>
              </w:rPr>
              <w:t>质保期：高精度温室气体浓度观测系统6年*，从双方签署现场安装测试报告之日起开始计算质保期。</w:t>
            </w:r>
          </w:p>
        </w:tc>
      </w:tr>
    </w:tbl>
    <w:p w:rsidR="0025081A" w14:paraId="150CE49F" w14:textId="7777777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25081A" w14:textId="77777777">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4"/>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pPr>
        <w:spacing w:line="360" w:lineRule="auto"/>
        <w:ind w:firstLine="3066" w:firstLineChars="1460"/>
        <w:jc w:val="left"/>
        <w:rPr>
          <w:b/>
          <w:bCs/>
          <w:szCs w:val="21"/>
          <w:highlight w:val="none"/>
        </w:rPr>
      </w:pPr>
      <w:bookmarkStart w:id="65"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66"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66"/>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67"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67"/>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A8"/>
      </w:r>
      <w:r>
        <w:rPr>
          <w:rFonts w:ascii="宋体" w:hAnsi="宋体" w:hint="eastAsia"/>
          <w:szCs w:val="21"/>
          <w:highlight w:val="none"/>
        </w:rPr>
        <w:t>分期付款：</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A.</w:t>
      </w:r>
      <w:r>
        <w:rPr>
          <w:rFonts w:ascii="宋体" w:hAnsi="宋体" w:hint="eastAsia"/>
          <w:szCs w:val="21"/>
          <w:highlight w:val="none"/>
          <w:u w:val="single"/>
        </w:rPr>
        <w:t>合同生效后付款：双方签署合同后20个工作日内，乙方向甲方开具合同总金额的 90% 即人民币    元（大写）    （小写） 的增值税普通发票，同时甲方向乙方支付相应金额款项。</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B.</w:t>
      </w:r>
      <w:r>
        <w:rPr>
          <w:rFonts w:ascii="宋体" w:hAnsi="宋体" w:hint="eastAsia"/>
          <w:szCs w:val="21"/>
          <w:highlight w:val="none"/>
          <w:u w:val="single"/>
        </w:rPr>
        <w:t>到货后付款：设备到货、签收后 20个工作日内，乙方向甲方开具合同总金额的 10% 即人民币    元（大写）    元（小写） 的增值税普通发票，同时甲方向乙方支付相应金额款项。</w:t>
      </w:r>
    </w:p>
    <w:p>
      <w:pPr>
        <w:snapToGrid w:val="0"/>
        <w:spacing w:line="400" w:lineRule="exact"/>
        <w:ind w:firstLine="630" w:firstLineChars="300"/>
        <w:rPr>
          <w:highlight w:val="none"/>
        </w:rPr>
      </w:pPr>
      <w:r>
        <w:rPr>
          <w:rFonts w:ascii="宋体" w:hAnsi="宋体" w:hint="eastAsia"/>
          <w:szCs w:val="21"/>
          <w:highlight w:val="none"/>
          <w:u w:val="single"/>
          <w:lang w:val="en-US" w:eastAsia="zh-CN"/>
        </w:rPr>
        <w:t>C.</w:t>
      </w:r>
      <w:r>
        <w:rPr>
          <w:rFonts w:ascii="宋体" w:hAnsi="宋体" w:hint="eastAsia"/>
          <w:szCs w:val="21"/>
          <w:highlight w:val="none"/>
          <w:u w:val="single"/>
        </w:rPr>
        <w:t>乙方在合同签订后20个工作日内，向甲方提供合同总金额 5% 即人民币    元（大写）    （小写） 的银行履约保函。验收合格一年后，甲方将银行履约保函退还乙方。</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w:t>
      </w:r>
      <w:r>
        <w:rPr>
          <w:rFonts w:ascii="宋体" w:hAnsi="宋体" w:hint="eastAsia"/>
          <w:szCs w:val="21"/>
          <w:highlight w:val="none"/>
          <w:u w:val="single"/>
        </w:rPr>
        <w:t xml:space="preserve">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8872" w:type="dxa"/>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
      <w:tblGrid>
        <w:gridCol w:w="1998"/>
        <w:gridCol w:w="2548"/>
        <w:gridCol w:w="2090"/>
        <w:gridCol w:w="2236"/>
      </w:tblGrid>
      <w:tr>
        <w:tblPrEx>
          <w:tblW w:w="8872" w:type="dxa"/>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Ex>
        <w:trPr>
          <w:trHeight w:val="490"/>
        </w:trPr>
        <w:tc>
          <w:tcPr>
            <w:tcW w:w="4546" w:type="dxa"/>
            <w:gridSpan w:val="2"/>
            <w:tcBorders>
              <w:bottom w:val="single" w:sz="2" w:space="0" w:color="auto"/>
              <w:right w:val="single" w:sz="2" w:space="0" w:color="auto"/>
            </w:tcBorders>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4326" w:type="dxa"/>
            <w:gridSpan w:val="2"/>
            <w:tcBorders>
              <w:left w:val="single" w:sz="2" w:space="0" w:color="auto"/>
              <w:bottom w:val="single" w:sz="2" w:space="0" w:color="auto"/>
            </w:tcBorders>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8872" w:type="dxa"/>
          <w:tblInd w:w="0" w:type="dxa"/>
          <w:tblLayout w:type="fixed"/>
          <w:tblCellMar>
            <w:top w:w="0" w:type="dxa"/>
            <w:left w:w="108" w:type="dxa"/>
            <w:bottom w:w="0" w:type="dxa"/>
            <w:right w:w="108" w:type="dxa"/>
          </w:tblCellMar>
        </w:tblPrEx>
        <w:trPr>
          <w:trHeight w:val="917"/>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1171"/>
        </w:trPr>
        <w:tc>
          <w:tcPr>
            <w:tcW w:w="1998" w:type="dxa"/>
            <w:vMerge w:val="restart"/>
            <w:tcBorders>
              <w:top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548" w:type="dxa"/>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vMerge/>
            <w:tcBorders>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548" w:type="dxa"/>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住  所</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住  所</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联 系 人</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联 系 人</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联系电话</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联系电话</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邮政编码</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邮政编码</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开户名称</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开户银行</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548"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highlight w:val="none"/>
              </w:rPr>
            </w:pPr>
            <w:r>
              <w:rPr>
                <w:szCs w:val="21"/>
                <w:highlight w:val="none"/>
              </w:rPr>
              <w:t>银行账号</w:t>
            </w:r>
          </w:p>
        </w:tc>
        <w:tc>
          <w:tcPr>
            <w:tcW w:w="2236" w:type="dxa"/>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586"/>
        </w:trPr>
        <w:tc>
          <w:tcPr>
            <w:tcW w:w="8872" w:type="dxa"/>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68" w:name="_Toc27624"/>
      <w:r>
        <w:rPr>
          <w:rFonts w:ascii="黑体" w:hAnsi="黑体" w:hint="eastAsia"/>
          <w:b w:val="0"/>
          <w:bCs w:val="0"/>
          <w:sz w:val="28"/>
          <w:szCs w:val="28"/>
          <w:highlight w:val="none"/>
        </w:rPr>
        <w:t>第二节 政府采购合同通用条款</w:t>
      </w:r>
      <w:bookmarkEnd w:id="6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6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6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highlight w:val="none"/>
              </w:rPr>
            </w:pP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5"/>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楷体_GB2312"/>
    <w:panose1 w:val="02010600040101010101"/>
    <w:charset w:val="86"/>
    <w:family w:val="auto"/>
    <w:pitch w:val="default"/>
    <w:sig w:usb0="00000287" w:usb1="080F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2">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5081A"/>
    <w:rsid w:val="00254027"/>
    <w:rsid w:val="00271216"/>
    <w:rsid w:val="00282D5E"/>
    <w:rsid w:val="00295140"/>
    <w:rsid w:val="002B1EC1"/>
    <w:rsid w:val="002B3B35"/>
    <w:rsid w:val="002B7975"/>
    <w:rsid w:val="002C0F0A"/>
    <w:rsid w:val="002C33FE"/>
    <w:rsid w:val="002D7404"/>
    <w:rsid w:val="002D761D"/>
    <w:rsid w:val="002E33DD"/>
    <w:rsid w:val="002F1A36"/>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E1968"/>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AONormal">
    <w:name w:val="AONormal"/>
    <w:qFormat/>
    <w:pPr>
      <w:autoSpaceDE w:val="0"/>
      <w:autoSpaceDN w:val="0"/>
      <w:adjustRightInd w:val="0"/>
      <w:spacing w:after="160"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