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2E8F393E">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14:paraId="10C385E8">
      <w:pPr>
        <w:spacing w:line="360" w:lineRule="auto"/>
        <w:jc w:val="center"/>
        <w:rPr>
          <w:b/>
          <w:sz w:val="28"/>
          <w:szCs w:val="28"/>
          <w:highlight w:val="none"/>
        </w:rPr>
      </w:pPr>
    </w:p>
    <w:p w14:paraId="07971D93">
      <w:pPr>
        <w:spacing w:line="360" w:lineRule="auto"/>
        <w:jc w:val="center"/>
        <w:rPr>
          <w:b/>
          <w:sz w:val="28"/>
          <w:szCs w:val="28"/>
          <w:highlight w:val="none"/>
        </w:rPr>
      </w:pPr>
    </w:p>
    <w:p w14:paraId="742A74EA">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22E42D16">
      <w:pPr>
        <w:spacing w:line="360" w:lineRule="auto"/>
        <w:jc w:val="center"/>
        <w:rPr>
          <w:rFonts w:ascii="宋体" w:hAnsi="宋体"/>
          <w:b/>
          <w:sz w:val="48"/>
          <w:highlight w:val="none"/>
        </w:rPr>
      </w:pPr>
      <w:r>
        <w:rPr>
          <w:rFonts w:ascii="宋体" w:hAnsi="宋体" w:hint="eastAsia"/>
          <w:b/>
          <w:sz w:val="48"/>
          <w:highlight w:val="none"/>
        </w:rPr>
        <w:t>（范本，货物类适用）</w:t>
      </w:r>
    </w:p>
    <w:p w14:paraId="498A0127">
      <w:pPr>
        <w:spacing w:line="360" w:lineRule="auto"/>
        <w:jc w:val="center"/>
        <w:rPr>
          <w:sz w:val="24"/>
          <w:szCs w:val="24"/>
          <w:highlight w:val="none"/>
        </w:rPr>
      </w:pPr>
    </w:p>
    <w:p w14:paraId="430ADEEE">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2026年江苏省短临工程-相干多普勒测风激光雷达（远距型）、集成式交通气象监测仪、移动式观测设备采购项目</w:t>
      </w:r>
      <w:bookmarkEnd w:id="0"/>
    </w:p>
    <w:p w14:paraId="3885F2F5">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ZQCD-26227</w:t>
      </w:r>
      <w:bookmarkEnd w:id="1"/>
    </w:p>
    <w:p w14:paraId="637B506A">
      <w:pPr>
        <w:adjustRightInd w:val="0"/>
        <w:snapToGrid w:val="0"/>
        <w:spacing w:line="360" w:lineRule="auto"/>
        <w:ind w:firstLine="470" w:firstLineChars="147"/>
        <w:jc w:val="left"/>
        <w:rPr>
          <w:rFonts w:ascii="仿宋_GB2312" w:eastAsia="仿宋_GB2312" w:hAnsi="宋体"/>
          <w:b/>
          <w:sz w:val="32"/>
          <w:szCs w:val="32"/>
          <w:highlight w:val="none"/>
        </w:rPr>
      </w:pPr>
    </w:p>
    <w:p w14:paraId="319ABF8A">
      <w:pPr>
        <w:adjustRightInd w:val="0"/>
        <w:snapToGrid w:val="0"/>
        <w:spacing w:line="360" w:lineRule="auto"/>
        <w:ind w:firstLine="470" w:firstLineChars="147"/>
        <w:jc w:val="left"/>
        <w:rPr>
          <w:rFonts w:ascii="仿宋_GB2312" w:eastAsia="仿宋_GB2312" w:hAnsi="宋体"/>
          <w:b/>
          <w:sz w:val="32"/>
          <w:szCs w:val="32"/>
          <w:highlight w:val="none"/>
        </w:rPr>
      </w:pPr>
    </w:p>
    <w:p w14:paraId="3623D6E0">
      <w:pPr>
        <w:adjustRightInd w:val="0"/>
        <w:snapToGrid w:val="0"/>
        <w:spacing w:line="360" w:lineRule="auto"/>
        <w:ind w:firstLine="470" w:firstLineChars="147"/>
        <w:jc w:val="left"/>
        <w:rPr>
          <w:rFonts w:ascii="仿宋_GB2312" w:eastAsia="仿宋_GB2312" w:hAnsi="宋体"/>
          <w:b/>
          <w:sz w:val="32"/>
          <w:szCs w:val="32"/>
          <w:highlight w:val="none"/>
        </w:rPr>
      </w:pPr>
    </w:p>
    <w:p w14:paraId="0E4A527C">
      <w:pPr>
        <w:adjustRightInd w:val="0"/>
        <w:snapToGrid w:val="0"/>
        <w:spacing w:line="360" w:lineRule="auto"/>
        <w:ind w:firstLine="470" w:firstLineChars="147"/>
        <w:jc w:val="left"/>
        <w:rPr>
          <w:rFonts w:ascii="仿宋_GB2312" w:eastAsia="仿宋_GB2312" w:hAnsi="宋体"/>
          <w:b/>
          <w:sz w:val="32"/>
          <w:szCs w:val="32"/>
          <w:highlight w:val="none"/>
        </w:rPr>
      </w:pPr>
    </w:p>
    <w:p w14:paraId="467A4597">
      <w:pPr>
        <w:adjustRightInd w:val="0"/>
        <w:snapToGrid w:val="0"/>
        <w:spacing w:line="360" w:lineRule="auto"/>
        <w:ind w:firstLine="470" w:firstLineChars="147"/>
        <w:jc w:val="left"/>
        <w:rPr>
          <w:rFonts w:ascii="仿宋_GB2312" w:eastAsia="仿宋_GB2312" w:hAnsi="宋体"/>
          <w:b/>
          <w:sz w:val="32"/>
          <w:szCs w:val="32"/>
          <w:highlight w:val="none"/>
        </w:rPr>
      </w:pPr>
    </w:p>
    <w:p w14:paraId="3EF3BB3B">
      <w:pPr>
        <w:adjustRightInd w:val="0"/>
        <w:snapToGrid w:val="0"/>
        <w:spacing w:line="360" w:lineRule="auto"/>
        <w:ind w:firstLine="470" w:firstLineChars="147"/>
        <w:jc w:val="left"/>
        <w:rPr>
          <w:rFonts w:ascii="仿宋_GB2312" w:eastAsia="仿宋_GB2312"/>
          <w:b/>
          <w:sz w:val="32"/>
          <w:szCs w:val="32"/>
          <w:highlight w:val="none"/>
        </w:rPr>
      </w:pPr>
    </w:p>
    <w:p w14:paraId="40C10E92">
      <w:pPr>
        <w:adjustRightInd w:val="0"/>
        <w:snapToGrid w:val="0"/>
        <w:spacing w:line="360" w:lineRule="auto"/>
        <w:jc w:val="left"/>
        <w:rPr>
          <w:rFonts w:ascii="仿宋_GB2312" w:eastAsia="仿宋_GB2312"/>
          <w:b/>
          <w:szCs w:val="21"/>
          <w:highlight w:val="none"/>
        </w:rPr>
      </w:pPr>
    </w:p>
    <w:p w14:paraId="294C2740">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43F57382">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14:paraId="790D5D0F">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22AF5AB7">
      <w:pPr>
        <w:spacing w:line="360" w:lineRule="auto"/>
        <w:jc w:val="center"/>
        <w:rPr>
          <w:sz w:val="24"/>
          <w:szCs w:val="24"/>
          <w:highlight w:val="none"/>
        </w:rPr>
      </w:pPr>
    </w:p>
    <w:p w14:paraId="48B2B0A1">
      <w:pPr>
        <w:spacing w:line="360" w:lineRule="auto"/>
        <w:jc w:val="center"/>
        <w:rPr>
          <w:sz w:val="24"/>
          <w:szCs w:val="24"/>
          <w:highlight w:val="none"/>
        </w:rPr>
      </w:pPr>
      <w:r>
        <w:rPr>
          <w:sz w:val="24"/>
          <w:szCs w:val="24"/>
          <w:highlight w:val="none"/>
        </w:rPr>
        <w:br w:type="page"/>
      </w:r>
    </w:p>
    <w:p w14:paraId="2DE0917A">
      <w:pPr>
        <w:spacing w:line="360" w:lineRule="auto"/>
        <w:jc w:val="center"/>
        <w:rPr>
          <w:sz w:val="24"/>
          <w:szCs w:val="24"/>
          <w:highlight w:val="none"/>
        </w:rPr>
      </w:pPr>
    </w:p>
    <w:p w14:paraId="20D6397C">
      <w:pPr>
        <w:spacing w:line="360" w:lineRule="auto"/>
        <w:jc w:val="center"/>
        <w:rPr>
          <w:sz w:val="24"/>
          <w:szCs w:val="24"/>
          <w:highlight w:val="none"/>
        </w:rPr>
      </w:pPr>
    </w:p>
    <w:p w14:paraId="55916334">
      <w:pPr>
        <w:spacing w:line="360" w:lineRule="auto"/>
        <w:jc w:val="center"/>
        <w:rPr>
          <w:rFonts w:ascii="宋体" w:hAnsi="宋体"/>
          <w:b/>
          <w:bCs/>
          <w:sz w:val="36"/>
          <w:szCs w:val="36"/>
        </w:rPr>
      </w:pPr>
      <w:r>
        <w:rPr>
          <w:rFonts w:ascii="宋体" w:hAnsi="宋体" w:hint="eastAsia"/>
          <w:b/>
          <w:bCs/>
          <w:sz w:val="36"/>
          <w:szCs w:val="36"/>
        </w:rPr>
        <w:t>总 目 录</w:t>
      </w:r>
    </w:p>
    <w:p w14:paraId="232BFB91">
      <w:pPr>
        <w:spacing w:line="360" w:lineRule="auto"/>
        <w:jc w:val="center"/>
        <w:rPr>
          <w:b/>
          <w:sz w:val="28"/>
          <w:szCs w:val="28"/>
        </w:rPr>
      </w:pPr>
    </w:p>
    <w:p w14:paraId="537D69AE">
      <w:pPr>
        <w:spacing w:line="360" w:lineRule="auto"/>
        <w:jc w:val="center"/>
        <w:rPr>
          <w:rFonts w:ascii="宋体" w:hAnsi="宋体"/>
          <w:b/>
          <w:sz w:val="28"/>
          <w:szCs w:val="28"/>
        </w:rPr>
      </w:pPr>
      <w:r>
        <w:rPr>
          <w:rFonts w:ascii="宋体" w:hAnsi="宋体" w:hint="eastAsia"/>
          <w:b/>
          <w:sz w:val="28"/>
          <w:szCs w:val="28"/>
        </w:rPr>
        <w:t>第一分册   通用部分</w:t>
      </w:r>
    </w:p>
    <w:p w14:paraId="6EDD6E96">
      <w:pPr>
        <w:spacing w:line="360" w:lineRule="auto"/>
        <w:ind w:left="2517" w:firstLine="420"/>
        <w:jc w:val="left"/>
        <w:rPr>
          <w:b/>
          <w:szCs w:val="21"/>
        </w:rPr>
      </w:pPr>
      <w:r>
        <w:rPr>
          <w:rFonts w:hint="eastAsia"/>
          <w:b/>
          <w:szCs w:val="21"/>
        </w:rPr>
        <w:t>第一章  投标人须知通用部分</w:t>
      </w:r>
    </w:p>
    <w:p w14:paraId="30B9F035">
      <w:pPr>
        <w:spacing w:line="360" w:lineRule="auto"/>
        <w:ind w:left="2517" w:firstLine="420"/>
        <w:jc w:val="left"/>
        <w:rPr>
          <w:b/>
          <w:szCs w:val="21"/>
        </w:rPr>
      </w:pPr>
      <w:r>
        <w:rPr>
          <w:rFonts w:hint="eastAsia"/>
          <w:b/>
          <w:szCs w:val="21"/>
        </w:rPr>
        <w:t>第二章  投标文件格式</w:t>
      </w:r>
    </w:p>
    <w:p w14:paraId="511FEDD6">
      <w:pPr>
        <w:spacing w:line="360" w:lineRule="auto"/>
        <w:ind w:left="2517" w:firstLine="420"/>
        <w:jc w:val="left"/>
        <w:rPr>
          <w:b/>
          <w:szCs w:val="21"/>
        </w:rPr>
      </w:pPr>
      <w:r>
        <w:rPr>
          <w:rFonts w:hint="eastAsia"/>
          <w:b/>
          <w:szCs w:val="21"/>
        </w:rPr>
        <w:t>第三章  投标被拒绝条款通用部分</w:t>
      </w:r>
    </w:p>
    <w:p w14:paraId="3F6950F8">
      <w:pPr>
        <w:spacing w:line="360" w:lineRule="auto"/>
        <w:jc w:val="center"/>
        <w:rPr>
          <w:rFonts w:ascii="宋体" w:hAnsi="宋体"/>
          <w:b/>
          <w:sz w:val="28"/>
          <w:szCs w:val="28"/>
        </w:rPr>
      </w:pPr>
    </w:p>
    <w:p w14:paraId="5240552F">
      <w:pPr>
        <w:spacing w:line="360" w:lineRule="auto"/>
        <w:jc w:val="center"/>
        <w:rPr>
          <w:rFonts w:ascii="宋体" w:hAnsi="宋体"/>
          <w:b/>
          <w:sz w:val="28"/>
          <w:szCs w:val="28"/>
        </w:rPr>
      </w:pPr>
      <w:r>
        <w:rPr>
          <w:rFonts w:ascii="宋体" w:hAnsi="宋体" w:hint="eastAsia"/>
          <w:b/>
          <w:sz w:val="28"/>
          <w:szCs w:val="28"/>
        </w:rPr>
        <w:t>第二分册   专用部分</w:t>
      </w:r>
    </w:p>
    <w:p w14:paraId="6835462F">
      <w:pPr>
        <w:spacing w:line="360" w:lineRule="auto"/>
        <w:ind w:left="2520" w:firstLine="420"/>
        <w:jc w:val="left"/>
        <w:rPr>
          <w:b/>
          <w:szCs w:val="21"/>
        </w:rPr>
      </w:pPr>
      <w:r>
        <w:rPr>
          <w:rFonts w:hint="eastAsia"/>
          <w:b/>
          <w:szCs w:val="21"/>
        </w:rPr>
        <w:t>第四章  投标邀请书</w:t>
      </w:r>
    </w:p>
    <w:p w14:paraId="22315F24">
      <w:pPr>
        <w:spacing w:line="360" w:lineRule="auto"/>
        <w:ind w:left="2520" w:firstLine="420"/>
        <w:jc w:val="left"/>
        <w:rPr>
          <w:b/>
          <w:szCs w:val="21"/>
        </w:rPr>
      </w:pPr>
      <w:r>
        <w:rPr>
          <w:rFonts w:hint="eastAsia"/>
          <w:b/>
          <w:szCs w:val="21"/>
        </w:rPr>
        <w:t>第五章  投标人须知专用部分</w:t>
      </w:r>
    </w:p>
    <w:p w14:paraId="2EF292BD">
      <w:pPr>
        <w:spacing w:line="360" w:lineRule="auto"/>
        <w:ind w:left="2520" w:firstLine="420"/>
        <w:jc w:val="left"/>
        <w:rPr>
          <w:b/>
          <w:szCs w:val="21"/>
        </w:rPr>
      </w:pPr>
      <w:r>
        <w:rPr>
          <w:rFonts w:hint="eastAsia"/>
          <w:b/>
          <w:szCs w:val="21"/>
        </w:rPr>
        <w:t>第六章  评标方法和评标标准</w:t>
      </w:r>
    </w:p>
    <w:p w14:paraId="26C00338">
      <w:pPr>
        <w:spacing w:line="360" w:lineRule="auto"/>
        <w:ind w:left="2520" w:firstLine="420"/>
        <w:jc w:val="left"/>
        <w:rPr>
          <w:b/>
          <w:szCs w:val="21"/>
        </w:rPr>
      </w:pPr>
      <w:r>
        <w:rPr>
          <w:rFonts w:hint="eastAsia"/>
          <w:b/>
          <w:szCs w:val="21"/>
        </w:rPr>
        <w:t>第七章  采购需求</w:t>
      </w:r>
    </w:p>
    <w:p w14:paraId="265315E2">
      <w:pPr>
        <w:spacing w:line="360" w:lineRule="auto"/>
        <w:ind w:left="2520" w:firstLine="420"/>
        <w:jc w:val="left"/>
        <w:rPr>
          <w:rFonts w:hint="eastAsia"/>
          <w:b/>
          <w:szCs w:val="21"/>
        </w:rPr>
      </w:pPr>
      <w:r>
        <w:rPr>
          <w:rFonts w:hint="eastAsia"/>
          <w:b/>
          <w:szCs w:val="21"/>
        </w:rPr>
        <w:t>第八章  投标被拒绝条款专用部分</w:t>
      </w:r>
    </w:p>
    <w:p w14:paraId="5B6CDB90">
      <w:pPr>
        <w:spacing w:line="360" w:lineRule="auto"/>
        <w:jc w:val="center"/>
        <w:rPr>
          <w:rFonts w:ascii="宋体" w:hAnsi="宋体"/>
          <w:b/>
          <w:sz w:val="28"/>
          <w:szCs w:val="28"/>
        </w:rPr>
      </w:pPr>
    </w:p>
    <w:p w14:paraId="7923CE47">
      <w:pPr>
        <w:spacing w:line="360" w:lineRule="auto"/>
        <w:jc w:val="center"/>
        <w:rPr>
          <w:rFonts w:ascii="宋体" w:hAnsi="宋体"/>
          <w:b/>
          <w:sz w:val="28"/>
          <w:szCs w:val="28"/>
        </w:rPr>
      </w:pPr>
      <w:r>
        <w:rPr>
          <w:rFonts w:ascii="宋体" w:hAnsi="宋体" w:hint="eastAsia"/>
          <w:b/>
          <w:sz w:val="28"/>
          <w:szCs w:val="28"/>
        </w:rPr>
        <w:t>第三分册   采购合同</w:t>
      </w:r>
    </w:p>
    <w:p w14:paraId="7C75E1E8">
      <w:pPr>
        <w:spacing w:line="360" w:lineRule="auto"/>
        <w:ind w:left="2520" w:firstLine="420"/>
        <w:jc w:val="left"/>
        <w:rPr>
          <w:b/>
          <w:szCs w:val="21"/>
        </w:rPr>
      </w:pPr>
      <w:r>
        <w:rPr>
          <w:rFonts w:hint="eastAsia"/>
          <w:b/>
          <w:szCs w:val="21"/>
        </w:rPr>
        <w:t>第九章  采购合同</w:t>
      </w:r>
    </w:p>
    <w:p w14:paraId="0E022030">
      <w:pPr>
        <w:spacing w:line="360" w:lineRule="auto"/>
        <w:ind w:left="2520" w:firstLine="420"/>
        <w:jc w:val="left"/>
        <w:rPr>
          <w:b/>
          <w:szCs w:val="21"/>
        </w:rPr>
      </w:pPr>
    </w:p>
    <w:p w14:paraId="7486D6E9">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16DC2C12">
      <w:pPr>
        <w:spacing w:line="360" w:lineRule="auto"/>
        <w:jc w:val="center"/>
        <w:outlineLvl w:val="0"/>
        <w:rPr>
          <w:b/>
          <w:sz w:val="48"/>
          <w:szCs w:val="36"/>
        </w:rPr>
      </w:pPr>
      <w:r>
        <w:rPr>
          <w:rFonts w:hint="eastAsia"/>
          <w:b/>
          <w:sz w:val="48"/>
          <w:szCs w:val="36"/>
        </w:rPr>
        <w:t>第一分册：通用部分</w:t>
      </w:r>
    </w:p>
    <w:p w14:paraId="65E768F0">
      <w:pPr>
        <w:spacing w:line="360" w:lineRule="auto"/>
        <w:rPr>
          <w:b/>
          <w:bCs/>
          <w:sz w:val="28"/>
          <w:szCs w:val="28"/>
        </w:rPr>
      </w:pPr>
    </w:p>
    <w:p w14:paraId="0848CC92">
      <w:pPr>
        <w:spacing w:line="360" w:lineRule="auto"/>
        <w:jc w:val="center"/>
        <w:rPr>
          <w:b/>
          <w:bCs/>
          <w:sz w:val="28"/>
          <w:szCs w:val="28"/>
        </w:rPr>
      </w:pPr>
      <w:r>
        <w:rPr>
          <w:rFonts w:hint="eastAsia"/>
          <w:b/>
          <w:bCs/>
          <w:sz w:val="28"/>
          <w:szCs w:val="28"/>
        </w:rPr>
        <w:t>目    录</w:t>
      </w:r>
    </w:p>
    <w:p w14:paraId="3DD6174A">
      <w:pPr>
        <w:spacing w:line="360" w:lineRule="auto"/>
        <w:jc w:val="center"/>
        <w:rPr>
          <w:b/>
          <w:bCs/>
          <w:sz w:val="28"/>
          <w:szCs w:val="28"/>
        </w:rPr>
      </w:pPr>
    </w:p>
    <w:p w14:paraId="4D14C78A">
      <w:pPr>
        <w:spacing w:line="360" w:lineRule="auto"/>
        <w:ind w:firstLine="2258" w:firstLineChars="1075"/>
        <w:jc w:val="left"/>
        <w:rPr>
          <w:b/>
          <w:bCs/>
          <w:szCs w:val="21"/>
        </w:rPr>
      </w:pPr>
      <w:r>
        <w:rPr>
          <w:rFonts w:hint="eastAsia"/>
          <w:b/>
          <w:bCs/>
          <w:szCs w:val="21"/>
        </w:rPr>
        <w:t>第一章  投标人须知通用部分</w:t>
      </w:r>
    </w:p>
    <w:p w14:paraId="1E2B9FDB">
      <w:pPr>
        <w:spacing w:line="360" w:lineRule="auto"/>
        <w:ind w:firstLine="2258" w:firstLineChars="1075"/>
        <w:jc w:val="left"/>
        <w:rPr>
          <w:b/>
          <w:bCs/>
          <w:szCs w:val="21"/>
        </w:rPr>
      </w:pPr>
      <w:r>
        <w:rPr>
          <w:rFonts w:hint="eastAsia"/>
          <w:b/>
          <w:bCs/>
          <w:szCs w:val="21"/>
        </w:rPr>
        <w:t>第二章  投标文件格式</w:t>
      </w:r>
    </w:p>
    <w:p w14:paraId="3234F45E">
      <w:pPr>
        <w:spacing w:line="360" w:lineRule="auto"/>
        <w:ind w:firstLine="2258" w:firstLineChars="1075"/>
        <w:jc w:val="left"/>
        <w:rPr>
          <w:b/>
          <w:bCs/>
          <w:szCs w:val="21"/>
        </w:rPr>
      </w:pPr>
      <w:r>
        <w:rPr>
          <w:rFonts w:hint="eastAsia"/>
          <w:b/>
          <w:bCs/>
          <w:szCs w:val="21"/>
        </w:rPr>
        <w:t>第三章  投标被拒绝条款通用部分</w:t>
      </w:r>
    </w:p>
    <w:p w14:paraId="15FAAA1D">
      <w:pPr>
        <w:jc w:val="center"/>
        <w:outlineLvl w:val="1"/>
        <w:rPr>
          <w:sz w:val="30"/>
          <w:szCs w:val="30"/>
        </w:rPr>
      </w:pPr>
      <w:bookmarkStart w:id="3" w:name="_Toc86202581"/>
      <w:r>
        <w:br w:type="page"/>
      </w:r>
      <w:bookmarkEnd w:id="3"/>
      <w:r>
        <w:rPr>
          <w:rFonts w:hint="eastAsia"/>
          <w:b/>
          <w:bCs/>
          <w:sz w:val="30"/>
          <w:szCs w:val="30"/>
        </w:rPr>
        <w:t>第一章  投标人须知通用部分</w:t>
      </w:r>
    </w:p>
    <w:p w14:paraId="2799B1DC">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530BF8B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7AD46245">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1CEFFB8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3B672986">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04D757F6">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252BF6B1">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58C9FFCA">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2288083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5DED6036">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75F155A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2989BBD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14C82FE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724BC19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0CFC99F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4678A56E">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6FA2F75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1ADF385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304B713F">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566D588D">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75180F12">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182B0BC6">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260AD650">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0D0536D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5323A55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3F7AE887">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4A0FBF27">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0E93C921">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4BC14231">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7EFA126B">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1FD6416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35111C68">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5FA86A24">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209B5D1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5C95E133">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4F17A6BE">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42A3CFB3">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55B3F7EB">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FF1D9C1">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415DFA9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00350588">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21D301B8">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5207D78B">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7FAEB78A">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18C92C9C">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14:paraId="121A52AE">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51AC5E57">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6BC710FE">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14:paraId="4930E73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45966AC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54BC97C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24A5DB6A">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5E718DED">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272F44A4">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6F20DAA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1220C440">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1F9F6313">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53BE537E">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606B4116">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4A64650F">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3B7B1711">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54B2036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29B1B5D8">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6434661C">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3D7B20A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3F322B1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343327F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74EE4E16">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4D30603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3F4C2CAB">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77883D2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25B5AB2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1971E70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452DA73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4BB8629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515F29C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74F97604">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41607F8C">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36F0DBF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1DAD555B">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75EA695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7DB3339A">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3D98007B">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7C9A46CB">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1A667F9D">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FB057FF">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09DFD3B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3100265B">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2CB14B46">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5AE48678">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402C1B5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18C8D5BA">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20D75407">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4235897F">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6E0CFD1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73CD25C0">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4D8D243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507A64B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61C5FBA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0E5F7C3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22FEADF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4FFB077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4890215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17829D7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718D938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630013D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104BD6C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3F6F892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3F1978A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07387A74">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6783080E">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0F81404B">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74A72710">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3DB78ECC">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41BA1165">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7E3CA6A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4BF10C65">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469B527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6241CE5D">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4A797DB9">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39A652AF">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1407BE8B">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780F863F">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1CA0FB2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1CD987AC">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37C0EBB9">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583E611B">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1EF6CBA6">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72A96F2A">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445EE89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54557FA6">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2D23E499">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433A6503">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425050CC">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776845DD">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1EDEA75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00A218D8">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6EEAFD0E">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66D46411">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1E483DA4">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189396BE">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3C6C5F92">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33D2542A">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78AFA861">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14:paraId="484634D7">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4B8EDB98">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3AB37679">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5793C9D5">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56C7B6FA">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015AF31F">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236ADD4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2D006880">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79858C96">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370330B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7B46600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66C98B00">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324A55C5">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62DF59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7EAEF2C5">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39D0ABC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1B10271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1C973C16">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3819364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17FB7FA5">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4D329464">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5EF42FC0">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09337675">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628935A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2CB55DA2">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08CC00C4">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40324CFC">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5656B06C">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3063DD79">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2684E878">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54FCB8C3">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3002740E">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20796760">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764D2726">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6B61FAE7">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05234313">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2CA1FC7C">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5B84AA88">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5C558FB7">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0D57E404">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7E6592FE">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478D84CD">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382AE1F4">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489400E2">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03B67AE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7EEEF4C4">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5BA330C3">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6E89A597">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14:paraId="0C8140D5">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310A879C">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5E4655CD">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26F2A072">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7523350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6B2ED19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7A95A39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7D38780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027B943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57537655">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7EAE0E5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3DBA7CE4">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23AD2C4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34F48A9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4DBBDF4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2CB6CCB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4D0697D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57041F2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4D7482B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173F361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08CED8BD">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15A74970">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670FCE40">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791FAE18">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34E3E689">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51DA2DA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06C5BD48">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1AC53C29">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21256A5C">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08B55C1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63D1583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1308FAA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58AA59A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300D2B8F">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6BEE6080">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4F6BF10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3D295D9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65412FB2">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7A71B33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6922ECF1">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15FFAD8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478D8298">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7D8817B9">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24020567">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63AD1E88">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6F500ABE">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6FDA1E58">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4CA3AB26">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4A26B5B1">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075EEAE6">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4976B675">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10B55968">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546C00E6">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573F18E7">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595A794A">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11486CDE">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481CEE85">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621254B9">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0052FDCF">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692A8069">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1C15652C">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31C6D078">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20DA546D">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6D013369">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18D8D087">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00DFE8A9">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416870DB">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0F81C8BA">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35D1C72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419B24E7">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3070718B">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7D64CBF1">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14:paraId="5EAC4457">
      <w:pPr>
        <w:pStyle w:val="10"/>
        <w:numPr>
          <w:ilvl w:val="0"/>
          <w:numId w:val="0"/>
        </w:numPr>
        <w:tabs>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&lt;全部通过符合性审查供应商投标报价平均值×50%；</w:t>
      </w:r>
    </w:p>
    <w:p w14:paraId="218EE4CA">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通过符合性审查的次低报价供应商投标报价×50%；</w:t>
      </w:r>
    </w:p>
    <w:p w14:paraId="44555D7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采购项目最高限价×45%；</w:t>
      </w:r>
    </w:p>
    <w:p w14:paraId="29B1416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14:paraId="0280B45E">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14:paraId="361F0FD6">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14:paraId="382EC5D1">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14:paraId="39A58FB1">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14:paraId="3E9DB5DB">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14:paraId="0398098D">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5B1697A6">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2C8D5786">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04EC775B">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157C056A">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2FAD1043">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0A5E34C4">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14:paraId="4E33F0EB">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34462C72">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26308B4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218B30D9">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70672DA5">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355FAAEA">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15A12C60">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1B89B8B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6A9D6EDC">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1181DF64">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2834CE66">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33B03C6D">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72AF74FA">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4CBDAB3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4EB45924">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027BF3A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2847E51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067D1D9C">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72BEE2F3">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685B57CB">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3433ACD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1B05B0C8">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40B4E6D1">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1F01AD74">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58BD507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24C4A31A">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6C2C65B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3BB0B1E1">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30E77C76">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527BCBA9">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30E9F58A">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39CA46B2">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222BB2D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5418D8FF">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61AAB739">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45A76D34">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75DA928D">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406C4833">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2D88184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091426D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501ABB0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733FC76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2B51BE2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3FB43EE7">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3F37427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4A8B8F20">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74E52071">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5B7E2CC5">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5CB57956">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79697D72">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23B1E91D">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661476FA">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5FE73223">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457FD32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11FBABDE">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2FF6224F">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3A31CA59">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0014B889">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27F771F2">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74C2ADF3">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7893B094">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3434BCE9">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15560AF3">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4BE0407F">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626E8ED2">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7D33C3C8">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48E570AE">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036DD31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1E38B56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6A1A451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352F30C4">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00CEA9E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4ADCD2A6">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46508529">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023FA5B9">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7C857804">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14:paraId="403A45B9">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1EE7B1E3">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60E2F4C2">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698EC04B">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7E4FC5C3">
      <w:pPr>
        <w:pStyle w:val="10"/>
        <w:numPr>
          <w:ilvl w:val="0"/>
          <w:numId w:val="0"/>
        </w:numPr>
        <w:tabs>
          <w:tab w:val="left" w:pos="1573"/>
        </w:tabs>
        <w:spacing w:line="360" w:lineRule="auto"/>
        <w:ind w:firstLine="420" w:firstLineChars="200"/>
        <w:rPr>
          <w:szCs w:val="44"/>
        </w:rPr>
      </w:pPr>
    </w:p>
    <w:p w14:paraId="698533B4">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6BE6542E">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232DDCA4">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76D055CA">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5B120298">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510892C5">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228017A4">
      <w:pPr>
        <w:pStyle w:val="10"/>
        <w:numPr>
          <w:ilvl w:val="0"/>
          <w:numId w:val="0"/>
        </w:numPr>
        <w:tabs>
          <w:tab w:val="left" w:pos="1573"/>
        </w:tabs>
        <w:adjustRightInd w:val="0"/>
        <w:snapToGrid w:val="0"/>
        <w:spacing w:line="360" w:lineRule="auto"/>
        <w:ind w:firstLine="420" w:firstLineChars="200"/>
        <w:rPr>
          <w:highlight w:val="none"/>
        </w:rPr>
      </w:pPr>
    </w:p>
    <w:p w14:paraId="3E5D3AF6">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14:paraId="3454B01F">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14:paraId="1B5A8CB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rPr>
      </w:pPr>
    </w:p>
    <w:p w14:paraId="0E13DB47">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14:paraId="76FB5CF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6BFAE41">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57F8C436">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14:paraId="7A2DDD3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28B1C5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14:paraId="3970F4D3">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rPr>
      </w:pPr>
    </w:p>
    <w:p w14:paraId="508C594B">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14:paraId="6571A26B">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796FEAF4">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14:paraId="4A7ED80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E721D00">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0F7593AD">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5211B39E">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888B301">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91D9C6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032B244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70A71F7">
      <w:pPr>
        <w:spacing w:line="360" w:lineRule="auto"/>
        <w:ind w:firstLine="420" w:firstLineChars="200"/>
        <w:rPr>
          <w:rFonts w:ascii="华文楷体" w:eastAsia="华文楷体" w:hAnsi="华文楷体" w:cs="仿宋_GB2312"/>
          <w:szCs w:val="21"/>
        </w:rPr>
      </w:pPr>
    </w:p>
    <w:p w14:paraId="5FFD60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66AA51E">
      <w:pPr>
        <w:spacing w:line="360" w:lineRule="auto"/>
        <w:ind w:firstLine="2835" w:firstLineChars="1350"/>
        <w:rPr>
          <w:rFonts w:ascii="华文楷体" w:eastAsia="华文楷体" w:hAnsi="华文楷体" w:cs="仿宋_GB2312"/>
          <w:szCs w:val="21"/>
        </w:rPr>
      </w:pPr>
    </w:p>
    <w:p w14:paraId="6AAD4DE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14:paraId="105AA7D5">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14:paraId="1C72E511">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325F96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C38E613">
      <w:pPr>
        <w:autoSpaceDN w:val="0"/>
        <w:spacing w:line="440" w:lineRule="exact"/>
        <w:ind w:firstLine="420" w:firstLineChars="200"/>
        <w:rPr>
          <w:rFonts w:ascii="华文楷体" w:eastAsia="华文楷体" w:hAnsi="华文楷体" w:cs="仿宋_GB2312" w:hint="eastAsia"/>
          <w:szCs w:val="21"/>
        </w:rPr>
      </w:pPr>
    </w:p>
    <w:p w14:paraId="195945EB">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rPr>
      </w:pPr>
    </w:p>
    <w:bookmarkEnd w:id="11"/>
    <w:p w14:paraId="4E510052">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14:paraId="377E52AA">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14:paraId="716A1D20">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14:paraId="2BF6B9F9">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7CEA6405">
      <w:pPr>
        <w:adjustRightInd w:val="0"/>
        <w:snapToGrid w:val="0"/>
        <w:spacing w:line="360" w:lineRule="auto"/>
        <w:ind w:firstLine="412" w:firstLineChars="196"/>
        <w:rPr>
          <w:highlight w:val="none"/>
        </w:rPr>
      </w:pPr>
    </w:p>
    <w:p w14:paraId="721CC93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14:paraId="1F6D51EF">
      <w:pPr>
        <w:pStyle w:val="NormalWeb"/>
        <w:shd w:val="clear" w:color="auto" w:fill="FFFFFF"/>
        <w:spacing w:before="30" w:beforeAutospacing="0" w:after="30" w:afterAutospacing="0"/>
        <w:ind w:firstLine="420"/>
        <w:rPr>
          <w:color w:val="333333"/>
          <w:szCs w:val="21"/>
          <w:highlight w:val="none"/>
        </w:rPr>
      </w:pPr>
    </w:p>
    <w:p w14:paraId="477FFCC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C2F0A8A">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4C121AFF">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5DFC87DF">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5FB838B">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0654DF4C">
      <w:pPr>
        <w:pStyle w:val="NormalWeb"/>
        <w:shd w:val="clear" w:color="auto" w:fill="FFFFFF"/>
        <w:spacing w:before="30" w:beforeAutospacing="0" w:after="30" w:afterAutospacing="0"/>
        <w:ind w:firstLine="420"/>
        <w:rPr>
          <w:color w:val="333333"/>
          <w:szCs w:val="21"/>
          <w:highlight w:val="none"/>
          <w:shd w:val="clear" w:color="auto" w:fill="FFFFFF"/>
        </w:rPr>
      </w:pPr>
    </w:p>
    <w:p w14:paraId="43096237">
      <w:pPr>
        <w:pStyle w:val="NormalWeb"/>
        <w:shd w:val="clear" w:color="auto" w:fill="FFFFFF"/>
        <w:spacing w:before="30" w:beforeAutospacing="0" w:after="30" w:afterAutospacing="0"/>
        <w:ind w:firstLine="420"/>
        <w:rPr>
          <w:rFonts w:hint="eastAsia"/>
          <w:color w:val="333333"/>
          <w:szCs w:val="21"/>
          <w:highlight w:val="none"/>
        </w:rPr>
      </w:pPr>
    </w:p>
    <w:p w14:paraId="2F056AB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56787A7E">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4A58CA0">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5F1773A">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2AE6D157">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4BD49AE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59AFFF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0B64CBA5">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05EBE224">
      <w:pPr>
        <w:adjustRightInd w:val="0"/>
        <w:snapToGrid w:val="0"/>
        <w:spacing w:line="360" w:lineRule="auto"/>
        <w:ind w:firstLine="420"/>
        <w:rPr>
          <w:rFonts w:ascii="宋体" w:hAnsi="宋体" w:hint="eastAsia"/>
          <w:b/>
          <w:bCs/>
          <w:szCs w:val="44"/>
          <w:highlight w:val="none"/>
        </w:rPr>
      </w:pPr>
    </w:p>
    <w:p w14:paraId="3DD89B19">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4B12E3C5">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14:paraId="332D4965">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6DF54BAD">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144A35C6">
            <w:pPr>
              <w:jc w:val="left"/>
              <w:rPr>
                <w:sz w:val="18"/>
                <w:szCs w:val="18"/>
              </w:rPr>
            </w:pPr>
            <w:r>
              <w:rPr>
                <w:rFonts w:hint="eastAsia"/>
                <w:sz w:val="18"/>
                <w:szCs w:val="18"/>
              </w:rPr>
              <w:t>序号</w:t>
            </w:r>
          </w:p>
        </w:tc>
        <w:tc>
          <w:tcPr>
            <w:tcW w:w="850" w:type="dxa"/>
            <w:vAlign w:val="center"/>
          </w:tcPr>
          <w:p w14:paraId="5C6C9EF2">
            <w:pPr>
              <w:jc w:val="center"/>
              <w:rPr>
                <w:sz w:val="18"/>
                <w:szCs w:val="18"/>
              </w:rPr>
            </w:pPr>
            <w:r>
              <w:rPr>
                <w:rFonts w:hint="eastAsia"/>
                <w:sz w:val="18"/>
                <w:szCs w:val="18"/>
              </w:rPr>
              <w:t>对应</w:t>
            </w:r>
          </w:p>
          <w:p w14:paraId="5D545A98">
            <w:pPr>
              <w:jc w:val="center"/>
              <w:rPr>
                <w:sz w:val="18"/>
                <w:szCs w:val="18"/>
              </w:rPr>
            </w:pPr>
            <w:r>
              <w:rPr>
                <w:rFonts w:hint="eastAsia"/>
                <w:sz w:val="18"/>
                <w:szCs w:val="18"/>
              </w:rPr>
              <w:t>条款号</w:t>
            </w:r>
          </w:p>
        </w:tc>
        <w:tc>
          <w:tcPr>
            <w:tcW w:w="7723" w:type="dxa"/>
            <w:vAlign w:val="center"/>
          </w:tcPr>
          <w:p w14:paraId="19110569">
            <w:pPr>
              <w:jc w:val="center"/>
              <w:rPr>
                <w:sz w:val="18"/>
                <w:szCs w:val="18"/>
              </w:rPr>
            </w:pPr>
            <w:r>
              <w:rPr>
                <w:rFonts w:hint="eastAsia"/>
                <w:sz w:val="18"/>
                <w:szCs w:val="18"/>
              </w:rPr>
              <w:t>内 容</w:t>
            </w:r>
          </w:p>
        </w:tc>
      </w:tr>
      <w:tr w14:paraId="72451817">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58D686E1">
            <w:pPr>
              <w:jc w:val="center"/>
              <w:rPr>
                <w:b/>
                <w:sz w:val="18"/>
                <w:szCs w:val="18"/>
              </w:rPr>
            </w:pPr>
            <w:r>
              <w:rPr>
                <w:rFonts w:hint="eastAsia"/>
                <w:b/>
                <w:sz w:val="18"/>
                <w:szCs w:val="18"/>
              </w:rPr>
              <w:t>第一章 投标人须知通用部分</w:t>
            </w:r>
          </w:p>
        </w:tc>
      </w:tr>
      <w:tr w14:paraId="5E9727C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F1E6DB5">
            <w:pPr>
              <w:numPr>
                <w:ilvl w:val="0"/>
                <w:numId w:val="3"/>
              </w:numPr>
              <w:ind w:left="0" w:firstLine="0"/>
              <w:jc w:val="left"/>
              <w:rPr>
                <w:rFonts w:ascii="宋体" w:hAnsi="宋体"/>
                <w:sz w:val="18"/>
                <w:szCs w:val="18"/>
              </w:rPr>
            </w:pPr>
          </w:p>
        </w:tc>
        <w:tc>
          <w:tcPr>
            <w:tcW w:w="850" w:type="dxa"/>
            <w:vAlign w:val="center"/>
          </w:tcPr>
          <w:p w14:paraId="495042A2">
            <w:pPr>
              <w:rPr>
                <w:rFonts w:ascii="宋体" w:hAnsi="宋体"/>
                <w:sz w:val="18"/>
                <w:szCs w:val="18"/>
              </w:rPr>
            </w:pPr>
            <w:r>
              <w:rPr>
                <w:rFonts w:ascii="宋体" w:hAnsi="宋体" w:hint="eastAsia"/>
                <w:sz w:val="18"/>
                <w:szCs w:val="18"/>
              </w:rPr>
              <w:t>1.3.1</w:t>
            </w:r>
          </w:p>
        </w:tc>
        <w:tc>
          <w:tcPr>
            <w:tcW w:w="7723" w:type="dxa"/>
            <w:vAlign w:val="center"/>
          </w:tcPr>
          <w:p w14:paraId="202091C8">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14:paraId="4C4CE10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630F8C">
            <w:pPr>
              <w:numPr>
                <w:ilvl w:val="0"/>
                <w:numId w:val="3"/>
              </w:numPr>
              <w:ind w:left="0" w:firstLine="0"/>
              <w:jc w:val="left"/>
              <w:rPr>
                <w:rFonts w:ascii="宋体" w:hAnsi="宋体"/>
                <w:sz w:val="18"/>
                <w:szCs w:val="18"/>
              </w:rPr>
            </w:pPr>
          </w:p>
        </w:tc>
        <w:tc>
          <w:tcPr>
            <w:tcW w:w="850" w:type="dxa"/>
            <w:vAlign w:val="center"/>
          </w:tcPr>
          <w:p w14:paraId="388320FA">
            <w:pPr>
              <w:rPr>
                <w:rFonts w:ascii="宋体" w:hAnsi="宋体"/>
                <w:sz w:val="18"/>
                <w:szCs w:val="18"/>
              </w:rPr>
            </w:pPr>
            <w:r>
              <w:rPr>
                <w:rFonts w:ascii="宋体" w:hAnsi="宋体" w:hint="eastAsia"/>
                <w:sz w:val="18"/>
                <w:szCs w:val="18"/>
              </w:rPr>
              <w:t>1.3.2</w:t>
            </w:r>
          </w:p>
        </w:tc>
        <w:tc>
          <w:tcPr>
            <w:tcW w:w="7723" w:type="dxa"/>
            <w:vAlign w:val="center"/>
          </w:tcPr>
          <w:p w14:paraId="4EB75D91">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14:paraId="65867ED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5F644C">
            <w:pPr>
              <w:numPr>
                <w:ilvl w:val="0"/>
                <w:numId w:val="3"/>
              </w:numPr>
              <w:ind w:left="0" w:firstLine="0"/>
              <w:jc w:val="left"/>
              <w:rPr>
                <w:rFonts w:ascii="宋体" w:hAnsi="宋体"/>
                <w:sz w:val="18"/>
                <w:szCs w:val="18"/>
              </w:rPr>
            </w:pPr>
          </w:p>
        </w:tc>
        <w:tc>
          <w:tcPr>
            <w:tcW w:w="850" w:type="dxa"/>
            <w:vAlign w:val="center"/>
          </w:tcPr>
          <w:p w14:paraId="2BD4559E">
            <w:pPr>
              <w:rPr>
                <w:rFonts w:ascii="宋体" w:hAnsi="宋体" w:hint="eastAsia"/>
                <w:sz w:val="18"/>
                <w:szCs w:val="18"/>
              </w:rPr>
            </w:pPr>
            <w:r>
              <w:rPr>
                <w:rFonts w:ascii="宋体" w:hAnsi="宋体" w:hint="eastAsia"/>
                <w:sz w:val="18"/>
                <w:szCs w:val="18"/>
              </w:rPr>
              <w:t>1.3.3</w:t>
            </w:r>
          </w:p>
        </w:tc>
        <w:tc>
          <w:tcPr>
            <w:tcW w:w="7723" w:type="dxa"/>
            <w:vAlign w:val="center"/>
          </w:tcPr>
          <w:p w14:paraId="5445AD75">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14:paraId="45AB0CAF">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14:paraId="1F9505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1533D38">
            <w:pPr>
              <w:numPr>
                <w:ilvl w:val="0"/>
                <w:numId w:val="3"/>
              </w:numPr>
              <w:ind w:left="0" w:firstLine="0"/>
              <w:jc w:val="left"/>
              <w:rPr>
                <w:rFonts w:ascii="宋体" w:hAnsi="宋体"/>
                <w:sz w:val="18"/>
                <w:szCs w:val="18"/>
              </w:rPr>
            </w:pPr>
          </w:p>
        </w:tc>
        <w:tc>
          <w:tcPr>
            <w:tcW w:w="850" w:type="dxa"/>
            <w:vAlign w:val="center"/>
          </w:tcPr>
          <w:p w14:paraId="6B864773">
            <w:pPr>
              <w:rPr>
                <w:rFonts w:ascii="宋体" w:hAnsi="宋体" w:hint="eastAsia"/>
                <w:sz w:val="18"/>
                <w:szCs w:val="18"/>
              </w:rPr>
            </w:pPr>
            <w:r>
              <w:rPr>
                <w:rFonts w:ascii="宋体" w:hAnsi="宋体" w:hint="eastAsia"/>
                <w:sz w:val="18"/>
                <w:szCs w:val="18"/>
              </w:rPr>
              <w:t>1.3.4</w:t>
            </w:r>
          </w:p>
        </w:tc>
        <w:tc>
          <w:tcPr>
            <w:tcW w:w="7723" w:type="dxa"/>
            <w:vAlign w:val="center"/>
          </w:tcPr>
          <w:p w14:paraId="016B03D0">
            <w:pPr>
              <w:pStyle w:val="10"/>
              <w:numPr>
                <w:ilvl w:val="0"/>
                <w:numId w:val="0"/>
              </w:numPr>
              <w:tabs>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14:paraId="28AF5E4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3B59A2">
            <w:pPr>
              <w:numPr>
                <w:ilvl w:val="0"/>
                <w:numId w:val="3"/>
              </w:numPr>
              <w:ind w:left="0" w:firstLine="0"/>
              <w:jc w:val="left"/>
              <w:rPr>
                <w:rFonts w:ascii="宋体" w:hAnsi="宋体"/>
                <w:sz w:val="18"/>
                <w:szCs w:val="18"/>
              </w:rPr>
            </w:pPr>
          </w:p>
        </w:tc>
        <w:tc>
          <w:tcPr>
            <w:tcW w:w="850" w:type="dxa"/>
            <w:vAlign w:val="center"/>
          </w:tcPr>
          <w:p w14:paraId="781D380A">
            <w:pPr>
              <w:rPr>
                <w:rFonts w:ascii="宋体" w:hAnsi="宋体"/>
                <w:sz w:val="18"/>
                <w:szCs w:val="18"/>
              </w:rPr>
            </w:pPr>
            <w:r>
              <w:rPr>
                <w:rFonts w:ascii="宋体" w:hAnsi="宋体" w:hint="eastAsia"/>
                <w:sz w:val="18"/>
                <w:szCs w:val="18"/>
              </w:rPr>
              <w:t>1.3.5</w:t>
            </w:r>
          </w:p>
        </w:tc>
        <w:tc>
          <w:tcPr>
            <w:tcW w:w="7723" w:type="dxa"/>
            <w:vAlign w:val="center"/>
          </w:tcPr>
          <w:p w14:paraId="4557E091">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14:paraId="7108396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6C6302">
            <w:pPr>
              <w:numPr>
                <w:ilvl w:val="0"/>
                <w:numId w:val="3"/>
              </w:numPr>
              <w:ind w:left="0" w:firstLine="0"/>
              <w:jc w:val="left"/>
              <w:rPr>
                <w:rFonts w:ascii="宋体" w:hAnsi="宋体"/>
                <w:sz w:val="18"/>
                <w:szCs w:val="18"/>
              </w:rPr>
            </w:pPr>
          </w:p>
        </w:tc>
        <w:tc>
          <w:tcPr>
            <w:tcW w:w="850" w:type="dxa"/>
            <w:vAlign w:val="center"/>
          </w:tcPr>
          <w:p w14:paraId="672F48B5">
            <w:pPr>
              <w:rPr>
                <w:rFonts w:ascii="宋体" w:hAnsi="宋体"/>
                <w:sz w:val="18"/>
                <w:szCs w:val="18"/>
              </w:rPr>
            </w:pPr>
            <w:r>
              <w:rPr>
                <w:rFonts w:ascii="宋体" w:hAnsi="宋体" w:hint="eastAsia"/>
                <w:sz w:val="18"/>
                <w:szCs w:val="18"/>
              </w:rPr>
              <w:t>1.3.6</w:t>
            </w:r>
          </w:p>
        </w:tc>
        <w:tc>
          <w:tcPr>
            <w:tcW w:w="7723" w:type="dxa"/>
            <w:vAlign w:val="center"/>
          </w:tcPr>
          <w:p w14:paraId="2910781B">
            <w:pPr>
              <w:pStyle w:val="10"/>
              <w:numPr>
                <w:ilvl w:val="0"/>
                <w:numId w:val="0"/>
              </w:numPr>
              <w:tabs>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01D26B2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161E6B">
            <w:pPr>
              <w:numPr>
                <w:ilvl w:val="0"/>
                <w:numId w:val="3"/>
              </w:numPr>
              <w:ind w:left="0" w:firstLine="0"/>
              <w:jc w:val="left"/>
              <w:rPr>
                <w:rFonts w:ascii="宋体" w:hAnsi="宋体"/>
                <w:sz w:val="18"/>
                <w:szCs w:val="18"/>
              </w:rPr>
            </w:pPr>
          </w:p>
        </w:tc>
        <w:tc>
          <w:tcPr>
            <w:tcW w:w="850" w:type="dxa"/>
            <w:vAlign w:val="center"/>
          </w:tcPr>
          <w:p w14:paraId="3C8441A8">
            <w:pPr>
              <w:rPr>
                <w:rFonts w:ascii="宋体" w:hAnsi="宋体"/>
                <w:bCs/>
                <w:sz w:val="18"/>
                <w:szCs w:val="18"/>
              </w:rPr>
            </w:pPr>
            <w:r>
              <w:rPr>
                <w:rFonts w:ascii="宋体" w:hAnsi="宋体" w:hint="eastAsia"/>
                <w:bCs/>
                <w:sz w:val="18"/>
                <w:szCs w:val="18"/>
              </w:rPr>
              <w:t>1.3.7</w:t>
            </w:r>
          </w:p>
        </w:tc>
        <w:tc>
          <w:tcPr>
            <w:tcW w:w="7723" w:type="dxa"/>
            <w:vAlign w:val="center"/>
          </w:tcPr>
          <w:p w14:paraId="5502D1DA">
            <w:pPr>
              <w:pStyle w:val="10"/>
              <w:numPr>
                <w:ilvl w:val="0"/>
                <w:numId w:val="0"/>
              </w:numPr>
              <w:tabs>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14:paraId="3A14E50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1D4C93">
            <w:pPr>
              <w:numPr>
                <w:ilvl w:val="0"/>
                <w:numId w:val="3"/>
              </w:numPr>
              <w:ind w:left="0" w:firstLine="0"/>
              <w:jc w:val="left"/>
              <w:rPr>
                <w:rFonts w:ascii="宋体" w:hAnsi="宋体"/>
                <w:sz w:val="18"/>
                <w:szCs w:val="18"/>
              </w:rPr>
            </w:pPr>
          </w:p>
        </w:tc>
        <w:tc>
          <w:tcPr>
            <w:tcW w:w="850" w:type="dxa"/>
            <w:vAlign w:val="center"/>
          </w:tcPr>
          <w:p w14:paraId="5D822C92">
            <w:pPr>
              <w:rPr>
                <w:rFonts w:ascii="宋体" w:hAnsi="宋体" w:hint="eastAsia"/>
                <w:bCs/>
                <w:sz w:val="18"/>
                <w:szCs w:val="18"/>
              </w:rPr>
            </w:pPr>
            <w:r>
              <w:rPr>
                <w:rFonts w:ascii="宋体" w:hAnsi="宋体" w:hint="eastAsia"/>
                <w:bCs/>
                <w:sz w:val="18"/>
                <w:szCs w:val="18"/>
              </w:rPr>
              <w:t>1.3.8</w:t>
            </w:r>
          </w:p>
        </w:tc>
        <w:tc>
          <w:tcPr>
            <w:tcW w:w="7723" w:type="dxa"/>
            <w:vAlign w:val="center"/>
          </w:tcPr>
          <w:p w14:paraId="0AA0FD9E">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14:paraId="20207C1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110F94B">
            <w:pPr>
              <w:numPr>
                <w:ilvl w:val="0"/>
                <w:numId w:val="3"/>
              </w:numPr>
              <w:ind w:left="0" w:firstLine="0"/>
              <w:jc w:val="left"/>
              <w:rPr>
                <w:rFonts w:ascii="宋体" w:hAnsi="宋体"/>
                <w:sz w:val="18"/>
                <w:szCs w:val="18"/>
              </w:rPr>
            </w:pPr>
          </w:p>
        </w:tc>
        <w:tc>
          <w:tcPr>
            <w:tcW w:w="850" w:type="dxa"/>
            <w:vAlign w:val="center"/>
          </w:tcPr>
          <w:p w14:paraId="4BD20A80">
            <w:pPr>
              <w:rPr>
                <w:rFonts w:ascii="宋体" w:hAnsi="宋体"/>
                <w:sz w:val="18"/>
                <w:szCs w:val="18"/>
              </w:rPr>
            </w:pPr>
            <w:r>
              <w:rPr>
                <w:rFonts w:ascii="宋体" w:hAnsi="宋体" w:hint="eastAsia"/>
                <w:bCs/>
                <w:sz w:val="18"/>
                <w:szCs w:val="18"/>
              </w:rPr>
              <w:t>1.3.9</w:t>
            </w:r>
          </w:p>
        </w:tc>
        <w:tc>
          <w:tcPr>
            <w:tcW w:w="7723" w:type="dxa"/>
            <w:vAlign w:val="center"/>
          </w:tcPr>
          <w:p w14:paraId="0E7BD6A2">
            <w:pPr>
              <w:rPr>
                <w:rFonts w:ascii="宋体" w:hAnsi="宋体"/>
                <w:sz w:val="18"/>
                <w:szCs w:val="18"/>
              </w:rPr>
            </w:pPr>
            <w:r>
              <w:rPr>
                <w:rFonts w:ascii="宋体" w:hAnsi="宋体" w:hint="eastAsia"/>
                <w:sz w:val="18"/>
                <w:szCs w:val="18"/>
              </w:rPr>
              <w:t>投标人在投标过程中向采购人和采购中心提供、给予任何有价值的物品。</w:t>
            </w:r>
          </w:p>
        </w:tc>
      </w:tr>
      <w:tr w14:paraId="3B1CC88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D412AC2">
            <w:pPr>
              <w:numPr>
                <w:ilvl w:val="0"/>
                <w:numId w:val="3"/>
              </w:numPr>
              <w:ind w:left="0" w:firstLine="0"/>
              <w:jc w:val="left"/>
              <w:rPr>
                <w:rFonts w:ascii="宋体" w:hAnsi="宋体"/>
                <w:sz w:val="18"/>
                <w:szCs w:val="18"/>
              </w:rPr>
            </w:pPr>
          </w:p>
        </w:tc>
        <w:tc>
          <w:tcPr>
            <w:tcW w:w="850" w:type="dxa"/>
            <w:vAlign w:val="center"/>
          </w:tcPr>
          <w:p w14:paraId="2CD9F6C5">
            <w:pPr>
              <w:rPr>
                <w:rFonts w:ascii="宋体" w:hAnsi="宋体"/>
                <w:bCs/>
                <w:sz w:val="18"/>
                <w:szCs w:val="18"/>
              </w:rPr>
            </w:pPr>
            <w:r>
              <w:rPr>
                <w:rFonts w:ascii="宋体" w:hAnsi="宋体" w:hint="eastAsia"/>
                <w:bCs/>
                <w:sz w:val="18"/>
                <w:szCs w:val="18"/>
              </w:rPr>
              <w:t>1.3.10</w:t>
            </w:r>
          </w:p>
        </w:tc>
        <w:tc>
          <w:tcPr>
            <w:tcW w:w="7723" w:type="dxa"/>
            <w:vAlign w:val="center"/>
          </w:tcPr>
          <w:p w14:paraId="4A6E657C">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14:paraId="326434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F4DED9">
            <w:pPr>
              <w:numPr>
                <w:ilvl w:val="0"/>
                <w:numId w:val="3"/>
              </w:numPr>
              <w:ind w:left="0" w:firstLine="0"/>
              <w:jc w:val="left"/>
              <w:rPr>
                <w:rFonts w:ascii="宋体" w:hAnsi="宋体"/>
                <w:sz w:val="18"/>
                <w:szCs w:val="18"/>
              </w:rPr>
            </w:pPr>
          </w:p>
        </w:tc>
        <w:tc>
          <w:tcPr>
            <w:tcW w:w="850" w:type="dxa"/>
            <w:vAlign w:val="center"/>
          </w:tcPr>
          <w:p w14:paraId="12AC501B">
            <w:pPr>
              <w:rPr>
                <w:rFonts w:ascii="宋体" w:hAnsi="宋体" w:hint="eastAsia"/>
                <w:bCs/>
                <w:sz w:val="18"/>
                <w:szCs w:val="18"/>
              </w:rPr>
            </w:pPr>
            <w:r>
              <w:rPr>
                <w:rFonts w:ascii="宋体" w:hAnsi="宋体" w:hint="eastAsia"/>
                <w:bCs/>
                <w:sz w:val="18"/>
                <w:szCs w:val="18"/>
              </w:rPr>
              <w:t>1.3.11</w:t>
            </w:r>
          </w:p>
        </w:tc>
        <w:tc>
          <w:tcPr>
            <w:tcW w:w="7723" w:type="dxa"/>
            <w:vAlign w:val="center"/>
          </w:tcPr>
          <w:p w14:paraId="3FDAC42C">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14:paraId="1108BF9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75697A">
            <w:pPr>
              <w:numPr>
                <w:ilvl w:val="0"/>
                <w:numId w:val="3"/>
              </w:numPr>
              <w:ind w:left="0" w:firstLine="0"/>
              <w:jc w:val="left"/>
              <w:rPr>
                <w:rFonts w:ascii="宋体" w:hAnsi="宋体"/>
                <w:sz w:val="18"/>
                <w:szCs w:val="18"/>
              </w:rPr>
            </w:pPr>
          </w:p>
        </w:tc>
        <w:tc>
          <w:tcPr>
            <w:tcW w:w="850" w:type="dxa"/>
            <w:vAlign w:val="center"/>
          </w:tcPr>
          <w:p w14:paraId="08B3A588">
            <w:pPr>
              <w:rPr>
                <w:rFonts w:ascii="宋体" w:hAnsi="宋体"/>
                <w:sz w:val="18"/>
                <w:szCs w:val="18"/>
              </w:rPr>
            </w:pPr>
            <w:r>
              <w:rPr>
                <w:rFonts w:ascii="宋体" w:hAnsi="宋体" w:hint="eastAsia"/>
                <w:bCs/>
                <w:sz w:val="18"/>
                <w:szCs w:val="18"/>
              </w:rPr>
              <w:t>1.3.12</w:t>
            </w:r>
          </w:p>
        </w:tc>
        <w:tc>
          <w:tcPr>
            <w:tcW w:w="7723" w:type="dxa"/>
            <w:vAlign w:val="center"/>
          </w:tcPr>
          <w:p w14:paraId="4AB9B968">
            <w:pPr>
              <w:pStyle w:val="10"/>
              <w:numPr>
                <w:ilvl w:val="0"/>
                <w:numId w:val="0"/>
              </w:numPr>
              <w:tabs>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14:paraId="33D212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E7F5B5">
            <w:pPr>
              <w:numPr>
                <w:ilvl w:val="0"/>
                <w:numId w:val="3"/>
              </w:numPr>
              <w:ind w:left="0" w:firstLine="0"/>
              <w:jc w:val="left"/>
              <w:rPr>
                <w:rFonts w:ascii="宋体" w:hAnsi="宋体"/>
                <w:sz w:val="18"/>
                <w:szCs w:val="18"/>
              </w:rPr>
            </w:pPr>
          </w:p>
        </w:tc>
        <w:tc>
          <w:tcPr>
            <w:tcW w:w="850" w:type="dxa"/>
            <w:vAlign w:val="center"/>
          </w:tcPr>
          <w:p w14:paraId="25C2655A">
            <w:pPr>
              <w:rPr>
                <w:rFonts w:ascii="宋体" w:hAnsi="宋体" w:hint="eastAsia"/>
                <w:bCs/>
                <w:sz w:val="18"/>
                <w:szCs w:val="18"/>
              </w:rPr>
            </w:pPr>
            <w:r>
              <w:rPr>
                <w:rFonts w:ascii="宋体" w:hAnsi="宋体" w:hint="eastAsia"/>
                <w:bCs/>
                <w:sz w:val="18"/>
                <w:szCs w:val="18"/>
              </w:rPr>
              <w:t>1.4.1</w:t>
            </w:r>
          </w:p>
        </w:tc>
        <w:tc>
          <w:tcPr>
            <w:tcW w:w="7723" w:type="dxa"/>
            <w:vAlign w:val="center"/>
          </w:tcPr>
          <w:p w14:paraId="7E042D90">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14:paraId="0A3A88B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C207FA">
            <w:pPr>
              <w:numPr>
                <w:ilvl w:val="0"/>
                <w:numId w:val="3"/>
              </w:numPr>
              <w:ind w:left="0" w:firstLine="0"/>
              <w:jc w:val="left"/>
              <w:rPr>
                <w:rFonts w:ascii="宋体" w:hAnsi="宋体"/>
                <w:sz w:val="18"/>
                <w:szCs w:val="18"/>
              </w:rPr>
            </w:pPr>
          </w:p>
        </w:tc>
        <w:tc>
          <w:tcPr>
            <w:tcW w:w="850" w:type="dxa"/>
            <w:vAlign w:val="center"/>
          </w:tcPr>
          <w:p w14:paraId="5213156A">
            <w:pPr>
              <w:rPr>
                <w:rFonts w:ascii="宋体" w:hAnsi="宋体" w:hint="eastAsia"/>
                <w:bCs/>
                <w:sz w:val="18"/>
                <w:szCs w:val="18"/>
              </w:rPr>
            </w:pPr>
            <w:r>
              <w:rPr>
                <w:rFonts w:ascii="宋体" w:hAnsi="宋体" w:hint="eastAsia"/>
                <w:bCs/>
                <w:sz w:val="18"/>
                <w:szCs w:val="18"/>
              </w:rPr>
              <w:t>1.5.3</w:t>
            </w:r>
          </w:p>
        </w:tc>
        <w:tc>
          <w:tcPr>
            <w:tcW w:w="7723" w:type="dxa"/>
            <w:vAlign w:val="center"/>
          </w:tcPr>
          <w:p w14:paraId="0BB86DEF">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14:paraId="6339015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954194B">
            <w:pPr>
              <w:numPr>
                <w:ilvl w:val="0"/>
                <w:numId w:val="3"/>
              </w:numPr>
              <w:ind w:left="0" w:firstLine="0"/>
              <w:jc w:val="left"/>
              <w:rPr>
                <w:rFonts w:ascii="宋体" w:hAnsi="宋体"/>
                <w:sz w:val="18"/>
                <w:szCs w:val="18"/>
              </w:rPr>
            </w:pPr>
          </w:p>
        </w:tc>
        <w:tc>
          <w:tcPr>
            <w:tcW w:w="850" w:type="dxa"/>
            <w:vAlign w:val="center"/>
          </w:tcPr>
          <w:p w14:paraId="1916890B">
            <w:pPr>
              <w:rPr>
                <w:rFonts w:ascii="宋体" w:hAnsi="宋体"/>
                <w:bCs/>
                <w:sz w:val="18"/>
                <w:szCs w:val="18"/>
              </w:rPr>
            </w:pPr>
            <w:r>
              <w:rPr>
                <w:rFonts w:ascii="宋体" w:hAnsi="宋体" w:hint="eastAsia"/>
                <w:bCs/>
                <w:sz w:val="18"/>
                <w:szCs w:val="18"/>
              </w:rPr>
              <w:t>1.6.1</w:t>
            </w:r>
          </w:p>
        </w:tc>
        <w:tc>
          <w:tcPr>
            <w:tcW w:w="7723" w:type="dxa"/>
            <w:vAlign w:val="center"/>
          </w:tcPr>
          <w:p w14:paraId="7F1BCD07">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6A5D3A3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6A9BB84">
            <w:pPr>
              <w:numPr>
                <w:ilvl w:val="0"/>
                <w:numId w:val="3"/>
              </w:numPr>
              <w:ind w:left="0" w:firstLine="0"/>
              <w:jc w:val="left"/>
              <w:rPr>
                <w:rFonts w:ascii="宋体" w:hAnsi="宋体"/>
                <w:sz w:val="18"/>
                <w:szCs w:val="18"/>
              </w:rPr>
            </w:pPr>
          </w:p>
        </w:tc>
        <w:tc>
          <w:tcPr>
            <w:tcW w:w="850" w:type="dxa"/>
            <w:vAlign w:val="center"/>
          </w:tcPr>
          <w:p w14:paraId="11DE5788">
            <w:pPr>
              <w:rPr>
                <w:rFonts w:ascii="宋体" w:hAnsi="宋体"/>
                <w:sz w:val="18"/>
                <w:szCs w:val="18"/>
              </w:rPr>
            </w:pPr>
            <w:r>
              <w:rPr>
                <w:rFonts w:ascii="宋体" w:hAnsi="宋体" w:hint="eastAsia"/>
                <w:bCs/>
                <w:sz w:val="18"/>
                <w:szCs w:val="18"/>
              </w:rPr>
              <w:t>1.7.1</w:t>
            </w:r>
          </w:p>
        </w:tc>
        <w:tc>
          <w:tcPr>
            <w:tcW w:w="7723" w:type="dxa"/>
            <w:vAlign w:val="center"/>
          </w:tcPr>
          <w:p w14:paraId="7BF0397B">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14:paraId="4F68744E">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56B24038">
            <w:pPr>
              <w:numPr>
                <w:ilvl w:val="0"/>
                <w:numId w:val="3"/>
              </w:numPr>
              <w:spacing w:line="360" w:lineRule="auto"/>
              <w:ind w:left="0" w:firstLine="0"/>
              <w:jc w:val="left"/>
              <w:rPr>
                <w:rFonts w:ascii="宋体" w:hAnsi="宋体"/>
                <w:bCs/>
                <w:sz w:val="18"/>
                <w:szCs w:val="18"/>
              </w:rPr>
            </w:pPr>
          </w:p>
        </w:tc>
        <w:tc>
          <w:tcPr>
            <w:tcW w:w="850" w:type="dxa"/>
            <w:vAlign w:val="center"/>
          </w:tcPr>
          <w:p w14:paraId="476652F5">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14:paraId="757F2F8C">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14:paraId="1223F11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B1E742C">
            <w:pPr>
              <w:numPr>
                <w:ilvl w:val="0"/>
                <w:numId w:val="3"/>
              </w:numPr>
              <w:ind w:left="0" w:firstLine="0"/>
              <w:jc w:val="left"/>
              <w:rPr>
                <w:rFonts w:ascii="宋体" w:hAnsi="宋体"/>
                <w:sz w:val="18"/>
                <w:szCs w:val="18"/>
              </w:rPr>
            </w:pPr>
          </w:p>
        </w:tc>
        <w:tc>
          <w:tcPr>
            <w:tcW w:w="850" w:type="dxa"/>
            <w:vAlign w:val="center"/>
          </w:tcPr>
          <w:p w14:paraId="542FC31C">
            <w:pPr>
              <w:rPr>
                <w:rFonts w:ascii="宋体" w:hAnsi="宋体"/>
                <w:sz w:val="18"/>
                <w:szCs w:val="18"/>
              </w:rPr>
            </w:pPr>
            <w:r>
              <w:rPr>
                <w:rFonts w:ascii="宋体" w:hAnsi="宋体" w:hint="eastAsia"/>
                <w:sz w:val="18"/>
                <w:szCs w:val="18"/>
              </w:rPr>
              <w:t>1.7.3</w:t>
            </w:r>
          </w:p>
        </w:tc>
        <w:tc>
          <w:tcPr>
            <w:tcW w:w="7723" w:type="dxa"/>
            <w:vAlign w:val="center"/>
          </w:tcPr>
          <w:p w14:paraId="5E9DEBFA">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04FEEFE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4C5F6CB">
            <w:pPr>
              <w:numPr>
                <w:ilvl w:val="0"/>
                <w:numId w:val="3"/>
              </w:numPr>
              <w:ind w:left="0" w:firstLine="0"/>
              <w:jc w:val="left"/>
              <w:rPr>
                <w:rFonts w:ascii="宋体" w:hAnsi="宋体"/>
                <w:sz w:val="18"/>
                <w:szCs w:val="18"/>
              </w:rPr>
            </w:pPr>
          </w:p>
        </w:tc>
        <w:tc>
          <w:tcPr>
            <w:tcW w:w="850" w:type="dxa"/>
            <w:vAlign w:val="center"/>
          </w:tcPr>
          <w:p w14:paraId="7A54C9A3">
            <w:pPr>
              <w:jc w:val="left"/>
              <w:rPr>
                <w:rFonts w:ascii="宋体" w:hAnsi="宋体"/>
                <w:sz w:val="18"/>
                <w:szCs w:val="18"/>
              </w:rPr>
            </w:pPr>
            <w:r>
              <w:rPr>
                <w:rFonts w:ascii="宋体" w:hAnsi="宋体" w:hint="eastAsia"/>
                <w:sz w:val="18"/>
                <w:szCs w:val="18"/>
              </w:rPr>
              <w:t>1.14.2</w:t>
            </w:r>
          </w:p>
        </w:tc>
        <w:tc>
          <w:tcPr>
            <w:tcW w:w="7723" w:type="dxa"/>
            <w:vAlign w:val="center"/>
          </w:tcPr>
          <w:p w14:paraId="46A56E40">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②以投标截止日为基准日，近一年内内任何完税凭证或税务部门出具的税收减免证明</w:t>
            </w:r>
            <w:r>
              <w:rPr>
                <w:rFonts w:hint="eastAsia"/>
                <w:sz w:val="18"/>
                <w:szCs w:val="18"/>
              </w:rPr>
              <w:t>；</w:t>
            </w:r>
            <w:r>
              <w:rPr>
                <w:rFonts w:ascii="宋体" w:hAnsi="宋体" w:hint="eastAsia"/>
                <w:sz w:val="18"/>
                <w:szCs w:val="18"/>
              </w:rPr>
              <w:t>③以投标截止日为基准日，近一年内的任何一期社会保障资金缴纳凭证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14:paraId="44D52FA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B1D579">
            <w:pPr>
              <w:numPr>
                <w:ilvl w:val="0"/>
                <w:numId w:val="3"/>
              </w:numPr>
              <w:ind w:left="0" w:firstLine="0"/>
              <w:jc w:val="left"/>
              <w:rPr>
                <w:rFonts w:ascii="宋体" w:hAnsi="宋体"/>
                <w:sz w:val="18"/>
                <w:szCs w:val="18"/>
              </w:rPr>
            </w:pPr>
          </w:p>
        </w:tc>
        <w:tc>
          <w:tcPr>
            <w:tcW w:w="850" w:type="dxa"/>
            <w:vAlign w:val="center"/>
          </w:tcPr>
          <w:p w14:paraId="2C827AF1">
            <w:pPr>
              <w:rPr>
                <w:rFonts w:ascii="宋体" w:hAnsi="宋体"/>
                <w:sz w:val="18"/>
                <w:szCs w:val="18"/>
              </w:rPr>
            </w:pPr>
            <w:r>
              <w:rPr>
                <w:rFonts w:ascii="宋体" w:hAnsi="宋体" w:hint="eastAsia"/>
                <w:sz w:val="18"/>
                <w:szCs w:val="18"/>
              </w:rPr>
              <w:t>1.14.3</w:t>
            </w:r>
          </w:p>
        </w:tc>
        <w:tc>
          <w:tcPr>
            <w:tcW w:w="7723" w:type="dxa"/>
          </w:tcPr>
          <w:p w14:paraId="5C6BBB20">
            <w:pPr>
              <w:pStyle w:val="10"/>
              <w:numPr>
                <w:ilvl w:val="0"/>
                <w:numId w:val="0"/>
              </w:numPr>
              <w:tabs>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14:paraId="2D36C70E">
            <w:pPr>
              <w:pStyle w:val="10"/>
              <w:numPr>
                <w:ilvl w:val="0"/>
                <w:numId w:val="0"/>
              </w:numPr>
              <w:tabs>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14:paraId="54015C0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28BAC98">
            <w:pPr>
              <w:numPr>
                <w:ilvl w:val="0"/>
                <w:numId w:val="3"/>
              </w:numPr>
              <w:ind w:left="0" w:firstLine="0"/>
              <w:jc w:val="left"/>
              <w:rPr>
                <w:rFonts w:ascii="宋体" w:hAnsi="宋体"/>
                <w:sz w:val="18"/>
                <w:szCs w:val="18"/>
              </w:rPr>
            </w:pPr>
          </w:p>
        </w:tc>
        <w:tc>
          <w:tcPr>
            <w:tcW w:w="850" w:type="dxa"/>
            <w:vAlign w:val="center"/>
          </w:tcPr>
          <w:p w14:paraId="16D71E11">
            <w:pPr>
              <w:rPr>
                <w:rFonts w:ascii="宋体" w:hAnsi="宋体" w:hint="eastAsia"/>
                <w:sz w:val="18"/>
                <w:szCs w:val="18"/>
              </w:rPr>
            </w:pPr>
            <w:r>
              <w:rPr>
                <w:rFonts w:ascii="宋体" w:hAnsi="宋体" w:hint="eastAsia"/>
                <w:sz w:val="18"/>
                <w:szCs w:val="18"/>
              </w:rPr>
              <w:t>1.15.2</w:t>
            </w:r>
          </w:p>
        </w:tc>
        <w:tc>
          <w:tcPr>
            <w:tcW w:w="7723" w:type="dxa"/>
            <w:vAlign w:val="center"/>
          </w:tcPr>
          <w:p w14:paraId="200A6A66">
            <w:pPr>
              <w:pStyle w:val="10"/>
              <w:numPr>
                <w:ilvl w:val="0"/>
                <w:numId w:val="0"/>
              </w:numPr>
              <w:tabs>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14:paraId="4B1C6C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49B4C3">
            <w:pPr>
              <w:numPr>
                <w:ilvl w:val="0"/>
                <w:numId w:val="3"/>
              </w:numPr>
              <w:ind w:left="0" w:firstLine="0"/>
              <w:jc w:val="left"/>
              <w:rPr>
                <w:rFonts w:ascii="宋体" w:hAnsi="宋体"/>
                <w:sz w:val="18"/>
                <w:szCs w:val="18"/>
              </w:rPr>
            </w:pPr>
          </w:p>
        </w:tc>
        <w:tc>
          <w:tcPr>
            <w:tcW w:w="850" w:type="dxa"/>
            <w:vAlign w:val="center"/>
          </w:tcPr>
          <w:p w14:paraId="3E0F1646">
            <w:pPr>
              <w:jc w:val="left"/>
              <w:rPr>
                <w:rFonts w:ascii="宋体" w:hAnsi="宋体"/>
                <w:sz w:val="18"/>
                <w:szCs w:val="18"/>
              </w:rPr>
            </w:pPr>
            <w:r>
              <w:rPr>
                <w:rFonts w:ascii="宋体" w:hAnsi="宋体" w:hint="eastAsia"/>
                <w:sz w:val="18"/>
                <w:szCs w:val="18"/>
              </w:rPr>
              <w:t>1.16.3</w:t>
            </w:r>
          </w:p>
        </w:tc>
        <w:tc>
          <w:tcPr>
            <w:tcW w:w="7723" w:type="dxa"/>
            <w:vAlign w:val="center"/>
          </w:tcPr>
          <w:p w14:paraId="1ED4E0F4">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14:paraId="3F1F5F1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2FCDC8F">
            <w:pPr>
              <w:numPr>
                <w:ilvl w:val="0"/>
                <w:numId w:val="3"/>
              </w:numPr>
              <w:ind w:left="0" w:firstLine="0"/>
              <w:jc w:val="left"/>
              <w:rPr>
                <w:rFonts w:ascii="宋体" w:hAnsi="宋体"/>
                <w:sz w:val="18"/>
                <w:szCs w:val="18"/>
              </w:rPr>
            </w:pPr>
          </w:p>
        </w:tc>
        <w:tc>
          <w:tcPr>
            <w:tcW w:w="850" w:type="dxa"/>
            <w:vAlign w:val="center"/>
          </w:tcPr>
          <w:p w14:paraId="549704EF">
            <w:pPr>
              <w:rPr>
                <w:rFonts w:ascii="宋体" w:hAnsi="宋体"/>
                <w:sz w:val="18"/>
                <w:szCs w:val="18"/>
              </w:rPr>
            </w:pPr>
            <w:r>
              <w:rPr>
                <w:rFonts w:ascii="宋体" w:hAnsi="宋体" w:hint="eastAsia"/>
                <w:sz w:val="18"/>
                <w:szCs w:val="18"/>
              </w:rPr>
              <w:t>1.17.2</w:t>
            </w:r>
          </w:p>
        </w:tc>
        <w:tc>
          <w:tcPr>
            <w:tcW w:w="7723" w:type="dxa"/>
            <w:vAlign w:val="center"/>
          </w:tcPr>
          <w:p w14:paraId="6CC0D9D4">
            <w:pPr>
              <w:pStyle w:val="10"/>
              <w:numPr>
                <w:ilvl w:val="0"/>
                <w:numId w:val="0"/>
              </w:numPr>
              <w:tabs>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14:paraId="70DA57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3DA38A">
            <w:pPr>
              <w:numPr>
                <w:ilvl w:val="0"/>
                <w:numId w:val="3"/>
              </w:numPr>
              <w:ind w:left="0" w:firstLine="0"/>
              <w:jc w:val="left"/>
              <w:rPr>
                <w:rFonts w:ascii="宋体" w:hAnsi="宋体"/>
                <w:sz w:val="18"/>
                <w:szCs w:val="18"/>
              </w:rPr>
            </w:pPr>
          </w:p>
        </w:tc>
        <w:tc>
          <w:tcPr>
            <w:tcW w:w="850" w:type="dxa"/>
            <w:vAlign w:val="center"/>
          </w:tcPr>
          <w:p w14:paraId="2559C955">
            <w:pPr>
              <w:rPr>
                <w:rFonts w:ascii="宋体" w:hAnsi="宋体"/>
                <w:sz w:val="18"/>
                <w:szCs w:val="18"/>
              </w:rPr>
            </w:pPr>
            <w:r>
              <w:rPr>
                <w:rFonts w:ascii="宋体" w:hAnsi="宋体" w:hint="eastAsia"/>
                <w:sz w:val="18"/>
                <w:szCs w:val="18"/>
              </w:rPr>
              <w:t>1.17.4</w:t>
            </w:r>
          </w:p>
        </w:tc>
        <w:tc>
          <w:tcPr>
            <w:tcW w:w="7723" w:type="dxa"/>
            <w:vAlign w:val="center"/>
          </w:tcPr>
          <w:p w14:paraId="21B86188">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14:paraId="569FB35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8F25AC7">
            <w:pPr>
              <w:numPr>
                <w:ilvl w:val="0"/>
                <w:numId w:val="3"/>
              </w:numPr>
              <w:ind w:left="0" w:firstLine="0"/>
              <w:jc w:val="left"/>
              <w:rPr>
                <w:rFonts w:ascii="宋体" w:hAnsi="宋体"/>
                <w:sz w:val="18"/>
                <w:szCs w:val="18"/>
              </w:rPr>
            </w:pPr>
          </w:p>
        </w:tc>
        <w:tc>
          <w:tcPr>
            <w:tcW w:w="850" w:type="dxa"/>
            <w:vAlign w:val="center"/>
          </w:tcPr>
          <w:p w14:paraId="797EDD4C">
            <w:pPr>
              <w:rPr>
                <w:rFonts w:ascii="宋体" w:hAnsi="宋体"/>
                <w:sz w:val="18"/>
                <w:szCs w:val="18"/>
              </w:rPr>
            </w:pPr>
            <w:r>
              <w:rPr>
                <w:rFonts w:ascii="宋体" w:hAnsi="宋体" w:hint="eastAsia"/>
                <w:sz w:val="18"/>
                <w:szCs w:val="18"/>
              </w:rPr>
              <w:t>1.18</w:t>
            </w:r>
          </w:p>
        </w:tc>
        <w:tc>
          <w:tcPr>
            <w:tcW w:w="7723" w:type="dxa"/>
            <w:vAlign w:val="center"/>
          </w:tcPr>
          <w:p w14:paraId="64CAC444">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14:paraId="3505EA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7B4E1C9">
            <w:pPr>
              <w:numPr>
                <w:ilvl w:val="0"/>
                <w:numId w:val="3"/>
              </w:numPr>
              <w:ind w:left="0" w:firstLine="0"/>
              <w:jc w:val="left"/>
              <w:rPr>
                <w:rFonts w:ascii="宋体" w:hAnsi="宋体"/>
                <w:sz w:val="18"/>
                <w:szCs w:val="18"/>
              </w:rPr>
            </w:pPr>
          </w:p>
        </w:tc>
        <w:tc>
          <w:tcPr>
            <w:tcW w:w="850" w:type="dxa"/>
            <w:vAlign w:val="center"/>
          </w:tcPr>
          <w:p w14:paraId="2D323C07">
            <w:pPr>
              <w:rPr>
                <w:rFonts w:ascii="宋体" w:hAnsi="宋体"/>
                <w:sz w:val="18"/>
                <w:szCs w:val="18"/>
              </w:rPr>
            </w:pPr>
            <w:r>
              <w:rPr>
                <w:rFonts w:ascii="宋体" w:hAnsi="宋体" w:hint="eastAsia"/>
                <w:sz w:val="18"/>
                <w:szCs w:val="18"/>
              </w:rPr>
              <w:t>1.20.1</w:t>
            </w:r>
          </w:p>
        </w:tc>
        <w:tc>
          <w:tcPr>
            <w:tcW w:w="7723" w:type="dxa"/>
            <w:vAlign w:val="center"/>
          </w:tcPr>
          <w:p w14:paraId="3DB1AD36">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14:paraId="38D984E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014BCC1">
            <w:pPr>
              <w:numPr>
                <w:ilvl w:val="0"/>
                <w:numId w:val="3"/>
              </w:numPr>
              <w:ind w:left="0" w:firstLine="0"/>
              <w:jc w:val="left"/>
              <w:rPr>
                <w:rFonts w:ascii="宋体" w:hAnsi="宋体"/>
                <w:sz w:val="18"/>
                <w:szCs w:val="18"/>
              </w:rPr>
            </w:pPr>
          </w:p>
        </w:tc>
        <w:tc>
          <w:tcPr>
            <w:tcW w:w="850" w:type="dxa"/>
            <w:vAlign w:val="center"/>
          </w:tcPr>
          <w:p w14:paraId="5731F60E">
            <w:pPr>
              <w:rPr>
                <w:rFonts w:ascii="宋体" w:hAnsi="宋体" w:hint="eastAsia"/>
                <w:sz w:val="18"/>
                <w:szCs w:val="18"/>
              </w:rPr>
            </w:pPr>
            <w:r>
              <w:rPr>
                <w:rFonts w:ascii="宋体" w:hAnsi="宋体" w:hint="eastAsia"/>
                <w:sz w:val="18"/>
                <w:szCs w:val="18"/>
              </w:rPr>
              <w:t>1.26.5</w:t>
            </w:r>
          </w:p>
        </w:tc>
        <w:tc>
          <w:tcPr>
            <w:tcW w:w="7723" w:type="dxa"/>
            <w:vAlign w:val="center"/>
          </w:tcPr>
          <w:p w14:paraId="34C17154">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14:paraId="06D9891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27B4915">
            <w:pPr>
              <w:numPr>
                <w:ilvl w:val="0"/>
                <w:numId w:val="3"/>
              </w:numPr>
              <w:ind w:left="0" w:firstLine="0"/>
              <w:jc w:val="left"/>
              <w:rPr>
                <w:rFonts w:ascii="宋体" w:hAnsi="宋体"/>
                <w:sz w:val="18"/>
                <w:szCs w:val="18"/>
              </w:rPr>
            </w:pPr>
          </w:p>
        </w:tc>
        <w:tc>
          <w:tcPr>
            <w:tcW w:w="850" w:type="dxa"/>
            <w:vAlign w:val="center"/>
          </w:tcPr>
          <w:p w14:paraId="529625C3">
            <w:pPr>
              <w:rPr>
                <w:rFonts w:ascii="宋体" w:hAnsi="宋体"/>
                <w:sz w:val="18"/>
                <w:szCs w:val="18"/>
              </w:rPr>
            </w:pPr>
            <w:r>
              <w:rPr>
                <w:rFonts w:ascii="宋体" w:hAnsi="宋体" w:hint="eastAsia"/>
                <w:sz w:val="18"/>
                <w:szCs w:val="18"/>
              </w:rPr>
              <w:t>1.26.8</w:t>
            </w:r>
          </w:p>
        </w:tc>
        <w:tc>
          <w:tcPr>
            <w:tcW w:w="7723" w:type="dxa"/>
            <w:vAlign w:val="center"/>
          </w:tcPr>
          <w:p w14:paraId="1647ECEB">
            <w:pPr>
              <w:pStyle w:val="10"/>
              <w:numPr>
                <w:ilvl w:val="0"/>
                <w:numId w:val="0"/>
              </w:numPr>
              <w:tabs>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14:paraId="2BE2CC2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6D1C71E">
            <w:pPr>
              <w:numPr>
                <w:ilvl w:val="0"/>
                <w:numId w:val="3"/>
              </w:numPr>
              <w:ind w:left="0" w:firstLine="0"/>
              <w:jc w:val="left"/>
              <w:rPr>
                <w:rFonts w:ascii="宋体" w:hAnsi="宋体"/>
                <w:sz w:val="18"/>
                <w:szCs w:val="18"/>
              </w:rPr>
            </w:pPr>
          </w:p>
        </w:tc>
        <w:tc>
          <w:tcPr>
            <w:tcW w:w="850" w:type="dxa"/>
            <w:vAlign w:val="center"/>
          </w:tcPr>
          <w:p w14:paraId="5DF97DD0">
            <w:pPr>
              <w:rPr>
                <w:rFonts w:ascii="宋体" w:hAnsi="宋体"/>
                <w:sz w:val="18"/>
                <w:szCs w:val="18"/>
              </w:rPr>
            </w:pPr>
            <w:r>
              <w:rPr>
                <w:rFonts w:ascii="宋体" w:hAnsi="宋体" w:hint="eastAsia"/>
                <w:sz w:val="18"/>
                <w:szCs w:val="18"/>
              </w:rPr>
              <w:t>1.26.9</w:t>
            </w:r>
          </w:p>
        </w:tc>
        <w:tc>
          <w:tcPr>
            <w:tcW w:w="7723" w:type="dxa"/>
            <w:vAlign w:val="center"/>
          </w:tcPr>
          <w:p w14:paraId="47E6D2A9">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4F0165C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960E9CE">
            <w:pPr>
              <w:numPr>
                <w:ilvl w:val="0"/>
                <w:numId w:val="3"/>
              </w:numPr>
              <w:ind w:left="0" w:firstLine="0"/>
              <w:jc w:val="left"/>
              <w:rPr>
                <w:rFonts w:ascii="宋体" w:hAnsi="宋体"/>
                <w:sz w:val="18"/>
                <w:szCs w:val="18"/>
              </w:rPr>
            </w:pPr>
          </w:p>
        </w:tc>
        <w:tc>
          <w:tcPr>
            <w:tcW w:w="850" w:type="dxa"/>
            <w:vAlign w:val="center"/>
          </w:tcPr>
          <w:p w14:paraId="57352493">
            <w:pPr>
              <w:rPr>
                <w:rFonts w:ascii="宋体" w:hAnsi="宋体"/>
                <w:sz w:val="18"/>
                <w:szCs w:val="18"/>
              </w:rPr>
            </w:pPr>
            <w:r>
              <w:rPr>
                <w:rFonts w:ascii="宋体" w:hAnsi="宋体" w:hint="eastAsia"/>
                <w:sz w:val="18"/>
                <w:szCs w:val="18"/>
              </w:rPr>
              <w:t>1.27.2</w:t>
            </w:r>
          </w:p>
        </w:tc>
        <w:tc>
          <w:tcPr>
            <w:tcW w:w="7723" w:type="dxa"/>
            <w:vAlign w:val="center"/>
          </w:tcPr>
          <w:p w14:paraId="3BA6B828">
            <w:pPr>
              <w:pStyle w:val="10"/>
              <w:numPr>
                <w:ilvl w:val="0"/>
                <w:numId w:val="0"/>
              </w:numPr>
              <w:tabs>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14:paraId="5C83A55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5FC5A81">
            <w:pPr>
              <w:numPr>
                <w:ilvl w:val="0"/>
                <w:numId w:val="3"/>
              </w:numPr>
              <w:ind w:left="0" w:firstLine="0"/>
              <w:jc w:val="left"/>
              <w:rPr>
                <w:rFonts w:ascii="宋体" w:hAnsi="宋体"/>
                <w:sz w:val="18"/>
                <w:szCs w:val="18"/>
              </w:rPr>
            </w:pPr>
          </w:p>
        </w:tc>
        <w:tc>
          <w:tcPr>
            <w:tcW w:w="850" w:type="dxa"/>
            <w:vAlign w:val="center"/>
          </w:tcPr>
          <w:p w14:paraId="651244FC">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14:paraId="7841907C">
            <w:pPr>
              <w:pStyle w:val="10"/>
              <w:numPr>
                <w:ilvl w:val="0"/>
                <w:numId w:val="0"/>
              </w:numPr>
              <w:tabs>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14:paraId="4D7655A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A53BD82">
            <w:pPr>
              <w:numPr>
                <w:ilvl w:val="0"/>
                <w:numId w:val="3"/>
              </w:numPr>
              <w:ind w:left="0" w:firstLine="0"/>
              <w:jc w:val="left"/>
              <w:rPr>
                <w:rFonts w:ascii="宋体" w:hAnsi="宋体"/>
                <w:sz w:val="18"/>
                <w:szCs w:val="18"/>
              </w:rPr>
            </w:pPr>
          </w:p>
        </w:tc>
        <w:tc>
          <w:tcPr>
            <w:tcW w:w="850" w:type="dxa"/>
            <w:vAlign w:val="center"/>
          </w:tcPr>
          <w:p w14:paraId="04D8AF96">
            <w:pPr>
              <w:rPr>
                <w:rFonts w:ascii="宋体" w:hAnsi="宋体"/>
                <w:sz w:val="18"/>
                <w:szCs w:val="18"/>
              </w:rPr>
            </w:pPr>
            <w:r>
              <w:rPr>
                <w:rFonts w:ascii="宋体" w:hAnsi="宋体" w:hint="eastAsia"/>
                <w:sz w:val="18"/>
                <w:szCs w:val="18"/>
              </w:rPr>
              <w:t>1.30.1</w:t>
            </w:r>
          </w:p>
        </w:tc>
        <w:tc>
          <w:tcPr>
            <w:tcW w:w="7723" w:type="dxa"/>
            <w:vAlign w:val="center"/>
          </w:tcPr>
          <w:p w14:paraId="6E1578D0">
            <w:pPr>
              <w:pStyle w:val="10"/>
              <w:numPr>
                <w:ilvl w:val="0"/>
                <w:numId w:val="0"/>
              </w:numPr>
              <w:tabs>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14:paraId="61FC281E">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5E0AFA8C">
            <w:pPr>
              <w:jc w:val="center"/>
              <w:rPr>
                <w:rFonts w:ascii="宋体" w:hAnsi="宋体"/>
                <w:b/>
                <w:sz w:val="18"/>
                <w:szCs w:val="18"/>
                <w:lang w:val="zh-CN"/>
              </w:rPr>
            </w:pPr>
            <w:r>
              <w:rPr>
                <w:rFonts w:ascii="宋体" w:hAnsi="宋体" w:hint="eastAsia"/>
                <w:b/>
                <w:sz w:val="18"/>
                <w:szCs w:val="18"/>
              </w:rPr>
              <w:t>第二章 投标文件格式</w:t>
            </w:r>
          </w:p>
        </w:tc>
      </w:tr>
      <w:tr w14:paraId="387E574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83C6DA">
            <w:pPr>
              <w:numPr>
                <w:ilvl w:val="0"/>
                <w:numId w:val="3"/>
              </w:numPr>
              <w:ind w:left="0" w:firstLine="0"/>
              <w:jc w:val="left"/>
              <w:rPr>
                <w:rFonts w:ascii="宋体" w:hAnsi="宋体"/>
                <w:sz w:val="18"/>
                <w:szCs w:val="18"/>
              </w:rPr>
            </w:pPr>
          </w:p>
        </w:tc>
        <w:tc>
          <w:tcPr>
            <w:tcW w:w="850" w:type="dxa"/>
            <w:vAlign w:val="center"/>
          </w:tcPr>
          <w:p w14:paraId="615BF7A7">
            <w:pPr>
              <w:jc w:val="left"/>
              <w:rPr>
                <w:rFonts w:ascii="宋体" w:hAnsi="宋体"/>
                <w:sz w:val="18"/>
                <w:szCs w:val="18"/>
              </w:rPr>
            </w:pPr>
            <w:r>
              <w:rPr>
                <w:rFonts w:ascii="宋体" w:hAnsi="宋体" w:hint="eastAsia"/>
                <w:sz w:val="18"/>
                <w:szCs w:val="18"/>
              </w:rPr>
              <w:t>2.6</w:t>
            </w:r>
          </w:p>
        </w:tc>
        <w:tc>
          <w:tcPr>
            <w:tcW w:w="7723" w:type="dxa"/>
            <w:vAlign w:val="center"/>
          </w:tcPr>
          <w:p w14:paraId="3B9B498D">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14:paraId="3C6BA65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2AA487C">
            <w:pPr>
              <w:numPr>
                <w:ilvl w:val="0"/>
                <w:numId w:val="3"/>
              </w:numPr>
              <w:ind w:left="0" w:firstLine="0"/>
              <w:jc w:val="left"/>
              <w:rPr>
                <w:rFonts w:ascii="宋体" w:hAnsi="宋体"/>
                <w:sz w:val="18"/>
                <w:szCs w:val="18"/>
              </w:rPr>
            </w:pPr>
          </w:p>
        </w:tc>
        <w:tc>
          <w:tcPr>
            <w:tcW w:w="850" w:type="dxa"/>
            <w:vAlign w:val="center"/>
          </w:tcPr>
          <w:p w14:paraId="77F4F55E">
            <w:pPr>
              <w:jc w:val="left"/>
              <w:rPr>
                <w:rFonts w:ascii="宋体" w:hAnsi="宋体"/>
                <w:sz w:val="18"/>
                <w:szCs w:val="18"/>
              </w:rPr>
            </w:pPr>
            <w:r>
              <w:rPr>
                <w:rFonts w:ascii="宋体" w:hAnsi="宋体" w:hint="eastAsia"/>
                <w:sz w:val="18"/>
                <w:szCs w:val="18"/>
              </w:rPr>
              <w:t>2.7</w:t>
            </w:r>
          </w:p>
        </w:tc>
        <w:tc>
          <w:tcPr>
            <w:tcW w:w="7723" w:type="dxa"/>
            <w:vAlign w:val="center"/>
          </w:tcPr>
          <w:p w14:paraId="5BD752EE">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14:paraId="1C7B64A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0E5C038">
            <w:pPr>
              <w:numPr>
                <w:ilvl w:val="0"/>
                <w:numId w:val="3"/>
              </w:numPr>
              <w:ind w:left="0" w:firstLine="0"/>
              <w:jc w:val="left"/>
              <w:rPr>
                <w:rFonts w:ascii="宋体" w:hAnsi="宋体"/>
                <w:sz w:val="18"/>
                <w:szCs w:val="18"/>
              </w:rPr>
            </w:pPr>
          </w:p>
        </w:tc>
        <w:tc>
          <w:tcPr>
            <w:tcW w:w="850" w:type="dxa"/>
            <w:vAlign w:val="center"/>
          </w:tcPr>
          <w:p w14:paraId="4B1904C6">
            <w:pPr>
              <w:jc w:val="left"/>
              <w:rPr>
                <w:rFonts w:ascii="宋体" w:hAnsi="宋体"/>
                <w:sz w:val="18"/>
                <w:szCs w:val="18"/>
              </w:rPr>
            </w:pPr>
            <w:r>
              <w:rPr>
                <w:rFonts w:ascii="宋体" w:hAnsi="宋体" w:hint="eastAsia"/>
                <w:sz w:val="18"/>
                <w:szCs w:val="18"/>
              </w:rPr>
              <w:t>2.10.5</w:t>
            </w:r>
          </w:p>
        </w:tc>
        <w:tc>
          <w:tcPr>
            <w:tcW w:w="7723" w:type="dxa"/>
            <w:vAlign w:val="center"/>
          </w:tcPr>
          <w:p w14:paraId="122DB728">
            <w:pPr>
              <w:pStyle w:val="10"/>
              <w:numPr>
                <w:ilvl w:val="0"/>
                <w:numId w:val="0"/>
              </w:numPr>
              <w:tabs>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14:paraId="6AE36CB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17E64A8">
            <w:pPr>
              <w:numPr>
                <w:ilvl w:val="0"/>
                <w:numId w:val="3"/>
              </w:numPr>
              <w:ind w:left="0" w:firstLine="0"/>
              <w:jc w:val="left"/>
              <w:rPr>
                <w:rFonts w:ascii="宋体" w:hAnsi="宋体"/>
                <w:sz w:val="18"/>
                <w:szCs w:val="18"/>
              </w:rPr>
            </w:pPr>
          </w:p>
        </w:tc>
        <w:tc>
          <w:tcPr>
            <w:tcW w:w="850" w:type="dxa"/>
            <w:vAlign w:val="center"/>
          </w:tcPr>
          <w:p w14:paraId="32A262CF">
            <w:pPr>
              <w:jc w:val="left"/>
              <w:rPr>
                <w:rFonts w:ascii="宋体" w:hAnsi="宋体" w:hint="eastAsia"/>
                <w:sz w:val="18"/>
                <w:szCs w:val="18"/>
              </w:rPr>
            </w:pPr>
            <w:r>
              <w:rPr>
                <w:rFonts w:ascii="宋体" w:hAnsi="宋体" w:hint="eastAsia"/>
                <w:sz w:val="18"/>
                <w:szCs w:val="18"/>
              </w:rPr>
              <w:t>2.10.9</w:t>
            </w:r>
          </w:p>
        </w:tc>
        <w:tc>
          <w:tcPr>
            <w:tcW w:w="7723" w:type="dxa"/>
            <w:vAlign w:val="center"/>
          </w:tcPr>
          <w:p w14:paraId="4F9326E8">
            <w:pPr>
              <w:pStyle w:val="10"/>
              <w:numPr>
                <w:ilvl w:val="0"/>
                <w:numId w:val="0"/>
              </w:numPr>
              <w:tabs>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14:paraId="443E919C">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0DF53138">
      <w:pPr>
        <w:spacing w:line="360" w:lineRule="auto"/>
        <w:jc w:val="left"/>
        <w:rPr>
          <w:rFonts w:ascii="宋体" w:hAnsi="宋体" w:cs="微软雅黑" w:hint="eastAsia"/>
          <w:b/>
          <w:color w:val="0000FF"/>
          <w:kern w:val="0"/>
          <w:szCs w:val="21"/>
          <w:highlight w:val="none"/>
        </w:rPr>
      </w:pPr>
    </w:p>
    <w:p w14:paraId="2BCEBEF3">
      <w:pPr>
        <w:spacing w:line="360" w:lineRule="auto"/>
        <w:jc w:val="left"/>
        <w:rPr>
          <w:b/>
          <w:bCs/>
          <w:sz w:val="44"/>
          <w:szCs w:val="44"/>
          <w:highlight w:val="none"/>
        </w:rPr>
      </w:pPr>
    </w:p>
    <w:p w14:paraId="1E68C47F">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204CC744">
      <w:pPr>
        <w:spacing w:line="360" w:lineRule="auto"/>
        <w:rPr>
          <w:highlight w:val="none"/>
        </w:rPr>
      </w:pPr>
    </w:p>
    <w:p w14:paraId="1D08F34B">
      <w:pPr>
        <w:spacing w:line="360" w:lineRule="auto"/>
        <w:jc w:val="center"/>
        <w:rPr>
          <w:highlight w:val="none"/>
        </w:rPr>
      </w:pPr>
      <w:r>
        <w:rPr>
          <w:rFonts w:hint="eastAsia"/>
          <w:b/>
          <w:bCs/>
          <w:sz w:val="28"/>
          <w:szCs w:val="28"/>
          <w:highlight w:val="none"/>
        </w:rPr>
        <w:t>目    录</w:t>
      </w:r>
    </w:p>
    <w:p w14:paraId="645D3DF0">
      <w:pPr>
        <w:spacing w:line="360" w:lineRule="auto"/>
        <w:rPr>
          <w:b/>
          <w:bCs/>
          <w:szCs w:val="21"/>
          <w:highlight w:val="none"/>
        </w:rPr>
      </w:pPr>
    </w:p>
    <w:p w14:paraId="27D658DC">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7CCBF582">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32B3C63E">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7AE61AAD">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1DFFBB00">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0AC8A494">
      <w:pPr>
        <w:adjustRightInd w:val="0"/>
        <w:snapToGrid w:val="0"/>
        <w:spacing w:line="360" w:lineRule="auto"/>
        <w:ind w:left="2520" w:leftChars="1200"/>
        <w:jc w:val="left"/>
        <w:rPr>
          <w:b/>
          <w:bCs/>
          <w:szCs w:val="21"/>
          <w:highlight w:val="none"/>
        </w:rPr>
      </w:pPr>
      <w:r>
        <w:rPr>
          <w:b/>
          <w:bCs/>
          <w:szCs w:val="21"/>
          <w:highlight w:val="none"/>
        </w:rPr>
        <w:br w:type="page"/>
      </w:r>
    </w:p>
    <w:p w14:paraId="775D0181">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7CB167AD">
      <w:pPr>
        <w:spacing w:line="360" w:lineRule="auto"/>
        <w:jc w:val="center"/>
        <w:rPr>
          <w:b/>
          <w:bCs/>
          <w:sz w:val="28"/>
          <w:szCs w:val="28"/>
          <w:highlight w:val="none"/>
        </w:rPr>
      </w:pPr>
    </w:p>
    <w:p w14:paraId="5C0CC3A4">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51E0BD50">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2026年江苏省短临工程-相干多普勒测风激光雷达（远距型）、集成式交通气象监测仪、移动式观测设备采购项目</w:t>
      </w:r>
      <w:bookmarkEnd w:id="21"/>
      <w:r>
        <w:rPr>
          <w:rFonts w:ascii="宋体" w:hAnsi="宋体" w:cs="宋体" w:hint="eastAsia"/>
          <w:b/>
          <w:bCs/>
          <w:szCs w:val="21"/>
          <w:highlight w:val="none"/>
        </w:rPr>
        <w:t>。</w:t>
      </w:r>
    </w:p>
    <w:p w14:paraId="21835DA6">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ZQCD-26227</w:t>
      </w:r>
      <w:bookmarkEnd w:id="22"/>
      <w:r>
        <w:rPr>
          <w:rFonts w:ascii="宋体" w:hAnsi="宋体" w:cs="宋体" w:hint="eastAsia"/>
          <w:b/>
          <w:bCs/>
          <w:szCs w:val="21"/>
          <w:highlight w:val="none"/>
        </w:rPr>
        <w:t>。</w:t>
      </w:r>
    </w:p>
    <w:p w14:paraId="2C67B5A3">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190DA275">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3</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5228D8D9">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5D2A701E">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3A2FC711">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2F51D295">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（1）第一包：合同签订后45天内交货，55天内完成安装调试并具备验收条件；（2）第二包、第三包：合同签订后40天内交货，60天内完成安装调试并具备验收条件</w:t>
      </w:r>
      <w:bookmarkEnd w:id="24"/>
      <w:r>
        <w:rPr>
          <w:rFonts w:ascii="宋体" w:hAnsi="宋体" w:cs="微软雅黑" w:hint="eastAsia"/>
          <w:b/>
          <w:color w:val="0000FF"/>
          <w:kern w:val="0"/>
          <w:szCs w:val="21"/>
          <w:highlight w:val="none"/>
        </w:rPr>
        <w:t>。</w:t>
      </w:r>
    </w:p>
    <w:p w14:paraId="5565C9E2">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14:paraId="71663C6E">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3C8DEE2F">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6387DE1D">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6C4C6D7">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0A1901F9">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2026年09月30日 00:00:00</w:t>
      </w:r>
      <w:bookmarkEnd w:id="26"/>
      <w:r>
        <w:rPr>
          <w:rFonts w:ascii="宋体" w:hint="eastAsia"/>
          <w:szCs w:val="21"/>
          <w:highlight w:val="none"/>
        </w:rPr>
        <w:t>至</w:t>
      </w:r>
      <w:bookmarkStart w:id="27" w:name="项目公告_signUpLastTime"/>
      <w:r>
        <w:rPr>
          <w:rFonts w:ascii="宋体" w:hint="eastAsia"/>
          <w:szCs w:val="21"/>
          <w:highlight w:val="none"/>
        </w:rPr>
        <w:t>2026年10月13日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01F69205">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208E10CB">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38BBDDFB">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6F4B1B38">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14:paraId="56A4A97D">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2026年10月21日 09:00:00</w:t>
      </w:r>
      <w:bookmarkEnd w:id="28"/>
      <w:r>
        <w:rPr>
          <w:rFonts w:ascii="宋体" w:hint="eastAsia"/>
          <w:bCs/>
          <w:szCs w:val="21"/>
          <w:highlight w:val="none"/>
        </w:rPr>
        <w:t>（北京时间）</w:t>
      </w:r>
      <w:r>
        <w:rPr>
          <w:rFonts w:ascii="宋体" w:hint="eastAsia"/>
          <w:szCs w:val="21"/>
          <w:highlight w:val="none"/>
        </w:rPr>
        <w:t>。</w:t>
      </w:r>
    </w:p>
    <w:p w14:paraId="16D8F2BD">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3D6A292A">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32D5198">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6189F74B">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01864D63">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14:paraId="12228524">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10C8BA5C">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72A3E22F">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7F162F9F">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2D2AA966">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4E736318">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29A48DC4">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14:paraId="0D340689">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14:paraId="318A55BC">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07D53793">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27BB39F8">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14:paraId="762F8DD2">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顾芮冰</w:t>
      </w:r>
      <w:bookmarkEnd w:id="33"/>
    </w:p>
    <w:p w14:paraId="1E14E102">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025-52698313</w:t>
      </w:r>
      <w:bookmarkEnd w:id="34"/>
    </w:p>
    <w:p w14:paraId="313A2708">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江苏省南京市建邺区雨顺路8号</w:t>
      </w:r>
      <w:bookmarkEnd w:id="35"/>
    </w:p>
    <w:p w14:paraId="2EEEDDF2">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2AF4886E">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6C3749B6">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102251A8">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520D03E6">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725C270E">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6452DB3">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569E47E8">
            <w:pPr>
              <w:jc w:val="center"/>
              <w:rPr>
                <w:b/>
                <w:szCs w:val="21"/>
                <w:highlight w:val="none"/>
              </w:rPr>
            </w:pPr>
            <w:r>
              <w:rPr>
                <w:rFonts w:hint="eastAsia"/>
                <w:b/>
                <w:szCs w:val="21"/>
                <w:highlight w:val="none"/>
              </w:rPr>
              <w:t>序号</w:t>
            </w:r>
          </w:p>
        </w:tc>
        <w:tc>
          <w:tcPr>
            <w:tcW w:w="1418" w:type="dxa"/>
            <w:noWrap w:val="0"/>
            <w:vAlign w:val="center"/>
          </w:tcPr>
          <w:p w14:paraId="24520C67">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3D3EE3F9">
            <w:pPr>
              <w:jc w:val="center"/>
              <w:rPr>
                <w:b/>
                <w:szCs w:val="21"/>
                <w:highlight w:val="none"/>
              </w:rPr>
            </w:pPr>
            <w:r>
              <w:rPr>
                <w:rFonts w:hint="eastAsia"/>
                <w:b/>
                <w:szCs w:val="21"/>
                <w:highlight w:val="none"/>
              </w:rPr>
              <w:t>内容</w:t>
            </w:r>
          </w:p>
        </w:tc>
        <w:tc>
          <w:tcPr>
            <w:tcW w:w="5209" w:type="dxa"/>
            <w:noWrap w:val="0"/>
            <w:vAlign w:val="center"/>
          </w:tcPr>
          <w:p w14:paraId="4BF4A5CF">
            <w:pPr>
              <w:jc w:val="center"/>
              <w:rPr>
                <w:b/>
                <w:szCs w:val="21"/>
                <w:highlight w:val="none"/>
              </w:rPr>
            </w:pPr>
            <w:r>
              <w:rPr>
                <w:rFonts w:hint="eastAsia"/>
                <w:b/>
                <w:szCs w:val="21"/>
                <w:highlight w:val="none"/>
              </w:rPr>
              <w:t>说明与要求</w:t>
            </w:r>
          </w:p>
        </w:tc>
      </w:tr>
      <w:tr w14:paraId="36F720A9">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2685E5F4">
            <w:pPr>
              <w:rPr>
                <w:szCs w:val="21"/>
                <w:highlight w:val="none"/>
              </w:rPr>
            </w:pPr>
            <w:r>
              <w:rPr>
                <w:rFonts w:hint="eastAsia"/>
                <w:szCs w:val="21"/>
                <w:highlight w:val="none"/>
              </w:rPr>
              <w:t>5.1</w:t>
            </w:r>
          </w:p>
        </w:tc>
        <w:tc>
          <w:tcPr>
            <w:tcW w:w="1418" w:type="dxa"/>
            <w:noWrap w:val="0"/>
            <w:vAlign w:val="center"/>
          </w:tcPr>
          <w:p w14:paraId="1E2AD018">
            <w:pPr>
              <w:rPr>
                <w:szCs w:val="21"/>
                <w:highlight w:val="none"/>
              </w:rPr>
            </w:pPr>
            <w:r>
              <w:rPr>
                <w:rFonts w:hint="eastAsia"/>
                <w:szCs w:val="21"/>
                <w:highlight w:val="none"/>
              </w:rPr>
              <w:t>1.2.1</w:t>
            </w:r>
          </w:p>
        </w:tc>
        <w:tc>
          <w:tcPr>
            <w:tcW w:w="1701" w:type="dxa"/>
            <w:noWrap w:val="0"/>
            <w:vAlign w:val="center"/>
          </w:tcPr>
          <w:p w14:paraId="631D7B90">
            <w:pPr>
              <w:rPr>
                <w:szCs w:val="21"/>
                <w:highlight w:val="none"/>
              </w:rPr>
            </w:pPr>
            <w:r>
              <w:rPr>
                <w:rFonts w:hint="eastAsia"/>
                <w:szCs w:val="21"/>
                <w:highlight w:val="none"/>
              </w:rPr>
              <w:t>采购人名称</w:t>
            </w:r>
          </w:p>
        </w:tc>
        <w:tc>
          <w:tcPr>
            <w:tcW w:w="5209" w:type="dxa"/>
            <w:noWrap w:val="0"/>
            <w:vAlign w:val="center"/>
          </w:tcPr>
          <w:p w14:paraId="5BAB6C83">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14:paraId="21280536">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10226562">
            <w:pPr>
              <w:rPr>
                <w:szCs w:val="21"/>
                <w:highlight w:val="none"/>
              </w:rPr>
            </w:pPr>
            <w:r>
              <w:rPr>
                <w:rFonts w:hint="eastAsia"/>
                <w:szCs w:val="21"/>
                <w:highlight w:val="none"/>
              </w:rPr>
              <w:t>5.2</w:t>
            </w:r>
          </w:p>
        </w:tc>
        <w:tc>
          <w:tcPr>
            <w:tcW w:w="1418" w:type="dxa"/>
            <w:noWrap w:val="0"/>
            <w:vAlign w:val="center"/>
          </w:tcPr>
          <w:p w14:paraId="09030104">
            <w:pPr>
              <w:rPr>
                <w:szCs w:val="21"/>
                <w:highlight w:val="none"/>
              </w:rPr>
            </w:pPr>
            <w:r>
              <w:rPr>
                <w:rFonts w:hint="eastAsia"/>
                <w:szCs w:val="21"/>
                <w:highlight w:val="none"/>
              </w:rPr>
              <w:t>1.3.3、1.14.2</w:t>
            </w:r>
          </w:p>
        </w:tc>
        <w:tc>
          <w:tcPr>
            <w:tcW w:w="1701" w:type="dxa"/>
            <w:noWrap w:val="0"/>
            <w:vAlign w:val="center"/>
          </w:tcPr>
          <w:p w14:paraId="4A52B658">
            <w:pPr>
              <w:rPr>
                <w:szCs w:val="21"/>
                <w:highlight w:val="none"/>
              </w:rPr>
            </w:pPr>
            <w:r>
              <w:rPr>
                <w:rFonts w:hint="eastAsia"/>
                <w:szCs w:val="21"/>
                <w:highlight w:val="none"/>
              </w:rPr>
              <w:t>投标人特殊资质条件</w:t>
            </w:r>
          </w:p>
        </w:tc>
        <w:tc>
          <w:tcPr>
            <w:tcW w:w="5209" w:type="dxa"/>
            <w:noWrap w:val="0"/>
            <w:vAlign w:val="center"/>
          </w:tcPr>
          <w:p w14:paraId="71F794C3">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6BC0B5F8">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CAA8396">
            <w:pPr>
              <w:rPr>
                <w:szCs w:val="21"/>
                <w:highlight w:val="none"/>
              </w:rPr>
            </w:pPr>
            <w:r>
              <w:rPr>
                <w:rFonts w:hint="eastAsia"/>
                <w:szCs w:val="21"/>
                <w:highlight w:val="none"/>
              </w:rPr>
              <w:t>5.3</w:t>
            </w:r>
          </w:p>
        </w:tc>
        <w:tc>
          <w:tcPr>
            <w:tcW w:w="1418" w:type="dxa"/>
            <w:noWrap w:val="0"/>
            <w:vAlign w:val="center"/>
          </w:tcPr>
          <w:p w14:paraId="36FFA582">
            <w:pPr>
              <w:rPr>
                <w:szCs w:val="21"/>
                <w:highlight w:val="none"/>
              </w:rPr>
            </w:pPr>
            <w:r>
              <w:rPr>
                <w:rFonts w:hint="eastAsia"/>
                <w:szCs w:val="21"/>
                <w:highlight w:val="none"/>
              </w:rPr>
              <w:t>1.3.4</w:t>
            </w:r>
          </w:p>
        </w:tc>
        <w:tc>
          <w:tcPr>
            <w:tcW w:w="1701" w:type="dxa"/>
            <w:noWrap w:val="0"/>
            <w:vAlign w:val="center"/>
          </w:tcPr>
          <w:p w14:paraId="62376698">
            <w:pPr>
              <w:rPr>
                <w:szCs w:val="21"/>
                <w:highlight w:val="none"/>
              </w:rPr>
            </w:pPr>
            <w:r>
              <w:rPr>
                <w:rFonts w:hint="eastAsia"/>
                <w:szCs w:val="21"/>
                <w:highlight w:val="none"/>
              </w:rPr>
              <w:t>是否允许代理商投标</w:t>
            </w:r>
          </w:p>
        </w:tc>
        <w:tc>
          <w:tcPr>
            <w:tcW w:w="5209" w:type="dxa"/>
            <w:noWrap w:val="0"/>
            <w:vAlign w:val="center"/>
          </w:tcPr>
          <w:p w14:paraId="571553F8">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不允许（仅针对以下产品：第一包、第二包所有标的，第三包核心产品不允许代理商投标）</w:t>
            </w:r>
            <w:bookmarkEnd w:id="40"/>
          </w:p>
        </w:tc>
      </w:tr>
      <w:tr w14:paraId="1F21C033">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5BF28F0">
            <w:pPr>
              <w:rPr>
                <w:rFonts w:hint="eastAsia"/>
                <w:szCs w:val="21"/>
                <w:highlight w:val="none"/>
              </w:rPr>
            </w:pPr>
            <w:r>
              <w:rPr>
                <w:rFonts w:hint="eastAsia"/>
                <w:szCs w:val="21"/>
                <w:highlight w:val="none"/>
              </w:rPr>
              <w:t>5.4</w:t>
            </w:r>
          </w:p>
        </w:tc>
        <w:tc>
          <w:tcPr>
            <w:tcW w:w="1418" w:type="dxa"/>
            <w:noWrap w:val="0"/>
            <w:vAlign w:val="center"/>
          </w:tcPr>
          <w:p w14:paraId="6D295D11">
            <w:pPr>
              <w:rPr>
                <w:rFonts w:hint="eastAsia"/>
                <w:szCs w:val="21"/>
                <w:highlight w:val="none"/>
              </w:rPr>
            </w:pPr>
            <w:r>
              <w:rPr>
                <w:rFonts w:hint="eastAsia"/>
                <w:szCs w:val="21"/>
                <w:highlight w:val="none"/>
              </w:rPr>
              <w:t>1.3.4</w:t>
            </w:r>
          </w:p>
        </w:tc>
        <w:tc>
          <w:tcPr>
            <w:tcW w:w="1701" w:type="dxa"/>
            <w:noWrap w:val="0"/>
            <w:vAlign w:val="center"/>
          </w:tcPr>
          <w:p w14:paraId="183D7D6E">
            <w:pPr>
              <w:rPr>
                <w:rFonts w:hint="eastAsia"/>
                <w:szCs w:val="21"/>
                <w:highlight w:val="none"/>
              </w:rPr>
            </w:pPr>
            <w:r>
              <w:rPr>
                <w:rFonts w:hint="eastAsia"/>
                <w:szCs w:val="21"/>
                <w:highlight w:val="none"/>
              </w:rPr>
              <w:t>进口产品代理商应提交资料</w:t>
            </w:r>
          </w:p>
        </w:tc>
        <w:tc>
          <w:tcPr>
            <w:tcW w:w="5209" w:type="dxa"/>
            <w:noWrap w:val="0"/>
            <w:vAlign w:val="center"/>
          </w:tcPr>
          <w:p w14:paraId="4A13323D">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6331EE18">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4F9081B4">
            <w:pPr>
              <w:rPr>
                <w:szCs w:val="21"/>
                <w:highlight w:val="none"/>
              </w:rPr>
            </w:pPr>
            <w:r>
              <w:rPr>
                <w:rFonts w:hint="eastAsia"/>
                <w:szCs w:val="21"/>
                <w:highlight w:val="none"/>
              </w:rPr>
              <w:t>5.5</w:t>
            </w:r>
          </w:p>
        </w:tc>
        <w:tc>
          <w:tcPr>
            <w:tcW w:w="1418" w:type="dxa"/>
            <w:noWrap w:val="0"/>
            <w:vAlign w:val="center"/>
          </w:tcPr>
          <w:p w14:paraId="380A1330">
            <w:pPr>
              <w:rPr>
                <w:szCs w:val="21"/>
                <w:highlight w:val="none"/>
              </w:rPr>
            </w:pPr>
            <w:r>
              <w:rPr>
                <w:rFonts w:hint="eastAsia"/>
                <w:szCs w:val="21"/>
                <w:highlight w:val="none"/>
              </w:rPr>
              <w:t>1.3.4，1.28.4</w:t>
            </w:r>
          </w:p>
        </w:tc>
        <w:tc>
          <w:tcPr>
            <w:tcW w:w="1701" w:type="dxa"/>
            <w:noWrap w:val="0"/>
            <w:vAlign w:val="center"/>
          </w:tcPr>
          <w:p w14:paraId="04F4ADB9">
            <w:pPr>
              <w:rPr>
                <w:szCs w:val="21"/>
                <w:highlight w:val="none"/>
              </w:rPr>
            </w:pPr>
            <w:r>
              <w:rPr>
                <w:rFonts w:hint="eastAsia"/>
                <w:szCs w:val="21"/>
                <w:highlight w:val="none"/>
              </w:rPr>
              <w:t>是否设有核心产品</w:t>
            </w:r>
          </w:p>
        </w:tc>
        <w:tc>
          <w:tcPr>
            <w:tcW w:w="5209" w:type="dxa"/>
            <w:noWrap w:val="0"/>
            <w:vAlign w:val="center"/>
          </w:tcPr>
          <w:p w14:paraId="4B0FC72A">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设有，核心产品为第一包：无；第二包：无；第三包：集成式交通气象监测仪</w:t>
            </w:r>
            <w:bookmarkEnd w:id="42"/>
          </w:p>
        </w:tc>
      </w:tr>
      <w:tr w14:paraId="329F9BEF">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07285D68">
            <w:pPr>
              <w:rPr>
                <w:szCs w:val="21"/>
                <w:highlight w:val="none"/>
              </w:rPr>
            </w:pPr>
            <w:r>
              <w:rPr>
                <w:rFonts w:hint="eastAsia"/>
                <w:szCs w:val="21"/>
                <w:highlight w:val="none"/>
              </w:rPr>
              <w:t>5.6</w:t>
            </w:r>
          </w:p>
        </w:tc>
        <w:tc>
          <w:tcPr>
            <w:tcW w:w="1418" w:type="dxa"/>
            <w:noWrap w:val="0"/>
            <w:vAlign w:val="center"/>
          </w:tcPr>
          <w:p w14:paraId="47A5459E">
            <w:pPr>
              <w:rPr>
                <w:szCs w:val="21"/>
                <w:highlight w:val="none"/>
              </w:rPr>
            </w:pPr>
            <w:r>
              <w:rPr>
                <w:rFonts w:hint="eastAsia"/>
                <w:szCs w:val="21"/>
                <w:highlight w:val="none"/>
              </w:rPr>
              <w:t>1.3.6</w:t>
            </w:r>
          </w:p>
        </w:tc>
        <w:tc>
          <w:tcPr>
            <w:tcW w:w="1701" w:type="dxa"/>
            <w:noWrap w:val="0"/>
            <w:vAlign w:val="center"/>
          </w:tcPr>
          <w:p w14:paraId="5BFB4ED4">
            <w:pPr>
              <w:rPr>
                <w:szCs w:val="21"/>
                <w:highlight w:val="none"/>
              </w:rPr>
            </w:pPr>
            <w:r>
              <w:rPr>
                <w:rFonts w:hint="eastAsia"/>
                <w:szCs w:val="21"/>
                <w:highlight w:val="none"/>
              </w:rPr>
              <w:t>是否允许联合体投标</w:t>
            </w:r>
          </w:p>
        </w:tc>
        <w:tc>
          <w:tcPr>
            <w:tcW w:w="5209" w:type="dxa"/>
            <w:noWrap w:val="0"/>
            <w:vAlign w:val="center"/>
          </w:tcPr>
          <w:p w14:paraId="13BE0D58">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5B060F05">
        <w:tblPrEx>
          <w:tblW w:w="0" w:type="auto"/>
          <w:tblInd w:w="0" w:type="dxa"/>
          <w:tblLayout w:type="fixed"/>
          <w:tblCellMar>
            <w:top w:w="0" w:type="dxa"/>
            <w:left w:w="108" w:type="dxa"/>
            <w:bottom w:w="0" w:type="dxa"/>
            <w:right w:w="108" w:type="dxa"/>
          </w:tblCellMar>
        </w:tblPrEx>
        <w:tc>
          <w:tcPr>
            <w:tcW w:w="675" w:type="dxa"/>
            <w:noWrap w:val="0"/>
            <w:vAlign w:val="center"/>
          </w:tcPr>
          <w:p w14:paraId="2E9E80D7">
            <w:pPr>
              <w:rPr>
                <w:szCs w:val="21"/>
                <w:highlight w:val="none"/>
              </w:rPr>
            </w:pPr>
            <w:r>
              <w:rPr>
                <w:rFonts w:hint="eastAsia"/>
                <w:szCs w:val="21"/>
                <w:highlight w:val="none"/>
              </w:rPr>
              <w:t>5.7</w:t>
            </w:r>
          </w:p>
        </w:tc>
        <w:tc>
          <w:tcPr>
            <w:tcW w:w="1418" w:type="dxa"/>
            <w:noWrap w:val="0"/>
            <w:vAlign w:val="center"/>
          </w:tcPr>
          <w:p w14:paraId="4B468ED0">
            <w:pPr>
              <w:rPr>
                <w:szCs w:val="21"/>
                <w:highlight w:val="none"/>
              </w:rPr>
            </w:pPr>
            <w:r>
              <w:rPr>
                <w:rFonts w:hint="eastAsia"/>
                <w:szCs w:val="21"/>
                <w:highlight w:val="none"/>
              </w:rPr>
              <w:t>1.3.7</w:t>
            </w:r>
          </w:p>
        </w:tc>
        <w:tc>
          <w:tcPr>
            <w:tcW w:w="1701" w:type="dxa"/>
            <w:noWrap w:val="0"/>
            <w:vAlign w:val="center"/>
          </w:tcPr>
          <w:p w14:paraId="01307E4B">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6B5668F1">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必须，以下产品需要提供至投标截止日仍有效的《气象专用技术装备使用许可证》：第一包：相干多普勒测风激光雷达（远距型）；第二包：集成式交通气象监测仪；第三包：核心产品及翻斗式雨量传感器。</w:t>
            </w:r>
            <w:bookmarkEnd w:id="44"/>
          </w:p>
        </w:tc>
      </w:tr>
      <w:tr w14:paraId="4C97DAA9">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4C191DC6">
            <w:pPr>
              <w:rPr>
                <w:szCs w:val="21"/>
                <w:highlight w:val="none"/>
              </w:rPr>
            </w:pPr>
            <w:r>
              <w:rPr>
                <w:rFonts w:hint="eastAsia"/>
                <w:szCs w:val="21"/>
                <w:highlight w:val="none"/>
              </w:rPr>
              <w:t>5.8</w:t>
            </w:r>
          </w:p>
        </w:tc>
        <w:tc>
          <w:tcPr>
            <w:tcW w:w="1418" w:type="dxa"/>
            <w:noWrap w:val="0"/>
            <w:vAlign w:val="center"/>
          </w:tcPr>
          <w:p w14:paraId="59A03513">
            <w:pPr>
              <w:rPr>
                <w:szCs w:val="21"/>
                <w:highlight w:val="none"/>
              </w:rPr>
            </w:pPr>
            <w:r>
              <w:rPr>
                <w:rFonts w:hint="eastAsia"/>
                <w:szCs w:val="21"/>
                <w:highlight w:val="none"/>
              </w:rPr>
              <w:t>1.4.1</w:t>
            </w:r>
          </w:p>
        </w:tc>
        <w:tc>
          <w:tcPr>
            <w:tcW w:w="1701" w:type="dxa"/>
            <w:noWrap w:val="0"/>
            <w:vAlign w:val="center"/>
          </w:tcPr>
          <w:p w14:paraId="1A2FDCA6">
            <w:pPr>
              <w:rPr>
                <w:szCs w:val="21"/>
                <w:highlight w:val="none"/>
              </w:rPr>
            </w:pPr>
            <w:r>
              <w:rPr>
                <w:rFonts w:hint="eastAsia"/>
                <w:szCs w:val="21"/>
                <w:highlight w:val="none"/>
              </w:rPr>
              <w:t>是否允许进口产品投标</w:t>
            </w:r>
          </w:p>
        </w:tc>
        <w:tc>
          <w:tcPr>
            <w:tcW w:w="5209" w:type="dxa"/>
            <w:noWrap w:val="0"/>
            <w:vAlign w:val="center"/>
          </w:tcPr>
          <w:p w14:paraId="5FAF5959">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412A01AB">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069C6D89">
            <w:pPr>
              <w:rPr>
                <w:rFonts w:hint="eastAsia"/>
                <w:szCs w:val="21"/>
                <w:highlight w:val="none"/>
              </w:rPr>
            </w:pPr>
            <w:r>
              <w:rPr>
                <w:rFonts w:hint="eastAsia"/>
                <w:szCs w:val="21"/>
                <w:highlight w:val="none"/>
              </w:rPr>
              <w:t>5.9</w:t>
            </w:r>
          </w:p>
        </w:tc>
        <w:tc>
          <w:tcPr>
            <w:tcW w:w="1418" w:type="dxa"/>
            <w:noWrap w:val="0"/>
            <w:vAlign w:val="center"/>
          </w:tcPr>
          <w:p w14:paraId="10374C03">
            <w:pPr>
              <w:rPr>
                <w:rFonts w:hint="eastAsia"/>
                <w:szCs w:val="21"/>
                <w:highlight w:val="none"/>
              </w:rPr>
            </w:pPr>
            <w:r>
              <w:rPr>
                <w:rFonts w:hint="eastAsia"/>
                <w:szCs w:val="21"/>
                <w:highlight w:val="none"/>
              </w:rPr>
              <w:t>1.5.1</w:t>
            </w:r>
          </w:p>
        </w:tc>
        <w:tc>
          <w:tcPr>
            <w:tcW w:w="1701" w:type="dxa"/>
            <w:noWrap w:val="0"/>
            <w:vAlign w:val="center"/>
          </w:tcPr>
          <w:p w14:paraId="25C37D4C">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6E44DE9D">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09B486CA">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（1）第一包标的：相干多普勒测风激光雷达（远距型）及建设安装，属于工业行业；（2）第二包标的：集成式交通气象监测仪 ，属于工业行业；（3）第三包标的：移动式观测设备 ，属于工业行业</w:t>
            </w:r>
            <w:bookmarkEnd w:id="46"/>
          </w:p>
        </w:tc>
      </w:tr>
      <w:tr w14:paraId="436759FE">
        <w:tblPrEx>
          <w:tblW w:w="0" w:type="auto"/>
          <w:tblInd w:w="0" w:type="dxa"/>
          <w:tblLayout w:type="fixed"/>
          <w:tblCellMar>
            <w:top w:w="0" w:type="dxa"/>
            <w:left w:w="108" w:type="dxa"/>
            <w:bottom w:w="0" w:type="dxa"/>
            <w:right w:w="108" w:type="dxa"/>
          </w:tblCellMar>
        </w:tblPrEx>
        <w:tc>
          <w:tcPr>
            <w:tcW w:w="675" w:type="dxa"/>
            <w:noWrap w:val="0"/>
            <w:vAlign w:val="center"/>
          </w:tcPr>
          <w:p w14:paraId="1B15788D">
            <w:pPr>
              <w:rPr>
                <w:rFonts w:hint="eastAsia"/>
                <w:szCs w:val="21"/>
                <w:highlight w:val="none"/>
              </w:rPr>
            </w:pPr>
            <w:r>
              <w:rPr>
                <w:rFonts w:hint="eastAsia"/>
                <w:szCs w:val="21"/>
                <w:highlight w:val="none"/>
              </w:rPr>
              <w:t>5.10</w:t>
            </w:r>
          </w:p>
        </w:tc>
        <w:tc>
          <w:tcPr>
            <w:tcW w:w="1418" w:type="dxa"/>
            <w:noWrap w:val="0"/>
            <w:vAlign w:val="center"/>
          </w:tcPr>
          <w:p w14:paraId="1CFFAD64">
            <w:pPr>
              <w:jc w:val="left"/>
              <w:rPr>
                <w:rFonts w:hint="eastAsia"/>
                <w:szCs w:val="21"/>
                <w:highlight w:val="none"/>
              </w:rPr>
            </w:pPr>
            <w:r>
              <w:rPr>
                <w:rFonts w:hint="eastAsia"/>
                <w:szCs w:val="21"/>
                <w:highlight w:val="none"/>
              </w:rPr>
              <w:t>1.5.3</w:t>
            </w:r>
          </w:p>
        </w:tc>
        <w:tc>
          <w:tcPr>
            <w:tcW w:w="1701" w:type="dxa"/>
            <w:noWrap w:val="0"/>
            <w:vAlign w:val="center"/>
          </w:tcPr>
          <w:p w14:paraId="11FE0551">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40B6054B">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14:paraId="1D1DFA35">
        <w:tblPrEx>
          <w:tblW w:w="0" w:type="auto"/>
          <w:tblInd w:w="0" w:type="dxa"/>
          <w:tblLayout w:type="fixed"/>
          <w:tblCellMar>
            <w:top w:w="0" w:type="dxa"/>
            <w:left w:w="108" w:type="dxa"/>
            <w:bottom w:w="0" w:type="dxa"/>
            <w:right w:w="108" w:type="dxa"/>
          </w:tblCellMar>
        </w:tblPrEx>
        <w:tc>
          <w:tcPr>
            <w:tcW w:w="675" w:type="dxa"/>
            <w:noWrap w:val="0"/>
            <w:vAlign w:val="center"/>
          </w:tcPr>
          <w:p w14:paraId="34C95FEC">
            <w:pPr>
              <w:rPr>
                <w:szCs w:val="21"/>
                <w:highlight w:val="none"/>
              </w:rPr>
            </w:pPr>
            <w:r>
              <w:rPr>
                <w:rFonts w:hint="eastAsia"/>
                <w:szCs w:val="21"/>
                <w:highlight w:val="none"/>
              </w:rPr>
              <w:t>5.11</w:t>
            </w:r>
          </w:p>
        </w:tc>
        <w:tc>
          <w:tcPr>
            <w:tcW w:w="1418" w:type="dxa"/>
            <w:noWrap w:val="0"/>
            <w:vAlign w:val="center"/>
          </w:tcPr>
          <w:p w14:paraId="1E1E08C9">
            <w:pPr>
              <w:rPr>
                <w:szCs w:val="21"/>
                <w:highlight w:val="none"/>
              </w:rPr>
            </w:pPr>
            <w:r>
              <w:rPr>
                <w:rFonts w:hint="eastAsia"/>
                <w:szCs w:val="21"/>
                <w:highlight w:val="none"/>
              </w:rPr>
              <w:t>1.9.2</w:t>
            </w:r>
          </w:p>
        </w:tc>
        <w:tc>
          <w:tcPr>
            <w:tcW w:w="1701" w:type="dxa"/>
            <w:noWrap w:val="0"/>
            <w:vAlign w:val="center"/>
          </w:tcPr>
          <w:p w14:paraId="75B738DC">
            <w:pPr>
              <w:rPr>
                <w:szCs w:val="21"/>
                <w:highlight w:val="none"/>
              </w:rPr>
            </w:pPr>
            <w:r>
              <w:rPr>
                <w:rFonts w:hint="eastAsia"/>
                <w:szCs w:val="21"/>
                <w:highlight w:val="none"/>
              </w:rPr>
              <w:t>中标人是否需要交纳代理服务费</w:t>
            </w:r>
          </w:p>
        </w:tc>
        <w:tc>
          <w:tcPr>
            <w:tcW w:w="5209" w:type="dxa"/>
            <w:noWrap w:val="0"/>
            <w:vAlign w:val="center"/>
          </w:tcPr>
          <w:p w14:paraId="2FD58CDD">
            <w:pPr>
              <w:rPr>
                <w:rFonts w:hint="eastAsia"/>
                <w:highlight w:val="none"/>
              </w:rPr>
            </w:pPr>
            <w:bookmarkStart w:id="48" w:name="中标服务费_finalAmountText"/>
            <w:r>
              <w:rPr>
                <w:rFonts w:hint="eastAsia"/>
                <w:highlight w:val="none"/>
                <w:lang w:eastAsia="zh-CN"/>
              </w:rPr>
              <w:t>是，中标服务费：7.3万元。</w:t>
            </w:r>
            <w:bookmarkEnd w:id="48"/>
            <w:r>
              <w:rPr>
                <w:rFonts w:ascii="宋体" w:hAnsi="宋体" w:cs="微软雅黑" w:hint="eastAsia"/>
                <w:kern w:val="0"/>
                <w:szCs w:val="21"/>
                <w:highlight w:val="none"/>
              </w:rPr>
              <w:t xml:space="preserve"> </w:t>
            </w:r>
          </w:p>
        </w:tc>
      </w:tr>
      <w:tr w14:paraId="466A1F28">
        <w:tblPrEx>
          <w:tblW w:w="0" w:type="auto"/>
          <w:tblInd w:w="0" w:type="dxa"/>
          <w:tblLayout w:type="fixed"/>
          <w:tblCellMar>
            <w:top w:w="0" w:type="dxa"/>
            <w:left w:w="108" w:type="dxa"/>
            <w:bottom w:w="0" w:type="dxa"/>
            <w:right w:w="108" w:type="dxa"/>
          </w:tblCellMar>
        </w:tblPrEx>
        <w:tc>
          <w:tcPr>
            <w:tcW w:w="675" w:type="dxa"/>
            <w:noWrap w:val="0"/>
            <w:vAlign w:val="center"/>
          </w:tcPr>
          <w:p w14:paraId="52DDF63E">
            <w:pPr>
              <w:rPr>
                <w:szCs w:val="21"/>
                <w:highlight w:val="none"/>
              </w:rPr>
            </w:pPr>
            <w:r>
              <w:rPr>
                <w:rFonts w:hint="eastAsia"/>
                <w:szCs w:val="21"/>
                <w:highlight w:val="none"/>
              </w:rPr>
              <w:t>5.12</w:t>
            </w:r>
          </w:p>
        </w:tc>
        <w:tc>
          <w:tcPr>
            <w:tcW w:w="1418" w:type="dxa"/>
            <w:noWrap w:val="0"/>
            <w:vAlign w:val="center"/>
          </w:tcPr>
          <w:p w14:paraId="2019AD07">
            <w:pPr>
              <w:rPr>
                <w:szCs w:val="21"/>
                <w:highlight w:val="none"/>
              </w:rPr>
            </w:pPr>
            <w:r>
              <w:rPr>
                <w:rFonts w:hint="eastAsia"/>
                <w:szCs w:val="21"/>
                <w:highlight w:val="none"/>
              </w:rPr>
              <w:t>1.12.7</w:t>
            </w:r>
          </w:p>
        </w:tc>
        <w:tc>
          <w:tcPr>
            <w:tcW w:w="1701" w:type="dxa"/>
            <w:noWrap w:val="0"/>
            <w:vAlign w:val="center"/>
          </w:tcPr>
          <w:p w14:paraId="0414B196">
            <w:pPr>
              <w:rPr>
                <w:szCs w:val="21"/>
                <w:highlight w:val="none"/>
              </w:rPr>
            </w:pPr>
            <w:r>
              <w:rPr>
                <w:rFonts w:hint="eastAsia"/>
                <w:szCs w:val="21"/>
                <w:highlight w:val="none"/>
              </w:rPr>
              <w:t>是否组织现场考察或开标前答疑会</w:t>
            </w:r>
          </w:p>
        </w:tc>
        <w:tc>
          <w:tcPr>
            <w:tcW w:w="5209" w:type="dxa"/>
            <w:noWrap w:val="0"/>
            <w:vAlign w:val="center"/>
          </w:tcPr>
          <w:p w14:paraId="1C29C19C">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4231B06C">
        <w:tblPrEx>
          <w:tblW w:w="0" w:type="auto"/>
          <w:tblInd w:w="0" w:type="dxa"/>
          <w:tblLayout w:type="fixed"/>
          <w:tblCellMar>
            <w:top w:w="0" w:type="dxa"/>
            <w:left w:w="108" w:type="dxa"/>
            <w:bottom w:w="0" w:type="dxa"/>
            <w:right w:w="108" w:type="dxa"/>
          </w:tblCellMar>
        </w:tblPrEx>
        <w:tc>
          <w:tcPr>
            <w:tcW w:w="675" w:type="dxa"/>
            <w:noWrap w:val="0"/>
            <w:vAlign w:val="center"/>
          </w:tcPr>
          <w:p w14:paraId="279EAA34">
            <w:pPr>
              <w:rPr>
                <w:szCs w:val="21"/>
                <w:highlight w:val="none"/>
              </w:rPr>
            </w:pPr>
            <w:r>
              <w:rPr>
                <w:rFonts w:hint="eastAsia"/>
                <w:szCs w:val="21"/>
                <w:highlight w:val="none"/>
              </w:rPr>
              <w:t>5.13</w:t>
            </w:r>
          </w:p>
        </w:tc>
        <w:tc>
          <w:tcPr>
            <w:tcW w:w="1418" w:type="dxa"/>
            <w:noWrap w:val="0"/>
            <w:vAlign w:val="center"/>
          </w:tcPr>
          <w:p w14:paraId="1E26DFDE">
            <w:pPr>
              <w:rPr>
                <w:szCs w:val="21"/>
                <w:highlight w:val="none"/>
              </w:rPr>
            </w:pPr>
            <w:r>
              <w:rPr>
                <w:rFonts w:hint="eastAsia"/>
                <w:szCs w:val="21"/>
                <w:highlight w:val="none"/>
              </w:rPr>
              <w:t>1.14.2、1.14.3</w:t>
            </w:r>
          </w:p>
        </w:tc>
        <w:tc>
          <w:tcPr>
            <w:tcW w:w="1701" w:type="dxa"/>
            <w:noWrap w:val="0"/>
            <w:vAlign w:val="center"/>
          </w:tcPr>
          <w:p w14:paraId="5A612A62">
            <w:pPr>
              <w:rPr>
                <w:szCs w:val="21"/>
                <w:highlight w:val="none"/>
              </w:rPr>
            </w:pPr>
            <w:r>
              <w:rPr>
                <w:rFonts w:hint="eastAsia"/>
                <w:szCs w:val="21"/>
                <w:highlight w:val="none"/>
              </w:rPr>
              <w:t>投标人应提交其他商务文件和技术文件</w:t>
            </w:r>
          </w:p>
        </w:tc>
        <w:tc>
          <w:tcPr>
            <w:tcW w:w="5209" w:type="dxa"/>
            <w:noWrap w:val="0"/>
            <w:vAlign w:val="center"/>
          </w:tcPr>
          <w:p w14:paraId="1E8F8F9D">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1F82F55D">
            <w:pPr>
              <w:rPr>
                <w:rFonts w:hint="default"/>
                <w:kern w:val="0"/>
                <w:szCs w:val="21"/>
                <w:highlight w:val="none"/>
              </w:rPr>
            </w:pPr>
            <w:r>
              <w:rPr>
                <w:rFonts w:hint="eastAsia"/>
                <w:kern w:val="0"/>
                <w:szCs w:val="21"/>
                <w:highlight w:val="none"/>
                <w:lang w:val="en-US" w:eastAsia="zh-CN"/>
              </w:rPr>
              <w:t>无</w:t>
            </w:r>
          </w:p>
        </w:tc>
      </w:tr>
      <w:tr w14:paraId="384858EE">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528B09F">
            <w:pPr>
              <w:rPr>
                <w:szCs w:val="21"/>
                <w:highlight w:val="none"/>
              </w:rPr>
            </w:pPr>
            <w:r>
              <w:rPr>
                <w:rFonts w:hint="eastAsia"/>
                <w:szCs w:val="21"/>
                <w:highlight w:val="none"/>
              </w:rPr>
              <w:t>5.14</w:t>
            </w:r>
          </w:p>
        </w:tc>
        <w:tc>
          <w:tcPr>
            <w:tcW w:w="1418" w:type="dxa"/>
            <w:noWrap w:val="0"/>
            <w:vAlign w:val="center"/>
          </w:tcPr>
          <w:p w14:paraId="12EF6AC7">
            <w:pPr>
              <w:rPr>
                <w:szCs w:val="21"/>
                <w:highlight w:val="none"/>
              </w:rPr>
            </w:pPr>
            <w:r>
              <w:rPr>
                <w:rFonts w:hint="eastAsia"/>
                <w:szCs w:val="21"/>
                <w:highlight w:val="none"/>
              </w:rPr>
              <w:t>1.16.1</w:t>
            </w:r>
          </w:p>
        </w:tc>
        <w:tc>
          <w:tcPr>
            <w:tcW w:w="1701" w:type="dxa"/>
            <w:noWrap w:val="0"/>
            <w:vAlign w:val="center"/>
          </w:tcPr>
          <w:p w14:paraId="7436FF39">
            <w:pPr>
              <w:rPr>
                <w:szCs w:val="21"/>
                <w:highlight w:val="none"/>
              </w:rPr>
            </w:pPr>
            <w:r>
              <w:rPr>
                <w:rFonts w:hint="eastAsia"/>
                <w:szCs w:val="21"/>
                <w:highlight w:val="none"/>
              </w:rPr>
              <w:t>本次招标是否需要提交投标保证金</w:t>
            </w:r>
          </w:p>
        </w:tc>
        <w:tc>
          <w:tcPr>
            <w:tcW w:w="5209" w:type="dxa"/>
            <w:noWrap w:val="0"/>
            <w:vAlign w:val="center"/>
          </w:tcPr>
          <w:p w14:paraId="6FB8956E">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2133FBD4">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19EB444">
            <w:pPr>
              <w:rPr>
                <w:rFonts w:hint="eastAsia"/>
                <w:szCs w:val="21"/>
                <w:highlight w:val="none"/>
              </w:rPr>
            </w:pPr>
            <w:r>
              <w:rPr>
                <w:rFonts w:hint="eastAsia"/>
                <w:szCs w:val="21"/>
                <w:highlight w:val="none"/>
              </w:rPr>
              <w:t>5.15</w:t>
            </w:r>
          </w:p>
        </w:tc>
        <w:tc>
          <w:tcPr>
            <w:tcW w:w="1418" w:type="dxa"/>
            <w:noWrap w:val="0"/>
            <w:vAlign w:val="center"/>
          </w:tcPr>
          <w:p w14:paraId="09E87424">
            <w:pPr>
              <w:rPr>
                <w:rFonts w:hint="eastAsia"/>
                <w:szCs w:val="21"/>
                <w:highlight w:val="none"/>
              </w:rPr>
            </w:pPr>
            <w:r>
              <w:rPr>
                <w:rFonts w:hint="eastAsia"/>
                <w:szCs w:val="21"/>
                <w:highlight w:val="none"/>
              </w:rPr>
              <w:t>1.17.2</w:t>
            </w:r>
          </w:p>
        </w:tc>
        <w:tc>
          <w:tcPr>
            <w:tcW w:w="1701" w:type="dxa"/>
            <w:noWrap w:val="0"/>
            <w:vAlign w:val="center"/>
          </w:tcPr>
          <w:p w14:paraId="7895A16F">
            <w:pPr>
              <w:rPr>
                <w:rFonts w:hint="eastAsia"/>
                <w:szCs w:val="21"/>
                <w:highlight w:val="none"/>
              </w:rPr>
            </w:pPr>
            <w:r>
              <w:rPr>
                <w:rFonts w:hint="eastAsia"/>
                <w:szCs w:val="21"/>
                <w:highlight w:val="none"/>
              </w:rPr>
              <w:t>项目预算</w:t>
            </w:r>
          </w:p>
        </w:tc>
        <w:tc>
          <w:tcPr>
            <w:tcW w:w="5209" w:type="dxa"/>
            <w:noWrap w:val="0"/>
            <w:vAlign w:val="center"/>
          </w:tcPr>
          <w:p w14:paraId="0FD26864">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1,197.600000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1,137.600000 万元,包 2 采购预算(或最高限价)为人民币 36.000000 万元,包 3 采购预算(或最高限价)为人民币 24.000000 万元</w:t>
            </w:r>
            <w:bookmarkEnd w:id="52"/>
            <w:r>
              <w:rPr>
                <w:rFonts w:hint="eastAsia"/>
                <w:szCs w:val="21"/>
                <w:highlight w:val="none"/>
              </w:rPr>
              <w:t>。</w:t>
            </w:r>
          </w:p>
        </w:tc>
      </w:tr>
      <w:tr w14:paraId="03BBD789">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105B8E2A">
            <w:pPr>
              <w:rPr>
                <w:szCs w:val="21"/>
                <w:highlight w:val="none"/>
              </w:rPr>
            </w:pPr>
            <w:r>
              <w:rPr>
                <w:rFonts w:hint="eastAsia"/>
                <w:szCs w:val="21"/>
                <w:highlight w:val="none"/>
              </w:rPr>
              <w:t>5.16</w:t>
            </w:r>
          </w:p>
        </w:tc>
        <w:tc>
          <w:tcPr>
            <w:tcW w:w="1418" w:type="dxa"/>
            <w:noWrap w:val="0"/>
            <w:vAlign w:val="center"/>
          </w:tcPr>
          <w:p w14:paraId="09806AB7">
            <w:pPr>
              <w:rPr>
                <w:szCs w:val="21"/>
                <w:highlight w:val="none"/>
              </w:rPr>
            </w:pPr>
            <w:r>
              <w:rPr>
                <w:rFonts w:hint="eastAsia"/>
                <w:szCs w:val="21"/>
                <w:highlight w:val="none"/>
              </w:rPr>
              <w:t>1.18.1</w:t>
            </w:r>
          </w:p>
        </w:tc>
        <w:tc>
          <w:tcPr>
            <w:tcW w:w="1701" w:type="dxa"/>
            <w:noWrap w:val="0"/>
            <w:vAlign w:val="center"/>
          </w:tcPr>
          <w:p w14:paraId="5E30C6E4">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41B707A4">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5575D4CE">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385ED431">
            <w:pPr>
              <w:rPr>
                <w:szCs w:val="21"/>
                <w:highlight w:val="none"/>
              </w:rPr>
            </w:pPr>
            <w:r>
              <w:rPr>
                <w:rFonts w:hint="eastAsia"/>
                <w:szCs w:val="21"/>
                <w:highlight w:val="none"/>
              </w:rPr>
              <w:t>5.17</w:t>
            </w:r>
          </w:p>
        </w:tc>
        <w:tc>
          <w:tcPr>
            <w:tcW w:w="1418" w:type="dxa"/>
            <w:noWrap w:val="0"/>
            <w:vAlign w:val="center"/>
          </w:tcPr>
          <w:p w14:paraId="2F385524">
            <w:pPr>
              <w:rPr>
                <w:szCs w:val="21"/>
                <w:highlight w:val="none"/>
              </w:rPr>
            </w:pPr>
            <w:r>
              <w:rPr>
                <w:rFonts w:hint="eastAsia"/>
                <w:szCs w:val="21"/>
                <w:highlight w:val="none"/>
              </w:rPr>
              <w:t>1.20.1</w:t>
            </w:r>
          </w:p>
        </w:tc>
        <w:tc>
          <w:tcPr>
            <w:tcW w:w="1701" w:type="dxa"/>
            <w:noWrap w:val="0"/>
            <w:vAlign w:val="center"/>
          </w:tcPr>
          <w:p w14:paraId="72D4D061">
            <w:pPr>
              <w:rPr>
                <w:szCs w:val="21"/>
                <w:highlight w:val="none"/>
              </w:rPr>
            </w:pPr>
            <w:r>
              <w:rPr>
                <w:rFonts w:hint="eastAsia"/>
                <w:szCs w:val="21"/>
                <w:highlight w:val="none"/>
              </w:rPr>
              <w:t>投标有效期</w:t>
            </w:r>
          </w:p>
        </w:tc>
        <w:tc>
          <w:tcPr>
            <w:tcW w:w="5209" w:type="dxa"/>
            <w:noWrap w:val="0"/>
            <w:vAlign w:val="center"/>
          </w:tcPr>
          <w:p w14:paraId="6A876FCF">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74E7AD45">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1FB64ED3">
            <w:pPr>
              <w:rPr>
                <w:rFonts w:hint="eastAsia"/>
                <w:szCs w:val="21"/>
                <w:highlight w:val="none"/>
              </w:rPr>
            </w:pPr>
            <w:r>
              <w:rPr>
                <w:rFonts w:hint="eastAsia"/>
                <w:szCs w:val="21"/>
              </w:rPr>
              <w:t>5.18</w:t>
            </w:r>
          </w:p>
        </w:tc>
        <w:tc>
          <w:tcPr>
            <w:tcW w:w="1418" w:type="dxa"/>
            <w:noWrap w:val="0"/>
            <w:vAlign w:val="center"/>
          </w:tcPr>
          <w:p w14:paraId="179B9FFF">
            <w:pPr>
              <w:rPr>
                <w:rFonts w:hint="eastAsia"/>
                <w:szCs w:val="21"/>
                <w:highlight w:val="none"/>
              </w:rPr>
            </w:pPr>
            <w:r>
              <w:rPr>
                <w:rFonts w:hint="eastAsia"/>
                <w:szCs w:val="21"/>
              </w:rPr>
              <w:t>1.22</w:t>
            </w:r>
          </w:p>
        </w:tc>
        <w:tc>
          <w:tcPr>
            <w:tcW w:w="1701" w:type="dxa"/>
            <w:noWrap w:val="0"/>
            <w:vAlign w:val="center"/>
          </w:tcPr>
          <w:p w14:paraId="5A1988CE">
            <w:pPr>
              <w:rPr>
                <w:rFonts w:hint="eastAsia"/>
                <w:szCs w:val="21"/>
                <w:highlight w:val="none"/>
              </w:rPr>
            </w:pPr>
            <w:r>
              <w:rPr>
                <w:rFonts w:hint="eastAsia"/>
                <w:szCs w:val="21"/>
              </w:rPr>
              <w:t>投标文件递交</w:t>
            </w:r>
          </w:p>
        </w:tc>
        <w:tc>
          <w:tcPr>
            <w:tcW w:w="5209" w:type="dxa"/>
            <w:noWrap w:val="0"/>
            <w:vAlign w:val="center"/>
          </w:tcPr>
          <w:p w14:paraId="38D6782C">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68C8AEDF">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A535319">
            <w:pPr>
              <w:rPr>
                <w:szCs w:val="21"/>
                <w:highlight w:val="none"/>
              </w:rPr>
            </w:pPr>
            <w:r>
              <w:rPr>
                <w:rFonts w:hint="eastAsia"/>
                <w:szCs w:val="21"/>
                <w:highlight w:val="none"/>
              </w:rPr>
              <w:t>5.19</w:t>
            </w:r>
          </w:p>
        </w:tc>
        <w:tc>
          <w:tcPr>
            <w:tcW w:w="1418" w:type="dxa"/>
            <w:noWrap w:val="0"/>
            <w:vAlign w:val="center"/>
          </w:tcPr>
          <w:p w14:paraId="07008F15">
            <w:pPr>
              <w:rPr>
                <w:szCs w:val="21"/>
                <w:highlight w:val="none"/>
              </w:rPr>
            </w:pPr>
            <w:r>
              <w:rPr>
                <w:rFonts w:hint="eastAsia"/>
                <w:szCs w:val="21"/>
                <w:highlight w:val="none"/>
              </w:rPr>
              <w:t>1.26.2</w:t>
            </w:r>
          </w:p>
        </w:tc>
        <w:tc>
          <w:tcPr>
            <w:tcW w:w="1701" w:type="dxa"/>
            <w:noWrap w:val="0"/>
            <w:vAlign w:val="center"/>
          </w:tcPr>
          <w:p w14:paraId="30BDAE2E">
            <w:pPr>
              <w:rPr>
                <w:szCs w:val="21"/>
                <w:highlight w:val="none"/>
              </w:rPr>
            </w:pPr>
            <w:r>
              <w:rPr>
                <w:rFonts w:hint="eastAsia"/>
                <w:szCs w:val="21"/>
                <w:highlight w:val="none"/>
              </w:rPr>
              <w:t>是否进行述标</w:t>
            </w:r>
          </w:p>
        </w:tc>
        <w:tc>
          <w:tcPr>
            <w:tcW w:w="5209" w:type="dxa"/>
            <w:noWrap w:val="0"/>
            <w:vAlign w:val="center"/>
          </w:tcPr>
          <w:p w14:paraId="524061B4">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1EA36515">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9594E70">
            <w:pPr>
              <w:rPr>
                <w:rFonts w:hint="eastAsia"/>
                <w:szCs w:val="21"/>
                <w:highlight w:val="none"/>
              </w:rPr>
            </w:pPr>
            <w:r>
              <w:rPr>
                <w:rFonts w:hint="eastAsia"/>
                <w:szCs w:val="21"/>
                <w:highlight w:val="none"/>
              </w:rPr>
              <w:t>5.20</w:t>
            </w:r>
          </w:p>
        </w:tc>
        <w:tc>
          <w:tcPr>
            <w:tcW w:w="1418" w:type="dxa"/>
            <w:noWrap w:val="0"/>
            <w:vAlign w:val="center"/>
          </w:tcPr>
          <w:p w14:paraId="3AF3478A">
            <w:pPr>
              <w:rPr>
                <w:rFonts w:hint="eastAsia"/>
                <w:szCs w:val="21"/>
                <w:highlight w:val="none"/>
              </w:rPr>
            </w:pPr>
          </w:p>
        </w:tc>
        <w:tc>
          <w:tcPr>
            <w:tcW w:w="1701" w:type="dxa"/>
            <w:noWrap w:val="0"/>
            <w:vAlign w:val="center"/>
          </w:tcPr>
          <w:p w14:paraId="4AA67B2C">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0EFC1318">
            <w:pPr>
              <w:rPr>
                <w:rFonts w:ascii="宋体" w:hAnsi="宋体" w:hint="eastAsia"/>
                <w:szCs w:val="21"/>
                <w:highlight w:val="none"/>
              </w:rPr>
            </w:pPr>
            <w:r>
              <w:rPr>
                <w:rFonts w:ascii="宋体" w:hAnsi="宋体" w:hint="eastAsia"/>
                <w:szCs w:val="21"/>
                <w:highlight w:val="none"/>
              </w:rPr>
              <w:t>详见第九章采购合同</w:t>
            </w:r>
          </w:p>
        </w:tc>
      </w:tr>
      <w:tr w14:paraId="19B008DF">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48890F5">
            <w:pPr>
              <w:rPr>
                <w:rFonts w:hint="eastAsia"/>
                <w:szCs w:val="21"/>
                <w:highlight w:val="none"/>
              </w:rPr>
            </w:pPr>
            <w:r>
              <w:rPr>
                <w:rFonts w:hint="eastAsia"/>
                <w:szCs w:val="21"/>
                <w:highlight w:val="none"/>
              </w:rPr>
              <w:t>5.21</w:t>
            </w:r>
          </w:p>
        </w:tc>
        <w:tc>
          <w:tcPr>
            <w:tcW w:w="1418" w:type="dxa"/>
            <w:noWrap w:val="0"/>
            <w:vAlign w:val="center"/>
          </w:tcPr>
          <w:p w14:paraId="26D59C8D">
            <w:pPr>
              <w:rPr>
                <w:rFonts w:hint="eastAsia"/>
                <w:szCs w:val="21"/>
                <w:highlight w:val="none"/>
              </w:rPr>
            </w:pPr>
          </w:p>
        </w:tc>
        <w:tc>
          <w:tcPr>
            <w:tcW w:w="1701" w:type="dxa"/>
            <w:noWrap w:val="0"/>
            <w:vAlign w:val="center"/>
          </w:tcPr>
          <w:p w14:paraId="0B161B67">
            <w:pPr>
              <w:rPr>
                <w:rFonts w:hint="eastAsia"/>
                <w:szCs w:val="21"/>
                <w:highlight w:val="none"/>
              </w:rPr>
            </w:pPr>
            <w:r>
              <w:rPr>
                <w:rFonts w:hint="eastAsia"/>
                <w:szCs w:val="21"/>
                <w:highlight w:val="none"/>
              </w:rPr>
              <w:t>其他事项</w:t>
            </w:r>
          </w:p>
        </w:tc>
        <w:tc>
          <w:tcPr>
            <w:tcW w:w="5209" w:type="dxa"/>
            <w:noWrap w:val="0"/>
            <w:vAlign w:val="center"/>
          </w:tcPr>
          <w:p w14:paraId="381370FD">
            <w:pPr>
              <w:rPr>
                <w:rFonts w:ascii="宋体" w:hAnsi="宋体" w:hint="eastAsia"/>
                <w:szCs w:val="21"/>
                <w:highlight w:val="none"/>
              </w:rPr>
            </w:pPr>
            <w:bookmarkStart w:id="56" w:name="其他事项_ottherReemarks"/>
            <w:bookmarkStart w:id="57" w:name="_GoBack"/>
            <w:r>
              <w:rPr>
                <w:rFonts w:ascii="宋体" w:hAnsi="宋体" w:hint="eastAsia"/>
                <w:szCs w:val="21"/>
                <w:highlight w:val="none"/>
                <w:lang w:val="en-US" w:eastAsia="zh-CN"/>
              </w:rPr>
              <w:t>1.</w:t>
            </w:r>
            <w:r>
              <w:rPr>
                <w:rFonts w:ascii="宋体" w:hAnsi="宋体" w:hint="eastAsia"/>
                <w:szCs w:val="21"/>
                <w:highlight w:val="none"/>
              </w:rPr>
              <w:t>根据本项目实际情况，招标文件1.27.3第1项至第3项启动异常低价投标审查的数值标准为65%。</w:t>
            </w:r>
            <w:bookmarkEnd w:id="56"/>
            <w:r>
              <w:rPr>
                <w:rFonts w:ascii="宋体" w:hAnsi="宋体" w:hint="eastAsia"/>
                <w:szCs w:val="21"/>
                <w:highlight w:val="none"/>
              </w:rPr>
              <w:t>2、本项目共</w:t>
            </w:r>
            <w:r>
              <w:rPr>
                <w:rFonts w:ascii="宋体" w:hAnsi="宋体" w:hint="eastAsia"/>
                <w:szCs w:val="21"/>
                <w:highlight w:val="none"/>
                <w:lang w:val="en-US" w:eastAsia="zh-CN"/>
              </w:rPr>
              <w:t>3</w:t>
            </w:r>
            <w:r>
              <w:rPr>
                <w:rFonts w:ascii="宋体" w:hAnsi="宋体" w:hint="eastAsia"/>
                <w:szCs w:val="21"/>
                <w:highlight w:val="none"/>
              </w:rPr>
              <w:t>包，投标人可同时投递多包，兼投兼中。</w:t>
            </w:r>
            <w:bookmarkEnd w:id="57"/>
          </w:p>
        </w:tc>
      </w:tr>
    </w:tbl>
    <w:p w14:paraId="3E8A2826">
      <w:pPr>
        <w:rPr>
          <w:highlight w:val="none"/>
        </w:rPr>
      </w:pPr>
    </w:p>
    <w:p w14:paraId="1455C273"/>
    <w:bookmarkEnd w:id="37"/>
    <w:p w14:paraId="7E7EA118">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1895F862">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270A47A0">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24A8A778">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361F55D8">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1F2CCBAC">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2B4A6497">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59"/>
        <w:gridCol w:w="1103"/>
        <w:gridCol w:w="259"/>
        <w:gridCol w:w="72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1、生产厂家、投标人、投标产品非强制资质要求（客观分）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2、投标人业绩（客观分）</w:t>
            </w:r>
          </w:p>
        </w:tc>
        <w:tc>
          <w:tcPr/>
          <w:p>
            <w:r>
              <w:t>勾选打分</w:t>
            </w:r>
            <w:r>
              <w:t>(5)</w:t>
            </w:r>
          </w:p>
        </w:tc>
        <w:tc>
          <w:tcPr/>
          <w:p>
            <w:r>
              <w:t>评审标准：</w:t>
            </w:r>
          </w:p>
          <w:p>
            <w:r>
              <w:t>销售合同必须包括相干多普勒测风激光雷达（远距型），每提供1份合同得1分，最多得5分。否则不得分。</w:t>
            </w:r>
          </w:p>
          <w:p>
            <w:r>
              <w:t>评审标准说明：</w:t>
            </w:r>
          </w:p>
          <w:p>
            <w:r>
              <w:t>1、需提供投标人的销售合同（必须包括合同首页、金额页、标的页、签字盖章页）、合同对应金额发票或部分金额发票及收款记录等复印件并加盖投标人公章。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1、售后服务（主观分）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2、质保服务方案（主观分）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3、培训承诺及方案（主观分）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4、交货期保证（客观分）</w:t>
            </w:r>
          </w:p>
        </w:tc>
        <w:tc>
          <w:tcPr/>
          <w:p>
            <w:r>
              <w:t>勾选打分</w:t>
            </w:r>
            <w:r>
              <w:t>(1)</w:t>
            </w:r>
          </w:p>
        </w:tc>
        <w:tc>
          <w:tcPr/>
          <w:p>
            <w:r>
              <w:t>评审标准：</w:t>
            </w:r>
          </w:p>
          <w:p>
            <w:r>
              <w:t>针对本项目采购的相干多普勒测风激光雷达（远距型）设备，承诺每提前10天交货的得0.5分，最多得1分。否则不得分。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5、用户满意度证明（客观分）</w:t>
            </w:r>
          </w:p>
        </w:tc>
        <w:tc>
          <w:tcPr/>
          <w:p>
            <w:r>
              <w:t>勾选打分</w:t>
            </w:r>
            <w:r>
              <w:t>(3)</w:t>
            </w:r>
          </w:p>
        </w:tc>
        <w:tc>
          <w:tcPr/>
          <w:p>
            <w:r>
              <w:t>评审标准：</w:t>
            </w:r>
          </w:p>
          <w:p>
            <w:r>
              <w:t>针对相干多普勒测风激光雷达（远距型），每提供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6、服务团队（客观分）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1、投标产品技术性能Δ指标（客观分）</w:t>
            </w:r>
          </w:p>
        </w:tc>
        <w:tc>
          <w:tcPr/>
          <w:p>
            <w:r>
              <w:t>区间打分</w:t>
            </w:r>
            <w:r>
              <w:t>(32)</w:t>
            </w:r>
          </w:p>
        </w:tc>
        <w:tc>
          <w:tcPr/>
          <w:p>
            <w:r>
              <w:t>评审标准：</w:t>
            </w:r>
          </w:p>
          <w:p>
            <w:r>
              <w:t>标注Δ的指标共16项，每满足1项（如有多个下级指标，则每个下级指标均应满足）得2分；满分32分。</w:t>
            </w:r>
          </w:p>
          <w:p>
            <w:r>
              <w:t>评审标准说明：</w:t>
            </w:r>
          </w:p>
          <w:p>
            <w:r>
              <w:t>需提供技术文档。响应且满足招标文件第七章详细技术指标要求，标注Δ的指标需提供许可评估测试报告作为证明材料。</w:t>
            </w:r>
          </w:p>
          <w:p/>
        </w:tc>
      </w:tr>
      <w:tr>
        <w:tblPrEx>
          <w:tblW w:w="5000" w:type="pct"/>
          <w:tblCellMar>
            <w:left w:w="108" w:type="dxa"/>
            <w:right w:w="108" w:type="dxa"/>
          </w:tblCellMar>
        </w:tblPrEx>
        <w:tc>
          <w:tcPr/>
          <w:p>
            <w:r>
              <w:t>11</w:t>
            </w:r>
          </w:p>
        </w:tc>
        <w:tc>
          <w:tcPr>
            <w:vMerge/>
          </w:tcPr>
          <w:p>
            <w:r>
              <w:t>技术部分</w:t>
            </w:r>
          </w:p>
        </w:tc>
        <w:tc>
          <w:tcPr/>
          <w:p>
            <w:r>
              <w:t>1、投标产品技术性能#指标（客观分）</w:t>
            </w:r>
          </w:p>
        </w:tc>
        <w:tc>
          <w:tcPr/>
          <w:p>
            <w:r>
              <w:t>勾选打分</w:t>
            </w:r>
            <w:r>
              <w:t>(4)</w:t>
            </w:r>
          </w:p>
        </w:tc>
        <w:tc>
          <w:tcPr/>
          <w:p>
            <w:r>
              <w:t>评审标准：</w:t>
            </w:r>
          </w:p>
          <w:p>
            <w:r>
              <w:t>标注#的重要指标共4项，每项重要技术指标设计按以下评分，满分4分，共4分。</w:t>
              <w:cr/>
              <w:t>一档：0分</w:t>
              <w:cr/>
              <w:t>二档：0.25分</w:t>
              <w:cr/>
              <w:t>三档：0.5分</w:t>
              <w:cr/>
              <w:t>四档：0.75分</w:t>
              <w:cr/>
              <w:t>五档：1分</w:t>
            </w:r>
          </w:p>
          <w:p>
            <w:r>
              <w:t>评审标准说明：</w:t>
            </w:r>
          </w:p>
          <w:p>
            <w:r>
              <w:t>标注#的重要指标需提供许可评估测试报告作为证明材料。具体评分标准如下：</w:t>
              <w:cr/>
              <w:t>最小作用距离（盲区）：</w:t>
              <w:cr/>
              <w:t>一档：＞60m</w:t>
              <w:cr/>
              <w:t>二档:(50m,60m] ；</w:t>
              <w:cr/>
              <w:t>三档:(45m,50m] ；</w:t>
              <w:cr/>
              <w:t>四档:(40m,45m] ；</w:t>
              <w:cr/>
              <w:t>五档:(0m,40m]。</w:t>
              <w:cr/>
              <w:t>水平风速测量误差（m/s）：</w:t>
              <w:cr/>
              <w:t>一档: ＞0.8；</w:t>
              <w:cr/>
              <w:t>二档:(0.6,0.8]；</w:t>
              <w:cr/>
              <w:t xml:space="preserve">三档:(0.5,0.6]； </w:t>
              <w:cr/>
              <w:t>四档:(0.4,0.5]；</w:t>
              <w:cr/>
              <w:t>五档:(0,0.4]。</w:t>
              <w:cr/>
              <w:t>水平风向测量误差（°）：</w:t>
              <w:cr/>
              <w:t>一档: ＞8；</w:t>
              <w:cr/>
              <w:t>二档:(6, 8]；</w:t>
              <w:cr/>
              <w:t>三档:(5, 6]；</w:t>
              <w:cr/>
              <w:t>四档 :(4, 5]；</w:t>
              <w:cr/>
              <w:t>五档 :(0, 4] 。</w:t>
              <w:cr/>
              <w:t>整机功耗（峰值W）：</w:t>
              <w:cr/>
              <w:t>一档: ＞3000；</w:t>
              <w:cr/>
              <w:t>二档:(500, 3000]；</w:t>
              <w:cr/>
              <w:t>三档：(200，500]；</w:t>
              <w:cr/>
              <w:t>四档 :（150，200] ；</w:t>
              <w:cr/>
              <w:t>五档 :(0, 150] 。</w:t>
            </w:r>
          </w:p>
          <w:p/>
        </w:tc>
      </w:tr>
      <w:tr>
        <w:tblPrEx>
          <w:tblW w:w="5000" w:type="pct"/>
          <w:tblCellMar>
            <w:left w:w="108" w:type="dxa"/>
            <w:right w:w="108" w:type="dxa"/>
          </w:tblCellMar>
        </w:tblPrEx>
        <w:tc>
          <w:tcPr/>
          <w:p>
            <w:r>
              <w:t>12</w:t>
            </w:r>
          </w:p>
        </w:tc>
        <w:tc>
          <w:tcPr>
            <w:vMerge/>
          </w:tcPr>
          <w:p>
            <w:r>
              <w:t>技术部分</w:t>
            </w:r>
          </w:p>
        </w:tc>
        <w:tc>
          <w:tcPr/>
          <w:p>
            <w:r>
              <w:t>1、投标产品技术性能○指标（客观分）</w:t>
            </w:r>
          </w:p>
        </w:tc>
        <w:tc>
          <w:tcPr/>
          <w:p>
            <w:r>
              <w:t>勾选打分</w:t>
            </w:r>
            <w:r>
              <w:t>(4)</w:t>
            </w:r>
          </w:p>
        </w:tc>
        <w:tc>
          <w:tcPr/>
          <w:p>
            <w:r>
              <w:t>评审标准：</w:t>
            </w:r>
          </w:p>
          <w:p>
            <w:r>
              <w:t>标注○的为重要指标，满分4分，分4档。</w:t>
              <w:cr/>
              <w:t>一档：0分</w:t>
              <w:cr/>
              <w:t>二档：1分</w:t>
              <w:cr/>
              <w:t>三档：2分</w:t>
              <w:cr/>
              <w:t>四档：4分</w:t>
            </w:r>
          </w:p>
          <w:p>
            <w:r>
              <w:t>评审标准说明：</w:t>
            </w:r>
          </w:p>
          <w:p>
            <w:r>
              <w:t>一档：没有按照硬件接口要求提供许可证同型号设备硬件接口设计证明和图片证明；</w:t>
              <w:cr/>
              <w:t>二档：按照硬件接口要求提供许可证同型号设备硬件接口设计证明（需加盖单位公章）；不能提供图片证明和满足与外接标定仪连接的第三方测试报告；</w:t>
              <w:cr/>
              <w:t>三档：按照硬件接口要求提供许可证同型号设备硬件接口设计证明和图片证明（需加盖单位公章）；不能提供满足与外接标定仪连接的第三方测试报告。</w:t>
              <w:cr/>
              <w:t>四档：按照硬件接口要求提供许可证同型号设备硬件接口设计证明和图片证明（需加盖单位公章）；能提供满足与外接标定仪连接的第三方测试报告。</w:t>
            </w:r>
          </w:p>
          <w:p/>
        </w:tc>
      </w:tr>
      <w:tr>
        <w:tblPrEx>
          <w:tblW w:w="5000" w:type="pct"/>
          <w:tblCellMar>
            <w:left w:w="108" w:type="dxa"/>
            <w:right w:w="108" w:type="dxa"/>
          </w:tblCellMar>
        </w:tblPrEx>
        <w:tc>
          <w:tcPr/>
          <w:p>
            <w:r>
              <w:t>13</w:t>
            </w:r>
          </w:p>
        </w:tc>
        <w:tc>
          <w:tcPr>
            <w:vMerge/>
          </w:tcPr>
          <w:p>
            <w:r>
              <w:t>技术部分</w:t>
            </w:r>
          </w:p>
        </w:tc>
        <w:tc>
          <w:tcPr/>
          <w:p>
            <w:r>
              <w:t>2、投标产品技术方案（主观分）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二档：技术方案基本能按照招标文件的格式进行响应，不详细、不具体，无针对性。</w:t>
              <w:cr/>
              <w:t xml:space="preserve">三档：技术方案基本能按照招标文件的要求进行响应，详细具体，有一定针对性，基本满足采购文件需求。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14</w:t>
            </w:r>
          </w:p>
        </w:tc>
        <w:tc>
          <w:tcPr>
            <w:vMerge/>
          </w:tcPr>
          <w:p>
            <w:r>
              <w:t>技术部分</w:t>
            </w:r>
          </w:p>
        </w:tc>
        <w:tc>
          <w:tcPr/>
          <w:p>
            <w:r>
              <w:t>3、投标产品综合性能（主观分）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和Δ的指标。综合技术性能由评审委员会根据技术性能指标，主观综合评判。</w:t>
            </w:r>
          </w:p>
          <w:p/>
        </w:tc>
      </w:tr>
      <w:tr>
        <w:tblPrEx>
          <w:tblW w:w="5000" w:type="pct"/>
          <w:tblCellMar>
            <w:left w:w="108" w:type="dxa"/>
            <w:right w:w="108" w:type="dxa"/>
          </w:tblCellMar>
        </w:tblPrEx>
        <w:tc>
          <w:tcPr/>
          <w:p>
            <w:r>
              <w:t>15</w:t>
            </w:r>
          </w:p>
        </w:tc>
        <w:tc>
          <w:tcPr>
            <w:vMerge/>
          </w:tcPr>
          <w:p>
            <w:r>
              <w:t>技术部分</w:t>
            </w:r>
          </w:p>
        </w:tc>
        <w:tc>
          <w:tcPr/>
          <w:p>
            <w:r>
              <w:t>4、实施方案（主观分）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16</w:t>
            </w:r>
          </w:p>
        </w:tc>
        <w:tc>
          <w:tcPr>
            <w:vMerge/>
          </w:tcPr>
          <w:p>
            <w:r>
              <w:t>技术部分</w:t>
            </w:r>
          </w:p>
        </w:tc>
        <w:tc>
          <w:tcPr/>
          <w:p>
            <w:r>
              <w:t>5、投标产品的环境适应性（客观分）</w:t>
            </w:r>
          </w:p>
        </w:tc>
        <w:tc>
          <w:tcPr/>
          <w:p>
            <w:r>
              <w:t>区间打分</w:t>
            </w:r>
            <w:r>
              <w:t>(2)</w:t>
            </w:r>
          </w:p>
        </w:tc>
        <w:tc>
          <w:tcPr/>
          <w:p>
            <w:r>
              <w:t>评审标准：</w:t>
            </w:r>
          </w:p>
          <w:p>
            <w:r>
              <w:t>针对相干多普勒测风激光雷达（远距型），测试报告应涵盖高低温、恒定湿热等内容，每包含一项得1分，最多得2分。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17</w:t>
            </w:r>
          </w:p>
        </w:tc>
        <w:tc>
          <w:tcPr>
            <w:vMerge/>
          </w:tcPr>
          <w:p>
            <w:r>
              <w:t>技术部分</w:t>
            </w:r>
          </w:p>
        </w:tc>
        <w:tc>
          <w:tcPr/>
          <w:p>
            <w:r>
              <w:t>6、投标产品软件兼容性（客观分）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rPr>
      </w:pPr>
      <w:r>
        <w:rPr>
          <w:rFonts w:ascii="仿宋" w:eastAsia="仿宋" w:hAnsi="仿宋" w:cs="仿宋" w:hint="eastAsia"/>
          <w:sz w:val="28"/>
          <w:szCs w:val="20"/>
        </w:rPr>
        <w:t>一</w:t>
      </w:r>
      <w:r>
        <w:rPr>
          <w:rFonts w:ascii="仿宋" w:eastAsia="仿宋" w:hAnsi="仿宋" w:cs="仿宋" w:hint="eastAsia"/>
          <w:sz w:val="28"/>
        </w:rPr>
        <w:t>、项目概况及总体要求（详见采购需求-其他技术及商务需求）</w:t>
      </w:r>
    </w:p>
    <w:p>
      <w:pPr>
        <w:spacing w:line="560" w:lineRule="exact"/>
        <w:ind w:firstLine="560" w:firstLineChars="200"/>
        <w:rPr>
          <w:rFonts w:ascii="仿宋" w:eastAsia="仿宋" w:hAnsi="仿宋" w:cs="仿宋" w:hint="eastAsia"/>
          <w:sz w:val="28"/>
        </w:rPr>
      </w:pPr>
      <w:r>
        <w:rPr>
          <w:rFonts w:ascii="仿宋" w:eastAsia="仿宋" w:hAnsi="仿宋" w:cs="仿宋" w:hint="eastAsia"/>
          <w:sz w:val="28"/>
        </w:rPr>
        <w:t>二、设备需求一览表（详见采购需求附表）</w:t>
      </w:r>
    </w:p>
    <w:p>
      <w:pPr>
        <w:spacing w:line="560" w:lineRule="exact"/>
        <w:ind w:firstLine="560" w:firstLineChars="200"/>
        <w:rPr>
          <w:rFonts w:ascii="仿宋" w:eastAsia="仿宋" w:hAnsi="仿宋" w:cs="仿宋" w:hint="eastAsia"/>
          <w:sz w:val="28"/>
        </w:rPr>
      </w:pPr>
      <w:r>
        <w:rPr>
          <w:rFonts w:ascii="仿宋" w:eastAsia="仿宋" w:hAnsi="仿宋" w:cs="仿宋" w:hint="eastAsia"/>
          <w:sz w:val="28"/>
        </w:rPr>
        <w:t>三、技术性能指标</w:t>
      </w:r>
    </w:p>
    <w:p>
      <w:pPr>
        <w:spacing w:line="560" w:lineRule="exact"/>
        <w:ind w:firstLine="560" w:firstLineChars="200"/>
        <w:rPr>
          <w:rFonts w:ascii="仿宋" w:eastAsia="仿宋" w:hAnsi="仿宋" w:cs="仿宋" w:hint="eastAsia"/>
          <w:sz w:val="28"/>
        </w:rPr>
      </w:pPr>
      <w:r>
        <w:rPr>
          <w:rFonts w:ascii="仿宋" w:eastAsia="仿宋" w:hAnsi="仿宋" w:cs="仿宋" w:hint="eastAsia"/>
          <w:sz w:val="28"/>
        </w:rPr>
        <w:t>相干多普勒测风激光雷达（远距型）采用激光相干探测体制，以大气气溶胶为示踪物，通过气溶胶对激光的后向散射回波信号的多普勒频移检测，并结合多波束光机扫描及风场反演，实现大气风场分布测量。其可以生成径向速度、谱宽、谱强、载噪比等基础数据，水平风速、水平风向、垂直气流等一级产品，进一步可反演出风切变等二次产品。</w:t>
      </w:r>
    </w:p>
    <w:p>
      <w:pPr>
        <w:spacing w:line="560" w:lineRule="exact"/>
        <w:ind w:firstLine="560" w:firstLineChars="200"/>
        <w:rPr>
          <w:rFonts w:ascii="仿宋" w:eastAsia="仿宋" w:hAnsi="仿宋" w:cs="仿宋" w:hint="eastAsia"/>
          <w:sz w:val="28"/>
        </w:rPr>
      </w:pPr>
      <w:r>
        <w:rPr>
          <w:rFonts w:ascii="仿宋" w:eastAsia="仿宋" w:hAnsi="仿宋" w:cs="仿宋" w:hint="eastAsia"/>
          <w:sz w:val="28"/>
        </w:rPr>
        <w:t xml:space="preserve">3.1 </w:t>
      </w:r>
      <w:r>
        <w:rPr>
          <w:rFonts w:ascii="仿宋" w:eastAsia="仿宋" w:hAnsi="仿宋" w:cs="仿宋"/>
          <w:sz w:val="28"/>
        </w:rPr>
        <w:t>相干多普勒测风激光雷达（</w:t>
      </w:r>
      <w:r>
        <w:rPr>
          <w:rFonts w:ascii="仿宋" w:eastAsia="仿宋" w:hAnsi="仿宋" w:cs="仿宋" w:hint="eastAsia"/>
          <w:sz w:val="28"/>
        </w:rPr>
        <w:t>远</w:t>
      </w:r>
      <w:r>
        <w:rPr>
          <w:rFonts w:ascii="仿宋" w:eastAsia="仿宋" w:hAnsi="仿宋" w:cs="仿宋"/>
          <w:sz w:val="28"/>
        </w:rPr>
        <w:t>距型）总体性能指标</w:t>
      </w:r>
    </w:p>
    <w:p>
      <w:pPr>
        <w:spacing w:line="560" w:lineRule="exact"/>
        <w:jc w:val="center"/>
        <w:rPr>
          <w:rFonts w:ascii="仿宋" w:eastAsia="仿宋" w:hAnsi="仿宋" w:cs="仿宋" w:hint="eastAsia"/>
          <w:b/>
          <w:bCs/>
          <w:sz w:val="28"/>
        </w:rPr>
      </w:pPr>
      <w:r>
        <w:rPr>
          <w:rFonts w:ascii="仿宋" w:eastAsia="仿宋" w:hAnsi="仿宋" w:cs="仿宋" w:hint="eastAsia"/>
          <w:b/>
          <w:bCs/>
          <w:sz w:val="28"/>
        </w:rPr>
        <w:t>表1 相干多普勒测风激光雷达（远距型）主要性能指标要求</w:t>
      </w:r>
    </w:p>
    <w:tbl>
      <w:tblPr>
        <w:tblStyle w:val="TableNormal"/>
        <w:tblW w:w="8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
      <w:tblGrid>
        <w:gridCol w:w="924"/>
        <w:gridCol w:w="1963"/>
        <w:gridCol w:w="5958"/>
      </w:tblGrid>
      <w:tr>
        <w:tblPrEx>
          <w:tblW w:w="8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jc w:val="center"/>
              <w:rPr>
                <w:rFonts w:ascii="仿宋" w:eastAsia="仿宋" w:hAnsi="仿宋" w:hint="eastAsia"/>
                <w:b/>
                <w:color w:val="000000"/>
              </w:rPr>
            </w:pPr>
            <w:r>
              <w:rPr>
                <w:rFonts w:ascii="仿宋" w:eastAsia="仿宋" w:hAnsi="仿宋" w:hint="eastAsia"/>
                <w:b/>
                <w:color w:val="000000"/>
                <w:sz w:val="24"/>
              </w:rPr>
              <w:t>项目</w:t>
            </w:r>
          </w:p>
        </w:tc>
        <w:tc>
          <w:tcPr>
            <w:tcW w:w="5958" w:type="dxa"/>
            <w:vAlign w:val="center"/>
          </w:tcPr>
          <w:p>
            <w:pPr>
              <w:adjustRightInd w:val="0"/>
              <w:snapToGrid w:val="0"/>
              <w:jc w:val="center"/>
              <w:rPr>
                <w:rFonts w:ascii="仿宋" w:eastAsia="仿宋" w:hAnsi="仿宋" w:hint="eastAsia"/>
                <w:b/>
                <w:color w:val="000000"/>
              </w:rPr>
            </w:pPr>
            <w:r>
              <w:rPr>
                <w:rFonts w:ascii="仿宋" w:eastAsia="仿宋" w:hAnsi="仿宋" w:hint="eastAsia"/>
                <w:b/>
                <w:color w:val="000000"/>
                <w:sz w:val="24"/>
              </w:rPr>
              <w:t>性能指标</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rPr>
            </w:pPr>
            <w:r>
              <w:rPr>
                <w:rFonts w:ascii="仿宋" w:eastAsia="仿宋" w:hAnsi="仿宋" w:hint="eastAsia"/>
                <w:color w:val="000000"/>
                <w:sz w:val="24"/>
              </w:rPr>
              <w:t>工作波长</w:t>
            </w:r>
          </w:p>
        </w:tc>
        <w:tc>
          <w:tcPr>
            <w:tcW w:w="5958" w:type="dxa"/>
            <w:vAlign w:val="center"/>
          </w:tcPr>
          <w:p>
            <w:pPr>
              <w:adjustRightInd w:val="0"/>
              <w:snapToGrid w:val="0"/>
              <w:jc w:val="left"/>
              <w:rPr>
                <w:rFonts w:ascii="仿宋" w:eastAsia="仿宋" w:hAnsi="仿宋" w:hint="eastAsia"/>
                <w:color w:val="000000"/>
              </w:rPr>
            </w:pPr>
            <w:r>
              <w:rPr>
                <w:rFonts w:ascii="仿宋" w:eastAsia="仿宋" w:hAnsi="仿宋" w:hint="eastAsia"/>
                <w:color w:val="000000"/>
                <w:sz w:val="24"/>
              </w:rPr>
              <w:t>1064nm～2200nm</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Δ</w:t>
            </w:r>
            <w:r>
              <w:rPr>
                <w:rFonts w:ascii="仿宋" w:eastAsia="仿宋" w:hAnsi="仿宋" w:hint="eastAsia"/>
                <w:color w:val="000000"/>
                <w:sz w:val="24"/>
                <w:highlight w:val="cyan"/>
              </w:rPr>
              <w:t>扫描模式</w:t>
            </w:r>
          </w:p>
        </w:tc>
        <w:tc>
          <w:tcPr>
            <w:tcW w:w="5958"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平面位置显示（Plan Position Indicator , PPI），距离高度显示（Range Height Indicator, RHI），多普勒光束定向摆动（Doppler-Beam-Swinging，DBS），扇扫，体扫，扇体扫，自定义扫描方式</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924" w:type="dxa"/>
            <w:vMerge w:val="restart"/>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Δ</w:t>
            </w:r>
            <w:r>
              <w:rPr>
                <w:rFonts w:ascii="仿宋" w:eastAsia="仿宋" w:hAnsi="仿宋" w:hint="eastAsia"/>
                <w:color w:val="000000"/>
                <w:sz w:val="24"/>
                <w:highlight w:val="cyan"/>
              </w:rPr>
              <w:t>天线</w:t>
            </w:r>
          </w:p>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扫描范围</w:t>
            </w:r>
          </w:p>
        </w:tc>
        <w:tc>
          <w:tcPr>
            <w:tcW w:w="1963"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方位角扫描范围</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0～360</w:t>
            </w:r>
            <w:r>
              <w:rPr>
                <w:rFonts w:ascii="仿宋" w:eastAsia="仿宋" w:hAnsi="仿宋" w:hint="eastAsia"/>
                <w:color w:val="000000"/>
                <w:sz w:val="24"/>
                <w:highlight w:val="cyan"/>
              </w:rPr>
              <w:t>°</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924" w:type="dxa"/>
            <w:vMerge/>
            <w:vAlign w:val="center"/>
          </w:tcPr>
          <w:p>
            <w:pPr>
              <w:adjustRightInd w:val="0"/>
              <w:snapToGrid w:val="0"/>
              <w:rPr>
                <w:rFonts w:ascii="仿宋" w:eastAsia="仿宋" w:hAnsi="仿宋" w:hint="eastAsia"/>
                <w:color w:val="000000"/>
                <w:highlight w:val="cyan"/>
              </w:rPr>
            </w:pPr>
          </w:p>
        </w:tc>
        <w:tc>
          <w:tcPr>
            <w:tcW w:w="1963"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俯仰角扫描范围</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color w:val="000000"/>
                <w:sz w:val="24"/>
                <w:highlight w:val="cyan"/>
              </w:rPr>
              <w:t>–</w:t>
            </w:r>
            <w:r>
              <w:rPr>
                <w:rFonts w:ascii="仿宋" w:eastAsia="仿宋" w:hAnsi="仿宋" w:hint="eastAsia"/>
                <w:color w:val="000000"/>
                <w:sz w:val="24"/>
                <w:highlight w:val="cyan"/>
              </w:rPr>
              <w:t>2～+90</w:t>
            </w:r>
            <w:r>
              <w:rPr>
                <w:rFonts w:ascii="仿宋" w:eastAsia="仿宋" w:hAnsi="仿宋" w:hint="eastAsia"/>
                <w:color w:val="000000"/>
                <w:sz w:val="24"/>
                <w:highlight w:val="cyan"/>
              </w:rPr>
              <w:t>°</w:t>
            </w:r>
            <w:r>
              <w:rPr>
                <w:rFonts w:ascii="仿宋" w:eastAsia="仿宋" w:hAnsi="仿宋" w:hint="eastAsia"/>
                <w:color w:val="000000"/>
                <w:sz w:val="24"/>
                <w:highlight w:val="cyan"/>
              </w:rPr>
              <w:t>（仅对具有三维扫描功能的设备）</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最大作用距离</w:t>
            </w:r>
          </w:p>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（探测能力大于60%）</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垂直应不小于3km；水平应不小于10km</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yellow"/>
              </w:rPr>
            </w:pPr>
            <w:r>
              <w:rPr>
                <w:rFonts w:ascii="仿宋" w:eastAsia="仿宋" w:hAnsi="仿宋" w:hint="eastAsia"/>
                <w:color w:val="000000"/>
                <w:sz w:val="24"/>
                <w:highlight w:val="yellow"/>
              </w:rPr>
              <w:t>#最小作用距离（盲区）</w:t>
            </w:r>
          </w:p>
        </w:tc>
        <w:tc>
          <w:tcPr>
            <w:tcW w:w="5958" w:type="dxa"/>
            <w:vAlign w:val="center"/>
          </w:tcPr>
          <w:p>
            <w:pPr>
              <w:adjustRightInd w:val="0"/>
              <w:snapToGrid w:val="0"/>
              <w:rPr>
                <w:rFonts w:ascii="仿宋" w:eastAsia="仿宋" w:hAnsi="仿宋" w:hint="eastAsia"/>
                <w:color w:val="000000"/>
                <w:highlight w:val="yellow"/>
              </w:rPr>
            </w:pPr>
            <w:r>
              <w:rPr>
                <w:rFonts w:ascii="仿宋" w:eastAsia="仿宋" w:hAnsi="仿宋" w:hint="eastAsia"/>
                <w:color w:val="000000"/>
                <w:sz w:val="24"/>
                <w:highlight w:val="yellow"/>
              </w:rPr>
              <w:t>≤</w:t>
            </w:r>
            <w:r>
              <w:rPr>
                <w:rFonts w:ascii="仿宋" w:eastAsia="仿宋" w:hAnsi="仿宋" w:hint="eastAsia"/>
                <w:color w:val="000000"/>
                <w:sz w:val="24"/>
                <w:highlight w:val="yellow"/>
              </w:rPr>
              <w:t>60m</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最大采集距离</w:t>
            </w:r>
          </w:p>
        </w:tc>
        <w:tc>
          <w:tcPr>
            <w:tcW w:w="5958"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10km</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924" w:type="dxa"/>
            <w:vMerge w:val="restart"/>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Δ</w:t>
            </w:r>
            <w:r>
              <w:rPr>
                <w:rFonts w:ascii="仿宋" w:eastAsia="仿宋" w:hAnsi="仿宋" w:hint="eastAsia"/>
                <w:color w:val="000000"/>
                <w:sz w:val="24"/>
                <w:highlight w:val="cyan"/>
              </w:rPr>
              <w:t>空间分辨率</w:t>
            </w:r>
          </w:p>
        </w:tc>
        <w:tc>
          <w:tcPr>
            <w:tcW w:w="1963"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距离分辨率</w:t>
            </w:r>
          </w:p>
        </w:tc>
        <w:tc>
          <w:tcPr>
            <w:tcW w:w="5958"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4.5-120m（可选）</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924" w:type="dxa"/>
            <w:vMerge/>
            <w:vAlign w:val="center"/>
          </w:tcPr>
          <w:p>
            <w:pPr>
              <w:adjustRightInd w:val="0"/>
              <w:snapToGrid w:val="0"/>
              <w:rPr>
                <w:rFonts w:ascii="仿宋" w:eastAsia="仿宋" w:hAnsi="仿宋" w:hint="eastAsia"/>
                <w:color w:val="000000"/>
                <w:highlight w:val="cyan"/>
              </w:rPr>
            </w:pPr>
          </w:p>
        </w:tc>
        <w:tc>
          <w:tcPr>
            <w:tcW w:w="1963"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角度分辨率</w:t>
            </w:r>
          </w:p>
        </w:tc>
        <w:tc>
          <w:tcPr>
            <w:tcW w:w="5958"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0.5</w:t>
            </w:r>
            <w:r>
              <w:rPr>
                <w:rFonts w:ascii="仿宋" w:eastAsia="仿宋" w:hAnsi="仿宋" w:hint="eastAsia"/>
                <w:color w:val="000000"/>
                <w:sz w:val="24"/>
                <w:highlight w:val="cyan"/>
              </w:rPr>
              <w:t>°</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924"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Δ</w:t>
            </w:r>
            <w:r>
              <w:rPr>
                <w:rFonts w:ascii="仿宋" w:eastAsia="仿宋" w:hAnsi="仿宋" w:hint="eastAsia"/>
                <w:color w:val="000000"/>
                <w:sz w:val="24"/>
                <w:highlight w:val="cyan"/>
              </w:rPr>
              <w:t>时间分辨率</w:t>
            </w:r>
          </w:p>
        </w:tc>
        <w:tc>
          <w:tcPr>
            <w:tcW w:w="1963"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风廓线</w:t>
            </w:r>
          </w:p>
        </w:tc>
        <w:tc>
          <w:tcPr>
            <w:tcW w:w="5958"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1min</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924" w:type="dxa"/>
            <w:vMerge w:val="restart"/>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扫描速度</w:t>
            </w:r>
          </w:p>
        </w:tc>
        <w:tc>
          <w:tcPr>
            <w:tcW w:w="1963"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方位</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扫描速度</w:t>
            </w:r>
            <w:r>
              <w:rPr>
                <w:rFonts w:ascii="仿宋" w:eastAsia="仿宋" w:hAnsi="仿宋" w:hint="eastAsia"/>
                <w:color w:val="000000"/>
                <w:sz w:val="24"/>
                <w:highlight w:val="cyan"/>
              </w:rPr>
              <w:t>≥</w:t>
            </w:r>
            <w:r>
              <w:rPr>
                <w:rFonts w:ascii="仿宋" w:eastAsia="仿宋" w:hAnsi="仿宋" w:hint="eastAsia"/>
                <w:color w:val="000000"/>
                <w:sz w:val="24"/>
                <w:highlight w:val="cyan"/>
              </w:rPr>
              <w:t>20</w:t>
            </w:r>
            <w:r>
              <w:rPr>
                <w:rFonts w:ascii="仿宋" w:eastAsia="仿宋" w:hAnsi="仿宋" w:hint="eastAsia"/>
                <w:color w:val="000000"/>
                <w:sz w:val="24"/>
                <w:highlight w:val="cyan"/>
              </w:rPr>
              <w:t>°</w:t>
            </w:r>
            <w:r>
              <w:rPr>
                <w:rFonts w:ascii="仿宋" w:eastAsia="仿宋" w:hAnsi="仿宋" w:hint="eastAsia"/>
                <w:color w:val="000000"/>
                <w:sz w:val="24"/>
                <w:highlight w:val="cyan"/>
              </w:rPr>
              <w:t>/s（可调）</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924" w:type="dxa"/>
            <w:vMerge/>
            <w:vAlign w:val="center"/>
          </w:tcPr>
          <w:p>
            <w:pPr>
              <w:adjustRightInd w:val="0"/>
              <w:snapToGrid w:val="0"/>
              <w:rPr>
                <w:rFonts w:ascii="仿宋" w:eastAsia="仿宋" w:hAnsi="仿宋" w:hint="eastAsia"/>
                <w:color w:val="000000"/>
                <w:highlight w:val="cyan"/>
              </w:rPr>
            </w:pPr>
          </w:p>
        </w:tc>
        <w:tc>
          <w:tcPr>
            <w:tcW w:w="1963" w:type="dxa"/>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俯仰</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扫描速度</w:t>
            </w:r>
            <w:r>
              <w:rPr>
                <w:rFonts w:ascii="仿宋" w:eastAsia="仿宋" w:hAnsi="仿宋" w:hint="eastAsia"/>
                <w:color w:val="000000"/>
                <w:sz w:val="24"/>
                <w:highlight w:val="cyan"/>
              </w:rPr>
              <w:t>≥</w:t>
            </w:r>
            <w:r>
              <w:rPr>
                <w:rFonts w:ascii="仿宋" w:eastAsia="仿宋" w:hAnsi="仿宋" w:hint="eastAsia"/>
                <w:color w:val="000000"/>
                <w:sz w:val="24"/>
                <w:highlight w:val="cyan"/>
              </w:rPr>
              <w:t>12</w:t>
            </w:r>
            <w:r>
              <w:rPr>
                <w:rFonts w:ascii="仿宋" w:eastAsia="仿宋" w:hAnsi="仿宋" w:hint="eastAsia"/>
                <w:color w:val="000000"/>
                <w:sz w:val="24"/>
                <w:highlight w:val="cyan"/>
              </w:rPr>
              <w:t>°</w:t>
            </w:r>
            <w:r>
              <w:rPr>
                <w:rFonts w:ascii="仿宋" w:eastAsia="仿宋" w:hAnsi="仿宋" w:hint="eastAsia"/>
                <w:color w:val="000000"/>
                <w:sz w:val="24"/>
                <w:highlight w:val="cyan"/>
              </w:rPr>
              <w:t>/s（可调）</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指向精度</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0.1</w:t>
            </w:r>
            <w:r>
              <w:rPr>
                <w:rFonts w:ascii="仿宋" w:eastAsia="仿宋" w:hAnsi="仿宋" w:hint="eastAsia"/>
                <w:color w:val="000000"/>
                <w:sz w:val="24"/>
                <w:highlight w:val="cyan"/>
              </w:rPr>
              <w:t>°</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径向风速测量范围</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cs="Courier New"/>
                <w:color w:val="000000"/>
                <w:sz w:val="24"/>
                <w:highlight w:val="cyan"/>
              </w:rPr>
              <w:t>–</w:t>
            </w:r>
            <w:r>
              <w:rPr>
                <w:rFonts w:ascii="仿宋" w:eastAsia="仿宋" w:hAnsi="仿宋" w:hint="eastAsia"/>
                <w:color w:val="000000"/>
                <w:sz w:val="24"/>
                <w:highlight w:val="cyan"/>
              </w:rPr>
              <w:t>50～+50m/s</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径向风速测量误差</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0.1m/s</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径向风速分辨率</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0.01m/s</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Δ</w:t>
            </w:r>
            <w:r>
              <w:rPr>
                <w:rFonts w:ascii="仿宋" w:eastAsia="仿宋" w:hAnsi="仿宋" w:hint="eastAsia"/>
                <w:color w:val="000000"/>
                <w:sz w:val="24"/>
                <w:highlight w:val="cyan"/>
              </w:rPr>
              <w:t>水平风速测量范围</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50m/s</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yellow"/>
              </w:rPr>
            </w:pPr>
            <w:r>
              <w:rPr>
                <w:rFonts w:ascii="仿宋" w:eastAsia="仿宋" w:hAnsi="仿宋" w:hint="eastAsia"/>
                <w:color w:val="000000"/>
                <w:sz w:val="24"/>
                <w:highlight w:val="yellow"/>
              </w:rPr>
              <w:t>#水平风速测量误差</w:t>
            </w:r>
          </w:p>
          <w:p>
            <w:pPr>
              <w:adjustRightInd w:val="0"/>
              <w:snapToGrid w:val="0"/>
              <w:rPr>
                <w:rFonts w:ascii="仿宋" w:eastAsia="仿宋" w:hAnsi="仿宋" w:hint="eastAsia"/>
                <w:color w:val="000000"/>
                <w:highlight w:val="yellow"/>
              </w:rPr>
            </w:pPr>
            <w:r>
              <w:rPr>
                <w:rFonts w:ascii="仿宋" w:eastAsia="仿宋" w:hAnsi="仿宋" w:hint="eastAsia"/>
                <w:color w:val="000000"/>
                <w:sz w:val="24"/>
                <w:highlight w:val="yellow"/>
              </w:rPr>
              <w:t>（标准偏差）</w:t>
            </w:r>
          </w:p>
        </w:tc>
        <w:tc>
          <w:tcPr>
            <w:tcW w:w="5958" w:type="dxa"/>
            <w:vAlign w:val="center"/>
          </w:tcPr>
          <w:p>
            <w:pPr>
              <w:adjustRightInd w:val="0"/>
              <w:snapToGrid w:val="0"/>
              <w:jc w:val="left"/>
              <w:rPr>
                <w:rFonts w:ascii="仿宋" w:eastAsia="仿宋" w:hAnsi="仿宋" w:hint="eastAsia"/>
                <w:color w:val="000000"/>
                <w:highlight w:val="yellow"/>
              </w:rPr>
            </w:pPr>
            <w:r>
              <w:rPr>
                <w:rFonts w:ascii="仿宋" w:eastAsia="仿宋" w:hAnsi="仿宋" w:hint="eastAsia"/>
                <w:color w:val="000000"/>
                <w:sz w:val="24"/>
                <w:highlight w:val="yellow"/>
              </w:rPr>
              <w:t>≤</w:t>
            </w:r>
            <w:r>
              <w:rPr>
                <w:rFonts w:ascii="仿宋" w:eastAsia="仿宋" w:hAnsi="仿宋" w:hint="eastAsia"/>
                <w:color w:val="000000"/>
                <w:sz w:val="24"/>
                <w:highlight w:val="yellow"/>
              </w:rPr>
              <w:t>0.8m/s（垂直高度3km以下）</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水平风速分辨率</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0.1m/s</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hint="eastAsia"/>
                <w:color w:val="000000"/>
                <w:sz w:val="24"/>
                <w:highlight w:val="cyan"/>
              </w:rPr>
              <w:t>Δ</w:t>
            </w:r>
            <w:r>
              <w:rPr>
                <w:rFonts w:ascii="仿宋" w:eastAsia="仿宋" w:hAnsi="仿宋" w:hint="eastAsia"/>
                <w:color w:val="000000"/>
                <w:sz w:val="24"/>
                <w:highlight w:val="cyan"/>
              </w:rPr>
              <w:t>垂直气流测量范围</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-20～20m/s</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垂直气流测量精度</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0.3m/s</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yellow"/>
              </w:rPr>
            </w:pPr>
            <w:r>
              <w:rPr>
                <w:rFonts w:ascii="仿宋" w:eastAsia="仿宋" w:hAnsi="仿宋" w:hint="eastAsia"/>
                <w:color w:val="000000"/>
                <w:sz w:val="24"/>
              </w:rPr>
              <w:t>风向测量范围</w:t>
            </w:r>
          </w:p>
        </w:tc>
        <w:tc>
          <w:tcPr>
            <w:tcW w:w="5958" w:type="dxa"/>
            <w:vAlign w:val="center"/>
          </w:tcPr>
          <w:p>
            <w:pPr>
              <w:adjustRightInd w:val="0"/>
              <w:snapToGrid w:val="0"/>
              <w:jc w:val="left"/>
              <w:rPr>
                <w:rFonts w:ascii="仿宋" w:eastAsia="仿宋" w:hAnsi="仿宋" w:hint="eastAsia"/>
                <w:color w:val="000000"/>
              </w:rPr>
            </w:pPr>
            <w:r>
              <w:rPr>
                <w:rFonts w:ascii="仿宋" w:eastAsia="仿宋" w:hAnsi="仿宋" w:hint="eastAsia"/>
                <w:color w:val="000000"/>
                <w:sz w:val="24"/>
              </w:rPr>
              <w:t>0～360</w:t>
            </w:r>
            <w:r>
              <w:rPr>
                <w:rFonts w:ascii="仿宋" w:eastAsia="仿宋" w:hAnsi="仿宋" w:hint="eastAsia"/>
                <w:color w:val="000000"/>
                <w:sz w:val="24"/>
              </w:rPr>
              <w:t>°</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cyan"/>
              </w:rPr>
            </w:pPr>
            <w:r>
              <w:rPr>
                <w:rFonts w:ascii="仿宋" w:eastAsia="仿宋" w:hAnsi="仿宋" w:cs="仿宋" w:hint="eastAsia"/>
                <w:color w:val="000000"/>
                <w:sz w:val="24"/>
                <w:highlight w:val="cyan"/>
              </w:rPr>
              <w:t>Δ</w:t>
            </w:r>
            <w:r>
              <w:rPr>
                <w:rFonts w:ascii="仿宋" w:eastAsia="仿宋" w:hAnsi="仿宋" w:hint="eastAsia"/>
                <w:color w:val="000000"/>
                <w:sz w:val="24"/>
                <w:highlight w:val="cyan"/>
              </w:rPr>
              <w:t>风向分辨率</w:t>
            </w:r>
          </w:p>
        </w:tc>
        <w:tc>
          <w:tcPr>
            <w:tcW w:w="5958" w:type="dxa"/>
            <w:vAlign w:val="center"/>
          </w:tcPr>
          <w:p>
            <w:pPr>
              <w:adjustRightInd w:val="0"/>
              <w:snapToGrid w:val="0"/>
              <w:jc w:val="left"/>
              <w:rPr>
                <w:rFonts w:ascii="仿宋" w:eastAsia="仿宋" w:hAnsi="仿宋" w:hint="eastAsia"/>
                <w:color w:val="000000"/>
                <w:highlight w:val="cyan"/>
              </w:rPr>
            </w:pPr>
            <w:r>
              <w:rPr>
                <w:rFonts w:ascii="仿宋" w:eastAsia="仿宋" w:hAnsi="仿宋" w:hint="eastAsia"/>
                <w:color w:val="000000"/>
                <w:sz w:val="24"/>
                <w:highlight w:val="cyan"/>
              </w:rPr>
              <w:t>≤</w:t>
            </w:r>
            <w:r>
              <w:rPr>
                <w:rFonts w:ascii="仿宋" w:eastAsia="仿宋" w:hAnsi="仿宋" w:hint="eastAsia"/>
                <w:color w:val="000000"/>
                <w:sz w:val="24"/>
                <w:highlight w:val="cyan"/>
              </w:rPr>
              <w:t>0.1</w:t>
            </w:r>
            <w:r>
              <w:rPr>
                <w:rFonts w:ascii="仿宋" w:eastAsia="仿宋" w:hAnsi="仿宋" w:hint="eastAsia"/>
                <w:color w:val="000000"/>
                <w:sz w:val="24"/>
                <w:highlight w:val="cyan"/>
              </w:rPr>
              <w:t>°</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yellow"/>
              </w:rPr>
            </w:pPr>
            <w:r>
              <w:rPr>
                <w:rFonts w:ascii="仿宋" w:eastAsia="仿宋" w:hAnsi="仿宋" w:hint="eastAsia"/>
                <w:color w:val="000000"/>
                <w:sz w:val="24"/>
                <w:highlight w:val="yellow"/>
              </w:rPr>
              <w:t>#水平风向测量误差</w:t>
            </w:r>
          </w:p>
          <w:p>
            <w:pPr>
              <w:adjustRightInd w:val="0"/>
              <w:snapToGrid w:val="0"/>
              <w:rPr>
                <w:rFonts w:ascii="仿宋" w:eastAsia="仿宋" w:hAnsi="仿宋" w:hint="eastAsia"/>
                <w:color w:val="000000"/>
                <w:highlight w:val="yellow"/>
              </w:rPr>
            </w:pPr>
            <w:r>
              <w:rPr>
                <w:rFonts w:ascii="仿宋" w:eastAsia="仿宋" w:hAnsi="仿宋" w:hint="eastAsia"/>
                <w:color w:val="000000"/>
                <w:sz w:val="24"/>
                <w:highlight w:val="yellow"/>
              </w:rPr>
              <w:t>（标准偏差）</w:t>
            </w:r>
          </w:p>
        </w:tc>
        <w:tc>
          <w:tcPr>
            <w:tcW w:w="5958" w:type="dxa"/>
            <w:vAlign w:val="center"/>
          </w:tcPr>
          <w:p>
            <w:pPr>
              <w:adjustRightInd w:val="0"/>
              <w:snapToGrid w:val="0"/>
              <w:jc w:val="left"/>
              <w:rPr>
                <w:rFonts w:ascii="仿宋" w:eastAsia="仿宋" w:hAnsi="仿宋" w:hint="eastAsia"/>
                <w:color w:val="000000"/>
                <w:highlight w:val="yellow"/>
              </w:rPr>
            </w:pPr>
            <w:r>
              <w:rPr>
                <w:rFonts w:ascii="仿宋" w:eastAsia="仿宋" w:hAnsi="仿宋" w:hint="eastAsia"/>
                <w:color w:val="000000"/>
                <w:sz w:val="24"/>
                <w:highlight w:val="yellow"/>
              </w:rPr>
              <w:t>≤</w:t>
            </w:r>
            <w:r>
              <w:rPr>
                <w:rFonts w:ascii="仿宋" w:eastAsia="仿宋" w:hAnsi="仿宋" w:hint="eastAsia"/>
                <w:color w:val="000000"/>
                <w:sz w:val="24"/>
                <w:highlight w:val="yellow"/>
              </w:rPr>
              <w:t>8</w:t>
            </w:r>
            <w:r>
              <w:rPr>
                <w:rFonts w:ascii="仿宋" w:eastAsia="仿宋" w:hAnsi="仿宋" w:hint="eastAsia"/>
                <w:color w:val="000000"/>
                <w:sz w:val="24"/>
                <w:highlight w:val="yellow"/>
              </w:rPr>
              <w:t>°</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rPr>
            </w:pPr>
            <w:r>
              <w:rPr>
                <w:rFonts w:ascii="仿宋" w:eastAsia="仿宋" w:hAnsi="仿宋"/>
                <w:color w:val="000000"/>
                <w:sz w:val="24"/>
              </w:rPr>
              <w:t>设备重量</w:t>
            </w:r>
          </w:p>
        </w:tc>
        <w:tc>
          <w:tcPr>
            <w:tcW w:w="5958" w:type="dxa"/>
            <w:vAlign w:val="center"/>
          </w:tcPr>
          <w:p>
            <w:pPr>
              <w:adjustRightInd w:val="0"/>
              <w:snapToGrid w:val="0"/>
              <w:jc w:val="left"/>
              <w:rPr>
                <w:rFonts w:ascii="仿宋" w:eastAsia="仿宋" w:hAnsi="仿宋" w:hint="eastAsia"/>
                <w:color w:val="000000"/>
              </w:rPr>
            </w:pPr>
            <w:r>
              <w:rPr>
                <w:rFonts w:ascii="仿宋" w:eastAsia="仿宋" w:hAnsi="仿宋"/>
                <w:color w:val="000000"/>
                <w:sz w:val="24"/>
              </w:rPr>
              <w:t>≤250kg</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highlight w:val="yellow"/>
              </w:rPr>
            </w:pPr>
            <w:r>
              <w:rPr>
                <w:rFonts w:ascii="仿宋" w:eastAsia="仿宋" w:hAnsi="仿宋" w:hint="eastAsia"/>
                <w:color w:val="000000"/>
                <w:sz w:val="24"/>
                <w:highlight w:val="yellow"/>
              </w:rPr>
              <w:t>#</w:t>
            </w:r>
            <w:r>
              <w:rPr>
                <w:rFonts w:ascii="仿宋" w:eastAsia="仿宋" w:hAnsi="仿宋"/>
                <w:color w:val="000000"/>
                <w:sz w:val="24"/>
                <w:highlight w:val="yellow"/>
              </w:rPr>
              <w:t>整机功耗（峰值）</w:t>
            </w:r>
          </w:p>
        </w:tc>
        <w:tc>
          <w:tcPr>
            <w:tcW w:w="5958" w:type="dxa"/>
            <w:vAlign w:val="center"/>
          </w:tcPr>
          <w:p>
            <w:pPr>
              <w:adjustRightInd w:val="0"/>
              <w:snapToGrid w:val="0"/>
              <w:jc w:val="left"/>
              <w:rPr>
                <w:rFonts w:ascii="仿宋" w:eastAsia="仿宋" w:hAnsi="仿宋" w:hint="eastAsia"/>
                <w:color w:val="000000"/>
                <w:highlight w:val="yellow"/>
              </w:rPr>
            </w:pPr>
            <w:r>
              <w:rPr>
                <w:rFonts w:ascii="仿宋" w:eastAsia="仿宋" w:hAnsi="仿宋"/>
                <w:color w:val="000000"/>
                <w:sz w:val="24"/>
                <w:highlight w:val="yellow"/>
              </w:rPr>
              <w:t>≤3kW</w:t>
            </w:r>
          </w:p>
        </w:tc>
      </w:tr>
      <w:tr>
        <w:tblPrEx>
          <w:tblW w:w="8845" w:type="dxa"/>
          <w:jc w:val="center"/>
          <w:tblLayout w:type="fixed"/>
          <w:tblCellMar>
            <w:top w:w="0" w:type="dxa"/>
            <w:left w:w="57" w:type="dxa"/>
            <w:bottom w:w="0" w:type="dxa"/>
            <w:right w:w="57" w:type="dxa"/>
          </w:tblCellMar>
          <w:tblLook w:val="0000"/>
        </w:tblPrEx>
        <w:trPr>
          <w:trHeight w:val="690"/>
          <w:jc w:val="center"/>
        </w:trPr>
        <w:tc>
          <w:tcPr>
            <w:tcW w:w="2887" w:type="dxa"/>
            <w:gridSpan w:val="2"/>
            <w:vAlign w:val="center"/>
          </w:tcPr>
          <w:p>
            <w:pPr>
              <w:adjustRightInd w:val="0"/>
              <w:snapToGrid w:val="0"/>
              <w:rPr>
                <w:rFonts w:ascii="仿宋" w:eastAsia="仿宋" w:hAnsi="仿宋" w:hint="eastAsia"/>
                <w:color w:val="000000"/>
                <w:highlight w:val="green"/>
              </w:rPr>
            </w:pPr>
            <w:r>
              <w:rPr>
                <w:rFonts w:ascii="仿宋" w:eastAsia="仿宋" w:hAnsi="仿宋" w:hint="eastAsia"/>
                <w:kern w:val="20"/>
                <w:sz w:val="24"/>
                <w:highlight w:val="green"/>
              </w:rPr>
              <w:t>○</w:t>
            </w:r>
            <w:r>
              <w:rPr>
                <w:rFonts w:ascii="仿宋" w:eastAsia="仿宋" w:hAnsi="仿宋" w:hint="eastAsia"/>
                <w:color w:val="000000"/>
                <w:sz w:val="24"/>
                <w:highlight w:val="green"/>
              </w:rPr>
              <w:t>接口要求</w:t>
            </w:r>
          </w:p>
        </w:tc>
        <w:tc>
          <w:tcPr>
            <w:tcW w:w="5958" w:type="dxa"/>
            <w:vAlign w:val="center"/>
          </w:tcPr>
          <w:p>
            <w:pPr>
              <w:adjustRightInd w:val="0"/>
              <w:snapToGrid w:val="0"/>
              <w:jc w:val="left"/>
              <w:rPr>
                <w:rFonts w:ascii="仿宋" w:eastAsia="仿宋" w:hAnsi="仿宋" w:hint="eastAsia"/>
                <w:color w:val="000000"/>
                <w:highlight w:val="green"/>
              </w:rPr>
            </w:pPr>
            <w:r>
              <w:rPr>
                <w:rFonts w:ascii="仿宋" w:eastAsia="仿宋" w:hAnsi="仿宋" w:hint="eastAsia"/>
                <w:color w:val="000000"/>
                <w:sz w:val="24"/>
                <w:highlight w:val="green"/>
              </w:rPr>
              <w:t>硬件接口：需配备FC/APC标准光纤接口、TTL电平的BNC接口，支持外接标定单元实现关键性能指标的标定</w:t>
            </w:r>
          </w:p>
          <w:p>
            <w:pPr>
              <w:adjustRightInd w:val="0"/>
              <w:snapToGrid w:val="0"/>
              <w:jc w:val="left"/>
              <w:rPr>
                <w:rFonts w:ascii="仿宋" w:eastAsia="仿宋" w:hAnsi="仿宋" w:hint="eastAsia"/>
                <w:color w:val="000000"/>
                <w:highlight w:val="green"/>
              </w:rPr>
            </w:pPr>
            <w:r>
              <w:rPr>
                <w:rFonts w:ascii="仿宋" w:eastAsia="仿宋" w:hAnsi="仿宋" w:hint="eastAsia"/>
                <w:color w:val="000000"/>
                <w:sz w:val="24"/>
                <w:highlight w:val="green"/>
              </w:rPr>
              <w:t>软件接口：需提供基于 HTTP 协议的 WebAPI标准接口，支持标定控制、参数配置及状态监控功能。</w:t>
            </w:r>
          </w:p>
        </w:tc>
      </w:tr>
      <w:tr>
        <w:tblPrEx>
          <w:tblW w:w="8845" w:type="dxa"/>
          <w:jc w:val="center"/>
          <w:tblLayout w:type="fixed"/>
          <w:tblCellMar>
            <w:top w:w="0" w:type="dxa"/>
            <w:left w:w="57" w:type="dxa"/>
            <w:bottom w:w="0" w:type="dxa"/>
            <w:right w:w="57" w:type="dxa"/>
          </w:tblCellMar>
          <w:tblLook w:val="0000"/>
        </w:tblPrEx>
        <w:trPr>
          <w:trHeight w:val="340"/>
          <w:jc w:val="center"/>
        </w:trPr>
        <w:tc>
          <w:tcPr>
            <w:tcW w:w="2887" w:type="dxa"/>
            <w:gridSpan w:val="2"/>
            <w:vAlign w:val="center"/>
          </w:tcPr>
          <w:p>
            <w:pPr>
              <w:adjustRightInd w:val="0"/>
              <w:snapToGrid w:val="0"/>
              <w:rPr>
                <w:rFonts w:ascii="仿宋" w:eastAsia="仿宋" w:hAnsi="仿宋" w:hint="eastAsia"/>
                <w:color w:val="000000"/>
              </w:rPr>
            </w:pPr>
            <w:r>
              <w:rPr>
                <w:rFonts w:ascii="仿宋" w:eastAsia="仿宋" w:hAnsi="仿宋" w:hint="eastAsia"/>
                <w:color w:val="000000"/>
                <w:sz w:val="24"/>
              </w:rPr>
              <w:t>工作模式</w:t>
            </w:r>
          </w:p>
        </w:tc>
        <w:tc>
          <w:tcPr>
            <w:tcW w:w="5958" w:type="dxa"/>
            <w:vAlign w:val="center"/>
          </w:tcPr>
          <w:p>
            <w:pPr>
              <w:adjustRightInd w:val="0"/>
              <w:snapToGrid w:val="0"/>
              <w:jc w:val="left"/>
              <w:rPr>
                <w:rFonts w:ascii="仿宋" w:eastAsia="仿宋" w:hAnsi="仿宋" w:hint="eastAsia"/>
                <w:color w:val="000000"/>
              </w:rPr>
            </w:pPr>
            <w:r>
              <w:rPr>
                <w:rFonts w:ascii="仿宋" w:eastAsia="仿宋" w:hAnsi="仿宋" w:hint="eastAsia"/>
                <w:color w:val="000000"/>
                <w:sz w:val="24"/>
              </w:rPr>
              <w:t>支持正常工作模式和标定模式两种，在标定模式下开种子激光、关激光放大器、开风速标定。</w:t>
            </w:r>
          </w:p>
        </w:tc>
      </w:tr>
    </w:tbl>
    <w:p>
      <w:pPr>
        <w:spacing w:line="560" w:lineRule="exact"/>
        <w:ind w:firstLine="560" w:firstLineChars="200"/>
        <w:rPr>
          <w:rFonts w:ascii="仿宋" w:eastAsia="仿宋" w:hAnsi="仿宋" w:cs="仿宋" w:hint="eastAsia"/>
          <w:sz w:val="28"/>
        </w:rPr>
      </w:pPr>
      <w:r>
        <w:rPr>
          <w:rFonts w:ascii="仿宋" w:eastAsia="仿宋" w:hAnsi="仿宋" w:cs="仿宋"/>
          <w:sz w:val="28"/>
        </w:rPr>
        <w:t>3.</w:t>
      </w:r>
      <w:r>
        <w:rPr>
          <w:rFonts w:ascii="仿宋" w:eastAsia="仿宋" w:hAnsi="仿宋" w:cs="仿宋" w:hint="eastAsia"/>
          <w:sz w:val="28"/>
        </w:rPr>
        <w:t>2相干多普勒测风激光雷达（远距型）激光发射系统技术指标</w:t>
      </w:r>
    </w:p>
    <w:p>
      <w:pPr>
        <w:spacing w:line="560" w:lineRule="exact"/>
        <w:jc w:val="center"/>
        <w:rPr>
          <w:rFonts w:ascii="仿宋" w:eastAsia="仿宋" w:hAnsi="仿宋" w:cs="仿宋" w:hint="eastAsia"/>
          <w:b/>
          <w:bCs/>
          <w:sz w:val="28"/>
        </w:rPr>
      </w:pPr>
      <w:r>
        <w:rPr>
          <w:rFonts w:ascii="仿宋" w:eastAsia="仿宋" w:hAnsi="仿宋" w:cs="仿宋"/>
          <w:b/>
          <w:bCs/>
          <w:sz w:val="28"/>
        </w:rPr>
        <w:t>表</w:t>
      </w:r>
      <w:r>
        <w:rPr>
          <w:rFonts w:ascii="仿宋" w:eastAsia="仿宋" w:hAnsi="仿宋" w:cs="仿宋" w:hint="eastAsia"/>
          <w:b/>
          <w:bCs/>
          <w:sz w:val="28"/>
        </w:rPr>
        <w:t>2</w:t>
      </w:r>
      <w:r>
        <w:rPr>
          <w:rFonts w:ascii="仿宋" w:eastAsia="仿宋" w:hAnsi="仿宋" w:cs="仿宋"/>
          <w:b/>
          <w:bCs/>
          <w:sz w:val="28"/>
        </w:rPr>
        <w:t>激光发射系统技术性能指标表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47"/>
        <w:gridCol w:w="591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2547" w:type="dxa"/>
            <w:vAlign w:val="center"/>
          </w:tcPr>
          <w:p>
            <w:pPr>
              <w:spacing w:line="560" w:lineRule="exact"/>
              <w:jc w:val="center"/>
              <w:rPr>
                <w:rFonts w:ascii="仿宋" w:eastAsia="仿宋" w:hAnsi="仿宋" w:cs="仿宋" w:hint="eastAsia"/>
                <w:b/>
                <w:bCs/>
                <w:szCs w:val="18"/>
              </w:rPr>
            </w:pPr>
            <w:r>
              <w:rPr>
                <w:rFonts w:ascii="仿宋" w:eastAsia="仿宋" w:hAnsi="仿宋" w:cs="仿宋"/>
                <w:b/>
                <w:bCs/>
                <w:sz w:val="24"/>
                <w:szCs w:val="18"/>
              </w:rPr>
              <w:t>项目</w:t>
            </w:r>
          </w:p>
        </w:tc>
        <w:tc>
          <w:tcPr>
            <w:tcW w:w="5916" w:type="dxa"/>
            <w:vAlign w:val="center"/>
          </w:tcPr>
          <w:p>
            <w:pPr>
              <w:spacing w:line="560" w:lineRule="exact"/>
              <w:jc w:val="center"/>
              <w:rPr>
                <w:rFonts w:ascii="仿宋" w:eastAsia="仿宋" w:hAnsi="仿宋" w:cs="仿宋" w:hint="eastAsia"/>
                <w:b/>
                <w:bCs/>
                <w:szCs w:val="18"/>
              </w:rPr>
            </w:pPr>
            <w:r>
              <w:rPr>
                <w:rFonts w:ascii="仿宋" w:eastAsia="仿宋" w:hAnsi="仿宋" w:cs="仿宋"/>
                <w:b/>
                <w:bCs/>
                <w:sz w:val="24"/>
                <w:szCs w:val="18"/>
              </w:rPr>
              <w:t>性能指标</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547" w:type="dxa"/>
            <w:vAlign w:val="center"/>
          </w:tcPr>
          <w:p>
            <w:pPr>
              <w:spacing w:line="560" w:lineRule="exact"/>
              <w:jc w:val="center"/>
              <w:rPr>
                <w:rFonts w:ascii="仿宋" w:eastAsia="仿宋" w:hAnsi="仿宋" w:cs="仿宋" w:hint="eastAsia"/>
                <w:szCs w:val="18"/>
              </w:rPr>
            </w:pPr>
            <w:r>
              <w:rPr>
                <w:rFonts w:ascii="仿宋" w:eastAsia="仿宋" w:hAnsi="仿宋" w:cs="仿宋"/>
                <w:sz w:val="24"/>
                <w:szCs w:val="18"/>
              </w:rPr>
              <w:t>工作波长</w:t>
            </w:r>
          </w:p>
        </w:tc>
        <w:tc>
          <w:tcPr>
            <w:tcW w:w="5916" w:type="dxa"/>
            <w:vAlign w:val="center"/>
          </w:tcPr>
          <w:p>
            <w:pPr>
              <w:spacing w:line="560" w:lineRule="exact"/>
              <w:jc w:val="center"/>
              <w:rPr>
                <w:rFonts w:ascii="仿宋" w:eastAsia="仿宋" w:hAnsi="仿宋" w:cs="仿宋" w:hint="eastAsia"/>
                <w:szCs w:val="18"/>
              </w:rPr>
            </w:pPr>
            <w:r>
              <w:rPr>
                <w:rFonts w:ascii="仿宋" w:eastAsia="仿宋" w:hAnsi="仿宋" w:cs="仿宋"/>
                <w:sz w:val="24"/>
                <w:szCs w:val="18"/>
              </w:rPr>
              <w:t>1064～2200nm</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547" w:type="dxa"/>
            <w:vAlign w:val="center"/>
          </w:tcPr>
          <w:p>
            <w:pPr>
              <w:spacing w:line="560" w:lineRule="exact"/>
              <w:jc w:val="center"/>
              <w:rPr>
                <w:rFonts w:ascii="仿宋" w:eastAsia="仿宋" w:hAnsi="仿宋" w:cs="仿宋" w:hint="eastAsia"/>
                <w:szCs w:val="18"/>
              </w:rPr>
            </w:pPr>
            <w:r>
              <w:rPr>
                <w:rFonts w:ascii="仿宋" w:eastAsia="仿宋" w:hAnsi="仿宋" w:cs="仿宋"/>
                <w:sz w:val="24"/>
                <w:szCs w:val="18"/>
              </w:rPr>
              <w:t>脉冲宽度（FWHM）</w:t>
            </w:r>
          </w:p>
        </w:tc>
        <w:tc>
          <w:tcPr>
            <w:tcW w:w="5916" w:type="dxa"/>
            <w:vAlign w:val="center"/>
          </w:tcPr>
          <w:p>
            <w:pPr>
              <w:spacing w:line="560" w:lineRule="exact"/>
              <w:jc w:val="center"/>
              <w:rPr>
                <w:rFonts w:ascii="仿宋" w:eastAsia="仿宋" w:hAnsi="仿宋" w:cs="仿宋" w:hint="eastAsia"/>
                <w:szCs w:val="18"/>
              </w:rPr>
            </w:pPr>
            <w:r>
              <w:rPr>
                <w:rFonts w:ascii="仿宋" w:eastAsia="仿宋" w:hAnsi="仿宋" w:cs="仿宋"/>
                <w:sz w:val="24"/>
                <w:szCs w:val="18"/>
              </w:rPr>
              <w:t>30～800ns可调</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547" w:type="dxa"/>
            <w:vAlign w:val="center"/>
          </w:tcPr>
          <w:p>
            <w:pPr>
              <w:spacing w:line="560" w:lineRule="exact"/>
              <w:jc w:val="center"/>
              <w:rPr>
                <w:rFonts w:ascii="仿宋" w:eastAsia="仿宋" w:hAnsi="仿宋" w:cs="仿宋" w:hint="eastAsia"/>
                <w:szCs w:val="18"/>
              </w:rPr>
            </w:pPr>
            <w:r>
              <w:rPr>
                <w:rFonts w:ascii="仿宋" w:eastAsia="仿宋" w:hAnsi="仿宋" w:cs="仿宋"/>
                <w:sz w:val="24"/>
                <w:szCs w:val="18"/>
              </w:rPr>
              <w:t>故障检测和保护</w:t>
            </w:r>
          </w:p>
        </w:tc>
        <w:tc>
          <w:tcPr>
            <w:tcW w:w="5916" w:type="dxa"/>
            <w:vAlign w:val="center"/>
          </w:tcPr>
          <w:p>
            <w:pPr>
              <w:spacing w:line="560" w:lineRule="exact"/>
              <w:jc w:val="center"/>
              <w:rPr>
                <w:rFonts w:ascii="仿宋" w:eastAsia="仿宋" w:hAnsi="仿宋" w:cs="仿宋" w:hint="eastAsia"/>
                <w:szCs w:val="18"/>
              </w:rPr>
            </w:pPr>
            <w:r>
              <w:rPr>
                <w:rFonts w:ascii="仿宋" w:eastAsia="仿宋" w:hAnsi="仿宋" w:cs="仿宋"/>
                <w:sz w:val="24"/>
                <w:szCs w:val="18"/>
              </w:rPr>
              <w:t>过流保护、过温保护，功率低时输出报警信号。</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547" w:type="dxa"/>
            <w:vAlign w:val="center"/>
          </w:tcPr>
          <w:p>
            <w:pPr>
              <w:spacing w:line="560" w:lineRule="exact"/>
              <w:jc w:val="center"/>
              <w:rPr>
                <w:rFonts w:ascii="仿宋" w:eastAsia="仿宋" w:hAnsi="仿宋" w:cs="仿宋" w:hint="eastAsia"/>
                <w:szCs w:val="18"/>
              </w:rPr>
            </w:pPr>
            <w:r>
              <w:rPr>
                <w:rFonts w:ascii="仿宋" w:eastAsia="仿宋" w:hAnsi="仿宋" w:cs="仿宋"/>
                <w:sz w:val="24"/>
                <w:szCs w:val="18"/>
              </w:rPr>
              <w:t>通风散热</w:t>
            </w:r>
          </w:p>
        </w:tc>
        <w:tc>
          <w:tcPr>
            <w:tcW w:w="5916" w:type="dxa"/>
            <w:vAlign w:val="center"/>
          </w:tcPr>
          <w:p>
            <w:pPr>
              <w:spacing w:line="560" w:lineRule="exact"/>
              <w:jc w:val="center"/>
              <w:rPr>
                <w:rFonts w:ascii="仿宋" w:eastAsia="仿宋" w:hAnsi="仿宋" w:cs="仿宋" w:hint="eastAsia"/>
                <w:szCs w:val="18"/>
              </w:rPr>
            </w:pPr>
            <w:r>
              <w:rPr>
                <w:rFonts w:ascii="仿宋" w:eastAsia="仿宋" w:hAnsi="仿宋" w:cs="仿宋"/>
                <w:sz w:val="24"/>
                <w:szCs w:val="18"/>
              </w:rPr>
              <w:t>有可靠的通风散热设计，保证激光发射系统正常工作。</w:t>
            </w:r>
          </w:p>
        </w:tc>
      </w:tr>
    </w:tbl>
    <w:p>
      <w:pPr>
        <w:spacing w:line="560" w:lineRule="exact"/>
        <w:ind w:firstLine="560" w:firstLineChars="200"/>
        <w:rPr>
          <w:rFonts w:ascii="仿宋" w:eastAsia="仿宋" w:hAnsi="仿宋" w:cs="仿宋" w:hint="eastAsia"/>
          <w:sz w:val="28"/>
        </w:rPr>
      </w:pPr>
      <w:r>
        <w:rPr>
          <w:rFonts w:ascii="仿宋" w:eastAsia="仿宋" w:hAnsi="仿宋" w:cs="仿宋"/>
          <w:sz w:val="28"/>
        </w:rPr>
        <w:t>3.</w:t>
      </w:r>
      <w:r>
        <w:rPr>
          <w:rFonts w:ascii="仿宋" w:eastAsia="仿宋" w:hAnsi="仿宋" w:cs="仿宋" w:hint="eastAsia"/>
          <w:sz w:val="28"/>
        </w:rPr>
        <w:t>3相干多普勒测风激光雷达（远距型）光学接收系统技术指标</w:t>
      </w:r>
    </w:p>
    <w:p>
      <w:pPr>
        <w:adjustRightInd w:val="0"/>
        <w:snapToGrid w:val="0"/>
        <w:spacing w:line="360" w:lineRule="auto"/>
        <w:jc w:val="center"/>
        <w:rPr>
          <w:rFonts w:ascii="仿宋" w:eastAsia="仿宋" w:hAnsi="仿宋" w:hint="eastAsia"/>
          <w:b/>
          <w:sz w:val="28"/>
          <w:szCs w:val="28"/>
        </w:rPr>
      </w:pPr>
      <w:r>
        <w:rPr>
          <w:rFonts w:ascii="仿宋" w:eastAsia="仿宋" w:hAnsi="仿宋" w:hint="eastAsia"/>
          <w:b/>
          <w:sz w:val="28"/>
          <w:szCs w:val="28"/>
        </w:rPr>
        <w:t>表3光学接收系统技术性能指标表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07"/>
        <w:gridCol w:w="554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2807" w:type="dxa"/>
            <w:vAlign w:val="center"/>
          </w:tcPr>
          <w:p>
            <w:pPr>
              <w:adjustRightInd w:val="0"/>
              <w:snapToGrid w:val="0"/>
              <w:jc w:val="center"/>
              <w:rPr>
                <w:rFonts w:ascii="仿宋" w:eastAsia="仿宋" w:hAnsi="仿宋" w:hint="eastAsia"/>
                <w:b/>
              </w:rPr>
            </w:pPr>
            <w:r>
              <w:rPr>
                <w:rFonts w:ascii="仿宋" w:eastAsia="仿宋" w:hAnsi="仿宋" w:hint="eastAsia"/>
                <w:b/>
                <w:sz w:val="24"/>
                <w:szCs w:val="24"/>
              </w:rPr>
              <w:t>项目</w:t>
            </w:r>
          </w:p>
        </w:tc>
        <w:tc>
          <w:tcPr>
            <w:tcW w:w="5547" w:type="dxa"/>
            <w:vAlign w:val="center"/>
          </w:tcPr>
          <w:p>
            <w:pPr>
              <w:adjustRightInd w:val="0"/>
              <w:snapToGrid w:val="0"/>
              <w:jc w:val="center"/>
              <w:rPr>
                <w:rFonts w:ascii="仿宋" w:eastAsia="仿宋" w:hAnsi="仿宋" w:hint="eastAsia"/>
                <w:b/>
              </w:rPr>
            </w:pPr>
            <w:r>
              <w:rPr>
                <w:rFonts w:ascii="仿宋" w:eastAsia="仿宋" w:hAnsi="仿宋" w:hint="eastAsia"/>
                <w:b/>
                <w:sz w:val="24"/>
                <w:szCs w:val="24"/>
              </w:rPr>
              <w:t>性能指标</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2807"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rFonts w:ascii="仿宋" w:eastAsia="仿宋" w:hAnsi="仿宋" w:hint="eastAsia"/>
              </w:rPr>
            </w:pPr>
            <w:r>
              <w:rPr>
                <w:rFonts w:ascii="仿宋" w:eastAsia="仿宋" w:hAnsi="仿宋" w:hint="eastAsia"/>
                <w:sz w:val="24"/>
                <w:szCs w:val="24"/>
              </w:rPr>
              <w:t>工作波长</w:t>
            </w:r>
          </w:p>
        </w:tc>
        <w:tc>
          <w:tcPr>
            <w:tcW w:w="5547"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rFonts w:ascii="仿宋" w:eastAsia="仿宋" w:hAnsi="仿宋" w:hint="eastAsia"/>
              </w:rPr>
            </w:pPr>
            <w:r>
              <w:rPr>
                <w:rFonts w:ascii="仿宋" w:eastAsia="仿宋" w:hAnsi="仿宋" w:hint="eastAsia"/>
                <w:sz w:val="24"/>
                <w:szCs w:val="24"/>
              </w:rPr>
              <w:t>1064～2200nm</w:t>
            </w:r>
          </w:p>
        </w:tc>
      </w:tr>
    </w:tbl>
    <w:p>
      <w:pPr>
        <w:spacing w:line="560" w:lineRule="exact"/>
        <w:ind w:firstLine="560" w:firstLineChars="200"/>
        <w:rPr>
          <w:rFonts w:ascii="仿宋" w:eastAsia="仿宋" w:hAnsi="仿宋" w:cs="仿宋" w:hint="eastAsia"/>
          <w:sz w:val="28"/>
        </w:rPr>
      </w:pPr>
      <w:r>
        <w:rPr>
          <w:rFonts w:ascii="仿宋" w:eastAsia="仿宋" w:hAnsi="仿宋" w:cs="仿宋"/>
          <w:sz w:val="28"/>
        </w:rPr>
        <w:t>3.</w:t>
      </w:r>
      <w:r>
        <w:rPr>
          <w:rFonts w:ascii="仿宋" w:eastAsia="仿宋" w:hAnsi="仿宋" w:cs="仿宋" w:hint="eastAsia"/>
          <w:sz w:val="28"/>
        </w:rPr>
        <w:t>4相干多普勒测风激光雷达（远距型）光学伺服系统技术指标</w:t>
      </w:r>
    </w:p>
    <w:p>
      <w:pPr>
        <w:adjustRightInd w:val="0"/>
        <w:snapToGrid w:val="0"/>
        <w:spacing w:line="360" w:lineRule="auto"/>
        <w:jc w:val="center"/>
        <w:rPr>
          <w:rFonts w:ascii="仿宋" w:eastAsia="仿宋" w:hAnsi="仿宋" w:hint="eastAsia"/>
          <w:b/>
          <w:sz w:val="28"/>
          <w:szCs w:val="28"/>
        </w:rPr>
      </w:pPr>
      <w:r>
        <w:rPr>
          <w:rFonts w:ascii="仿宋" w:eastAsia="仿宋" w:hAnsi="仿宋" w:hint="eastAsia"/>
          <w:b/>
          <w:sz w:val="28"/>
          <w:szCs w:val="28"/>
        </w:rPr>
        <w:t>表</w:t>
      </w:r>
      <w:r>
        <w:rPr>
          <w:rFonts w:ascii="仿宋" w:eastAsia="仿宋" w:hAnsi="仿宋" w:cs="仿宋" w:hint="eastAsia"/>
          <w:b/>
          <w:bCs/>
          <w:sz w:val="28"/>
        </w:rPr>
        <w:t>4</w:t>
      </w:r>
      <w:r>
        <w:rPr>
          <w:rFonts w:ascii="仿宋" w:eastAsia="仿宋" w:hAnsi="仿宋" w:hint="eastAsia"/>
          <w:b/>
          <w:sz w:val="28"/>
          <w:szCs w:val="28"/>
        </w:rPr>
        <w:t>伺服系统技术性能指标表</w:t>
      </w:r>
    </w:p>
    <w:tbl>
      <w:tblPr>
        <w:tblStyle w:val="TableNormal"/>
        <w:tblW w:w="8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56"/>
        <w:gridCol w:w="992"/>
        <w:gridCol w:w="6237"/>
      </w:tblGrid>
      <w:tr>
        <w:tblPrEx>
          <w:tblW w:w="8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82"/>
          <w:jc w:val="center"/>
        </w:trPr>
        <w:tc>
          <w:tcPr>
            <w:tcW w:w="2648" w:type="dxa"/>
            <w:gridSpan w:val="2"/>
            <w:vAlign w:val="center"/>
          </w:tcPr>
          <w:p>
            <w:pPr>
              <w:adjustRightInd w:val="0"/>
              <w:snapToGrid w:val="0"/>
              <w:jc w:val="center"/>
              <w:rPr>
                <w:rFonts w:ascii="仿宋" w:eastAsia="仿宋" w:hAnsi="仿宋" w:hint="eastAsia"/>
                <w:b/>
                <w:bCs/>
              </w:rPr>
            </w:pPr>
            <w:r>
              <w:rPr>
                <w:rFonts w:ascii="仿宋" w:eastAsia="仿宋" w:hAnsi="仿宋"/>
                <w:b/>
                <w:bCs/>
                <w:sz w:val="24"/>
                <w:szCs w:val="24"/>
              </w:rPr>
              <w:t>项目</w:t>
            </w:r>
          </w:p>
        </w:tc>
        <w:tc>
          <w:tcPr>
            <w:tcW w:w="6237" w:type="dxa"/>
            <w:vAlign w:val="center"/>
          </w:tcPr>
          <w:p>
            <w:pPr>
              <w:adjustRightInd w:val="0"/>
              <w:snapToGrid w:val="0"/>
              <w:jc w:val="center"/>
              <w:rPr>
                <w:rFonts w:ascii="仿宋" w:eastAsia="仿宋" w:hAnsi="仿宋" w:hint="eastAsia"/>
                <w:b/>
                <w:bCs/>
              </w:rPr>
            </w:pPr>
            <w:r>
              <w:rPr>
                <w:rFonts w:ascii="仿宋" w:eastAsia="仿宋" w:hAnsi="仿宋"/>
                <w:b/>
                <w:bCs/>
                <w:sz w:val="24"/>
                <w:szCs w:val="24"/>
              </w:rPr>
              <w:t>性能指标</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2648" w:type="dxa"/>
            <w:gridSpan w:val="2"/>
            <w:vAlign w:val="center"/>
          </w:tcPr>
          <w:p>
            <w:pPr>
              <w:adjustRightInd w:val="0"/>
              <w:snapToGrid w:val="0"/>
              <w:jc w:val="center"/>
              <w:rPr>
                <w:rFonts w:ascii="仿宋" w:eastAsia="仿宋" w:hAnsi="仿宋" w:hint="eastAsia"/>
                <w:bCs/>
              </w:rPr>
            </w:pPr>
            <w:r>
              <w:rPr>
                <w:rFonts w:ascii="仿宋" w:eastAsia="仿宋" w:hAnsi="仿宋"/>
                <w:bCs/>
                <w:sz w:val="24"/>
                <w:szCs w:val="24"/>
              </w:rPr>
              <w:t>扫描方式</w:t>
            </w:r>
          </w:p>
        </w:tc>
        <w:tc>
          <w:tcPr>
            <w:tcW w:w="6237" w:type="dxa"/>
            <w:vAlign w:val="center"/>
          </w:tcPr>
          <w:p>
            <w:pPr>
              <w:adjustRightInd w:val="0"/>
              <w:snapToGrid w:val="0"/>
              <w:jc w:val="left"/>
              <w:rPr>
                <w:rFonts w:ascii="仿宋" w:eastAsia="仿宋" w:hAnsi="仿宋" w:hint="eastAsia"/>
                <w:bCs/>
              </w:rPr>
            </w:pPr>
            <w:r>
              <w:rPr>
                <w:rFonts w:ascii="仿宋" w:eastAsia="仿宋" w:hAnsi="仿宋"/>
                <w:bCs/>
                <w:sz w:val="24"/>
                <w:szCs w:val="24"/>
                <w:lang w:bidi="en-US"/>
              </w:rPr>
              <w:t>平面位置显示（Plan Position Indicator , PPI），距离高度显示（Range Height Indicator, RHI），多普勒光束定向摆动（Doppler-Beam-Swinging，DBS），扇扫，体扫，扇体扫，自定义扫描方式</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1656" w:type="dxa"/>
            <w:vMerge w:val="restart"/>
            <w:vAlign w:val="center"/>
          </w:tcPr>
          <w:p>
            <w:pPr>
              <w:adjustRightInd w:val="0"/>
              <w:snapToGrid w:val="0"/>
              <w:jc w:val="center"/>
              <w:rPr>
                <w:rFonts w:ascii="仿宋" w:eastAsia="仿宋" w:hAnsi="仿宋" w:hint="eastAsia"/>
                <w:bCs/>
              </w:rPr>
            </w:pPr>
            <w:r>
              <w:rPr>
                <w:rFonts w:ascii="仿宋" w:eastAsia="仿宋" w:hAnsi="仿宋"/>
                <w:bCs/>
                <w:sz w:val="24"/>
                <w:szCs w:val="24"/>
              </w:rPr>
              <w:t>扫描范围</w:t>
            </w:r>
          </w:p>
        </w:tc>
        <w:tc>
          <w:tcPr>
            <w:tcW w:w="992" w:type="dxa"/>
            <w:vAlign w:val="center"/>
          </w:tcPr>
          <w:p>
            <w:pPr>
              <w:adjustRightInd w:val="0"/>
              <w:snapToGrid w:val="0"/>
              <w:jc w:val="center"/>
              <w:rPr>
                <w:rFonts w:ascii="仿宋" w:eastAsia="仿宋" w:hAnsi="仿宋" w:hint="eastAsia"/>
                <w:bCs/>
              </w:rPr>
            </w:pPr>
            <w:r>
              <w:rPr>
                <w:rFonts w:ascii="仿宋" w:eastAsia="仿宋" w:hAnsi="仿宋"/>
                <w:bCs/>
                <w:sz w:val="24"/>
                <w:szCs w:val="24"/>
              </w:rPr>
              <w:t>方位</w:t>
            </w:r>
          </w:p>
        </w:tc>
        <w:tc>
          <w:tcPr>
            <w:tcW w:w="6237" w:type="dxa"/>
            <w:vAlign w:val="center"/>
          </w:tcPr>
          <w:p>
            <w:pPr>
              <w:adjustRightInd w:val="0"/>
              <w:snapToGrid w:val="0"/>
              <w:rPr>
                <w:rFonts w:ascii="仿宋" w:eastAsia="仿宋" w:hAnsi="仿宋" w:hint="eastAsia"/>
                <w:bCs/>
              </w:rPr>
            </w:pPr>
            <w:r>
              <w:rPr>
                <w:rFonts w:ascii="仿宋" w:eastAsia="仿宋" w:hAnsi="仿宋"/>
                <w:bCs/>
                <w:sz w:val="24"/>
                <w:szCs w:val="24"/>
              </w:rPr>
              <w:t>0～360°</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1656" w:type="dxa"/>
            <w:vMerge/>
            <w:vAlign w:val="center"/>
          </w:tcPr>
          <w:p>
            <w:pPr>
              <w:adjustRightInd w:val="0"/>
              <w:snapToGrid w:val="0"/>
              <w:jc w:val="center"/>
              <w:rPr>
                <w:rFonts w:ascii="仿宋" w:eastAsia="仿宋" w:hAnsi="仿宋" w:hint="eastAsia"/>
                <w:bCs/>
              </w:rPr>
            </w:pPr>
          </w:p>
        </w:tc>
        <w:tc>
          <w:tcPr>
            <w:tcW w:w="992" w:type="dxa"/>
            <w:vAlign w:val="center"/>
          </w:tcPr>
          <w:p>
            <w:pPr>
              <w:adjustRightInd w:val="0"/>
              <w:snapToGrid w:val="0"/>
              <w:jc w:val="center"/>
              <w:rPr>
                <w:rFonts w:ascii="仿宋" w:eastAsia="仿宋" w:hAnsi="仿宋" w:hint="eastAsia"/>
                <w:bCs/>
              </w:rPr>
            </w:pPr>
            <w:r>
              <w:rPr>
                <w:rFonts w:ascii="仿宋" w:eastAsia="仿宋" w:hAnsi="仿宋"/>
                <w:bCs/>
                <w:sz w:val="24"/>
                <w:szCs w:val="24"/>
              </w:rPr>
              <w:t>俯仰</w:t>
            </w:r>
          </w:p>
        </w:tc>
        <w:tc>
          <w:tcPr>
            <w:tcW w:w="6237" w:type="dxa"/>
            <w:vAlign w:val="center"/>
          </w:tcPr>
          <w:p>
            <w:pPr>
              <w:adjustRightInd w:val="0"/>
              <w:snapToGrid w:val="0"/>
              <w:rPr>
                <w:rFonts w:ascii="仿宋" w:eastAsia="仿宋" w:hAnsi="仿宋" w:hint="eastAsia"/>
                <w:bCs/>
              </w:rPr>
            </w:pPr>
            <w:r>
              <w:rPr>
                <w:rFonts w:ascii="仿宋" w:eastAsia="仿宋" w:hAnsi="仿宋"/>
                <w:bCs/>
                <w:sz w:val="24"/>
                <w:szCs w:val="24"/>
              </w:rPr>
              <w:t>–2～+90°</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1656" w:type="dxa"/>
            <w:vMerge w:val="restart"/>
            <w:vAlign w:val="center"/>
          </w:tcPr>
          <w:p>
            <w:pPr>
              <w:adjustRightInd w:val="0"/>
              <w:snapToGrid w:val="0"/>
              <w:jc w:val="center"/>
              <w:rPr>
                <w:rFonts w:ascii="仿宋" w:eastAsia="仿宋" w:hAnsi="仿宋" w:hint="eastAsia"/>
                <w:bCs/>
              </w:rPr>
            </w:pPr>
            <w:r>
              <w:rPr>
                <w:rFonts w:ascii="仿宋" w:eastAsia="仿宋" w:hAnsi="仿宋"/>
                <w:bCs/>
                <w:sz w:val="24"/>
                <w:szCs w:val="24"/>
              </w:rPr>
              <w:t>扫描速度</w:t>
            </w:r>
          </w:p>
        </w:tc>
        <w:tc>
          <w:tcPr>
            <w:tcW w:w="992" w:type="dxa"/>
            <w:vAlign w:val="center"/>
          </w:tcPr>
          <w:p>
            <w:pPr>
              <w:adjustRightInd w:val="0"/>
              <w:snapToGrid w:val="0"/>
              <w:jc w:val="center"/>
              <w:rPr>
                <w:rFonts w:ascii="仿宋" w:eastAsia="仿宋" w:hAnsi="仿宋" w:hint="eastAsia"/>
                <w:bCs/>
              </w:rPr>
            </w:pPr>
            <w:r>
              <w:rPr>
                <w:rFonts w:ascii="仿宋" w:eastAsia="仿宋" w:hAnsi="仿宋"/>
                <w:bCs/>
                <w:sz w:val="24"/>
                <w:szCs w:val="24"/>
              </w:rPr>
              <w:t>方位</w:t>
            </w:r>
          </w:p>
        </w:tc>
        <w:tc>
          <w:tcPr>
            <w:tcW w:w="6237" w:type="dxa"/>
            <w:vAlign w:val="center"/>
          </w:tcPr>
          <w:p>
            <w:pPr>
              <w:adjustRightInd w:val="0"/>
              <w:snapToGrid w:val="0"/>
              <w:rPr>
                <w:rFonts w:ascii="仿宋" w:eastAsia="仿宋" w:hAnsi="仿宋" w:hint="eastAsia"/>
                <w:bCs/>
              </w:rPr>
            </w:pPr>
            <w:r>
              <w:rPr>
                <w:rFonts w:ascii="仿宋" w:eastAsia="仿宋" w:hAnsi="仿宋"/>
                <w:bCs/>
                <w:sz w:val="24"/>
                <w:szCs w:val="24"/>
              </w:rPr>
              <w:t>扫描速度≥20°/s（可调）</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1656" w:type="dxa"/>
            <w:vMerge/>
            <w:vAlign w:val="center"/>
          </w:tcPr>
          <w:p>
            <w:pPr>
              <w:adjustRightInd w:val="0"/>
              <w:snapToGrid w:val="0"/>
              <w:jc w:val="center"/>
              <w:rPr>
                <w:rFonts w:ascii="仿宋" w:eastAsia="仿宋" w:hAnsi="仿宋" w:hint="eastAsia"/>
                <w:bCs/>
              </w:rPr>
            </w:pPr>
          </w:p>
        </w:tc>
        <w:tc>
          <w:tcPr>
            <w:tcW w:w="992" w:type="dxa"/>
            <w:vAlign w:val="center"/>
          </w:tcPr>
          <w:p>
            <w:pPr>
              <w:adjustRightInd w:val="0"/>
              <w:snapToGrid w:val="0"/>
              <w:jc w:val="center"/>
              <w:rPr>
                <w:rFonts w:ascii="仿宋" w:eastAsia="仿宋" w:hAnsi="仿宋" w:hint="eastAsia"/>
                <w:bCs/>
              </w:rPr>
            </w:pPr>
            <w:r>
              <w:rPr>
                <w:rFonts w:ascii="仿宋" w:eastAsia="仿宋" w:hAnsi="仿宋"/>
                <w:bCs/>
                <w:sz w:val="24"/>
                <w:szCs w:val="24"/>
              </w:rPr>
              <w:t>俯仰</w:t>
            </w:r>
          </w:p>
        </w:tc>
        <w:tc>
          <w:tcPr>
            <w:tcW w:w="6237" w:type="dxa"/>
            <w:vAlign w:val="center"/>
          </w:tcPr>
          <w:p>
            <w:pPr>
              <w:adjustRightInd w:val="0"/>
              <w:snapToGrid w:val="0"/>
              <w:rPr>
                <w:rFonts w:ascii="仿宋" w:eastAsia="仿宋" w:hAnsi="仿宋" w:hint="eastAsia"/>
                <w:bCs/>
              </w:rPr>
            </w:pPr>
            <w:r>
              <w:rPr>
                <w:rFonts w:ascii="仿宋" w:eastAsia="仿宋" w:hAnsi="仿宋"/>
                <w:bCs/>
                <w:sz w:val="24"/>
                <w:szCs w:val="24"/>
              </w:rPr>
              <w:t>扫描速度≥12°/s （可调）</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2648" w:type="dxa"/>
            <w:gridSpan w:val="2"/>
            <w:vAlign w:val="center"/>
          </w:tcPr>
          <w:p>
            <w:pPr>
              <w:adjustRightInd w:val="0"/>
              <w:snapToGrid w:val="0"/>
              <w:jc w:val="center"/>
              <w:rPr>
                <w:rFonts w:ascii="仿宋" w:eastAsia="仿宋" w:hAnsi="仿宋" w:hint="eastAsia"/>
                <w:bCs/>
              </w:rPr>
            </w:pPr>
            <w:r>
              <w:rPr>
                <w:rFonts w:ascii="仿宋" w:eastAsia="仿宋" w:hAnsi="仿宋"/>
                <w:bCs/>
                <w:sz w:val="24"/>
                <w:szCs w:val="24"/>
              </w:rPr>
              <w:t>控制方式</w:t>
            </w:r>
          </w:p>
        </w:tc>
        <w:tc>
          <w:tcPr>
            <w:tcW w:w="6237" w:type="dxa"/>
            <w:vAlign w:val="center"/>
          </w:tcPr>
          <w:p>
            <w:pPr>
              <w:adjustRightInd w:val="0"/>
              <w:snapToGrid w:val="0"/>
              <w:rPr>
                <w:rFonts w:ascii="仿宋" w:eastAsia="仿宋" w:hAnsi="仿宋" w:hint="eastAsia"/>
                <w:bCs/>
              </w:rPr>
            </w:pPr>
            <w:r>
              <w:rPr>
                <w:rFonts w:ascii="仿宋" w:eastAsia="仿宋" w:hAnsi="仿宋"/>
                <w:bCs/>
                <w:sz w:val="24"/>
                <w:szCs w:val="24"/>
              </w:rPr>
              <w:t>预置全自动、人工干预自动/手动控制</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2648" w:type="dxa"/>
            <w:gridSpan w:val="2"/>
            <w:vAlign w:val="center"/>
          </w:tcPr>
          <w:p>
            <w:pPr>
              <w:adjustRightInd w:val="0"/>
              <w:snapToGrid w:val="0"/>
              <w:jc w:val="center"/>
              <w:rPr>
                <w:rFonts w:ascii="仿宋" w:eastAsia="仿宋" w:hAnsi="仿宋" w:hint="eastAsia"/>
                <w:bCs/>
              </w:rPr>
            </w:pPr>
            <w:r>
              <w:rPr>
                <w:rFonts w:ascii="仿宋" w:eastAsia="仿宋" w:hAnsi="仿宋"/>
                <w:bCs/>
                <w:sz w:val="24"/>
                <w:szCs w:val="24"/>
              </w:rPr>
              <w:t>指向精度</w:t>
            </w:r>
          </w:p>
        </w:tc>
        <w:tc>
          <w:tcPr>
            <w:tcW w:w="6237" w:type="dxa"/>
            <w:vAlign w:val="center"/>
          </w:tcPr>
          <w:p>
            <w:pPr>
              <w:adjustRightInd w:val="0"/>
              <w:snapToGrid w:val="0"/>
              <w:rPr>
                <w:rFonts w:ascii="仿宋" w:eastAsia="仿宋" w:hAnsi="仿宋" w:hint="eastAsia"/>
                <w:bCs/>
              </w:rPr>
            </w:pPr>
            <w:r>
              <w:rPr>
                <w:rFonts w:ascii="仿宋" w:eastAsia="仿宋" w:hAnsi="仿宋"/>
                <w:bCs/>
                <w:sz w:val="24"/>
                <w:szCs w:val="24"/>
              </w:rPr>
              <w:t>≤0.1°</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2648" w:type="dxa"/>
            <w:gridSpan w:val="2"/>
            <w:vAlign w:val="center"/>
          </w:tcPr>
          <w:p>
            <w:pPr>
              <w:adjustRightInd w:val="0"/>
              <w:snapToGrid w:val="0"/>
              <w:jc w:val="center"/>
              <w:rPr>
                <w:rFonts w:ascii="仿宋" w:eastAsia="仿宋" w:hAnsi="仿宋" w:hint="eastAsia"/>
                <w:bCs/>
              </w:rPr>
            </w:pPr>
            <w:r>
              <w:rPr>
                <w:rFonts w:ascii="仿宋" w:eastAsia="仿宋" w:hAnsi="仿宋"/>
                <w:bCs/>
                <w:sz w:val="24"/>
                <w:szCs w:val="24"/>
              </w:rPr>
              <w:t>安全与保护</w:t>
            </w:r>
          </w:p>
        </w:tc>
        <w:tc>
          <w:tcPr>
            <w:tcW w:w="6237" w:type="dxa"/>
            <w:vAlign w:val="center"/>
          </w:tcPr>
          <w:p>
            <w:pPr>
              <w:adjustRightInd w:val="0"/>
              <w:snapToGrid w:val="0"/>
              <w:rPr>
                <w:rFonts w:ascii="仿宋" w:eastAsia="仿宋" w:hAnsi="仿宋" w:hint="eastAsia"/>
                <w:bCs/>
              </w:rPr>
            </w:pPr>
            <w:r>
              <w:rPr>
                <w:rFonts w:ascii="仿宋" w:eastAsia="仿宋" w:hAnsi="仿宋"/>
                <w:bCs/>
                <w:sz w:val="24"/>
                <w:szCs w:val="24"/>
              </w:rPr>
              <w:t>方位、俯仰机构上应有电气、机械安全设施，以保护设备在工作与运输过程中的安全。方位、俯仰控制应有保护电路。</w:t>
            </w:r>
          </w:p>
        </w:tc>
      </w:tr>
      <w:tr>
        <w:tblPrEx>
          <w:tblW w:w="8885" w:type="dxa"/>
          <w:jc w:val="center"/>
          <w:tblLayout w:type="fixed"/>
          <w:tblCellMar>
            <w:top w:w="0" w:type="dxa"/>
            <w:left w:w="108" w:type="dxa"/>
            <w:bottom w:w="0" w:type="dxa"/>
            <w:right w:w="108" w:type="dxa"/>
          </w:tblCellMar>
          <w:tblLook w:val="0000"/>
        </w:tblPrEx>
        <w:trPr>
          <w:trHeight w:val="397"/>
          <w:jc w:val="center"/>
        </w:trPr>
        <w:tc>
          <w:tcPr>
            <w:tcW w:w="2648" w:type="dxa"/>
            <w:gridSpan w:val="2"/>
            <w:vAlign w:val="center"/>
          </w:tcPr>
          <w:p>
            <w:pPr>
              <w:adjustRightInd w:val="0"/>
              <w:snapToGrid w:val="0"/>
              <w:jc w:val="center"/>
              <w:rPr>
                <w:rFonts w:ascii="仿宋" w:eastAsia="仿宋" w:hAnsi="仿宋" w:hint="eastAsia"/>
                <w:bCs/>
              </w:rPr>
            </w:pPr>
            <w:r>
              <w:rPr>
                <w:rFonts w:ascii="仿宋" w:eastAsia="仿宋" w:hAnsi="仿宋"/>
                <w:bCs/>
                <w:sz w:val="24"/>
                <w:szCs w:val="24"/>
              </w:rPr>
              <w:t>抗风能力（阵风）</w:t>
            </w:r>
          </w:p>
        </w:tc>
        <w:tc>
          <w:tcPr>
            <w:tcW w:w="6237" w:type="dxa"/>
            <w:vAlign w:val="center"/>
          </w:tcPr>
          <w:p>
            <w:pPr>
              <w:adjustRightInd w:val="0"/>
              <w:snapToGrid w:val="0"/>
              <w:rPr>
                <w:rFonts w:ascii="仿宋" w:eastAsia="仿宋" w:hAnsi="仿宋" w:hint="eastAsia"/>
                <w:bCs/>
              </w:rPr>
            </w:pPr>
            <w:r>
              <w:rPr>
                <w:rFonts w:ascii="仿宋" w:eastAsia="仿宋" w:hAnsi="仿宋"/>
                <w:bCs/>
                <w:sz w:val="24"/>
                <w:szCs w:val="24"/>
              </w:rPr>
              <w:t>应能承受50 m/s的最大阵风风速、30 m/s的最大平稳风速，伺服系统应不产生永久性变形或破坏。</w:t>
            </w:r>
          </w:p>
        </w:tc>
      </w:tr>
    </w:tbl>
    <w:p>
      <w:pPr>
        <w:spacing w:line="560" w:lineRule="exact"/>
        <w:ind w:firstLine="560" w:firstLineChars="200"/>
        <w:rPr>
          <w:rFonts w:ascii="仿宋" w:eastAsia="仿宋" w:hAnsi="仿宋" w:cs="仿宋" w:hint="eastAsia"/>
          <w:sz w:val="28"/>
        </w:rPr>
      </w:pPr>
      <w:r>
        <w:rPr>
          <w:rFonts w:ascii="仿宋" w:eastAsia="仿宋" w:hAnsi="仿宋" w:cs="仿宋"/>
          <w:sz w:val="28"/>
        </w:rPr>
        <w:t>3.</w:t>
      </w:r>
      <w:r>
        <w:rPr>
          <w:rFonts w:ascii="仿宋" w:eastAsia="仿宋" w:hAnsi="仿宋" w:cs="仿宋" w:hint="eastAsia"/>
          <w:sz w:val="28"/>
        </w:rPr>
        <w:t>5相干多普勒测风激光雷达（远距型）</w:t>
      </w:r>
      <w:r>
        <w:rPr>
          <w:rFonts w:ascii="仿宋" w:eastAsia="仿宋" w:hAnsi="仿宋" w:cs="仿宋"/>
          <w:sz w:val="28"/>
        </w:rPr>
        <w:t>光电转换及数据采集</w:t>
      </w:r>
      <w:r>
        <w:rPr>
          <w:rFonts w:ascii="仿宋" w:eastAsia="仿宋" w:hAnsi="仿宋" w:cs="仿宋" w:hint="eastAsia"/>
          <w:sz w:val="28"/>
        </w:rPr>
        <w:t>系统技术指标</w:t>
      </w:r>
    </w:p>
    <w:p>
      <w:pPr>
        <w:adjustRightInd w:val="0"/>
        <w:snapToGrid w:val="0"/>
        <w:spacing w:line="360" w:lineRule="auto"/>
        <w:jc w:val="center"/>
        <w:rPr>
          <w:rFonts w:ascii="仿宋" w:eastAsia="仿宋" w:hAnsi="仿宋" w:hint="eastAsia"/>
          <w:b/>
          <w:sz w:val="28"/>
          <w:szCs w:val="28"/>
        </w:rPr>
      </w:pPr>
      <w:r>
        <w:rPr>
          <w:rFonts w:ascii="仿宋" w:eastAsia="仿宋" w:hAnsi="仿宋" w:hint="eastAsia"/>
          <w:b/>
          <w:sz w:val="28"/>
          <w:szCs w:val="28"/>
        </w:rPr>
        <w:t>表</w:t>
      </w:r>
      <w:r>
        <w:rPr>
          <w:rFonts w:ascii="仿宋" w:eastAsia="仿宋" w:hAnsi="仿宋" w:cs="仿宋" w:hint="eastAsia"/>
          <w:b/>
          <w:bCs/>
          <w:sz w:val="28"/>
        </w:rPr>
        <w:t>5</w:t>
      </w:r>
      <w:r>
        <w:rPr>
          <w:rFonts w:ascii="仿宋" w:eastAsia="仿宋" w:hAnsi="仿宋"/>
          <w:b/>
          <w:sz w:val="28"/>
          <w:szCs w:val="28"/>
        </w:rPr>
        <w:t>光电转换及数据采集</w:t>
      </w:r>
      <w:r>
        <w:rPr>
          <w:rFonts w:ascii="仿宋" w:eastAsia="仿宋" w:hAnsi="仿宋" w:hint="eastAsia"/>
          <w:b/>
          <w:sz w:val="28"/>
          <w:szCs w:val="28"/>
        </w:rPr>
        <w:t>系统技术性能指标表</w:t>
      </w:r>
    </w:p>
    <w:tbl>
      <w:tblPr>
        <w:tblStyle w:val="TableNorm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06"/>
        <w:gridCol w:w="5499"/>
      </w:tblGrid>
      <w:tr>
        <w:tblPrEx>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rFonts w:ascii="仿宋" w:eastAsia="仿宋" w:hAnsi="仿宋" w:hint="eastAsia"/>
                <w:b/>
                <w:bCs/>
              </w:rPr>
            </w:pPr>
            <w:r>
              <w:rPr>
                <w:rFonts w:ascii="仿宋" w:eastAsia="仿宋" w:hAnsi="仿宋"/>
                <w:b/>
                <w:bCs/>
                <w:sz w:val="24"/>
                <w:szCs w:val="24"/>
              </w:rPr>
              <w:t>项目</w:t>
            </w:r>
          </w:p>
        </w:tc>
        <w:tc>
          <w:tcPr>
            <w:tcW w:w="5499" w:type="dxa"/>
            <w:vAlign w:val="center"/>
          </w:tcPr>
          <w:p>
            <w:pPr>
              <w:adjustRightInd w:val="0"/>
              <w:snapToGrid w:val="0"/>
              <w:jc w:val="center"/>
              <w:rPr>
                <w:rFonts w:ascii="仿宋" w:eastAsia="仿宋" w:hAnsi="仿宋" w:hint="eastAsia"/>
                <w:b/>
                <w:bCs/>
              </w:rPr>
            </w:pPr>
            <w:r>
              <w:rPr>
                <w:rFonts w:ascii="仿宋" w:eastAsia="仿宋" w:hAnsi="仿宋"/>
                <w:b/>
                <w:bCs/>
                <w:sz w:val="24"/>
                <w:szCs w:val="24"/>
              </w:rPr>
              <w:t>性能指标</w:t>
            </w:r>
          </w:p>
        </w:tc>
      </w:tr>
      <w:tr>
        <w:tblPrEx>
          <w:tblW w:w="8505" w:type="dxa"/>
          <w:jc w:val="center"/>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rFonts w:ascii="仿宋" w:eastAsia="仿宋" w:hAnsi="仿宋" w:hint="eastAsia"/>
                <w:bCs/>
              </w:rPr>
            </w:pPr>
            <w:r>
              <w:rPr>
                <w:rFonts w:ascii="仿宋" w:eastAsia="仿宋" w:hAnsi="仿宋"/>
                <w:bCs/>
                <w:sz w:val="24"/>
                <w:szCs w:val="24"/>
              </w:rPr>
              <w:t>光电转换器类型</w:t>
            </w:r>
          </w:p>
        </w:tc>
        <w:tc>
          <w:tcPr>
            <w:tcW w:w="5499" w:type="dxa"/>
            <w:vAlign w:val="center"/>
          </w:tcPr>
          <w:p>
            <w:pPr>
              <w:adjustRightInd w:val="0"/>
              <w:snapToGrid w:val="0"/>
              <w:jc w:val="center"/>
              <w:rPr>
                <w:rFonts w:ascii="仿宋" w:eastAsia="仿宋" w:hAnsi="仿宋" w:hint="eastAsia"/>
                <w:bCs/>
              </w:rPr>
            </w:pPr>
            <w:r>
              <w:rPr>
                <w:rFonts w:ascii="仿宋" w:eastAsia="仿宋" w:hAnsi="仿宋"/>
                <w:bCs/>
                <w:kern w:val="0"/>
                <w:sz w:val="24"/>
                <w:szCs w:val="24"/>
              </w:rPr>
              <w:t>基于PIN或APD光电二极管的平衡探测器</w:t>
            </w:r>
          </w:p>
        </w:tc>
      </w:tr>
      <w:tr>
        <w:tblPrEx>
          <w:tblW w:w="8505" w:type="dxa"/>
          <w:jc w:val="center"/>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rFonts w:ascii="仿宋" w:eastAsia="仿宋" w:hAnsi="仿宋" w:hint="eastAsia"/>
                <w:bCs/>
              </w:rPr>
            </w:pPr>
            <w:r>
              <w:rPr>
                <w:rFonts w:ascii="仿宋" w:eastAsia="仿宋" w:hAnsi="仿宋"/>
                <w:bCs/>
                <w:sz w:val="24"/>
                <w:szCs w:val="24"/>
              </w:rPr>
              <w:t>数据采集器采样频率</w:t>
            </w:r>
          </w:p>
        </w:tc>
        <w:tc>
          <w:tcPr>
            <w:tcW w:w="5499" w:type="dxa"/>
            <w:vAlign w:val="center"/>
          </w:tcPr>
          <w:p>
            <w:pPr>
              <w:adjustRightInd w:val="0"/>
              <w:snapToGrid w:val="0"/>
              <w:rPr>
                <w:rFonts w:ascii="仿宋" w:eastAsia="仿宋" w:hAnsi="仿宋" w:hint="eastAsia"/>
                <w:bCs/>
              </w:rPr>
            </w:pPr>
            <w:r>
              <w:rPr>
                <w:rFonts w:ascii="仿宋" w:eastAsia="仿宋" w:hAnsi="仿宋"/>
                <w:bCs/>
                <w:sz w:val="24"/>
                <w:szCs w:val="24"/>
              </w:rPr>
              <w:t>≥250MHz</w:t>
            </w:r>
          </w:p>
        </w:tc>
      </w:tr>
      <w:tr>
        <w:tblPrEx>
          <w:tblW w:w="8505" w:type="dxa"/>
          <w:jc w:val="center"/>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rFonts w:ascii="仿宋" w:eastAsia="仿宋" w:hAnsi="仿宋" w:hint="eastAsia"/>
                <w:bCs/>
              </w:rPr>
            </w:pPr>
            <w:r>
              <w:rPr>
                <w:rFonts w:ascii="仿宋" w:eastAsia="仿宋" w:hAnsi="仿宋"/>
                <w:bCs/>
                <w:sz w:val="24"/>
                <w:szCs w:val="24"/>
              </w:rPr>
              <w:t>采样位数</w:t>
            </w:r>
          </w:p>
        </w:tc>
        <w:tc>
          <w:tcPr>
            <w:tcW w:w="5499" w:type="dxa"/>
            <w:vAlign w:val="center"/>
          </w:tcPr>
          <w:p>
            <w:pPr>
              <w:adjustRightInd w:val="0"/>
              <w:snapToGrid w:val="0"/>
              <w:rPr>
                <w:rFonts w:ascii="仿宋" w:eastAsia="仿宋" w:hAnsi="仿宋" w:hint="eastAsia"/>
                <w:bCs/>
              </w:rPr>
            </w:pPr>
            <w:r>
              <w:rPr>
                <w:rFonts w:ascii="仿宋" w:eastAsia="仿宋" w:hAnsi="仿宋"/>
                <w:bCs/>
                <w:sz w:val="24"/>
                <w:szCs w:val="24"/>
              </w:rPr>
              <w:t>≥10 bit（有效位）</w:t>
            </w:r>
          </w:p>
        </w:tc>
      </w:tr>
      <w:tr>
        <w:tblPrEx>
          <w:tblW w:w="8505" w:type="dxa"/>
          <w:jc w:val="center"/>
          <w:tblLayout w:type="fixed"/>
          <w:tblCellMar>
            <w:top w:w="0" w:type="dxa"/>
            <w:left w:w="108" w:type="dxa"/>
            <w:bottom w:w="0" w:type="dxa"/>
            <w:right w:w="108" w:type="dxa"/>
          </w:tblCellMar>
          <w:tblLook w:val="0000"/>
        </w:tblPrEx>
        <w:trPr>
          <w:trHeight w:val="147"/>
          <w:jc w:val="center"/>
        </w:trPr>
        <w:tc>
          <w:tcPr>
            <w:tcW w:w="3006" w:type="dxa"/>
            <w:vMerge w:val="restart"/>
            <w:vAlign w:val="center"/>
          </w:tcPr>
          <w:p>
            <w:pPr>
              <w:adjustRightInd w:val="0"/>
              <w:snapToGrid w:val="0"/>
              <w:jc w:val="center"/>
              <w:rPr>
                <w:rFonts w:ascii="仿宋" w:eastAsia="仿宋" w:hAnsi="仿宋" w:hint="eastAsia"/>
                <w:bCs/>
              </w:rPr>
            </w:pPr>
            <w:r>
              <w:rPr>
                <w:rFonts w:ascii="仿宋" w:eastAsia="仿宋" w:hAnsi="仿宋" w:hint="eastAsia"/>
                <w:bCs/>
                <w:sz w:val="24"/>
                <w:szCs w:val="24"/>
              </w:rPr>
              <w:t>工控机硬件配置</w:t>
            </w:r>
          </w:p>
        </w:tc>
        <w:tc>
          <w:tcPr>
            <w:tcW w:w="5499" w:type="dxa"/>
            <w:vAlign w:val="center"/>
          </w:tcPr>
          <w:p>
            <w:pPr>
              <w:adjustRightInd w:val="0"/>
              <w:snapToGrid w:val="0"/>
              <w:rPr>
                <w:rFonts w:ascii="仿宋" w:eastAsia="仿宋" w:hAnsi="仿宋" w:hint="eastAsia"/>
                <w:bCs/>
              </w:rPr>
            </w:pPr>
            <w:r>
              <w:rPr>
                <w:rFonts w:ascii="仿宋" w:eastAsia="仿宋" w:hAnsi="仿宋" w:hint="eastAsia"/>
                <w:bCs/>
                <w:sz w:val="24"/>
                <w:szCs w:val="24"/>
              </w:rPr>
              <w:t>不少于8</w:t>
            </w:r>
            <w:r>
              <w:rPr>
                <w:rFonts w:ascii="仿宋" w:eastAsia="仿宋" w:hAnsi="仿宋"/>
                <w:bCs/>
                <w:sz w:val="24"/>
                <w:szCs w:val="24"/>
              </w:rPr>
              <w:t>核</w:t>
            </w:r>
            <w:r>
              <w:rPr>
                <w:rFonts w:ascii="仿宋" w:eastAsia="仿宋" w:hAnsi="仿宋" w:hint="eastAsia"/>
                <w:bCs/>
                <w:sz w:val="24"/>
                <w:szCs w:val="24"/>
              </w:rPr>
              <w:t>，</w:t>
            </w:r>
            <w:r>
              <w:rPr>
                <w:rFonts w:ascii="仿宋" w:eastAsia="仿宋" w:hAnsi="仿宋"/>
                <w:bCs/>
                <w:sz w:val="24"/>
                <w:szCs w:val="24"/>
              </w:rPr>
              <w:t>频率不低于2.</w:t>
            </w:r>
            <w:r>
              <w:rPr>
                <w:rFonts w:ascii="仿宋" w:eastAsia="仿宋" w:hAnsi="仿宋" w:hint="eastAsia"/>
                <w:bCs/>
                <w:sz w:val="24"/>
                <w:szCs w:val="24"/>
              </w:rPr>
              <w:t>5</w:t>
            </w:r>
            <w:r>
              <w:rPr>
                <w:rFonts w:ascii="仿宋" w:eastAsia="仿宋" w:hAnsi="仿宋"/>
                <w:bCs/>
                <w:sz w:val="24"/>
                <w:szCs w:val="24"/>
              </w:rPr>
              <w:t>G</w:t>
            </w:r>
            <w:r>
              <w:rPr>
                <w:rFonts w:ascii="仿宋" w:eastAsia="仿宋" w:hAnsi="仿宋" w:hint="eastAsia"/>
                <w:bCs/>
                <w:sz w:val="24"/>
                <w:szCs w:val="24"/>
              </w:rPr>
              <w:t>（</w:t>
            </w:r>
            <w:r>
              <w:rPr>
                <w:rFonts w:ascii="仿宋" w:eastAsia="仿宋" w:hAnsi="仿宋"/>
                <w:bCs/>
                <w:sz w:val="24"/>
                <w:szCs w:val="24"/>
              </w:rPr>
              <w:t>主频</w:t>
            </w:r>
            <w:r>
              <w:rPr>
                <w:rFonts w:ascii="仿宋" w:eastAsia="仿宋" w:hAnsi="仿宋" w:hint="eastAsia"/>
                <w:bCs/>
                <w:sz w:val="24"/>
                <w:szCs w:val="24"/>
              </w:rPr>
              <w:t>）</w:t>
            </w:r>
          </w:p>
        </w:tc>
      </w:tr>
      <w:tr>
        <w:tblPrEx>
          <w:tblW w:w="8505" w:type="dxa"/>
          <w:jc w:val="center"/>
          <w:tblLayout w:type="fixed"/>
          <w:tblCellMar>
            <w:top w:w="0" w:type="dxa"/>
            <w:left w:w="108" w:type="dxa"/>
            <w:bottom w:w="0" w:type="dxa"/>
            <w:right w:w="108" w:type="dxa"/>
          </w:tblCellMar>
          <w:tblLook w:val="0000"/>
        </w:tblPrEx>
        <w:trPr>
          <w:trHeight w:val="244"/>
          <w:jc w:val="center"/>
        </w:trPr>
        <w:tc>
          <w:tcPr>
            <w:tcW w:w="3006" w:type="dxa"/>
            <w:vMerge/>
            <w:vAlign w:val="center"/>
          </w:tcPr>
          <w:p>
            <w:pPr>
              <w:adjustRightInd w:val="0"/>
              <w:snapToGrid w:val="0"/>
              <w:jc w:val="center"/>
              <w:rPr>
                <w:rFonts w:ascii="仿宋" w:eastAsia="仿宋" w:hAnsi="仿宋" w:hint="eastAsia"/>
                <w:bCs/>
              </w:rPr>
            </w:pPr>
          </w:p>
        </w:tc>
        <w:tc>
          <w:tcPr>
            <w:tcW w:w="5499" w:type="dxa"/>
            <w:vAlign w:val="center"/>
          </w:tcPr>
          <w:p>
            <w:pPr>
              <w:adjustRightInd w:val="0"/>
              <w:snapToGrid w:val="0"/>
              <w:rPr>
                <w:rFonts w:ascii="仿宋" w:eastAsia="仿宋" w:hAnsi="仿宋" w:hint="eastAsia"/>
                <w:bCs/>
              </w:rPr>
            </w:pPr>
            <w:r>
              <w:rPr>
                <w:rFonts w:ascii="仿宋" w:eastAsia="仿宋" w:hAnsi="仿宋" w:hint="eastAsia"/>
                <w:bCs/>
                <w:sz w:val="24"/>
                <w:szCs w:val="24"/>
              </w:rPr>
              <w:t>预留给显示与控制终端128</w:t>
            </w:r>
            <w:r>
              <w:rPr>
                <w:rFonts w:ascii="仿宋" w:eastAsia="仿宋" w:hAnsi="仿宋"/>
                <w:bCs/>
                <w:sz w:val="24"/>
                <w:szCs w:val="24"/>
              </w:rPr>
              <w:t>G存储空间</w:t>
            </w:r>
          </w:p>
        </w:tc>
      </w:tr>
      <w:tr>
        <w:tblPrEx>
          <w:tblW w:w="8505" w:type="dxa"/>
          <w:jc w:val="center"/>
          <w:tblLayout w:type="fixed"/>
          <w:tblCellMar>
            <w:top w:w="0" w:type="dxa"/>
            <w:left w:w="108" w:type="dxa"/>
            <w:bottom w:w="0" w:type="dxa"/>
            <w:right w:w="108" w:type="dxa"/>
          </w:tblCellMar>
          <w:tblLook w:val="0000"/>
        </w:tblPrEx>
        <w:trPr>
          <w:trHeight w:val="210"/>
          <w:jc w:val="center"/>
        </w:trPr>
        <w:tc>
          <w:tcPr>
            <w:tcW w:w="3006" w:type="dxa"/>
            <w:vMerge/>
            <w:vAlign w:val="center"/>
          </w:tcPr>
          <w:p>
            <w:pPr>
              <w:adjustRightInd w:val="0"/>
              <w:snapToGrid w:val="0"/>
              <w:jc w:val="center"/>
              <w:rPr>
                <w:rFonts w:ascii="仿宋" w:eastAsia="仿宋" w:hAnsi="仿宋" w:hint="eastAsia"/>
                <w:bCs/>
              </w:rPr>
            </w:pPr>
          </w:p>
        </w:tc>
        <w:tc>
          <w:tcPr>
            <w:tcW w:w="5499" w:type="dxa"/>
            <w:vAlign w:val="center"/>
          </w:tcPr>
          <w:p>
            <w:pPr>
              <w:adjustRightInd w:val="0"/>
              <w:snapToGrid w:val="0"/>
              <w:rPr>
                <w:rFonts w:ascii="仿宋" w:eastAsia="仿宋" w:hAnsi="仿宋" w:hint="eastAsia"/>
                <w:bCs/>
              </w:rPr>
            </w:pPr>
            <w:r>
              <w:rPr>
                <w:rFonts w:ascii="仿宋" w:eastAsia="仿宋" w:hAnsi="仿宋"/>
                <w:bCs/>
                <w:sz w:val="24"/>
                <w:szCs w:val="24"/>
              </w:rPr>
              <w:t>内存</w:t>
            </w:r>
            <w:r>
              <w:rPr>
                <w:rFonts w:ascii="仿宋" w:eastAsia="仿宋" w:hAnsi="仿宋" w:hint="eastAsia"/>
                <w:bCs/>
                <w:sz w:val="24"/>
                <w:szCs w:val="24"/>
              </w:rPr>
              <w:t>不低于</w:t>
            </w:r>
            <w:r>
              <w:rPr>
                <w:rFonts w:ascii="仿宋" w:eastAsia="仿宋" w:hAnsi="仿宋"/>
                <w:bCs/>
                <w:sz w:val="24"/>
                <w:szCs w:val="24"/>
              </w:rPr>
              <w:t>16G</w:t>
            </w:r>
          </w:p>
        </w:tc>
      </w:tr>
      <w:tr>
        <w:tblPrEx>
          <w:tblW w:w="8505" w:type="dxa"/>
          <w:jc w:val="center"/>
          <w:tblLayout w:type="fixed"/>
          <w:tblCellMar>
            <w:top w:w="0" w:type="dxa"/>
            <w:left w:w="108" w:type="dxa"/>
            <w:bottom w:w="0" w:type="dxa"/>
            <w:right w:w="108" w:type="dxa"/>
          </w:tblCellMar>
          <w:tblLook w:val="0000"/>
        </w:tblPrEx>
        <w:trPr>
          <w:trHeight w:val="397"/>
          <w:jc w:val="center"/>
        </w:trPr>
        <w:tc>
          <w:tcPr>
            <w:tcW w:w="3006" w:type="dxa"/>
            <w:vAlign w:val="center"/>
          </w:tcPr>
          <w:p>
            <w:pPr>
              <w:adjustRightInd w:val="0"/>
              <w:snapToGrid w:val="0"/>
              <w:jc w:val="center"/>
              <w:rPr>
                <w:rFonts w:ascii="仿宋" w:eastAsia="仿宋" w:hAnsi="仿宋" w:hint="eastAsia"/>
                <w:bCs/>
              </w:rPr>
            </w:pPr>
            <w:r>
              <w:rPr>
                <w:rFonts w:ascii="仿宋" w:eastAsia="仿宋" w:hAnsi="仿宋" w:hint="eastAsia"/>
                <w:bCs/>
                <w:sz w:val="24"/>
                <w:szCs w:val="24"/>
              </w:rPr>
              <w:t>工控机操作系统</w:t>
            </w:r>
          </w:p>
        </w:tc>
        <w:tc>
          <w:tcPr>
            <w:tcW w:w="5499" w:type="dxa"/>
            <w:vAlign w:val="center"/>
          </w:tcPr>
          <w:p>
            <w:pPr>
              <w:adjustRightInd w:val="0"/>
              <w:snapToGrid w:val="0"/>
              <w:rPr>
                <w:rFonts w:ascii="仿宋" w:eastAsia="仿宋" w:hAnsi="仿宋" w:hint="eastAsia"/>
                <w:bCs/>
              </w:rPr>
            </w:pPr>
            <w:r>
              <w:rPr>
                <w:rFonts w:ascii="仿宋" w:eastAsia="仿宋" w:hAnsi="仿宋" w:hint="eastAsia"/>
                <w:bCs/>
                <w:sz w:val="24"/>
                <w:szCs w:val="24"/>
              </w:rPr>
              <w:t>Windows10以上操作系统，或麒麟V10 SP3</w:t>
            </w:r>
          </w:p>
        </w:tc>
      </w:tr>
    </w:tbl>
    <w:p>
      <w:pPr>
        <w:spacing w:line="560" w:lineRule="exact"/>
        <w:ind w:firstLine="560" w:firstLineChars="200"/>
        <w:rPr>
          <w:rFonts w:ascii="仿宋" w:eastAsia="仿宋" w:hAnsi="仿宋" w:cs="仿宋" w:hint="eastAsia"/>
          <w:sz w:val="28"/>
        </w:rPr>
      </w:pPr>
      <w:bookmarkStart w:id="61" w:name="_Toc429750548"/>
      <w:bookmarkStart w:id="62" w:name="_Toc122969935"/>
      <w:bookmarkStart w:id="63" w:name="_Toc122969552"/>
      <w:bookmarkStart w:id="64" w:name="_Toc429555205"/>
      <w:r>
        <w:rPr>
          <w:rFonts w:ascii="仿宋" w:eastAsia="仿宋" w:hAnsi="仿宋" w:cs="仿宋" w:hint="eastAsia"/>
          <w:sz w:val="28"/>
        </w:rPr>
        <w:t xml:space="preserve">3.6 </w:t>
      </w:r>
      <w:r>
        <w:rPr>
          <w:rFonts w:ascii="仿宋" w:eastAsia="仿宋" w:hAnsi="仿宋" w:cs="仿宋"/>
          <w:sz w:val="28"/>
        </w:rPr>
        <w:t>供电要求</w:t>
      </w:r>
      <w:bookmarkEnd w:id="61"/>
      <w:bookmarkEnd w:id="62"/>
      <w:bookmarkEnd w:id="63"/>
      <w:bookmarkEnd w:id="64"/>
    </w:p>
    <w:p>
      <w:pPr>
        <w:spacing w:line="560" w:lineRule="exact"/>
        <w:ind w:firstLine="560" w:firstLineChars="200"/>
        <w:rPr>
          <w:rFonts w:ascii="仿宋" w:eastAsia="仿宋" w:hAnsi="仿宋" w:cs="仿宋" w:hint="eastAsia"/>
          <w:sz w:val="28"/>
        </w:rPr>
      </w:pPr>
      <w:bookmarkStart w:id="65" w:name="_Toc429750836"/>
      <w:bookmarkStart w:id="66" w:name="_Toc122969553"/>
      <w:bookmarkStart w:id="67" w:name="_Toc429750549"/>
      <w:bookmarkStart w:id="68" w:name="_Toc122969936"/>
      <w:r>
        <w:rPr>
          <w:rFonts w:ascii="仿宋" w:eastAsia="仿宋" w:hAnsi="仿宋" w:cs="仿宋" w:hint="eastAsia"/>
          <w:sz w:val="28"/>
        </w:rPr>
        <w:t>3.6</w:t>
      </w:r>
      <w:r>
        <w:rPr>
          <w:rFonts w:ascii="仿宋" w:eastAsia="仿宋" w:hAnsi="仿宋" w:cs="仿宋"/>
          <w:sz w:val="28"/>
        </w:rPr>
        <w:t>.1供电设施</w:t>
      </w:r>
      <w:bookmarkEnd w:id="65"/>
      <w:bookmarkEnd w:id="66"/>
      <w:bookmarkEnd w:id="67"/>
      <w:bookmarkEnd w:id="68"/>
    </w:p>
    <w:p>
      <w:pPr>
        <w:adjustRightInd w:val="0"/>
        <w:snapToGrid w:val="0"/>
        <w:spacing w:line="360" w:lineRule="auto"/>
        <w:ind w:firstLine="560" w:firstLineChars="200"/>
        <w:rPr>
          <w:rFonts w:eastAsia="仿宋"/>
          <w:sz w:val="28"/>
          <w:szCs w:val="28"/>
        </w:rPr>
      </w:pPr>
      <w:r>
        <w:rPr>
          <w:rFonts w:eastAsia="仿宋"/>
          <w:sz w:val="28"/>
          <w:szCs w:val="28"/>
        </w:rPr>
        <w:t>配市电、发电机（选配）和UPS（选配）。</w:t>
      </w:r>
    </w:p>
    <w:p>
      <w:pPr>
        <w:spacing w:line="560" w:lineRule="exact"/>
        <w:ind w:firstLine="560" w:firstLineChars="200"/>
        <w:rPr>
          <w:rFonts w:ascii="仿宋" w:eastAsia="仿宋" w:hAnsi="仿宋" w:cs="仿宋" w:hint="eastAsia"/>
          <w:sz w:val="28"/>
        </w:rPr>
      </w:pPr>
      <w:bookmarkStart w:id="69" w:name="_Toc429750550"/>
      <w:bookmarkStart w:id="70" w:name="_Toc429750837"/>
      <w:bookmarkStart w:id="71" w:name="_Toc122969554"/>
      <w:bookmarkStart w:id="72" w:name="_Toc122969937"/>
      <w:r>
        <w:rPr>
          <w:rFonts w:ascii="仿宋" w:eastAsia="仿宋" w:hAnsi="仿宋" w:cs="仿宋" w:hint="eastAsia"/>
          <w:sz w:val="28"/>
        </w:rPr>
        <w:t>3.6</w:t>
      </w:r>
      <w:r>
        <w:rPr>
          <w:rFonts w:ascii="仿宋" w:eastAsia="仿宋" w:hAnsi="仿宋" w:cs="仿宋"/>
          <w:sz w:val="28"/>
        </w:rPr>
        <w:t>.2电源要求</w:t>
      </w:r>
      <w:bookmarkEnd w:id="69"/>
      <w:bookmarkEnd w:id="70"/>
      <w:bookmarkEnd w:id="71"/>
      <w:bookmarkEnd w:id="72"/>
    </w:p>
    <w:p>
      <w:pPr>
        <w:adjustRightInd w:val="0"/>
        <w:snapToGrid w:val="0"/>
        <w:spacing w:line="360" w:lineRule="auto"/>
        <w:ind w:firstLine="566" w:firstLineChars="202"/>
        <w:rPr>
          <w:rFonts w:eastAsia="仿宋"/>
          <w:sz w:val="28"/>
          <w:szCs w:val="28"/>
        </w:rPr>
      </w:pPr>
      <w:r>
        <w:rPr>
          <w:rFonts w:eastAsia="仿宋"/>
          <w:sz w:val="28"/>
          <w:szCs w:val="28"/>
        </w:rPr>
        <w:t>单相</w:t>
      </w:r>
      <w:r>
        <w:rPr>
          <w:rFonts w:eastAsia="仿宋" w:hint="eastAsia"/>
          <w:sz w:val="28"/>
          <w:szCs w:val="28"/>
        </w:rPr>
        <w:t>交流</w:t>
      </w:r>
      <w:r>
        <w:rPr>
          <w:rFonts w:eastAsia="仿宋"/>
          <w:sz w:val="28"/>
          <w:szCs w:val="28"/>
        </w:rPr>
        <w:t>，AC220V±10%，50Hz±5%</w:t>
      </w:r>
      <w:r>
        <w:rPr>
          <w:rFonts w:eastAsia="仿宋" w:hint="eastAsia"/>
          <w:sz w:val="28"/>
          <w:szCs w:val="28"/>
        </w:rPr>
        <w:t>；直流，D</w:t>
      </w:r>
      <w:r>
        <w:rPr>
          <w:rFonts w:eastAsia="仿宋"/>
          <w:sz w:val="28"/>
          <w:szCs w:val="28"/>
        </w:rPr>
        <w:t>C24V±5%</w:t>
      </w:r>
      <w:r>
        <w:rPr>
          <w:rFonts w:eastAsia="仿宋" w:hint="eastAsia"/>
          <w:sz w:val="28"/>
          <w:szCs w:val="28"/>
        </w:rPr>
        <w:t>。</w:t>
      </w:r>
    </w:p>
    <w:p>
      <w:pPr>
        <w:spacing w:line="560" w:lineRule="exact"/>
        <w:ind w:firstLine="560" w:firstLineChars="200"/>
        <w:rPr>
          <w:rFonts w:ascii="仿宋" w:eastAsia="仿宋" w:hAnsi="仿宋" w:cs="仿宋" w:hint="eastAsia"/>
          <w:sz w:val="28"/>
        </w:rPr>
      </w:pPr>
      <w:bookmarkStart w:id="73" w:name="_Toc122969938"/>
      <w:bookmarkStart w:id="74" w:name="_Toc122969555"/>
      <w:bookmarkStart w:id="75" w:name="_Toc429750551"/>
      <w:bookmarkStart w:id="76" w:name="_Toc429555206"/>
      <w:r>
        <w:rPr>
          <w:rFonts w:ascii="仿宋" w:eastAsia="仿宋" w:hAnsi="仿宋" w:cs="仿宋" w:hint="eastAsia"/>
          <w:sz w:val="28"/>
        </w:rPr>
        <w:t xml:space="preserve">3.7 </w:t>
      </w:r>
      <w:r>
        <w:rPr>
          <w:rFonts w:ascii="仿宋" w:eastAsia="仿宋" w:hAnsi="仿宋" w:cs="仿宋"/>
          <w:sz w:val="28"/>
        </w:rPr>
        <w:t>防雷要求</w:t>
      </w:r>
      <w:bookmarkEnd w:id="73"/>
      <w:bookmarkEnd w:id="74"/>
      <w:bookmarkEnd w:id="75"/>
      <w:bookmarkEnd w:id="76"/>
    </w:p>
    <w:p>
      <w:pPr>
        <w:adjustRightInd w:val="0"/>
        <w:snapToGrid w:val="0"/>
        <w:spacing w:line="360" w:lineRule="auto"/>
        <w:ind w:firstLine="560" w:firstLineChars="200"/>
        <w:rPr>
          <w:rFonts w:eastAsia="仿宋"/>
          <w:sz w:val="28"/>
          <w:szCs w:val="28"/>
        </w:rPr>
      </w:pPr>
      <w:r>
        <w:rPr>
          <w:rFonts w:eastAsia="仿宋" w:hint="eastAsia"/>
          <w:sz w:val="28"/>
          <w:szCs w:val="28"/>
        </w:rPr>
        <w:t>应采用共用接地系统（地网），将所有金属部件就近连接到该接地系统上。共用接地系统（地网）的接地电阻应不大于4</w:t>
      </w:r>
      <w:r>
        <w:rPr>
          <w:rFonts w:eastAsia="仿宋" w:hint="eastAsia"/>
          <w:sz w:val="28"/>
          <w:szCs w:val="28"/>
        </w:rPr>
        <w:t>Ω</w:t>
      </w:r>
      <w:r>
        <w:rPr>
          <w:rFonts w:eastAsia="仿宋"/>
          <w:sz w:val="28"/>
          <w:szCs w:val="28"/>
        </w:rPr>
        <w:t>。</w:t>
      </w:r>
      <w:r>
        <w:rPr>
          <w:rFonts w:eastAsia="仿宋" w:hint="eastAsia"/>
          <w:sz w:val="28"/>
          <w:szCs w:val="28"/>
        </w:rPr>
        <w:t>测风激光</w:t>
      </w:r>
      <w:r>
        <w:rPr>
          <w:rFonts w:eastAsia="仿宋"/>
          <w:sz w:val="28"/>
          <w:szCs w:val="28"/>
        </w:rPr>
        <w:t>雷达电源线输入端应加装防雷滤波器，室外电缆一律采用屏蔽电缆或光缆。</w:t>
      </w:r>
    </w:p>
    <w:p>
      <w:pPr>
        <w:spacing w:line="560" w:lineRule="exact"/>
        <w:ind w:firstLine="560" w:firstLineChars="200"/>
        <w:rPr>
          <w:rFonts w:ascii="仿宋" w:eastAsia="仿宋" w:hAnsi="仿宋" w:cs="仿宋" w:hint="eastAsia"/>
          <w:sz w:val="28"/>
        </w:rPr>
      </w:pPr>
      <w:bookmarkStart w:id="77" w:name="_Toc396372917"/>
      <w:bookmarkStart w:id="78" w:name="_Toc396329156"/>
      <w:bookmarkStart w:id="79" w:name="_Toc396373143"/>
      <w:bookmarkStart w:id="80" w:name="_Toc429555207"/>
      <w:bookmarkStart w:id="81" w:name="_Toc404805831"/>
      <w:bookmarkStart w:id="82" w:name="_Toc429750552"/>
      <w:bookmarkStart w:id="83" w:name="_Toc404240581"/>
      <w:bookmarkStart w:id="84" w:name="_Toc404270676"/>
      <w:bookmarkStart w:id="85" w:name="_Toc396329209"/>
      <w:bookmarkStart w:id="86" w:name="_Toc396416427"/>
      <w:bookmarkStart w:id="87" w:name="_Toc396328798"/>
      <w:bookmarkStart w:id="88" w:name="_Toc396890420"/>
      <w:bookmarkStart w:id="89" w:name="_Toc122969556"/>
      <w:bookmarkStart w:id="90" w:name="_Toc122969939"/>
      <w:bookmarkStart w:id="91" w:name="_Toc373932536"/>
      <w:bookmarkStart w:id="92" w:name="_Toc397012818"/>
      <w:bookmarkStart w:id="93" w:name="_Toc404271296"/>
      <w:bookmarkStart w:id="94" w:name="_Toc403829768"/>
      <w:bookmarkStart w:id="95" w:name="_Toc396329051"/>
      <w:bookmarkStart w:id="96" w:name="_Toc396329261"/>
      <w:bookmarkStart w:id="97" w:name="_Toc396919248"/>
      <w:r>
        <w:rPr>
          <w:rFonts w:ascii="仿宋" w:eastAsia="仿宋" w:hAnsi="仿宋" w:cs="仿宋" w:hint="eastAsia"/>
          <w:sz w:val="28"/>
        </w:rPr>
        <w:t xml:space="preserve">3.8 </w:t>
      </w:r>
      <w:r>
        <w:rPr>
          <w:rFonts w:ascii="仿宋" w:eastAsia="仿宋" w:hAnsi="仿宋" w:cs="仿宋"/>
          <w:sz w:val="28"/>
        </w:rPr>
        <w:t>环境适应性要求</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pPr>
        <w:spacing w:line="560" w:lineRule="exact"/>
        <w:ind w:firstLine="560" w:firstLineChars="200"/>
        <w:rPr>
          <w:rFonts w:ascii="仿宋" w:eastAsia="仿宋" w:hAnsi="仿宋" w:cs="仿宋" w:hint="eastAsia"/>
          <w:sz w:val="28"/>
        </w:rPr>
      </w:pPr>
      <w:bookmarkStart w:id="98" w:name="_Toc396329052"/>
      <w:bookmarkStart w:id="99" w:name="_Toc396328799"/>
      <w:bookmarkStart w:id="100" w:name="_Toc396416428"/>
      <w:bookmarkStart w:id="101" w:name="_Toc396373144"/>
      <w:bookmarkStart w:id="102" w:name="_Toc404271297"/>
      <w:bookmarkStart w:id="103" w:name="_Toc429750553"/>
      <w:bookmarkStart w:id="104" w:name="_Toc397012819"/>
      <w:bookmarkStart w:id="105" w:name="_Toc396329210"/>
      <w:bookmarkStart w:id="106" w:name="_Toc396329262"/>
      <w:bookmarkStart w:id="107" w:name="_Toc404270677"/>
      <w:bookmarkStart w:id="108" w:name="_Toc122969940"/>
      <w:bookmarkStart w:id="109" w:name="_Toc122969557"/>
      <w:bookmarkStart w:id="110" w:name="_Toc404240582"/>
      <w:bookmarkStart w:id="111" w:name="_Toc396372918"/>
      <w:bookmarkStart w:id="112" w:name="_Toc404805832"/>
      <w:bookmarkStart w:id="113" w:name="_Toc396890421"/>
      <w:bookmarkStart w:id="114" w:name="_Toc396329157"/>
      <w:bookmarkStart w:id="115" w:name="_Toc403829769"/>
      <w:bookmarkStart w:id="116" w:name="_Toc429555208"/>
      <w:bookmarkStart w:id="117" w:name="_Toc396919249"/>
      <w:r>
        <w:rPr>
          <w:rFonts w:ascii="仿宋" w:eastAsia="仿宋" w:hAnsi="仿宋" w:cs="仿宋" w:hint="eastAsia"/>
          <w:sz w:val="28"/>
        </w:rPr>
        <w:t>（1）</w:t>
      </w:r>
      <w:r>
        <w:rPr>
          <w:rFonts w:ascii="仿宋" w:eastAsia="仿宋" w:hAnsi="仿宋" w:cs="仿宋"/>
          <w:sz w:val="28"/>
        </w:rPr>
        <w:t>高温</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pPr>
        <w:adjustRightInd w:val="0"/>
        <w:snapToGrid w:val="0"/>
        <w:spacing w:line="360" w:lineRule="auto"/>
        <w:jc w:val="center"/>
        <w:rPr>
          <w:rFonts w:eastAsia="仿宋"/>
          <w:bCs/>
          <w:sz w:val="28"/>
          <w:szCs w:val="28"/>
        </w:rPr>
      </w:pPr>
      <w:r>
        <w:rPr>
          <w:rFonts w:eastAsia="仿宋" w:hint="eastAsia"/>
          <w:bCs/>
          <w:sz w:val="28"/>
          <w:szCs w:val="28"/>
        </w:rPr>
        <w:t>表6工作和贮存高温要求</w:t>
      </w:r>
    </w:p>
    <w:tbl>
      <w:tblPr>
        <w:tblStyle w:val="TableNormal"/>
        <w:tblW w:w="8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74"/>
        <w:gridCol w:w="1949"/>
        <w:gridCol w:w="2126"/>
        <w:gridCol w:w="2186"/>
      </w:tblGrid>
      <w:tr>
        <w:tblPrEx>
          <w:tblW w:w="8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4223" w:type="dxa"/>
            <w:gridSpan w:val="2"/>
            <w:vAlign w:val="center"/>
          </w:tcPr>
          <w:p>
            <w:pPr>
              <w:adjustRightInd w:val="0"/>
              <w:snapToGrid w:val="0"/>
              <w:jc w:val="center"/>
              <w:rPr>
                <w:rFonts w:eastAsia="仿宋"/>
              </w:rPr>
            </w:pPr>
            <w:r>
              <w:rPr>
                <w:rFonts w:eastAsia="仿宋"/>
                <w:sz w:val="24"/>
              </w:rPr>
              <w:t>工作温度（℃）</w:t>
            </w:r>
          </w:p>
        </w:tc>
        <w:tc>
          <w:tcPr>
            <w:tcW w:w="4312" w:type="dxa"/>
            <w:gridSpan w:val="2"/>
            <w:vAlign w:val="center"/>
          </w:tcPr>
          <w:p>
            <w:pPr>
              <w:adjustRightInd w:val="0"/>
              <w:snapToGrid w:val="0"/>
              <w:jc w:val="center"/>
              <w:rPr>
                <w:rFonts w:eastAsia="仿宋"/>
              </w:rPr>
            </w:pPr>
            <w:r>
              <w:rPr>
                <w:rFonts w:eastAsia="仿宋"/>
                <w:sz w:val="24"/>
              </w:rPr>
              <w:t>贮存温度（℃）</w:t>
            </w:r>
          </w:p>
        </w:tc>
      </w:tr>
      <w:tr>
        <w:tblPrEx>
          <w:tblW w:w="8535" w:type="dxa"/>
          <w:jc w:val="center"/>
          <w:tblLayout w:type="fixed"/>
          <w:tblCellMar>
            <w:top w:w="0" w:type="dxa"/>
            <w:left w:w="108" w:type="dxa"/>
            <w:bottom w:w="0" w:type="dxa"/>
            <w:right w:w="108" w:type="dxa"/>
          </w:tblCellMar>
          <w:tblLook w:val="0000"/>
        </w:tblPrEx>
        <w:trPr>
          <w:trHeight w:val="454"/>
          <w:jc w:val="center"/>
        </w:trPr>
        <w:tc>
          <w:tcPr>
            <w:tcW w:w="2274" w:type="dxa"/>
            <w:vAlign w:val="center"/>
          </w:tcPr>
          <w:p>
            <w:pPr>
              <w:adjustRightInd w:val="0"/>
              <w:snapToGrid w:val="0"/>
              <w:jc w:val="center"/>
              <w:rPr>
                <w:rFonts w:eastAsia="仿宋"/>
              </w:rPr>
            </w:pPr>
            <w:r>
              <w:rPr>
                <w:rFonts w:eastAsia="仿宋"/>
                <w:sz w:val="24"/>
              </w:rPr>
              <w:t>室外装置</w:t>
            </w:r>
          </w:p>
        </w:tc>
        <w:tc>
          <w:tcPr>
            <w:tcW w:w="1949" w:type="dxa"/>
            <w:vAlign w:val="center"/>
          </w:tcPr>
          <w:p>
            <w:pPr>
              <w:adjustRightInd w:val="0"/>
              <w:snapToGrid w:val="0"/>
              <w:jc w:val="center"/>
              <w:rPr>
                <w:rFonts w:eastAsia="仿宋"/>
              </w:rPr>
            </w:pPr>
            <w:r>
              <w:rPr>
                <w:rFonts w:eastAsia="仿宋"/>
                <w:sz w:val="24"/>
              </w:rPr>
              <w:t>室内装置</w:t>
            </w:r>
          </w:p>
        </w:tc>
        <w:tc>
          <w:tcPr>
            <w:tcW w:w="2126" w:type="dxa"/>
            <w:vAlign w:val="center"/>
          </w:tcPr>
          <w:p>
            <w:pPr>
              <w:adjustRightInd w:val="0"/>
              <w:snapToGrid w:val="0"/>
              <w:jc w:val="center"/>
              <w:rPr>
                <w:rFonts w:eastAsia="仿宋"/>
              </w:rPr>
            </w:pPr>
            <w:r>
              <w:rPr>
                <w:rFonts w:eastAsia="仿宋"/>
                <w:sz w:val="24"/>
              </w:rPr>
              <w:t>室外装置</w:t>
            </w:r>
          </w:p>
        </w:tc>
        <w:tc>
          <w:tcPr>
            <w:tcW w:w="2186" w:type="dxa"/>
            <w:vAlign w:val="center"/>
          </w:tcPr>
          <w:p>
            <w:pPr>
              <w:adjustRightInd w:val="0"/>
              <w:snapToGrid w:val="0"/>
              <w:jc w:val="center"/>
              <w:rPr>
                <w:rFonts w:eastAsia="仿宋"/>
              </w:rPr>
            </w:pPr>
            <w:r>
              <w:rPr>
                <w:rFonts w:eastAsia="仿宋"/>
                <w:sz w:val="24"/>
              </w:rPr>
              <w:t>室内装置</w:t>
            </w:r>
          </w:p>
        </w:tc>
      </w:tr>
      <w:tr>
        <w:tblPrEx>
          <w:tblW w:w="8535" w:type="dxa"/>
          <w:jc w:val="center"/>
          <w:tblLayout w:type="fixed"/>
          <w:tblCellMar>
            <w:top w:w="0" w:type="dxa"/>
            <w:left w:w="108" w:type="dxa"/>
            <w:bottom w:w="0" w:type="dxa"/>
            <w:right w:w="108" w:type="dxa"/>
          </w:tblCellMar>
          <w:tblLook w:val="0000"/>
        </w:tblPrEx>
        <w:trPr>
          <w:trHeight w:val="454"/>
          <w:jc w:val="center"/>
        </w:trPr>
        <w:tc>
          <w:tcPr>
            <w:tcW w:w="2274" w:type="dxa"/>
            <w:vAlign w:val="center"/>
          </w:tcPr>
          <w:p>
            <w:pPr>
              <w:adjustRightInd w:val="0"/>
              <w:snapToGrid w:val="0"/>
              <w:jc w:val="center"/>
              <w:rPr>
                <w:rFonts w:eastAsia="仿宋"/>
              </w:rPr>
            </w:pPr>
            <w:r>
              <w:rPr>
                <w:rFonts w:eastAsia="仿宋"/>
                <w:sz w:val="24"/>
              </w:rPr>
              <w:t>+50</w:t>
            </w:r>
          </w:p>
        </w:tc>
        <w:tc>
          <w:tcPr>
            <w:tcW w:w="1949" w:type="dxa"/>
            <w:vAlign w:val="center"/>
          </w:tcPr>
          <w:p>
            <w:pPr>
              <w:adjustRightInd w:val="0"/>
              <w:snapToGrid w:val="0"/>
              <w:jc w:val="center"/>
              <w:rPr>
                <w:rFonts w:eastAsia="仿宋"/>
              </w:rPr>
            </w:pPr>
            <w:r>
              <w:rPr>
                <w:rFonts w:eastAsia="仿宋"/>
                <w:sz w:val="24"/>
              </w:rPr>
              <w:t>+30</w:t>
            </w:r>
          </w:p>
        </w:tc>
        <w:tc>
          <w:tcPr>
            <w:tcW w:w="2126" w:type="dxa"/>
            <w:vAlign w:val="center"/>
          </w:tcPr>
          <w:p>
            <w:pPr>
              <w:adjustRightInd w:val="0"/>
              <w:snapToGrid w:val="0"/>
              <w:jc w:val="center"/>
              <w:rPr>
                <w:rFonts w:eastAsia="仿宋"/>
              </w:rPr>
            </w:pPr>
            <w:r>
              <w:rPr>
                <w:rFonts w:eastAsia="仿宋"/>
                <w:sz w:val="24"/>
              </w:rPr>
              <w:t>+60</w:t>
            </w:r>
          </w:p>
        </w:tc>
        <w:tc>
          <w:tcPr>
            <w:tcW w:w="2186" w:type="dxa"/>
            <w:vAlign w:val="center"/>
          </w:tcPr>
          <w:p>
            <w:pPr>
              <w:adjustRightInd w:val="0"/>
              <w:snapToGrid w:val="0"/>
              <w:jc w:val="center"/>
              <w:rPr>
                <w:rFonts w:eastAsia="仿宋"/>
              </w:rPr>
            </w:pPr>
            <w:r>
              <w:rPr>
                <w:rFonts w:eastAsia="仿宋"/>
                <w:sz w:val="24"/>
              </w:rPr>
              <w:t>+60</w:t>
            </w:r>
          </w:p>
        </w:tc>
      </w:tr>
    </w:tbl>
    <w:p>
      <w:pPr>
        <w:spacing w:line="560" w:lineRule="exact"/>
        <w:ind w:firstLine="560" w:firstLineChars="200"/>
        <w:rPr>
          <w:rFonts w:ascii="仿宋" w:eastAsia="仿宋" w:hAnsi="仿宋" w:cs="仿宋" w:hint="eastAsia"/>
          <w:sz w:val="28"/>
        </w:rPr>
      </w:pPr>
      <w:bookmarkStart w:id="118" w:name="_Toc396373145"/>
      <w:bookmarkStart w:id="119" w:name="_Toc396919250"/>
      <w:bookmarkStart w:id="120" w:name="_Toc397012820"/>
      <w:bookmarkStart w:id="121" w:name="_Toc396416429"/>
      <w:bookmarkStart w:id="122" w:name="_Toc404271298"/>
      <w:bookmarkStart w:id="123" w:name="_Toc404805833"/>
      <w:bookmarkStart w:id="124" w:name="_Toc429555209"/>
      <w:bookmarkStart w:id="125" w:name="_Toc396329263"/>
      <w:bookmarkStart w:id="126" w:name="_Toc403829770"/>
      <w:bookmarkStart w:id="127" w:name="_Toc374091481"/>
      <w:bookmarkStart w:id="128" w:name="_Toc396329211"/>
      <w:bookmarkStart w:id="129" w:name="_Toc396372919"/>
      <w:bookmarkStart w:id="130" w:name="_Toc395884731"/>
      <w:bookmarkStart w:id="131" w:name="_Toc396890422"/>
      <w:bookmarkStart w:id="132" w:name="_Toc122969941"/>
      <w:bookmarkStart w:id="133" w:name="_Toc429750554"/>
      <w:bookmarkStart w:id="134" w:name="_Toc396329158"/>
      <w:bookmarkStart w:id="135" w:name="_Toc395954943"/>
      <w:bookmarkStart w:id="136" w:name="_Toc396329053"/>
      <w:bookmarkStart w:id="137" w:name="_Toc396328800"/>
      <w:bookmarkStart w:id="138" w:name="_Toc404270678"/>
      <w:bookmarkStart w:id="139" w:name="_Toc122969558"/>
      <w:bookmarkStart w:id="140" w:name="_Toc404240583"/>
      <w:r>
        <w:rPr>
          <w:rFonts w:ascii="仿宋" w:eastAsia="仿宋" w:hAnsi="仿宋" w:cs="仿宋" w:hint="eastAsia"/>
          <w:sz w:val="28"/>
        </w:rPr>
        <w:t>（2）</w:t>
      </w:r>
      <w:r>
        <w:rPr>
          <w:rFonts w:ascii="仿宋" w:eastAsia="仿宋" w:hAnsi="仿宋" w:cs="仿宋"/>
          <w:sz w:val="28"/>
        </w:rPr>
        <w:t>低温</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pPr>
        <w:adjustRightInd w:val="0"/>
        <w:snapToGrid w:val="0"/>
        <w:spacing w:line="360" w:lineRule="auto"/>
        <w:jc w:val="center"/>
        <w:rPr>
          <w:rFonts w:eastAsia="仿宋"/>
          <w:bCs/>
          <w:sz w:val="28"/>
          <w:szCs w:val="28"/>
        </w:rPr>
      </w:pPr>
      <w:r>
        <w:rPr>
          <w:rFonts w:eastAsia="仿宋" w:hint="eastAsia"/>
          <w:bCs/>
          <w:sz w:val="28"/>
          <w:szCs w:val="28"/>
        </w:rPr>
        <w:t>表7工作和贮存低温要求</w:t>
      </w:r>
    </w:p>
    <w:tbl>
      <w:tblPr>
        <w:tblStyle w:val="TableNormal"/>
        <w:tblW w:w="8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57"/>
        <w:gridCol w:w="2268"/>
        <w:gridCol w:w="2126"/>
        <w:gridCol w:w="2189"/>
      </w:tblGrid>
      <w:tr>
        <w:tblPrEx>
          <w:tblW w:w="8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4225" w:type="dxa"/>
            <w:gridSpan w:val="2"/>
            <w:vAlign w:val="center"/>
          </w:tcPr>
          <w:p>
            <w:pPr>
              <w:adjustRightInd w:val="0"/>
              <w:snapToGrid w:val="0"/>
              <w:jc w:val="center"/>
              <w:rPr>
                <w:rFonts w:eastAsia="仿宋"/>
              </w:rPr>
            </w:pPr>
            <w:r>
              <w:rPr>
                <w:rFonts w:eastAsia="仿宋"/>
                <w:sz w:val="24"/>
              </w:rPr>
              <w:t>工作温度（℃）</w:t>
            </w:r>
          </w:p>
        </w:tc>
        <w:tc>
          <w:tcPr>
            <w:tcW w:w="4315" w:type="dxa"/>
            <w:gridSpan w:val="2"/>
            <w:vAlign w:val="center"/>
          </w:tcPr>
          <w:p>
            <w:pPr>
              <w:adjustRightInd w:val="0"/>
              <w:snapToGrid w:val="0"/>
              <w:jc w:val="center"/>
              <w:rPr>
                <w:rFonts w:eastAsia="仿宋"/>
              </w:rPr>
            </w:pPr>
            <w:r>
              <w:rPr>
                <w:rFonts w:eastAsia="仿宋"/>
                <w:sz w:val="24"/>
              </w:rPr>
              <w:t>贮存温度（℃）</w:t>
            </w:r>
          </w:p>
        </w:tc>
      </w:tr>
      <w:tr>
        <w:tblPrEx>
          <w:tblW w:w="8540" w:type="dxa"/>
          <w:jc w:val="center"/>
          <w:tblLayout w:type="fixed"/>
          <w:tblCellMar>
            <w:top w:w="0" w:type="dxa"/>
            <w:left w:w="108" w:type="dxa"/>
            <w:bottom w:w="0" w:type="dxa"/>
            <w:right w:w="108" w:type="dxa"/>
          </w:tblCellMar>
          <w:tblLook w:val="0000"/>
        </w:tblPrEx>
        <w:trPr>
          <w:trHeight w:val="397"/>
          <w:jc w:val="center"/>
        </w:trPr>
        <w:tc>
          <w:tcPr>
            <w:tcW w:w="1957" w:type="dxa"/>
            <w:vAlign w:val="center"/>
          </w:tcPr>
          <w:p>
            <w:pPr>
              <w:adjustRightInd w:val="0"/>
              <w:snapToGrid w:val="0"/>
              <w:jc w:val="center"/>
              <w:rPr>
                <w:rFonts w:eastAsia="仿宋"/>
              </w:rPr>
            </w:pPr>
            <w:r>
              <w:rPr>
                <w:rFonts w:eastAsia="仿宋"/>
                <w:sz w:val="24"/>
              </w:rPr>
              <w:t>室外装置</w:t>
            </w:r>
          </w:p>
        </w:tc>
        <w:tc>
          <w:tcPr>
            <w:tcW w:w="2268" w:type="dxa"/>
            <w:vAlign w:val="center"/>
          </w:tcPr>
          <w:p>
            <w:pPr>
              <w:adjustRightInd w:val="0"/>
              <w:snapToGrid w:val="0"/>
              <w:jc w:val="center"/>
              <w:rPr>
                <w:rFonts w:eastAsia="仿宋"/>
              </w:rPr>
            </w:pPr>
            <w:r>
              <w:rPr>
                <w:rFonts w:eastAsia="仿宋"/>
                <w:sz w:val="24"/>
              </w:rPr>
              <w:t>室内装置</w:t>
            </w:r>
          </w:p>
        </w:tc>
        <w:tc>
          <w:tcPr>
            <w:tcW w:w="2126" w:type="dxa"/>
            <w:vAlign w:val="center"/>
          </w:tcPr>
          <w:p>
            <w:pPr>
              <w:adjustRightInd w:val="0"/>
              <w:snapToGrid w:val="0"/>
              <w:jc w:val="center"/>
              <w:rPr>
                <w:rFonts w:eastAsia="仿宋"/>
              </w:rPr>
            </w:pPr>
            <w:r>
              <w:rPr>
                <w:rFonts w:eastAsia="仿宋"/>
                <w:sz w:val="24"/>
              </w:rPr>
              <w:t>室外装置</w:t>
            </w:r>
          </w:p>
        </w:tc>
        <w:tc>
          <w:tcPr>
            <w:tcW w:w="2189" w:type="dxa"/>
            <w:vAlign w:val="center"/>
          </w:tcPr>
          <w:p>
            <w:pPr>
              <w:adjustRightInd w:val="0"/>
              <w:snapToGrid w:val="0"/>
              <w:jc w:val="center"/>
              <w:rPr>
                <w:rFonts w:eastAsia="仿宋"/>
              </w:rPr>
            </w:pPr>
            <w:r>
              <w:rPr>
                <w:rFonts w:eastAsia="仿宋"/>
                <w:sz w:val="24"/>
              </w:rPr>
              <w:t>室内装置</w:t>
            </w:r>
          </w:p>
        </w:tc>
      </w:tr>
      <w:tr>
        <w:tblPrEx>
          <w:tblW w:w="8540" w:type="dxa"/>
          <w:jc w:val="center"/>
          <w:tblLayout w:type="fixed"/>
          <w:tblCellMar>
            <w:top w:w="0" w:type="dxa"/>
            <w:left w:w="108" w:type="dxa"/>
            <w:bottom w:w="0" w:type="dxa"/>
            <w:right w:w="108" w:type="dxa"/>
          </w:tblCellMar>
          <w:tblLook w:val="0000"/>
        </w:tblPrEx>
        <w:trPr>
          <w:trHeight w:val="397"/>
          <w:jc w:val="center"/>
        </w:trPr>
        <w:tc>
          <w:tcPr>
            <w:tcW w:w="1957" w:type="dxa"/>
            <w:vAlign w:val="center"/>
          </w:tcPr>
          <w:p>
            <w:pPr>
              <w:adjustRightInd w:val="0"/>
              <w:snapToGrid w:val="0"/>
              <w:jc w:val="center"/>
              <w:rPr>
                <w:rFonts w:eastAsia="仿宋"/>
              </w:rPr>
            </w:pPr>
            <w:r>
              <w:rPr>
                <w:rFonts w:eastAsia="仿宋"/>
                <w:sz w:val="24"/>
              </w:rPr>
              <w:t>–40</w:t>
            </w:r>
          </w:p>
        </w:tc>
        <w:tc>
          <w:tcPr>
            <w:tcW w:w="2268" w:type="dxa"/>
            <w:vAlign w:val="center"/>
          </w:tcPr>
          <w:p>
            <w:pPr>
              <w:adjustRightInd w:val="0"/>
              <w:snapToGrid w:val="0"/>
              <w:jc w:val="center"/>
              <w:rPr>
                <w:rFonts w:eastAsia="仿宋"/>
              </w:rPr>
            </w:pPr>
            <w:r>
              <w:rPr>
                <w:rFonts w:eastAsia="仿宋"/>
                <w:sz w:val="24"/>
              </w:rPr>
              <w:t>+10</w:t>
            </w:r>
          </w:p>
        </w:tc>
        <w:tc>
          <w:tcPr>
            <w:tcW w:w="2126" w:type="dxa"/>
            <w:vAlign w:val="center"/>
          </w:tcPr>
          <w:p>
            <w:pPr>
              <w:adjustRightInd w:val="0"/>
              <w:snapToGrid w:val="0"/>
              <w:jc w:val="center"/>
              <w:rPr>
                <w:rFonts w:eastAsia="仿宋"/>
              </w:rPr>
            </w:pPr>
            <w:r>
              <w:rPr>
                <w:rFonts w:eastAsia="仿宋"/>
                <w:sz w:val="24"/>
              </w:rPr>
              <w:t>–40</w:t>
            </w:r>
          </w:p>
        </w:tc>
        <w:tc>
          <w:tcPr>
            <w:tcW w:w="2189" w:type="dxa"/>
            <w:vAlign w:val="center"/>
          </w:tcPr>
          <w:p>
            <w:pPr>
              <w:adjustRightInd w:val="0"/>
              <w:snapToGrid w:val="0"/>
              <w:jc w:val="center"/>
              <w:rPr>
                <w:rFonts w:eastAsia="仿宋"/>
              </w:rPr>
            </w:pPr>
            <w:r>
              <w:rPr>
                <w:rFonts w:eastAsia="仿宋"/>
                <w:sz w:val="24"/>
              </w:rPr>
              <w:t>5</w:t>
            </w:r>
          </w:p>
        </w:tc>
      </w:tr>
    </w:tbl>
    <w:p>
      <w:pPr>
        <w:spacing w:line="560" w:lineRule="exact"/>
        <w:ind w:firstLine="560" w:firstLineChars="200"/>
        <w:rPr>
          <w:rFonts w:ascii="仿宋" w:eastAsia="仿宋" w:hAnsi="仿宋" w:cs="仿宋" w:hint="eastAsia"/>
          <w:sz w:val="28"/>
        </w:rPr>
      </w:pPr>
      <w:bookmarkStart w:id="141" w:name="_Toc122969559"/>
      <w:bookmarkStart w:id="142" w:name="_Toc404805834"/>
      <w:bookmarkStart w:id="143" w:name="_Toc396329264"/>
      <w:bookmarkStart w:id="144" w:name="_Toc396329212"/>
      <w:bookmarkStart w:id="145" w:name="_Toc429555210"/>
      <w:bookmarkStart w:id="146" w:name="_Toc396329054"/>
      <w:bookmarkStart w:id="147" w:name="_Toc395884732"/>
      <w:bookmarkStart w:id="148" w:name="_Toc122969942"/>
      <w:bookmarkStart w:id="149" w:name="_Toc404240584"/>
      <w:bookmarkStart w:id="150" w:name="_Toc396329159"/>
      <w:bookmarkStart w:id="151" w:name="_Toc396373146"/>
      <w:bookmarkStart w:id="152" w:name="_Toc403829771"/>
      <w:bookmarkStart w:id="153" w:name="_Toc396919251"/>
      <w:bookmarkStart w:id="154" w:name="_Toc404270679"/>
      <w:bookmarkStart w:id="155" w:name="_Toc374091482"/>
      <w:bookmarkStart w:id="156" w:name="_Toc397012821"/>
      <w:bookmarkStart w:id="157" w:name="_Toc396890423"/>
      <w:bookmarkStart w:id="158" w:name="_Toc404271299"/>
      <w:bookmarkStart w:id="159" w:name="_Toc396416430"/>
      <w:bookmarkStart w:id="160" w:name="_Toc429750555"/>
      <w:bookmarkStart w:id="161" w:name="_Toc396372920"/>
      <w:bookmarkStart w:id="162" w:name="_Toc396328801"/>
      <w:bookmarkStart w:id="163" w:name="_Toc395954944"/>
      <w:r>
        <w:rPr>
          <w:rFonts w:ascii="仿宋" w:eastAsia="仿宋" w:hAnsi="仿宋" w:cs="仿宋" w:hint="eastAsia"/>
          <w:sz w:val="28"/>
        </w:rPr>
        <w:t>(3)</w:t>
      </w:r>
      <w:r>
        <w:rPr>
          <w:rFonts w:ascii="仿宋" w:eastAsia="仿宋" w:hAnsi="仿宋" w:cs="仿宋"/>
          <w:sz w:val="28"/>
        </w:rPr>
        <w:t>恒定湿热</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pPr>
        <w:adjustRightInd w:val="0"/>
        <w:snapToGrid w:val="0"/>
        <w:spacing w:line="360" w:lineRule="auto"/>
        <w:jc w:val="center"/>
        <w:rPr>
          <w:rFonts w:eastAsia="仿宋"/>
          <w:bCs/>
          <w:sz w:val="28"/>
          <w:szCs w:val="28"/>
        </w:rPr>
      </w:pPr>
      <w:r>
        <w:rPr>
          <w:rFonts w:eastAsia="仿宋" w:hint="eastAsia"/>
          <w:bCs/>
          <w:sz w:val="28"/>
          <w:szCs w:val="28"/>
        </w:rPr>
        <w:t>表8工作和贮存湿热要求</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131"/>
        <w:gridCol w:w="2130"/>
        <w:gridCol w:w="213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2130" w:type="dxa"/>
            <w:vAlign w:val="center"/>
          </w:tcPr>
          <w:p>
            <w:pPr>
              <w:adjustRightInd w:val="0"/>
              <w:snapToGrid w:val="0"/>
              <w:jc w:val="center"/>
              <w:rPr>
                <w:rFonts w:eastAsia="仿宋"/>
              </w:rPr>
            </w:pPr>
            <w:r>
              <w:rPr>
                <w:rFonts w:eastAsia="仿宋"/>
                <w:sz w:val="24"/>
              </w:rPr>
              <w:t>使用场所</w:t>
            </w:r>
          </w:p>
        </w:tc>
        <w:tc>
          <w:tcPr>
            <w:tcW w:w="2131" w:type="dxa"/>
            <w:vAlign w:val="center"/>
          </w:tcPr>
          <w:p>
            <w:pPr>
              <w:adjustRightInd w:val="0"/>
              <w:snapToGrid w:val="0"/>
              <w:jc w:val="center"/>
              <w:rPr>
                <w:rFonts w:eastAsia="仿宋"/>
              </w:rPr>
            </w:pPr>
            <w:r>
              <w:rPr>
                <w:rFonts w:eastAsia="仿宋"/>
                <w:sz w:val="24"/>
              </w:rPr>
              <w:t>相对湿度（%）</w:t>
            </w:r>
          </w:p>
        </w:tc>
        <w:tc>
          <w:tcPr>
            <w:tcW w:w="2130" w:type="dxa"/>
            <w:vAlign w:val="center"/>
          </w:tcPr>
          <w:p>
            <w:pPr>
              <w:adjustRightInd w:val="0"/>
              <w:snapToGrid w:val="0"/>
              <w:jc w:val="center"/>
              <w:rPr>
                <w:rFonts w:eastAsia="仿宋"/>
              </w:rPr>
            </w:pPr>
            <w:r>
              <w:rPr>
                <w:rFonts w:eastAsia="仿宋"/>
                <w:sz w:val="24"/>
              </w:rPr>
              <w:t>环境温度（℃）</w:t>
            </w:r>
          </w:p>
        </w:tc>
        <w:tc>
          <w:tcPr>
            <w:tcW w:w="2131" w:type="dxa"/>
            <w:vAlign w:val="center"/>
          </w:tcPr>
          <w:p>
            <w:pPr>
              <w:adjustRightInd w:val="0"/>
              <w:snapToGrid w:val="0"/>
              <w:jc w:val="center"/>
              <w:rPr>
                <w:rFonts w:eastAsia="仿宋"/>
              </w:rPr>
            </w:pPr>
            <w:r>
              <w:rPr>
                <w:rFonts w:eastAsia="仿宋"/>
                <w:sz w:val="24"/>
              </w:rPr>
              <w:t>试验时间（h）</w:t>
            </w:r>
          </w:p>
        </w:tc>
      </w:tr>
      <w:tr>
        <w:tblPrEx>
          <w:tblW w:w="0" w:type="auto"/>
          <w:jc w:val="center"/>
          <w:tblLayout w:type="fixed"/>
          <w:tblCellMar>
            <w:top w:w="0" w:type="dxa"/>
            <w:left w:w="108" w:type="dxa"/>
            <w:bottom w:w="0" w:type="dxa"/>
            <w:right w:w="108" w:type="dxa"/>
          </w:tblCellMar>
          <w:tblLook w:val="0000"/>
        </w:tblPrEx>
        <w:trPr>
          <w:trHeight w:val="397"/>
          <w:jc w:val="center"/>
        </w:trPr>
        <w:tc>
          <w:tcPr>
            <w:tcW w:w="2130" w:type="dxa"/>
            <w:vAlign w:val="center"/>
          </w:tcPr>
          <w:p>
            <w:pPr>
              <w:adjustRightInd w:val="0"/>
              <w:snapToGrid w:val="0"/>
              <w:jc w:val="center"/>
              <w:rPr>
                <w:rFonts w:eastAsia="仿宋"/>
              </w:rPr>
            </w:pPr>
            <w:r>
              <w:rPr>
                <w:rFonts w:eastAsia="仿宋"/>
                <w:sz w:val="24"/>
              </w:rPr>
              <w:t>室外装置</w:t>
            </w:r>
          </w:p>
        </w:tc>
        <w:tc>
          <w:tcPr>
            <w:tcW w:w="2131" w:type="dxa"/>
            <w:vAlign w:val="center"/>
          </w:tcPr>
          <w:p>
            <w:pPr>
              <w:adjustRightInd w:val="0"/>
              <w:snapToGrid w:val="0"/>
              <w:jc w:val="center"/>
              <w:rPr>
                <w:rFonts w:eastAsia="仿宋"/>
              </w:rPr>
            </w:pPr>
            <w:r>
              <w:rPr>
                <w:rFonts w:ascii="仿宋" w:eastAsia="仿宋" w:hAnsi="仿宋" w:hint="eastAsia"/>
                <w:sz w:val="24"/>
              </w:rPr>
              <w:t>≥</w:t>
            </w:r>
            <w:r>
              <w:rPr>
                <w:rFonts w:eastAsia="仿宋"/>
                <w:sz w:val="24"/>
              </w:rPr>
              <w:t>95</w:t>
            </w:r>
          </w:p>
        </w:tc>
        <w:tc>
          <w:tcPr>
            <w:tcW w:w="2130" w:type="dxa"/>
            <w:vAlign w:val="center"/>
          </w:tcPr>
          <w:p>
            <w:pPr>
              <w:adjustRightInd w:val="0"/>
              <w:snapToGrid w:val="0"/>
              <w:jc w:val="center"/>
              <w:rPr>
                <w:rFonts w:eastAsia="仿宋"/>
              </w:rPr>
            </w:pPr>
            <w:r>
              <w:rPr>
                <w:rFonts w:eastAsia="仿宋"/>
                <w:sz w:val="24"/>
              </w:rPr>
              <w:t>+35</w:t>
            </w:r>
          </w:p>
        </w:tc>
        <w:tc>
          <w:tcPr>
            <w:tcW w:w="2131" w:type="dxa"/>
            <w:vAlign w:val="center"/>
          </w:tcPr>
          <w:p>
            <w:pPr>
              <w:adjustRightInd w:val="0"/>
              <w:snapToGrid w:val="0"/>
              <w:jc w:val="center"/>
              <w:rPr>
                <w:rFonts w:eastAsia="仿宋"/>
              </w:rPr>
            </w:pPr>
            <w:r>
              <w:rPr>
                <w:rFonts w:eastAsia="仿宋"/>
                <w:sz w:val="24"/>
              </w:rPr>
              <w:t>48</w:t>
            </w:r>
          </w:p>
        </w:tc>
      </w:tr>
      <w:tr>
        <w:tblPrEx>
          <w:tblW w:w="0" w:type="auto"/>
          <w:jc w:val="center"/>
          <w:tblLayout w:type="fixed"/>
          <w:tblCellMar>
            <w:top w:w="0" w:type="dxa"/>
            <w:left w:w="108" w:type="dxa"/>
            <w:bottom w:w="0" w:type="dxa"/>
            <w:right w:w="108" w:type="dxa"/>
          </w:tblCellMar>
          <w:tblLook w:val="0000"/>
        </w:tblPrEx>
        <w:trPr>
          <w:trHeight w:val="397"/>
          <w:jc w:val="center"/>
        </w:trPr>
        <w:tc>
          <w:tcPr>
            <w:tcW w:w="2130" w:type="dxa"/>
            <w:vAlign w:val="center"/>
          </w:tcPr>
          <w:p>
            <w:pPr>
              <w:adjustRightInd w:val="0"/>
              <w:snapToGrid w:val="0"/>
              <w:jc w:val="center"/>
              <w:rPr>
                <w:rFonts w:eastAsia="仿宋"/>
              </w:rPr>
            </w:pPr>
            <w:r>
              <w:rPr>
                <w:rFonts w:eastAsia="仿宋"/>
                <w:sz w:val="24"/>
              </w:rPr>
              <w:t>室内装置</w:t>
            </w:r>
          </w:p>
        </w:tc>
        <w:tc>
          <w:tcPr>
            <w:tcW w:w="2131" w:type="dxa"/>
            <w:vAlign w:val="center"/>
          </w:tcPr>
          <w:p>
            <w:pPr>
              <w:adjustRightInd w:val="0"/>
              <w:snapToGrid w:val="0"/>
              <w:jc w:val="center"/>
              <w:rPr>
                <w:rFonts w:eastAsia="仿宋"/>
              </w:rPr>
            </w:pPr>
            <w:r>
              <w:rPr>
                <w:rFonts w:ascii="仿宋" w:eastAsia="仿宋" w:hAnsi="仿宋" w:hint="eastAsia"/>
                <w:sz w:val="24"/>
              </w:rPr>
              <w:t>≥</w:t>
            </w:r>
            <w:r>
              <w:rPr>
                <w:rFonts w:eastAsia="仿宋"/>
                <w:sz w:val="24"/>
              </w:rPr>
              <w:t>90</w:t>
            </w:r>
          </w:p>
        </w:tc>
        <w:tc>
          <w:tcPr>
            <w:tcW w:w="2130" w:type="dxa"/>
            <w:vAlign w:val="center"/>
          </w:tcPr>
          <w:p>
            <w:pPr>
              <w:adjustRightInd w:val="0"/>
              <w:snapToGrid w:val="0"/>
              <w:jc w:val="center"/>
              <w:rPr>
                <w:rFonts w:eastAsia="仿宋"/>
              </w:rPr>
            </w:pPr>
            <w:r>
              <w:rPr>
                <w:rFonts w:eastAsia="仿宋"/>
                <w:sz w:val="24"/>
              </w:rPr>
              <w:t>+30</w:t>
            </w:r>
          </w:p>
        </w:tc>
        <w:tc>
          <w:tcPr>
            <w:tcW w:w="2131" w:type="dxa"/>
            <w:vAlign w:val="center"/>
          </w:tcPr>
          <w:p>
            <w:pPr>
              <w:adjustRightInd w:val="0"/>
              <w:snapToGrid w:val="0"/>
              <w:jc w:val="center"/>
              <w:rPr>
                <w:rFonts w:eastAsia="仿宋"/>
              </w:rPr>
            </w:pPr>
            <w:r>
              <w:rPr>
                <w:rFonts w:eastAsia="仿宋"/>
                <w:sz w:val="24"/>
              </w:rPr>
              <w:t>48</w:t>
            </w:r>
          </w:p>
        </w:tc>
      </w:tr>
    </w:tbl>
    <w:p>
      <w:pPr>
        <w:spacing w:line="560" w:lineRule="exact"/>
        <w:ind w:firstLine="560" w:firstLineChars="200"/>
        <w:rPr>
          <w:rFonts w:ascii="仿宋" w:eastAsia="仿宋" w:hAnsi="仿宋" w:cs="仿宋" w:hint="eastAsia"/>
          <w:sz w:val="28"/>
        </w:rPr>
      </w:pPr>
      <w:r>
        <w:rPr>
          <w:rFonts w:ascii="仿宋" w:eastAsia="仿宋" w:hAnsi="仿宋" w:cs="仿宋" w:hint="eastAsia"/>
          <w:sz w:val="28"/>
        </w:rPr>
        <w:t>四、质保服务要求</w:t>
      </w:r>
    </w:p>
    <w:p>
      <w:pPr>
        <w:spacing w:line="560" w:lineRule="exact"/>
        <w:ind w:firstLine="560" w:firstLineChars="200"/>
        <w:rPr>
          <w:rFonts w:ascii="仿宋" w:eastAsia="仿宋" w:hAnsi="仿宋" w:cs="仿宋" w:hint="eastAsia"/>
          <w:sz w:val="28"/>
        </w:rPr>
      </w:pPr>
      <w:r>
        <w:rPr>
          <w:rFonts w:ascii="仿宋" w:eastAsia="仿宋" w:hAnsi="仿宋" w:cs="仿宋" w:hint="eastAsia"/>
          <w:sz w:val="28"/>
        </w:rPr>
        <w:t>（1）</w:t>
      </w:r>
      <w:r>
        <w:rPr>
          <w:rFonts w:ascii="仿宋" w:eastAsia="仿宋" w:hAnsi="仿宋" w:cs="仿宋"/>
          <w:sz w:val="28"/>
        </w:rPr>
        <w:t>供应商将所有设备运送到招标人指定地点（运输相关费用由供应商负责），并负责安装调试。</w:t>
      </w:r>
      <w:r>
        <w:rPr>
          <w:rFonts w:ascii="仿宋" w:eastAsia="仿宋" w:hAnsi="仿宋" w:cs="仿宋" w:hint="eastAsia"/>
          <w:sz w:val="28"/>
        </w:rPr>
        <w:t>正式交付运行，且通过合同验收次日起质保期为8年*。</w:t>
      </w:r>
      <w:r>
        <w:rPr>
          <w:rFonts w:ascii="仿宋" w:eastAsia="仿宋" w:hAnsi="仿宋" w:cs="仿宋" w:hint="eastAsia"/>
          <w:sz w:val="28"/>
          <w:highlight w:val="yellow"/>
        </w:rPr>
        <w:t>投标人对所有设备提供自验收合格后8年的免费维护维修服务*</w:t>
      </w:r>
      <w:r>
        <w:rPr>
          <w:rFonts w:ascii="仿宋" w:eastAsia="仿宋" w:hAnsi="仿宋" w:cs="仿宋" w:hint="eastAsia"/>
          <w:sz w:val="28"/>
        </w:rPr>
        <w:t>，并提供相关承诺函。按照业务运行规范要求执行，确保设备可稳定运行，主要工作包括：周维护、月维护、年维护等工作，以及关键器件及系统故障的维修等。</w:t>
      </w:r>
    </w:p>
    <w:p>
      <w:pPr>
        <w:ind w:firstLine="560" w:firstLineChars="200"/>
        <w:rPr>
          <w:rFonts w:ascii="仿宋" w:eastAsia="仿宋" w:hAnsi="仿宋" w:cs="仿宋" w:hint="eastAsia"/>
          <w:sz w:val="28"/>
        </w:rPr>
      </w:pPr>
      <w:r>
        <w:rPr>
          <w:rFonts w:ascii="仿宋" w:eastAsia="仿宋" w:hAnsi="仿宋" w:cs="仿宋" w:hint="eastAsia"/>
          <w:sz w:val="28"/>
        </w:rPr>
        <w:t>（2）在质保期内，投标人服务时间应为7</w:t>
      </w:r>
      <w:r>
        <w:rPr>
          <w:rFonts w:ascii="仿宋" w:eastAsia="仿宋" w:hAnsi="仿宋" w:cs="仿宋" w:hint="eastAsia"/>
          <w:sz w:val="28"/>
        </w:rPr>
        <w:t>×</w:t>
      </w:r>
      <w:r>
        <w:rPr>
          <w:rFonts w:ascii="仿宋" w:eastAsia="仿宋" w:hAnsi="仿宋" w:cs="仿宋" w:hint="eastAsia"/>
          <w:sz w:val="28"/>
        </w:rPr>
        <w:t>24小时，当投标产品或软件遭到损坏或出现故障时，要在用户报修之时起4小时内做出响应，并在48小时内到达现场，开展维修维护工作,视情况双方协商设备恢复正常运行时限。</w:t>
      </w:r>
    </w:p>
    <w:p>
      <w:pPr>
        <w:ind w:firstLine="560" w:firstLineChars="200"/>
        <w:rPr>
          <w:rFonts w:ascii="仿宋" w:eastAsia="仿宋" w:hAnsi="仿宋" w:cs="仿宋" w:hint="eastAsia"/>
          <w:color w:val="FF0000"/>
          <w:sz w:val="28"/>
        </w:rPr>
      </w:pPr>
      <w:r>
        <w:rPr>
          <w:rFonts w:ascii="仿宋" w:eastAsia="仿宋" w:hAnsi="仿宋" w:cs="仿宋" w:hint="eastAsia"/>
          <w:color w:val="FF0000"/>
          <w:sz w:val="28"/>
        </w:rPr>
        <w:t>在质保期内，如用户提出设备自身的稳定性改进需求或更改控制协议接口升级的需求，投标人须在7日内予以响应，并在15日内完成设备版本升级，配合联调，直至系统稳定运行。</w:t>
      </w:r>
    </w:p>
    <w:p>
      <w:pPr>
        <w:ind w:firstLine="560" w:firstLineChars="200"/>
        <w:rPr>
          <w:rFonts w:ascii="仿宋" w:eastAsia="仿宋" w:hAnsi="仿宋" w:cs="仿宋" w:hint="eastAsia"/>
          <w:sz w:val="28"/>
        </w:rPr>
      </w:pPr>
      <w:r>
        <w:rPr>
          <w:rFonts w:ascii="仿宋" w:eastAsia="仿宋" w:hAnsi="仿宋" w:cs="仿宋" w:hint="eastAsia"/>
          <w:sz w:val="28"/>
        </w:rPr>
        <w:t>（4）维保包括设备维护维修及附属设备维护维修，保证每年至少1次的现场巡检和4次远程维护检查，设备发生故障时在业务规定时间内完成维修、维护保障或更换组件，维保可采用设备招投标、技术服务采购等方式保证维保质量。</w:t>
      </w:r>
    </w:p>
    <w:p>
      <w:pPr>
        <w:ind w:left="365" w:leftChars="174"/>
        <w:rPr>
          <w:rFonts w:ascii="仿宋" w:eastAsia="仿宋" w:hAnsi="仿宋" w:cs="仿宋" w:hint="eastAsia"/>
          <w:sz w:val="28"/>
        </w:rPr>
      </w:pPr>
      <w:r>
        <w:rPr>
          <w:rFonts w:ascii="仿宋" w:eastAsia="仿宋" w:hAnsi="仿宋" w:cs="仿宋" w:hint="eastAsia"/>
          <w:sz w:val="28"/>
        </w:rPr>
        <w:t>（5）质保期外，24小时内提供备品备件，用于产品的维修保障。</w:t>
      </w:r>
    </w:p>
    <w:p>
      <w:pPr>
        <w:shd w:val="clear" w:color="auto" w:fill="FFFF00"/>
        <w:spacing w:line="560" w:lineRule="exact"/>
        <w:ind w:firstLine="560" w:firstLineChars="200"/>
        <w:rPr>
          <w:rFonts w:ascii="仿宋" w:eastAsia="仿宋" w:hAnsi="仿宋" w:cs="仿宋" w:hint="eastAsia"/>
          <w:sz w:val="28"/>
        </w:rPr>
      </w:pPr>
      <w:r>
        <w:rPr>
          <w:rFonts w:ascii="仿宋" w:eastAsia="仿宋" w:hAnsi="仿宋" w:cs="仿宋" w:hint="eastAsia"/>
          <w:sz w:val="28"/>
        </w:rPr>
        <w:t>五、技术培训</w:t>
      </w:r>
    </w:p>
    <w:p>
      <w:pPr>
        <w:shd w:val="clear" w:color="auto" w:fill="FFFF00"/>
        <w:spacing w:line="560" w:lineRule="exact"/>
        <w:ind w:firstLine="560" w:firstLineChars="200"/>
        <w:rPr>
          <w:rFonts w:ascii="仿宋" w:eastAsia="仿宋" w:hAnsi="仿宋" w:cs="仿宋" w:hint="eastAsia"/>
          <w:sz w:val="28"/>
        </w:rPr>
      </w:pPr>
      <w:r>
        <w:rPr>
          <w:rFonts w:ascii="仿宋" w:eastAsia="仿宋" w:hAnsi="仿宋" w:cs="仿宋" w:hint="eastAsia"/>
          <w:sz w:val="28"/>
          <w:szCs w:val="28"/>
        </w:rPr>
        <w:t>（1）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hd w:val="clear" w:color="auto" w:fill="FFFF00"/>
        <w:spacing w:line="560" w:lineRule="exact"/>
        <w:ind w:firstLine="560" w:firstLineChars="200"/>
        <w:rPr>
          <w:rFonts w:ascii="仿宋" w:eastAsia="仿宋" w:hAnsi="仿宋" w:cs="仿宋" w:hint="eastAsia"/>
          <w:sz w:val="28"/>
        </w:rPr>
      </w:pPr>
      <w:r>
        <w:rPr>
          <w:rFonts w:ascii="仿宋" w:eastAsia="仿宋" w:hAnsi="仿宋" w:cs="仿宋" w:hint="eastAsia"/>
          <w:sz w:val="28"/>
        </w:rPr>
        <w:t>（2）技术培训内容包括：设备工作原理、使用方法、日常维护及一般常见故障的诊断及排除等。</w:t>
      </w:r>
    </w:p>
    <w:p>
      <w:pPr>
        <w:shd w:val="clear" w:color="auto" w:fill="FFFF00"/>
        <w:spacing w:line="560" w:lineRule="exact"/>
        <w:ind w:firstLine="560" w:firstLineChars="200"/>
        <w:rPr>
          <w:rFonts w:ascii="仿宋" w:eastAsia="仿宋" w:hAnsi="仿宋" w:cs="仿宋" w:hint="eastAsia"/>
          <w:sz w:val="28"/>
        </w:rPr>
      </w:pPr>
      <w:r>
        <w:rPr>
          <w:rFonts w:ascii="仿宋" w:eastAsia="仿宋" w:hAnsi="仿宋" w:cs="仿宋" w:hint="eastAsia"/>
          <w:sz w:val="28"/>
        </w:rPr>
        <w:t>（3）培训时免费提供完整的培训资料，其中包括使用说明、工作原理、技术图纸、注意事项、安装调试方法和维修指南等。</w:t>
      </w:r>
    </w:p>
    <w:p>
      <w:pPr>
        <w:shd w:val="clear" w:color="auto" w:fill="FFFF00"/>
        <w:spacing w:line="560" w:lineRule="exact"/>
        <w:ind w:firstLine="560" w:firstLineChars="200"/>
        <w:rPr>
          <w:rFonts w:ascii="仿宋" w:eastAsia="仿宋" w:hAnsi="仿宋" w:cs="仿宋" w:hint="eastAsia"/>
          <w:sz w:val="28"/>
        </w:rPr>
      </w:pPr>
      <w:r>
        <w:rPr>
          <w:rFonts w:ascii="仿宋" w:eastAsia="仿宋" w:hAnsi="仿宋" w:cs="仿宋" w:hint="eastAsia"/>
          <w:sz w:val="28"/>
        </w:rPr>
        <w:t>（4）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shd w:val="clear" w:color="auto" w:fill="FFFF00"/>
        <w:spacing w:line="560" w:lineRule="exact"/>
        <w:ind w:firstLine="560" w:firstLineChars="200"/>
        <w:rPr>
          <w:rFonts w:ascii="仿宋" w:eastAsia="仿宋" w:hAnsi="仿宋" w:cs="仿宋" w:hint="eastAsia"/>
          <w:sz w:val="28"/>
        </w:rPr>
      </w:pPr>
      <w:r>
        <w:rPr>
          <w:rFonts w:ascii="仿宋" w:eastAsia="仿宋" w:hAnsi="仿宋" w:cs="仿宋" w:hint="eastAsia"/>
          <w:sz w:val="28"/>
        </w:rPr>
        <w:t>（5）培训次数、课时及人数要求详见采购需求-其他技术及商务需求。</w:t>
      </w:r>
    </w:p>
    <w:p>
      <w:pPr>
        <w:spacing w:line="560" w:lineRule="exact"/>
        <w:ind w:firstLine="560" w:firstLineChars="200"/>
        <w:rPr>
          <w:rFonts w:ascii="仿宋" w:eastAsia="仿宋" w:hAnsi="仿宋" w:cs="仿宋" w:hint="eastAsia"/>
          <w:sz w:val="28"/>
        </w:rPr>
      </w:pPr>
      <w:r>
        <w:rPr>
          <w:rFonts w:ascii="仿宋" w:eastAsia="仿宋" w:hAnsi="仿宋" w:cs="仿宋" w:hint="eastAsia"/>
          <w:sz w:val="28"/>
        </w:rPr>
        <w:t>六、验收要求（检验考核要求等）</w:t>
      </w:r>
    </w:p>
    <w:p>
      <w:pPr>
        <w:ind w:firstLine="560" w:firstLineChars="200"/>
        <w:rPr>
          <w:rFonts w:ascii="仿宋" w:eastAsia="仿宋" w:hAnsi="仿宋" w:cs="仿宋" w:hint="eastAsia"/>
          <w:sz w:val="28"/>
        </w:rPr>
      </w:pPr>
      <w:r>
        <w:rPr>
          <w:rFonts w:ascii="仿宋" w:eastAsia="仿宋" w:hAnsi="仿宋" w:cs="仿宋" w:hint="eastAsia"/>
          <w:sz w:val="28"/>
        </w:rPr>
        <w:t>按照《</w:t>
      </w:r>
      <w:bookmarkStart w:id="164" w:name="OLE_LINK2"/>
      <w:r>
        <w:rPr>
          <w:rFonts w:ascii="仿宋" w:eastAsia="仿宋" w:hAnsi="仿宋" w:cs="仿宋" w:hint="eastAsia"/>
          <w:sz w:val="28"/>
        </w:rPr>
        <w:t>相干多普勒测风</w:t>
      </w:r>
      <w:bookmarkEnd w:id="164"/>
      <w:r>
        <w:rPr>
          <w:rFonts w:ascii="仿宋" w:eastAsia="仿宋" w:hAnsi="仿宋" w:cs="仿宋" w:hint="eastAsia"/>
          <w:sz w:val="28"/>
        </w:rPr>
        <w:t>激光雷达功能需求书》（气测函〔2023〕14号）、《相干多普勒测风激光雷达测试大纲》（气测函〔2023〕49号）和《</w:t>
      </w:r>
      <w:r>
        <w:rPr>
          <w:rFonts w:ascii="仿宋" w:eastAsia="仿宋" w:hAnsi="仿宋" w:cs="仿宋" w:hint="eastAsia"/>
          <w:sz w:val="28"/>
        </w:rPr>
        <w:t>“</w:t>
      </w:r>
      <w:r>
        <w:rPr>
          <w:rFonts w:ascii="仿宋" w:eastAsia="仿宋" w:hAnsi="仿宋" w:cs="仿宋" w:hint="eastAsia"/>
          <w:sz w:val="28"/>
        </w:rPr>
        <w:t>十四五</w:t>
      </w:r>
      <w:r>
        <w:rPr>
          <w:rFonts w:ascii="仿宋" w:eastAsia="仿宋" w:hAnsi="仿宋" w:cs="仿宋" w:hint="eastAsia"/>
          <w:sz w:val="28"/>
        </w:rPr>
        <w:t>”</w:t>
      </w:r>
      <w:r>
        <w:rPr>
          <w:rFonts w:ascii="仿宋" w:eastAsia="仿宋" w:hAnsi="仿宋" w:cs="仿宋" w:hint="eastAsia"/>
          <w:sz w:val="28"/>
        </w:rPr>
        <w:t>期间综合观测类工程项目新上设备验收技术指南-极端灾害性天气短临预警能力提升工程分册》（气测函〔2026〕56号）以及中国气象局最新业务管理规定等有关文件要求开展检验考核。</w:t>
      </w:r>
    </w:p>
    <w:p>
      <w:pPr>
        <w:ind w:firstLine="560" w:firstLineChars="200"/>
        <w:rPr>
          <w:rFonts w:ascii="仿宋" w:eastAsia="仿宋" w:hAnsi="仿宋" w:cs="仿宋" w:hint="eastAsia"/>
          <w:b w:val="0"/>
          <w:bCs w:val="0"/>
          <w:color w:val="FF0000"/>
          <w:sz w:val="28"/>
        </w:rPr>
      </w:pPr>
      <w:r>
        <w:rPr>
          <w:rFonts w:ascii="仿宋" w:eastAsia="仿宋" w:hAnsi="仿宋" w:cs="仿宋" w:hint="eastAsia"/>
          <w:b w:val="0"/>
          <w:bCs w:val="0"/>
          <w:color w:val="FF0000"/>
          <w:sz w:val="28"/>
          <w:lang w:val="en-US" w:eastAsia="zh-CN"/>
        </w:rPr>
        <w:t>出厂测试阶段</w:t>
      </w:r>
      <w:r>
        <w:rPr>
          <w:rFonts w:ascii="仿宋" w:eastAsia="仿宋" w:hAnsi="仿宋" w:cs="仿宋"/>
          <w:b w:val="0"/>
          <w:bCs w:val="0"/>
          <w:color w:val="FF0000"/>
          <w:sz w:val="28"/>
        </w:rPr>
        <w:t>：</w:t>
      </w:r>
      <w:r>
        <w:rPr>
          <w:rFonts w:ascii="仿宋" w:eastAsia="仿宋" w:hAnsi="仿宋" w:cs="仿宋" w:hint="eastAsia"/>
          <w:b w:val="0"/>
          <w:bCs w:val="0"/>
          <w:color w:val="FF0000"/>
          <w:sz w:val="28"/>
          <w:lang w:val="en-US" w:eastAsia="zh-CN"/>
        </w:rPr>
        <w:t>投标人</w:t>
      </w:r>
      <w:r>
        <w:rPr>
          <w:rFonts w:ascii="仿宋" w:eastAsia="仿宋" w:hAnsi="仿宋" w:cs="仿宋"/>
          <w:b w:val="0"/>
          <w:bCs w:val="0"/>
          <w:color w:val="FF0000"/>
          <w:sz w:val="28"/>
        </w:rPr>
        <w:t>在所供相干测风激光雷达（远距型）的工控机上，完成</w:t>
      </w:r>
      <w:r>
        <w:rPr>
          <w:rFonts w:ascii="仿宋" w:eastAsia="仿宋" w:hAnsi="仿宋" w:cs="仿宋" w:hint="eastAsia"/>
          <w:b w:val="0"/>
          <w:bCs w:val="0"/>
          <w:color w:val="FF0000"/>
          <w:sz w:val="28"/>
          <w:lang w:val="en-US" w:eastAsia="zh-CN"/>
        </w:rPr>
        <w:t>采购</w:t>
      </w:r>
      <w:r>
        <w:rPr>
          <w:rFonts w:ascii="仿宋" w:eastAsia="仿宋" w:hAnsi="仿宋" w:cs="仿宋"/>
          <w:b w:val="0"/>
          <w:bCs w:val="0"/>
          <w:color w:val="FF0000"/>
          <w:sz w:val="28"/>
        </w:rPr>
        <w:t>人指定显示与控制终端软件的安装与部署，</w:t>
      </w:r>
      <w:r>
        <w:rPr>
          <w:rFonts w:ascii="仿宋" w:eastAsia="仿宋" w:hAnsi="仿宋" w:cs="仿宋" w:hint="eastAsia"/>
          <w:b w:val="0"/>
          <w:bCs w:val="0"/>
          <w:color w:val="FF0000"/>
          <w:sz w:val="28"/>
          <w:lang w:val="en-US" w:eastAsia="zh-CN"/>
        </w:rPr>
        <w:t>及</w:t>
      </w:r>
      <w:r>
        <w:rPr>
          <w:rFonts w:ascii="仿宋" w:eastAsia="仿宋" w:hAnsi="仿宋" w:cs="仿宋"/>
          <w:b w:val="0"/>
          <w:bCs w:val="0"/>
          <w:color w:val="FF0000"/>
          <w:sz w:val="28"/>
        </w:rPr>
        <w:t>软硬件接口协议联调，联调后系统连续稳定运行不少于7天</w:t>
      </w:r>
      <w:r>
        <w:rPr>
          <w:rFonts w:ascii="仿宋" w:eastAsia="仿宋" w:hAnsi="仿宋" w:cs="仿宋" w:hint="eastAsia"/>
          <w:b w:val="0"/>
          <w:bCs w:val="0"/>
          <w:color w:val="FF0000"/>
          <w:sz w:val="28"/>
          <w:lang w:eastAsia="zh-CN"/>
        </w:rPr>
        <w:t>，</w:t>
      </w:r>
      <w:r>
        <w:rPr>
          <w:rFonts w:ascii="仿宋" w:eastAsia="仿宋" w:hAnsi="仿宋" w:cs="仿宋" w:hint="eastAsia"/>
          <w:b w:val="0"/>
          <w:bCs w:val="0"/>
          <w:color w:val="FF0000"/>
          <w:sz w:val="28"/>
          <w:lang w:val="en-US" w:eastAsia="zh-CN"/>
        </w:rPr>
        <w:t>方可提交出厂测试申请</w:t>
      </w:r>
      <w:r>
        <w:rPr>
          <w:rFonts w:ascii="仿宋" w:eastAsia="仿宋" w:hAnsi="仿宋" w:cs="仿宋"/>
          <w:b w:val="0"/>
          <w:bCs w:val="0"/>
          <w:color w:val="FF0000"/>
          <w:sz w:val="28"/>
        </w:rPr>
        <w:t>。</w:t>
      </w:r>
    </w:p>
    <w:p>
      <w:pPr>
        <w:ind w:firstLine="560" w:firstLineChars="200"/>
        <w:rPr>
          <w:rFonts w:ascii="仿宋" w:eastAsia="仿宋" w:hAnsi="仿宋" w:cs="仿宋" w:hint="default"/>
          <w:b w:val="0"/>
          <w:bCs w:val="0"/>
          <w:sz w:val="28"/>
        </w:rPr>
      </w:pPr>
      <w:r>
        <w:rPr>
          <w:rFonts w:ascii="仿宋" w:eastAsia="仿宋" w:hAnsi="仿宋" w:cs="仿宋" w:hint="eastAsia"/>
          <w:b w:val="0"/>
          <w:bCs w:val="0"/>
          <w:color w:val="FF0000"/>
          <w:sz w:val="28"/>
          <w:lang w:val="en-US" w:eastAsia="zh-CN"/>
        </w:rPr>
        <w:t>现场测试阶段：</w:t>
      </w:r>
      <w:r>
        <w:rPr>
          <w:rFonts w:ascii="仿宋" w:eastAsia="仿宋" w:hAnsi="仿宋" w:cs="仿宋"/>
          <w:b w:val="0"/>
          <w:bCs w:val="0"/>
          <w:i w:val="0"/>
          <w:iCs w:val="0"/>
          <w:color w:val="FF0000"/>
          <w:sz w:val="28"/>
        </w:rPr>
        <w:t>设备运抵现场后，投标人须根据现场环境的物理安装及网络连接要求，完成相干测风激光雷达（远距型）的安装，并与招标人指定的显示与控制终端</w:t>
      </w:r>
      <w:r>
        <w:rPr>
          <w:rFonts w:ascii="仿宋" w:eastAsia="仿宋" w:hAnsi="仿宋" w:cs="仿宋"/>
          <w:b w:val="0"/>
          <w:bCs w:val="0"/>
          <w:color w:val="FF0000"/>
          <w:sz w:val="28"/>
        </w:rPr>
        <w:t>软件进行联调确认，确保系统稳定运行、完整实现数据文件、状态文件及控制协议等全部约定功能，同时按招标人要求将观测数据接入现有气象数据平台</w:t>
      </w:r>
      <w:r>
        <w:rPr>
          <w:rFonts w:ascii="仿宋" w:eastAsia="仿宋" w:hAnsi="仿宋" w:cs="仿宋" w:hint="eastAsia"/>
          <w:b w:val="0"/>
          <w:bCs w:val="0"/>
          <w:color w:val="FF0000"/>
          <w:sz w:val="28"/>
          <w:lang w:eastAsia="zh-CN"/>
        </w:rPr>
        <w:t>，</w:t>
      </w:r>
      <w:r>
        <w:rPr>
          <w:rFonts w:ascii="仿宋" w:eastAsia="仿宋" w:hAnsi="仿宋" w:cs="仿宋" w:hint="eastAsia"/>
          <w:b w:val="0"/>
          <w:bCs w:val="0"/>
          <w:color w:val="FF0000"/>
          <w:sz w:val="28"/>
          <w:lang w:val="en-US" w:eastAsia="zh-CN"/>
        </w:rPr>
        <w:t>方可提交现场测试申请。</w:t>
      </w:r>
    </w:p>
    <w:p>
      <w:pPr>
        <w:spacing w:line="560" w:lineRule="exact"/>
        <w:ind w:firstLine="560" w:firstLineChars="200"/>
        <w:rPr>
          <w:rFonts w:ascii="仿宋" w:eastAsia="仿宋" w:hAnsi="仿宋" w:cs="仿宋" w:hint="eastAsia"/>
          <w:sz w:val="28"/>
        </w:rPr>
      </w:pPr>
      <w:r>
        <w:rPr>
          <w:rFonts w:ascii="仿宋" w:eastAsia="仿宋" w:hAnsi="仿宋" w:cs="仿宋" w:hint="eastAsia"/>
          <w:sz w:val="28"/>
        </w:rPr>
        <w:t>七、其他要求</w:t>
      </w:r>
    </w:p>
    <w:p>
      <w:pPr>
        <w:ind w:firstLine="560" w:firstLineChars="200"/>
        <w:rPr>
          <w:rFonts w:ascii="仿宋" w:eastAsia="仿宋" w:hAnsi="仿宋" w:cs="仿宋" w:hint="eastAsia"/>
          <w:sz w:val="28"/>
        </w:rPr>
      </w:pPr>
      <w:r>
        <w:rPr>
          <w:rFonts w:ascii="仿宋" w:eastAsia="仿宋" w:hAnsi="仿宋" w:cs="仿宋" w:hint="eastAsia"/>
          <w:sz w:val="28"/>
        </w:rPr>
        <w:t>详见采购需求-其他技术及商务需求。</w:t>
      </w:r>
    </w:p>
    <w:p>
      <w:pPr>
        <w:spacing w:line="560" w:lineRule="exact"/>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3"/>
        <w:gridCol w:w="1441"/>
        <w:gridCol w:w="431"/>
        <w:gridCol w:w="599"/>
        <w:gridCol w:w="683"/>
        <w:gridCol w:w="431"/>
        <w:gridCol w:w="471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165" w:name="货物一览表_index"/>
            <w:r>
              <w:rPr>
                <w:rFonts w:asciiTheme="minorEastAsia" w:eastAsiaTheme="minorEastAsia" w:hAnsiTheme="minorEastAsia" w:cstheme="minorEastAsia" w:hint="eastAsia"/>
                <w:kern w:val="0"/>
                <w:szCs w:val="21"/>
              </w:rPr>
              <w:t>序号</w:t>
            </w:r>
            <w:bookmarkEnd w:id="165"/>
          </w:p>
        </w:tc>
        <w:tc>
          <w:tcPr>
            <w:tcW w:w="1135" w:type="dxa"/>
          </w:tcPr>
          <w:p w14:paraId="6B7F00AC">
            <w:pPr>
              <w:autoSpaceDE w:val="0"/>
              <w:jc w:val="center"/>
              <w:rPr>
                <w:rFonts w:asciiTheme="minorEastAsia" w:hAnsiTheme="minorEastAsia" w:cstheme="minorEastAsia"/>
                <w:kern w:val="0"/>
                <w:szCs w:val="21"/>
              </w:rPr>
            </w:pPr>
            <w:bookmarkStart w:id="166" w:name="货物一览表_goodsName"/>
            <w:r>
              <w:rPr>
                <w:rFonts w:asciiTheme="minorEastAsia" w:eastAsiaTheme="minorEastAsia" w:hAnsiTheme="minorEastAsia" w:cstheme="minorEastAsia" w:hint="eastAsia"/>
                <w:kern w:val="0"/>
                <w:szCs w:val="21"/>
              </w:rPr>
              <w:t>设备名称</w:t>
            </w:r>
            <w:bookmarkEnd w:id="166"/>
          </w:p>
        </w:tc>
        <w:tc>
          <w:tcPr>
            <w:tcW w:w="965" w:type="dxa"/>
          </w:tcPr>
          <w:p w14:paraId="7B8390AF">
            <w:pPr>
              <w:autoSpaceDE w:val="0"/>
              <w:jc w:val="center"/>
              <w:rPr>
                <w:rFonts w:asciiTheme="minorEastAsia" w:hAnsiTheme="minorEastAsia" w:cstheme="minorEastAsia"/>
                <w:kern w:val="0"/>
                <w:szCs w:val="21"/>
              </w:rPr>
            </w:pPr>
            <w:bookmarkStart w:id="167" w:name="货物一览表_nums"/>
            <w:r>
              <w:rPr>
                <w:rFonts w:asciiTheme="minorEastAsia" w:eastAsiaTheme="minorEastAsia" w:hAnsiTheme="minorEastAsia" w:cstheme="minorEastAsia" w:hint="eastAsia"/>
                <w:kern w:val="0"/>
                <w:szCs w:val="21"/>
              </w:rPr>
              <w:t>采购数量</w:t>
            </w:r>
            <w:bookmarkEnd w:id="167"/>
          </w:p>
        </w:tc>
        <w:tc>
          <w:tcPr>
            <w:tcW w:w="1062" w:type="dxa"/>
          </w:tcPr>
          <w:p w14:paraId="72F33D6D">
            <w:pPr>
              <w:autoSpaceDE w:val="0"/>
              <w:jc w:val="center"/>
              <w:rPr>
                <w:rFonts w:asciiTheme="minorEastAsia" w:hAnsiTheme="minorEastAsia" w:cstheme="minorEastAsia"/>
                <w:kern w:val="0"/>
                <w:szCs w:val="21"/>
              </w:rPr>
            </w:pPr>
            <w:bookmarkStart w:id="168" w:name="货物一览表_units"/>
            <w:r>
              <w:rPr>
                <w:rFonts w:asciiTheme="minorEastAsia" w:eastAsiaTheme="minorEastAsia" w:hAnsiTheme="minorEastAsia" w:cstheme="minorEastAsia" w:hint="eastAsia"/>
                <w:kern w:val="0"/>
                <w:szCs w:val="21"/>
              </w:rPr>
              <w:t>计量单位</w:t>
            </w:r>
            <w:bookmarkEnd w:id="168"/>
          </w:p>
        </w:tc>
        <w:tc>
          <w:tcPr>
            <w:tcW w:w="1220" w:type="dxa"/>
          </w:tcPr>
          <w:p w14:paraId="24892D20">
            <w:pPr>
              <w:autoSpaceDE w:val="0"/>
              <w:jc w:val="center"/>
              <w:rPr>
                <w:rFonts w:asciiTheme="minorEastAsia" w:hAnsiTheme="minorEastAsia" w:cstheme="minorEastAsia"/>
                <w:kern w:val="0"/>
                <w:szCs w:val="21"/>
              </w:rPr>
            </w:pPr>
            <w:bookmarkStart w:id="169" w:name="货物一览表_procurementBudget"/>
            <w:r>
              <w:rPr>
                <w:rFonts w:asciiTheme="minorEastAsia" w:eastAsiaTheme="minorEastAsia" w:hAnsiTheme="minorEastAsia" w:cstheme="minorEastAsia" w:hint="eastAsia"/>
                <w:kern w:val="0"/>
                <w:szCs w:val="21"/>
              </w:rPr>
              <w:t>采购预算（元）</w:t>
            </w:r>
            <w:bookmarkEnd w:id="169"/>
          </w:p>
        </w:tc>
        <w:tc>
          <w:tcPr>
            <w:tcW w:w="1329" w:type="dxa"/>
          </w:tcPr>
          <w:p w14:paraId="27138270">
            <w:pPr>
              <w:autoSpaceDE w:val="0"/>
              <w:jc w:val="center"/>
              <w:rPr>
                <w:rFonts w:asciiTheme="minorEastAsia" w:hAnsiTheme="minorEastAsia" w:cstheme="minorEastAsia" w:hint="eastAsia"/>
                <w:kern w:val="0"/>
                <w:szCs w:val="21"/>
              </w:rPr>
            </w:pPr>
            <w:bookmarkStart w:id="17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70"/>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171" w:name="货物一览表_remark"/>
            <w:r>
              <w:rPr>
                <w:rFonts w:asciiTheme="minorEastAsia" w:eastAsiaTheme="minorEastAsia" w:hAnsiTheme="minorEastAsia" w:cstheme="minorEastAsia" w:hint="eastAsia"/>
                <w:kern w:val="0"/>
                <w:szCs w:val="21"/>
              </w:rPr>
              <w:t>备注</w:t>
            </w:r>
            <w:bookmarkEnd w:id="17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相干多普勒测风激光雷达（远距型）</w:t>
            </w:r>
          </w:p>
        </w:tc>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11,376,000.00</w:t>
            </w:r>
          </w:p>
        </w:tc>
        <w:tc>
          <w:tcPr/>
          <w:p>
            <w:pPr>
              <w:autoSpaceDE w:val="0"/>
              <w:jc w:val="center"/>
              <w:rPr>
                <w:rFonts w:asciiTheme="minorEastAsia" w:hAnsiTheme="minorEastAsia" w:cstheme="minorEastAsia" w:hint="eastAsia"/>
                <w:kern w:val="0"/>
                <w:szCs w:val="21"/>
              </w:rPr>
            </w:pPr>
            <w:r>
              <w:t>45</w:t>
            </w:r>
          </w:p>
        </w:tc>
        <w:tc>
          <w:tcPr/>
          <w:p>
            <w:pPr>
              <w:autoSpaceDE w:val="0"/>
              <w:autoSpaceDN w:val="0"/>
              <w:adjustRightInd w:val="0"/>
              <w:spacing w:before="48"/>
              <w:ind w:right="-20"/>
              <w:jc w:val="center"/>
              <w:rPr>
                <w:rFonts w:asciiTheme="minorEastAsia" w:hAnsiTheme="minorEastAsia" w:cstheme="minorEastAsia"/>
                <w:kern w:val="0"/>
                <w:szCs w:val="21"/>
              </w:rPr>
            </w:pPr>
            <w:r>
              <w:t>1.含8年质保。 2.单套测风激光雷达主要包括硬件设备（含激光发射系统、光学接收系统、伺服系统、光电转换及数据采集系统、信号处理系统及附属设备），以及相关的基础设施（含地基建设及配套防雷、供电、通信等改造安装）。具体内容见后续采购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11,376,000.00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5"/>
        <w:gridCol w:w="1514"/>
        <w:gridCol w:w="2440"/>
        <w:gridCol w:w="445"/>
        <w:gridCol w:w="1015"/>
        <w:gridCol w:w="918"/>
        <w:gridCol w:w="1015"/>
        <w:gridCol w:w="7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7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探测中心(001040017)</w:t>
            </w:r>
          </w:p>
        </w:tc>
        <w:tc>
          <w:tcPr/>
          <w:p>
            <w:r>
              <w:t>相干多普勒测风激光雷达（远距型）</w:t>
            </w:r>
          </w:p>
        </w:tc>
        <w:tc>
          <w:tcPr/>
          <w:p>
            <w:r>
              <w:t>9</w:t>
            </w:r>
          </w:p>
        </w:tc>
        <w:tc>
          <w:tcPr/>
          <w:p>
            <w:r>
              <w:t>11376000.00</w:t>
            </w:r>
          </w:p>
        </w:tc>
        <w:tc>
          <w:tcPr/>
          <w:p>
            <w:r>
              <w:t xml:space="preserve">11376000.00  </w:t>
            </w:r>
          </w:p>
        </w:tc>
        <w:tc>
          <w:tcPr/>
          <w:p>
            <w:r>
              <w:t>甲方指定地点</w:t>
            </w:r>
          </w:p>
        </w:tc>
        <w:tc>
          <w:tcPr/>
          <w:p>
            <w:r>
              <w:t>苏明月 025-52698087</w:t>
            </w:r>
          </w:p>
        </w:tc>
      </w:tr>
    </w:tbl>
    <w:p w:rsidR="00A77B3E"/>
    <w:p w14:paraId="51954372">
      <w:pPr>
        <w:spacing w:line="360" w:lineRule="auto"/>
        <w:rPr>
          <w:rFonts w:ascii="宋体" w:hAnsi="宋体"/>
          <w:szCs w:val="21"/>
        </w:rPr>
      </w:pPr>
      <w:bookmarkEnd w:id="172"/>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0A4FCB">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0A4FCB">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0A4FC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测风激光雷达可实现对风场的高时空分辨率连续监测，提升数值模式对极端灾害性天气的预报精度。江苏</w:t>
      </w:r>
      <w:r>
        <w:rPr>
          <w:rFonts w:ascii="仿宋" w:eastAsia="仿宋" w:hAnsi="仿宋" w:cs="仿宋" w:hint="eastAsia"/>
          <w:sz w:val="28"/>
          <w:szCs w:val="20"/>
        </w:rPr>
        <w:t>将</w:t>
      </w:r>
      <w:r>
        <w:rPr>
          <w:rFonts w:ascii="仿宋" w:eastAsia="仿宋" w:hAnsi="仿宋" w:cs="仿宋" w:hint="eastAsia"/>
          <w:sz w:val="28"/>
          <w:szCs w:val="20"/>
        </w:rPr>
        <w:t>通过建设</w:t>
      </w:r>
      <w:r>
        <w:rPr>
          <w:rFonts w:ascii="仿宋" w:eastAsia="仿宋" w:hAnsi="仿宋" w:cs="仿宋" w:hint="eastAsia"/>
          <w:sz w:val="28"/>
          <w:szCs w:val="20"/>
        </w:rPr>
        <w:t>9</w:t>
      </w:r>
      <w:r>
        <w:rPr>
          <w:rFonts w:ascii="仿宋" w:eastAsia="仿宋" w:hAnsi="仿宋" w:cs="仿宋" w:hint="eastAsia"/>
          <w:sz w:val="28"/>
          <w:szCs w:val="20"/>
        </w:rPr>
        <w:t>部相干多普勒测风激光雷达</w:t>
      </w:r>
      <w:r>
        <w:rPr>
          <w:rFonts w:ascii="仿宋" w:eastAsia="仿宋" w:hAnsi="仿宋" w:cs="仿宋" w:hint="eastAsia"/>
          <w:sz w:val="28"/>
          <w:szCs w:val="20"/>
        </w:rPr>
        <w:t>(</w:t>
      </w:r>
      <w:r>
        <w:rPr>
          <w:rFonts w:ascii="仿宋" w:eastAsia="仿宋" w:hAnsi="仿宋" w:cs="仿宋" w:hint="eastAsia"/>
          <w:sz w:val="28"/>
          <w:szCs w:val="20"/>
        </w:rPr>
        <w:t>远距型</w:t>
      </w:r>
      <w:r>
        <w:rPr>
          <w:rFonts w:ascii="仿宋" w:eastAsia="仿宋" w:hAnsi="仿宋" w:cs="仿宋" w:hint="eastAsia"/>
          <w:sz w:val="28"/>
          <w:szCs w:val="20"/>
        </w:rPr>
        <w:t>)</w:t>
      </w:r>
      <w:r>
        <w:rPr>
          <w:rFonts w:ascii="仿宋" w:eastAsia="仿宋" w:hAnsi="仿宋" w:cs="仿宋" w:hint="eastAsia"/>
          <w:sz w:val="28"/>
          <w:szCs w:val="20"/>
        </w:rPr>
        <w:t>，可效获取高分辨率的风场数据</w:t>
      </w:r>
      <w:r>
        <w:rPr>
          <w:rFonts w:ascii="仿宋" w:eastAsia="仿宋" w:hAnsi="仿宋" w:cs="仿宋" w:hint="eastAsia"/>
          <w:sz w:val="28"/>
          <w:szCs w:val="20"/>
        </w:rPr>
        <w:t>(</w:t>
      </w:r>
      <w:r>
        <w:rPr>
          <w:rFonts w:ascii="仿宋" w:eastAsia="仿宋" w:hAnsi="仿宋" w:cs="仿宋" w:hint="eastAsia"/>
          <w:sz w:val="28"/>
          <w:szCs w:val="20"/>
        </w:rPr>
        <w:t>包括风速、风向、风切变等信息</w:t>
      </w:r>
      <w:r>
        <w:rPr>
          <w:rFonts w:ascii="仿宋" w:eastAsia="仿宋" w:hAnsi="仿宋" w:cs="仿宋" w:hint="eastAsia"/>
          <w:sz w:val="28"/>
          <w:szCs w:val="20"/>
        </w:rPr>
        <w:t>)</w:t>
      </w:r>
      <w:r>
        <w:rPr>
          <w:rFonts w:ascii="仿宋" w:eastAsia="仿宋" w:hAnsi="仿宋" w:cs="仿宋" w:hint="eastAsia"/>
          <w:sz w:val="28"/>
          <w:szCs w:val="20"/>
        </w:rPr>
        <w:t>，填补风场观测短板，提升风场的连续观测能力以及低空风场监测预</w:t>
      </w:r>
      <w:r>
        <w:rPr>
          <w:rFonts w:ascii="仿宋" w:eastAsia="仿宋" w:hAnsi="仿宋" w:cs="仿宋" w:hint="eastAsia"/>
          <w:sz w:val="28"/>
          <w:szCs w:val="20"/>
        </w:rPr>
        <w:t>警能力，解决现有探空站低空风场探测精度不足、垂直风廓线观测能力不足等问题，满足预报、服务等后续业务系统对探测数据的需求，助力</w:t>
      </w:r>
      <w:r>
        <w:rPr>
          <w:rFonts w:ascii="仿宋" w:eastAsia="仿宋" w:hAnsi="仿宋" w:cs="仿宋" w:hint="eastAsia"/>
          <w:sz w:val="28"/>
          <w:szCs w:val="20"/>
        </w:rPr>
        <w:t>低空经济</w:t>
      </w:r>
      <w:r>
        <w:rPr>
          <w:rFonts w:ascii="仿宋" w:eastAsia="仿宋" w:hAnsi="仿宋" w:cs="仿宋" w:hint="eastAsia"/>
          <w:sz w:val="28"/>
          <w:szCs w:val="20"/>
        </w:rPr>
        <w:t>气象保障试点，更好发挥气象防灾</w:t>
      </w:r>
      <w:r>
        <w:rPr>
          <w:rFonts w:ascii="仿宋" w:eastAsia="仿宋" w:hAnsi="仿宋" w:cs="仿宋" w:hint="eastAsia"/>
          <w:sz w:val="28"/>
          <w:szCs w:val="20"/>
        </w:rPr>
        <w:t>减灾第</w:t>
      </w:r>
      <w:r>
        <w:rPr>
          <w:rFonts w:ascii="仿宋" w:eastAsia="仿宋" w:hAnsi="仿宋" w:cs="仿宋" w:hint="eastAsia"/>
          <w:sz w:val="28"/>
          <w:szCs w:val="20"/>
        </w:rPr>
        <w:t>一道防线作用。</w:t>
      </w:r>
    </w:p>
    <w:p w:rsidR="000A4FCB">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1</w:t>
      </w:r>
      <w:r>
        <w:rPr>
          <w:rFonts w:ascii="Times New Roman" w:eastAsia="仿宋" w:hAnsi="Times New Roman" w:cs="Times New Roman" w:hint="eastAsia"/>
          <w:sz w:val="28"/>
          <w:szCs w:val="28"/>
        </w:rPr>
        <w:t>）供应商将所有设备运送到招标人指定地点（运输</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卸装</w:t>
      </w:r>
      <w:r>
        <w:rPr>
          <w:rFonts w:ascii="Times New Roman" w:eastAsia="仿宋" w:hAnsi="Times New Roman" w:cs="Times New Roman" w:hint="eastAsia"/>
          <w:sz w:val="28"/>
          <w:szCs w:val="28"/>
        </w:rPr>
        <w:t>相关费用由供应商负责），并负责安装调试。正式交付运行，且通过合同验收次日起质保期为</w:t>
      </w:r>
      <w:r>
        <w:rPr>
          <w:rFonts w:ascii="Times New Roman" w:eastAsia="仿宋" w:hAnsi="Times New Roman" w:cs="Times New Roman" w:hint="eastAsia"/>
          <w:sz w:val="28"/>
          <w:szCs w:val="28"/>
        </w:rPr>
        <w:t>8</w:t>
      </w:r>
      <w:r>
        <w:rPr>
          <w:rFonts w:ascii="Times New Roman" w:eastAsia="仿宋" w:hAnsi="Times New Roman" w:cs="Times New Roman" w:hint="eastAsia"/>
          <w:sz w:val="28"/>
          <w:szCs w:val="28"/>
        </w:rPr>
        <w:t>年</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。投标人对所有设备提供自验收合格后</w:t>
      </w:r>
      <w:r>
        <w:rPr>
          <w:rFonts w:ascii="Times New Roman" w:eastAsia="仿宋" w:hAnsi="Times New Roman" w:cs="Times New Roman" w:hint="eastAsia"/>
          <w:sz w:val="28"/>
          <w:szCs w:val="28"/>
        </w:rPr>
        <w:t>8</w:t>
      </w:r>
      <w:r>
        <w:rPr>
          <w:rFonts w:ascii="Times New Roman" w:eastAsia="仿宋" w:hAnsi="Times New Roman" w:cs="Times New Roman" w:hint="eastAsia"/>
          <w:sz w:val="28"/>
          <w:szCs w:val="28"/>
        </w:rPr>
        <w:t>年的免费维护维修服务</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，并提供相关承诺函。按照业务运行规范要求执行，确保设备可稳定运行，主要工作包括：周维护、月维护、</w:t>
      </w:r>
      <w:r>
        <w:rPr>
          <w:rFonts w:ascii="Times New Roman" w:eastAsia="仿宋" w:hAnsi="Times New Roman" w:cs="Times New Roman" w:hint="eastAsia"/>
          <w:sz w:val="28"/>
          <w:szCs w:val="28"/>
        </w:rPr>
        <w:t>年维护</w:t>
      </w:r>
      <w:r>
        <w:rPr>
          <w:rFonts w:ascii="Times New Roman" w:eastAsia="仿宋" w:hAnsi="Times New Roman" w:cs="Times New Roman" w:hint="eastAsia"/>
          <w:sz w:val="28"/>
          <w:szCs w:val="28"/>
        </w:rPr>
        <w:t>等工作，以及器件及系统故障的维修等。</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2</w:t>
      </w:r>
      <w:r>
        <w:rPr>
          <w:rFonts w:ascii="Times New Roman" w:eastAsia="仿宋" w:hAnsi="Times New Roman" w:cs="Times New Roman" w:hint="eastAsia"/>
          <w:sz w:val="28"/>
          <w:szCs w:val="28"/>
        </w:rPr>
        <w:t>）在质保期内，投标人服务时间应为</w:t>
      </w:r>
      <w:r>
        <w:rPr>
          <w:rFonts w:ascii="Times New Roman" w:eastAsia="仿宋" w:hAnsi="Times New Roman" w:cs="Times New Roman" w:hint="eastAsia"/>
          <w:sz w:val="28"/>
          <w:szCs w:val="28"/>
        </w:rPr>
        <w:t>7</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24</w:t>
      </w:r>
      <w:r>
        <w:rPr>
          <w:rFonts w:ascii="Times New Roman" w:eastAsia="仿宋" w:hAnsi="Times New Roman" w:cs="Times New Roman" w:hint="eastAsia"/>
          <w:sz w:val="28"/>
          <w:szCs w:val="28"/>
        </w:rPr>
        <w:t>小时，当投标产品或软件遭到损坏或出现故障时，要在用户报修之时起</w:t>
      </w:r>
      <w:r>
        <w:rPr>
          <w:rFonts w:ascii="Times New Roman" w:eastAsia="仿宋" w:hAnsi="Times New Roman" w:cs="Times New Roman" w:hint="eastAsia"/>
          <w:sz w:val="28"/>
          <w:szCs w:val="28"/>
        </w:rPr>
        <w:t>4</w:t>
      </w:r>
      <w:r>
        <w:rPr>
          <w:rFonts w:ascii="Times New Roman" w:eastAsia="仿宋" w:hAnsi="Times New Roman" w:cs="Times New Roman" w:hint="eastAsia"/>
          <w:sz w:val="28"/>
          <w:szCs w:val="28"/>
        </w:rPr>
        <w:t>小时内做出响应，并在</w:t>
      </w:r>
      <w:r>
        <w:rPr>
          <w:rFonts w:ascii="Times New Roman" w:eastAsia="仿宋" w:hAnsi="Times New Roman" w:cs="Times New Roman" w:hint="eastAsia"/>
          <w:sz w:val="28"/>
          <w:szCs w:val="28"/>
        </w:rPr>
        <w:t>48</w:t>
      </w:r>
      <w:r>
        <w:rPr>
          <w:rFonts w:ascii="Times New Roman" w:eastAsia="仿宋" w:hAnsi="Times New Roman" w:cs="Times New Roman" w:hint="eastAsia"/>
          <w:sz w:val="28"/>
          <w:szCs w:val="28"/>
        </w:rPr>
        <w:t>小时内到达现场，开展维修维护工作</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视情况双方协商设备恢复正常运行时限。</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3</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在质保期内，如用</w:t>
      </w:r>
      <w:r>
        <w:rPr>
          <w:rFonts w:ascii="Times New Roman" w:eastAsia="仿宋" w:hAnsi="Times New Roman" w:cs="Times New Roman" w:hint="eastAsia"/>
          <w:sz w:val="28"/>
          <w:szCs w:val="28"/>
        </w:rPr>
        <w:t>户提出设备自身的稳定性改进需求或更改控制协议接口升级的需求，投标人须在</w:t>
      </w:r>
      <w:r>
        <w:rPr>
          <w:rFonts w:ascii="Times New Roman" w:eastAsia="仿宋" w:hAnsi="Times New Roman" w:cs="Times New Roman" w:hint="eastAsia"/>
          <w:sz w:val="28"/>
          <w:szCs w:val="28"/>
        </w:rPr>
        <w:t>7</w:t>
      </w:r>
      <w:r>
        <w:rPr>
          <w:rFonts w:ascii="Times New Roman" w:eastAsia="仿宋" w:hAnsi="Times New Roman" w:cs="Times New Roman" w:hint="eastAsia"/>
          <w:sz w:val="28"/>
          <w:szCs w:val="28"/>
        </w:rPr>
        <w:t>日内予以响应，并在</w:t>
      </w:r>
      <w:r>
        <w:rPr>
          <w:rFonts w:ascii="Times New Roman" w:eastAsia="仿宋" w:hAnsi="Times New Roman" w:cs="Times New Roman" w:hint="eastAsia"/>
          <w:sz w:val="28"/>
          <w:szCs w:val="28"/>
        </w:rPr>
        <w:t>15</w:t>
      </w:r>
      <w:r>
        <w:rPr>
          <w:rFonts w:ascii="Times New Roman" w:eastAsia="仿宋" w:hAnsi="Times New Roman" w:cs="Times New Roman" w:hint="eastAsia"/>
          <w:sz w:val="28"/>
          <w:szCs w:val="28"/>
        </w:rPr>
        <w:t>日内完成设备版本升级，配合联调，直至系统稳定运行。</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4</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维保包括</w:t>
      </w:r>
      <w:r>
        <w:rPr>
          <w:rFonts w:ascii="Times New Roman" w:eastAsia="仿宋" w:hAnsi="Times New Roman" w:cs="Times New Roman" w:hint="eastAsia"/>
          <w:sz w:val="28"/>
          <w:szCs w:val="28"/>
        </w:rPr>
        <w:t>设备维护维修及附属设备维护维修，保证每</w:t>
      </w:r>
      <w:r>
        <w:rPr>
          <w:rFonts w:ascii="Times New Roman" w:eastAsia="仿宋" w:hAnsi="Times New Roman" w:cs="Times New Roman" w:hint="eastAsia"/>
          <w:sz w:val="28"/>
          <w:szCs w:val="28"/>
        </w:rPr>
        <w:t>季度</w:t>
      </w:r>
      <w:r>
        <w:rPr>
          <w:rFonts w:ascii="Times New Roman" w:eastAsia="仿宋" w:hAnsi="Times New Roman" w:cs="Times New Roman" w:hint="eastAsia"/>
          <w:sz w:val="28"/>
          <w:szCs w:val="28"/>
        </w:rPr>
        <w:t>至少</w:t>
      </w:r>
      <w:r>
        <w:rPr>
          <w:rFonts w:ascii="Times New Roman" w:eastAsia="仿宋" w:hAnsi="Times New Roman" w:cs="Times New Roman" w:hint="eastAsia"/>
          <w:sz w:val="28"/>
          <w:szCs w:val="28"/>
        </w:rPr>
        <w:t>1</w:t>
      </w:r>
      <w:r>
        <w:rPr>
          <w:rFonts w:ascii="Times New Roman" w:eastAsia="仿宋" w:hAnsi="Times New Roman" w:cs="Times New Roman" w:hint="eastAsia"/>
          <w:sz w:val="28"/>
          <w:szCs w:val="28"/>
        </w:rPr>
        <w:t>次的现场巡检和</w:t>
      </w:r>
      <w:r>
        <w:rPr>
          <w:rFonts w:ascii="Times New Roman" w:eastAsia="仿宋" w:hAnsi="Times New Roman" w:cs="Times New Roman" w:hint="eastAsia"/>
          <w:sz w:val="28"/>
          <w:szCs w:val="28"/>
        </w:rPr>
        <w:t>4</w:t>
      </w:r>
      <w:r>
        <w:rPr>
          <w:rFonts w:ascii="Times New Roman" w:eastAsia="仿宋" w:hAnsi="Times New Roman" w:cs="Times New Roman" w:hint="eastAsia"/>
          <w:sz w:val="28"/>
          <w:szCs w:val="28"/>
        </w:rPr>
        <w:t>次远程维护检查，</w:t>
      </w:r>
      <w:r>
        <w:rPr>
          <w:rFonts w:ascii="Times New Roman" w:eastAsia="仿宋" w:hAnsi="Times New Roman" w:cs="Times New Roman" w:hint="eastAsia"/>
          <w:sz w:val="28"/>
          <w:szCs w:val="28"/>
        </w:rPr>
        <w:t>并</w:t>
      </w:r>
      <w:r>
        <w:rPr>
          <w:rFonts w:ascii="Times New Roman" w:eastAsia="仿宋" w:hAnsi="Times New Roman" w:cs="Times New Roman" w:hint="eastAsia"/>
          <w:sz w:val="28"/>
          <w:szCs w:val="28"/>
        </w:rPr>
        <w:t>提交巡检报告、</w:t>
      </w:r>
      <w:r>
        <w:rPr>
          <w:rFonts w:ascii="Times New Roman" w:eastAsia="仿宋" w:hAnsi="Times New Roman" w:cs="Times New Roman" w:hint="eastAsia"/>
          <w:sz w:val="28"/>
          <w:szCs w:val="28"/>
        </w:rPr>
        <w:t>维护</w:t>
      </w:r>
      <w:r>
        <w:rPr>
          <w:rFonts w:ascii="Times New Roman" w:eastAsia="仿宋" w:hAnsi="Times New Roman" w:cs="Times New Roman" w:hint="eastAsia"/>
          <w:sz w:val="28"/>
          <w:szCs w:val="28"/>
        </w:rPr>
        <w:t>总结。设备发生故障时在业务规定时间内完成维修、维护保障或更换组件，</w:t>
      </w:r>
      <w:r>
        <w:rPr>
          <w:rFonts w:ascii="Times New Roman" w:eastAsia="仿宋" w:hAnsi="Times New Roman" w:cs="Times New Roman" w:hint="eastAsia"/>
          <w:sz w:val="28"/>
          <w:szCs w:val="28"/>
        </w:rPr>
        <w:t>维保可</w:t>
      </w:r>
      <w:r>
        <w:rPr>
          <w:rFonts w:ascii="Times New Roman" w:eastAsia="仿宋" w:hAnsi="Times New Roman" w:cs="Times New Roman" w:hint="eastAsia"/>
          <w:sz w:val="28"/>
          <w:szCs w:val="28"/>
        </w:rPr>
        <w:t>采用设备招投标、技术服务采购等方式保证维保质量。</w:t>
      </w:r>
      <w:r>
        <w:rPr>
          <w:rFonts w:ascii="Times New Roman" w:eastAsia="仿宋" w:hAnsi="Times New Roman" w:cs="Times New Roman" w:hint="eastAsia"/>
          <w:sz w:val="28"/>
          <w:szCs w:val="28"/>
        </w:rPr>
        <w:t>接到设备故障通知后，乙方需立刻响应，定位故障具体问题，一般故障须在</w:t>
      </w:r>
      <w:r>
        <w:rPr>
          <w:rFonts w:ascii="Times New Roman" w:eastAsia="仿宋" w:hAnsi="Times New Roman" w:cs="Times New Roman" w:hint="eastAsia"/>
          <w:sz w:val="28"/>
          <w:szCs w:val="28"/>
        </w:rPr>
        <w:t>24</w:t>
      </w:r>
      <w:r>
        <w:rPr>
          <w:rFonts w:ascii="Times New Roman" w:eastAsia="仿宋" w:hAnsi="Times New Roman" w:cs="Times New Roman" w:hint="eastAsia"/>
          <w:sz w:val="28"/>
          <w:szCs w:val="28"/>
        </w:rPr>
        <w:t>小时内解决，重大故障须在</w:t>
      </w:r>
      <w:r>
        <w:rPr>
          <w:rFonts w:ascii="Times New Roman" w:eastAsia="仿宋" w:hAnsi="Times New Roman" w:cs="Times New Roman" w:hint="eastAsia"/>
          <w:sz w:val="28"/>
          <w:szCs w:val="28"/>
        </w:rPr>
        <w:t>48</w:t>
      </w:r>
      <w:r>
        <w:rPr>
          <w:rFonts w:ascii="Times New Roman" w:eastAsia="仿宋" w:hAnsi="Times New Roman" w:cs="Times New Roman" w:hint="eastAsia"/>
          <w:sz w:val="28"/>
          <w:szCs w:val="28"/>
        </w:rPr>
        <w:t>小时之内解决；如未能修复，必须告知</w:t>
      </w:r>
      <w:r>
        <w:rPr>
          <w:rFonts w:ascii="Times New Roman" w:eastAsia="仿宋" w:hAnsi="Times New Roman" w:cs="Times New Roman" w:hint="eastAsia"/>
          <w:sz w:val="28"/>
          <w:szCs w:val="28"/>
        </w:rPr>
        <w:t>甲方，如遇不可抗力的情况时，电话与甲方沟通，尽全力保障设备正常工作。若无理由超出规定时限，无法恢复观测数据，该次故障维修产生的包括备件费、服务费、差旅费等相关费用将向中标供应商所提供的预付款保函机构申请支付，用于购买第三方服务。</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5</w:t>
      </w:r>
      <w:r>
        <w:rPr>
          <w:rFonts w:ascii="Times New Roman" w:eastAsia="仿宋" w:hAnsi="Times New Roman" w:cs="Times New Roman" w:hint="eastAsia"/>
          <w:sz w:val="28"/>
          <w:szCs w:val="28"/>
        </w:rPr>
        <w:t>）所有的备件由乙方提供，备件必须使用原厂同等技术指标的产品，设备必须在检定有效期内；一旦无法维修时，应有替代解决措施；为了保证服务质量，须在公司内部备份整机一套，用于特殊情况及时更换，进而提高观测数据完整性和正确率，且该备份机需提供具体序列号，并具备相应的核查机制，定期接受甲方</w:t>
      </w:r>
      <w:r>
        <w:rPr>
          <w:rFonts w:ascii="Times New Roman" w:eastAsia="仿宋" w:hAnsi="Times New Roman" w:cs="Times New Roman" w:hint="eastAsia"/>
          <w:sz w:val="28"/>
          <w:szCs w:val="28"/>
        </w:rPr>
        <w:t>的检查。</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6</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质保期外，</w:t>
      </w:r>
      <w:r>
        <w:rPr>
          <w:rFonts w:ascii="Times New Roman" w:eastAsia="仿宋" w:hAnsi="Times New Roman" w:cs="Times New Roman" w:hint="eastAsia"/>
          <w:sz w:val="28"/>
          <w:szCs w:val="28"/>
        </w:rPr>
        <w:t>24</w:t>
      </w:r>
      <w:r>
        <w:rPr>
          <w:rFonts w:ascii="Times New Roman" w:eastAsia="仿宋" w:hAnsi="Times New Roman" w:cs="Times New Roman" w:hint="eastAsia"/>
          <w:sz w:val="28"/>
          <w:szCs w:val="28"/>
        </w:rPr>
        <w:t>小时内提供备品备件，用于产品的维修保障。</w:t>
      </w:r>
    </w:p>
    <w:p w:rsidR="000A4FCB">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F71786" w:rsidP="00F71786">
      <w:pPr>
        <w:pStyle w:val="NormalWeb"/>
        <w:spacing w:before="0" w:beforeAutospacing="0" w:after="0" w:afterAutospacing="0"/>
        <w:ind w:firstLine="560"/>
        <w:jc w:val="both"/>
        <w:rPr>
          <w:rFonts w:ascii="Calibri" w:hAnsi="Calibri"/>
          <w:color w:val="333333"/>
          <w:sz w:val="21"/>
          <w:szCs w:val="21"/>
        </w:rPr>
      </w:pPr>
      <w:r>
        <w:rPr>
          <w:rFonts w:ascii="仿宋" w:eastAsia="仿宋" w:hAnsi="仿宋" w:hint="eastAsia"/>
          <w:color w:val="333333"/>
          <w:sz w:val="28"/>
          <w:szCs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培训讲师具有中级以上职称或从事该设备技术工作至少2年</w:t>
      </w:r>
      <w:r>
        <w:rPr>
          <w:rFonts w:ascii="仿宋" w:eastAsia="仿宋" w:hAnsi="仿宋" w:hint="eastAsia"/>
          <w:color w:val="333333"/>
          <w:sz w:val="28"/>
          <w:szCs w:val="28"/>
        </w:rPr>
        <w:t>。</w:t>
      </w:r>
    </w:p>
    <w:p w:rsidR="00F71786" w:rsidP="00F71786">
      <w:pPr>
        <w:pStyle w:val="NormalWeb"/>
        <w:spacing w:before="0" w:beforeAutospacing="0" w:after="0" w:afterAutospacing="0"/>
        <w:ind w:firstLine="560"/>
        <w:jc w:val="both"/>
        <w:rPr>
          <w:rFonts w:ascii="Calibri" w:hAnsi="Calibri"/>
          <w:color w:val="333333"/>
          <w:sz w:val="21"/>
          <w:szCs w:val="21"/>
        </w:rPr>
      </w:pPr>
      <w:r>
        <w:rPr>
          <w:rFonts w:ascii="仿宋" w:eastAsia="仿宋" w:hAnsi="仿宋" w:hint="eastAsia"/>
          <w:color w:val="333333"/>
          <w:sz w:val="28"/>
          <w:szCs w:val="28"/>
        </w:rPr>
        <w:t>设备供应商对每套投标产品提供至少2次技术培训，累计培训9课时以上，累计培训人数20人次以上。培训内容包括设备安装、使用、日常维护、观测原理及产品应用，培训时间及地点双方协商确定。</w:t>
      </w:r>
    </w:p>
    <w:p w:rsidR="000A4FCB">
      <w:pPr>
        <w:numPr>
          <w:ilvl w:val="0"/>
          <w:numId w:val="4"/>
        </w:numPr>
        <w:adjustRightInd w:val="0"/>
        <w:snapToGrid w:val="0"/>
        <w:spacing w:line="360" w:lineRule="auto"/>
        <w:ind w:firstLine="560" w:firstLineChars="200"/>
        <w:rPr>
          <w:rFonts w:ascii="Times New Roman" w:eastAsia="仿宋" w:hAnsi="Times New Roman" w:cs="Times New Roman"/>
          <w:b/>
          <w:bCs/>
          <w:sz w:val="28"/>
          <w:szCs w:val="28"/>
        </w:rPr>
      </w:pPr>
      <w:r>
        <w:rPr>
          <w:rFonts w:ascii="Times New Roman" w:eastAsia="仿宋" w:hAnsi="Times New Roman" w:cs="Times New Roman" w:hint="eastAsia"/>
          <w:b/>
          <w:bCs/>
          <w:sz w:val="28"/>
          <w:szCs w:val="28"/>
        </w:rPr>
        <w:t>验收要求</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按照《</w:t>
      </w:r>
      <w:bookmarkStart w:id="173" w:name="OLE_LINK2_0"/>
      <w:r>
        <w:rPr>
          <w:rFonts w:ascii="Times New Roman" w:eastAsia="仿宋" w:hAnsi="Times New Roman" w:cs="Times New Roman" w:hint="eastAsia"/>
          <w:sz w:val="28"/>
          <w:szCs w:val="28"/>
        </w:rPr>
        <w:t>相干多普勒测风</w:t>
      </w:r>
      <w:bookmarkEnd w:id="173"/>
      <w:r>
        <w:rPr>
          <w:rFonts w:ascii="Times New Roman" w:eastAsia="仿宋" w:hAnsi="Times New Roman" w:cs="Times New Roman" w:hint="eastAsia"/>
          <w:sz w:val="28"/>
          <w:szCs w:val="28"/>
        </w:rPr>
        <w:t>激光雷达功能需求书》（</w:t>
      </w:r>
      <w:r>
        <w:rPr>
          <w:rFonts w:ascii="Times New Roman" w:eastAsia="仿宋" w:hAnsi="Times New Roman" w:cs="Times New Roman" w:hint="eastAsia"/>
          <w:sz w:val="28"/>
          <w:szCs w:val="28"/>
        </w:rPr>
        <w:t>气测函〔</w:t>
      </w:r>
      <w:r>
        <w:rPr>
          <w:rFonts w:ascii="Times New Roman" w:eastAsia="仿宋" w:hAnsi="Times New Roman" w:cs="Times New Roman" w:hint="eastAsia"/>
          <w:sz w:val="28"/>
          <w:szCs w:val="28"/>
        </w:rPr>
        <w:t>2023</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14</w:t>
      </w:r>
      <w:r>
        <w:rPr>
          <w:rFonts w:ascii="Times New Roman" w:eastAsia="仿宋" w:hAnsi="Times New Roman" w:cs="Times New Roman" w:hint="eastAsia"/>
          <w:sz w:val="28"/>
          <w:szCs w:val="28"/>
        </w:rPr>
        <w:t>号）、《相干多普勒测风激光雷达测试大纲》（</w:t>
      </w:r>
      <w:r>
        <w:rPr>
          <w:rFonts w:ascii="Times New Roman" w:eastAsia="仿宋" w:hAnsi="Times New Roman" w:cs="Times New Roman" w:hint="eastAsia"/>
          <w:sz w:val="28"/>
          <w:szCs w:val="28"/>
        </w:rPr>
        <w:t>气测函〔</w:t>
      </w:r>
      <w:r>
        <w:rPr>
          <w:rFonts w:ascii="Times New Roman" w:eastAsia="仿宋" w:hAnsi="Times New Roman" w:cs="Times New Roman" w:hint="eastAsia"/>
          <w:sz w:val="28"/>
          <w:szCs w:val="28"/>
        </w:rPr>
        <w:t>2023</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49</w:t>
      </w:r>
      <w:r>
        <w:rPr>
          <w:rFonts w:ascii="Times New Roman" w:eastAsia="仿宋" w:hAnsi="Times New Roman" w:cs="Times New Roman" w:hint="eastAsia"/>
          <w:sz w:val="28"/>
          <w:szCs w:val="28"/>
        </w:rPr>
        <w:t>号）和《“十四五”期间综合观测类工程项目新上设备验收技术指南</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极端灾害性天气短临预警能力提升工程分册》（</w:t>
      </w:r>
      <w:r>
        <w:rPr>
          <w:rFonts w:ascii="Times New Roman" w:eastAsia="仿宋" w:hAnsi="Times New Roman" w:cs="Times New Roman" w:hint="eastAsia"/>
          <w:sz w:val="28"/>
          <w:szCs w:val="28"/>
        </w:rPr>
        <w:t>气测函〔</w:t>
      </w:r>
      <w:r>
        <w:rPr>
          <w:rFonts w:ascii="Times New Roman" w:eastAsia="仿宋" w:hAnsi="Times New Roman" w:cs="Times New Roman" w:hint="eastAsia"/>
          <w:sz w:val="28"/>
          <w:szCs w:val="28"/>
        </w:rPr>
        <w:t>2026</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56</w:t>
      </w:r>
      <w:r>
        <w:rPr>
          <w:rFonts w:ascii="Times New Roman" w:eastAsia="仿宋" w:hAnsi="Times New Roman" w:cs="Times New Roman" w:hint="eastAsia"/>
          <w:sz w:val="28"/>
          <w:szCs w:val="28"/>
        </w:rPr>
        <w:t>号）以及中国气象局最新业务管理规定等有关文件要求开展检验考核。</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出厂测试阶段</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投标人</w:t>
      </w:r>
      <w:r>
        <w:rPr>
          <w:rFonts w:ascii="Times New Roman" w:eastAsia="仿宋" w:hAnsi="Times New Roman" w:cs="Times New Roman" w:hint="eastAsia"/>
          <w:sz w:val="28"/>
          <w:szCs w:val="28"/>
        </w:rPr>
        <w:t>在所供相干测风激光雷达（远距型）的工控机上，完成</w:t>
      </w:r>
      <w:r>
        <w:rPr>
          <w:rFonts w:ascii="Times New Roman" w:eastAsia="仿宋" w:hAnsi="Times New Roman" w:cs="Times New Roman" w:hint="eastAsia"/>
          <w:sz w:val="28"/>
          <w:szCs w:val="28"/>
        </w:rPr>
        <w:t>采购</w:t>
      </w:r>
      <w:r>
        <w:rPr>
          <w:rFonts w:ascii="Times New Roman" w:eastAsia="仿宋" w:hAnsi="Times New Roman" w:cs="Times New Roman" w:hint="eastAsia"/>
          <w:sz w:val="28"/>
          <w:szCs w:val="28"/>
        </w:rPr>
        <w:t>人指定显示与控制终端软件的安装与部署，</w:t>
      </w:r>
      <w:r>
        <w:rPr>
          <w:rFonts w:ascii="Times New Roman" w:eastAsia="仿宋" w:hAnsi="Times New Roman" w:cs="Times New Roman" w:hint="eastAsia"/>
          <w:sz w:val="28"/>
          <w:szCs w:val="28"/>
        </w:rPr>
        <w:t>及</w:t>
      </w:r>
      <w:r>
        <w:rPr>
          <w:rFonts w:ascii="Times New Roman" w:eastAsia="仿宋" w:hAnsi="Times New Roman" w:cs="Times New Roman" w:hint="eastAsia"/>
          <w:sz w:val="28"/>
          <w:szCs w:val="28"/>
        </w:rPr>
        <w:t>软硬件接口协议联调，联调后系统连续稳定运行不少于</w:t>
      </w:r>
      <w:r>
        <w:rPr>
          <w:rFonts w:ascii="Times New Roman" w:eastAsia="仿宋" w:hAnsi="Times New Roman" w:cs="Times New Roman" w:hint="eastAsia"/>
          <w:sz w:val="28"/>
          <w:szCs w:val="28"/>
        </w:rPr>
        <w:t>7</w:t>
      </w:r>
      <w:r>
        <w:rPr>
          <w:rFonts w:ascii="Times New Roman" w:eastAsia="仿宋" w:hAnsi="Times New Roman" w:cs="Times New Roman" w:hint="eastAsia"/>
          <w:sz w:val="28"/>
          <w:szCs w:val="28"/>
        </w:rPr>
        <w:t>天</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方可提交出厂测试申请</w:t>
      </w:r>
      <w:r>
        <w:rPr>
          <w:rFonts w:ascii="Times New Roman" w:eastAsia="仿宋" w:hAnsi="Times New Roman" w:cs="Times New Roman" w:hint="eastAsia"/>
          <w:sz w:val="28"/>
          <w:szCs w:val="28"/>
        </w:rPr>
        <w:t>。</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现场测试阶段：</w:t>
      </w:r>
      <w:r>
        <w:rPr>
          <w:rFonts w:ascii="Times New Roman" w:eastAsia="仿宋" w:hAnsi="Times New Roman" w:cs="Times New Roman" w:hint="eastAsia"/>
          <w:sz w:val="28"/>
          <w:szCs w:val="28"/>
        </w:rPr>
        <w:t>设备运抵现场后，投标人须根据现场环境的物理安装及网络连接要求，完成相干测风激光雷达（远距型）的安装，并与招标人指定的显示与控制终端软件进行联调确认，确保系统稳定运行、完整实现数据文件、状态文件及控制协议等全部约定功能，同时按招标人要求将观测数据接入现有气象数据平台</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并能正常运行显示后方可提交现场测试申请。</w:t>
      </w:r>
    </w:p>
    <w:p w:rsidR="000A4FCB">
      <w:pPr>
        <w:ind w:firstLine="560" w:firstLineChars="200"/>
        <w:rPr>
          <w:rFonts w:ascii="仿宋" w:eastAsia="仿宋" w:hAnsi="仿宋" w:cs="仿宋"/>
          <w:b/>
          <w:bCs/>
          <w:sz w:val="28"/>
          <w:szCs w:val="20"/>
        </w:rPr>
      </w:pPr>
      <w:r>
        <w:rPr>
          <w:rFonts w:ascii="仿宋" w:eastAsia="仿宋" w:hAnsi="仿宋" w:cs="仿宋" w:hint="eastAsia"/>
          <w:b/>
          <w:bCs/>
          <w:sz w:val="28"/>
          <w:szCs w:val="20"/>
        </w:rPr>
        <w:t>五</w:t>
      </w:r>
      <w:r>
        <w:rPr>
          <w:rFonts w:ascii="仿宋" w:eastAsia="仿宋" w:hAnsi="仿宋" w:cs="仿宋" w:hint="eastAsia"/>
          <w:b/>
          <w:bCs/>
          <w:sz w:val="28"/>
          <w:szCs w:val="20"/>
        </w:rPr>
        <w:t>、交货要求及履约地点</w:t>
      </w:r>
    </w:p>
    <w:p w:rsidR="000A4FCB">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rPr>
        <w:t>甲方指定</w:t>
      </w:r>
      <w:r>
        <w:rPr>
          <w:rFonts w:ascii="仿宋" w:eastAsia="仿宋" w:hAnsi="仿宋" w:cs="仿宋" w:hint="eastAsia"/>
          <w:sz w:val="28"/>
          <w:szCs w:val="20"/>
        </w:rPr>
        <w:t>地点（运输相关</w:t>
      </w:r>
      <w:r>
        <w:rPr>
          <w:rFonts w:ascii="仿宋" w:eastAsia="仿宋" w:hAnsi="仿宋" w:cs="仿宋" w:hint="eastAsia"/>
          <w:sz w:val="28"/>
          <w:szCs w:val="20"/>
        </w:rPr>
        <w:t>费用由供应商负责），并负责安装调试。</w:t>
      </w:r>
    </w:p>
    <w:p w:rsidR="000A4FCB">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45</w:t>
      </w:r>
      <w:r>
        <w:rPr>
          <w:rFonts w:ascii="仿宋" w:eastAsia="仿宋" w:hAnsi="仿宋" w:cs="仿宋" w:hint="eastAsia"/>
          <w:sz w:val="28"/>
          <w:szCs w:val="20"/>
        </w:rPr>
        <w:t>天内</w:t>
      </w:r>
      <w:r>
        <w:rPr>
          <w:rFonts w:ascii="仿宋" w:eastAsia="仿宋" w:hAnsi="仿宋" w:cs="仿宋" w:hint="eastAsia"/>
          <w:sz w:val="28"/>
          <w:szCs w:val="20"/>
        </w:rPr>
        <w:t>交货，</w:t>
      </w:r>
      <w:r>
        <w:rPr>
          <w:rFonts w:ascii="仿宋" w:eastAsia="仿宋" w:hAnsi="仿宋" w:cs="仿宋" w:hint="eastAsia"/>
          <w:sz w:val="28"/>
          <w:szCs w:val="20"/>
        </w:rPr>
        <w:t>55</w:t>
      </w:r>
      <w:r>
        <w:rPr>
          <w:rFonts w:ascii="仿宋" w:eastAsia="仿宋" w:hAnsi="仿宋" w:cs="仿宋" w:hint="eastAsia"/>
          <w:sz w:val="28"/>
          <w:szCs w:val="20"/>
        </w:rPr>
        <w:t>天内完成</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六</w:t>
      </w:r>
      <w:r>
        <w:rPr>
          <w:rFonts w:ascii="仿宋" w:eastAsia="仿宋" w:hAnsi="仿宋" w:cs="仿宋" w:hint="eastAsia"/>
          <w:b/>
          <w:bCs/>
          <w:sz w:val="28"/>
          <w:szCs w:val="20"/>
        </w:rPr>
        <w:t>、服务团队要求</w:t>
      </w:r>
    </w:p>
    <w:p w:rsidR="000A4FC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0A4FCB">
      <w:pPr>
        <w:ind w:firstLine="560" w:firstLineChars="200"/>
        <w:rPr>
          <w:rFonts w:ascii="仿宋" w:eastAsia="仿宋" w:hAnsi="仿宋" w:cs="仿宋"/>
          <w:sz w:val="28"/>
          <w:szCs w:val="20"/>
        </w:rPr>
      </w:pPr>
      <w:r>
        <w:rPr>
          <w:rFonts w:ascii="仿宋" w:eastAsia="仿宋" w:hAnsi="仿宋" w:cs="仿宋" w:hint="eastAsia"/>
          <w:b/>
          <w:bCs/>
          <w:sz w:val="28"/>
          <w:szCs w:val="20"/>
        </w:rPr>
        <w:t>七</w:t>
      </w:r>
      <w:r>
        <w:rPr>
          <w:rFonts w:ascii="仿宋" w:eastAsia="仿宋" w:hAnsi="仿宋" w:cs="仿宋" w:hint="eastAsia"/>
          <w:b/>
          <w:bCs/>
          <w:sz w:val="28"/>
          <w:szCs w:val="20"/>
        </w:rPr>
        <w:t>、其他</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1</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投标产品应具备协同</w:t>
      </w:r>
      <w:r>
        <w:rPr>
          <w:rFonts w:ascii="Times New Roman" w:eastAsia="仿宋" w:hAnsi="Times New Roman" w:cs="Times New Roman" w:hint="eastAsia"/>
          <w:sz w:val="28"/>
          <w:szCs w:val="28"/>
        </w:rPr>
        <w:t>组网控制功能</w:t>
      </w: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并</w:t>
      </w:r>
      <w:r>
        <w:rPr>
          <w:rFonts w:ascii="Times New Roman" w:eastAsia="仿宋" w:hAnsi="Times New Roman" w:cs="Times New Roman" w:hint="eastAsia"/>
          <w:sz w:val="28"/>
          <w:szCs w:val="28"/>
        </w:rPr>
        <w:t>能提供雷达协同组网技术方案，能够与采购人</w:t>
      </w:r>
      <w:r>
        <w:rPr>
          <w:rFonts w:ascii="Times New Roman" w:eastAsia="仿宋" w:hAnsi="Times New Roman" w:cs="Times New Roman" w:hint="eastAsia"/>
          <w:sz w:val="28"/>
          <w:szCs w:val="28"/>
        </w:rPr>
        <w:t>已建测风激光雷达</w:t>
      </w:r>
      <w:r>
        <w:rPr>
          <w:rFonts w:ascii="Times New Roman" w:eastAsia="仿宋" w:hAnsi="Times New Roman" w:cs="Times New Roman" w:hint="eastAsia"/>
          <w:sz w:val="28"/>
          <w:szCs w:val="28"/>
        </w:rPr>
        <w:t>有效结合。</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2</w:t>
      </w:r>
      <w:r>
        <w:rPr>
          <w:rFonts w:ascii="Times New Roman" w:eastAsia="仿宋" w:hAnsi="Times New Roman" w:cs="Times New Roman" w:hint="eastAsia"/>
          <w:sz w:val="28"/>
          <w:szCs w:val="28"/>
        </w:rPr>
        <w:t>）投标供应商须提供整套相干多普勒测风激光雷达（远距型）的备件清单，整套相干多普勒测风激光雷达（远距型）备件清单总报价不得高于单套设备中标价（不含建设安装费，单套建设安装费以不低于一万四千元扣除）。</w:t>
      </w:r>
    </w:p>
    <w:p w:rsidR="000A4FCB">
      <w:pPr>
        <w:adjustRightInd w:val="0"/>
        <w:snapToGrid w:val="0"/>
        <w:spacing w:line="360" w:lineRule="auto"/>
        <w:ind w:firstLine="560" w:firstLineChars="200"/>
        <w:rPr>
          <w:rFonts w:ascii="Times New Roman" w:eastAsia="仿宋" w:hAnsi="Times New Roman" w:cs="Times New Roman"/>
          <w:sz w:val="28"/>
          <w:szCs w:val="28"/>
        </w:rPr>
      </w:pPr>
      <w:r>
        <w:rPr>
          <w:rFonts w:ascii="Times New Roman" w:eastAsia="仿宋" w:hAnsi="Times New Roman" w:cs="Times New Roman" w:hint="eastAsia"/>
          <w:sz w:val="28"/>
          <w:szCs w:val="28"/>
        </w:rPr>
        <w:t>（</w:t>
      </w:r>
      <w:r>
        <w:rPr>
          <w:rFonts w:ascii="Times New Roman" w:eastAsia="仿宋" w:hAnsi="Times New Roman" w:cs="Times New Roman" w:hint="eastAsia"/>
          <w:sz w:val="28"/>
          <w:szCs w:val="28"/>
        </w:rPr>
        <w:t>3</w:t>
      </w:r>
      <w:r>
        <w:rPr>
          <w:rFonts w:ascii="Times New Roman" w:eastAsia="仿宋" w:hAnsi="Times New Roman" w:cs="Times New Roman" w:hint="eastAsia"/>
          <w:sz w:val="28"/>
          <w:szCs w:val="28"/>
        </w:rPr>
        <w:t>）工控机操作系统须适配实际业务需求，乙方须配合甲方进行更新升级。</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08"/>
          <w:docGrid w:type="linesAndChars" w:linePitch="312" w:charSpace="0"/>
        </w:sectPr>
      </w:pPr>
      <w:bookmarkEnd w:id="59"/>
    </w:p>
    <w:p>
      <w:pPr>
        <w:tabs>
          <w:tab w:val="left" w:pos="1573"/>
        </w:tabs>
        <w:adjustRightInd w:val="0"/>
        <w:snapToGrid w:val="0"/>
        <w:spacing w:line="360" w:lineRule="auto"/>
        <w:jc w:val="center"/>
        <w:outlineLvl w:val="1"/>
        <w:rPr>
          <w:b/>
          <w:bCs/>
          <w:sz w:val="30"/>
          <w:szCs w:val="30"/>
          <w:highlight w:val="none"/>
        </w:rPr>
      </w:pPr>
      <w:bookmarkStart w:id="174"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noWrap w:val="0"/>
            <w:vAlign w:val="top"/>
          </w:tcPr>
          <w:p>
            <w:pPr>
              <w:tabs>
                <w:tab w:val="left" w:pos="709"/>
              </w:tabs>
              <w:spacing w:line="360" w:lineRule="auto"/>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以下产品需要提供至投标截止日仍有效的《气象专用技术装备使用许可证》：</w:t>
            </w:r>
          </w:p>
          <w:p>
            <w:pPr>
              <w:tabs>
                <w:tab w:val="left" w:pos="709"/>
              </w:tabs>
              <w:spacing w:line="360" w:lineRule="auto"/>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第一包：相干多普勒测风激光雷达（远距型）；</w:t>
            </w:r>
          </w:p>
          <w:p>
            <w:pPr>
              <w:tabs>
                <w:tab w:val="left" w:pos="709"/>
              </w:tabs>
              <w:spacing w:line="360" w:lineRule="auto"/>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第二包：集成式交通气象监测仪；</w:t>
            </w:r>
          </w:p>
          <w:p>
            <w:pPr>
              <w:tabs>
                <w:tab w:val="left" w:pos="709"/>
              </w:tabs>
              <w:spacing w:line="360" w:lineRule="auto"/>
              <w:jc w:val="left"/>
              <w:rPr>
                <w:rFonts w:ascii="宋体" w:hAnsi="宋体" w:cs="微软雅黑" w:hint="eastAsia"/>
                <w:b/>
                <w:color w:val="0000FF"/>
                <w:kern w:val="0"/>
                <w:sz w:val="18"/>
                <w:szCs w:val="18"/>
                <w:highlight w:val="none"/>
              </w:rPr>
            </w:pPr>
            <w:r>
              <w:rPr>
                <w:rFonts w:asciiTheme="minorEastAsia" w:eastAsiaTheme="minorEastAsia" w:hAnsiTheme="minorEastAsia" w:cstheme="minorEastAsia" w:hint="eastAsia"/>
                <w:kern w:val="0"/>
                <w:szCs w:val="21"/>
              </w:rPr>
              <w:t>第</w:t>
            </w:r>
            <w:r>
              <w:rPr>
                <w:rFonts w:asciiTheme="minorEastAsia" w:eastAsiaTheme="minorEastAsia" w:hAnsiTheme="minorEastAsia" w:cstheme="minorEastAsia" w:hint="eastAsia"/>
                <w:kern w:val="0"/>
                <w:szCs w:val="21"/>
                <w:lang w:eastAsia="zh-CN"/>
              </w:rPr>
              <w:t>三</w:t>
            </w:r>
            <w:r>
              <w:rPr>
                <w:rFonts w:asciiTheme="minorEastAsia" w:eastAsiaTheme="minorEastAsia" w:hAnsiTheme="minorEastAsia" w:cstheme="minorEastAsia" w:hint="eastAsia"/>
                <w:kern w:val="0"/>
                <w:szCs w:val="21"/>
              </w:rPr>
              <w:t>包：核心产品（即</w:t>
            </w:r>
            <w:r>
              <w:rPr>
                <w:rFonts w:asciiTheme="minorEastAsia" w:eastAsiaTheme="minorEastAsia" w:hAnsiTheme="minorEastAsia" w:cstheme="minorEastAsia"/>
                <w:kern w:val="0"/>
                <w:szCs w:val="21"/>
              </w:rPr>
              <w:t>：</w:t>
            </w:r>
            <w:r>
              <w:rPr>
                <w:rFonts w:asciiTheme="minorEastAsia" w:eastAsiaTheme="minorEastAsia" w:hAnsiTheme="minorEastAsia" w:cstheme="minorEastAsia" w:hint="eastAsia"/>
                <w:kern w:val="0"/>
                <w:szCs w:val="21"/>
              </w:rPr>
              <w:t>集成式交通气象监测仪）</w:t>
            </w:r>
            <w:r>
              <w:rPr>
                <w:rFonts w:asciiTheme="minorEastAsia" w:eastAsiaTheme="minorEastAsia" w:hAnsiTheme="minorEastAsia" w:cstheme="minorEastAsia"/>
                <w:kern w:val="0"/>
                <w:szCs w:val="21"/>
              </w:rPr>
              <w:t>，以及</w:t>
            </w:r>
            <w:r>
              <w:rPr>
                <w:rFonts w:asciiTheme="minorEastAsia" w:eastAsiaTheme="minorEastAsia" w:hAnsiTheme="minorEastAsia" w:cstheme="minorEastAsia" w:hint="eastAsia"/>
                <w:kern w:val="0"/>
                <w:szCs w:val="21"/>
              </w:rPr>
              <w:t>翻斗式雨量传感器。</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both"/>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default"/>
                <w:sz w:val="18"/>
                <w:szCs w:val="18"/>
                <w:highlight w:val="none"/>
              </w:rPr>
            </w:pPr>
            <w:r>
              <w:rPr>
                <w:rFonts w:asciiTheme="minorEastAsia" w:eastAsiaTheme="minorEastAsia" w:hAnsiTheme="minorEastAsia" w:cstheme="minorEastAsia" w:hint="eastAsia"/>
                <w:kern w:val="0"/>
                <w:szCs w:val="21"/>
              </w:rPr>
              <w:t>设备供应商对所有设备提供自验收合格后8年的质保服务。</w:t>
            </w:r>
            <w:r>
              <w:rPr>
                <w:rFonts w:asciiTheme="minorEastAsia" w:eastAsiaTheme="minorEastAsia" w:hAnsiTheme="minorEastAsia" w:cstheme="minorEastAsia"/>
                <w:kern w:val="0"/>
                <w:szCs w:val="21"/>
              </w:rPr>
              <w:t>需对质保期（保内、保外）政策进行阐述或承诺，列明有偿服务和无偿服务内容。</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174"/>
    </w:p>
    <w:p w14:paraId="40E95064">
      <w:pPr>
        <w:spacing w:line="360" w:lineRule="auto"/>
        <w:jc w:val="center"/>
        <w:outlineLvl w:val="0"/>
        <w:rPr>
          <w:b/>
          <w:sz w:val="48"/>
          <w:szCs w:val="36"/>
          <w:highlight w:val="none"/>
        </w:rPr>
      </w:pPr>
      <w:r>
        <w:rPr>
          <w:rFonts w:hint="eastAsia"/>
          <w:b/>
          <w:sz w:val="48"/>
          <w:szCs w:val="36"/>
          <w:highlight w:val="none"/>
        </w:rPr>
        <w:t>第三分册：采购合同</w:t>
      </w:r>
    </w:p>
    <w:p w14:paraId="52BC1414">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175"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176"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176"/>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177"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177"/>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tabs>
          <w:tab w:val="left" w:pos="1573"/>
        </w:tabs>
        <w:adjustRightInd w:val="0"/>
        <w:snapToGrid w:val="0"/>
        <w:spacing w:line="360" w:lineRule="auto"/>
        <w:ind w:firstLine="630" w:firstLineChars="300"/>
        <w:jc w:val="left"/>
        <w:rPr>
          <w:rFonts w:ascii="宋体" w:hAnsi="宋体" w:hint="eastAsia"/>
          <w:szCs w:val="21"/>
          <w:highlight w:val="cyan"/>
        </w:rPr>
      </w:pPr>
      <w:r>
        <w:rPr>
          <w:rFonts w:ascii="宋体" w:hAnsi="宋体" w:hint="eastAsia"/>
          <w:szCs w:val="21"/>
          <w:highlight w:val="cyan"/>
          <w:lang w:eastAsia="zh-CN"/>
        </w:rPr>
        <w:t>第一包：</w:t>
      </w:r>
    </w:p>
    <w:p>
      <w:pPr>
        <w:tabs>
          <w:tab w:val="left" w:pos="1573"/>
        </w:tabs>
        <w:adjustRightInd w:val="0"/>
        <w:snapToGrid w:val="0"/>
        <w:spacing w:line="360" w:lineRule="auto"/>
        <w:ind w:firstLine="630" w:firstLineChars="300"/>
        <w:jc w:val="left"/>
        <w:rPr>
          <w:rFonts w:ascii="宋体" w:hAnsi="宋体"/>
          <w:szCs w:val="21"/>
          <w:highlight w:val="yellow"/>
        </w:rPr>
      </w:pPr>
      <w:r>
        <w:rPr>
          <w:rFonts w:ascii="宋体" w:hAnsi="宋体"/>
          <w:szCs w:val="21"/>
          <w:highlight w:val="yellow"/>
        </w:rPr>
        <w:t>1</w:t>
      </w:r>
      <w:r>
        <w:rPr>
          <w:rFonts w:ascii="宋体" w:hAnsi="宋体" w:hint="eastAsia"/>
          <w:szCs w:val="21"/>
          <w:highlight w:val="yellow"/>
        </w:rPr>
        <w:t>、合同生效后付款：双方签署合同后10个工作日内，</w:t>
      </w:r>
      <w:r>
        <w:rPr>
          <w:rFonts w:ascii="宋体" w:hAnsi="宋体" w:hint="eastAsia"/>
          <w:szCs w:val="21"/>
          <w:highlight w:val="yellow"/>
          <w:lang w:val="en-US" w:eastAsia="zh-CN"/>
        </w:rPr>
        <w:t>乙方向甲方提供合同总金额40%的发票后，</w:t>
      </w:r>
      <w:r>
        <w:rPr>
          <w:rFonts w:ascii="宋体" w:hAnsi="宋体" w:hint="eastAsia"/>
          <w:szCs w:val="21"/>
          <w:highlight w:val="yellow"/>
        </w:rPr>
        <w:t>甲方向乙方支付合同总金额的</w:t>
      </w:r>
      <w:r>
        <w:rPr>
          <w:rFonts w:ascii="宋体" w:hAnsi="宋体" w:hint="eastAsia"/>
          <w:szCs w:val="21"/>
          <w:highlight w:val="yellow"/>
          <w:lang w:val="en-US" w:eastAsia="zh-CN"/>
        </w:rPr>
        <w:t>40</w:t>
      </w:r>
      <w:r>
        <w:rPr>
          <w:rFonts w:ascii="宋体" w:hAnsi="宋体" w:cs="微软雅黑" w:hint="eastAsia"/>
          <w:b/>
          <w:kern w:val="0"/>
          <w:szCs w:val="21"/>
          <w:highlight w:val="yellow"/>
        </w:rPr>
        <w:t>%</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tabs>
          <w:tab w:val="left" w:pos="1573"/>
        </w:tabs>
        <w:adjustRightInd w:val="0"/>
        <w:snapToGrid w:val="0"/>
        <w:spacing w:line="360" w:lineRule="auto"/>
        <w:ind w:firstLine="630" w:firstLineChars="300"/>
        <w:jc w:val="left"/>
        <w:rPr>
          <w:rFonts w:ascii="宋体" w:hAnsi="宋体"/>
          <w:szCs w:val="21"/>
          <w:highlight w:val="yellow"/>
        </w:rPr>
      </w:pPr>
      <w:r>
        <w:rPr>
          <w:rFonts w:ascii="宋体" w:hAnsi="宋体"/>
          <w:szCs w:val="21"/>
          <w:highlight w:val="yellow"/>
        </w:rPr>
        <w:t>2</w:t>
      </w:r>
      <w:r>
        <w:rPr>
          <w:rFonts w:ascii="宋体" w:hAnsi="宋体" w:hint="eastAsia"/>
          <w:szCs w:val="21"/>
          <w:highlight w:val="yellow"/>
        </w:rPr>
        <w:t>、出厂测试合格后付款：双方签署出厂测试验收报告后10个工作日内，</w:t>
      </w:r>
      <w:r>
        <w:rPr>
          <w:rFonts w:ascii="宋体" w:hAnsi="宋体" w:hint="eastAsia"/>
          <w:szCs w:val="21"/>
          <w:highlight w:val="yellow"/>
          <w:lang w:val="en-US" w:eastAsia="zh-CN"/>
        </w:rPr>
        <w:t>乙方向甲方提供合同总金额50%的发票后</w:t>
      </w:r>
      <w:r>
        <w:rPr>
          <w:rFonts w:ascii="宋体" w:hAnsi="宋体" w:hint="eastAsia"/>
          <w:szCs w:val="21"/>
          <w:highlight w:val="yellow"/>
        </w:rPr>
        <w:t>，甲方向乙方支付合同总金额的</w:t>
      </w:r>
      <w:r>
        <w:rPr>
          <w:rFonts w:ascii="宋体" w:hAnsi="宋体" w:hint="eastAsia"/>
          <w:szCs w:val="21"/>
          <w:highlight w:val="yellow"/>
          <w:lang w:val="en-US" w:eastAsia="zh-CN"/>
        </w:rPr>
        <w:t>50</w:t>
      </w:r>
      <w:r>
        <w:rPr>
          <w:rFonts w:ascii="宋体" w:hAnsi="宋体" w:hint="eastAsia"/>
          <w:b/>
          <w:bCs/>
          <w:szCs w:val="21"/>
          <w:highlight w:val="yellow"/>
        </w:rPr>
        <w:t>%</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tabs>
          <w:tab w:val="left" w:pos="1573"/>
        </w:tabs>
        <w:adjustRightInd w:val="0"/>
        <w:snapToGrid w:val="0"/>
        <w:spacing w:line="360" w:lineRule="auto"/>
        <w:ind w:firstLine="630" w:firstLineChars="300"/>
        <w:jc w:val="left"/>
        <w:rPr>
          <w:rFonts w:hAnsi="宋体"/>
          <w:kern w:val="0"/>
        </w:rPr>
      </w:pPr>
      <w:r>
        <w:rPr>
          <w:rFonts w:ascii="宋体" w:hAnsi="宋体"/>
          <w:szCs w:val="21"/>
          <w:highlight w:val="yellow"/>
        </w:rPr>
        <w:t>3</w:t>
      </w:r>
      <w:r>
        <w:rPr>
          <w:rFonts w:ascii="宋体" w:hAnsi="宋体" w:hint="eastAsia"/>
          <w:szCs w:val="21"/>
          <w:highlight w:val="yellow"/>
        </w:rPr>
        <w:t>、合同验收通过后付款:合同验收通过后10个工作日内，乙方开具合同总金额</w:t>
      </w:r>
      <w:r>
        <w:rPr>
          <w:rFonts w:ascii="宋体" w:hAnsi="宋体" w:hint="eastAsia"/>
          <w:b/>
          <w:bCs/>
          <w:szCs w:val="21"/>
          <w:highlight w:val="yellow"/>
          <w:lang w:eastAsia="zh-CN"/>
        </w:rPr>
        <w:t>1</w:t>
      </w:r>
      <w:r>
        <w:rPr>
          <w:rFonts w:ascii="宋体" w:hAnsi="宋体" w:hint="eastAsia"/>
          <w:b/>
          <w:bCs/>
          <w:szCs w:val="21"/>
          <w:highlight w:val="yellow"/>
          <w:lang w:val="en-US" w:eastAsia="zh-CN"/>
        </w:rPr>
        <w:t>2</w:t>
      </w:r>
      <w:r>
        <w:rPr>
          <w:rFonts w:ascii="宋体" w:hAnsi="宋体" w:hint="eastAsia"/>
          <w:b/>
          <w:bCs/>
          <w:szCs w:val="21"/>
          <w:highlight w:val="yellow"/>
        </w:rPr>
        <w:t>%</w:t>
      </w:r>
      <w:r>
        <w:rPr>
          <w:rFonts w:ascii="宋体" w:hAnsi="宋体" w:hint="eastAsia"/>
          <w:szCs w:val="21"/>
          <w:highlight w:val="yellow"/>
        </w:rPr>
        <w:t>的</w:t>
      </w:r>
      <w:r>
        <w:rPr>
          <w:rFonts w:ascii="宋体" w:hAnsi="宋体" w:hint="eastAsia"/>
          <w:szCs w:val="21"/>
          <w:highlight w:val="yellow"/>
          <w:lang w:val="en-US" w:eastAsia="zh-CN"/>
        </w:rPr>
        <w:t>预付款</w:t>
      </w:r>
      <w:r>
        <w:rPr>
          <w:rFonts w:ascii="宋体" w:hAnsi="宋体" w:hint="eastAsia"/>
          <w:szCs w:val="21"/>
          <w:highlight w:val="yellow"/>
        </w:rPr>
        <w:t>保函(后八年质量维保费提前预付)，甲方在收到</w:t>
      </w:r>
      <w:r>
        <w:rPr>
          <w:rFonts w:ascii="宋体" w:hAnsi="宋体" w:hint="eastAsia"/>
          <w:szCs w:val="21"/>
          <w:highlight w:val="yellow"/>
          <w:lang w:val="en-US" w:eastAsia="zh-CN"/>
        </w:rPr>
        <w:t>预付款</w:t>
      </w:r>
      <w:r>
        <w:rPr>
          <w:rFonts w:ascii="宋体" w:hAnsi="宋体" w:hint="eastAsia"/>
          <w:szCs w:val="21"/>
          <w:highlight w:val="yellow"/>
        </w:rPr>
        <w:t>保函后，向乙方支付合同总金额的</w:t>
      </w:r>
      <w:r>
        <w:rPr>
          <w:rFonts w:ascii="宋体" w:hAnsi="宋体" w:hint="eastAsia"/>
          <w:szCs w:val="21"/>
          <w:highlight w:val="yellow"/>
          <w:lang w:val="en-US" w:eastAsia="zh-CN"/>
        </w:rPr>
        <w:t>10</w:t>
      </w:r>
      <w:r>
        <w:rPr>
          <w:rFonts w:ascii="宋体" w:hAnsi="宋体" w:hint="eastAsia"/>
          <w:b/>
          <w:bCs/>
          <w:szCs w:val="21"/>
          <w:highlight w:val="yellow"/>
        </w:rPr>
        <w:t>%</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snapToGrid w:val="0"/>
        <w:spacing w:line="400" w:lineRule="exact"/>
        <w:ind w:firstLine="630" w:firstLineChars="300"/>
        <w:rPr>
          <w:rFonts w:ascii="宋体" w:hAnsi="宋体" w:hint="eastAsia"/>
          <w:szCs w:val="21"/>
          <w:highlight w:val="none"/>
          <w:u w:val="single"/>
        </w:rPr>
      </w:pPr>
    </w:p>
    <w:p>
      <w:pPr>
        <w:snapToGrid w:val="0"/>
        <w:spacing w:line="400" w:lineRule="exact"/>
        <w:ind w:firstLine="630" w:firstLineChars="300"/>
        <w:rPr>
          <w:rFonts w:ascii="宋体" w:hAnsi="宋体" w:hint="eastAsia"/>
          <w:szCs w:val="21"/>
          <w:highlight w:val="cyan"/>
          <w:u w:val="single"/>
        </w:rPr>
      </w:pPr>
      <w:r>
        <w:rPr>
          <w:rFonts w:ascii="宋体" w:hAnsi="宋体" w:hint="eastAsia"/>
          <w:szCs w:val="21"/>
          <w:highlight w:val="cyan"/>
          <w:u w:val="single"/>
          <w:lang w:eastAsia="zh-CN"/>
        </w:rPr>
        <w:t>第二包、第三包：</w:t>
      </w:r>
    </w:p>
    <w:p>
      <w:pPr>
        <w:numPr>
          <w:ilvl w:val="0"/>
          <w:numId w:val="9"/>
        </w:numPr>
        <w:snapToGrid w:val="0"/>
        <w:spacing w:line="400" w:lineRule="exact"/>
        <w:ind w:firstLine="630" w:firstLineChars="300"/>
        <w:rPr>
          <w:rFonts w:ascii="宋体" w:hAnsi="宋体" w:hint="eastAsia"/>
          <w:szCs w:val="21"/>
          <w:highlight w:val="yellow"/>
        </w:rPr>
      </w:pPr>
      <w:r>
        <w:rPr>
          <w:rFonts w:ascii="宋体" w:hAnsi="宋体" w:hint="eastAsia"/>
          <w:szCs w:val="21"/>
          <w:highlight w:val="yellow"/>
        </w:rPr>
        <w:t>签订本协议后</w:t>
      </w:r>
      <w:r>
        <w:rPr>
          <w:rFonts w:ascii="宋体" w:hAnsi="宋体" w:hint="eastAsia"/>
          <w:szCs w:val="21"/>
          <w:highlight w:val="yellow"/>
          <w:u w:val="single"/>
        </w:rPr>
        <w:t xml:space="preserve">  </w:t>
      </w:r>
      <w:r>
        <w:rPr>
          <w:rFonts w:hint="eastAsia"/>
          <w:highlight w:val="yellow"/>
          <w:lang w:val="en-US" w:eastAsia="zh-CN"/>
        </w:rPr>
        <w:t>15</w:t>
      </w:r>
      <w:r>
        <w:rPr>
          <w:rFonts w:ascii="宋体" w:hAnsi="宋体" w:hint="eastAsia"/>
          <w:szCs w:val="21"/>
          <w:highlight w:val="yellow"/>
          <w:u w:val="single"/>
        </w:rPr>
        <w:t xml:space="preserve"> 个工作</w:t>
      </w:r>
      <w:r>
        <w:rPr>
          <w:rFonts w:ascii="宋体" w:hAnsi="宋体" w:hint="eastAsia"/>
          <w:szCs w:val="21"/>
          <w:highlight w:val="yellow"/>
        </w:rPr>
        <w:t>日内甲方支付乙方合同金额的</w:t>
      </w:r>
      <w:r>
        <w:rPr>
          <w:rFonts w:ascii="宋体" w:hAnsi="宋体"/>
          <w:szCs w:val="21"/>
          <w:highlight w:val="yellow"/>
          <w:u w:val="single"/>
        </w:rPr>
        <w:t xml:space="preserve">   </w:t>
      </w:r>
      <w:r>
        <w:rPr>
          <w:rFonts w:hint="eastAsia"/>
          <w:highlight w:val="yellow"/>
          <w:lang w:val="en-US" w:eastAsia="zh-CN"/>
        </w:rPr>
        <w:t>40</w:t>
      </w:r>
      <w:r>
        <w:rPr>
          <w:rFonts w:ascii="宋体" w:hAnsi="宋体"/>
          <w:szCs w:val="21"/>
          <w:highlight w:val="yellow"/>
          <w:u w:val="single"/>
        </w:rPr>
        <w:t xml:space="preserve">  </w:t>
      </w:r>
      <w:r>
        <w:rPr>
          <w:rFonts w:ascii="宋体" w:hAnsi="宋体" w:hint="eastAsia"/>
          <w:szCs w:val="21"/>
          <w:highlight w:val="yellow"/>
          <w:u w:val="single"/>
        </w:rPr>
        <w:t>%，</w:t>
      </w:r>
      <w:r>
        <w:rPr>
          <w:rFonts w:ascii="宋体" w:hAnsi="宋体" w:hint="eastAsia"/>
          <w:szCs w:val="21"/>
          <w:highlight w:val="yellow"/>
        </w:rPr>
        <w:t>即人民币</w:t>
      </w:r>
    </w:p>
    <w:p>
      <w:pPr>
        <w:snapToGrid w:val="0"/>
        <w:spacing w:line="400" w:lineRule="exact"/>
        <w:rPr>
          <w:rFonts w:ascii="宋体" w:hAnsi="宋体" w:hint="eastAsia"/>
          <w:szCs w:val="21"/>
          <w:highlight w:val="yellow"/>
        </w:rPr>
      </w:pPr>
      <w:r>
        <w:rPr>
          <w:rFonts w:ascii="宋体" w:hAnsi="宋体" w:hint="eastAsia"/>
          <w:szCs w:val="21"/>
          <w:highlight w:val="yellow"/>
        </w:rPr>
        <w:t xml:space="preserve"> </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numPr>
          <w:ilvl w:val="0"/>
          <w:numId w:val="9"/>
        </w:numPr>
        <w:snapToGrid w:val="0"/>
        <w:spacing w:line="400" w:lineRule="exact"/>
        <w:ind w:firstLine="630" w:firstLineChars="300"/>
        <w:rPr>
          <w:rFonts w:ascii="宋体" w:hAnsi="宋体" w:hint="eastAsia"/>
          <w:szCs w:val="21"/>
          <w:highlight w:val="yellow"/>
        </w:rPr>
      </w:pPr>
      <w:r>
        <w:rPr>
          <w:rFonts w:ascii="宋体" w:hAnsi="宋体" w:hint="eastAsia"/>
          <w:szCs w:val="21"/>
          <w:highlight w:val="yellow"/>
        </w:rPr>
        <w:t>到货且完成现场安装，</w:t>
      </w:r>
      <w:r>
        <w:rPr>
          <w:rFonts w:hAnsi="宋体" w:hint="eastAsia"/>
          <w:kern w:val="0"/>
          <w:highlight w:val="yellow"/>
        </w:rPr>
        <w:t>经甲方核对无误、检验合格后</w:t>
      </w:r>
      <w:r>
        <w:rPr>
          <w:rFonts w:hint="eastAsia"/>
          <w:highlight w:val="yellow"/>
          <w:lang w:val="en-US" w:eastAsia="zh-CN"/>
        </w:rPr>
        <w:t>15</w:t>
      </w:r>
      <w:r>
        <w:rPr>
          <w:rFonts w:hAnsi="宋体" w:hint="eastAsia"/>
          <w:kern w:val="0"/>
          <w:highlight w:val="yellow"/>
          <w:u w:val="single"/>
        </w:rPr>
        <w:t>个工作日内</w:t>
      </w:r>
      <w:r>
        <w:rPr>
          <w:rFonts w:hAnsi="宋体" w:hint="eastAsia"/>
          <w:kern w:val="0"/>
          <w:highlight w:val="yellow"/>
        </w:rPr>
        <w:t>，</w:t>
      </w:r>
      <w:r>
        <w:rPr>
          <w:rFonts w:ascii="宋体" w:hAnsi="宋体" w:hint="eastAsia"/>
          <w:szCs w:val="21"/>
          <w:highlight w:val="yellow"/>
        </w:rPr>
        <w:t>甲方向乙方支付合同总金额的</w:t>
      </w:r>
      <w:r>
        <w:rPr>
          <w:rFonts w:ascii="宋体" w:hAnsi="宋体" w:hint="eastAsia"/>
          <w:szCs w:val="21"/>
          <w:highlight w:val="yellow"/>
          <w:u w:val="single"/>
        </w:rPr>
        <w:t xml:space="preserve">  </w:t>
      </w:r>
      <w:r>
        <w:rPr>
          <w:rFonts w:hint="eastAsia"/>
          <w:highlight w:val="yellow"/>
          <w:lang w:val="en-US" w:eastAsia="zh-CN"/>
        </w:rPr>
        <w:t>55</w:t>
      </w:r>
      <w:r>
        <w:rPr>
          <w:rFonts w:ascii="宋体" w:hAnsi="宋体" w:hint="eastAsia"/>
          <w:szCs w:val="21"/>
          <w:highlight w:val="yellow"/>
          <w:u w:val="single"/>
        </w:rPr>
        <w:t xml:space="preserve">  </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numPr>
          <w:ilvl w:val="0"/>
          <w:numId w:val="9"/>
        </w:numPr>
        <w:snapToGrid w:val="0"/>
        <w:spacing w:line="400" w:lineRule="exact"/>
        <w:ind w:firstLine="630" w:firstLineChars="300"/>
        <w:rPr>
          <w:rFonts w:ascii="宋体" w:hAnsi="宋体" w:hint="eastAsia"/>
          <w:szCs w:val="21"/>
          <w:highlight w:val="none"/>
          <w:u w:val="single"/>
        </w:rPr>
      </w:pPr>
      <w:r>
        <w:rPr>
          <w:rFonts w:hint="eastAsia"/>
          <w:highlight w:val="yellow"/>
        </w:rPr>
        <w:t>完成现场验收和合同验收后</w:t>
      </w:r>
      <w:r>
        <w:rPr>
          <w:rFonts w:hint="eastAsia"/>
          <w:highlight w:val="yellow"/>
          <w:lang w:val="en-US" w:eastAsia="zh-CN"/>
        </w:rPr>
        <w:t>30</w:t>
      </w:r>
      <w:r>
        <w:rPr>
          <w:rFonts w:hAnsi="宋体" w:hint="eastAsia"/>
          <w:kern w:val="0"/>
          <w:highlight w:val="yellow"/>
          <w:u w:val="single"/>
        </w:rPr>
        <w:t>个工作日内</w:t>
      </w:r>
      <w:r>
        <w:rPr>
          <w:rFonts w:hAnsi="宋体" w:hint="eastAsia"/>
          <w:kern w:val="0"/>
          <w:highlight w:val="yellow"/>
        </w:rPr>
        <w:t>，</w:t>
      </w:r>
      <w:r>
        <w:rPr>
          <w:rFonts w:hAnsi="宋体" w:hint="eastAsia"/>
          <w:kern w:val="0"/>
          <w:highlight w:val="yellow"/>
          <w:lang w:val="en-US" w:eastAsia="zh-CN"/>
        </w:rPr>
        <w:t>且乙方向甲方提供合同金额5%的预付款保函（</w:t>
      </w:r>
      <w:r>
        <w:rPr>
          <w:rFonts w:ascii="宋体" w:hAnsi="宋体" w:hint="eastAsia"/>
          <w:szCs w:val="21"/>
          <w:highlight w:val="yellow"/>
          <w:u w:val="single"/>
          <w:lang w:val="en-US" w:eastAsia="zh-CN"/>
        </w:rPr>
        <w:t>后八年质量维保费提前预付</w:t>
      </w:r>
      <w:r>
        <w:rPr>
          <w:rFonts w:hAnsi="宋体" w:hint="eastAsia"/>
          <w:kern w:val="0"/>
          <w:highlight w:val="yellow"/>
          <w:lang w:val="en-US" w:eastAsia="zh-CN"/>
        </w:rPr>
        <w:t>）后，</w:t>
      </w:r>
      <w:r>
        <w:rPr>
          <w:rFonts w:ascii="宋体" w:hAnsi="宋体" w:hint="eastAsia"/>
          <w:szCs w:val="21"/>
          <w:highlight w:val="yellow"/>
        </w:rPr>
        <w:t>甲方向乙方支付合同总金额的</w:t>
      </w:r>
      <w:r>
        <w:rPr>
          <w:rFonts w:ascii="宋体" w:hAnsi="宋体" w:hint="eastAsia"/>
          <w:szCs w:val="21"/>
          <w:highlight w:val="yellow"/>
          <w:u w:val="single"/>
        </w:rPr>
        <w:t xml:space="preserve">  </w:t>
      </w:r>
      <w:r>
        <w:rPr>
          <w:rFonts w:hint="eastAsia"/>
          <w:highlight w:val="yellow"/>
          <w:lang w:val="en-US" w:eastAsia="zh-CN"/>
        </w:rPr>
        <w:t>5</w:t>
      </w:r>
      <w:r>
        <w:rPr>
          <w:rFonts w:ascii="宋体" w:hAnsi="宋体" w:hint="eastAsia"/>
          <w:szCs w:val="21"/>
          <w:highlight w:val="yellow"/>
          <w:u w:val="single"/>
        </w:rPr>
        <w:t xml:space="preserve">   </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r>
        <w:rPr>
          <w:rFonts w:ascii="宋体" w:hAnsi="宋体" w:hint="eastAsia"/>
          <w:b/>
          <w:szCs w:val="21"/>
          <w:highlight w:val="cyan"/>
          <w:lang w:eastAsia="zh-CN"/>
        </w:rPr>
        <w:t>（第二包、第三包）</w:t>
      </w:r>
    </w:p>
    <w:p>
      <w:p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（1）质量标准及保证</w:t>
      </w:r>
    </w:p>
    <w:p>
      <w:pPr>
        <w:numPr>
          <w:ilvl w:val="0"/>
          <w:numId w:val="10"/>
        </w:numPr>
        <w:tabs>
          <w:tab w:val="left" w:pos="1573"/>
        </w:tabs>
        <w:adjustRightInd w:val="0"/>
        <w:snapToGrid w:val="0"/>
        <w:spacing w:line="360" w:lineRule="auto"/>
        <w:ind w:firstLine="420" w:firstLineChars="200"/>
        <w:rPr>
          <w:rFonts w:ascii="Times New Roman" w:eastAsia="宋体" w:hAnsi="Times New Roman" w:cs="Times New Roman" w:hint="eastAsia"/>
        </w:rPr>
      </w:pPr>
      <w:r>
        <w:rPr>
          <w:rFonts w:ascii="Times New Roman" w:eastAsia="宋体" w:hAnsi="Times New Roman" w:cs="Times New Roman" w:hint="eastAsia"/>
        </w:rPr>
        <w:t>乙方应提供产品达到合格标准的出厂测试报告。</w:t>
      </w:r>
    </w:p>
    <w:p>
      <w:pPr>
        <w:numPr>
          <w:ilvl w:val="0"/>
          <w:numId w:val="10"/>
        </w:numPr>
        <w:tabs>
          <w:tab w:val="left" w:pos="1573"/>
        </w:tabs>
        <w:adjustRightInd w:val="0"/>
        <w:snapToGrid w:val="0"/>
        <w:spacing w:line="360" w:lineRule="auto"/>
        <w:ind w:firstLine="420" w:firstLineChars="200"/>
        <w:rPr>
          <w:rFonts w:ascii="Times New Roman" w:eastAsia="宋体" w:hAnsi="Times New Roman" w:cs="Times New Roman" w:hint="eastAsia"/>
        </w:rPr>
      </w:pPr>
      <w:r>
        <w:rPr>
          <w:rFonts w:ascii="Times New Roman" w:eastAsia="宋体" w:hAnsi="Times New Roman" w:cs="Times New Roman" w:hint="eastAsia"/>
        </w:rPr>
        <w:t>合同签订后</w:t>
      </w:r>
      <w:r>
        <w:rPr>
          <w:rFonts w:ascii="Times New Roman" w:eastAsia="宋体" w:hAnsi="Times New Roman" w:cs="Times New Roman" w:hint="eastAsia"/>
          <w:highlight w:val="yellow"/>
          <w:lang w:val="en-US" w:eastAsia="zh-CN"/>
        </w:rPr>
        <w:t>XX</w:t>
      </w:r>
      <w:r>
        <w:rPr>
          <w:rFonts w:ascii="Times New Roman" w:eastAsia="宋体" w:hAnsi="Times New Roman" w:cs="Times New Roman" w:hint="eastAsia"/>
        </w:rPr>
        <w:t>天内，完成设备出厂测试，</w:t>
      </w:r>
      <w:r>
        <w:rPr>
          <w:rFonts w:ascii="Times New Roman" w:eastAsia="宋体" w:hAnsi="Times New Roman" w:cs="Times New Roman" w:hint="eastAsia"/>
          <w:highlight w:val="yellow"/>
          <w:lang w:val="en-US" w:eastAsia="zh-CN"/>
        </w:rPr>
        <w:t>40</w:t>
      </w:r>
      <w:r>
        <w:rPr>
          <w:rFonts w:ascii="Times New Roman" w:eastAsia="宋体" w:hAnsi="Times New Roman" w:cs="Times New Roman" w:hint="eastAsia"/>
        </w:rPr>
        <w:t>天内发货</w:t>
      </w:r>
    </w:p>
    <w:p>
      <w:pPr>
        <w:numPr>
          <w:ilvl w:val="0"/>
          <w:numId w:val="10"/>
        </w:numPr>
        <w:tabs>
          <w:tab w:val="left" w:pos="1573"/>
        </w:tabs>
        <w:adjustRightInd w:val="0"/>
        <w:snapToGrid w:val="0"/>
        <w:spacing w:line="360" w:lineRule="auto"/>
        <w:ind w:firstLine="420" w:firstLineChars="200"/>
        <w:rPr>
          <w:rFonts w:ascii="Times New Roman" w:eastAsia="宋体" w:hAnsi="Times New Roman" w:cs="Times New Roman" w:hint="eastAsia"/>
        </w:rPr>
      </w:pPr>
      <w:r>
        <w:rPr>
          <w:rFonts w:ascii="Times New Roman" w:eastAsia="宋体" w:hAnsi="Times New Roman" w:cs="Times New Roman" w:hint="eastAsia"/>
        </w:rPr>
        <w:t>合同签订后</w:t>
      </w:r>
      <w:r>
        <w:rPr>
          <w:rFonts w:ascii="Times New Roman" w:eastAsia="宋体" w:hAnsi="Times New Roman" w:cs="Times New Roman" w:hint="eastAsia"/>
          <w:highlight w:val="yellow"/>
          <w:lang w:val="en-US" w:eastAsia="zh-CN"/>
        </w:rPr>
        <w:t>XX</w:t>
      </w:r>
      <w:r>
        <w:rPr>
          <w:rFonts w:ascii="Times New Roman" w:eastAsia="宋体" w:hAnsi="Times New Roman" w:cs="Times New Roman" w:hint="eastAsia"/>
        </w:rPr>
        <w:t>天内，完成现场后安装、测试和数据上传。</w:t>
      </w:r>
    </w:p>
    <w:p>
      <w:pPr>
        <w:numPr>
          <w:ilvl w:val="0"/>
          <w:numId w:val="10"/>
        </w:numPr>
        <w:tabs>
          <w:tab w:val="left" w:pos="1573"/>
        </w:tabs>
        <w:adjustRightInd w:val="0"/>
        <w:snapToGrid w:val="0"/>
        <w:spacing w:line="360" w:lineRule="auto"/>
        <w:ind w:firstLine="420" w:firstLineChars="200"/>
        <w:rPr>
          <w:rFonts w:ascii="Times New Roman" w:eastAsia="宋体" w:hAnsi="Times New Roman" w:cs="Times New Roman"/>
        </w:rPr>
      </w:pPr>
      <w:r>
        <w:rPr>
          <w:rFonts w:ascii="Times New Roman" w:eastAsia="宋体" w:hAnsi="Times New Roman" w:cs="Times New Roman" w:hint="eastAsia"/>
        </w:rPr>
        <w:t>合同签订后</w:t>
      </w:r>
      <w:r>
        <w:rPr>
          <w:rFonts w:ascii="Times New Roman" w:eastAsia="宋体" w:hAnsi="Times New Roman" w:cs="Times New Roman" w:hint="eastAsia"/>
          <w:highlight w:val="yellow"/>
          <w:lang w:val="en-US" w:eastAsia="zh-CN"/>
        </w:rPr>
        <w:t>60</w:t>
      </w:r>
      <w:r>
        <w:rPr>
          <w:rFonts w:ascii="Times New Roman" w:eastAsia="宋体" w:hAnsi="Times New Roman" w:cs="Times New Roman" w:hint="eastAsia"/>
        </w:rPr>
        <w:t>天内，完成现场验收</w:t>
      </w:r>
      <w:r>
        <w:rPr>
          <w:rFonts w:ascii="Times New Roman" w:eastAsia="宋体" w:hAnsi="Times New Roman" w:cs="Times New Roman" w:hint="eastAsia"/>
          <w:highlight w:val="yellow"/>
        </w:rPr>
        <w:t>和合同验收</w:t>
      </w:r>
      <w:r>
        <w:rPr>
          <w:rFonts w:ascii="Times New Roman" w:eastAsia="宋体" w:hAnsi="Times New Roman" w:cs="Times New Roman" w:hint="eastAsia"/>
        </w:rPr>
        <w:t>。</w:t>
      </w:r>
    </w:p>
    <w:p>
      <w:pPr>
        <w:numPr>
          <w:ilvl w:val="0"/>
          <w:numId w:val="10"/>
        </w:numPr>
        <w:tabs>
          <w:tab w:val="left" w:pos="1573"/>
        </w:tabs>
        <w:adjustRightInd w:val="0"/>
        <w:snapToGrid w:val="0"/>
        <w:spacing w:line="360" w:lineRule="auto"/>
        <w:ind w:firstLine="420" w:firstLineChars="200"/>
        <w:rPr>
          <w:rFonts w:ascii="Times New Roman" w:eastAsia="宋体" w:hAnsi="Times New Roman" w:cs="Times New Roman" w:hint="eastAsia"/>
        </w:rPr>
      </w:pPr>
      <w:r>
        <w:rPr>
          <w:rFonts w:ascii="Times New Roman" w:eastAsia="宋体" w:hAnsi="Times New Roman" w:cs="Times New Roman" w:hint="eastAsia"/>
        </w:rPr>
        <w:t>备品备件、故障维修、巡检巡查等具体要求按照</w:t>
      </w:r>
      <w:r>
        <w:rPr>
          <w:rFonts w:ascii="Times New Roman" w:eastAsia="宋体" w:hAnsi="仿宋_GB2312" w:cs="仿宋_GB2312" w:hint="eastAsia"/>
          <w:color w:val="3366FF"/>
          <w:highlight w:val="yellow"/>
        </w:rPr>
        <w:t>XXXXXX招标文件具体要求执行（省里补充）</w:t>
      </w:r>
    </w:p>
    <w:p>
      <w:pPr>
        <w:numPr>
          <w:ilvl w:val="0"/>
          <w:numId w:val="10"/>
        </w:numPr>
        <w:tabs>
          <w:tab w:val="left" w:pos="1573"/>
        </w:tabs>
        <w:adjustRightInd w:val="0"/>
        <w:snapToGrid w:val="0"/>
        <w:spacing w:line="360" w:lineRule="auto"/>
        <w:ind w:firstLine="420" w:firstLineChars="200"/>
        <w:rPr>
          <w:rFonts w:ascii="Times New Roman" w:eastAsia="宋体" w:hAnsi="Times New Roman" w:cs="Times New Roman" w:hint="eastAsia"/>
          <w:highlight w:val="yellow"/>
        </w:rPr>
      </w:pPr>
      <w:r>
        <w:rPr>
          <w:rFonts w:ascii="Times New Roman" w:eastAsia="宋体" w:hAnsi="Times New Roman" w:cs="Times New Roman" w:hint="eastAsia"/>
          <w:i w:val="0"/>
          <w:iCs w:val="0"/>
          <w:caps w:val="0"/>
          <w:color w:val="0F1115"/>
          <w:spacing w:val="0"/>
          <w:sz w:val="21"/>
          <w:szCs w:val="22"/>
          <w:highlight w:val="yellow"/>
          <w:shd w:val="clear" w:color="auto" w:fill="auto"/>
        </w:rPr>
        <w:t>本合同约定的各项技术标准、规范及验收依据，应以合同签订时有效的最新版本为准。在合同履行期间，若前述规范发生修订，乙方应遵照执行，甲方不因此增加合同价款。</w:t>
      </w:r>
    </w:p>
    <w:p>
      <w:pPr>
        <w:numPr>
          <w:ilvl w:val="0"/>
          <w:numId w:val="8"/>
        </w:num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验收</w:t>
      </w:r>
    </w:p>
    <w:p>
      <w:pPr>
        <w:widowControl w:val="0"/>
        <w:numPr>
          <w:ilvl w:val="0"/>
          <w:numId w:val="11"/>
        </w:numPr>
        <w:spacing w:after="120"/>
        <w:ind w:left="1271" w:hanging="420" w:leftChars="0" w:firstLineChars="0"/>
        <w:jc w:val="both"/>
        <w:rPr>
          <w:rFonts w:ascii="Times New Roman" w:eastAsia="宋体" w:hAnsi="Times New Roman" w:cs="Times New Roman" w:hint="eastAsia"/>
          <w:highlight w:val="yellow"/>
        </w:rPr>
      </w:pPr>
      <w:r>
        <w:rPr>
          <w:rFonts w:ascii="Times New Roman" w:eastAsia="宋体" w:hAnsi="Times New Roman" w:cs="Times New Roman" w:hint="eastAsia"/>
          <w:kern w:val="2"/>
          <w:sz w:val="21"/>
          <w:szCs w:val="22"/>
          <w:highlight w:val="yellow"/>
          <w:lang w:val="en-US" w:eastAsia="zh-CN" w:bidi="ar-SA"/>
        </w:rPr>
        <w:t>乙方应按照甲方要求提交合同实施情况报告、出厂测试报告、货物/服务接收清单、现场验收报告、安装后测试报告、业务运行准入测试报告等。</w:t>
      </w:r>
      <w:r>
        <w:rPr>
          <w:rFonts w:ascii="Times New Roman" w:eastAsia="宋体" w:hAnsi="Times New Roman" w:cs="Times New Roman" w:hint="eastAsia"/>
          <w:color w:val="FF0000"/>
          <w:kern w:val="2"/>
          <w:sz w:val="21"/>
          <w:szCs w:val="22"/>
          <w:highlight w:val="yellow"/>
          <w:lang w:val="en-US" w:eastAsia="zh-CN" w:bidi="ar-SA"/>
        </w:rPr>
        <w:t>集成式交通气象监测仪</w:t>
      </w:r>
      <w:r>
        <w:rPr>
          <w:rFonts w:ascii="Times New Roman" w:eastAsia="宋体" w:hAnsi="Times New Roman" w:cs="Times New Roman" w:hint="eastAsia"/>
          <w:kern w:val="2"/>
          <w:sz w:val="21"/>
          <w:szCs w:val="22"/>
          <w:highlight w:val="yellow"/>
          <w:lang w:val="en-US" w:eastAsia="zh-CN" w:bidi="ar-SA"/>
        </w:rPr>
        <w:t>需具备</w:t>
      </w:r>
      <w:r>
        <w:rPr>
          <w:rFonts w:ascii="Times New Roman" w:eastAsia="宋体" w:hAnsi="Times New Roman" w:cs="Times New Roman" w:hint="eastAsia"/>
          <w:color w:val="FF0000"/>
          <w:kern w:val="2"/>
          <w:sz w:val="21"/>
          <w:szCs w:val="22"/>
          <w:highlight w:val="yellow"/>
          <w:lang w:val="en-US" w:eastAsia="zh-CN" w:bidi="ar-SA"/>
        </w:rPr>
        <w:t>集成式交通气象监测仪装备许可</w:t>
      </w:r>
      <w:r>
        <w:rPr>
          <w:rFonts w:ascii="Times New Roman" w:eastAsia="宋体" w:hAnsi="Times New Roman" w:cs="Times New Roman" w:hint="eastAsia"/>
          <w:kern w:val="2"/>
          <w:sz w:val="21"/>
          <w:szCs w:val="22"/>
          <w:highlight w:val="yellow"/>
          <w:lang w:val="en-US" w:eastAsia="zh-CN" w:bidi="ar-SA"/>
        </w:rPr>
        <w:t>，</w:t>
      </w:r>
      <w:r>
        <w:rPr>
          <w:rFonts w:ascii="Times New Roman" w:eastAsia="宋体" w:hAnsi="Times New Roman" w:cs="Times New Roman" w:hint="eastAsia"/>
          <w:color w:val="FF0000"/>
          <w:kern w:val="2"/>
          <w:sz w:val="21"/>
          <w:szCs w:val="22"/>
          <w:highlight w:val="yellow"/>
          <w:lang w:val="en-US" w:eastAsia="zh-CN" w:bidi="ar-SA"/>
        </w:rPr>
        <w:t>移动式观测设备</w:t>
      </w:r>
      <w:r>
        <w:rPr>
          <w:rFonts w:ascii="Times New Roman" w:eastAsia="宋体" w:hAnsi="Times New Roman" w:cs="Times New Roman" w:hint="eastAsia"/>
          <w:kern w:val="2"/>
          <w:sz w:val="21"/>
          <w:szCs w:val="22"/>
          <w:highlight w:val="yellow"/>
          <w:lang w:val="en-US" w:eastAsia="zh-CN" w:bidi="ar-SA"/>
        </w:rPr>
        <w:t>需具备</w:t>
      </w:r>
      <w:r>
        <w:rPr>
          <w:rFonts w:ascii="Times New Roman" w:eastAsia="宋体" w:hAnsi="Times New Roman" w:cs="Times New Roman" w:hint="eastAsia"/>
          <w:color w:val="FF0000"/>
          <w:kern w:val="2"/>
          <w:sz w:val="21"/>
          <w:szCs w:val="22"/>
          <w:highlight w:val="yellow"/>
          <w:lang w:val="en-US" w:eastAsia="zh-CN" w:bidi="ar-SA"/>
        </w:rPr>
        <w:t>集成式交通气象监测仪、翻斗式雨量传感器、智能能见度测量仪3个装备许可</w:t>
      </w:r>
      <w:r>
        <w:rPr>
          <w:rFonts w:ascii="Times New Roman" w:eastAsia="宋体" w:hAnsi="Times New Roman" w:cs="Times New Roman" w:hint="eastAsia"/>
          <w:kern w:val="2"/>
          <w:sz w:val="21"/>
          <w:szCs w:val="22"/>
          <w:highlight w:val="yellow"/>
          <w:lang w:val="en-US" w:eastAsia="zh-CN" w:bidi="ar-SA"/>
        </w:rPr>
        <w:t>否则验收为不合格，追究乙方责任。满足《“十四五”期间综合观测类工程项目新上设备验收技术指南》验收要求。</w:t>
      </w:r>
    </w:p>
    <w:p>
      <w:pPr>
        <w:widowControl w:val="0"/>
        <w:numPr>
          <w:ilvl w:val="0"/>
          <w:numId w:val="11"/>
        </w:numPr>
        <w:spacing w:after="120"/>
        <w:ind w:left="1271" w:hanging="420" w:leftChars="0" w:firstLineChars="0"/>
        <w:jc w:val="both"/>
        <w:rPr>
          <w:rFonts w:ascii="Times New Roman" w:eastAsia="宋体" w:hAnsi="Times New Roman" w:cs="Times New Roman" w:hint="eastAsia"/>
          <w:highlight w:val="yellow"/>
        </w:rPr>
      </w:pPr>
      <w:r>
        <w:rPr>
          <w:rFonts w:ascii="Times New Roman" w:eastAsia="宋体" w:hAnsi="Times New Roman" w:cs="Times New Roman" w:hint="eastAsia"/>
          <w:kern w:val="2"/>
          <w:sz w:val="21"/>
          <w:szCs w:val="22"/>
          <w:highlight w:val="yellow"/>
          <w:lang w:val="en-US" w:eastAsia="zh-CN" w:bidi="ar-SA"/>
        </w:rPr>
        <w:t>乙方按照相关规范和投标设备说明书的规定完成设备供货、安装、调试及试运行。</w:t>
      </w:r>
    </w:p>
    <w:p>
      <w:pPr>
        <w:widowControl w:val="0"/>
        <w:numPr>
          <w:ilvl w:val="0"/>
          <w:numId w:val="11"/>
        </w:numPr>
        <w:spacing w:after="120"/>
        <w:ind w:left="1271" w:hanging="420" w:leftChars="0" w:firstLineChars="0"/>
        <w:jc w:val="both"/>
        <w:rPr>
          <w:rFonts w:ascii="Times New Roman" w:eastAsia="宋体" w:hAnsi="Times New Roman" w:cs="Times New Roman" w:hint="eastAsia"/>
          <w:highlight w:val="yellow"/>
        </w:rPr>
      </w:pPr>
      <w:r>
        <w:rPr>
          <w:rFonts w:ascii="Times New Roman" w:eastAsia="宋体" w:hAnsi="Times New Roman" w:cs="Times New Roman" w:hint="eastAsia"/>
          <w:kern w:val="2"/>
          <w:sz w:val="21"/>
          <w:szCs w:val="22"/>
          <w:highlight w:val="yellow"/>
          <w:lang w:val="en-US" w:eastAsia="zh-CN" w:bidi="ar-SA"/>
        </w:rPr>
        <w:t>在设备安装、调试合格后，提交检验测试报告，经甲方验收合格后签署现场验收报告。</w:t>
      </w:r>
    </w:p>
    <w:p>
      <w:pPr>
        <w:widowControl w:val="0"/>
        <w:numPr>
          <w:ilvl w:val="0"/>
          <w:numId w:val="11"/>
        </w:numPr>
        <w:spacing w:after="120"/>
        <w:ind w:left="1271" w:hanging="420" w:leftChars="0" w:firstLineChars="0"/>
        <w:jc w:val="both"/>
        <w:rPr>
          <w:rFonts w:ascii="Times New Roman" w:eastAsia="宋体" w:hAnsi="Times New Roman" w:cs="Times New Roman" w:hint="eastAsia"/>
          <w:highlight w:val="yellow"/>
        </w:rPr>
      </w:pPr>
      <w:r>
        <w:rPr>
          <w:rFonts w:ascii="Times New Roman" w:eastAsia="宋体" w:hAnsi="Times New Roman" w:cs="Times New Roman" w:hint="eastAsia"/>
          <w:kern w:val="2"/>
          <w:sz w:val="21"/>
          <w:szCs w:val="22"/>
          <w:highlight w:val="yellow"/>
          <w:lang w:val="en-US" w:eastAsia="zh-CN" w:bidi="ar-SA"/>
        </w:rPr>
        <w:t>在设备试运行结束后，经甲方验收合格后给出合同验收意见。</w:t>
      </w:r>
    </w:p>
    <w:p>
      <w:pPr>
        <w:widowControl w:val="0"/>
        <w:numPr>
          <w:ilvl w:val="0"/>
          <w:numId w:val="11"/>
        </w:numPr>
        <w:spacing w:after="120"/>
        <w:ind w:left="1271" w:hanging="420" w:leftChars="0" w:firstLineChars="0"/>
        <w:jc w:val="both"/>
        <w:rPr>
          <w:rFonts w:ascii="Calibri" w:eastAsia="宋体" w:hAnsi="Calibri" w:cs="Times New Roman" w:hint="eastAsia"/>
          <w:highlight w:val="yellow"/>
        </w:rPr>
      </w:pPr>
      <w:r>
        <w:rPr>
          <w:rFonts w:ascii="Times New Roman" w:eastAsia="宋体" w:hAnsi="Times New Roman" w:cs="Times New Roman" w:hint="eastAsia"/>
          <w:kern w:val="2"/>
          <w:sz w:val="21"/>
          <w:szCs w:val="22"/>
          <w:highlight w:val="yellow"/>
          <w:lang w:val="en-US" w:eastAsia="zh-CN" w:bidi="ar-SA"/>
        </w:rPr>
        <w:t>其中</w:t>
      </w:r>
      <w:r>
        <w:rPr>
          <w:rFonts w:ascii="Times New Roman" w:eastAsia="宋体" w:hAnsi="Times New Roman" w:cs="Times New Roman" w:hint="eastAsia"/>
          <w:color w:val="FF0000"/>
          <w:kern w:val="2"/>
          <w:sz w:val="21"/>
          <w:szCs w:val="22"/>
          <w:highlight w:val="yellow"/>
          <w:lang w:val="en-US" w:eastAsia="zh-CN" w:bidi="ar-SA"/>
        </w:rPr>
        <w:t>集成式交通气象监测仪</w:t>
      </w:r>
      <w:r>
        <w:rPr>
          <w:rFonts w:ascii="Calibri" w:eastAsia="宋体" w:hAnsi="Calibri" w:cs="Times New Roman" w:hint="eastAsia"/>
          <w:kern w:val="2"/>
          <w:sz w:val="21"/>
          <w:szCs w:val="22"/>
          <w:highlight w:val="yellow"/>
          <w:lang w:val="en-US" w:eastAsia="zh-CN" w:bidi="ar-SA"/>
        </w:rPr>
        <w:t>按照相关数据要求生成标准格式数据，需满足通过约定的通信方式和数据协议，将数据上传至省级气象通信系统，在本省天擎进行解码、入库提供服务的同时，将数据上传至国家级气象通信系统，在国家级天擎进行解码、入库提供服务。</w:t>
      </w:r>
    </w:p>
    <w:p>
      <w:p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（3）运输</w:t>
      </w:r>
    </w:p>
    <w:p>
      <w:pPr>
        <w:widowControl w:val="0"/>
        <w:spacing w:after="120"/>
        <w:ind w:left="0" w:firstLine="420" w:leftChars="0" w:firstLineChars="200"/>
        <w:jc w:val="both"/>
        <w:rPr>
          <w:rFonts w:ascii="Times New Roman" w:eastAsia="宋体" w:hAnsi="Times New Roman" w:cs="Times New Roman"/>
          <w:highlight w:val="yellow"/>
        </w:rPr>
      </w:pPr>
      <w:r>
        <w:rPr>
          <w:rFonts w:ascii="Times New Roman" w:eastAsia="宋体" w:hAnsi="Times New Roman" w:cs="Times New Roman" w:hint="eastAsia"/>
          <w:kern w:val="2"/>
          <w:sz w:val="21"/>
          <w:szCs w:val="22"/>
          <w:highlight w:val="yellow"/>
          <w:lang w:val="en-US" w:eastAsia="zh-CN" w:bidi="ar-SA"/>
        </w:rPr>
        <w:t>供应商将所有设备运送到招标人指定地点（运输相关费用由供应商负责），并负责基建、安装调试。</w:t>
      </w:r>
    </w:p>
    <w:p>
      <w:p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（4）技术服务和保修责任方式</w:t>
      </w:r>
    </w:p>
    <w:p>
      <w:pPr>
        <w:tabs>
          <w:tab w:val="left" w:pos="1573"/>
        </w:tabs>
        <w:adjustRightInd w:val="0"/>
        <w:snapToGrid w:val="0"/>
        <w:spacing w:line="360" w:lineRule="auto"/>
        <w:ind w:left="840"/>
        <w:rPr>
          <w:rFonts w:ascii="宋体" w:eastAsia="宋体" w:hAnsi="宋体" w:cs="Times New Roman"/>
          <w:szCs w:val="21"/>
        </w:rPr>
      </w:pPr>
      <w:r>
        <w:rPr>
          <w:rFonts w:ascii="宋体" w:eastAsia="宋体" w:hAnsi="宋体" w:cs="Times New Roman" w:hint="eastAsia"/>
          <w:szCs w:val="21"/>
        </w:rPr>
        <w:t>1）乙方对合同货物的质量保修期为验收报告签署之日起96 个月。</w:t>
      </w:r>
    </w:p>
    <w:p>
      <w:pPr>
        <w:tabs>
          <w:tab w:val="left" w:pos="1573"/>
        </w:tabs>
        <w:adjustRightInd w:val="0"/>
        <w:snapToGrid w:val="0"/>
        <w:spacing w:line="360" w:lineRule="auto"/>
        <w:ind w:left="840"/>
        <w:rPr>
          <w:rFonts w:ascii="宋体" w:eastAsia="宋体" w:hAnsi="宋体" w:cs="Times New Roman"/>
          <w:szCs w:val="21"/>
        </w:rPr>
      </w:pPr>
      <w:r>
        <w:rPr>
          <w:rFonts w:ascii="宋体" w:eastAsia="宋体" w:hAnsi="宋体" w:cs="Times New Roman"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eastAsia="宋体" w:hAnsi="宋体" w:cs="Times New Roman" w:hint="eastAsia"/>
          <w:szCs w:val="21"/>
          <w:highlight w:val="yellow"/>
        </w:rPr>
      </w:pPr>
      <w:r>
        <w:rPr>
          <w:rFonts w:ascii="宋体" w:eastAsia="宋体" w:hAnsi="宋体" w:cs="Times New Roman" w:hint="eastAsia"/>
          <w:color w:val="FF0000"/>
          <w:szCs w:val="21"/>
        </w:rPr>
        <w:t>3）</w:t>
      </w:r>
      <w:r>
        <w:rPr>
          <w:rFonts w:ascii="宋体" w:eastAsia="宋体" w:hAnsi="宋体" w:cs="Times New Roman" w:hint="eastAsia"/>
          <w:szCs w:val="21"/>
          <w:highlight w:val="yellow"/>
        </w:rPr>
        <w:t>乙方承诺在</w:t>
      </w:r>
      <w:r>
        <w:rPr>
          <w:rFonts w:ascii="宋体" w:eastAsia="宋体" w:hAnsi="宋体" w:cs="Times New Roman" w:hint="eastAsia"/>
          <w:color w:val="FF0000"/>
          <w:szCs w:val="21"/>
          <w:highlight w:val="yellow"/>
        </w:rPr>
        <w:t>质保期内</w:t>
      </w:r>
      <w:r>
        <w:rPr>
          <w:rFonts w:ascii="宋体" w:eastAsia="宋体" w:hAnsi="宋体" w:cs="Times New Roman" w:hint="eastAsia"/>
          <w:szCs w:val="21"/>
          <w:highlight w:val="yellow"/>
        </w:rPr>
        <w:t>为甲方提供免费7天×24小时技术支持服务。当货物遭到损坏或出现故障时，要在用户报修之时起</w:t>
      </w:r>
      <w:r>
        <w:rPr>
          <w:rFonts w:ascii="宋体" w:eastAsia="宋体" w:hAnsi="宋体" w:cs="Times New Roman" w:hint="eastAsia"/>
          <w:szCs w:val="21"/>
          <w:highlight w:val="yellow"/>
          <w:lang w:val="en-US" w:eastAsia="zh-CN"/>
        </w:rPr>
        <w:t>1</w:t>
      </w:r>
      <w:r>
        <w:rPr>
          <w:rFonts w:ascii="宋体" w:eastAsia="宋体" w:hAnsi="宋体" w:cs="Times New Roman" w:hint="eastAsia"/>
          <w:szCs w:val="21"/>
          <w:highlight w:val="yellow"/>
        </w:rPr>
        <w:t>小时内做出响应，</w:t>
      </w:r>
      <w:r>
        <w:rPr>
          <w:rFonts w:ascii="宋体" w:eastAsia="宋体" w:hAnsi="宋体" w:cs="Times New Roman" w:hint="eastAsia"/>
          <w:szCs w:val="21"/>
          <w:highlight w:val="yellow"/>
          <w:lang w:val="en-US" w:eastAsia="zh-CN"/>
        </w:rPr>
        <w:t>24小时内</w:t>
      </w:r>
      <w:r>
        <w:rPr>
          <w:rFonts w:ascii="宋体" w:eastAsia="宋体" w:hAnsi="宋体" w:cs="Times New Roman" w:hint="eastAsia"/>
          <w:szCs w:val="21"/>
          <w:highlight w:val="yellow"/>
        </w:rPr>
        <w:t>开展维修维护工作，到场维修或更换有缺陷的设备或部件，设备</w:t>
      </w:r>
      <w:r>
        <w:rPr>
          <w:rFonts w:ascii="宋体" w:eastAsia="宋体" w:hAnsi="宋体" w:cs="Times New Roman" w:hint="eastAsia"/>
          <w:szCs w:val="21"/>
          <w:highlight w:val="yellow"/>
          <w:lang w:val="en-US" w:eastAsia="zh-CN"/>
        </w:rPr>
        <w:t>在36小时内</w:t>
      </w:r>
      <w:r>
        <w:rPr>
          <w:rFonts w:ascii="宋体" w:eastAsia="宋体" w:hAnsi="宋体" w:cs="Times New Roman" w:hint="eastAsia"/>
          <w:szCs w:val="21"/>
          <w:highlight w:val="yellow"/>
        </w:rPr>
        <w:t>恢复正常运行时限。前述维修更换产生的所有费用由乙方自行承担；逾期未完成的，甲方有权自行或委托第三方维修，产生的全部费用由乙方承担，甲方可直接从应付乙方款项或履约保证金中扣除。</w:t>
      </w:r>
    </w:p>
    <w:p>
      <w:pPr>
        <w:tabs>
          <w:tab w:val="left" w:pos="1573"/>
        </w:tabs>
        <w:adjustRightInd w:val="0"/>
        <w:snapToGrid w:val="0"/>
        <w:spacing w:line="360" w:lineRule="auto"/>
        <w:ind w:left="840"/>
        <w:rPr>
          <w:rFonts w:ascii="宋体" w:eastAsia="宋体" w:hAnsi="宋体" w:cs="Times New Roman" w:hint="eastAsia"/>
          <w:szCs w:val="21"/>
          <w:highlight w:val="yellow"/>
        </w:rPr>
      </w:pPr>
      <w:r>
        <w:rPr>
          <w:rFonts w:ascii="宋体" w:eastAsia="宋体" w:hAnsi="宋体" w:cs="Times New Roman" w:hint="eastAsia"/>
          <w:szCs w:val="21"/>
          <w:highlight w:val="yellow"/>
          <w:lang w:eastAsia="zh-CN"/>
        </w:rPr>
        <w:t>4</w:t>
      </w:r>
      <w:r>
        <w:rPr>
          <w:rFonts w:ascii="宋体" w:eastAsia="宋体" w:hAnsi="宋体" w:cs="Times New Roman" w:hint="eastAsia"/>
          <w:szCs w:val="21"/>
          <w:highlight w:val="yellow"/>
        </w:rPr>
        <w:t>)在质量保证期内，如果设备的质量或规格与合同不符，或证实设备是有缺陷的，包括潜在的缺陷或使用不符合要求的材料等，甲方有权自行或委托第三方维修，产生的全部费用由乙方承担，甲方可直接从应付乙方款项或履约保证金中扣除。</w:t>
      </w:r>
    </w:p>
    <w:p>
      <w:pPr>
        <w:tabs>
          <w:tab w:val="left" w:pos="1573"/>
        </w:tabs>
        <w:adjustRightInd w:val="0"/>
        <w:snapToGrid w:val="0"/>
        <w:spacing w:line="360" w:lineRule="auto"/>
        <w:ind w:left="840"/>
        <w:rPr>
          <w:rFonts w:ascii="宋体" w:eastAsia="宋体" w:hAnsi="宋体" w:cs="Times New Roman" w:hint="eastAsia"/>
          <w:szCs w:val="21"/>
          <w:highlight w:val="yellow"/>
        </w:rPr>
      </w:pPr>
      <w:r>
        <w:rPr>
          <w:rFonts w:ascii="宋体" w:eastAsia="宋体" w:hAnsi="宋体" w:cs="Times New Roman" w:hint="eastAsia"/>
          <w:szCs w:val="21"/>
          <w:highlight w:val="yellow"/>
          <w:lang w:eastAsia="zh-CN"/>
        </w:rPr>
        <w:t>5</w:t>
      </w:r>
      <w:r>
        <w:rPr>
          <w:rFonts w:ascii="宋体" w:eastAsia="宋体" w:hAnsi="宋体" w:cs="Times New Roman" w:hint="eastAsia"/>
          <w:szCs w:val="21"/>
          <w:highlight w:val="yellow"/>
        </w:rPr>
        <w:t>)乙方在约定的时间内未能弥补缺陷，甲方可采取必要的补救措施，但其风险和费用将由乙方承担，甲方根据合同约定对乙方行使的其他权利不受影响。</w:t>
      </w:r>
    </w:p>
    <w:p>
      <w:pPr>
        <w:tabs>
          <w:tab w:val="left" w:pos="1573"/>
        </w:tabs>
        <w:adjustRightInd w:val="0"/>
        <w:snapToGrid w:val="0"/>
        <w:spacing w:line="360" w:lineRule="auto"/>
        <w:ind w:left="840"/>
        <w:rPr>
          <w:rFonts w:ascii="宋体" w:eastAsia="宋体" w:hAnsi="宋体" w:cs="Times New Roman" w:hint="eastAsia"/>
          <w:color w:val="FF0000"/>
          <w:szCs w:val="21"/>
          <w:highlight w:val="yellow"/>
        </w:rPr>
      </w:pPr>
      <w:r>
        <w:rPr>
          <w:rFonts w:ascii="宋体" w:eastAsia="宋体" w:hAnsi="宋体" w:cs="Times New Roman" w:hint="eastAsia"/>
          <w:szCs w:val="21"/>
          <w:highlight w:val="yellow"/>
          <w:lang w:val="en-US" w:eastAsia="zh-CN"/>
        </w:rPr>
        <w:t>6</w:t>
      </w:r>
      <w:r>
        <w:rPr>
          <w:rFonts w:ascii="宋体" w:eastAsia="宋体" w:hAnsi="宋体" w:cs="Times New Roman" w:hint="eastAsia"/>
          <w:szCs w:val="21"/>
          <w:highlight w:val="yellow"/>
        </w:rPr>
        <w:t>）质保期内提供</w:t>
      </w:r>
      <w:r>
        <w:rPr>
          <w:rFonts w:ascii="宋体" w:eastAsia="宋体" w:hAnsi="宋体" w:cs="Times New Roman" w:hint="eastAsia"/>
          <w:szCs w:val="21"/>
          <w:highlight w:val="yellow"/>
          <w:lang w:val="en-US" w:eastAsia="zh-CN"/>
        </w:rPr>
        <w:t>1</w:t>
      </w:r>
      <w:r>
        <w:rPr>
          <w:rFonts w:ascii="宋体" w:eastAsia="宋体" w:hAnsi="宋体" w:cs="Times New Roman" w:hint="eastAsia"/>
          <w:szCs w:val="21"/>
          <w:highlight w:val="yellow"/>
        </w:rPr>
        <w:t xml:space="preserve"> 次现场培训和</w:t>
      </w:r>
      <w:r>
        <w:rPr>
          <w:rFonts w:ascii="宋体" w:eastAsia="宋体" w:hAnsi="宋体" w:cs="Times New Roman" w:hint="eastAsia"/>
          <w:szCs w:val="21"/>
          <w:highlight w:val="yellow"/>
          <w:lang w:val="en-US" w:eastAsia="zh-CN"/>
        </w:rPr>
        <w:t>1</w:t>
      </w:r>
      <w:r>
        <w:rPr>
          <w:rFonts w:ascii="宋体" w:eastAsia="宋体" w:hAnsi="宋体" w:cs="Times New Roman" w:hint="eastAsia"/>
          <w:szCs w:val="21"/>
          <w:highlight w:val="yellow"/>
        </w:rPr>
        <w:t>次集中培训</w:t>
      </w:r>
      <w:r>
        <w:rPr>
          <w:rFonts w:ascii="宋体" w:eastAsia="宋体" w:hAnsi="宋体" w:cs="Times New Roman" w:hint="eastAsia"/>
          <w:szCs w:val="21"/>
          <w:highlight w:val="yellow"/>
          <w:lang w:eastAsia="zh-CN"/>
        </w:rPr>
        <w:t>。</w:t>
      </w:r>
    </w:p>
    <w:p>
      <w:pPr>
        <w:adjustRightInd w:val="0"/>
        <w:snapToGrid w:val="0"/>
        <w:spacing w:line="360" w:lineRule="auto"/>
        <w:ind w:left="420"/>
        <w:rPr>
          <w:rFonts w:ascii="Times New Roman" w:eastAsia="宋体" w:hAnsi="Times New Roman" w:cs="Times New Roman"/>
          <w:b/>
        </w:rPr>
      </w:pPr>
      <w:r>
        <w:rPr>
          <w:rFonts w:ascii="Times New Roman" w:eastAsia="宋体" w:hAnsi="Times New Roman" w:cs="Times New Roman" w:hint="eastAsia"/>
          <w:b/>
        </w:rPr>
        <w:t>（5）安全生产责任</w:t>
      </w:r>
    </w:p>
    <w:p>
      <w:pPr>
        <w:tabs>
          <w:tab w:val="left" w:pos="1573"/>
        </w:tabs>
        <w:adjustRightInd w:val="0"/>
        <w:snapToGrid w:val="0"/>
        <w:spacing w:line="360" w:lineRule="auto"/>
        <w:ind w:left="840" w:leftChars="0"/>
        <w:rPr>
          <w:rFonts w:ascii="宋体" w:eastAsia="宋体" w:hAnsi="宋体" w:cs="Times New Roman" w:hint="eastAsia"/>
          <w:color w:val="FF0000"/>
          <w:szCs w:val="21"/>
          <w:highlight w:val="none"/>
        </w:rPr>
      </w:pPr>
      <w:r>
        <w:rPr>
          <w:rFonts w:ascii="宋体" w:eastAsia="宋体" w:hAnsi="宋体" w:cs="Times New Roman" w:hint="eastAsia"/>
          <w:szCs w:val="21"/>
          <w:highlight w:val="none"/>
          <w:lang w:val="en-US" w:eastAsia="zh-CN"/>
        </w:rPr>
        <w:t>1</w:t>
      </w:r>
      <w:r>
        <w:rPr>
          <w:rFonts w:ascii="宋体" w:eastAsia="宋体" w:hAnsi="宋体" w:cs="Times New Roman" w:hint="eastAsia"/>
          <w:szCs w:val="21"/>
          <w:highlight w:val="none"/>
          <w:lang w:eastAsia="zh-CN"/>
        </w:rPr>
        <w:t>）</w:t>
      </w:r>
      <w:r>
        <w:rPr>
          <w:rFonts w:ascii="宋体" w:eastAsia="宋体" w:hAnsi="宋体" w:cs="Times New Roman" w:hint="eastAsia"/>
          <w:color w:val="FF0000"/>
          <w:szCs w:val="21"/>
          <w:highlight w:val="none"/>
        </w:rPr>
        <w:t>乙方是施工期间安全生产的直接责任人 。对其员工、设备、操作过程负全责。</w:t>
      </w:r>
    </w:p>
    <w:p>
      <w:pPr>
        <w:tabs>
          <w:tab w:val="left" w:pos="1573"/>
        </w:tabs>
        <w:adjustRightInd w:val="0"/>
        <w:snapToGrid w:val="0"/>
        <w:spacing w:line="360" w:lineRule="auto"/>
        <w:ind w:left="840" w:leftChars="0"/>
        <w:rPr>
          <w:rFonts w:ascii="宋体" w:eastAsia="宋体" w:hAnsi="宋体" w:cs="Times New Roman" w:hint="eastAsia"/>
          <w:color w:val="FF0000"/>
          <w:szCs w:val="21"/>
          <w:highlight w:val="none"/>
        </w:rPr>
      </w:pPr>
      <w:r>
        <w:rPr>
          <w:rFonts w:ascii="宋体" w:eastAsia="宋体" w:hAnsi="宋体" w:cs="Times New Roman" w:hint="eastAsia"/>
          <w:color w:val="FF0000"/>
          <w:szCs w:val="21"/>
          <w:highlight w:val="none"/>
        </w:rPr>
        <w:t>一切损失由乙方承担 。施工期间，因乙方原因（包括设备缺陷、操作失误等）导致任何人员伤亡、甲方或第三方财产损失，全部赔偿和法律责任由乙方独立承担 。</w:t>
      </w:r>
    </w:p>
    <w:p>
      <w:pPr>
        <w:tabs>
          <w:tab w:val="left" w:pos="1573"/>
        </w:tabs>
        <w:adjustRightInd w:val="0"/>
        <w:snapToGrid w:val="0"/>
        <w:spacing w:line="360" w:lineRule="auto"/>
        <w:ind w:left="840" w:leftChars="0"/>
        <w:rPr>
          <w:rFonts w:ascii="宋体" w:eastAsia="宋体" w:hAnsi="宋体" w:cs="Times New Roman" w:hint="eastAsia"/>
          <w:color w:val="FF0000"/>
          <w:szCs w:val="21"/>
          <w:highlight w:val="none"/>
        </w:rPr>
      </w:pPr>
      <w:r>
        <w:rPr>
          <w:rFonts w:ascii="宋体" w:eastAsia="宋体" w:hAnsi="宋体" w:cs="Times New Roman" w:hint="eastAsia"/>
          <w:szCs w:val="21"/>
          <w:highlight w:val="none"/>
          <w:lang w:val="en-US" w:eastAsia="zh-CN"/>
        </w:rPr>
        <w:t>2</w:t>
      </w:r>
      <w:r>
        <w:rPr>
          <w:rFonts w:ascii="宋体" w:eastAsia="宋体" w:hAnsi="宋体" w:cs="Times New Roman" w:hint="eastAsia"/>
          <w:szCs w:val="21"/>
          <w:highlight w:val="none"/>
          <w:lang w:eastAsia="zh-CN"/>
        </w:rPr>
        <w:t>）</w:t>
      </w:r>
      <w:r>
        <w:rPr>
          <w:rFonts w:ascii="宋体" w:eastAsia="宋体" w:hAnsi="宋体" w:cs="Times New Roman" w:hint="eastAsia"/>
          <w:color w:val="FF0000"/>
          <w:szCs w:val="21"/>
          <w:highlight w:val="none"/>
        </w:rPr>
        <w:t>甲方发现安全隐患有权要求乙方立即停工整改，但此监督权不减轻或转移乙方的任何安全责任 。</w:t>
      </w:r>
    </w:p>
    <w:p>
      <w:pPr>
        <w:tabs>
          <w:tab w:val="left" w:pos="1573"/>
        </w:tabs>
        <w:adjustRightInd w:val="0"/>
        <w:snapToGrid w:val="0"/>
        <w:spacing w:line="360" w:lineRule="auto"/>
        <w:ind w:left="840" w:leftChars="0"/>
        <w:rPr>
          <w:rFonts w:ascii="宋体" w:eastAsia="宋体" w:hAnsi="宋体" w:cs="Times New Roman" w:hint="eastAsia"/>
          <w:color w:val="FF0000"/>
          <w:szCs w:val="21"/>
          <w:highlight w:val="none"/>
        </w:rPr>
      </w:pPr>
      <w:r>
        <w:rPr>
          <w:rFonts w:ascii="宋体" w:eastAsia="宋体" w:hAnsi="宋体" w:cs="Times New Roman" w:hint="eastAsia"/>
          <w:szCs w:val="21"/>
          <w:highlight w:val="none"/>
          <w:lang w:val="en-US" w:eastAsia="zh-CN"/>
        </w:rPr>
        <w:t>3</w:t>
      </w:r>
      <w:r>
        <w:rPr>
          <w:rFonts w:ascii="宋体" w:eastAsia="宋体" w:hAnsi="宋体" w:cs="Times New Roman" w:hint="eastAsia"/>
          <w:szCs w:val="21"/>
          <w:highlight w:val="none"/>
          <w:lang w:eastAsia="zh-CN"/>
        </w:rPr>
        <w:t>）</w:t>
      </w:r>
      <w:r>
        <w:rPr>
          <w:rFonts w:ascii="宋体" w:eastAsia="宋体" w:hAnsi="宋体" w:cs="Times New Roman" w:hint="eastAsia"/>
          <w:color w:val="FF0000"/>
          <w:szCs w:val="21"/>
          <w:highlight w:val="none"/>
        </w:rPr>
        <w:t>特别保障 ：乙方同意，若发生上述安全事故，甲方有权从应付乙方的任何款项（包括但不限于质保金、尾款）中直接扣除 相应金额用于支付赔偿或处理事故，并有权要求乙方立即补足扣款部分。</w:t>
      </w:r>
    </w:p>
    <w:p>
      <w:pPr>
        <w:tabs>
          <w:tab w:val="left" w:pos="1573"/>
        </w:tabs>
        <w:adjustRightInd w:val="0"/>
        <w:snapToGrid w:val="0"/>
        <w:spacing w:line="360" w:lineRule="auto"/>
        <w:ind w:left="840" w:leftChars="0"/>
        <w:rPr>
          <w:rFonts w:ascii="宋体" w:eastAsia="宋体" w:hAnsi="宋体" w:cs="Times New Roman" w:hint="eastAsia"/>
          <w:szCs w:val="21"/>
          <w:highlight w:val="none"/>
        </w:rPr>
      </w:pPr>
      <w:r>
        <w:rPr>
          <w:rFonts w:ascii="宋体" w:eastAsia="宋体" w:hAnsi="宋体" w:cs="Times New Roman" w:hint="eastAsia"/>
          <w:szCs w:val="21"/>
          <w:highlight w:val="none"/>
          <w:lang w:val="en-US" w:eastAsia="zh-CN"/>
        </w:rPr>
        <w:t>4</w:t>
      </w:r>
      <w:r>
        <w:rPr>
          <w:rFonts w:ascii="宋体" w:eastAsia="宋体" w:hAnsi="宋体" w:cs="Times New Roman" w:hint="eastAsia"/>
          <w:szCs w:val="21"/>
          <w:highlight w:val="none"/>
          <w:lang w:eastAsia="zh-CN"/>
        </w:rPr>
        <w:t>）</w:t>
      </w:r>
      <w:r>
        <w:rPr>
          <w:rFonts w:ascii="宋体" w:eastAsia="宋体" w:hAnsi="宋体" w:cs="Times New Roman" w:hint="eastAsia"/>
          <w:color w:val="FF0000"/>
          <w:szCs w:val="21"/>
          <w:highlight w:val="none"/>
        </w:rPr>
        <w:t>基础保障 ：乙方承诺其具备完成本合同项目的法定资质及安全生产条件。</w:t>
      </w:r>
    </w:p>
    <w:p>
      <w:pPr>
        <w:adjustRightInd w:val="0"/>
        <w:snapToGrid w:val="0"/>
        <w:spacing w:line="400" w:lineRule="exact"/>
        <w:ind w:left="420"/>
        <w:rPr>
          <w:rFonts w:ascii="宋体" w:eastAsia="宋体" w:hAnsi="宋体" w:cs="Times New Roman"/>
          <w:bCs/>
          <w:szCs w:val="21"/>
        </w:rPr>
      </w:pPr>
      <w:r>
        <w:rPr>
          <w:rFonts w:ascii="宋体" w:eastAsia="宋体" w:hAnsi="宋体" w:cs="Times New Roman" w:hint="eastAsia"/>
          <w:bCs/>
          <w:szCs w:val="21"/>
        </w:rPr>
        <w:t>（6）验收组织方式：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履约验收时间：</w:t>
      </w:r>
      <w:r>
        <w:rPr>
          <w:rFonts w:ascii="宋体" w:eastAsia="宋体" w:hAnsi="宋体" w:cs="Times New Roman" w:hint="eastAsia"/>
          <w:bCs/>
          <w:szCs w:val="21"/>
          <w:u w:val="single"/>
        </w:rPr>
        <w:t xml:space="preserve">（计划于何时验收/供应商提出验收申请之日起   日内组织验收） </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履约验收程序：</w:t>
      </w:r>
      <w:r>
        <w:rPr>
          <w:rFonts w:ascii="宋体" w:eastAsia="宋体" w:hAnsi="宋体" w:cs="Times New Roman" w:hint="eastAsia"/>
          <w:bCs/>
          <w:szCs w:val="21"/>
          <w:u w:val="single"/>
        </w:rPr>
        <w:t xml:space="preserve">                                         </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735" w:firstLineChars="350"/>
        <w:rPr>
          <w:rFonts w:ascii="宋体" w:eastAsia="宋体" w:hAnsi="宋体" w:cs="Times New Roman"/>
          <w:bCs/>
          <w:szCs w:val="21"/>
          <w:u w:val="single"/>
        </w:rPr>
      </w:pPr>
      <w:r>
        <w:rPr>
          <w:rFonts w:ascii="宋体" w:eastAsia="宋体" w:hAnsi="宋体" w:cs="Times New Roman" w:hint="eastAsia"/>
          <w:bCs/>
          <w:szCs w:val="21"/>
        </w:rPr>
        <w:t>履约验收标准：</w:t>
      </w:r>
      <w:r>
        <w:rPr>
          <w:rFonts w:ascii="宋体" w:eastAsia="宋体" w:hAnsi="宋体" w:cs="Times New Roman" w:hint="eastAsia"/>
          <w:bCs/>
          <w:szCs w:val="21"/>
          <w:u w:val="single"/>
        </w:rPr>
        <w:t xml:space="preserve">                                         </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735" w:firstLineChars="350"/>
        <w:rPr>
          <w:rFonts w:ascii="宋体" w:eastAsia="宋体" w:hAnsi="宋体" w:cs="宋体"/>
          <w:bCs/>
          <w:szCs w:val="21"/>
          <w:u w:val="single"/>
        </w:rPr>
      </w:pPr>
      <w:r>
        <w:rPr>
          <w:rFonts w:ascii="宋体" w:eastAsia="宋体" w:hAnsi="宋体" w:cs="宋体" w:hint="eastAsia"/>
          <w:bCs/>
          <w:szCs w:val="21"/>
        </w:rPr>
        <w:t>履约验收其他事项：</w:t>
      </w:r>
      <w:r>
        <w:rPr>
          <w:rFonts w:ascii="宋体" w:eastAsia="宋体" w:hAnsi="宋体" w:cs="宋体" w:hint="eastAsia"/>
          <w:bCs/>
          <w:szCs w:val="21"/>
          <w:u w:val="single"/>
        </w:rPr>
        <w:t xml:space="preserve">      （产权过户登记等）          </w:t>
      </w:r>
    </w:p>
    <w:p>
      <w:pPr>
        <w:numPr>
          <w:ilvl w:val="0"/>
          <w:numId w:val="0"/>
        </w:numPr>
        <w:adjustRightInd w:val="0"/>
        <w:snapToGrid w:val="0"/>
        <w:spacing w:line="400" w:lineRule="exact"/>
        <w:rPr>
          <w:rFonts w:ascii="宋体" w:hAnsi="宋体"/>
          <w:b/>
          <w:szCs w:val="21"/>
          <w:highlight w:val="none"/>
        </w:rPr>
      </w:pP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178" w:name="_Toc27624"/>
      <w:r>
        <w:rPr>
          <w:rFonts w:ascii="黑体" w:hAnsi="黑体" w:hint="eastAsia"/>
          <w:b w:val="0"/>
          <w:bCs w:val="0"/>
          <w:sz w:val="28"/>
          <w:szCs w:val="28"/>
          <w:highlight w:val="none"/>
        </w:rPr>
        <w:t>第二节 政府采购合同通用条款</w:t>
      </w:r>
      <w:bookmarkEnd w:id="178"/>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17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179"/>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180"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18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175"/>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DejaVu Sans"/>
    <w:panose1 w:val="02020603050405020304"/>
    <w:charset w:val="CC"/>
    <w:family w:val="roman"/>
    <w:pitch w:val="variable"/>
    <w:sig w:usb0="00000000" w:usb1="00000000" w:usb2="00000009" w:usb3="00000000" w:csb0="400001FF" w:csb1="FFFF0000"/>
  </w:font>
  <w:font w:name="宋体">
    <w:altName w:val="方正书宋_GBK"/>
    <w:panose1 w:val="00000000000000000000"/>
    <w:charset w:val="86"/>
    <w:family w:val="auto"/>
    <w:pitch w:val="variable"/>
    <w:sig w:usb0="00000000" w:usb1="00000000" w:usb2="00000000" w:usb3="00000000" w:csb0="00040001" w:csb1="00000000"/>
  </w:font>
  <w:font w:name="Wingdings">
    <w:altName w:val="DaHao"/>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variable"/>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DaHao"/>
    <w:panose1 w:val="02000609000000000000"/>
    <w:charset w:val="02"/>
    <w:family w:val="roman"/>
    <w:pitch w:val="variable"/>
    <w:sig w:usb0="800000AF" w:usb1="4000204A" w:usb2="00000000" w:usb3="00000000" w:csb0="A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variable"/>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微软雅黑">
    <w:altName w:val="方正黑体_GBK"/>
    <w:panose1 w:val="020B0503020204020204"/>
    <w:charset w:val="86"/>
    <w:family w:val="swiss"/>
    <w:pitch w:val="default"/>
    <w:sig w:usb0="00000000" w:usb1="00000000" w:usb2="00000016" w:usb3="00000000" w:csb0="0004001F" w:csb1="00000000"/>
  </w:font>
  <w:font w:name="Tahoma">
    <w:altName w:val="DejaVu Sans"/>
    <w:panose1 w:val="020B0604030504040204"/>
    <w:charset w:val="00"/>
    <w:family w:val="swiss"/>
    <w:pitch w:val="default"/>
    <w:sig w:usb0="00000000" w:usb1="00000000" w:usb2="00000029" w:usb3="00000000" w:csb0="200101FF" w:csb1="20280000"/>
  </w:font>
  <w:font w:name="华文楷体">
    <w:altName w:val="方正楷体_GBK"/>
    <w:panose1 w:val="02010600040101010101"/>
    <w:charset w:val="86"/>
    <w:family w:val="auto"/>
    <w:pitch w:val="default"/>
    <w:sig w:usb0="00000000" w:usb1="00000000" w:usb2="00000000" w:usb3="00000000" w:csb0="0004009F" w:csb1="DFD70000"/>
  </w:font>
  <w:font w:name="方正楷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华文仿宋">
    <w:altName w:val="汉仪仿宋简"/>
    <w:panose1 w:val="02010600040101010101"/>
    <w:charset w:val="86"/>
    <w:family w:val="auto"/>
    <w:pitch w:val="default"/>
    <w:sig w:usb0="00000000" w:usb1="00000000" w:usb2="00000000" w:usb3="00000000" w:csb0="0004009F" w:csb1="DFD70000"/>
  </w:font>
  <w:font w:name="汉仪仿宋简">
    <w:panose1 w:val="02010600000101010101"/>
    <w:charset w:val="86"/>
    <w:family w:val="auto"/>
    <w:pitch w:val="default"/>
    <w:sig w:usb0="00000001" w:usb1="080E0800" w:usb2="00000002" w:usb3="00000000" w:csb0="00040000" w:csb1="00000000"/>
  </w:font>
  <w:font w:name="仿宋">
    <w:altName w:val="方正仿宋_GBK"/>
    <w:panose1 w:val="02010609060101010101"/>
    <w:charset w:val="86"/>
    <w:family w:val="modern"/>
    <w:pitch w:val="fixed"/>
    <w:sig w:usb0="00000000" w:usb1="00000000" w:usb2="00000016" w:usb3="00000000" w:csb0="00040001" w:csb1="00000000"/>
  </w:font>
  <w:font w:name="拒绝">
    <w:altName w:val="思源宋体"/>
    <w:panose1 w:val="00000000000000000000"/>
    <w:charset w:val="86"/>
    <w:family w:val="roma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楷体">
    <w:altName w:val="方正楷体_GBK"/>
    <w:panose1 w:val="02010609060101010101"/>
    <w:charset w:val="86"/>
    <w:family w:val="modern"/>
    <w:pitch w:val="default"/>
    <w:sig w:usb0="00000000" w:usb1="00000000"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汉仪书宋二S">
    <w:altName w:val="方正书宋_GBK"/>
    <w:panose1 w:val="00000000000000000000"/>
    <w:charset w:val="00"/>
    <w:family w:val="auto"/>
    <w:pitch w:val="default"/>
    <w:sig w:usb0="00000000" w:usb1="00000000" w:usb2="00000000" w:usb3="00000000" w:csb0="00000001" w:csb1="00000000"/>
  </w:font>
  <w:font w:name="文泉驿微米黑">
    <w:panose1 w:val="020B0606030804020204"/>
    <w:charset w:val="86"/>
    <w:family w:val="auto"/>
    <w:pitch w:val="default"/>
    <w:sig w:usb0="E10002EF" w:usb1="6BDFFCFB" w:usb2="00800036" w:usb3="00000000" w:csb0="603E019F" w:csb1="DFD7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方正小标宋简体">
    <w:altName w:val="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FreeSerif">
    <w:panose1 w:val="02020603050405020304"/>
    <w:charset w:val="00"/>
    <w:family w:val="auto"/>
    <w:pitch w:val="default"/>
    <w:sig w:usb0="E59FAFFF" w:usb1="C200FDFF" w:usb2="43501B29" w:usb3="04000043" w:csb0="600101FF" w:csb1="FFFF0000"/>
  </w:font>
  <w:font w:name="DaHao">
    <w:panose1 w:val="03000509000000000000"/>
    <w:charset w:val="86"/>
    <w:family w:val="auto"/>
    <w:pitch w:val="default"/>
    <w:sig w:usb0="00000001" w:usb1="080E0000" w:usb2="00000000" w:usb3="00000000" w:csb0="003C0041" w:csb1="A00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903234A">
    <w:pPr>
      <w:pStyle w:val="Footer"/>
      <w:jc w:val="center"/>
    </w:pPr>
    <w:r>
      <w:fldChar w:fldCharType="begin"/>
    </w:r>
    <w:r>
      <w:instrText xml:space="preserve"> PAGE   \* MERGEFORMAT </w:instrText>
    </w:r>
    <w:r>
      <w:fldChar w:fldCharType="separate"/>
    </w:r>
    <w:r>
      <w:rPr>
        <w:lang w:val="zh-CN"/>
      </w:rPr>
      <w:t>1</w:t>
    </w:r>
    <w:r>
      <w:fldChar w:fldCharType="end"/>
    </w:r>
  </w:p>
  <w:p w14:paraId="206821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EF643BC">
    <w:pPr>
      <w:pStyle w:val="Footer"/>
      <w:jc w:val="center"/>
    </w:pPr>
    <w:r>
      <w:fldChar w:fldCharType="begin"/>
    </w:r>
    <w:r>
      <w:instrText xml:space="preserve"> PAGE   \* MERGEFORMAT </w:instrText>
    </w:r>
    <w:r>
      <w:fldChar w:fldCharType="separate"/>
    </w:r>
    <w:r>
      <w:rPr>
        <w:lang w:val="zh-CN"/>
      </w:rPr>
      <w:t>71</w:t>
    </w:r>
    <w:r>
      <w:fldChar w:fldCharType="end"/>
    </w:r>
  </w:p>
  <w:p w14:paraId="54C8B46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DEDE1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F5590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1530C5B"/>
    <w:multiLevelType w:val="singleLevel"/>
    <w:tmpl w:val="21530C5B"/>
    <w:lvl w:ilvl="0">
      <w:start w:val="1"/>
      <w:numFmt w:val="decimal"/>
      <w:lvlText w:val="%1)"/>
      <w:lvlJc w:val="left"/>
      <w:pPr>
        <w:ind w:left="562"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6307C022"/>
    <w:multiLevelType w:val="singleLevel"/>
    <w:tmpl w:val="6307C022"/>
    <w:lvl w:ilvl="0">
      <w:start w:val="1"/>
      <w:numFmt w:val="decimal"/>
      <w:suff w:val="nothing"/>
      <w:lvlText w:val="%1）"/>
      <w:lvlJc w:val="left"/>
    </w:lvl>
  </w:abstractNum>
  <w:abstractNum w:abstractNumId="13">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EAAA7AB"/>
    <w:multiLevelType w:val="singleLevel"/>
    <w:tmpl w:val="7EAAA7AB"/>
    <w:lvl w:ilvl="0">
      <w:start w:val="4"/>
      <w:numFmt w:val="chineseCounting"/>
      <w:suff w:val="nothing"/>
      <w:lvlText w:val="%1、"/>
      <w:lvlJc w:val="left"/>
      <w:rPr>
        <w:rFonts w:hint="eastAsia"/>
      </w:rPr>
    </w:lvl>
  </w:abstractNum>
  <w:num w:numId="1">
    <w:abstractNumId w:val="6"/>
  </w:num>
  <w:num w:numId="2">
    <w:abstractNumId w:val="5"/>
  </w:num>
  <w:num w:numId="3">
    <w:abstractNumId w:val="7"/>
  </w:num>
  <w:num w:numId="4">
    <w:abstractNumId w:val="15"/>
  </w:num>
  <w:num w:numId="5">
    <w:abstractNumId w:val="9"/>
  </w:num>
  <w:num w:numId="6">
    <w:abstractNumId w:val="11"/>
  </w:num>
  <w:num w:numId="7">
    <w:abstractNumId w:val="14"/>
  </w:num>
  <w:num w:numId="8">
    <w:abstractNumId w:val="1"/>
  </w:num>
  <w:num w:numId="9">
    <w:abstractNumId w:val="12"/>
  </w:num>
  <w:num w:numId="10">
    <w:abstractNumId w:val="8"/>
  </w:num>
  <w:num w:numId="11">
    <w:abstractNumId w:val="13"/>
  </w:num>
  <w:num w:numId="12">
    <w:abstractNumId w:val="3"/>
  </w:num>
  <w:num w:numId="13">
    <w:abstractNumId w:val="2"/>
  </w:num>
  <w:num w:numId="14">
    <w:abstractNumId w:val="10"/>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documentProtection w:edit="trackedChanges" w:enforcement="0"/>
  <w:defaultTabStop w:val="420"/>
  <w:drawingGridHorizontalSpacing w:val="105"/>
  <w:drawingGridVerticalSpacing w:val="156"/>
  <w:noPunctuationKerning/>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8F73E2B8"/>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4FCB"/>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1786"/>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0" w:unhideWhenUsed="0" w:qFormat="1"/>
    <w:lsdException w:name="Emphasis" w:semiHidden="0" w:uiPriority="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lsdException w:name="annotation subject" w:semiHidden="0" w:uiPriority="0" w:unhideWhenUsed="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Emphasis">
    <w:name w:val="Emphasis"/>
    <w:qFormat/>
    <w:rPr>
      <w:i/>
    </w:rP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rPr>
      <w:kern w:val="2"/>
      <w:sz w:val="18"/>
      <w:szCs w:val="18"/>
    </w:rPr>
  </w:style>
  <w:style w:type="character" w:customStyle="1" w:styleId="Char5">
    <w:name w:val="页脚 Char"/>
    <w:link w:val="Footer"/>
    <w:uiPriority w:val="99"/>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rPr>
      <w:kern w:val="2"/>
      <w:sz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rPr>
      <w:rFonts w:ascii="Tahoma" w:hAnsi="Tahoma"/>
      <w:sz w:val="24"/>
    </w:rPr>
  </w:style>
  <w:style w:type="paragraph" w:customStyle="1" w:styleId="Revision">
    <w:name w:val="Revision"/>
    <w:uiPriority w:val="99"/>
    <w:semiHidden/>
    <w:rPr>
      <w:rFonts w:ascii="Times New Roman" w:eastAsia="宋体" w:hAnsi="Times New Roman" w:cs="Times New Roman"/>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user</cp:lastModifiedBy>
  <cp:revision>2</cp:revision>
  <cp:lastPrinted>2014-06-19T14:19:00Z</cp:lastPrinted>
  <dcterms:created xsi:type="dcterms:W3CDTF">2023-10-16T10:37:00Z</dcterms:created>
  <dcterms:modified xsi:type="dcterms:W3CDTF">2026-09-30T16:12:35Z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2052-12.1.2.24722</vt:lpwstr>
  </property>
  <property fmtid="{D5CDD505-2E9C-101B-9397-08002B2CF9AE}" pid="4" name="KSOTemplateDocerSaveRecord">
    <vt:lpwstr>eyJoZGlkIjoiM2FkMjdjNjAxZjdmYjI5MjMyNmE5MTA5ZjJkMDM4NmEiLCJ1c2VySWQiOiI0MTI2MjIxMDYifQ==</vt:lpwstr>
  </property>
</Properties>
</file>