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2025年四川高原地区微小型X波段天气雷达采购项目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ZQCD-25473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四川省气象探测数据中心（四川省气象技术装备中心 四川省气象档案馆）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2025年四川高原地区微小型X波段天气雷达采购项目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ZQCD-25473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各采购单位所在省、区、市境内指定地点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2025年12月12日 00:00:00</w:t>
      </w:r>
      <w:bookmarkEnd w:id="26"/>
      <w:r>
        <w:rPr>
          <w:rFonts w:ascii="宋体" w:hint="eastAsia"/>
          <w:szCs w:val="21"/>
          <w:highlight w:val="none"/>
        </w:rPr>
        <w:t>至</w:t>
      </w:r>
      <w:bookmarkStart w:id="27" w:name="项目公告_signUpLastTime"/>
      <w:r>
        <w:rPr>
          <w:rFonts w:ascii="宋体" w:hint="eastAsia"/>
          <w:szCs w:val="21"/>
          <w:highlight w:val="none"/>
        </w:rPr>
        <w:t>2025年12月19日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2026年01月05日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四川省气象探测数据中心（四川省气象技术装备中心 四川省气象档案馆）</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胡春</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028-87341766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成都市光华村街20号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四川省气象探测数据中心（四川省气象技术装备中心 四川省气象档案馆）</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不允许（仅针对以下产品：1、微小X波段雷达主机设备，2、微小X波段雷达设备基础建设安装、运输、供配电改造、防雷设施等不允许代理商投标）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（1）标的：微小X波段雷达主机设备，属于工业行业；（2）标的：微小X波段雷达设备基础建设安装、运输、供配电改造、防雷设施等，属于工业行业；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279.000000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279.000000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所采购雷达均安装于四川省高原地区</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销售合同必须包括微小型X波段天气雷达主机设备，每提供1份合同得1分，最多得5分。否则不得分。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针对本项目采购的微小型X波段天气雷达主机设备，</w:t>
              <w:cr/>
              <w:t>承诺每提前15天交货的得1分，最多得1分。否则不得分。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针对微小型X波段天气雷达主机设备，每提供 1份在海拔2500米（含）以上安装使用的用户证明材料得1分，每提供 1份在海拔2500米以下安装使用的用户证明材料得0.5分，最多得3分。否则不得分。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针对微小型X波段天气雷达主机设备，测试报告应涵盖极端气温（零下20°C）的整机环境适应性、抗大风、电磁兼容性检查得1分，最多得3分。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240" w:lineRule="auto"/>
        <w:ind w:firstLine="560" w:firstLineChars="200"/>
        <w:outlineLvl w:val="2"/>
        <w:rPr>
          <w:rFonts w:ascii="仿宋_GB2312" w:eastAsia="仿宋_GB2312" w:hAnsi="仿宋_GB2312" w:cs="仿宋_GB2312" w:hint="eastAsia"/>
          <w:bCs/>
          <w:sz w:val="28"/>
          <w:szCs w:val="28"/>
        </w:rPr>
      </w:pPr>
      <w:r>
        <w:rPr>
          <w:rFonts w:ascii="仿宋" w:eastAsia="仿宋" w:hAnsi="仿宋" w:cs="仿宋" w:hint="eastAsia"/>
          <w:sz w:val="28"/>
          <w:szCs w:val="20"/>
        </w:rPr>
        <w:t>一</w:t>
      </w:r>
      <w:r>
        <w:rPr>
          <w:rFonts w:ascii="仿宋_GB2312" w:eastAsia="仿宋_GB2312" w:hAnsi="仿宋_GB2312" w:cs="仿宋_GB2312" w:hint="eastAsia"/>
          <w:bCs/>
          <w:sz w:val="28"/>
          <w:szCs w:val="28"/>
        </w:rPr>
        <w:t xml:space="preserve"> 项目概况及总体要求（详见采购需求-其他技术及商务需求）</w:t>
      </w:r>
    </w:p>
    <w:p>
      <w:pPr>
        <w:spacing w:line="240" w:lineRule="auto"/>
        <w:ind w:firstLine="560" w:firstLineChars="200"/>
        <w:outlineLvl w:val="2"/>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二 设备需求一览表（详见采购需求附表）</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三</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技术性能指标</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按照《微小型X波段双线偏振多普勒天气雷达系统功能规格需求书（试行）》（气测函〔2025〕65号）研制生产雷达。</w:t>
      </w:r>
    </w:p>
    <w:p>
      <w:p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（一）分系统设计</w:t>
      </w:r>
    </w:p>
    <w:p>
      <w:pPr>
        <w:ind w:firstLine="560" w:firstLineChars="200"/>
        <w:outlineLvl w:val="4"/>
        <w:rPr>
          <w:rFonts w:ascii="仿宋_GB2312" w:eastAsia="仿宋_GB2312" w:hAnsi="仿宋_GB2312" w:cs="仿宋_GB2312" w:hint="eastAsia"/>
          <w:bCs/>
          <w:sz w:val="28"/>
          <w:szCs w:val="28"/>
        </w:rPr>
      </w:pPr>
      <w:bookmarkStart w:id="61" w:name="_Toc1647384446"/>
      <w:bookmarkStart w:id="62" w:name="_Toc13355"/>
      <w:bookmarkStart w:id="63" w:name="_Toc374091441"/>
      <w:r>
        <w:rPr>
          <w:rFonts w:ascii="仿宋_GB2312" w:eastAsia="仿宋_GB2312" w:hAnsi="仿宋_GB2312" w:cs="仿宋_GB2312" w:hint="eastAsia"/>
          <w:bCs/>
          <w:sz w:val="28"/>
          <w:szCs w:val="28"/>
        </w:rPr>
        <w:t>1</w:t>
      </w:r>
      <w:r>
        <w:rPr>
          <w:rFonts w:ascii="仿宋_GB2312" w:eastAsia="仿宋_GB2312" w:hAnsi="仿宋_GB2312" w:cs="仿宋_GB2312" w:hint="eastAsia"/>
          <w:sz w:val="28"/>
          <w:szCs w:val="28"/>
        </w:rPr>
        <w:t>.</w:t>
      </w:r>
      <w:r>
        <w:rPr>
          <w:rFonts w:ascii="仿宋_GB2312" w:eastAsia="仿宋_GB2312" w:hAnsi="仿宋_GB2312" w:cs="仿宋_GB2312" w:hint="eastAsia"/>
          <w:bCs/>
          <w:sz w:val="28"/>
          <w:szCs w:val="28"/>
        </w:rPr>
        <w:t>1天线罩</w:t>
      </w:r>
      <w:bookmarkEnd w:id="61"/>
    </w:p>
    <w:p>
      <w:pPr>
        <w:spacing w:line="570" w:lineRule="exact"/>
        <w:ind w:firstLine="560" w:firstLineChars="200"/>
        <w:rPr>
          <w:rFonts w:ascii="仿宋" w:eastAsia="仿宋" w:hAnsi="仿宋"/>
          <w:sz w:val="28"/>
          <w:szCs w:val="28"/>
        </w:rPr>
      </w:pPr>
      <w:r>
        <w:rPr>
          <w:rFonts w:ascii="仿宋" w:eastAsia="仿宋" w:hAnsi="仿宋" w:hint="eastAsia"/>
          <w:sz w:val="28"/>
          <w:szCs w:val="28"/>
        </w:rPr>
        <w:t>天线罩主要由罩体、底座等设施组成，罩体在电气性能上具有良好的电磁波穿透特性，机械性能上能经受外部恶劣环境。</w:t>
      </w:r>
    </w:p>
    <w:p>
      <w:pPr>
        <w:spacing w:line="570" w:lineRule="exact"/>
        <w:ind w:firstLine="560" w:firstLineChars="200"/>
        <w:rPr>
          <w:rFonts w:ascii="仿宋_GB2312"/>
          <w:sz w:val="28"/>
          <w:szCs w:val="28"/>
        </w:rPr>
      </w:pPr>
      <w:r>
        <w:rPr>
          <w:rFonts w:ascii="仿宋" w:eastAsia="仿宋" w:hAnsi="仿宋" w:hint="eastAsia"/>
          <w:sz w:val="28"/>
          <w:szCs w:val="28"/>
        </w:rPr>
        <w:t>天线罩其主要作用是保护雷达系统免受风雨、冰雪、沙尘和太阳辐射等的影响，减轻天线系统的磨损、腐蚀和老化，延长使用寿命。</w:t>
      </w:r>
    </w:p>
    <w:p>
      <w:pPr>
        <w:ind w:firstLine="560" w:firstLineChars="200"/>
        <w:outlineLvl w:val="4"/>
        <w:rPr>
          <w:rFonts w:ascii="仿宋_GB2312" w:eastAsia="仿宋_GB2312" w:hAnsi="仿宋_GB2312" w:cs="仿宋_GB2312" w:hint="eastAsia"/>
          <w:bCs/>
          <w:sz w:val="28"/>
          <w:szCs w:val="28"/>
        </w:rPr>
      </w:pPr>
      <w:bookmarkStart w:id="64" w:name="_Toc97932656"/>
      <w:r>
        <w:rPr>
          <w:rFonts w:ascii="仿宋_GB2312" w:eastAsia="仿宋_GB2312" w:hAnsi="仿宋_GB2312" w:cs="仿宋_GB2312" w:hint="eastAsia"/>
          <w:bCs/>
          <w:sz w:val="28"/>
          <w:szCs w:val="28"/>
        </w:rPr>
        <w:t>1.2天线</w:t>
      </w:r>
      <w:bookmarkEnd w:id="64"/>
    </w:p>
    <w:p>
      <w:pPr>
        <w:ind w:firstLine="560" w:firstLineChars="200"/>
        <w:outlineLvl w:val="9"/>
        <w:rPr>
          <w:rFonts w:ascii="仿宋" w:eastAsia="仿宋" w:hAnsi="仿宋" w:hint="eastAsia"/>
          <w:sz w:val="28"/>
          <w:szCs w:val="28"/>
        </w:rPr>
      </w:pPr>
      <w:r>
        <w:rPr>
          <w:rFonts w:ascii="仿宋" w:eastAsia="仿宋" w:hAnsi="仿宋" w:hint="eastAsia"/>
          <w:sz w:val="28"/>
          <w:szCs w:val="28"/>
        </w:rPr>
        <w:t>天线用于辐射微波能量和接收目标后向散射微波功率。</w:t>
      </w:r>
      <w:bookmarkStart w:id="65" w:name="_Toc1460331067"/>
    </w:p>
    <w:p>
      <w:pPr>
        <w:ind w:firstLine="560" w:firstLineChars="200"/>
        <w:outlineLvl w:val="4"/>
        <w:rPr>
          <w:rFonts w:ascii="仿宋_GB2312" w:hAnsi="仿宋_GB2312" w:cs="仿宋_GB2312"/>
          <w:bCs/>
          <w:sz w:val="28"/>
          <w:szCs w:val="28"/>
        </w:rPr>
      </w:pPr>
      <w:r>
        <w:rPr>
          <w:rFonts w:ascii="仿宋_GB2312" w:eastAsia="仿宋_GB2312" w:hAnsi="仿宋_GB2312" w:cs="仿宋_GB2312" w:hint="eastAsia"/>
          <w:bCs/>
          <w:sz w:val="28"/>
          <w:szCs w:val="28"/>
        </w:rPr>
        <w:t>1.3馈线</w:t>
      </w:r>
      <w:bookmarkEnd w:id="65"/>
    </w:p>
    <w:p>
      <w:pPr>
        <w:spacing w:line="48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馈线主要用于传输发射信号和接收信号。</w:t>
      </w:r>
    </w:p>
    <w:bookmarkEnd w:id="62"/>
    <w:bookmarkEnd w:id="63"/>
    <w:p>
      <w:pPr>
        <w:ind w:firstLine="560" w:firstLineChars="200"/>
        <w:outlineLvl w:val="4"/>
        <w:rPr>
          <w:rFonts w:ascii="仿宋_GB2312" w:eastAsia="仿宋_GB2312" w:hAnsi="仿宋_GB2312" w:cs="仿宋_GB2312" w:hint="eastAsia"/>
          <w:bCs/>
          <w:sz w:val="28"/>
          <w:szCs w:val="28"/>
        </w:rPr>
      </w:pPr>
      <w:bookmarkStart w:id="66" w:name="_Toc190723481"/>
      <w:bookmarkStart w:id="67" w:name="_Toc24935"/>
      <w:r>
        <w:rPr>
          <w:rFonts w:ascii="仿宋_GB2312" w:eastAsia="仿宋_GB2312" w:hAnsi="仿宋_GB2312" w:cs="仿宋_GB2312" w:hint="eastAsia"/>
          <w:bCs/>
          <w:sz w:val="28"/>
          <w:szCs w:val="28"/>
        </w:rPr>
        <w:t>1.4伺服转台</w:t>
      </w:r>
      <w:bookmarkEnd w:id="66"/>
    </w:p>
    <w:p>
      <w:pPr>
        <w:spacing w:line="480" w:lineRule="exact"/>
        <w:ind w:firstLine="560" w:firstLineChars="200"/>
        <w:rPr>
          <w:rFonts w:ascii="仿宋" w:eastAsia="仿宋" w:hAnsi="仿宋" w:hint="eastAsia"/>
          <w:sz w:val="28"/>
          <w:szCs w:val="28"/>
        </w:rPr>
      </w:pPr>
      <w:bookmarkStart w:id="68" w:name="_Hlk523992212"/>
      <w:bookmarkStart w:id="69" w:name="_Hlk522863903"/>
      <w:r>
        <w:rPr>
          <w:rFonts w:ascii="仿宋" w:eastAsia="仿宋" w:hAnsi="仿宋" w:hint="eastAsia"/>
          <w:sz w:val="28"/>
          <w:szCs w:val="28"/>
        </w:rPr>
        <w:t>天线控制具有机械限位功能；雷达伺服系统应支持平面位置扫描、距离高度扫描、体积扫描、扇形扫描、定点扫描等多种扫描方式，各种扫描方式均由软件控制完成。</w:t>
      </w:r>
    </w:p>
    <w:bookmarkEnd w:id="67"/>
    <w:bookmarkEnd w:id="68"/>
    <w:bookmarkEnd w:id="69"/>
    <w:p>
      <w:pPr>
        <w:ind w:firstLine="560" w:firstLineChars="200"/>
        <w:outlineLvl w:val="4"/>
        <w:rPr>
          <w:rFonts w:ascii="仿宋_GB2312" w:eastAsia="仿宋_GB2312" w:hAnsi="仿宋_GB2312" w:cs="仿宋_GB2312" w:hint="eastAsia"/>
          <w:bCs/>
          <w:sz w:val="28"/>
          <w:szCs w:val="28"/>
        </w:rPr>
      </w:pPr>
      <w:bookmarkStart w:id="70" w:name="_Toc773431488"/>
      <w:r>
        <w:rPr>
          <w:rFonts w:ascii="仿宋_GB2312" w:eastAsia="仿宋_GB2312" w:hAnsi="仿宋_GB2312" w:cs="仿宋_GB2312" w:hint="eastAsia"/>
          <w:bCs/>
          <w:sz w:val="28"/>
          <w:szCs w:val="28"/>
        </w:rPr>
        <w:t>1.5发射机</w:t>
      </w:r>
      <w:bookmarkEnd w:id="70"/>
    </w:p>
    <w:p>
      <w:pPr>
        <w:ind w:firstLine="560" w:firstLineChars="200"/>
        <w:outlineLvl w:val="9"/>
        <w:rPr>
          <w:rFonts w:ascii="仿宋" w:eastAsia="仿宋" w:hAnsi="仿宋" w:hint="eastAsia"/>
          <w:sz w:val="28"/>
          <w:szCs w:val="28"/>
        </w:rPr>
      </w:pPr>
      <w:r>
        <w:rPr>
          <w:rFonts w:ascii="仿宋" w:eastAsia="仿宋" w:hAnsi="仿宋" w:hint="eastAsia"/>
          <w:sz w:val="28"/>
          <w:szCs w:val="28"/>
        </w:rPr>
        <w:t>发射机将来自接收机的激励信号通过全固态功率放大后，输出大功率微波信号，通过天馈线向空间辐射；接收雷达监控单元的控制指令，完成对发射机的各种控制，并向监控单元反馈发射机的工作状态和故障信息。</w:t>
      </w:r>
      <w:bookmarkStart w:id="71" w:name="_Toc947362128"/>
      <w:bookmarkStart w:id="72" w:name="_Hlk522864094"/>
    </w:p>
    <w:p>
      <w:pPr>
        <w:ind w:firstLine="560" w:firstLineChars="200"/>
        <w:outlineLvl w:val="4"/>
        <w:rPr>
          <w:rFonts w:ascii="仿宋_GB2312" w:hAnsi="仿宋_GB2312" w:cs="仿宋_GB2312"/>
          <w:bCs/>
          <w:sz w:val="28"/>
          <w:szCs w:val="28"/>
        </w:rPr>
      </w:pPr>
      <w:r>
        <w:rPr>
          <w:rFonts w:ascii="仿宋_GB2312" w:eastAsia="仿宋_GB2312" w:hAnsi="仿宋_GB2312" w:cs="仿宋_GB2312" w:hint="eastAsia"/>
          <w:bCs/>
          <w:sz w:val="28"/>
          <w:szCs w:val="28"/>
        </w:rPr>
        <w:t>1.6接收机</w:t>
      </w:r>
      <w:bookmarkEnd w:id="71"/>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接收机接收气象目标回波信号，经放大、频率变换、滤波，输出中频信号，供数字中频单元进行信号处理。</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接收机采用高集成度设计，由接收通道、频率源（本振）等组成。</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接收通道主要完成回波信号的放大、滤波和下变频，并输出中频信号至数字中频模块。</w:t>
      </w:r>
    </w:p>
    <w:p>
      <w:pPr>
        <w:ind w:firstLine="560" w:firstLineChars="200"/>
        <w:outlineLvl w:val="9"/>
        <w:rPr>
          <w:rFonts w:ascii="仿宋" w:eastAsia="仿宋" w:hAnsi="仿宋" w:hint="eastAsia"/>
          <w:sz w:val="28"/>
          <w:szCs w:val="28"/>
        </w:rPr>
      </w:pPr>
      <w:r>
        <w:rPr>
          <w:rFonts w:ascii="仿宋" w:eastAsia="仿宋" w:hAnsi="仿宋" w:hint="eastAsia"/>
          <w:sz w:val="28"/>
          <w:szCs w:val="28"/>
        </w:rPr>
        <w:t>频率源为雷达各分机提供各种频率信号、本振信号、激励信号、参考时钟和测试信号，并以高稳定度的晶振作为频率基准。</w:t>
      </w:r>
      <w:bookmarkEnd w:id="72"/>
      <w:bookmarkStart w:id="73" w:name="_Toc28016954"/>
    </w:p>
    <w:p>
      <w:pPr>
        <w:ind w:firstLine="560" w:firstLineChars="200"/>
        <w:outlineLvl w:val="4"/>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1.7信号处理器</w:t>
      </w:r>
      <w:bookmarkEnd w:id="73"/>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1.7.1数字中频单元</w:t>
      </w:r>
    </w:p>
    <w:p>
      <w:pPr>
        <w:spacing w:line="570" w:lineRule="exact"/>
        <w:ind w:firstLine="560" w:firstLineChars="200"/>
        <w:rPr>
          <w:rFonts w:ascii="仿宋_GB2312"/>
          <w:sz w:val="28"/>
          <w:szCs w:val="28"/>
        </w:rPr>
      </w:pPr>
      <w:r>
        <w:rPr>
          <w:rFonts w:ascii="仿宋" w:eastAsia="仿宋" w:hAnsi="仿宋" w:hint="eastAsia"/>
          <w:sz w:val="28"/>
          <w:szCs w:val="28"/>
        </w:rPr>
        <w:t>数字中频单元实现雷达中频信号高速采集、提供雷达定时触发、脉冲压缩、接收角码数据、上传I/Q和角码数据，以及雷达下变频处理、动态范围、同步定时及控制等功能</w:t>
      </w:r>
      <w:r>
        <w:rPr>
          <w:rFonts w:ascii="仿宋_GB2312" w:hint="eastAsia"/>
          <w:sz w:val="28"/>
          <w:szCs w:val="28"/>
        </w:rPr>
        <w:t>。</w:t>
      </w:r>
    </w:p>
    <w:p>
      <w:pPr>
        <w:spacing w:line="570" w:lineRule="exact"/>
        <w:ind w:firstLine="560" w:firstLineChars="200"/>
        <w:rPr>
          <w:rFonts w:ascii="仿宋" w:eastAsia="仿宋" w:hAnsi="仿宋" w:hint="eastAsia"/>
          <w:color w:val="000000"/>
          <w:sz w:val="28"/>
          <w:szCs w:val="28"/>
        </w:rPr>
      </w:pPr>
      <w:r>
        <w:rPr>
          <w:rFonts w:ascii="仿宋" w:eastAsia="仿宋" w:hAnsi="仿宋" w:hint="eastAsia"/>
          <w:color w:val="000000"/>
          <w:sz w:val="28"/>
          <w:szCs w:val="28"/>
        </w:rPr>
        <w:t>数字中频单元布置于接收机内部。</w:t>
      </w:r>
    </w:p>
    <w:p>
      <w:pPr>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1.7.2信号处理软件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hint="eastAsia"/>
          <w:sz w:val="28"/>
          <w:szCs w:val="28"/>
          <w:vertAlign w:val="baseline"/>
        </w:rPr>
        <w:t>DR</w:t>
      </w:r>
      <w:r>
        <w:rPr>
          <w:rFonts w:ascii="仿宋" w:eastAsia="仿宋" w:hAnsi="仿宋" w:hint="eastAsia"/>
          <w:sz w:val="28"/>
          <w:szCs w:val="28"/>
        </w:rPr>
        <w:t>）、差分传播相移（φ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）、相关系数（ρ</w:t>
      </w:r>
      <w:r>
        <w:rPr>
          <w:rFonts w:ascii="仿宋" w:eastAsia="仿宋" w:hAnsi="仿宋" w:hint="eastAsia"/>
          <w:sz w:val="28"/>
          <w:szCs w:val="28"/>
          <w:vertAlign w:val="baseline"/>
        </w:rPr>
        <w:t>hv</w:t>
      </w:r>
      <w:r>
        <w:rPr>
          <w:rFonts w:ascii="仿宋" w:eastAsia="仿宋" w:hAnsi="仿宋" w:hint="eastAsia"/>
          <w:sz w:val="28"/>
          <w:szCs w:val="28"/>
        </w:rPr>
        <w:t>）等参数，具有速度退模糊和距离退折叠的能力。可向终端提供观测数据和状态信息等。具有地物、电磁干扰、风电干扰等非气象回波识别和抑制的能力。</w:t>
      </w:r>
    </w:p>
    <w:p>
      <w:pPr>
        <w:spacing w:line="240" w:lineRule="auto"/>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1.7.3终端软件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70" w:lineRule="exact"/>
        <w:ind w:firstLine="560" w:firstLineChars="200"/>
        <w:rPr>
          <w:rFonts w:ascii="仿宋" w:eastAsia="仿宋" w:hAnsi="仿宋" w:hint="eastAsia"/>
          <w:sz w:val="28"/>
          <w:szCs w:val="28"/>
        </w:rPr>
      </w:pPr>
      <w:r>
        <w:rPr>
          <w:rFonts w:ascii="仿宋_GB2312" w:hint="eastAsia"/>
          <w:sz w:val="28"/>
          <w:szCs w:val="28"/>
        </w:rPr>
        <w:t>2）</w:t>
      </w:r>
      <w:r>
        <w:rPr>
          <w:rFonts w:ascii="仿宋" w:eastAsia="仿宋" w:hAnsi="仿宋" w:hint="eastAsia"/>
          <w:sz w:val="28"/>
          <w:szCs w:val="28"/>
          <w:highlight w:val="none"/>
        </w:rPr>
        <w:t>雷达标校软件具备在线标校和离线标校功能</w:t>
      </w:r>
      <w:r>
        <w:rPr>
          <w:rFonts w:ascii="仿宋" w:eastAsia="仿宋" w:hAnsi="仿宋" w:hint="eastAsia"/>
          <w:sz w:val="28"/>
          <w:szCs w:val="28"/>
        </w:rPr>
        <w:t>，在线监测结果要有独立报警门限并在记录文件中保存，可以在雷达终端上查看雷达系统长期的监测记录。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A）在线监测参数主要包括发射机峰值功率、接收机增益等；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等，雷达应具有同步信号输出、网络通信等功能，还要具有相关测试参数设置，以及发射机重复频率、脉宽和测试信号控制等功能。主要包括：</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a）发射机脉冲宽度、峰值功率、频谱特性、输出端极限改善因子：发射机输出端测量；</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c）脉冲压缩主副瓣比：软件自动分别测试脉压比≥100和＜100的主副瓣比；</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d）地物对消能力：比较对消前和对消后的回波强度，检查系统对实际地物的抑制能力；</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e）天顶标定：采用小雨滴作为球形散射体检查两个通道的一致性；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f）金属球法：采用金属球作为标准器检查回波强度、差分反射率等雷达关键指标的探测准确性；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g）天线波束指向误差：采用太阳法或其他等效方法进行检查；</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lang w:val="en-US" w:eastAsia="zh-CN"/>
        </w:rPr>
        <w:t>h</w:t>
      </w:r>
      <w:r>
        <w:rPr>
          <w:rFonts w:ascii="仿宋" w:eastAsia="仿宋" w:hAnsi="仿宋" w:hint="eastAsia"/>
          <w:sz w:val="28"/>
          <w:szCs w:val="28"/>
        </w:rPr>
        <w:t>）天线座水平度：在伺服转台顶部预留测试位置或内置测试设备。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highlight w:val="yellow"/>
        </w:rPr>
        <w:t>3）雷达控制软件有预置的多种观测模式#</w:t>
      </w:r>
      <w:r>
        <w:rPr>
          <w:rFonts w:ascii="仿宋" w:eastAsia="仿宋" w:hAnsi="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70" w:lineRule="exact"/>
        <w:ind w:firstLine="552" w:firstLineChars="0"/>
        <w:rPr>
          <w:rFonts w:ascii="仿宋" w:eastAsia="仿宋" w:hAnsi="仿宋" w:hint="eastAsia"/>
          <w:sz w:val="28"/>
          <w:szCs w:val="28"/>
        </w:rPr>
      </w:pPr>
      <w:r>
        <w:rPr>
          <w:rFonts w:ascii="仿宋" w:eastAsia="仿宋" w:hAnsi="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ind w:left="420" w:leftChars="200"/>
        <w:outlineLvl w:val="6"/>
        <w:rPr>
          <w:rFonts w:ascii="仿宋_GB2312" w:eastAsia="仿宋_GB2312" w:hAnsi="仿宋_GB2312" w:cs="仿宋_GB2312" w:hint="eastAsia"/>
          <w:b w:val="0"/>
          <w:bCs w:val="0"/>
          <w:sz w:val="28"/>
          <w:szCs w:val="28"/>
        </w:rPr>
      </w:pPr>
      <w:bookmarkStart w:id="74" w:name="_Toc522018069"/>
      <w:bookmarkStart w:id="75" w:name="_Toc522018392"/>
      <w:r>
        <w:rPr>
          <w:rFonts w:ascii="仿宋_GB2312" w:eastAsia="仿宋_GB2312" w:hAnsi="仿宋_GB2312" w:cs="仿宋_GB2312" w:hint="eastAsia"/>
          <w:b w:val="0"/>
          <w:bCs w:val="0"/>
          <w:sz w:val="28"/>
          <w:szCs w:val="28"/>
          <w:highlight w:val="none"/>
        </w:rPr>
        <w:t>1.7.3.1雷达系统监测</w:t>
      </w:r>
    </w:p>
    <w:p>
      <w:pPr>
        <w:spacing w:line="570" w:lineRule="exact"/>
        <w:ind w:firstLine="560" w:firstLineChars="200"/>
        <w:rPr>
          <w:rFonts w:ascii="仿宋_GB2312"/>
          <w:sz w:val="28"/>
          <w:szCs w:val="28"/>
        </w:rPr>
      </w:pPr>
      <w:r>
        <w:rPr>
          <w:rFonts w:ascii="仿宋" w:eastAsia="仿宋" w:hAnsi="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1）具备本地和远程在线监测功能，可显示雷达自动测试结果，并上传基础参数，基础参数包括但不限于：雷达静态参数、雷达运行模式参数、雷达运行环境参数、雷达在线标校参数等，具体参数见下表。</w:t>
      </w:r>
    </w:p>
    <w:p>
      <w:pPr>
        <w:jc w:val="center"/>
        <w:rPr>
          <w:rFonts w:eastAsia="方正小标宋简体" w:hint="eastAsia"/>
          <w:sz w:val="28"/>
          <w:szCs w:val="28"/>
        </w:rPr>
      </w:pP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Pr>
      <w:tblGrid>
        <w:gridCol w:w="1235"/>
        <w:gridCol w:w="3847"/>
        <w:gridCol w:w="3401"/>
      </w:tblGrid>
      <w:tr>
        <w:tblPrEx>
          <w:tblW w:w="8483" w:type="dxa"/>
          <w:jc w:val="center"/>
          <w:tblLayout w:type="fixed"/>
          <w:tblCellMar>
            <w:top w:w="0" w:type="dxa"/>
            <w:left w:w="108" w:type="dxa"/>
            <w:bottom w:w="0" w:type="dxa"/>
            <w:right w:w="108" w:type="dxa"/>
          </w:tblCellMar>
        </w:tblPrEx>
        <w:trPr>
          <w:trHeight w:val="397"/>
          <w:tblHeader/>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序号</w:t>
            </w:r>
          </w:p>
        </w:tc>
        <w:tc>
          <w:tcPr>
            <w:tcW w:w="3847"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上传参数</w:t>
            </w:r>
          </w:p>
        </w:tc>
        <w:tc>
          <w:tcPr>
            <w:tcW w:w="340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备注</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雷达静态参数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雷达站号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站点名称</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纬度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经度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天线馈源高度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地面高度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雷达型号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雷达数据采集终端版本号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工作频率</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单位：MHz</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天线罩双程损耗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双程大气损耗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单位：dB，保留3位小数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0.5μs匹配滤波器损耗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10μs匹配滤波器损耗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20μs匹配滤波器损耗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40μs匹配滤波器损耗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80μs匹配滤波器损耗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其他损耗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雷达运行模式参数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日期</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格式：YYYYMMDD</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时间</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格式：HHmmss</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扫描模式</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控制权标志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系统状态</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正常运行、需维护、故障、正常关机、待机、异常关机</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状态数据格式版本号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雷达运行环境参数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接收机温度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天线罩内相对湿度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sz w:val="24"/>
              </w:rPr>
              <w:t>在线监测参数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39</w:t>
            </w:r>
          </w:p>
        </w:tc>
        <w:tc>
          <w:tcPr>
            <w:tcW w:w="3847"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发射机峰值功率</w:t>
            </w:r>
          </w:p>
        </w:tc>
        <w:tc>
          <w:tcPr>
            <w:tcW w:w="3401"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单位：kW</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0.5μs水平通道接收增益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470"/>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47</w:t>
            </w:r>
          </w:p>
        </w:tc>
        <w:tc>
          <w:tcPr>
            <w:tcW w:w="3847" w:type="dxa"/>
            <w:tcBorders>
              <w:top w:val="nil"/>
              <w:left w:val="nil"/>
              <w:bottom w:val="single" w:sz="4" w:space="0" w:color="auto"/>
              <w:right w:val="single" w:sz="4" w:space="0" w:color="auto"/>
            </w:tcBorders>
            <w:vAlign w:val="center"/>
          </w:tcPr>
          <w:p>
            <w:pPr>
              <w:widowControl/>
              <w:jc w:val="left"/>
              <w:rPr>
                <w:rFonts w:ascii="仿宋_GB2312"/>
              </w:rPr>
            </w:pPr>
            <w:r>
              <w:rPr>
                <w:rFonts w:ascii="仿宋_GB2312" w:hint="eastAsia"/>
                <w:sz w:val="24"/>
              </w:rPr>
              <w:t>0.5μs垂直通道接收增益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bl>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2）完整记录雷达维护维修信息、关键器件出厂测试重要参数及更换信息，其中维护维修信息包括适配参数变更、备件更换、软件更迭、监测结果等。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3）雷达机内测试设备应实时监测对雷达工作有影响的因素，同时自动存储和上传工作状态和系统告警。</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4）可对天线罩内部雷达运行环境进行在线采集、监测、显示并记录上传，上传参数包括但不限于天线罩内温度、湿度等。</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1.7.3.2远程控制功能</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1）具有本地、远程监视和遥控能力，包括但不限于控制开关机、观测模式切换、查看监测结果、修改适配参数等。</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2）雷达系统具有远程软件升级功能。</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3）</w:t>
      </w:r>
      <w:r>
        <w:rPr>
          <w:rFonts w:ascii="仿宋" w:eastAsia="仿宋" w:hAnsi="仿宋" w:hint="eastAsia"/>
          <w:sz w:val="28"/>
          <w:szCs w:val="28"/>
        </w:rPr>
        <w:t>具备雷达运行与维护的远程支持能力，包括但不限于发射机峰值功率、接收通道增益等。</w:t>
      </w:r>
    </w:p>
    <w:bookmarkEnd w:id="74"/>
    <w:bookmarkEnd w:id="75"/>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1.7.3.3关键参数在线分析</w:t>
      </w:r>
    </w:p>
    <w:p>
      <w:pPr>
        <w:spacing w:line="570" w:lineRule="exact"/>
        <w:ind w:firstLine="560" w:firstLineChars="200"/>
        <w:rPr>
          <w:rFonts w:ascii="仿宋" w:eastAsia="仿宋" w:hAnsi="仿宋" w:hint="eastAsia"/>
          <w:sz w:val="28"/>
          <w:szCs w:val="28"/>
        </w:rPr>
      </w:pPr>
      <w:bookmarkStart w:id="76" w:name="_Hlk522871009"/>
      <w:r>
        <w:rPr>
          <w:rFonts w:ascii="仿宋" w:eastAsia="仿宋" w:hAnsi="仿宋" w:hint="eastAsia"/>
          <w:sz w:val="28"/>
          <w:szCs w:val="28"/>
        </w:rPr>
        <w:t>雷达应具有关键参数在线分析功能，应满足如下要求：</w:t>
      </w:r>
    </w:p>
    <w:bookmarkEnd w:id="76"/>
    <w:p>
      <w:pPr>
        <w:spacing w:line="570" w:lineRule="exact"/>
        <w:ind w:firstLine="560" w:firstLineChars="200"/>
        <w:rPr>
          <w:rFonts w:ascii="仿宋" w:eastAsia="仿宋" w:hAnsi="仿宋" w:hint="eastAsia"/>
          <w:sz w:val="28"/>
          <w:szCs w:val="28"/>
        </w:rPr>
      </w:pPr>
      <w:bookmarkStart w:id="77" w:name="_Toc524551142"/>
      <w:r>
        <w:rPr>
          <w:rFonts w:ascii="仿宋" w:eastAsia="仿宋" w:hAnsi="仿宋" w:hint="eastAsia"/>
          <w:sz w:val="28"/>
          <w:szCs w:val="28"/>
        </w:rPr>
        <w:t>1）具备关键参数记录功能。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2）具备监测到的所有实时参数超限告警提示功能。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3）具备监测参数和分析结果存储、显示、统计分析等功能。</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1.7.3.4基数据质控及显示</w:t>
      </w:r>
      <w:bookmarkEnd w:id="77"/>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对回波强度（Z）、径向速度（V）、速度谱宽（W）、差分反射率（Z</w:t>
      </w:r>
      <w:r>
        <w:rPr>
          <w:rFonts w:ascii="仿宋" w:eastAsia="仿宋" w:hAnsi="仿宋" w:hint="eastAsia"/>
          <w:sz w:val="28"/>
          <w:szCs w:val="28"/>
          <w:vertAlign w:val="baseline"/>
        </w:rPr>
        <w:t>DR</w:t>
      </w:r>
      <w:r>
        <w:rPr>
          <w:rFonts w:ascii="仿宋" w:eastAsia="仿宋" w:hAnsi="仿宋" w:hint="eastAsia"/>
          <w:sz w:val="28"/>
          <w:szCs w:val="28"/>
        </w:rPr>
        <w:t>）、差分传播相移（Φ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）、相关系数（ρ</w:t>
      </w:r>
      <w:r>
        <w:rPr>
          <w:rFonts w:ascii="仿宋" w:eastAsia="仿宋" w:hAnsi="仿宋" w:hint="eastAsia"/>
          <w:sz w:val="28"/>
          <w:szCs w:val="28"/>
          <w:vertAlign w:val="baseline"/>
        </w:rPr>
        <w:t>hv</w:t>
      </w:r>
      <w:r>
        <w:rPr>
          <w:rFonts w:ascii="仿宋" w:eastAsia="仿宋" w:hAnsi="仿宋" w:hint="eastAsia"/>
          <w:sz w:val="28"/>
          <w:szCs w:val="28"/>
        </w:rPr>
        <w:t>）等基本量进行质控，质控包括滤波、杂波校正因子（CCOR）门限、电磁干扰抑制、风电干扰抑制、速度退模糊、距离退折叠、异常回波标记等，</w:t>
      </w:r>
      <w:bookmarkStart w:id="78" w:name="_Hlk19004266"/>
      <w:r>
        <w:rPr>
          <w:rFonts w:ascii="仿宋" w:eastAsia="仿宋" w:hAnsi="仿宋" w:hint="eastAsia"/>
          <w:sz w:val="28"/>
          <w:szCs w:val="28"/>
        </w:rPr>
        <w:t>质控前后的基数据都具备存储功能。</w:t>
      </w:r>
      <w:bookmarkEnd w:id="78"/>
      <w:r>
        <w:rPr>
          <w:rFonts w:ascii="仿宋" w:eastAsia="仿宋" w:hAnsi="仿宋" w:hint="eastAsia"/>
          <w:sz w:val="28"/>
          <w:szCs w:val="28"/>
        </w:rPr>
        <w:t xml:space="preserve">在雷达终端上需具备以下功能： </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数据处理功能：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基数据自动处理，按照要求的格式进行存储，台站端至少可以存储近1年的基数据。</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显示功能：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1）回波数据种类、时间选择并显示；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2）监测的所有参数显示及超限告警提示显示；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3）鼠标悬浮显示；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4）数据分层控制显示；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5）图像处理显示，具有多仰角多要素同时显示。</w:t>
      </w:r>
    </w:p>
    <w:p>
      <w:pPr>
        <w:ind w:firstLine="560" w:firstLineChars="200"/>
        <w:outlineLvl w:val="6"/>
        <w:rPr>
          <w:rFonts w:ascii="仿宋_GB2312" w:eastAsia="仿宋_GB2312" w:hAnsi="仿宋_GB2312" w:cs="仿宋_GB2312"/>
          <w:b w:val="0"/>
          <w:bCs w:val="0"/>
          <w:sz w:val="28"/>
          <w:szCs w:val="28"/>
          <w:highlight w:val="yellow"/>
        </w:rPr>
      </w:pPr>
      <w:r>
        <w:rPr>
          <w:rFonts w:ascii="仿宋_GB2312" w:eastAsia="仿宋_GB2312" w:hAnsi="仿宋_GB2312" w:cs="仿宋_GB2312" w:hint="eastAsia"/>
          <w:b w:val="0"/>
          <w:bCs w:val="0"/>
          <w:sz w:val="28"/>
          <w:szCs w:val="28"/>
          <w:highlight w:val="yellow"/>
        </w:rPr>
        <w:t>1.7.3.5授时功能</w:t>
      </w:r>
      <w:r>
        <w:rPr>
          <w:rFonts w:ascii="仿宋_GB2312" w:eastAsia="仿宋_GB2312" w:hAnsi="仿宋_GB2312" w:cs="仿宋_GB2312" w:hint="eastAsia"/>
          <w:sz w:val="28"/>
          <w:szCs w:val="28"/>
          <w:highlight w:val="yellow"/>
        </w:rPr>
        <w:t>#</w:t>
      </w:r>
    </w:p>
    <w:p>
      <w:pPr>
        <w:widowControl/>
        <w:spacing w:line="570" w:lineRule="exact"/>
        <w:ind w:firstLine="560" w:firstLineChars="200"/>
        <w:jc w:val="left"/>
        <w:rPr>
          <w:rFonts w:ascii="仿宋_GB2312" w:hint="eastAsia"/>
          <w:sz w:val="28"/>
          <w:szCs w:val="28"/>
        </w:rPr>
      </w:pPr>
      <w:r>
        <w:rPr>
          <w:rFonts w:ascii="仿宋" w:eastAsia="仿宋" w:hAnsi="仿宋" w:hint="eastAsia"/>
          <w:sz w:val="28"/>
          <w:szCs w:val="28"/>
        </w:rPr>
        <w:t>雷达具备授时功能，可以通过网络授时或北斗卫星授时校准系统时间，授时精度优于1s。</w:t>
      </w:r>
    </w:p>
    <w:p>
      <w:pPr>
        <w:ind w:firstLine="560" w:firstLineChars="200"/>
        <w:outlineLvl w:val="4"/>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1.8产品软件功能</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1）产品显示：平面位置产品、距离高度产品、等高面位置产品、二次产品等显示功能。</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2）分屏显示：二分屏、四分屏等分屏显示功能、支持光标联动信息显示。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3）垂直剖面：基本产品任意垂直剖面显示功能，支持折线剖面，可同时显示多个产品，可保存图像。</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4）最大值显示：体扫各层反射率垂直、东西、南北三个方向最大值可投影显示。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5）图形缩放、拖曳：产品图像可放大缩小，拖曳移动。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6）图像保存：产品图像可保存为图片格式，分辨率可调。</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7）动态展示：支持产品时序播放、动图制作。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8）地图加载：产品显示可加载离线地图文件，同时应支持API接口获取在线瓦片，底图包括但不限于地图、地形、影像，支持各级界线、名称显隐。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9）测距功能：产品显示界面可显示两点间距离、折线距离。</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10）游标引导：游标所在点的经纬度、方位、距离、高度、产品数值、地理位置等信息显示。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11）产品色标：提供默认配色，支持自定义配色。</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12）阈值过滤：显示阈值范围内数据，过滤超限数据；可单一范围显隐；可调整产品透明度。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13）自动刷新：可启停的自动显示最新产品数据。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14）状态监控：包括数据接收、产品制作、产品传输状态监控。</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15）数据归档：本地或异地产品数据归档，支持定时清理。</w:t>
      </w:r>
    </w:p>
    <w:p>
      <w:pPr>
        <w:spacing w:line="570" w:lineRule="exact"/>
        <w:ind w:firstLine="560" w:firstLineChars="200"/>
        <w:jc w:val="left"/>
        <w:rPr>
          <w:rFonts w:ascii="仿宋" w:eastAsia="仿宋" w:hAnsi="仿宋" w:hint="eastAsia"/>
          <w:sz w:val="28"/>
          <w:szCs w:val="28"/>
          <w:highlight w:val="none"/>
        </w:rPr>
      </w:pPr>
      <w:r>
        <w:rPr>
          <w:rFonts w:ascii="仿宋" w:eastAsia="仿宋" w:hAnsi="仿宋" w:hint="eastAsia"/>
          <w:sz w:val="28"/>
          <w:szCs w:val="28"/>
          <w:highlight w:val="none"/>
        </w:rPr>
        <w:t>16）数据上传：产品数据多节点上传，支持恢复网络后自动补传、手动补传。</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17）算法参数：算法参数可本地化调整。</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18）算法接口：支持外部算法接入，使用统一数据接口调用。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19）系统日志：包括软件运行日志、数据接收日志、产品生成日志、数据上传日志、告警日志、预警日志。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20）日志查询：可按日期、类型、关键词等方式查询系统日志。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21）多用户并发：每个产品生成终端应至少能够满足30位用户同时访问。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22）数据库接口：可从数据库接口获取雷达基数据作为数据源。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23）快捷操作：可通过键盘进行产品切换、时间切换、仰角层切换等快捷操作。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24）关注点标记：设定不同类型的关注点，可设置备注信息并保存；可单选、多选、分类选择叠加在产品上进行显示；可设定关注点预警范围。支持关注点信息导入导出。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25）产品识别告警：依据识别类产品提供的信息，通过产品显示分析界面进行冰雹等强天气告警。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26）传输网络兼容性：产品传输支持有线、4G/5G、DCP、北斗等方式，多种网络可并发，支持根据传输网络调整传输产品类型、产品格式（数据、文字）及传输判别条件。</w:t>
      </w:r>
    </w:p>
    <w:p>
      <w:pPr>
        <w:ind w:firstLine="560" w:firstLineChars="200"/>
        <w:outlineLvl w:val="4"/>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1.9其它功能</w:t>
      </w:r>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1.9.1供电设施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可采用市电或太阳能、风能等方式进行供电。</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太阳能、风能供电需满足无人值守要求，发电功率应大于雷达设备功耗。</w:t>
      </w:r>
    </w:p>
    <w:p>
      <w:pPr>
        <w:adjustRightInd w:val="0"/>
        <w:snapToGrid w:val="0"/>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1.9.2通信辅助设备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雷达系统通信方式包括但不限于有线网络、4G/5G信号、数据收集平台（DCP）、北斗通讯等，用于基数据、产品文件、状态及告警文件等信息的上传，以及雷达控制指令的下行。</w:t>
      </w:r>
    </w:p>
    <w:p>
      <w:pPr>
        <w:numPr>
          <w:ilvl w:val="0"/>
          <w:numId w:val="4"/>
        </w:num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技术指标</w:t>
      </w:r>
    </w:p>
    <w:p>
      <w:pPr>
        <w:jc w:val="center"/>
        <w:rPr>
          <w:rFonts w:eastAsia="方正小标宋简体"/>
          <w:sz w:val="28"/>
          <w:szCs w:val="28"/>
        </w:rPr>
      </w:pPr>
      <w:r>
        <w:rPr>
          <w:rFonts w:eastAsia="方正小标宋简体"/>
          <w:sz w:val="28"/>
          <w:szCs w:val="28"/>
        </w:rPr>
        <w:t xml:space="preserve"> </w:t>
      </w:r>
      <w:r>
        <w:rPr>
          <w:rFonts w:eastAsia="方正小标宋简体" w:hint="eastAsia"/>
          <w:sz w:val="28"/>
          <w:szCs w:val="28"/>
        </w:rPr>
        <w:t>总体技术指标</w:t>
      </w:r>
    </w:p>
    <w:tbl>
      <w:tblPr>
        <w:tblStyle w:val="TableNormal"/>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89"/>
        <w:gridCol w:w="2157"/>
        <w:gridCol w:w="5114"/>
      </w:tblGrid>
      <w:tr>
        <w:tblPrEx>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全固态双线偏振多普勒体制</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9.1～9.5GHz范围内，间隔5MHz可选</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≥15年</w:t>
            </w:r>
          </w:p>
        </w:tc>
      </w:tr>
      <w:tr>
        <w:tblPrEx>
          <w:tblW w:w="8760" w:type="dxa"/>
          <w:jc w:val="center"/>
          <w:tblLayout w:type="fixed"/>
          <w:tblCellMar>
            <w:top w:w="0" w:type="dxa"/>
            <w:left w:w="108" w:type="dxa"/>
            <w:bottom w:w="0" w:type="dxa"/>
            <w:right w:w="108" w:type="dxa"/>
          </w:tblCellMar>
        </w:tblPrEx>
        <w:trPr>
          <w:trHeight w:val="4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定量≥35km</w:t>
            </w:r>
          </w:p>
        </w:tc>
      </w:tr>
      <w:tr>
        <w:tblPrEx>
          <w:tblW w:w="8760" w:type="dxa"/>
          <w:jc w:val="center"/>
          <w:tblLayout w:type="fixed"/>
          <w:tblCellMar>
            <w:top w:w="0" w:type="dxa"/>
            <w:left w:w="108" w:type="dxa"/>
            <w:bottom w:w="0" w:type="dxa"/>
            <w:right w:w="108" w:type="dxa"/>
          </w:tblCellMar>
        </w:tblPrEx>
        <w:trPr>
          <w:trHeight w:val="65"/>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≤500m</w:t>
            </w:r>
          </w:p>
        </w:tc>
      </w:tr>
      <w:tr>
        <w:tblPrEx>
          <w:tblW w:w="8760" w:type="dxa"/>
          <w:jc w:val="center"/>
          <w:tblLayout w:type="fixed"/>
          <w:tblCellMar>
            <w:top w:w="0" w:type="dxa"/>
            <w:left w:w="108" w:type="dxa"/>
            <w:bottom w:w="0" w:type="dxa"/>
            <w:right w:w="108" w:type="dxa"/>
          </w:tblCellMar>
        </w:tblPrEx>
        <w:trPr>
          <w:trHeight w:val="90"/>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rPr>
            </w:pPr>
            <w:r>
              <w:rPr>
                <w:rFonts w:ascii="仿宋_GB2312" w:hint="eastAsia"/>
                <w:sz w:val="24"/>
                <w:highlight w:val="yellow"/>
              </w:rPr>
              <w:t>分辨率</w:t>
            </w:r>
            <w:r>
              <w:rPr>
                <w:rFonts w:eastAsia="方正小标宋简体" w:hint="eastAsia"/>
                <w:sz w:val="28"/>
                <w:szCs w:val="28"/>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≤75m</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≤2.7°</w:t>
            </w:r>
          </w:p>
        </w:tc>
      </w:tr>
      <w:tr>
        <w:tblPrEx>
          <w:tblW w:w="8760" w:type="dxa"/>
          <w:jc w:val="center"/>
          <w:tblLayout w:type="fixed"/>
          <w:tblCellMar>
            <w:top w:w="0" w:type="dxa"/>
            <w:left w:w="108" w:type="dxa"/>
            <w:bottom w:w="0" w:type="dxa"/>
            <w:right w:w="108" w:type="dxa"/>
          </w:tblCellMar>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rPr>
              <w:t>测量范围</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0～+80dBZ</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±48m/s</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0～16m/s</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-7.9dB～+7.9dB</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-180°～+180°</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-2°/km～+10°/km</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0～1</w:t>
            </w:r>
          </w:p>
        </w:tc>
      </w:tr>
      <w:tr>
        <w:tblPrEx>
          <w:tblW w:w="8760" w:type="dxa"/>
          <w:jc w:val="center"/>
          <w:tblLayout w:type="fixed"/>
          <w:tblCellMar>
            <w:top w:w="0" w:type="dxa"/>
            <w:left w:w="108" w:type="dxa"/>
            <w:bottom w:w="0" w:type="dxa"/>
            <w:right w:w="108" w:type="dxa"/>
          </w:tblCellMar>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highlight w:val="yellow"/>
              </w:rPr>
              <w:t>参数测量精度（标准差）</w:t>
            </w:r>
            <w:r>
              <w:rPr>
                <w:rFonts w:eastAsia="方正小标宋简体" w:hint="eastAsia"/>
                <w:sz w:val="28"/>
                <w:szCs w:val="28"/>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≤1dB</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≤1m/s</w:t>
            </w:r>
          </w:p>
        </w:tc>
      </w:tr>
      <w:tr>
        <w:tblPrEx>
          <w:tblW w:w="8760" w:type="dxa"/>
          <w:jc w:val="center"/>
          <w:tblLayout w:type="fixed"/>
          <w:tblCellMar>
            <w:top w:w="0" w:type="dxa"/>
            <w:left w:w="108" w:type="dxa"/>
            <w:bottom w:w="0" w:type="dxa"/>
            <w:right w:w="108" w:type="dxa"/>
          </w:tblCellMar>
        </w:tblPrEx>
        <w:trPr>
          <w:trHeight w:val="361"/>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≤1m/s</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≤0.5dB</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≤3°</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≤0.2°/km</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≤0.01</w:t>
            </w:r>
          </w:p>
        </w:tc>
      </w:tr>
      <w:tr>
        <w:tblPrEx>
          <w:tblW w:w="8760" w:type="dxa"/>
          <w:jc w:val="center"/>
          <w:tblLayout w:type="fixed"/>
          <w:tblCellMar>
            <w:top w:w="0" w:type="dxa"/>
            <w:left w:w="108" w:type="dxa"/>
            <w:bottom w:w="0" w:type="dxa"/>
            <w:right w:w="108" w:type="dxa"/>
          </w:tblCellMar>
        </w:tblPrEx>
        <w:trPr>
          <w:trHeight w:val="7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可探测的最小反射率因子（35km处，75m分辨率，同发同收）</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≤18dBZ</w:t>
            </w:r>
          </w:p>
        </w:tc>
      </w:tr>
      <w:tr>
        <w:tblPrEx>
          <w:tblW w:w="8760" w:type="dxa"/>
          <w:jc w:val="center"/>
          <w:tblLayout w:type="fixed"/>
          <w:tblCellMar>
            <w:top w:w="0" w:type="dxa"/>
            <w:left w:w="108" w:type="dxa"/>
            <w:bottom w:w="0" w:type="dxa"/>
            <w:right w:w="108" w:type="dxa"/>
          </w:tblCellMar>
        </w:tblPrEx>
        <w:trPr>
          <w:trHeight w:val="6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实际地物抑制能力</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≥35dB</w:t>
            </w:r>
          </w:p>
        </w:tc>
      </w:tr>
      <w:tr>
        <w:tblPrEx>
          <w:tblW w:w="8760" w:type="dxa"/>
          <w:jc w:val="center"/>
          <w:tblLayout w:type="fixed"/>
          <w:tblCellMar>
            <w:top w:w="0" w:type="dxa"/>
            <w:left w:w="108" w:type="dxa"/>
            <w:bottom w:w="0" w:type="dxa"/>
            <w:right w:w="108" w:type="dxa"/>
          </w:tblCellMar>
        </w:tblPrEx>
        <w:trPr>
          <w:trHeight w:val="243"/>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highlight w:val="yellow"/>
              </w:rPr>
              <w:t>占用带宽</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≤30MHz</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滤波前回波强度、滤波后回波强度、径向速度、速度谱宽、差分反射率、差分传播相移、差分传播相移率、相关系数、信噪比</w:t>
            </w:r>
          </w:p>
        </w:tc>
      </w:tr>
      <w:tr>
        <w:tblPrEx>
          <w:tblW w:w="8760" w:type="dxa"/>
          <w:jc w:val="center"/>
          <w:tblLayout w:type="fixed"/>
          <w:tblCellMar>
            <w:top w:w="0" w:type="dxa"/>
            <w:left w:w="108" w:type="dxa"/>
            <w:bottom w:w="0" w:type="dxa"/>
            <w:right w:w="108" w:type="dxa"/>
          </w:tblCellMar>
        </w:tblPrEx>
        <w:trPr>
          <w:trHeight w:val="76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单相AC220V±10%，或太阳能、风能等</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int="eastAsia"/>
              </w:rPr>
            </w:pPr>
            <w:r>
              <w:rPr>
                <w:rFonts w:ascii="仿宋_GB2312" w:hint="eastAsia"/>
                <w:sz w:val="24"/>
                <w:highlight w:val="yellow"/>
              </w:rPr>
              <w:t>重量（标准配置，参考值）</w:t>
            </w:r>
            <w:r>
              <w:rPr>
                <w:rFonts w:ascii="仿宋_GB2312" w:hint="eastAsia"/>
                <w:sz w:val="24"/>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≤100kg（含天线罩）</w:t>
            </w:r>
          </w:p>
        </w:tc>
      </w:tr>
      <w:tr>
        <w:tblPrEx>
          <w:tblW w:w="8760" w:type="dxa"/>
          <w:jc w:val="center"/>
          <w:tblLayout w:type="fixed"/>
          <w:tblCellMar>
            <w:top w:w="0" w:type="dxa"/>
            <w:left w:w="108" w:type="dxa"/>
            <w:bottom w:w="0" w:type="dxa"/>
            <w:right w:w="108" w:type="dxa"/>
          </w:tblCellMar>
        </w:tblPrEx>
        <w:trPr>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环境要求</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外界环境温度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-10～+40</w:t>
            </w:r>
            <w:r>
              <w:rPr>
                <w:rFonts w:ascii="仿宋_GB2312" w:hAnsi="宋体" w:cs="宋体" w:hint="eastAsia"/>
                <w:sz w:val="24"/>
              </w:rPr>
              <w:t>℃</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spacing w:line="380" w:lineRule="exac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-40～+60℃</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外界最大湿度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≤90%（+30</w:t>
            </w:r>
            <w:r>
              <w:rPr>
                <w:rFonts w:ascii="仿宋_GB2312" w:hAnsi="宋体" w:cs="宋体" w:hint="eastAsia"/>
                <w:sz w:val="24"/>
              </w:rPr>
              <w:t>℃</w:t>
            </w:r>
            <w:r>
              <w:rPr>
                <w:rFonts w:ascii="仿宋_GB2312" w:hint="eastAsia"/>
                <w:sz w:val="24"/>
              </w:rPr>
              <w:t>）</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海拔≤5000m</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符合国家有关部门规定，且满足野外运输要求</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电源干扰、电磁干扰、无线电频率干扰</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防水、防霉、防盐雾</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整机功耗（峰值）</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≤800W</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发射机峰值功率月变化累计偏差（以现场安装后测试结果为基准，更换相关器件后重新标校）</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±2dB范围内</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接收机增益月变化累计偏差</w:t>
            </w:r>
            <w:r>
              <w:rPr>
                <w:rFonts w:ascii="仿宋_GB2312" w:hint="eastAsia"/>
                <w:sz w:val="24"/>
              </w:rPr>
              <w:t>（以现场安装后测试结果为基准，更换相关器件后重新标校）</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±3dB范围内</w:t>
            </w:r>
          </w:p>
        </w:tc>
      </w:tr>
      <w:tr>
        <w:tblPrEx>
          <w:tblW w:w="8760" w:type="dxa"/>
          <w:jc w:val="center"/>
          <w:tblLayout w:type="fixed"/>
          <w:tblCellMar>
            <w:top w:w="0" w:type="dxa"/>
            <w:left w:w="108" w:type="dxa"/>
            <w:bottom w:w="0" w:type="dxa"/>
            <w:right w:w="108" w:type="dxa"/>
          </w:tblCellMar>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≥5000h</w:t>
            </w:r>
          </w:p>
        </w:tc>
      </w:tr>
      <w:tr>
        <w:tblPrEx>
          <w:tblW w:w="8760" w:type="dxa"/>
          <w:jc w:val="center"/>
          <w:tblLayout w:type="fixed"/>
          <w:tblCellMar>
            <w:top w:w="0" w:type="dxa"/>
            <w:left w:w="108" w:type="dxa"/>
            <w:bottom w:w="0" w:type="dxa"/>
            <w:right w:w="108" w:type="dxa"/>
          </w:tblCellMar>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外部接口</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市电供电接口*1（航空插座）</w:t>
            </w:r>
          </w:p>
          <w:p>
            <w:pPr>
              <w:spacing w:line="380" w:lineRule="exact"/>
              <w:rPr>
                <w:rFonts w:ascii="仿宋_GB2312"/>
              </w:rPr>
            </w:pPr>
            <w:r>
              <w:rPr>
                <w:rFonts w:ascii="仿宋_GB2312" w:hint="eastAsia"/>
                <w:sz w:val="24"/>
              </w:rPr>
              <w:t>光纤通信接口*1（航空插座）</w:t>
            </w:r>
          </w:p>
          <w:p>
            <w:pPr>
              <w:spacing w:line="380" w:lineRule="exact"/>
              <w:rPr>
                <w:rFonts w:ascii="仿宋_GB2312"/>
              </w:rPr>
            </w:pPr>
            <w:r>
              <w:rPr>
                <w:rFonts w:ascii="仿宋_GB2312" w:hint="eastAsia"/>
                <w:sz w:val="24"/>
              </w:rPr>
              <w:t>网络通信接口*1（航空插座）</w:t>
            </w:r>
          </w:p>
          <w:p>
            <w:pPr>
              <w:spacing w:line="380" w:lineRule="exact"/>
              <w:rPr>
                <w:rFonts w:ascii="仿宋_GB2312"/>
              </w:rPr>
            </w:pPr>
            <w:r>
              <w:rPr>
                <w:rFonts w:ascii="仿宋_GB2312" w:hint="eastAsia"/>
                <w:sz w:val="24"/>
              </w:rPr>
              <w:t>USB接口*2</w:t>
            </w:r>
          </w:p>
          <w:p>
            <w:pPr>
              <w:spacing w:line="380" w:lineRule="exact"/>
              <w:rPr>
                <w:rFonts w:ascii="仿宋_GB2312"/>
              </w:rPr>
            </w:pPr>
            <w:r>
              <w:rPr>
                <w:rFonts w:ascii="仿宋_GB2312" w:hint="eastAsia"/>
                <w:sz w:val="24"/>
              </w:rPr>
              <w:t>HDMI接口*1</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雷达微波漏能功率密度应符合GJB5313-2004的要求。</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微波泄漏部位、机械转动部位、危险电压部位及超重设备（大于15kg）等应有清晰、醒目的安全警示标记。</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雷达备份零件、部件、组件和功能单元均能在现场更换，无需调整而正常工作。</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雷达具有市电滤波和防电磁干扰的能力，设置静电屏蔽、电磁屏蔽，模拟地线、数字地线和安全地线严格分开，避雷地线要单独接地。</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雷达应有安全性设计，确保雷达按规定条件进行制造、安装、运输、贮存、使用和维护时的人身安全和设备安全。雷达系统电源开关、伺服转台维护开关带自锁功能和指示灯。</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雷达电源线输入端应加装防雷滤波器，室外电缆一律采用屏蔽电缆或光缆。</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雷达各初级电源与大地间绝缘电阻应大于1MΩ。</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雷达整体形象应协调一致。外表面应无凹痕、碰伤、裂痕和变形等缺陷；镀涂层不起泡、龟裂和脱落；金属零件无锈蚀、毛刺及其它机械损伤。</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机箱、机箱、插件和线缆等应有统一的编号和标记，符合国家标准。</w:t>
            </w:r>
          </w:p>
          <w:p>
            <w:pPr>
              <w:spacing w:line="380" w:lineRule="exact"/>
              <w:rPr>
                <w:rFonts w:ascii="仿宋_GB2312"/>
              </w:rPr>
            </w:pPr>
            <w:r>
              <w:rPr>
                <w:rFonts w:ascii="仿宋_GB2312" w:hint="eastAsia"/>
                <w:sz w:val="24"/>
              </w:rPr>
              <w:t>印制板、主要元器件等应在相应位置印有与电路图中项目代号相符的标记。</w:t>
            </w:r>
          </w:p>
          <w:p>
            <w:pPr>
              <w:spacing w:line="380" w:lineRule="exact"/>
              <w:rPr>
                <w:rFonts w:ascii="仿宋_GB2312"/>
              </w:rPr>
            </w:pPr>
            <w:r>
              <w:rPr>
                <w:rFonts w:ascii="仿宋_GB2312" w:hint="eastAsia"/>
                <w:sz w:val="24"/>
              </w:rPr>
              <w:t>标记的文字、字母和符号应完整、规范、清晰和牢固，且便于识读。</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发射机和接收机的噪音应低于85dB。</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雷达的名称、型号（代号）；出厂编号；出厂年月；制造厂商标。</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天线罩技术性能指标表</w:t>
      </w:r>
    </w:p>
    <w:tbl>
      <w:tblPr>
        <w:tblStyle w:val="TableNormal"/>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494"/>
        <w:gridCol w:w="5325"/>
      </w:tblGrid>
      <w:tr>
        <w:tblPrEx>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27"/>
          <w:jc w:val="center"/>
        </w:trPr>
        <w:tc>
          <w:tcPr>
            <w:tcW w:w="3494"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rPr>
            </w:pPr>
            <w:r>
              <w:rPr>
                <w:rFonts w:ascii="仿宋_GB2312" w:hint="eastAsia"/>
                <w:b/>
                <w:bCs/>
                <w:sz w:val="24"/>
              </w:rPr>
              <w:t>项目</w:t>
            </w:r>
          </w:p>
        </w:tc>
        <w:tc>
          <w:tcPr>
            <w:tcW w:w="5325"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b/>
                <w:bCs/>
              </w:rPr>
            </w:pPr>
            <w:r>
              <w:rPr>
                <w:rFonts w:ascii="仿宋_GB2312" w:hint="eastAsia"/>
                <w:b/>
                <w:bCs/>
                <w:sz w:val="24"/>
              </w:rPr>
              <w:t>性能指标</w:t>
            </w:r>
          </w:p>
        </w:tc>
      </w:tr>
      <w:tr>
        <w:tblPrEx>
          <w:tblW w:w="8819" w:type="dxa"/>
          <w:jc w:val="center"/>
          <w:tblLayout w:type="fixed"/>
          <w:tblCellMar>
            <w:top w:w="0" w:type="dxa"/>
            <w:left w:w="108" w:type="dxa"/>
            <w:bottom w:w="0" w:type="dxa"/>
            <w:right w:w="108" w:type="dxa"/>
          </w:tblCellMar>
        </w:tblPrEx>
        <w:trPr>
          <w:trHeight w:val="327"/>
          <w:jc w:val="center"/>
        </w:trPr>
        <w:tc>
          <w:tcPr>
            <w:tcW w:w="3494"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rPr>
            </w:pPr>
            <w:r>
              <w:rPr>
                <w:rFonts w:ascii="仿宋_GB2312" w:hint="eastAsia"/>
                <w:sz w:val="24"/>
              </w:rPr>
              <w:t>天线罩直径</w:t>
            </w:r>
          </w:p>
        </w:tc>
        <w:tc>
          <w:tcPr>
            <w:tcW w:w="5325" w:type="dxa"/>
            <w:tcBorders>
              <w:top w:val="single" w:sz="4" w:space="0" w:color="auto"/>
              <w:left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≤1.3m</w:t>
            </w:r>
          </w:p>
        </w:tc>
      </w:tr>
      <w:tr>
        <w:tblPrEx>
          <w:tblW w:w="8819" w:type="dxa"/>
          <w:jc w:val="center"/>
          <w:tblLayout w:type="fixed"/>
          <w:tblCellMar>
            <w:top w:w="0" w:type="dxa"/>
            <w:left w:w="108" w:type="dxa"/>
            <w:bottom w:w="0" w:type="dxa"/>
            <w:right w:w="108" w:type="dxa"/>
          </w:tblCellMar>
        </w:tblPrEx>
        <w:trPr>
          <w:trHeight w:val="344"/>
          <w:jc w:val="center"/>
        </w:trPr>
        <w:tc>
          <w:tcPr>
            <w:tcW w:w="3494"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抗风能力（阵风）</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60m/s不损坏</w:t>
            </w:r>
          </w:p>
        </w:tc>
      </w:tr>
      <w:tr>
        <w:tblPrEx>
          <w:tblW w:w="8819" w:type="dxa"/>
          <w:jc w:val="center"/>
          <w:tblLayout w:type="fixed"/>
          <w:tblCellMar>
            <w:top w:w="0" w:type="dxa"/>
            <w:left w:w="108" w:type="dxa"/>
            <w:bottom w:w="0" w:type="dxa"/>
            <w:right w:w="108" w:type="dxa"/>
          </w:tblCellMar>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射频损失</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≤1.2dB（双程）</w:t>
            </w:r>
          </w:p>
        </w:tc>
      </w:tr>
      <w:tr>
        <w:tblPrEx>
          <w:tblW w:w="8819" w:type="dxa"/>
          <w:jc w:val="center"/>
          <w:tblLayout w:type="fixed"/>
          <w:tblCellMar>
            <w:top w:w="0" w:type="dxa"/>
            <w:left w:w="108" w:type="dxa"/>
            <w:bottom w:w="0" w:type="dxa"/>
            <w:right w:w="108" w:type="dxa"/>
          </w:tblCellMar>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引入波束偏差</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≤0.05°</w:t>
            </w:r>
          </w:p>
        </w:tc>
      </w:tr>
      <w:tr>
        <w:tblPrEx>
          <w:tblW w:w="8819" w:type="dxa"/>
          <w:jc w:val="center"/>
          <w:tblLayout w:type="fixed"/>
          <w:tblCellMar>
            <w:top w:w="0" w:type="dxa"/>
            <w:left w:w="108" w:type="dxa"/>
            <w:bottom w:w="0" w:type="dxa"/>
            <w:right w:w="108" w:type="dxa"/>
          </w:tblCellMar>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引入波束展宽</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≤0.05°</w:t>
            </w:r>
          </w:p>
        </w:tc>
      </w:tr>
      <w:tr>
        <w:tblPrEx>
          <w:tblW w:w="8819" w:type="dxa"/>
          <w:jc w:val="center"/>
          <w:tblLayout w:type="fixed"/>
          <w:tblCellMar>
            <w:top w:w="0" w:type="dxa"/>
            <w:left w:w="108" w:type="dxa"/>
            <w:bottom w:w="0" w:type="dxa"/>
            <w:right w:w="108" w:type="dxa"/>
          </w:tblCellMar>
        </w:tblPrEx>
        <w:trPr>
          <w:trHeight w:val="33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引入交叉极化隔离度影响</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≤1.0dB</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天线技术性能指标表</w:t>
      </w:r>
    </w:p>
    <w:tbl>
      <w:tblPr>
        <w:tblStyle w:val="TableNormal"/>
        <w:tblW w:w="8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823"/>
        <w:gridCol w:w="4953"/>
      </w:tblGrid>
      <w:tr>
        <w:tblPrEx>
          <w:tblW w:w="8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2"/>
          <w:jc w:val="center"/>
        </w:trPr>
        <w:tc>
          <w:tcPr>
            <w:tcW w:w="382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495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76" w:type="dxa"/>
          <w:jc w:val="center"/>
          <w:tblLayout w:type="fixed"/>
          <w:tblCellMar>
            <w:top w:w="0" w:type="dxa"/>
            <w:left w:w="108" w:type="dxa"/>
            <w:bottom w:w="0" w:type="dxa"/>
            <w:right w:w="108" w:type="dxa"/>
          </w:tblCellMar>
        </w:tblPrEx>
        <w:trPr>
          <w:trHeight w:val="321"/>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w:t>
            </w:r>
          </w:p>
        </w:tc>
      </w:tr>
      <w:tr>
        <w:tblPrEx>
          <w:tblW w:w="8776" w:type="dxa"/>
          <w:jc w:val="center"/>
          <w:tblLayout w:type="fixed"/>
          <w:tblCellMar>
            <w:top w:w="0" w:type="dxa"/>
            <w:left w:w="108" w:type="dxa"/>
            <w:bottom w:w="0" w:type="dxa"/>
            <w:right w:w="108" w:type="dxa"/>
          </w:tblCellMar>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极化方式</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线性水平、垂直极化</w:t>
            </w:r>
          </w:p>
        </w:tc>
      </w:tr>
      <w:tr>
        <w:tblPrEx>
          <w:tblW w:w="8776" w:type="dxa"/>
          <w:jc w:val="center"/>
          <w:tblLayout w:type="fixed"/>
          <w:tblCellMar>
            <w:top w:w="0" w:type="dxa"/>
            <w:left w:w="108" w:type="dxa"/>
            <w:bottom w:w="0" w:type="dxa"/>
            <w:right w:w="108" w:type="dxa"/>
          </w:tblCellMar>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反射面直径</w:t>
            </w:r>
            <w:r>
              <w:rPr>
                <w:rFonts w:eastAsia="方正小标宋简体" w:hint="eastAsia"/>
                <w:sz w:val="28"/>
                <w:szCs w:val="28"/>
                <w:highlight w:val="yellow"/>
                <w:lang w:val="en-US" w:eastAsia="zh-CN"/>
              </w:rPr>
              <w:t>#</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≤1m</w:t>
            </w:r>
          </w:p>
        </w:tc>
      </w:tr>
      <w:tr>
        <w:tblPrEx>
          <w:tblW w:w="8776" w:type="dxa"/>
          <w:jc w:val="center"/>
          <w:tblLayout w:type="fixed"/>
          <w:tblCellMar>
            <w:top w:w="0" w:type="dxa"/>
            <w:left w:w="108" w:type="dxa"/>
            <w:bottom w:w="0" w:type="dxa"/>
            <w:right w:w="108" w:type="dxa"/>
          </w:tblCellMar>
        </w:tblPrEx>
        <w:trPr>
          <w:trHeight w:val="207"/>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水平和垂直波束宽度（3dB）</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≤2.7°（含天线罩）</w:t>
            </w:r>
          </w:p>
        </w:tc>
      </w:tr>
      <w:tr>
        <w:tblPrEx>
          <w:tblW w:w="8776" w:type="dxa"/>
          <w:jc w:val="center"/>
          <w:tblLayout w:type="fixed"/>
          <w:tblCellMar>
            <w:top w:w="0" w:type="dxa"/>
            <w:left w:w="108" w:type="dxa"/>
            <w:bottom w:w="0" w:type="dxa"/>
            <w:right w:w="108" w:type="dxa"/>
          </w:tblCellMar>
        </w:tblPrEx>
        <w:trPr>
          <w:trHeight w:val="206"/>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≤2.7°（不含天线罩）</w:t>
            </w:r>
          </w:p>
        </w:tc>
      </w:tr>
      <w:tr>
        <w:tblPrEx>
          <w:tblW w:w="8776" w:type="dxa"/>
          <w:jc w:val="center"/>
          <w:tblLayout w:type="fixed"/>
          <w:tblCellMar>
            <w:top w:w="0" w:type="dxa"/>
            <w:left w:w="108" w:type="dxa"/>
            <w:bottom w:w="0" w:type="dxa"/>
            <w:right w:w="108" w:type="dxa"/>
          </w:tblCellMar>
        </w:tblPrEx>
        <w:trPr>
          <w:trHeight w:val="410"/>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双极化波束宽度差异（3dB）</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≤0.1°</w:t>
            </w:r>
          </w:p>
        </w:tc>
      </w:tr>
      <w:tr>
        <w:tblPrEx>
          <w:tblW w:w="8776" w:type="dxa"/>
          <w:jc w:val="center"/>
          <w:tblLayout w:type="fixed"/>
          <w:tblCellMar>
            <w:top w:w="0" w:type="dxa"/>
            <w:left w:w="108" w:type="dxa"/>
            <w:bottom w:w="0" w:type="dxa"/>
            <w:right w:w="108" w:type="dxa"/>
          </w:tblCellMar>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增益（水平和垂直）</w:t>
            </w:r>
          </w:p>
        </w:tc>
        <w:tc>
          <w:tcPr>
            <w:tcW w:w="495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≥34.4dB（含天线罩）</w:t>
            </w:r>
          </w:p>
        </w:tc>
      </w:tr>
      <w:tr>
        <w:tblPrEx>
          <w:tblW w:w="8776" w:type="dxa"/>
          <w:jc w:val="center"/>
          <w:tblLayout w:type="fixed"/>
          <w:tblCellMar>
            <w:top w:w="0" w:type="dxa"/>
            <w:left w:w="108" w:type="dxa"/>
            <w:bottom w:w="0" w:type="dxa"/>
            <w:right w:w="108" w:type="dxa"/>
          </w:tblCellMar>
        </w:tblPrEx>
        <w:trPr>
          <w:trHeight w:val="191"/>
          <w:jc w:val="center"/>
        </w:trPr>
        <w:tc>
          <w:tcPr>
            <w:tcW w:w="3823" w:type="dxa"/>
            <w:vMerge/>
            <w:tcBorders>
              <w:left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≥35dB（不含天线罩）</w:t>
            </w:r>
          </w:p>
        </w:tc>
      </w:tr>
      <w:tr>
        <w:tblPrEx>
          <w:tblW w:w="8776" w:type="dxa"/>
          <w:jc w:val="center"/>
          <w:tblLayout w:type="fixed"/>
          <w:tblCellMar>
            <w:top w:w="0" w:type="dxa"/>
            <w:left w:w="108" w:type="dxa"/>
            <w:bottom w:w="0" w:type="dxa"/>
            <w:right w:w="108" w:type="dxa"/>
          </w:tblCellMar>
        </w:tblPrEx>
        <w:trPr>
          <w:trHeight w:val="178"/>
          <w:jc w:val="center"/>
        </w:trPr>
        <w:tc>
          <w:tcPr>
            <w:tcW w:w="3823"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双极化天线增益差（H面和E面）</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≤0.3dB</w:t>
            </w:r>
          </w:p>
        </w:tc>
      </w:tr>
      <w:tr>
        <w:tblPrEx>
          <w:tblW w:w="8776" w:type="dxa"/>
          <w:jc w:val="center"/>
          <w:tblLayout w:type="fixed"/>
          <w:tblCellMar>
            <w:top w:w="0" w:type="dxa"/>
            <w:left w:w="108" w:type="dxa"/>
            <w:bottom w:w="0" w:type="dxa"/>
            <w:right w:w="108" w:type="dxa"/>
          </w:tblCellMar>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最大副瓣电平</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≤-17dB（含天线罩）</w:t>
            </w:r>
          </w:p>
        </w:tc>
      </w:tr>
      <w:tr>
        <w:tblPrEx>
          <w:tblW w:w="8776" w:type="dxa"/>
          <w:jc w:val="center"/>
          <w:tblLayout w:type="fixed"/>
          <w:tblCellMar>
            <w:top w:w="0" w:type="dxa"/>
            <w:left w:w="108" w:type="dxa"/>
            <w:bottom w:w="0" w:type="dxa"/>
            <w:right w:w="108" w:type="dxa"/>
          </w:tblCellMar>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≤-20dB（不含天线罩）</w:t>
            </w:r>
          </w:p>
        </w:tc>
      </w:tr>
      <w:tr>
        <w:tblPrEx>
          <w:tblW w:w="8776" w:type="dxa"/>
          <w:jc w:val="center"/>
          <w:tblLayout w:type="fixed"/>
          <w:tblCellMar>
            <w:top w:w="0" w:type="dxa"/>
            <w:left w:w="108" w:type="dxa"/>
            <w:bottom w:w="0" w:type="dxa"/>
            <w:right w:w="108" w:type="dxa"/>
          </w:tblCellMar>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交叉极化隔离度</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≥30dB（含天线罩）</w:t>
            </w:r>
          </w:p>
        </w:tc>
      </w:tr>
      <w:tr>
        <w:tblPrEx>
          <w:tblW w:w="8776" w:type="dxa"/>
          <w:jc w:val="center"/>
          <w:tblLayout w:type="fixed"/>
          <w:tblCellMar>
            <w:top w:w="0" w:type="dxa"/>
            <w:left w:w="108" w:type="dxa"/>
            <w:bottom w:w="0" w:type="dxa"/>
            <w:right w:w="108" w:type="dxa"/>
          </w:tblCellMar>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≥30dB（不含天线罩）</w:t>
            </w:r>
          </w:p>
        </w:tc>
      </w:tr>
      <w:tr>
        <w:tblPrEx>
          <w:tblW w:w="8776" w:type="dxa"/>
          <w:jc w:val="center"/>
          <w:tblLayout w:type="fixed"/>
          <w:tblCellMar>
            <w:top w:w="0" w:type="dxa"/>
            <w:left w:w="108" w:type="dxa"/>
            <w:bottom w:w="0" w:type="dxa"/>
            <w:right w:w="108" w:type="dxa"/>
          </w:tblCellMar>
        </w:tblPrEx>
        <w:trPr>
          <w:trHeight w:val="85"/>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≤1.5（含馈线）</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馈线技术性能指标表</w:t>
      </w:r>
    </w:p>
    <w:tbl>
      <w:tblPr>
        <w:tblStyle w:val="TableNormal"/>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969"/>
        <w:gridCol w:w="3770"/>
      </w:tblGrid>
      <w:tr>
        <w:tblPrEx>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87"/>
          <w:jc w:val="center"/>
        </w:trPr>
        <w:tc>
          <w:tcPr>
            <w:tcW w:w="4969"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3770"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39" w:type="dxa"/>
          <w:jc w:val="center"/>
          <w:tblLayout w:type="fixed"/>
          <w:tblCellMar>
            <w:top w:w="0" w:type="dxa"/>
            <w:left w:w="108" w:type="dxa"/>
            <w:bottom w:w="0" w:type="dxa"/>
            <w:right w:w="108" w:type="dxa"/>
          </w:tblCellMar>
        </w:tblPrEx>
        <w:trPr>
          <w:trHeight w:val="38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损耗（单通道收发总损耗，不含功分器）</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≤3dB</w:t>
            </w:r>
          </w:p>
        </w:tc>
      </w:tr>
      <w:tr>
        <w:tblPrEx>
          <w:tblW w:w="8739" w:type="dxa"/>
          <w:jc w:val="center"/>
          <w:tblLayout w:type="fixed"/>
          <w:tblCellMar>
            <w:top w:w="0" w:type="dxa"/>
            <w:left w:w="108" w:type="dxa"/>
            <w:bottom w:w="0" w:type="dxa"/>
            <w:right w:w="108" w:type="dxa"/>
          </w:tblCellMar>
        </w:tblPrEx>
        <w:trPr>
          <w:trHeight w:val="38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耦合度</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40±1dB</w:t>
            </w:r>
          </w:p>
        </w:tc>
      </w:tr>
      <w:tr>
        <w:tblPrEx>
          <w:tblW w:w="8739" w:type="dxa"/>
          <w:jc w:val="center"/>
          <w:tblLayout w:type="fixed"/>
          <w:tblCellMar>
            <w:top w:w="0" w:type="dxa"/>
            <w:left w:w="108" w:type="dxa"/>
            <w:bottom w:w="0" w:type="dxa"/>
            <w:right w:w="108" w:type="dxa"/>
          </w:tblCellMar>
        </w:tblPrEx>
        <w:trPr>
          <w:trHeight w:val="39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≤1.5</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 xml:space="preserve"> 伺服转台技术性能指标表</w:t>
      </w:r>
    </w:p>
    <w:tbl>
      <w:tblPr>
        <w:tblStyle w:val="TableNormal"/>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51"/>
        <w:gridCol w:w="1225"/>
        <w:gridCol w:w="5291"/>
      </w:tblGrid>
      <w:tr>
        <w:tblPrEx>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right w:val="single" w:sz="4" w:space="0" w:color="auto"/>
            </w:tcBorders>
          </w:tcPr>
          <w:p>
            <w:pPr>
              <w:spacing w:line="460" w:lineRule="exact"/>
              <w:jc w:val="center"/>
              <w:rPr>
                <w:rFonts w:ascii="仿宋_GB2312"/>
                <w:b/>
                <w:bCs/>
              </w:rPr>
            </w:pPr>
            <w:r>
              <w:rPr>
                <w:rFonts w:ascii="仿宋_GB2312" w:hint="eastAsia"/>
                <w:b/>
                <w:bCs/>
                <w:sz w:val="24"/>
              </w:rPr>
              <w:t>项目</w:t>
            </w:r>
          </w:p>
        </w:tc>
        <w:tc>
          <w:tcPr>
            <w:tcW w:w="5291" w:type="dxa"/>
            <w:tcBorders>
              <w:top w:val="single" w:sz="4" w:space="0" w:color="auto"/>
              <w:left w:val="single" w:sz="4" w:space="0" w:color="auto"/>
              <w:bottom w:val="single" w:sz="4" w:space="0" w:color="auto"/>
              <w:right w:val="single" w:sz="4" w:space="0" w:color="auto"/>
            </w:tcBorders>
          </w:tcPr>
          <w:p>
            <w:pPr>
              <w:spacing w:line="460" w:lineRule="exact"/>
              <w:jc w:val="center"/>
              <w:rPr>
                <w:rFonts w:ascii="仿宋_GB2312"/>
                <w:b/>
                <w:bCs/>
              </w:rPr>
            </w:pPr>
            <w:r>
              <w:rPr>
                <w:rFonts w:ascii="仿宋_GB2312" w:hint="eastAsia"/>
                <w:b/>
                <w:bCs/>
                <w:sz w:val="24"/>
              </w:rPr>
              <w:t>性能指标</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天线扫描方式</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平面位置扫描、距离高度扫描、体积扫描、扇形扫描、定点扫描、任意指向扫描</w:t>
            </w:r>
          </w:p>
        </w:tc>
      </w:tr>
      <w:tr>
        <w:tblPrEx>
          <w:tblW w:w="8667" w:type="dxa"/>
          <w:jc w:val="center"/>
          <w:tblLayout w:type="fixed"/>
          <w:tblCellMar>
            <w:top w:w="0" w:type="dxa"/>
            <w:left w:w="108" w:type="dxa"/>
            <w:bottom w:w="0" w:type="dxa"/>
            <w:right w:w="108" w:type="dxa"/>
          </w:tblCellMar>
        </w:tblPrEx>
        <w:trPr>
          <w:trHeight w:val="160"/>
          <w:jc w:val="center"/>
        </w:trPr>
        <w:tc>
          <w:tcPr>
            <w:tcW w:w="2151" w:type="dxa"/>
            <w:vMerge w:val="restart"/>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0～360°连续扫描</w:t>
            </w:r>
          </w:p>
        </w:tc>
      </w:tr>
      <w:tr>
        <w:tblPrEx>
          <w:tblW w:w="8667" w:type="dxa"/>
          <w:jc w:val="center"/>
          <w:tblLayout w:type="fixed"/>
          <w:tblCellMar>
            <w:top w:w="0" w:type="dxa"/>
            <w:left w:w="108" w:type="dxa"/>
            <w:bottom w:w="0" w:type="dxa"/>
            <w:right w:w="108" w:type="dxa"/>
          </w:tblCellMar>
        </w:tblPrEx>
        <w:trPr>
          <w:trHeight w:val="160"/>
          <w:jc w:val="center"/>
        </w:trPr>
        <w:tc>
          <w:tcPr>
            <w:tcW w:w="2151"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-2～+92°往返扫描</w:t>
            </w:r>
          </w:p>
        </w:tc>
      </w:tr>
      <w:tr>
        <w:tblPrEx>
          <w:tblW w:w="8667" w:type="dxa"/>
          <w:jc w:val="center"/>
          <w:tblLayout w:type="fixed"/>
          <w:tblCellMar>
            <w:top w:w="0" w:type="dxa"/>
            <w:left w:w="108" w:type="dxa"/>
            <w:bottom w:w="0" w:type="dxa"/>
            <w:right w:w="108" w:type="dxa"/>
          </w:tblCellMar>
        </w:tblPrEx>
        <w:trPr>
          <w:trHeight w:val="315"/>
          <w:jc w:val="center"/>
        </w:trPr>
        <w:tc>
          <w:tcPr>
            <w:tcW w:w="2151" w:type="dxa"/>
            <w:vMerge w:val="restart"/>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highlight w:val="yellow"/>
              </w:rPr>
              <w:t>天线扫描速度</w:t>
            </w:r>
            <w:r>
              <w:rPr>
                <w:rFonts w:eastAsia="方正小标宋简体" w:hint="eastAsia"/>
                <w:sz w:val="28"/>
                <w:szCs w:val="28"/>
                <w:highlight w:val="yellow"/>
                <w:lang w:val="en-US" w:eastAsia="zh-CN"/>
              </w:rPr>
              <w:t>#</w:t>
            </w:r>
          </w:p>
        </w:tc>
        <w:tc>
          <w:tcPr>
            <w:tcW w:w="1225" w:type="dxa"/>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≥36°/s，≥6°/s误差≤5%</w:t>
            </w:r>
          </w:p>
        </w:tc>
      </w:tr>
      <w:tr>
        <w:tblPrEx>
          <w:tblW w:w="8667" w:type="dxa"/>
          <w:jc w:val="center"/>
          <w:tblLayout w:type="fixed"/>
          <w:tblCellMar>
            <w:top w:w="0" w:type="dxa"/>
            <w:left w:w="108" w:type="dxa"/>
            <w:bottom w:w="0" w:type="dxa"/>
            <w:right w:w="108" w:type="dxa"/>
          </w:tblCellMar>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≥12°/s，≥6°/s误差≤5%</w:t>
            </w:r>
          </w:p>
        </w:tc>
      </w:tr>
      <w:tr>
        <w:tblPrEx>
          <w:tblW w:w="8667" w:type="dxa"/>
          <w:jc w:val="center"/>
          <w:tblLayout w:type="fixed"/>
          <w:tblCellMar>
            <w:top w:w="0" w:type="dxa"/>
            <w:left w:w="108" w:type="dxa"/>
            <w:bottom w:w="0" w:type="dxa"/>
            <w:right w:w="108" w:type="dxa"/>
          </w:tblCellMar>
        </w:tblPrEx>
        <w:trPr>
          <w:trHeight w:val="315"/>
          <w:jc w:val="center"/>
        </w:trPr>
        <w:tc>
          <w:tcPr>
            <w:tcW w:w="2151" w:type="dxa"/>
            <w:vMerge w:val="restart"/>
            <w:tcBorders>
              <w:left w:val="single" w:sz="4" w:space="0" w:color="auto"/>
              <w:right w:val="single" w:sz="4" w:space="0" w:color="auto"/>
            </w:tcBorders>
            <w:vAlign w:val="center"/>
          </w:tcPr>
          <w:p>
            <w:pPr>
              <w:spacing w:line="460" w:lineRule="exact"/>
              <w:rPr>
                <w:rFonts w:ascii="仿宋_GB2312"/>
              </w:rPr>
            </w:pPr>
            <w:r>
              <w:rPr>
                <w:rFonts w:ascii="仿宋_GB2312" w:hint="eastAsia"/>
                <w:sz w:val="24"/>
              </w:rPr>
              <w:t>天线扫描加速度</w:t>
            </w: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≥30°/s</w:t>
            </w:r>
            <w:r>
              <w:rPr>
                <w:rFonts w:ascii="仿宋_GB2312" w:hint="eastAsia"/>
                <w:sz w:val="24"/>
                <w:vertAlign w:val="superscript"/>
              </w:rPr>
              <w:t>2</w:t>
            </w:r>
          </w:p>
        </w:tc>
      </w:tr>
      <w:tr>
        <w:tblPrEx>
          <w:tblW w:w="8667" w:type="dxa"/>
          <w:jc w:val="center"/>
          <w:tblLayout w:type="fixed"/>
          <w:tblCellMar>
            <w:top w:w="0" w:type="dxa"/>
            <w:left w:w="108" w:type="dxa"/>
            <w:bottom w:w="0" w:type="dxa"/>
            <w:right w:w="108" w:type="dxa"/>
          </w:tblCellMar>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≥10°/s</w:t>
            </w:r>
            <w:r>
              <w:rPr>
                <w:rFonts w:ascii="仿宋_GB2312" w:hint="eastAsia"/>
                <w:sz w:val="24"/>
                <w:vertAlign w:val="superscript"/>
              </w:rPr>
              <w:t>2</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天线控制方式</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预置全自动、人工干预自动/手动控制</w:t>
            </w:r>
          </w:p>
        </w:tc>
      </w:tr>
      <w:tr>
        <w:tblPrEx>
          <w:tblW w:w="8667" w:type="dxa"/>
          <w:jc w:val="center"/>
          <w:tblLayout w:type="fixed"/>
          <w:tblCellMar>
            <w:top w:w="0" w:type="dxa"/>
            <w:left w:w="108" w:type="dxa"/>
            <w:bottom w:w="0" w:type="dxa"/>
            <w:right w:w="108" w:type="dxa"/>
          </w:tblCellMar>
        </w:tblPrEx>
        <w:trPr>
          <w:trHeight w:val="49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波束指向误差（方位和俯仰）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≤0.3°</w:t>
            </w:r>
          </w:p>
        </w:tc>
      </w:tr>
      <w:tr>
        <w:tblPrEx>
          <w:tblW w:w="8667" w:type="dxa"/>
          <w:jc w:val="center"/>
          <w:tblLayout w:type="fixed"/>
          <w:tblCellMar>
            <w:top w:w="0" w:type="dxa"/>
            <w:left w:w="108" w:type="dxa"/>
            <w:bottom w:w="0" w:type="dxa"/>
            <w:right w:w="108" w:type="dxa"/>
          </w:tblCellMar>
        </w:tblPrEx>
        <w:trPr>
          <w:trHeight w:val="45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天线控制精度（方位和俯仰）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≤0.2°</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天线控制字长</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≥14位</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角度编码器字长</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≥14位</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安全与保护</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发射机技术性能指标表</w:t>
      </w:r>
    </w:p>
    <w:tbl>
      <w:tblPr>
        <w:tblStyle w:val="TableNormal"/>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702"/>
        <w:gridCol w:w="4961"/>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41"/>
          <w:jc w:val="center"/>
        </w:trPr>
        <w:tc>
          <w:tcPr>
            <w:tcW w:w="3702"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全固态</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63" w:type="dxa"/>
          <w:jc w:val="center"/>
          <w:tblLayout w:type="fixed"/>
          <w:tblCellMar>
            <w:top w:w="0" w:type="dxa"/>
            <w:left w:w="108" w:type="dxa"/>
            <w:bottom w:w="0" w:type="dxa"/>
            <w:right w:w="108" w:type="dxa"/>
          </w:tblCellMar>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脉冲峰值功率（总功率）</w:t>
            </w:r>
            <w:r>
              <w:rPr>
                <w:rFonts w:eastAsia="方正小标宋简体" w:hint="eastAsia"/>
                <w:sz w:val="28"/>
                <w:szCs w:val="28"/>
                <w:highlight w:val="yellow"/>
                <w:lang w:val="en-US" w:eastAsia="zh-CN"/>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200W～300W</w:t>
            </w:r>
          </w:p>
        </w:tc>
      </w:tr>
      <w:tr>
        <w:tblPrEx>
          <w:tblW w:w="8663" w:type="dxa"/>
          <w:jc w:val="center"/>
          <w:tblLayout w:type="fixed"/>
          <w:tblCellMar>
            <w:top w:w="0" w:type="dxa"/>
            <w:left w:w="108" w:type="dxa"/>
            <w:bottom w:w="0" w:type="dxa"/>
            <w:right w:w="108" w:type="dxa"/>
          </w:tblCellMar>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±0.2dB范围内</w:t>
            </w:r>
          </w:p>
        </w:tc>
      </w:tr>
      <w:tr>
        <w:tblPrEx>
          <w:tblW w:w="8663" w:type="dxa"/>
          <w:jc w:val="center"/>
          <w:tblLayout w:type="fixed"/>
          <w:tblCellMar>
            <w:top w:w="0" w:type="dxa"/>
            <w:left w:w="108" w:type="dxa"/>
            <w:bottom w:w="0" w:type="dxa"/>
            <w:right w:w="108" w:type="dxa"/>
          </w:tblCellMar>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峰值功率波动（24小时，以现场安装后测试结果为基准，更换相关器件后重新标校）</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±1dB范围内</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脉冲重复频率</w:t>
            </w:r>
            <w:r>
              <w:rPr>
                <w:rFonts w:eastAsia="方正小标宋简体" w:hint="eastAsia"/>
                <w:sz w:val="28"/>
                <w:szCs w:val="28"/>
                <w:highlight w:val="yellow"/>
                <w:lang w:val="en-US" w:eastAsia="zh-CN"/>
              </w:rPr>
              <w:t>#</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500Hz～3000Hz</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0.5～200μs（可选）</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≥40dB</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发生过温、过流等情况时可报警并实现自保；输出功率低时输出报警信号。</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接收机技术性能指标表</w:t>
      </w:r>
    </w:p>
    <w:tbl>
      <w:tblPr>
        <w:tblStyle w:val="TableNormal"/>
        <w:tblW w:w="8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838"/>
        <w:gridCol w:w="1355"/>
        <w:gridCol w:w="4475"/>
      </w:tblGrid>
      <w:tr>
        <w:tblPrEx>
          <w:tblW w:w="8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4193"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噪声系数（带宽1MHz）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≤3dB（机外）</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±0.3dB范围内</w:t>
            </w:r>
          </w:p>
          <w:p>
            <w:pPr>
              <w:spacing w:line="360" w:lineRule="exact"/>
              <w:rPr>
                <w:rFonts w:ascii="仿宋_GB2312"/>
              </w:rPr>
            </w:pPr>
            <w:r>
              <w:rPr>
                <w:rFonts w:ascii="仿宋_GB2312" w:hint="eastAsia"/>
                <w:sz w:val="24"/>
              </w:rPr>
              <w:t>（机外）</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线性动态范围（带宽1MHz）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≥80dB（机外）</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ghlight w:val="yellow"/>
              </w:rPr>
            </w:pPr>
            <w:r>
              <w:rPr>
                <w:rFonts w:ascii="仿宋_GB2312" w:hint="eastAsia"/>
                <w:sz w:val="24"/>
                <w:highlight w:val="yellow"/>
              </w:rPr>
              <w:t>最小可测功率（灵敏度）</w:t>
            </w:r>
            <w:r>
              <w:rPr>
                <w:rFonts w:eastAsia="方正小标宋简体" w:hint="eastAsia"/>
                <w:sz w:val="28"/>
                <w:szCs w:val="28"/>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≤-110dBm（带宽1MHz）</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机内外接收增益最大偏差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±2dB范围内</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接收增益波动（24小时，以现场安装后测试结果为基准，更换相关器件后重新标校）</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±2dB范围内</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≤-40dBc</w:t>
            </w:r>
          </w:p>
        </w:tc>
      </w:tr>
      <w:tr>
        <w:tblPrEx>
          <w:tblW w:w="8668" w:type="dxa"/>
          <w:jc w:val="center"/>
          <w:tblLayout w:type="fixed"/>
          <w:tblCellMar>
            <w:top w:w="0" w:type="dxa"/>
            <w:left w:w="108" w:type="dxa"/>
            <w:bottom w:w="0" w:type="dxa"/>
            <w:right w:w="108" w:type="dxa"/>
          </w:tblCellMar>
        </w:tblPrEx>
        <w:trPr>
          <w:trHeight w:val="357"/>
          <w:jc w:val="center"/>
        </w:trPr>
        <w:tc>
          <w:tcPr>
            <w:tcW w:w="2838" w:type="dxa"/>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频率源射频输出相位噪声</w:t>
            </w:r>
          </w:p>
        </w:tc>
        <w:tc>
          <w:tcPr>
            <w:tcW w:w="135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≤-110dBc/Hz </w:t>
            </w:r>
          </w:p>
        </w:tc>
      </w:tr>
      <w:tr>
        <w:tblPrEx>
          <w:tblW w:w="8668" w:type="dxa"/>
          <w:jc w:val="center"/>
          <w:tblLayout w:type="fixed"/>
          <w:tblCellMar>
            <w:top w:w="0" w:type="dxa"/>
            <w:left w:w="108" w:type="dxa"/>
            <w:bottom w:w="0" w:type="dxa"/>
            <w:right w:w="108" w:type="dxa"/>
          </w:tblCellMar>
        </w:tblPrEx>
        <w:trPr>
          <w:trHeight w:val="418"/>
          <w:jc w:val="center"/>
        </w:trPr>
        <w:tc>
          <w:tcPr>
            <w:tcW w:w="2838" w:type="dxa"/>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p>
        </w:tc>
        <w:tc>
          <w:tcPr>
            <w:tcW w:w="135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≤-115dBc/Hz </w:t>
            </w:r>
          </w:p>
        </w:tc>
      </w:tr>
      <w:tr>
        <w:tblPrEx>
          <w:tblW w:w="8668" w:type="dxa"/>
          <w:jc w:val="center"/>
          <w:tblLayout w:type="fixed"/>
          <w:tblCellMar>
            <w:top w:w="0" w:type="dxa"/>
            <w:left w:w="108" w:type="dxa"/>
            <w:bottom w:w="0" w:type="dxa"/>
            <w:right w:w="108" w:type="dxa"/>
          </w:tblCellMar>
        </w:tblPrEx>
        <w:trPr>
          <w:trHeight w:val="418"/>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谐波和杂散抑制</w:t>
            </w:r>
            <w:r>
              <w:rPr>
                <w:rFonts w:eastAsia="方正小标宋简体" w:hint="eastAsia"/>
                <w:sz w:val="28"/>
                <w:szCs w:val="28"/>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≥40dB</w:t>
            </w:r>
          </w:p>
        </w:tc>
      </w:tr>
      <w:tr>
        <w:tblPrEx>
          <w:tblW w:w="8668" w:type="dxa"/>
          <w:jc w:val="center"/>
          <w:tblLayout w:type="fixed"/>
          <w:tblCellMar>
            <w:top w:w="0" w:type="dxa"/>
            <w:left w:w="108" w:type="dxa"/>
            <w:bottom w:w="0" w:type="dxa"/>
            <w:right w:w="108" w:type="dxa"/>
          </w:tblCellMar>
        </w:tblPrEx>
        <w:trPr>
          <w:trHeight w:val="418"/>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≥40dB</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发生本振故障、激励故障、时钟故障、RFD测量误差超限等情况时可报警。 </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数字中频单元技术性能指标表</w:t>
      </w:r>
    </w:p>
    <w:tbl>
      <w:tblPr>
        <w:tblStyle w:val="TableNormal"/>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600"/>
        <w:gridCol w:w="5050"/>
      </w:tblGrid>
      <w:tr>
        <w:tblPrEx>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3600" w:type="dxa"/>
            <w:tcBorders>
              <w:top w:val="single" w:sz="4" w:space="0" w:color="auto"/>
              <w:left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项目</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性能指标</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脉冲压缩主副瓣比</w:t>
            </w:r>
            <w:r>
              <w:rPr>
                <w:rFonts w:ascii="仿宋_GB2312" w:hint="eastAsia"/>
                <w:sz w:val="24"/>
                <w:highlight w:val="yellow"/>
                <w:lang w:val="en-US" w:eastAsia="zh-CN"/>
              </w:rPr>
              <w:t>#</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脉压比≥100时，≥50dB</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距离库数</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≥500个</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相关系数处理方式</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一阶相关或多阶相关</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处理对数</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16、32、64、128、256等可选</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支持脉冲数</w:t>
            </w:r>
            <w:r>
              <w:rPr>
                <w:rFonts w:ascii="仿宋_GB2312" w:hint="eastAsia"/>
                <w:sz w:val="24"/>
                <w:highlight w:val="yellow"/>
                <w:lang w:val="en-US" w:eastAsia="zh-CN"/>
              </w:rPr>
              <w:t>#</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同一发射周期内最大支持3种脉冲宽度拼接补盲，可选脉冲宽度支持0.5μs</w:t>
            </w:r>
            <w:r>
              <w:rPr>
                <w:rFonts w:ascii="宋体" w:eastAsia="宋体" w:hAnsi="宋体" w:hint="eastAsia"/>
                <w:sz w:val="24"/>
              </w:rPr>
              <w:t>～</w:t>
            </w:r>
            <w:r>
              <w:rPr>
                <w:rFonts w:ascii="仿宋_GB2312" w:hint="eastAsia"/>
                <w:sz w:val="24"/>
              </w:rPr>
              <w:t>200μs</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距离退模糊方法</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相位编码或其它等效方法</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速度退模糊方法</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双重频或其它等效方法</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IQ数据、数据丢包、参数输出等故障</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信号处理算法</w:t>
      </w:r>
    </w:p>
    <w:tbl>
      <w:tblPr>
        <w:tblStyle w:val="TableNormal"/>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3"/>
        <w:gridCol w:w="2000"/>
        <w:gridCol w:w="5887"/>
      </w:tblGrid>
      <w:tr>
        <w:tblPrEx>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序号</w:t>
            </w:r>
          </w:p>
        </w:tc>
        <w:tc>
          <w:tcPr>
            <w:tcW w:w="4558" w:type="pct"/>
            <w:gridSpan w:val="2"/>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算法名称</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highlight w:val="yellow"/>
              </w:rPr>
              <w:t>杂波抑制</w:t>
            </w:r>
            <w:r>
              <w:rPr>
                <w:rFonts w:eastAsia="方正小标宋简体" w:hint="eastAsia"/>
                <w:sz w:val="28"/>
                <w:szCs w:val="28"/>
                <w:highlight w:val="yellow"/>
                <w:lang w:val="en-US" w:eastAsia="zh-CN"/>
              </w:rPr>
              <w:t>#</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电磁干扰识别</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电磁干扰抑制</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3</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风电干扰识别</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4</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风电干扰抑制</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5</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地杂波识别</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6</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地杂波抑制</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7</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距离/速度退模糊</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双重频（DPRF）</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8</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参差重频（SPRT）</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9</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随机相位调制</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10</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系统相位编码</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11</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批处理</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分层处理</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13</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参数估计</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常规估计（反射率因子、径向速度、速度谱宽、差分反射率、差分传播相移、相关系数）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14</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频域估计（反射率因子、径向速度、速度谱宽、差分反射率、差分传播相移、相关系数）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15</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多阶相关估计（反射率因子、径向速度、速度谱宽、差分反射率、差分传播相移、相关系数）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16</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线性规划估计、最小二乘估计等多种方式（差分传播相移率）</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17</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门限设置</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信号质量指数（SQI）</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18</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天气信号强度指数（SIG）</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19</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杂波订正指数（CCOR）</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20</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杂信比（CSR）</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21</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信噪比（LOG）</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int="eastAsia"/>
                <w:sz w:val="24"/>
                <w:szCs w:val="24"/>
              </w:rPr>
              <w:t>偏振</w:t>
            </w:r>
            <w:r>
              <w:rPr>
                <w:rFonts w:ascii="仿宋_GB2312" w:hAnsi="宋体" w:cs="宋体" w:hint="eastAsia"/>
                <w:kern w:val="0"/>
                <w:sz w:val="24"/>
                <w:szCs w:val="24"/>
              </w:rPr>
              <w:t>量信噪比（DPLOG）</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highlight w:val="yellow"/>
        </w:rPr>
      </w:pPr>
      <w:r>
        <w:rPr>
          <w:rFonts w:ascii="Times New Roman" w:eastAsia="方正小标宋简体" w:hAnsi="Times New Roman" w:cs="Times New Roman" w:hint="eastAsia"/>
          <w:sz w:val="28"/>
          <w:szCs w:val="28"/>
          <w:highlight w:val="yellow"/>
        </w:rPr>
        <w:t>雷达终端配置</w:t>
      </w:r>
      <w:r>
        <w:rPr>
          <w:rFonts w:ascii="Times New Roman" w:eastAsia="方正小标宋简体" w:hAnsi="Times New Roman" w:cs="Times New Roman" w:hint="eastAsia"/>
          <w:sz w:val="28"/>
          <w:szCs w:val="28"/>
          <w:highlight w:val="yellow"/>
          <w:lang w:val="en-US" w:eastAsia="zh-CN"/>
        </w:rPr>
        <w:t>#</w:t>
      </w:r>
    </w:p>
    <w:tbl>
      <w:tblPr>
        <w:tblStyle w:val="TableNormal"/>
        <w:tblW w:w="8655" w:type="dxa"/>
        <w:jc w:val="center"/>
        <w:tblCellMar>
          <w:top w:w="0" w:type="dxa"/>
          <w:left w:w="108" w:type="dxa"/>
          <w:bottom w:w="0" w:type="dxa"/>
          <w:right w:w="108" w:type="dxa"/>
        </w:tblCellMar>
      </w:tblPr>
      <w:tblGrid>
        <w:gridCol w:w="878"/>
        <w:gridCol w:w="1896"/>
        <w:gridCol w:w="5881"/>
      </w:tblGrid>
      <w:tr>
        <w:tblPrEx>
          <w:tblW w:w="865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序号</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项目</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b/>
                <w:bCs/>
              </w:rPr>
            </w:pPr>
            <w:r>
              <w:rPr>
                <w:rFonts w:ascii="仿宋_GB2312" w:hint="eastAsia"/>
                <w:b/>
                <w:bCs/>
                <w:sz w:val="24"/>
                <w:szCs w:val="24"/>
              </w:rPr>
              <w:t>性能指标</w:t>
            </w:r>
          </w:p>
        </w:tc>
      </w:tr>
      <w:tr>
        <w:tblPrEx>
          <w:tblW w:w="865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1</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CPU</w:t>
            </w:r>
          </w:p>
        </w:tc>
        <w:tc>
          <w:tcPr>
            <w:tcW w:w="5881"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不少于8核16线程，频率不低于2.8GHz</w:t>
            </w:r>
          </w:p>
        </w:tc>
      </w:tr>
      <w:tr>
        <w:tblPrEx>
          <w:tblW w:w="865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2</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内存</w:t>
            </w:r>
          </w:p>
        </w:tc>
        <w:tc>
          <w:tcPr>
            <w:tcW w:w="5881"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不低于16GB DDR4</w:t>
            </w:r>
          </w:p>
        </w:tc>
      </w:tr>
      <w:tr>
        <w:tblPrEx>
          <w:tblW w:w="865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固态硬盘</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不低于512GB</w:t>
            </w:r>
          </w:p>
        </w:tc>
      </w:tr>
      <w:tr>
        <w:tblPrEx>
          <w:tblW w:w="865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4</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操作系统</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国产信创系统</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highlight w:val="yellow"/>
        </w:rPr>
      </w:pPr>
      <w:r>
        <w:rPr>
          <w:rFonts w:ascii="Times New Roman" w:eastAsia="方正小标宋简体" w:hAnsi="Times New Roman" w:cs="Times New Roman" w:hint="eastAsia"/>
          <w:sz w:val="28"/>
          <w:szCs w:val="28"/>
          <w:highlight w:val="yellow"/>
        </w:rPr>
        <w:t>基本产品列表</w:t>
      </w:r>
      <w:r>
        <w:rPr>
          <w:rFonts w:ascii="Times New Roman" w:eastAsia="方正小标宋简体" w:hAnsi="Times New Roman" w:cs="Times New Roman" w:hint="eastAsia"/>
          <w:sz w:val="28"/>
          <w:szCs w:val="28"/>
          <w:highlight w:val="yellow"/>
          <w:lang w:val="en-US" w:eastAsia="zh-CN"/>
        </w:rPr>
        <w:t>#</w:t>
      </w:r>
    </w:p>
    <w:tbl>
      <w:tblPr>
        <w:tblStyle w:val="13"/>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28"/>
        <w:gridCol w:w="2875"/>
        <w:gridCol w:w="3489"/>
      </w:tblGrid>
      <w:tr>
        <w:tblPrEx>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jc w:val="center"/>
        </w:trPr>
        <w:tc>
          <w:tcPr>
            <w:tcW w:w="2228" w:type="dxa"/>
            <w:vAlign w:val="center"/>
          </w:tcPr>
          <w:p>
            <w:pPr>
              <w:spacing w:line="240" w:lineRule="auto"/>
              <w:jc w:val="center"/>
              <w:rPr>
                <w:rFonts w:ascii="仿宋_GB2312" w:hAnsi="等线"/>
                <w:b/>
              </w:rPr>
            </w:pPr>
            <w:r>
              <w:rPr>
                <w:rFonts w:ascii="仿宋_GB2312" w:hAnsi="等线" w:cs="Times New Roman" w:hint="eastAsia"/>
                <w:b/>
                <w:sz w:val="24"/>
                <w:szCs w:val="24"/>
              </w:rPr>
              <w:t>类别</w:t>
            </w:r>
          </w:p>
        </w:tc>
        <w:tc>
          <w:tcPr>
            <w:tcW w:w="2875" w:type="dxa"/>
            <w:vAlign w:val="center"/>
          </w:tcPr>
          <w:p>
            <w:pPr>
              <w:spacing w:line="240" w:lineRule="auto"/>
              <w:jc w:val="center"/>
              <w:rPr>
                <w:rFonts w:ascii="仿宋_GB2312" w:hAnsi="等线"/>
                <w:b/>
              </w:rPr>
            </w:pPr>
            <w:r>
              <w:rPr>
                <w:rFonts w:ascii="仿宋_GB2312" w:hAnsi="等线" w:cs="Times New Roman" w:hint="eastAsia"/>
                <w:b/>
                <w:sz w:val="24"/>
                <w:szCs w:val="24"/>
              </w:rPr>
              <w:t>产品名称</w:t>
            </w:r>
          </w:p>
        </w:tc>
        <w:tc>
          <w:tcPr>
            <w:tcW w:w="3489" w:type="dxa"/>
            <w:vAlign w:val="center"/>
          </w:tcPr>
          <w:p>
            <w:pPr>
              <w:spacing w:line="240" w:lineRule="auto"/>
              <w:jc w:val="center"/>
              <w:rPr>
                <w:rFonts w:ascii="仿宋_GB2312" w:hAnsi="等线"/>
                <w:b/>
              </w:rPr>
            </w:pPr>
            <w:r>
              <w:rPr>
                <w:rFonts w:ascii="仿宋_GB2312" w:hAnsi="等线" w:cs="Times New Roman" w:hint="eastAsia"/>
                <w:b/>
                <w:sz w:val="24"/>
                <w:szCs w:val="24"/>
              </w:rPr>
              <w:t>产品标识</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240" w:lineRule="auto"/>
              <w:jc w:val="center"/>
              <w:rPr>
                <w:rFonts w:ascii="仿宋_GB2312" w:hAnsi="等线"/>
              </w:rPr>
            </w:pPr>
            <w:r>
              <w:rPr>
                <w:rFonts w:ascii="仿宋_GB2312" w:hAnsi="等线" w:cs="Times New Roman" w:hint="eastAsia"/>
                <w:sz w:val="24"/>
                <w:szCs w:val="24"/>
              </w:rPr>
              <w:t>基础量</w:t>
            </w:r>
          </w:p>
          <w:p>
            <w:pPr>
              <w:spacing w:line="240" w:lineRule="auto"/>
              <w:jc w:val="center"/>
              <w:rPr>
                <w:rFonts w:ascii="仿宋_GB2312" w:hAnsi="等线"/>
              </w:rPr>
            </w:pPr>
            <w:r>
              <w:rPr>
                <w:rFonts w:ascii="仿宋_GB2312" w:hAnsi="等线" w:cs="Times New Roman" w:hint="eastAsia"/>
                <w:sz w:val="24"/>
                <w:szCs w:val="24"/>
              </w:rPr>
              <w:t>（9种）</w:t>
            </w: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滤波后反射率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径向速度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V</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速度谱宽</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SW</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水平通道信噪比</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SNRH</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差分反射率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ZDR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差分传播相移</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PDP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差分传播相移率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KDP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相关系数</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CC</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垂直通道信噪比</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SNRV</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240" w:lineRule="auto"/>
              <w:jc w:val="center"/>
              <w:rPr>
                <w:rFonts w:ascii="仿宋_GB2312" w:hAnsi="等线"/>
              </w:rPr>
            </w:pPr>
            <w:r>
              <w:rPr>
                <w:rFonts w:ascii="仿宋_GB2312" w:hAnsi="等线" w:cs="Times New Roman" w:hint="eastAsia"/>
                <w:sz w:val="24"/>
                <w:szCs w:val="24"/>
              </w:rPr>
              <w:t>物理量</w:t>
            </w:r>
          </w:p>
          <w:p>
            <w:pPr>
              <w:spacing w:line="240" w:lineRule="auto"/>
              <w:jc w:val="center"/>
              <w:rPr>
                <w:rFonts w:ascii="仿宋_GB2312" w:hAnsi="等线"/>
              </w:rPr>
            </w:pPr>
            <w:r>
              <w:rPr>
                <w:rFonts w:ascii="仿宋_GB2312" w:hAnsi="等线" w:cs="Times New Roman" w:hint="eastAsia"/>
                <w:sz w:val="24"/>
                <w:szCs w:val="24"/>
              </w:rPr>
              <w:t>（1</w:t>
            </w:r>
            <w:r>
              <w:rPr>
                <w:rFonts w:ascii="仿宋_GB2312" w:hAnsi="等线" w:cs="Times New Roman"/>
                <w:sz w:val="24"/>
                <w:szCs w:val="24"/>
              </w:rPr>
              <w:t>0</w:t>
            </w:r>
            <w:r>
              <w:rPr>
                <w:rFonts w:ascii="仿宋_GB2312" w:hAnsi="等线" w:cs="Times New Roman" w:hint="eastAsia"/>
                <w:sz w:val="24"/>
                <w:szCs w:val="24"/>
              </w:rPr>
              <w:t>种）</w:t>
            </w: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组合反射率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CR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垂直积分液态水</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VIL</w:t>
            </w:r>
          </w:p>
        </w:tc>
      </w:tr>
      <w:tr>
        <w:tblPrEx>
          <w:tblW w:w="8592"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回波顶高</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ET</w:t>
            </w:r>
          </w:p>
        </w:tc>
      </w:tr>
      <w:tr>
        <w:tblPrEx>
          <w:tblW w:w="8592"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分层组合反射率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LCR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风暴质心高度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RCH</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速度方位显示风廓线</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VWP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1小时累积降水量</w:t>
            </w:r>
          </w:p>
        </w:tc>
        <w:tc>
          <w:tcPr>
            <w:tcW w:w="3489" w:type="dxa"/>
            <w:vAlign w:val="center"/>
          </w:tcPr>
          <w:p>
            <w:pPr>
              <w:spacing w:line="240" w:lineRule="auto"/>
              <w:jc w:val="center"/>
              <w:rPr>
                <w:rFonts w:ascii="仿宋_GB2312" w:hAnsi="等线"/>
              </w:rPr>
            </w:pPr>
            <w:r>
              <w:rPr>
                <w:rFonts w:ascii="仿宋_GB2312" w:hAnsi="等线" w:cs="Times New Roman"/>
                <w:sz w:val="24"/>
                <w:szCs w:val="24"/>
              </w:rPr>
              <w:t>1</w:t>
            </w:r>
            <w:r>
              <w:rPr>
                <w:rFonts w:ascii="仿宋_GB2312" w:hAnsi="等线" w:cs="Times New Roman" w:hint="eastAsia"/>
                <w:sz w:val="24"/>
                <w:szCs w:val="24"/>
              </w:rPr>
              <w:t>HP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sz w:val="24"/>
                <w:szCs w:val="24"/>
              </w:rPr>
              <w:t>2</w:t>
            </w:r>
            <w:r>
              <w:rPr>
                <w:rFonts w:ascii="仿宋_GB2312" w:hAnsi="等线" w:cs="Times New Roman" w:hint="eastAsia"/>
                <w:sz w:val="24"/>
                <w:szCs w:val="24"/>
              </w:rPr>
              <w:t>小时累积降水量</w:t>
            </w:r>
          </w:p>
        </w:tc>
        <w:tc>
          <w:tcPr>
            <w:tcW w:w="3489" w:type="dxa"/>
            <w:vAlign w:val="center"/>
          </w:tcPr>
          <w:p>
            <w:pPr>
              <w:spacing w:line="240" w:lineRule="auto"/>
              <w:jc w:val="center"/>
              <w:rPr>
                <w:rFonts w:ascii="仿宋_GB2312" w:hAnsi="等线"/>
              </w:rPr>
            </w:pPr>
            <w:r>
              <w:rPr>
                <w:rFonts w:ascii="仿宋_GB2312" w:hAnsi="等线" w:cs="Times New Roman"/>
                <w:sz w:val="24"/>
                <w:szCs w:val="24"/>
              </w:rPr>
              <w:t>2</w:t>
            </w:r>
            <w:r>
              <w:rPr>
                <w:rFonts w:ascii="仿宋_GB2312" w:hAnsi="等线" w:cs="Times New Roman" w:hint="eastAsia"/>
                <w:sz w:val="24"/>
                <w:szCs w:val="24"/>
              </w:rPr>
              <w:t>HP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N小时累积降水量</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NHP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风暴相对径向速度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SRM</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240" w:lineRule="auto"/>
              <w:jc w:val="center"/>
              <w:rPr>
                <w:rFonts w:ascii="仿宋_GB2312" w:hAnsi="等线"/>
              </w:rPr>
            </w:pPr>
            <w:r>
              <w:rPr>
                <w:rFonts w:ascii="仿宋_GB2312" w:hAnsi="等线" w:cs="Times New Roman" w:hint="eastAsia"/>
                <w:sz w:val="24"/>
                <w:szCs w:val="24"/>
              </w:rPr>
              <w:t>识别产品</w:t>
            </w:r>
          </w:p>
          <w:p>
            <w:pPr>
              <w:spacing w:line="240" w:lineRule="auto"/>
              <w:jc w:val="center"/>
              <w:rPr>
                <w:rFonts w:ascii="仿宋_GB2312" w:hAnsi="等线"/>
              </w:rPr>
            </w:pPr>
            <w:r>
              <w:rPr>
                <w:rFonts w:ascii="仿宋_GB2312" w:hAnsi="等线" w:cs="Times New Roman" w:hint="eastAsia"/>
                <w:sz w:val="24"/>
                <w:szCs w:val="24"/>
              </w:rPr>
              <w:t>（6种）</w:t>
            </w: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冰雹指数</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HI</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风暴追踪信息</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STI</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中气旋</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M</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雷暴大风</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TD</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短时强降水</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HR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水凝物分类</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HCL</w:t>
            </w:r>
          </w:p>
        </w:tc>
      </w:tr>
      <w:tr>
        <w:tblPrEx>
          <w:tblW w:w="8592" w:type="dxa"/>
          <w:jc w:val="center"/>
          <w:tblLayout w:type="fixed"/>
          <w:tblCellMar>
            <w:top w:w="0" w:type="dxa"/>
            <w:left w:w="108" w:type="dxa"/>
            <w:bottom w:w="0" w:type="dxa"/>
            <w:right w:w="108" w:type="dxa"/>
          </w:tblCellMar>
        </w:tblPrEx>
        <w:trPr>
          <w:cantSplit/>
          <w:trHeight w:val="424"/>
          <w:jc w:val="center"/>
        </w:trPr>
        <w:tc>
          <w:tcPr>
            <w:tcW w:w="2228" w:type="dxa"/>
            <w:vMerge w:val="restart"/>
            <w:vAlign w:val="center"/>
          </w:tcPr>
          <w:p>
            <w:pPr>
              <w:spacing w:line="240" w:lineRule="auto"/>
              <w:jc w:val="center"/>
              <w:rPr>
                <w:rFonts w:ascii="仿宋_GB2312" w:hAnsi="等线"/>
              </w:rPr>
            </w:pPr>
            <w:r>
              <w:rPr>
                <w:rFonts w:ascii="仿宋_GB2312" w:hAnsi="等线" w:cs="Times New Roman" w:hint="eastAsia"/>
                <w:sz w:val="24"/>
                <w:szCs w:val="24"/>
              </w:rPr>
              <w:t>告警产品</w:t>
            </w:r>
          </w:p>
          <w:p>
            <w:pPr>
              <w:spacing w:line="240" w:lineRule="auto"/>
              <w:jc w:val="center"/>
              <w:rPr>
                <w:rFonts w:ascii="仿宋_GB2312" w:hAnsi="等线"/>
              </w:rPr>
            </w:pPr>
            <w:r>
              <w:rPr>
                <w:rFonts w:ascii="仿宋_GB2312" w:hAnsi="等线" w:cs="Times New Roman" w:hint="eastAsia"/>
                <w:sz w:val="24"/>
                <w:szCs w:val="24"/>
              </w:rPr>
              <w:t>（2种）</w:t>
            </w:r>
          </w:p>
        </w:tc>
        <w:tc>
          <w:tcPr>
            <w:tcW w:w="2875" w:type="dxa"/>
            <w:vAlign w:val="center"/>
          </w:tcPr>
          <w:p>
            <w:pPr>
              <w:spacing w:line="240" w:lineRule="auto"/>
              <w:jc w:val="center"/>
              <w:rPr>
                <w:rFonts w:ascii="仿宋_GB2312" w:hAnsi="等线"/>
              </w:rPr>
            </w:pPr>
            <w:r>
              <w:rPr>
                <w:rFonts w:ascii="仿宋_GB2312" w:hAnsi="等线" w:cs="Times New Roman"/>
                <w:sz w:val="24"/>
                <w:szCs w:val="24"/>
              </w:rPr>
              <w:t>冰雹强度趋势</w:t>
            </w:r>
            <w:r>
              <w:rPr>
                <w:rFonts w:ascii="仿宋_GB2312" w:hAnsi="等线" w:cs="Times New Roman" w:hint="eastAsia"/>
                <w:sz w:val="24"/>
                <w:szCs w:val="24"/>
              </w:rPr>
              <w:t>告警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MESHT</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降雨强度告警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PIA</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产品终端配置</w:t>
      </w:r>
    </w:p>
    <w:p>
      <w:pPr>
        <w:spacing w:line="570" w:lineRule="exact"/>
        <w:ind w:firstLine="560" w:firstLineChars="200"/>
        <w:rPr>
          <w:rFonts w:ascii="仿宋" w:eastAsia="仿宋" w:hAnsi="仿宋" w:hint="eastAsia"/>
          <w:sz w:val="28"/>
          <w:szCs w:val="28"/>
          <w:highlight w:val="none"/>
        </w:rPr>
      </w:pPr>
      <w:r>
        <w:rPr>
          <w:rFonts w:ascii="仿宋" w:eastAsia="仿宋" w:hAnsi="仿宋" w:cs="Times New Roman" w:hint="eastAsia"/>
          <w:sz w:val="28"/>
          <w:szCs w:val="28"/>
          <w:highlight w:val="none"/>
        </w:rPr>
        <w:t>1）用户端至少配置2台产品终端，负责产品制作及数据归档。</w:t>
      </w:r>
    </w:p>
    <w:p>
      <w:pPr>
        <w:spacing w:line="570" w:lineRule="exact"/>
        <w:ind w:firstLine="560" w:firstLineChars="200"/>
        <w:rPr>
          <w:rFonts w:ascii="仿宋" w:eastAsia="仿宋" w:hAnsi="仿宋" w:hint="eastAsia"/>
          <w:sz w:val="28"/>
          <w:szCs w:val="28"/>
          <w:highlight w:val="none"/>
        </w:rPr>
      </w:pPr>
      <w:r>
        <w:rPr>
          <w:rFonts w:ascii="仿宋" w:eastAsia="仿宋" w:hAnsi="仿宋" w:cs="Times New Roman" w:hint="eastAsia"/>
          <w:sz w:val="28"/>
          <w:szCs w:val="28"/>
          <w:highlight w:val="none"/>
        </w:rPr>
        <w:t>2）终端应支持国产信创系统。</w:t>
      </w:r>
    </w:p>
    <w:p>
      <w:pPr>
        <w:spacing w:line="570" w:lineRule="exact"/>
        <w:ind w:firstLine="560" w:firstLineChars="200"/>
        <w:rPr>
          <w:rFonts w:ascii="仿宋" w:eastAsia="仿宋" w:hAnsi="仿宋" w:hint="eastAsia"/>
          <w:sz w:val="28"/>
          <w:szCs w:val="28"/>
          <w:highlight w:val="none"/>
        </w:rPr>
      </w:pPr>
      <w:r>
        <w:rPr>
          <w:rFonts w:ascii="仿宋" w:eastAsia="仿宋" w:hAnsi="仿宋" w:cs="Times New Roman" w:hint="eastAsia"/>
          <w:sz w:val="28"/>
          <w:szCs w:val="28"/>
          <w:highlight w:val="none"/>
        </w:rPr>
        <w:t>3）产品终端数据处理能力应满足产品制作整体耗时小于雷达最短体扫用时，避免造成数据积压。</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highlight w:val="none"/>
        </w:rPr>
        <w:t>4）产品终端能存储不少于1年的天气雷达标准格式基数据及3个月的雷达产品。</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四</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质保服务要求</w:t>
      </w:r>
    </w:p>
    <w:p>
      <w:pPr>
        <w:spacing w:line="240" w:lineRule="auto"/>
        <w:ind w:firstLine="560" w:firstLineChars="200"/>
        <w:outlineLvl w:val="3"/>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4.1培训</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在采购方指定地点，中标方对相关技术人员进行不低于2人*5</w:t>
      </w:r>
      <w:r>
        <w:rPr>
          <w:rFonts w:ascii="仿宋" w:eastAsia="仿宋" w:hAnsi="仿宋" w:cs="Times New Roman" w:hint="eastAsia"/>
          <w:sz w:val="28"/>
          <w:szCs w:val="28"/>
        </w:rPr>
        <w:t>天</w:t>
      </w:r>
      <w:r>
        <w:rPr>
          <w:rFonts w:ascii="仿宋" w:eastAsia="仿宋" w:hAnsi="仿宋" w:cs="Times New Roman" w:hint="eastAsia"/>
          <w:sz w:val="28"/>
          <w:szCs w:val="28"/>
          <w:lang w:eastAsia="zh-CN"/>
        </w:rPr>
        <w:t>（</w:t>
      </w:r>
      <w:r>
        <w:rPr>
          <w:rFonts w:ascii="仿宋" w:eastAsia="仿宋" w:hAnsi="仿宋" w:cs="Times New Roman" w:hint="eastAsia"/>
          <w:sz w:val="28"/>
          <w:szCs w:val="28"/>
          <w:lang w:val="en-US" w:eastAsia="zh-CN"/>
        </w:rPr>
        <w:t>40课时</w:t>
      </w:r>
      <w:r>
        <w:rPr>
          <w:rFonts w:ascii="仿宋" w:eastAsia="仿宋" w:hAnsi="仿宋" w:cs="Times New Roman" w:hint="eastAsia"/>
          <w:sz w:val="28"/>
          <w:szCs w:val="28"/>
          <w:lang w:eastAsia="zh-CN"/>
        </w:rPr>
        <w:t>）</w:t>
      </w:r>
      <w:r>
        <w:rPr>
          <w:rFonts w:ascii="仿宋" w:eastAsia="仿宋" w:hAnsi="仿宋" w:cs="Times New Roman" w:hint="eastAsia"/>
          <w:sz w:val="28"/>
          <w:szCs w:val="28"/>
        </w:rPr>
        <w:t>的雷达使用培训和机务培训，使相关人员能够熟练掌握雷达基本操作、维护维修方法等，培训至少应包括以下内容：</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1）熟悉雷达系统工作原理；</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2）掌握雷达总体、各系统和配套设备的安装与布局位置；</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3）掌握雷达的结构和性能特点；</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4）在使用过程中，台站人员能熟练进行雷达操作；</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5）能完成雷达常见故障的判断；</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6）掌握雷达的日常维护、标定流程；</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7）具备雷达回波识别能力。</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8）掌握仪器仪表使用方法。</w:t>
      </w:r>
    </w:p>
    <w:p>
      <w:pPr>
        <w:spacing w:line="240" w:lineRule="auto"/>
        <w:ind w:firstLine="560" w:firstLineChars="200"/>
        <w:outlineLvl w:val="3"/>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4.2质保期服务</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中标方按照中国气象局有关要求和双方协商约定的内容</w:t>
      </w:r>
      <w:r>
        <w:rPr>
          <w:rFonts w:ascii="仿宋" w:eastAsia="仿宋" w:hAnsi="仿宋" w:cs="Times New Roman" w:hint="eastAsia"/>
          <w:sz w:val="28"/>
          <w:szCs w:val="28"/>
        </w:rPr>
        <w:t>提供服务，确保设备稳定运行，以及自验收合格后8年的整机及雷达分系统质保服务等。</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按照中国气象局有关业务规范要求，在三级及以上气象应急响应期间，24小时全天候现场值守保障，并定期编制和上报雷达运行状态及故障处置报告。</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备品备件、维护标校、故障维修和巡检巡查等各项要求参照《X波段天气雷达观测规范（试行）》、《X波段天气雷达标校业务规范（试行）》等文件要求执行。</w:t>
      </w:r>
    </w:p>
    <w:p>
      <w:pPr>
        <w:spacing w:line="570" w:lineRule="exact"/>
        <w:ind w:firstLine="560" w:firstLineChars="200"/>
        <w:rPr>
          <w:rFonts w:ascii="仿宋" w:eastAsia="仿宋" w:hAnsi="仿宋" w:cs="仿宋" w:hint="eastAsia"/>
          <w:sz w:val="28"/>
          <w:szCs w:val="28"/>
        </w:rPr>
      </w:pPr>
      <w:r>
        <w:rPr>
          <w:rFonts w:ascii="仿宋" w:eastAsia="仿宋" w:hAnsi="仿宋" w:cs="Times New Roman" w:hint="eastAsia"/>
          <w:sz w:val="28"/>
          <w:szCs w:val="28"/>
        </w:rPr>
        <w:t>质保期服务提供相关承诺函</w:t>
      </w:r>
      <w:r>
        <w:rPr>
          <w:rFonts w:ascii="仿宋" w:eastAsia="仿宋" w:hAnsi="仿宋" w:cs="仿宋" w:hint="eastAsia"/>
          <w:sz w:val="28"/>
          <w:szCs w:val="28"/>
        </w:rPr>
        <w:t>。</w:t>
      </w:r>
    </w:p>
    <w:p>
      <w:pPr>
        <w:spacing w:line="240" w:lineRule="auto"/>
        <w:ind w:firstLine="560" w:firstLineChars="200"/>
        <w:outlineLvl w:val="3"/>
        <w:rPr>
          <w:rFonts w:ascii="仿宋" w:eastAsia="仿宋" w:hAnsi="仿宋" w:cs="仿宋" w:hint="eastAsia"/>
          <w:sz w:val="28"/>
          <w:szCs w:val="28"/>
          <w:highlight w:val="yellow"/>
        </w:rPr>
      </w:pPr>
      <w:r>
        <w:rPr>
          <w:rFonts w:ascii="仿宋_GB2312" w:eastAsia="仿宋_GB2312" w:hAnsi="仿宋_GB2312" w:cs="仿宋_GB2312" w:hint="eastAsia"/>
          <w:bCs/>
          <w:sz w:val="28"/>
          <w:szCs w:val="28"/>
          <w:highlight w:val="yellow"/>
        </w:rPr>
        <w:t>4.</w:t>
      </w:r>
      <w:r>
        <w:rPr>
          <w:rFonts w:ascii="仿宋_GB2312" w:eastAsia="仿宋_GB2312" w:hAnsi="仿宋_GB2312" w:cs="仿宋_GB2312" w:hint="eastAsia"/>
          <w:bCs/>
          <w:sz w:val="28"/>
          <w:szCs w:val="28"/>
          <w:highlight w:val="yellow"/>
          <w:lang w:val="en-US" w:eastAsia="zh-CN"/>
        </w:rPr>
        <w:t xml:space="preserve">3 </w:t>
      </w:r>
      <w:r>
        <w:rPr>
          <w:rFonts w:ascii="仿宋_GB2312" w:eastAsia="仿宋_GB2312" w:hAnsi="仿宋_GB2312" w:cs="仿宋_GB2312" w:hint="eastAsia"/>
          <w:bCs/>
          <w:sz w:val="28"/>
          <w:szCs w:val="28"/>
          <w:highlight w:val="yellow"/>
        </w:rPr>
        <w:t>软件调试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中标方需配合采购方，完成配套软件的</w:t>
      </w:r>
      <w:r>
        <w:rPr>
          <w:rFonts w:ascii="仿宋" w:eastAsia="仿宋" w:hAnsi="仿宋" w:cs="Times New Roman" w:hint="eastAsia"/>
          <w:sz w:val="28"/>
          <w:szCs w:val="28"/>
        </w:rPr>
        <w:t>安装调试，保证上站后能够安全稳定运行。投标方须提供承诺函。</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五</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验收要求（检验考核要求等）</w:t>
      </w:r>
    </w:p>
    <w:p>
      <w:pPr>
        <w:spacing w:line="570" w:lineRule="exact"/>
        <w:ind w:firstLine="560" w:firstLineChars="200"/>
        <w:rPr>
          <w:rFonts w:ascii="仿宋" w:eastAsia="仿宋" w:hAnsi="仿宋" w:hint="eastAsia"/>
          <w:sz w:val="28"/>
          <w:szCs w:val="28"/>
        </w:rPr>
      </w:pPr>
      <w:bookmarkStart w:id="79" w:name="_Hlk168594784"/>
      <w:r>
        <w:rPr>
          <w:rFonts w:ascii="仿宋" w:eastAsia="仿宋" w:hAnsi="仿宋" w:hint="eastAsia"/>
          <w:sz w:val="28"/>
          <w:szCs w:val="28"/>
        </w:rPr>
        <w:t>参照可行性研究报告、合同、《微小型X</w:t>
      </w:r>
      <w:r>
        <w:rPr>
          <w:rFonts w:ascii="仿宋" w:eastAsia="仿宋" w:hAnsi="仿宋" w:cs="Times New Roman" w:hint="eastAsia"/>
          <w:sz w:val="28"/>
          <w:szCs w:val="28"/>
        </w:rPr>
        <w:t>波段双线偏振多普勒天气雷达测试大纲（试行）》（气测函〔2025〕106号）、《气象监测预警补短板工程X</w:t>
      </w:r>
      <w:r>
        <w:rPr>
          <w:rFonts w:ascii="仿宋" w:eastAsia="仿宋" w:hAnsi="仿宋" w:cs="Times New Roman" w:hint="eastAsia"/>
          <w:color w:val="auto"/>
          <w:sz w:val="28"/>
          <w:szCs w:val="28"/>
        </w:rPr>
        <w:t>波段天气雷达现场验收规定（试行）》等文件的要求开展检验考核。同时，采购人可根据合同以及采购人的有关规定</w:t>
      </w:r>
      <w:r>
        <w:rPr>
          <w:rFonts w:ascii="仿宋" w:eastAsia="仿宋" w:hAnsi="仿宋" w:cs="Times New Roman" w:hint="eastAsia"/>
          <w:color w:val="auto"/>
          <w:sz w:val="28"/>
          <w:szCs w:val="28"/>
          <w:highlight w:val="none"/>
        </w:rPr>
        <w:t>修改完善验收文件</w:t>
      </w:r>
      <w:r>
        <w:rPr>
          <w:rFonts w:ascii="仿宋" w:eastAsia="仿宋" w:hAnsi="仿宋" w:hint="eastAsia"/>
          <w:color w:val="auto"/>
          <w:sz w:val="28"/>
          <w:szCs w:val="28"/>
        </w:rPr>
        <w:t>，经双方确认后作为验收依据</w:t>
      </w:r>
      <w:r>
        <w:rPr>
          <w:rFonts w:ascii="仿宋" w:eastAsia="仿宋" w:hAnsi="仿宋" w:cs="Times New Roman" w:hint="eastAsia"/>
          <w:color w:val="auto"/>
          <w:sz w:val="28"/>
          <w:szCs w:val="28"/>
          <w:highlight w:val="none"/>
        </w:rPr>
        <w:t>。</w:t>
      </w:r>
    </w:p>
    <w:bookmarkEnd w:id="79"/>
    <w:p>
      <w:pPr>
        <w:spacing w:line="240" w:lineRule="auto"/>
        <w:ind w:firstLine="560" w:firstLineChars="200"/>
        <w:outlineLvl w:val="2"/>
        <w:rPr>
          <w:rFonts w:ascii="仿宋" w:eastAsia="仿宋" w:hAnsi="仿宋" w:cs="仿宋" w:hint="eastAsia"/>
          <w:sz w:val="28"/>
          <w:szCs w:val="20"/>
        </w:rPr>
      </w:pPr>
      <w:r>
        <w:rPr>
          <w:rFonts w:ascii="仿宋_GB2312" w:eastAsia="仿宋_GB2312" w:hAnsi="仿宋_GB2312" w:cs="仿宋_GB2312" w:hint="eastAsia"/>
          <w:bCs/>
          <w:sz w:val="28"/>
          <w:szCs w:val="28"/>
          <w:highlight w:val="none"/>
        </w:rPr>
        <w:t>六 其他要求</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hint="eastAsia"/>
          <w:sz w:val="28"/>
          <w:szCs w:val="28"/>
        </w:rPr>
        <w:t>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70" w:lineRule="exact"/>
        <w:ind w:left="0" w:firstLine="560" w:leftChars="0" w:firstLineChars="200"/>
        <w:rPr>
          <w:rFonts w:ascii="仿宋" w:eastAsia="仿宋" w:hAnsi="仿宋" w:hint="eastAsia"/>
          <w:sz w:val="28"/>
          <w:szCs w:val="28"/>
        </w:rPr>
      </w:pPr>
      <w:r>
        <w:rPr>
          <w:rFonts w:ascii="仿宋" w:eastAsia="仿宋" w:hAnsi="仿宋" w:hint="eastAsia"/>
          <w:sz w:val="28"/>
          <w:szCs w:val="28"/>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4"/>
        <w:gridCol w:w="1634"/>
        <w:gridCol w:w="778"/>
        <w:gridCol w:w="1081"/>
        <w:gridCol w:w="1233"/>
        <w:gridCol w:w="778"/>
        <w:gridCol w:w="258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80" w:name="货物一览表_index"/>
            <w:r>
              <w:rPr>
                <w:rFonts w:asciiTheme="minorEastAsia" w:eastAsiaTheme="minorEastAsia" w:hAnsiTheme="minorEastAsia" w:cstheme="minorEastAsia" w:hint="eastAsia"/>
                <w:kern w:val="0"/>
                <w:szCs w:val="21"/>
              </w:rPr>
              <w:t>序号</w:t>
            </w:r>
            <w:bookmarkEnd w:id="80"/>
          </w:p>
        </w:tc>
        <w:tc>
          <w:tcPr>
            <w:tcW w:w="1135" w:type="dxa"/>
          </w:tcPr>
          <w:p>
            <w:pPr>
              <w:autoSpaceDE w:val="0"/>
              <w:jc w:val="center"/>
              <w:rPr>
                <w:rFonts w:asciiTheme="minorEastAsia" w:hAnsiTheme="minorEastAsia" w:cstheme="minorEastAsia"/>
                <w:kern w:val="0"/>
                <w:szCs w:val="21"/>
              </w:rPr>
            </w:pPr>
            <w:bookmarkStart w:id="81" w:name="货物一览表_goodsName"/>
            <w:r>
              <w:rPr>
                <w:rFonts w:asciiTheme="minorEastAsia" w:eastAsiaTheme="minorEastAsia" w:hAnsiTheme="minorEastAsia" w:cstheme="minorEastAsia" w:hint="eastAsia"/>
                <w:kern w:val="0"/>
                <w:szCs w:val="21"/>
              </w:rPr>
              <w:t>设备名称</w:t>
            </w:r>
            <w:bookmarkEnd w:id="81"/>
          </w:p>
        </w:tc>
        <w:tc>
          <w:tcPr>
            <w:tcW w:w="965" w:type="dxa"/>
          </w:tcPr>
          <w:p>
            <w:pPr>
              <w:autoSpaceDE w:val="0"/>
              <w:jc w:val="center"/>
              <w:rPr>
                <w:rFonts w:asciiTheme="minorEastAsia" w:hAnsiTheme="minorEastAsia" w:cstheme="minorEastAsia"/>
                <w:kern w:val="0"/>
                <w:szCs w:val="21"/>
              </w:rPr>
            </w:pPr>
            <w:bookmarkStart w:id="82" w:name="货物一览表_nums"/>
            <w:r>
              <w:rPr>
                <w:rFonts w:asciiTheme="minorEastAsia" w:eastAsiaTheme="minorEastAsia" w:hAnsiTheme="minorEastAsia" w:cstheme="minorEastAsia" w:hint="eastAsia"/>
                <w:kern w:val="0"/>
                <w:szCs w:val="21"/>
              </w:rPr>
              <w:t>采购数量</w:t>
            </w:r>
            <w:bookmarkEnd w:id="82"/>
          </w:p>
        </w:tc>
        <w:tc>
          <w:tcPr>
            <w:tcW w:w="1062" w:type="dxa"/>
          </w:tcPr>
          <w:p>
            <w:pPr>
              <w:autoSpaceDE w:val="0"/>
              <w:jc w:val="center"/>
              <w:rPr>
                <w:rFonts w:asciiTheme="minorEastAsia" w:hAnsiTheme="minorEastAsia" w:cstheme="minorEastAsia"/>
                <w:kern w:val="0"/>
                <w:szCs w:val="21"/>
              </w:rPr>
            </w:pPr>
            <w:bookmarkStart w:id="83" w:name="货物一览表_units"/>
            <w:r>
              <w:rPr>
                <w:rFonts w:asciiTheme="minorEastAsia" w:eastAsiaTheme="minorEastAsia" w:hAnsiTheme="minorEastAsia" w:cstheme="minorEastAsia" w:hint="eastAsia"/>
                <w:kern w:val="0"/>
                <w:szCs w:val="21"/>
              </w:rPr>
              <w:t>计量单位</w:t>
            </w:r>
            <w:bookmarkEnd w:id="83"/>
          </w:p>
        </w:tc>
        <w:tc>
          <w:tcPr>
            <w:tcW w:w="1220" w:type="dxa"/>
          </w:tcPr>
          <w:p>
            <w:pPr>
              <w:autoSpaceDE w:val="0"/>
              <w:jc w:val="center"/>
              <w:rPr>
                <w:rFonts w:asciiTheme="minorEastAsia" w:hAnsiTheme="minorEastAsia" w:cstheme="minorEastAsia"/>
                <w:kern w:val="0"/>
                <w:szCs w:val="21"/>
              </w:rPr>
            </w:pPr>
            <w:bookmarkStart w:id="84" w:name="货物一览表_procurementBudget"/>
            <w:r>
              <w:rPr>
                <w:rFonts w:asciiTheme="minorEastAsia" w:eastAsiaTheme="minorEastAsia" w:hAnsiTheme="minorEastAsia" w:cstheme="minorEastAsia" w:hint="eastAsia"/>
                <w:kern w:val="0"/>
                <w:szCs w:val="21"/>
              </w:rPr>
              <w:t>采购预算（元）</w:t>
            </w:r>
            <w:bookmarkEnd w:id="84"/>
          </w:p>
        </w:tc>
        <w:tc>
          <w:tcPr>
            <w:tcW w:w="1329" w:type="dxa"/>
          </w:tcPr>
          <w:p>
            <w:pPr>
              <w:autoSpaceDE w:val="0"/>
              <w:jc w:val="center"/>
              <w:rPr>
                <w:rFonts w:asciiTheme="minorEastAsia" w:hAnsiTheme="minorEastAsia" w:cstheme="minorEastAsia" w:hint="eastAsia"/>
                <w:kern w:val="0"/>
                <w:szCs w:val="21"/>
              </w:rPr>
            </w:pPr>
            <w:bookmarkStart w:id="8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6" w:name="货物一览表_remark"/>
            <w:r>
              <w:rPr>
                <w:rFonts w:asciiTheme="minorEastAsia" w:eastAsiaTheme="minorEastAsia" w:hAnsiTheme="minorEastAsia" w:cstheme="minorEastAsia" w:hint="eastAsia"/>
                <w:kern w:val="0"/>
                <w:szCs w:val="21"/>
              </w:rPr>
              <w:t>备注</w:t>
            </w:r>
            <w:bookmarkEnd w:id="8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X波段双线偏振多普勒天气雷达（简易型）</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2,790,000.00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所采购雷达均安装于四川省高原地区</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2,790,000.00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1289"/>
        <w:gridCol w:w="575"/>
        <w:gridCol w:w="167"/>
        <w:gridCol w:w="381"/>
        <w:gridCol w:w="317"/>
        <w:gridCol w:w="488"/>
        <w:gridCol w:w="513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四川省气象探测数据中心（四川省气象技术装备中心 四川省气象档案馆）(001016051)</w:t>
            </w:r>
          </w:p>
        </w:tc>
        <w:tc>
          <w:tcPr/>
          <w:p>
            <w:r>
              <w:t>X波段双线偏振多普勒天气雷达（简易型）</w:t>
            </w:r>
          </w:p>
        </w:tc>
        <w:tc>
          <w:tcPr/>
          <w:p>
            <w:r>
              <w:t>3</w:t>
            </w:r>
          </w:p>
        </w:tc>
        <w:tc>
          <w:tcPr/>
          <w:p>
            <w:r>
              <w:t>2790000.00</w:t>
            </w:r>
          </w:p>
        </w:tc>
        <w:tc>
          <w:tcPr/>
          <w:p>
            <w:r>
              <w:t xml:space="preserve">2790000.00  </w:t>
            </w:r>
          </w:p>
        </w:tc>
        <w:tc>
          <w:tcPr/>
          <w:p>
            <w:r>
              <w:t>四川省内指定地点</w:t>
            </w:r>
          </w:p>
        </w:tc>
        <w:tc>
          <w:tcPr/>
          <w:p>
            <w:r>
              <w:t>四川省气象探测数据中心（四川省气象技术装备中心、四川省气象档案馆）（联系人：陈中钰，电话：18010521893）；此预算包括主机设备240万元、及设备基础建设、安装、转运、防雷、供电供网改造等费用39万元</w:t>
            </w:r>
          </w:p>
        </w:tc>
      </w:tr>
    </w:tbl>
    <w:p w:rsidR="00A77B3E"/>
    <w:p>
      <w:pPr>
        <w:spacing w:line="360" w:lineRule="auto"/>
        <w:rPr>
          <w:rFonts w:ascii="宋体" w:hAnsi="宋体"/>
          <w:szCs w:val="21"/>
        </w:rPr>
      </w:pPr>
      <w:bookmarkEnd w:id="8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本采购项目为：</w:t>
      </w:r>
      <w:r>
        <w:rPr>
          <w:rFonts w:ascii="仿宋" w:eastAsia="仿宋" w:hAnsi="仿宋" w:cs="仿宋" w:hint="eastAsia"/>
          <w:sz w:val="28"/>
          <w:szCs w:val="20"/>
        </w:rPr>
        <w:t>2025年四川等8省（区、市）微小型X波段天气雷达建设</w:t>
      </w:r>
      <w:r>
        <w:rPr>
          <w:rFonts w:ascii="仿宋" w:eastAsia="仿宋" w:hAnsi="仿宋" w:cs="仿宋" w:hint="eastAsia"/>
          <w:sz w:val="28"/>
          <w:szCs w:val="20"/>
          <w:lang w:val="en-US" w:eastAsia="zh-CN"/>
        </w:rPr>
        <w:t>项目中，在四川的高原区域拟建的3套雷达主机设备及设备基础建设安装、运输、供配电改造、防雷设施等，旨在采购一种成本低、功耗小、轻巧的微小型X波段天气雷达，并在没有机房的情况下、可提供简易机房维持雷达正常运行，填补位置偏远、交通不便的主要天气系统上游地区监测盲区，提升流域、山地、丘陵等现有雷达观测盲区对特定方位灾害天气的监测能力，提高灾害易发区短时临近预报能力。</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所采购的微小型X波段天气雷达为简易型，需适应高原地区高海拔及低温环境下的正常运行。厂家需提供雷达吊装、安装等服务。</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除“质保服务要求4.1培训”的基本要求外，还应满足以下要求；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40</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12</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四川省境内指定</w:t>
      </w:r>
      <w:r>
        <w:rPr>
          <w:rFonts w:ascii="仿宋" w:eastAsia="仿宋" w:hAnsi="仿宋" w:cs="仿宋" w:hint="eastAsia"/>
          <w:sz w:val="28"/>
          <w:szCs w:val="20"/>
        </w:rPr>
        <w:t>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设备支持可无缝接入</w:t>
      </w:r>
      <w:r>
        <w:rPr>
          <w:rFonts w:ascii="仿宋" w:eastAsia="仿宋" w:hAnsi="仿宋" w:cs="仿宋" w:hint="eastAsia"/>
          <w:sz w:val="28"/>
          <w:szCs w:val="20"/>
          <w:lang w:val="en-US" w:eastAsia="zh-CN"/>
        </w:rPr>
        <w:t>气象局内网</w:t>
      </w:r>
      <w:r>
        <w:rPr>
          <w:rFonts w:ascii="仿宋" w:eastAsia="仿宋" w:hAnsi="仿宋" w:cs="仿宋" w:hint="eastAsia"/>
          <w:sz w:val="28"/>
          <w:szCs w:val="20"/>
        </w:rPr>
        <w:t>系统</w:t>
      </w:r>
      <w:r>
        <w:rPr>
          <w:rFonts w:ascii="仿宋" w:eastAsia="仿宋" w:hAnsi="仿宋" w:cs="仿宋" w:hint="eastAsia"/>
          <w:sz w:val="28"/>
          <w:szCs w:val="20"/>
          <w:lang w:val="en-US" w:eastAsia="zh-CN"/>
        </w:rPr>
        <w:t>及天擎</w:t>
      </w:r>
      <w:r>
        <w:rPr>
          <w:rFonts w:ascii="仿宋" w:eastAsia="仿宋" w:hAnsi="仿宋" w:cs="仿宋" w:hint="eastAsia"/>
          <w:sz w:val="28"/>
          <w:szCs w:val="20"/>
        </w:rPr>
        <w:t>，实现与</w:t>
      </w:r>
      <w:r>
        <w:rPr>
          <w:rFonts w:ascii="仿宋" w:eastAsia="仿宋" w:hAnsi="仿宋" w:cs="仿宋" w:hint="eastAsia"/>
          <w:sz w:val="28"/>
          <w:szCs w:val="20"/>
          <w:lang w:val="en-US" w:eastAsia="zh-CN"/>
        </w:rPr>
        <w:t>各业务</w:t>
      </w:r>
      <w:r>
        <w:rPr>
          <w:rFonts w:ascii="仿宋" w:eastAsia="仿宋" w:hAnsi="仿宋" w:cs="仿宋" w:hint="eastAsia"/>
          <w:sz w:val="28"/>
          <w:szCs w:val="20"/>
        </w:rPr>
        <w:t>平台</w:t>
      </w:r>
      <w:r>
        <w:rPr>
          <w:rFonts w:ascii="仿宋" w:eastAsia="仿宋" w:hAnsi="仿宋" w:cs="仿宋" w:hint="eastAsia"/>
          <w:sz w:val="28"/>
          <w:szCs w:val="20"/>
          <w:lang w:val="en-US" w:eastAsia="zh-CN"/>
        </w:rPr>
        <w:t>的</w:t>
      </w:r>
      <w:r>
        <w:rPr>
          <w:rFonts w:ascii="仿宋" w:eastAsia="仿宋" w:hAnsi="仿宋" w:cs="仿宋" w:hint="eastAsia"/>
          <w:sz w:val="28"/>
          <w:szCs w:val="20"/>
        </w:rPr>
        <w:t>无缝接入，完全符合甲方相关要求和规范，保证其系统的兼容性和功能的完整性。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D6089F">
      <w:pPr>
        <w:tabs>
          <w:tab w:val="left" w:pos="1573"/>
        </w:tabs>
        <w:adjustRightInd w:val="0"/>
        <w:snapToGrid w:val="0"/>
        <w:spacing w:line="360" w:lineRule="auto"/>
        <w:jc w:val="center"/>
        <w:outlineLvl w:val="1"/>
        <w:rPr>
          <w:b/>
          <w:bCs/>
          <w:sz w:val="30"/>
          <w:szCs w:val="30"/>
        </w:rPr>
      </w:pPr>
      <w:bookmarkStart w:id="8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D6089F">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57166">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D6089F">
            <w:pPr>
              <w:rPr>
                <w:sz w:val="18"/>
                <w:szCs w:val="18"/>
              </w:rPr>
            </w:pPr>
            <w:r>
              <w:rPr>
                <w:rFonts w:hint="eastAsia"/>
                <w:sz w:val="18"/>
                <w:szCs w:val="18"/>
              </w:rPr>
              <w:t>序号</w:t>
            </w:r>
          </w:p>
        </w:tc>
        <w:tc>
          <w:tcPr>
            <w:tcW w:w="898" w:type="dxa"/>
            <w:vAlign w:val="center"/>
          </w:tcPr>
          <w:p w:rsidR="00D6089F">
            <w:pPr>
              <w:jc w:val="center"/>
              <w:rPr>
                <w:sz w:val="18"/>
                <w:szCs w:val="18"/>
              </w:rPr>
            </w:pPr>
            <w:r>
              <w:rPr>
                <w:rFonts w:hint="eastAsia"/>
                <w:sz w:val="18"/>
                <w:szCs w:val="18"/>
              </w:rPr>
              <w:t>对应</w:t>
            </w:r>
          </w:p>
          <w:p w:rsidR="00D6089F">
            <w:pPr>
              <w:jc w:val="center"/>
              <w:rPr>
                <w:sz w:val="18"/>
                <w:szCs w:val="18"/>
              </w:rPr>
            </w:pPr>
            <w:r>
              <w:rPr>
                <w:rFonts w:hint="eastAsia"/>
                <w:sz w:val="18"/>
                <w:szCs w:val="18"/>
              </w:rPr>
              <w:t>条款号</w:t>
            </w:r>
          </w:p>
        </w:tc>
        <w:tc>
          <w:tcPr>
            <w:tcW w:w="7347" w:type="dxa"/>
            <w:vAlign w:val="center"/>
          </w:tcPr>
          <w:p w:rsidR="00D6089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E57166">
        <w:tblPrEx>
          <w:tblW w:w="8789" w:type="dxa"/>
          <w:tblLayout w:type="fixed"/>
          <w:tblLook w:val="04A0"/>
        </w:tblPrEx>
        <w:trPr>
          <w:cantSplit/>
        </w:trPr>
        <w:tc>
          <w:tcPr>
            <w:tcW w:w="8789" w:type="dxa"/>
            <w:gridSpan w:val="3"/>
            <w:vAlign w:val="center"/>
          </w:tcPr>
          <w:p w:rsidR="00D6089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E57166">
        <w:tblPrEx>
          <w:tblW w:w="8789" w:type="dxa"/>
          <w:tblLayout w:type="fixed"/>
          <w:tblLook w:val="04A0"/>
        </w:tblPrEx>
        <w:trPr>
          <w:cantSplit/>
        </w:trPr>
        <w:tc>
          <w:tcPr>
            <w:tcW w:w="544" w:type="dxa"/>
            <w:vAlign w:val="center"/>
          </w:tcPr>
          <w:p w:rsidR="00D6089F">
            <w:pPr>
              <w:numPr>
                <w:ilvl w:val="0"/>
                <w:numId w:val="14"/>
              </w:numPr>
              <w:rPr>
                <w:rFonts w:ascii="宋体" w:hAnsi="宋体"/>
                <w:sz w:val="18"/>
                <w:szCs w:val="18"/>
              </w:rPr>
            </w:pPr>
          </w:p>
        </w:tc>
        <w:tc>
          <w:tcPr>
            <w:tcW w:w="898" w:type="dxa"/>
            <w:vAlign w:val="center"/>
          </w:tcPr>
          <w:p w:rsidR="00D6089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D6089F">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E57166">
        <w:tblPrEx>
          <w:tblW w:w="8789" w:type="dxa"/>
          <w:tblLayout w:type="fixed"/>
          <w:tblLook w:val="04A0"/>
        </w:tblPrEx>
        <w:trPr>
          <w:cantSplit/>
        </w:trPr>
        <w:tc>
          <w:tcPr>
            <w:tcW w:w="8789" w:type="dxa"/>
            <w:gridSpan w:val="3"/>
            <w:vAlign w:val="center"/>
          </w:tcPr>
          <w:p w:rsidR="00D6089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E57166">
        <w:tblPrEx>
          <w:tblW w:w="8789" w:type="dxa"/>
          <w:tblLayout w:type="fixed"/>
          <w:tblLook w:val="04A0"/>
        </w:tblPrEx>
        <w:trPr>
          <w:cantSplit/>
        </w:trPr>
        <w:tc>
          <w:tcPr>
            <w:tcW w:w="544" w:type="dxa"/>
            <w:vAlign w:val="center"/>
          </w:tcPr>
          <w:p w:rsidR="00D6089F">
            <w:pPr>
              <w:numPr>
                <w:ilvl w:val="0"/>
                <w:numId w:val="14"/>
              </w:numPr>
              <w:rPr>
                <w:rFonts w:ascii="宋体" w:hAnsi="宋体"/>
                <w:sz w:val="18"/>
                <w:szCs w:val="18"/>
              </w:rPr>
            </w:pPr>
          </w:p>
        </w:tc>
        <w:tc>
          <w:tcPr>
            <w:tcW w:w="898" w:type="dxa"/>
            <w:vAlign w:val="center"/>
          </w:tcPr>
          <w:p w:rsidR="00D6089F">
            <w:pPr>
              <w:jc w:val="center"/>
              <w:rPr>
                <w:rFonts w:ascii="宋体" w:hAnsi="宋体"/>
                <w:sz w:val="18"/>
                <w:szCs w:val="18"/>
              </w:rPr>
            </w:pPr>
            <w:r>
              <w:rPr>
                <w:rFonts w:ascii="宋体" w:hAnsi="宋体"/>
                <w:sz w:val="18"/>
                <w:szCs w:val="18"/>
              </w:rPr>
              <w:t>4.2</w:t>
            </w:r>
          </w:p>
        </w:tc>
        <w:tc>
          <w:tcPr>
            <w:tcW w:w="7347" w:type="dxa"/>
            <w:vAlign w:val="center"/>
          </w:tcPr>
          <w:p w:rsidR="00E57166" w:rsidRPr="00E57166" w:rsidP="00E57166">
            <w:pPr>
              <w:spacing w:line="340" w:lineRule="exact"/>
              <w:ind w:firstLine="480" w:firstLineChars="200"/>
              <w:outlineLvl w:val="3"/>
              <w:rPr>
                <w:rFonts w:ascii="仿宋_GB2312" w:eastAsia="仿宋_GB2312" w:hAnsi="仿宋_GB2312" w:cs="仿宋_GB2312"/>
                <w:bCs/>
                <w:szCs w:val="28"/>
                <w:highlight w:val="yellow"/>
              </w:rPr>
            </w:pPr>
            <w:r w:rsidRPr="00E57166">
              <w:rPr>
                <w:rFonts w:ascii="仿宋_GB2312" w:eastAsia="仿宋_GB2312" w:hAnsi="仿宋_GB2312" w:cs="仿宋_GB2312" w:hint="eastAsia"/>
                <w:bCs/>
                <w:sz w:val="24"/>
                <w:szCs w:val="28"/>
                <w:highlight w:val="yellow"/>
              </w:rPr>
              <w:t>质保期服务</w:t>
            </w:r>
          </w:p>
          <w:p w:rsidR="00D6089F" w:rsidRPr="00E57166" w:rsidP="00E57166">
            <w:pPr>
              <w:spacing w:line="340" w:lineRule="exact"/>
              <w:ind w:firstLine="480" w:firstLineChars="200"/>
              <w:rPr>
                <w:rFonts w:ascii="仿宋" w:eastAsia="仿宋" w:hAnsi="仿宋" w:hint="eastAsia"/>
                <w:sz w:val="28"/>
                <w:szCs w:val="28"/>
              </w:rPr>
            </w:pPr>
            <w:r w:rsidRPr="00E57166">
              <w:rPr>
                <w:rFonts w:ascii="仿宋" w:eastAsia="仿宋" w:hAnsi="仿宋" w:hint="eastAsia"/>
                <w:sz w:val="24"/>
                <w:szCs w:val="28"/>
                <w:highlight w:val="yellow"/>
              </w:rPr>
              <w:t>*中标方按照中国气象局有关要求和双方协商约定的内容提供服务，确保设备稳定运行，以及自验收合格后8年的整机及雷达分系统质保服务等。</w:t>
            </w:r>
          </w:p>
        </w:tc>
      </w:tr>
      <w:tr w:rsidTr="00E57166">
        <w:tblPrEx>
          <w:tblW w:w="8789" w:type="dxa"/>
          <w:tblLayout w:type="fixed"/>
          <w:tblLook w:val="04A0"/>
        </w:tblPrEx>
        <w:trPr>
          <w:cantSplit/>
        </w:trPr>
        <w:tc>
          <w:tcPr>
            <w:tcW w:w="544" w:type="dxa"/>
            <w:vAlign w:val="center"/>
          </w:tcPr>
          <w:p w:rsidR="00E57166">
            <w:pPr>
              <w:numPr>
                <w:ilvl w:val="0"/>
                <w:numId w:val="14"/>
              </w:numPr>
              <w:rPr>
                <w:rFonts w:ascii="宋体" w:hAnsi="宋体"/>
                <w:sz w:val="18"/>
                <w:szCs w:val="18"/>
              </w:rPr>
            </w:pPr>
          </w:p>
        </w:tc>
        <w:tc>
          <w:tcPr>
            <w:tcW w:w="898" w:type="dxa"/>
            <w:vAlign w:val="center"/>
          </w:tcPr>
          <w:p w:rsidR="00E57166">
            <w:pPr>
              <w:jc w:val="center"/>
              <w:rPr>
                <w:rFonts w:ascii="宋体" w:hAnsi="宋体"/>
                <w:sz w:val="18"/>
                <w:szCs w:val="18"/>
              </w:rPr>
            </w:pPr>
            <w:r>
              <w:rPr>
                <w:rFonts w:ascii="宋体" w:hAnsi="宋体" w:hint="eastAsia"/>
                <w:sz w:val="18"/>
                <w:szCs w:val="18"/>
              </w:rPr>
              <w:t>4.3</w:t>
            </w:r>
          </w:p>
        </w:tc>
        <w:tc>
          <w:tcPr>
            <w:tcW w:w="7347" w:type="dxa"/>
            <w:vAlign w:val="center"/>
          </w:tcPr>
          <w:p w:rsidR="00E57166" w:rsidRPr="00E57166" w:rsidP="00E57166">
            <w:pPr>
              <w:spacing w:line="340" w:lineRule="exact"/>
              <w:ind w:firstLine="480" w:firstLineChars="200"/>
              <w:outlineLvl w:val="3"/>
              <w:rPr>
                <w:rFonts w:ascii="仿宋" w:eastAsia="仿宋" w:hAnsi="仿宋" w:cs="仿宋"/>
                <w:szCs w:val="28"/>
                <w:highlight w:val="yellow"/>
              </w:rPr>
            </w:pPr>
            <w:r w:rsidRPr="00E57166">
              <w:rPr>
                <w:rFonts w:ascii="仿宋_GB2312" w:eastAsia="仿宋_GB2312" w:hAnsi="仿宋_GB2312" w:cs="仿宋_GB2312" w:hint="eastAsia"/>
                <w:bCs/>
                <w:sz w:val="24"/>
                <w:szCs w:val="28"/>
                <w:highlight w:val="yellow"/>
              </w:rPr>
              <w:t>软件调试</w:t>
            </w:r>
          </w:p>
          <w:p w:rsidR="00E57166" w:rsidRPr="00E57166" w:rsidP="00E57166">
            <w:pPr>
              <w:spacing w:line="340" w:lineRule="exact"/>
              <w:ind w:firstLine="480" w:firstLineChars="200"/>
              <w:rPr>
                <w:rFonts w:ascii="仿宋" w:eastAsia="仿宋" w:hAnsi="仿宋" w:hint="eastAsia"/>
                <w:szCs w:val="28"/>
              </w:rPr>
            </w:pPr>
            <w:r w:rsidRPr="00E57166">
              <w:rPr>
                <w:rFonts w:ascii="仿宋" w:eastAsia="仿宋" w:hAnsi="仿宋" w:hint="eastAsia"/>
                <w:sz w:val="24"/>
                <w:szCs w:val="28"/>
                <w:highlight w:val="yellow"/>
              </w:rPr>
              <w:t>*中标方需配合采</w:t>
            </w:r>
            <w:r w:rsidRPr="00E57166">
              <w:rPr>
                <w:rFonts w:ascii="仿宋" w:eastAsia="仿宋" w:hAnsi="仿宋" w:hint="eastAsia"/>
                <w:sz w:val="24"/>
                <w:szCs w:val="28"/>
                <w:highlight w:val="yellow"/>
              </w:rPr>
              <w:t>购方，完成配套软件的安装调试，保证上站后能够安全稳定运行。投标方须提供承诺函。</w:t>
            </w:r>
          </w:p>
        </w:tc>
      </w:tr>
    </w:tbl>
    <w:p w:rsidR="00D6089F">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D6089F">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8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8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9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9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9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9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eastAsia="zh-CN"/>
        </w:rPr>
        <w:t>（</w:t>
      </w:r>
      <w:r>
        <w:rPr>
          <w:rFonts w:ascii="宋体" w:hAnsi="宋体" w:hint="eastAsia"/>
          <w:szCs w:val="21"/>
          <w:highlight w:val="none"/>
          <w:u w:val="single"/>
          <w:lang w:val="en-US" w:eastAsia="zh-CN"/>
        </w:rPr>
        <w:t>1</w:t>
      </w:r>
      <w:r>
        <w:rPr>
          <w:rFonts w:ascii="宋体" w:hAnsi="宋体" w:hint="eastAsia"/>
          <w:szCs w:val="21"/>
          <w:highlight w:val="none"/>
          <w:u w:val="single"/>
          <w:lang w:eastAsia="zh-CN"/>
        </w:rPr>
        <w:t>）</w:t>
      </w:r>
      <w:r>
        <w:rPr>
          <w:rFonts w:ascii="宋体" w:hAnsi="宋体" w:hint="eastAsia"/>
          <w:szCs w:val="21"/>
          <w:highlight w:val="none"/>
          <w:u w:val="single"/>
          <w:lang w:val="en-US" w:eastAsia="zh-CN"/>
        </w:rPr>
        <w:t>签订合同后，甲方向乙方支付合同总额的70%；（2）现场安装测试后，甲方向乙方支付合同总额的25%；（3</w:t>
      </w:r>
      <w:r>
        <w:rPr>
          <w:rFonts w:ascii="宋体" w:hAnsi="宋体" w:hint="eastAsia"/>
          <w:szCs w:val="21"/>
          <w:highlight w:val="none"/>
          <w:u w:val="single"/>
          <w:lang w:val="en-US" w:eastAsia="zh-CN"/>
        </w:rPr>
        <w:t>）现场验收后，甲方向乙方支付合同总额的5%</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92" w:name="_Toc27624"/>
      <w:r>
        <w:rPr>
          <w:rFonts w:ascii="黑体" w:hAnsi="黑体" w:hint="eastAsia"/>
          <w:b w:val="0"/>
          <w:bCs w:val="0"/>
          <w:sz w:val="28"/>
          <w:szCs w:val="28"/>
          <w:highlight w:val="none"/>
        </w:rPr>
        <w:t>第二节 政府采购合同通用条款</w:t>
      </w:r>
      <w:bookmarkEnd w:id="9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9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9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9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9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8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10600030101010101"/>
    <w:charset w:val="86"/>
    <w:family w:val="script"/>
    <w:pitch w:val="default"/>
    <w:sig w:usb0="00000000" w:usb1="0000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WPSEMBED89">
    <w:panose1 w:val="02010609030101010101"/>
    <w:charset w:val="86"/>
    <w:family w:val="auto"/>
    <w:pitch w:val="default"/>
    <w:sig w:usb0="00000001" w:usb1="080E0000" w:usb2="00000000" w:usb3="00000000" w:csb0="00040000" w:csb1="00000000"/>
  </w:font>
  <w:font w:name="WPSEMBED90">
    <w:panose1 w:val="02010600010101010101"/>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AA98919"/>
    <w:multiLevelType w:val="singleLevel"/>
    <w:tmpl w:val="BAA98919"/>
    <w:lvl w:ilvl="0">
      <w:start w:val="2"/>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2"/>
  </w:num>
  <w:num w:numId="6">
    <w:abstractNumId w:val="13"/>
  </w:num>
  <w:num w:numId="7">
    <w:abstractNumId w:val="2"/>
  </w:num>
  <w:num w:numId="8">
    <w:abstractNumId w:val="6"/>
  </w:num>
  <w:num w:numId="9">
    <w:abstractNumId w:val="4"/>
  </w:num>
  <w:num w:numId="10">
    <w:abstractNumId w:val="3"/>
  </w:num>
  <w:num w:numId="11">
    <w:abstractNumId w:val="11"/>
  </w:num>
  <w:num w:numId="12">
    <w:abstractNumId w:val="1"/>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89F"/>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57166"/>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