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临安区域大气本底站2025年高精度温室气体（N2O或CO）浓度观测系统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临安区域大气本底站</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临安区域大气本底站2025年高精度温室气体（N2O或CO）浓度观测系统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临安区域大气本底站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2025年10月24日 00:00:00</w:t>
      </w:r>
      <w:bookmarkEnd w:id="26"/>
      <w:r>
        <w:rPr>
          <w:rFonts w:ascii="宋体" w:hint="eastAsia"/>
          <w:szCs w:val="21"/>
          <w:highlight w:val="none"/>
        </w:rPr>
        <w:t>至</w:t>
      </w:r>
      <w:bookmarkStart w:id="27" w:name="项目公告_signUpLastTime"/>
      <w:r>
        <w:rPr>
          <w:rFonts w:ascii="宋体" w:hint="eastAsia"/>
          <w:szCs w:val="21"/>
          <w:highlight w:val="none"/>
        </w:rPr>
        <w:t>2025年10月31日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2025年11月24日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临安区域大气本底站</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韩路杰</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0571-63771131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浙江省杭州市临安区锦北街道大罗村临安区域大气本底站</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临安区域大气本底站</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不允许（仅针对以下产品：高精度温室气体（N2O/CO）浓度观测系统（光腔衰荡光谱法）不允许代理商投标）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（1）标的：高精度温室气体（N2O/CO）浓度观测系统（光腔衰荡光谱法），属于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334.000000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334.000000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销售合同必须包括高精度温室气体（N2O/CO）浓度观测系统（光腔衰荡光谱法），每提供1份合同得1分，最多得5分。否则不得分。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针对本项目采购的高精度温室气体（N2O/CO）浓度观测系统（光腔衰荡光谱法），</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针对高精度温室气体（N2O/CO）浓度观测系统（光腔衰荡光谱法），每提供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针对高精度温室气体（N2O/CO）浓度观测系统（光腔衰荡光谱法），测试报告应涵盖低温试验、高温试验、高湿试验、振动试验、冲击试验、跌落试验等内容，每包含一项得0.5分，最多得3分。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w:t>
      </w:r>
      <w:r>
        <w:rPr>
          <w:rFonts w:eastAsia="仿宋"/>
          <w:sz w:val="28"/>
          <w:szCs w:val="20"/>
          <w:highlight w:val="none"/>
        </w:rPr>
        <w:t>总体要求</w:t>
      </w:r>
      <w:r>
        <w:rPr>
          <w:rFonts w:eastAsia="仿宋" w:hint="eastAsia"/>
          <w:sz w:val="28"/>
          <w:szCs w:val="20"/>
          <w:highlight w:val="none"/>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技术性能指标</w:t>
      </w:r>
    </w:p>
    <w:tbl>
      <w:tblPr>
        <w:tblStyle w:val="TableNormal"/>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9"/>
        <w:gridCol w:w="2791"/>
        <w:gridCol w:w="5721"/>
      </w:tblGrid>
      <w:tr>
        <w:tblPrEx>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blHeader/>
          <w:jc w:val="center"/>
        </w:trPr>
        <w:tc>
          <w:tcPr>
            <w:tcW w:w="419"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序号</w:t>
            </w:r>
          </w:p>
        </w:tc>
        <w:tc>
          <w:tcPr>
            <w:tcW w:w="1502"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设备名称</w:t>
            </w:r>
          </w:p>
        </w:tc>
        <w:tc>
          <w:tcPr>
            <w:tcW w:w="3079"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指标参数</w:t>
            </w:r>
          </w:p>
        </w:tc>
      </w:tr>
      <w:tr>
        <w:tblPrEx>
          <w:tblW w:w="5160" w:type="pct"/>
          <w:jc w:val="center"/>
          <w:tblCellMar>
            <w:top w:w="0" w:type="dxa"/>
            <w:left w:w="108" w:type="dxa"/>
            <w:bottom w:w="0" w:type="dxa"/>
            <w:right w:w="108" w:type="dxa"/>
          </w:tblCellMar>
        </w:tblPrEx>
        <w:trPr>
          <w:trHeight w:val="20"/>
          <w:jc w:val="center"/>
        </w:trPr>
        <w:tc>
          <w:tcPr>
            <w:tcW w:w="419" w:type="pct"/>
            <w:vAlign w:val="center"/>
          </w:tcPr>
          <w:p>
            <w:pPr>
              <w:widowControl/>
              <w:numPr>
                <w:ilvl w:val="0"/>
                <w:numId w:val="4"/>
              </w:numPr>
              <w:ind w:left="0" w:firstLine="0"/>
              <w:rPr>
                <w:rFonts w:ascii="仿宋" w:eastAsia="仿宋" w:hAnsi="仿宋" w:cs="仿宋" w:hint="eastAsia"/>
                <w:color w:val="000000"/>
              </w:rPr>
            </w:pPr>
          </w:p>
        </w:tc>
        <w:tc>
          <w:tcPr>
            <w:tcW w:w="1502" w:type="pct"/>
            <w:vAlign w:val="center"/>
          </w:tcPr>
          <w:p>
            <w:pPr>
              <w:widowControl/>
              <w:rPr>
                <w:rFonts w:ascii="仿宋" w:eastAsia="仿宋" w:hAnsi="仿宋" w:cs="仿宋" w:hint="eastAsia"/>
                <w:b/>
                <w:bCs/>
                <w:color w:val="000000"/>
                <w:kern w:val="0"/>
              </w:rPr>
            </w:pPr>
            <w:r>
              <w:rPr>
                <w:rFonts w:ascii="仿宋" w:eastAsia="仿宋" w:hAnsi="仿宋" w:cs="仿宋" w:hint="eastAsia"/>
                <w:color w:val="000000"/>
                <w:kern w:val="0"/>
                <w:sz w:val="24"/>
              </w:rPr>
              <w:t>高精度温室气体（N</w:t>
            </w:r>
            <w:r>
              <w:rPr>
                <w:rFonts w:ascii="仿宋" w:eastAsia="仿宋" w:hAnsi="仿宋" w:cs="仿宋" w:hint="eastAsia"/>
                <w:color w:val="000000"/>
                <w:kern w:val="0"/>
                <w:sz w:val="24"/>
                <w:vertAlign w:val="subscript"/>
              </w:rPr>
              <w:t>2</w:t>
            </w:r>
            <w:r>
              <w:rPr>
                <w:rFonts w:ascii="仿宋" w:eastAsia="仿宋" w:hAnsi="仿宋" w:cs="仿宋" w:hint="eastAsia"/>
                <w:color w:val="000000"/>
                <w:kern w:val="0"/>
                <w:sz w:val="24"/>
              </w:rPr>
              <w:t>O/CO）浓度观测系统（光腔衰荡光谱法）</w:t>
            </w:r>
          </w:p>
        </w:tc>
        <w:tc>
          <w:tcPr>
            <w:tcW w:w="3079" w:type="pct"/>
            <w:vAlign w:val="center"/>
          </w:tcPr>
          <w:p>
            <w:pPr>
              <w:numPr>
                <w:ilvl w:val="0"/>
                <w:numId w:val="5"/>
              </w:numPr>
              <w:rPr>
                <w:rFonts w:ascii="仿宋" w:eastAsia="仿宋" w:hAnsi="仿宋" w:cs="仿宋" w:hint="eastAsia"/>
                <w:b/>
                <w:bCs/>
                <w:color w:val="000000"/>
              </w:rPr>
            </w:pPr>
            <w:r>
              <w:rPr>
                <w:rFonts w:ascii="仿宋" w:eastAsia="仿宋" w:hAnsi="仿宋" w:cs="仿宋" w:hint="eastAsia"/>
                <w:b/>
                <w:bCs/>
                <w:color w:val="000000"/>
                <w:sz w:val="24"/>
              </w:rPr>
              <w:t>测量单元</w:t>
            </w:r>
          </w:p>
          <w:p>
            <w:pPr>
              <w:rPr>
                <w:rFonts w:ascii="仿宋" w:eastAsia="仿宋" w:hAnsi="仿宋" w:cs="仿宋"/>
                <w:b/>
                <w:bCs/>
                <w:color w:val="000000"/>
              </w:rPr>
            </w:pPr>
            <w:r>
              <w:rPr>
                <w:rFonts w:ascii="仿宋" w:eastAsia="仿宋" w:hAnsi="仿宋" w:cs="仿宋" w:hint="eastAsia"/>
                <w:b/>
                <w:bCs/>
                <w:color w:val="000000"/>
                <w:sz w:val="24"/>
              </w:rPr>
              <w:t xml:space="preserve">   </w:t>
            </w:r>
            <w:r>
              <w:rPr>
                <w:rFonts w:ascii="仿宋" w:eastAsia="仿宋" w:hAnsi="仿宋" w:cs="仿宋" w:hint="eastAsia"/>
                <w:sz w:val="24"/>
              </w:rPr>
              <w:t>包括主机和显示器。其中主机参数如下：</w:t>
            </w:r>
          </w:p>
          <w:p>
            <w:pPr>
              <w:rPr>
                <w:rFonts w:ascii="仿宋" w:eastAsia="仿宋" w:hAnsi="仿宋" w:cs="仿宋"/>
              </w:rPr>
            </w:pPr>
            <w:r>
              <w:rPr>
                <w:rFonts w:ascii="仿宋" w:eastAsia="仿宋" w:hAnsi="仿宋" w:cs="仿宋" w:hint="eastAsia"/>
                <w:sz w:val="24"/>
              </w:rPr>
              <w:t>量程</w:t>
            </w:r>
          </w:p>
          <w:p>
            <w:pPr>
              <w:rPr>
                <w:rFonts w:ascii="仿宋" w:eastAsia="仿宋" w:hAnsi="仿宋" w:cs="仿宋"/>
                <w:highlight w:val="yellow"/>
              </w:rPr>
            </w:pPr>
            <w:r>
              <w:rPr>
                <w:rFonts w:ascii="仿宋" w:eastAsia="仿宋" w:hAnsi="仿宋" w:cs="仿宋" w:hint="eastAsia"/>
                <w:sz w:val="24"/>
                <w:highlight w:val="yellow"/>
              </w:rPr>
              <w:t>#N</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O：1～1000ppb</w:t>
            </w:r>
          </w:p>
          <w:p>
            <w:pPr>
              <w:rPr>
                <w:rFonts w:ascii="仿宋" w:eastAsia="仿宋" w:hAnsi="仿宋" w:cs="仿宋" w:hint="eastAsia"/>
              </w:rPr>
            </w:pPr>
            <w:r>
              <w:rPr>
                <w:rFonts w:ascii="仿宋" w:eastAsia="仿宋" w:hAnsi="仿宋" w:cs="仿宋" w:hint="eastAsia"/>
                <w:sz w:val="24"/>
                <w:highlight w:val="yellow"/>
              </w:rPr>
              <w:t>#CO：1～1500ppb</w:t>
            </w:r>
          </w:p>
          <w:p>
            <w:pPr>
              <w:rPr>
                <w:rFonts w:ascii="仿宋" w:eastAsia="仿宋" w:hAnsi="仿宋" w:cs="仿宋"/>
              </w:rPr>
            </w:pPr>
            <w:r>
              <w:rPr>
                <w:rFonts w:ascii="仿宋" w:eastAsia="仿宋" w:hAnsi="仿宋" w:cs="仿宋" w:hint="eastAsia"/>
                <w:sz w:val="24"/>
              </w:rPr>
              <w:t>精度（1σ，5min）</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＜0.07</w:t>
            </w:r>
            <w:r>
              <w:rPr>
                <w:rFonts w:ascii="仿宋" w:eastAsia="仿宋" w:hAnsi="仿宋" w:cs="仿宋"/>
                <w:sz w:val="24"/>
                <w:highlight w:val="yellow"/>
              </w:rPr>
              <w:t>ppb(N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＜5</w:t>
            </w:r>
            <w:r>
              <w:rPr>
                <w:rFonts w:ascii="仿宋" w:eastAsia="仿宋" w:hAnsi="仿宋" w:cs="仿宋"/>
                <w:sz w:val="24"/>
                <w:highlight w:val="yellow"/>
              </w:rPr>
              <w:t>00ppb)</w:t>
            </w:r>
          </w:p>
          <w:p>
            <w:pPr>
              <w:rPr>
                <w:rFonts w:ascii="仿宋" w:eastAsia="仿宋" w:hAnsi="仿宋" w:cs="仿宋" w:hint="eastAsia"/>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＜0.5</w:t>
            </w:r>
            <w:r>
              <w:rPr>
                <w:rFonts w:ascii="仿宋" w:eastAsia="仿宋" w:hAnsi="仿宋" w:cs="仿宋"/>
                <w:sz w:val="24"/>
                <w:highlight w:val="yellow"/>
              </w:rPr>
              <w:t>ppb(CO</w:t>
            </w:r>
            <w:r>
              <w:rPr>
                <w:rFonts w:ascii="仿宋" w:eastAsia="仿宋" w:hAnsi="仿宋" w:cs="仿宋" w:hint="eastAsia"/>
                <w:sz w:val="24"/>
                <w:highlight w:val="yellow"/>
              </w:rPr>
              <w:t>＜</w:t>
            </w:r>
            <w:r>
              <w:rPr>
                <w:rFonts w:ascii="仿宋" w:eastAsia="仿宋" w:hAnsi="仿宋" w:cs="仿宋"/>
                <w:sz w:val="24"/>
                <w:highlight w:val="yellow"/>
              </w:rPr>
              <w:t>400ppb)</w:t>
            </w:r>
          </w:p>
          <w:p>
            <w:pPr>
              <w:rPr>
                <w:rFonts w:ascii="仿宋" w:eastAsia="仿宋" w:hAnsi="仿宋" w:cs="仿宋"/>
              </w:rPr>
            </w:pPr>
            <w:r>
              <w:rPr>
                <w:rFonts w:ascii="仿宋" w:eastAsia="仿宋" w:hAnsi="仿宋" w:cs="仿宋" w:hint="eastAsia"/>
                <w:sz w:val="24"/>
              </w:rPr>
              <w:t>漂移(标准温压下，24h， 1小时均值）</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w:t>
            </w:r>
            <w:r>
              <w:rPr>
                <w:rFonts w:ascii="仿宋" w:eastAsia="仿宋" w:hAnsi="仿宋" w:cs="仿宋"/>
                <w:sz w:val="24"/>
                <w:highlight w:val="yellow"/>
              </w:rPr>
              <w:t>0.1ppb</w:t>
            </w:r>
          </w:p>
          <w:p>
            <w:pPr>
              <w:rPr>
                <w:rFonts w:ascii="仿宋" w:eastAsia="仿宋" w:hAnsi="仿宋" w:cs="仿宋" w:hint="eastAsia"/>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＜1</w:t>
            </w:r>
            <w:r>
              <w:rPr>
                <w:rFonts w:ascii="仿宋" w:eastAsia="仿宋" w:hAnsi="仿宋" w:cs="仿宋"/>
                <w:sz w:val="24"/>
                <w:highlight w:val="yellow"/>
              </w:rPr>
              <w:t>ppb</w:t>
            </w:r>
          </w:p>
          <w:p>
            <w:pPr>
              <w:rPr>
                <w:rFonts w:ascii="仿宋" w:eastAsia="仿宋" w:hAnsi="仿宋" w:cs="仿宋"/>
              </w:rPr>
            </w:pPr>
          </w:p>
          <w:p>
            <w:pPr>
              <w:rPr>
                <w:rFonts w:ascii="仿宋" w:eastAsia="仿宋" w:hAnsi="仿宋" w:cs="仿宋"/>
                <w:b/>
                <w:bCs/>
                <w:color w:val="000000"/>
              </w:rPr>
            </w:pPr>
            <w:r>
              <w:rPr>
                <w:rFonts w:ascii="仿宋" w:eastAsia="仿宋" w:hAnsi="仿宋" w:cs="仿宋" w:hint="eastAsia"/>
                <w:b/>
                <w:bCs/>
                <w:color w:val="000000"/>
                <w:sz w:val="24"/>
              </w:rPr>
              <w:t>2、样气采集单元</w:t>
            </w:r>
          </w:p>
          <w:p>
            <w:pPr>
              <w:rPr>
                <w:rFonts w:ascii="仿宋" w:eastAsia="仿宋" w:hAnsi="仿宋" w:cs="仿宋"/>
                <w:color w:val="000000"/>
                <w:highlight w:val="yellow"/>
              </w:rPr>
            </w:pPr>
            <w:r>
              <w:rPr>
                <w:rFonts w:ascii="仿宋" w:eastAsia="仿宋" w:hAnsi="仿宋" w:cs="仿宋" w:hint="eastAsia"/>
                <w:color w:val="000000"/>
                <w:sz w:val="24"/>
                <w:highlight w:val="yellow"/>
              </w:rPr>
              <w:t>#采样口过滤器：≤10μm孔径囊式过滤器</w:t>
            </w:r>
          </w:p>
          <w:p>
            <w:pPr>
              <w:rPr>
                <w:rFonts w:ascii="仿宋" w:eastAsia="仿宋" w:hAnsi="仿宋" w:cs="仿宋"/>
                <w:color w:val="000000"/>
              </w:rPr>
            </w:pPr>
            <w:r>
              <w:rPr>
                <w:rFonts w:ascii="仿宋" w:eastAsia="仿宋" w:hAnsi="仿宋" w:cs="仿宋" w:hint="eastAsia"/>
                <w:color w:val="000000"/>
                <w:sz w:val="24"/>
                <w:highlight w:val="yellow"/>
              </w:rPr>
              <w:t>#采样管：≥φ8mm铝塑管</w:t>
            </w:r>
          </w:p>
          <w:p>
            <w:pPr>
              <w:rPr>
                <w:rFonts w:ascii="仿宋" w:eastAsia="仿宋" w:hAnsi="仿宋" w:cs="仿宋"/>
                <w:color w:val="000000"/>
              </w:rPr>
            </w:pPr>
            <w:r>
              <w:rPr>
                <w:rFonts w:ascii="仿宋" w:eastAsia="仿宋" w:hAnsi="仿宋" w:cs="仿宋" w:hint="eastAsia"/>
                <w:color w:val="000000"/>
                <w:sz w:val="24"/>
                <w:highlight w:val="yellow"/>
              </w:rPr>
              <w:t>#采样泵流量：≥10L/min</w:t>
            </w:r>
            <w:r>
              <w:rPr>
                <w:rFonts w:ascii="仿宋" w:eastAsia="仿宋" w:hAnsi="仿宋" w:cs="仿宋" w:hint="eastAsia"/>
                <w:color w:val="000000"/>
                <w:sz w:val="24"/>
              </w:rPr>
              <w:t>，泄露率低于0.6*10</w:t>
            </w:r>
            <w:r>
              <w:rPr>
                <w:rFonts w:ascii="仿宋" w:eastAsia="仿宋" w:hAnsi="仿宋" w:cs="仿宋" w:hint="eastAsia"/>
                <w:color w:val="000000"/>
                <w:sz w:val="24"/>
                <w:vertAlign w:val="superscript"/>
              </w:rPr>
              <w:t xml:space="preserve">-3 </w:t>
            </w:r>
            <w:r>
              <w:rPr>
                <w:rFonts w:ascii="仿宋" w:eastAsia="仿宋" w:hAnsi="仿宋" w:cs="仿宋" w:hint="eastAsia"/>
                <w:color w:val="000000"/>
                <w:sz w:val="24"/>
              </w:rPr>
              <w:t>mbar l/s</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#采样泵过滤器：7μm不锈钢过滤器</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3、样气处理单元</w:t>
            </w:r>
          </w:p>
          <w:p>
            <w:pPr>
              <w:rPr>
                <w:rFonts w:ascii="仿宋" w:eastAsia="仿宋" w:hAnsi="仿宋" w:cs="仿宋"/>
                <w:color w:val="000000"/>
              </w:rPr>
            </w:pPr>
            <w:r>
              <w:rPr>
                <w:rFonts w:ascii="仿宋" w:eastAsia="仿宋" w:hAnsi="仿宋" w:cs="仿宋" w:hint="eastAsia"/>
                <w:color w:val="000000"/>
                <w:sz w:val="24"/>
                <w:highlight w:val="yellow"/>
              </w:rPr>
              <w:t>#除湿后，水汽浓度应低于5</w:t>
            </w:r>
            <w:r>
              <w:rPr>
                <w:rFonts w:ascii="仿宋" w:eastAsia="仿宋" w:hAnsi="仿宋" w:cs="仿宋"/>
                <w:color w:val="000000"/>
                <w:sz w:val="24"/>
                <w:highlight w:val="yellow"/>
              </w:rPr>
              <w:t>0ppm</w:t>
            </w:r>
          </w:p>
          <w:p>
            <w:pPr>
              <w:rPr>
                <w:rFonts w:ascii="仿宋" w:eastAsia="仿宋" w:hAnsi="仿宋" w:cs="仿宋"/>
                <w:color w:val="000000"/>
              </w:rPr>
            </w:pPr>
            <w:r>
              <w:rPr>
                <w:rFonts w:ascii="仿宋" w:eastAsia="仿宋" w:hAnsi="仿宋" w:cs="仿宋" w:hint="eastAsia"/>
                <w:color w:val="000000"/>
                <w:sz w:val="24"/>
                <w:highlight w:val="yellow"/>
              </w:rPr>
              <w:t>#气体冷却器制冷温度：1～3℃</w:t>
            </w:r>
          </w:p>
          <w:p>
            <w:pPr>
              <w:rPr>
                <w:rFonts w:ascii="仿宋" w:eastAsia="仿宋" w:hAnsi="仿宋" w:cs="仿宋"/>
                <w:color w:val="000000"/>
              </w:rPr>
            </w:pPr>
            <w:r>
              <w:rPr>
                <w:rFonts w:ascii="仿宋" w:eastAsia="仿宋" w:hAnsi="仿宋" w:cs="仿宋" w:hint="eastAsia"/>
                <w:color w:val="000000"/>
                <w:sz w:val="24"/>
              </w:rPr>
              <w:t>采用气体干燥管进行除湿，气体干燥管选择性渗透膜应为Nafion聚合物材料，吹扫气体应为干燥的空气或其他气体。</w:t>
            </w:r>
          </w:p>
          <w:p>
            <w:pPr>
              <w:rPr>
                <w:rFonts w:ascii="仿宋" w:eastAsia="仿宋" w:hAnsi="仿宋" w:cs="仿宋"/>
                <w:color w:val="000000"/>
              </w:rPr>
            </w:pPr>
            <w:r>
              <w:rPr>
                <w:rFonts w:ascii="仿宋" w:eastAsia="仿宋" w:hAnsi="仿宋" w:cs="仿宋" w:hint="eastAsia"/>
                <w:color w:val="000000"/>
                <w:sz w:val="24"/>
              </w:rPr>
              <w:t>超低温冷阱：</w:t>
            </w:r>
          </w:p>
          <w:p>
            <w:pPr>
              <w:rPr>
                <w:rFonts w:ascii="仿宋" w:eastAsia="仿宋" w:hAnsi="仿宋" w:cs="仿宋"/>
                <w:color w:val="000000"/>
              </w:rPr>
            </w:pPr>
            <w:r>
              <w:rPr>
                <w:rFonts w:ascii="仿宋" w:eastAsia="仿宋" w:hAnsi="仿宋" w:cs="仿宋" w:hint="eastAsia"/>
                <w:color w:val="000000"/>
                <w:sz w:val="24"/>
              </w:rPr>
              <w:t>具有双路切换功能，冷阱管应采用不锈钢或者硬质玻璃材质。</w:t>
            </w:r>
          </w:p>
          <w:p>
            <w:pPr>
              <w:rPr>
                <w:rFonts w:ascii="仿宋" w:eastAsia="仿宋" w:hAnsi="仿宋" w:cs="仿宋"/>
                <w:color w:val="000000"/>
              </w:rPr>
            </w:pPr>
            <w:r>
              <w:rPr>
                <w:rFonts w:ascii="仿宋" w:eastAsia="仿宋" w:hAnsi="仿宋" w:cs="仿宋" w:hint="eastAsia"/>
                <w:color w:val="000000"/>
                <w:sz w:val="24"/>
                <w:highlight w:val="yellow"/>
              </w:rPr>
              <w:t>#冷阱管切换前浓度水平的时间跨度应不超过1min。</w:t>
            </w:r>
          </w:p>
          <w:p>
            <w:pPr>
              <w:rPr>
                <w:rFonts w:ascii="仿宋" w:eastAsia="仿宋" w:hAnsi="仿宋" w:cs="仿宋" w:hint="eastAsia"/>
                <w:color w:val="000000"/>
              </w:rPr>
            </w:pPr>
            <w:r>
              <w:rPr>
                <w:rFonts w:ascii="仿宋" w:eastAsia="仿宋" w:hAnsi="仿宋" w:cs="仿宋" w:hint="eastAsia"/>
                <w:color w:val="000000"/>
                <w:sz w:val="24"/>
              </w:rPr>
              <w:t>制冷温度：-50℃～-75℃</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4、样气选择单元</w:t>
            </w:r>
          </w:p>
          <w:p>
            <w:pPr>
              <w:rPr>
                <w:rFonts w:ascii="仿宋" w:eastAsia="仿宋" w:hAnsi="仿宋" w:cs="仿宋"/>
                <w:color w:val="000000"/>
              </w:rPr>
            </w:pPr>
            <w:r>
              <w:rPr>
                <w:rFonts w:ascii="仿宋" w:eastAsia="仿宋" w:hAnsi="仿宋" w:cs="仿宋" w:hint="eastAsia"/>
                <w:color w:val="000000"/>
                <w:sz w:val="24"/>
              </w:rPr>
              <w:t>进气通道：≥10路</w:t>
            </w:r>
          </w:p>
          <w:p>
            <w:pPr>
              <w:rPr>
                <w:rFonts w:ascii="仿宋" w:eastAsia="仿宋" w:hAnsi="仿宋" w:cs="仿宋" w:hint="eastAsia"/>
                <w:color w:val="000000"/>
                <w:highlight w:val="yellow"/>
              </w:rPr>
            </w:pPr>
            <w:r>
              <w:rPr>
                <w:rFonts w:ascii="仿宋" w:eastAsia="仿宋" w:hAnsi="仿宋" w:cs="仿宋" w:hint="eastAsia"/>
                <w:color w:val="000000"/>
                <w:sz w:val="24"/>
              </w:rPr>
              <w:t>进样流量：0～500mL/min可调,</w:t>
            </w:r>
            <w:r>
              <w:rPr>
                <w:rFonts w:ascii="仿宋" w:eastAsia="仿宋" w:hAnsi="仿宋" w:cs="仿宋" w:hint="eastAsia"/>
                <w:color w:val="000000"/>
                <w:sz w:val="24"/>
                <w:highlight w:val="yellow"/>
              </w:rPr>
              <w:t xml:space="preserve"> </w:t>
            </w:r>
          </w:p>
          <w:p>
            <w:pPr>
              <w:rPr>
                <w:rFonts w:ascii="仿宋" w:eastAsia="仿宋" w:hAnsi="仿宋" w:cs="仿宋"/>
                <w:color w:val="000000"/>
              </w:rPr>
            </w:pPr>
            <w:r>
              <w:rPr>
                <w:rFonts w:ascii="仿宋" w:eastAsia="仿宋" w:hAnsi="仿宋" w:cs="仿宋" w:hint="eastAsia"/>
                <w:color w:val="000000"/>
                <w:sz w:val="24"/>
                <w:highlight w:val="yellow"/>
              </w:rPr>
              <w:t>#流量计：精度±1%F.S.</w:t>
            </w:r>
          </w:p>
          <w:p>
            <w:pPr>
              <w:rPr>
                <w:rFonts w:ascii="仿宋" w:eastAsia="仿宋" w:hAnsi="仿宋" w:cs="仿宋" w:hint="eastAsia"/>
                <w:color w:val="000000"/>
              </w:rPr>
            </w:pPr>
            <w:r>
              <w:rPr>
                <w:rFonts w:ascii="仿宋" w:eastAsia="仿宋" w:hAnsi="仿宋" w:cs="仿宋" w:hint="eastAsia"/>
                <w:color w:val="000000"/>
                <w:sz w:val="24"/>
              </w:rPr>
              <w:t>旁路流量：0～200mL/min可调</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5、标气单元</w:t>
            </w:r>
          </w:p>
          <w:p>
            <w:pPr>
              <w:rPr>
                <w:rFonts w:ascii="仿宋" w:eastAsia="仿宋" w:hAnsi="仿宋" w:cs="仿宋"/>
                <w:color w:val="000000"/>
              </w:rPr>
            </w:pPr>
            <w:r>
              <w:rPr>
                <w:rFonts w:ascii="仿宋" w:eastAsia="仿宋" w:hAnsi="仿宋" w:cs="仿宋" w:hint="eastAsia"/>
                <w:color w:val="000000"/>
                <w:sz w:val="24"/>
              </w:rPr>
              <w:t>气瓶：≥29L铝合金气瓶</w:t>
            </w:r>
          </w:p>
          <w:p>
            <w:pPr>
              <w:rPr>
                <w:rFonts w:ascii="仿宋" w:eastAsia="仿宋" w:hAnsi="仿宋" w:cs="仿宋" w:hint="eastAsia"/>
                <w:color w:val="000000"/>
              </w:rPr>
            </w:pPr>
            <w:r>
              <w:rPr>
                <w:rFonts w:ascii="仿宋" w:eastAsia="仿宋" w:hAnsi="仿宋" w:cs="仿宋" w:hint="eastAsia"/>
                <w:color w:val="000000"/>
                <w:sz w:val="24"/>
                <w:highlight w:val="yellow"/>
              </w:rPr>
              <w:t>#减压阀进/出气压力范围：0～3000psi/0～100psi。</w:t>
            </w:r>
          </w:p>
          <w:p>
            <w:pPr>
              <w:rPr>
                <w:rFonts w:ascii="仿宋" w:eastAsia="仿宋" w:hAnsi="仿宋" w:cs="仿宋"/>
                <w:color w:val="000000"/>
              </w:rPr>
            </w:pPr>
            <w:r>
              <w:rPr>
                <w:rFonts w:ascii="仿宋" w:eastAsia="仿宋" w:hAnsi="仿宋" w:cs="仿宋" w:hint="eastAsia"/>
                <w:color w:val="000000"/>
                <w:sz w:val="24"/>
              </w:rPr>
              <w:t>工作标气（WH，WM、WL）：以自然大气为底气，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等浓度在观测点大气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等浓度变化范围。</w:t>
            </w:r>
          </w:p>
          <w:p>
            <w:pPr>
              <w:rPr>
                <w:rFonts w:ascii="仿宋" w:eastAsia="仿宋" w:hAnsi="仿宋" w:cs="仿宋"/>
                <w:color w:val="000000"/>
              </w:rPr>
            </w:pPr>
            <w:r>
              <w:rPr>
                <w:rFonts w:ascii="仿宋" w:eastAsia="仿宋" w:hAnsi="仿宋" w:cs="仿宋" w:hint="eastAsia"/>
                <w:color w:val="000000"/>
                <w:sz w:val="24"/>
              </w:rPr>
              <w:t>目标标气（T，1瓶）：以自然大气为底气，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等浓度应接近观测点大气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等平均浓度。</w:t>
            </w:r>
          </w:p>
          <w:p>
            <w:pPr>
              <w:rPr>
                <w:rFonts w:ascii="仿宋" w:eastAsia="仿宋" w:hAnsi="仿宋" w:cs="仿宋"/>
                <w:color w:val="000000"/>
              </w:rPr>
            </w:pPr>
            <w:r>
              <w:rPr>
                <w:rFonts w:ascii="仿宋" w:eastAsia="仿宋" w:hAnsi="仿宋" w:cs="仿宋" w:hint="eastAsia"/>
                <w:color w:val="000000"/>
                <w:sz w:val="24"/>
              </w:rPr>
              <w:t>标气填充气以自然干洁空气为底气。钢瓶为内抛光专用铝合金气瓶。</w:t>
            </w:r>
          </w:p>
          <w:p>
            <w:pPr>
              <w:rPr>
                <w:rFonts w:ascii="仿宋" w:eastAsia="仿宋" w:hAnsi="仿宋" w:cs="仿宋" w:hint="eastAsia"/>
                <w:color w:val="000000"/>
              </w:rPr>
            </w:pPr>
            <w:r>
              <w:rPr>
                <w:rFonts w:ascii="仿宋" w:eastAsia="仿宋" w:hAnsi="仿宋" w:cs="仿宋" w:hint="eastAsia"/>
                <w:color w:val="000000"/>
                <w:sz w:val="24"/>
                <w:highlight w:val="yellow"/>
              </w:rPr>
              <w:t>#应溯源至气象部门最高计量标准，并经过国家气象计量站审核认证</w:t>
            </w:r>
            <w:r>
              <w:rPr>
                <w:rFonts w:ascii="仿宋" w:eastAsia="仿宋" w:hAnsi="仿宋" w:cs="仿宋" w:hint="eastAsia"/>
                <w:color w:val="000000"/>
                <w:sz w:val="24"/>
              </w:rPr>
              <w:t>。</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6、数据采集及处理单元</w:t>
            </w:r>
          </w:p>
          <w:p>
            <w:pPr>
              <w:rPr>
                <w:rFonts w:ascii="仿宋" w:eastAsia="仿宋" w:hAnsi="仿宋" w:cs="仿宋"/>
                <w:color w:val="000000"/>
              </w:rPr>
            </w:pPr>
            <w:r>
              <w:rPr>
                <w:rFonts w:ascii="仿宋" w:eastAsia="仿宋" w:hAnsi="仿宋" w:cs="仿宋" w:hint="eastAsia"/>
                <w:color w:val="000000"/>
                <w:sz w:val="24"/>
              </w:rPr>
              <w:t>监测报警系统监测内容：6路标气压力、2路进气压力、2路干燥气压力、2路卸压流量、2路干燥气流量、2路旁路流量。</w:t>
            </w:r>
          </w:p>
          <w:p>
            <w:pPr>
              <w:rPr>
                <w:rFonts w:ascii="仿宋" w:eastAsia="仿宋" w:hAnsi="仿宋" w:cs="仿宋"/>
                <w:color w:val="000000"/>
              </w:rPr>
            </w:pPr>
            <w:r>
              <w:rPr>
                <w:rFonts w:ascii="仿宋" w:eastAsia="仿宋" w:hAnsi="仿宋" w:cs="仿宋" w:hint="eastAsia"/>
                <w:color w:val="000000"/>
                <w:sz w:val="24"/>
              </w:rPr>
              <w:t>工控机：CPU：≥3GHz，内存：≥8G，硬盘：≥500G，显示器：≥17in，配件：KVM、键盘、鼠标。</w:t>
            </w:r>
          </w:p>
          <w:p>
            <w:pPr>
              <w:rPr>
                <w:rFonts w:ascii="仿宋" w:eastAsia="仿宋" w:hAnsi="仿宋" w:cs="仿宋" w:hint="eastAsia"/>
                <w:color w:val="000000"/>
                <w:kern w:val="0"/>
              </w:rPr>
            </w:pPr>
            <w:r>
              <w:rPr>
                <w:rFonts w:ascii="仿宋" w:eastAsia="仿宋" w:hAnsi="仿宋" w:cs="仿宋" w:hint="eastAsia"/>
                <w:color w:val="000000"/>
                <w:sz w:val="24"/>
              </w:rPr>
              <w:t>机柜：≥宽600mm×深1000mm×高2000mm</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质保期：高精度温室气体(N20/CO)浓度观测系统(光腔衰荡光谱法)3年* ，从双方签署现场安</w:t>
      </w:r>
      <w:r>
        <w:rPr>
          <w:rFonts w:ascii="仿宋" w:eastAsia="仿宋" w:hAnsi="仿宋" w:cs="仿宋" w:hint="eastAsia"/>
          <w:sz w:val="28"/>
          <w:szCs w:val="20"/>
          <w:highlight w:val="yellow"/>
        </w:rPr>
        <w:t>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（4）采购人搭建测试平台，中标人须配合采购人完成设备的出厂测试，出厂测试阶段发生的运费、测试费（不含材料费）、设备维修维护费用由中标人承担。</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（1）中标人须在合同签定后，且出厂测试合格的情况下，按约定时间将设备运到招标人指定的地点，运费由中标人承担。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合同要求的指标后，可进行现场验收。采购人可根据合同，参考部门发布的本设备工程管理验收指导意见等要求，制定验收规范(包括项目、测试方法和测试仪器等)。经双方确认后形成验收文件作为验收依据。验收测试合格后，双方签署现场验收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（2）设备经过3个月试运行期，达到合同要求时，可进行合同验收。在试运行期间，由于设备质量等造成某些指标达不到要求，允许中标人更换或进行修复，但试运行期另加1个月。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（3）设备安装调试和试运行结束后，采购人组织最终验收。当满足以下条件时，采购人确认验收合格签署验收合格证：</w:t>
      </w:r>
    </w:p>
    <w:p>
      <w:pPr>
        <w:numPr>
          <w:ilvl w:val="0"/>
          <w:numId w:val="6"/>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spacing w:line="560" w:lineRule="exact"/>
        <w:ind w:left="552"/>
        <w:rPr>
          <w:rFonts w:ascii="仿宋" w:eastAsia="仿宋" w:hAnsi="仿宋" w:cs="仿宋" w:hint="eastAsia"/>
          <w:sz w:val="28"/>
          <w:szCs w:val="20"/>
        </w:rPr>
      </w:pP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48"/>
        <w:gridCol w:w="3080"/>
        <w:gridCol w:w="571"/>
        <w:gridCol w:w="794"/>
        <w:gridCol w:w="906"/>
        <w:gridCol w:w="571"/>
        <w:gridCol w:w="229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高精度温室气体（N2OCO）浓度观测系统（光腔衰荡光谱法）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3,340,000.00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临安区域大气本底站，韩路杰，15306565722</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3,340,000.00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38"/>
        <w:gridCol w:w="1203"/>
        <w:gridCol w:w="2987"/>
        <w:gridCol w:w="338"/>
        <w:gridCol w:w="770"/>
        <w:gridCol w:w="642"/>
        <w:gridCol w:w="1095"/>
        <w:gridCol w:w="11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临安站(001041003013)</w:t>
            </w:r>
          </w:p>
        </w:tc>
        <w:tc>
          <w:tcPr/>
          <w:p>
            <w:r>
              <w:t>高精度温室气体（N2OCO）浓度观测系统（光腔衰荡光谱法）</w:t>
            </w:r>
          </w:p>
        </w:tc>
        <w:tc>
          <w:tcPr/>
          <w:p>
            <w:r>
              <w:t>1</w:t>
            </w:r>
          </w:p>
        </w:tc>
        <w:tc>
          <w:tcPr/>
          <w:p>
            <w:r>
              <w:t>3340000.00</w:t>
            </w:r>
          </w:p>
        </w:tc>
        <w:tc>
          <w:tcPr/>
          <w:p>
            <w:r>
              <w:t xml:space="preserve">3340000.00  </w:t>
            </w:r>
          </w:p>
        </w:tc>
        <w:tc>
          <w:tcPr/>
          <w:p>
            <w:r>
              <w:t>临安区域大气本底站</w:t>
            </w:r>
          </w:p>
        </w:tc>
        <w:tc>
          <w:tcPr/>
          <w:p>
            <w:r>
              <w:t>韩路杰，15306565722</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在临安区域大气本底站建设浙江高精度温室气体（N2O/CO）浓度观测系统，开展全天候、高时空分辨率、高精度的连续监测，基于高精度温室气体监测数据和其他相关气象观测数据，同步开展进口、国产设备对比试验，推动区域碳收支评估工作的业务化，为区域碳排放管理和碳市场交易提供有力支持。</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w:t>
      </w:r>
      <w:r>
        <w:rPr>
          <w:rFonts w:ascii="仿宋" w:eastAsia="仿宋" w:hAnsi="仿宋" w:cs="仿宋" w:hint="eastAsia"/>
          <w:sz w:val="28"/>
          <w:szCs w:val="20"/>
        </w:rPr>
        <w:t>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szCs w:val="20"/>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rPr>
        <w:t>6个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rPr>
        <w:t>10人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w:t>
      </w:r>
      <w:r>
        <w:rPr>
          <w:rFonts w:ascii="仿宋" w:eastAsia="仿宋" w:hAnsi="仿宋" w:cs="仿宋" w:hint="eastAsia"/>
          <w:sz w:val="28"/>
          <w:szCs w:val="20"/>
        </w:rPr>
        <w:t>装、使用、日常维护、观测原理及产品应用，培训时间及地点双方协商确定。</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中标供应商将所有设备运送至临安区域大气本底站（运输相关费用由供应商负责），并负责安装调试。</w:t>
      </w:r>
    </w:p>
    <w:p>
      <w:pPr>
        <w:ind w:left="559" w:leftChars="266"/>
        <w:rPr>
          <w:rFonts w:ascii="仿宋" w:eastAsia="仿宋" w:hAnsi="仿宋" w:cs="仿宋" w:hint="eastAsia"/>
          <w:b/>
          <w:bCs/>
          <w:sz w:val="28"/>
          <w:szCs w:val="20"/>
        </w:rPr>
      </w:pPr>
      <w:r>
        <w:rPr>
          <w:rFonts w:ascii="仿宋" w:eastAsia="仿宋" w:hAnsi="仿宋" w:cs="仿宋" w:hint="eastAsia"/>
          <w:sz w:val="28"/>
          <w:szCs w:val="20"/>
        </w:rPr>
        <w:t>合同签订后120天内交货，30天内完成安装调试并具备验收条件。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服务团队应有一名项目经理，应具有3年以上相关工作经验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配备</w:t>
      </w:r>
      <w:r>
        <w:rPr>
          <w:rFonts w:ascii="仿宋" w:eastAsia="仿宋" w:hAnsi="仿宋" w:cs="仿宋" w:hint="eastAsia"/>
          <w:sz w:val="28"/>
          <w:szCs w:val="20"/>
        </w:rPr>
        <w:t>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设备支持有线通讯协议，可无缝接入临安本底站网络系统，实现与气象局内网网络系统、天擎平台无缝接入，完全符合甲方相关要求和规范，保证其系统的兼容性和功能的完整性。</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eastAsia="宋体" w:hAnsi="宋体" w:hint="eastAsia"/>
                <w:sz w:val="18"/>
                <w:szCs w:val="18"/>
                <w:highlight w:val="none"/>
                <w:lang w:eastAsia="zh-CN"/>
              </w:rPr>
              <w:t>高精度温室气体(N20/CO)浓度观测系统(光腔衰荡光谱法)3年* ，从双方签署现场安装测试报告之日起开始计算质保期。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u w:val="single"/>
        </w:rPr>
      </w:pPr>
      <w:r>
        <w:rPr>
          <w:rFonts w:ascii="Wingdings" w:hAnsi="Wingdings"/>
          <w:szCs w:val="21"/>
          <w:highlight w:val="yellow"/>
        </w:rPr>
        <w:sym w:font="Wingdings" w:char="F0A8"/>
      </w:r>
      <w:r>
        <w:rPr>
          <w:rFonts w:ascii="宋体" w:hAnsi="宋体" w:hint="eastAsia"/>
          <w:szCs w:val="21"/>
          <w:highlight w:val="yellow"/>
        </w:rPr>
        <w:t>分期付款：</w:t>
      </w:r>
      <w:r>
        <w:rPr>
          <w:rFonts w:ascii="宋体" w:hAnsi="宋体" w:hint="eastAsia"/>
          <w:szCs w:val="21"/>
          <w:highlight w:val="yellow"/>
          <w:u w:val="single"/>
        </w:rPr>
        <w:t xml:space="preserve">  1、合同总金额为人民币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2、合同生效后付款:双方签署合同后7个工作日内，甲方向乙方支付合同总金额的 90%,即人民币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3、履约保函:乙方向甲方出具合同总金额 10%的履约保函，即人民币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元(小写)。甲方收到履约保函后 3个工作日内，向乙方支付合同总金额的 10%,即人民币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元(小写)。双方签署合同验收报告后7个工作内，甲方退还乙方履约保函。乙方要做到验收前，履约保函续保连续不间断，直至项目整体竣工验收。</w:t>
      </w:r>
    </w:p>
    <w:p>
      <w:pPr>
        <w:snapToGrid w:val="0"/>
        <w:spacing w:line="400" w:lineRule="exact"/>
        <w:ind w:firstLine="630" w:firstLineChars="300"/>
        <w:rPr>
          <w:highlight w:val="none"/>
        </w:rPr>
      </w:pPr>
      <w:r>
        <w:rPr>
          <w:rFonts w:ascii="宋体" w:hAnsi="宋体" w:hint="eastAsia"/>
          <w:szCs w:val="21"/>
          <w:highlight w:val="yellow"/>
          <w:u w:val="single"/>
        </w:rPr>
        <w:t xml:space="preserve">4、乙方每次收款后7个工作日内向甲方出具符合国家财税规定的等额13%税率增值税普通发票。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078416C"/>
    <w:multiLevelType w:val="multilevel"/>
    <w:tmpl w:val="5078416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4">
    <w:nsid w:val="6A551D42"/>
    <w:multiLevelType w:val="multilevel"/>
    <w:tmpl w:val="6A551D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4"/>
  </w:num>
  <w:num w:numId="5">
    <w:abstractNumId w:val="11"/>
  </w:num>
  <w:num w:numId="6">
    <w:abstractNumId w:val="13"/>
  </w:num>
  <w:num w:numId="7">
    <w:abstractNumId w:val="12"/>
  </w:num>
  <w:num w:numId="8">
    <w:abstractNumId w:val="15"/>
  </w:num>
  <w:num w:numId="9">
    <w:abstractNumId w:val="1"/>
  </w:num>
  <w:num w:numId="10">
    <w:abstractNumId w:val="5"/>
  </w:num>
  <w:num w:numId="11">
    <w:abstractNumId w:val="3"/>
  </w:num>
  <w:num w:numId="12">
    <w:abstractNumId w:val="2"/>
  </w:num>
  <w:num w:numId="13">
    <w:abstractNumId w:val="10"/>
  </w:num>
  <w:num w:numId="14">
    <w:abstractNumId w:val="0"/>
  </w:num>
  <w:num w:numId="15">
    <w:abstractNumId w:val="4"/>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