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2025年广西通量观测系统建设项目(高精度温室气体浓度观测系统)</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ZQCD-25455</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3960F33D">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01D5C43">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7835AA1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67F431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06AC7D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774AC6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3D17B12">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2B99144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BC8E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E7BAC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623C9C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0F6062E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44D780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4603F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48F76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5F91A03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40C7A263">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315090D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3C7AD74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0362A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6EA6130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3DF0B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3DE5C0C7">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F3F8C7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1D613D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69B581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03A50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CE42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AE9A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7B7CC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0CD24E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45A37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586C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9E76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7407F8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151B3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FEF6E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2B45C8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2E64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0D519A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5DBC1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25408D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7907000D">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72F00B2">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6B9FAC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556F0CD7">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200D971B">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5892F5AD">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3A1C839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1D54934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6195CD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ACA4B9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CC061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66BC9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6D0FF55E">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16C8AAB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70CEC69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4A96916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4F0F2F9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5940C97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9B1E31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16957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8A6481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917A0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16A705C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6B0537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8BFCD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04C2BA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ED15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06488B2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085A18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67838F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D78D25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7103EF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6C69EE9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564FE18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538530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D7729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1A5964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9EE5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5C34BF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E6A17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3800546">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DCC24A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DD39E2E">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40A2839">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3735DC5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6B9CFA">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DA1324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D039BA0">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E841A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2514DA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5D8D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090CCB5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B6B2CC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0D79A2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1AB601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2A062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7FBB70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EEFFCD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0F3D6E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06252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40C85A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53B64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5C17F3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4D045D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63D003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013D1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7F755D9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498E58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8C850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A2EAF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60020C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4E6405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7F9EE9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C99C4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8258982">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E6669A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D7BFF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5A77D0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03C9008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4E0EC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75F88AB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1388DE6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6FD740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D6D4D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0A166E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4AAAF6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84E01D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8E05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3DC26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A7E8D7">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7C7D1B9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A89435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B25EAC0">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4751634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648E26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B9C30E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1DDD7EB3">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7D75C69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6A0FCA4">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460F46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3DA9EA4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7794598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（6）*银行保函或磋商保证金说明函（本项目不要求提交磋商保证金的不提供）</w:t>
      </w:r>
    </w:p>
    <w:p w14:paraId="7E408E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6C070EF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17B36C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E95051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908BEF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21CA244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23BE34B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30D502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39A3A9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7A149F2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F34E9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00534F8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E306B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192504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EBE7E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4D33F4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7B3593F2">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3FC436A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DC6D63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41D6A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26D4F9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FB13FA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2090320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8A37CB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174D9FFA">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4BDB8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F1AC2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9D7AC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383E3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B22EF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4BD05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10738D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4DCE98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1A008B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787DED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BA4538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DD2C9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1ECCE1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097D34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755625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76DB6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789D93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AB4BF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61D448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5DC68F62">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30EA012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w:t>
      </w:r>
      <w:r>
        <w:rPr>
          <w:rFonts w:ascii="宋体" w:eastAsia="宋体" w:hAnsi="宋体" w:cs="Times New Roman" w:hint="eastAsia"/>
          <w:szCs w:val="21"/>
        </w:rPr>
        <w:t>报价</w:t>
      </w:r>
      <w:r>
        <w:rPr>
          <w:rFonts w:ascii="宋体" w:eastAsia="宋体" w:hAnsi="宋体" w:cs="Times New Roman" w:hint="eastAsia"/>
          <w:szCs w:val="21"/>
        </w:rPr>
        <w:t>及品牌、型号、产地、</w:t>
      </w:r>
      <w:r>
        <w:rPr>
          <w:rFonts w:ascii="宋体" w:eastAsia="宋体" w:hAnsi="宋体" w:cs="Times New Roman" w:hint="eastAsia"/>
          <w:szCs w:val="21"/>
        </w:rPr>
        <w:t>装箱、包装、包装物料、运输和保险费用等）、总价及其他事项。</w:t>
      </w:r>
      <w:bookmarkStart w:id="3" w:name="_GoBack"/>
      <w:bookmarkEnd w:id="3"/>
    </w:p>
    <w:p w14:paraId="71A49C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267055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0C4EFA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192248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017FF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39F643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4073769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7B52612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1DB716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4F54D93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E5A4038">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17160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363D05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18479F7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18BE931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5E19F2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084F07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C490D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71FAE03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6BF64B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BAA050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126ED7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234638FE">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920C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7BE7C0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7003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C538ADA">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7961335">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6FFC917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066C90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8928F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7512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87B0F4">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38D97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DB7C2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0CA086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96C63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71494E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60356F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05CF07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3203348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DF82DD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2F648D4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A9ECA4E">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45A04931">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3205E888">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8EA702C">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4DA5B0">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1F92D5F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20C26FEE">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F586BF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7893588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0A39DA5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7B150F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26C7715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5EE2B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2F3621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23826F6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458CD3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293D77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7C6D106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19FAB72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30176BF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562102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A62D57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71928288">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388FA322">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60649B3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27BEF3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34ACCA4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0CA55F5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4EE3ACF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5CE0D0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1CDE77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A01EFF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54A88921">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06AEA6F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1F350FD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08A6D43C">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42F16B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8EC639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455935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79C7471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7F90A07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35DB3E0F">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32F51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64678A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B9F0F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5C13F5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A5DC1B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1DB4D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BFF0A3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F663F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80C6B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522C87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5AC923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E29247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EAA9AE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B10F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0585943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633B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3DF3E7F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20F58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13481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6216DA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02A1E1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83D3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214B4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AD42B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DED81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AABDC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9B220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7FB64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C6CB6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94ED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3E215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16F44B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7D72D2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01B5A7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1E787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582EB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F7D53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692230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CDA6F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286861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3BEE3D5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D8FB5C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ACE8A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5968F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9EC34F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59329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0E6D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1BE4FFC0">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35261B5">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2596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3E7E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0D1620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4BCC1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7C61965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376E9A4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0" w:name="_Toc15561_WPSOffice_Level2"/>
      <w:bookmarkStart w:id="11" w:name="_Toc23749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2" w:name="_Toc405_WPSOffice_Level2"/>
      <w:bookmarkStart w:id="13" w:name="_Toc22173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4" w:name="_Toc23482_WPSOffice_Level2"/>
      <w:bookmarkStart w:id="15" w:name="_Toc7084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9"/>
    <w:p w14:paraId="4DCB25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FD988A8">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36F63E85"/>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5"/>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40586630">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2.17主要标的信息表</w:t>
      </w:r>
      <w:bookmarkEnd w:id="17"/>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6"/>
    </w:p>
    <w:p w14:paraId="44474CBE">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6328EA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23D926F7">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10D3707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1C48A17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358BCB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CE360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A6889B">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62D583B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282CEB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844410">
            <w:pPr>
              <w:numPr>
                <w:ilvl w:val="0"/>
                <w:numId w:val="2"/>
              </w:numPr>
              <w:jc w:val="left"/>
              <w:rPr>
                <w:rFonts w:ascii="宋体" w:eastAsia="宋体" w:hAnsi="宋体" w:cs="Times New Roman"/>
                <w:sz w:val="18"/>
                <w:szCs w:val="18"/>
              </w:rPr>
            </w:pPr>
          </w:p>
        </w:tc>
        <w:tc>
          <w:tcPr>
            <w:tcW w:w="850" w:type="dxa"/>
            <w:vAlign w:val="center"/>
          </w:tcPr>
          <w:p w14:paraId="795D4A1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814445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6C85FDC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C86F5D">
            <w:pPr>
              <w:numPr>
                <w:ilvl w:val="0"/>
                <w:numId w:val="2"/>
              </w:numPr>
              <w:jc w:val="left"/>
              <w:rPr>
                <w:rFonts w:ascii="宋体" w:eastAsia="宋体" w:hAnsi="宋体" w:cs="Times New Roman"/>
                <w:sz w:val="18"/>
                <w:szCs w:val="18"/>
              </w:rPr>
            </w:pPr>
          </w:p>
        </w:tc>
        <w:tc>
          <w:tcPr>
            <w:tcW w:w="850" w:type="dxa"/>
            <w:vAlign w:val="center"/>
          </w:tcPr>
          <w:p w14:paraId="74AE2A69">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E06C1D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2258C2D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1398C">
            <w:pPr>
              <w:numPr>
                <w:ilvl w:val="0"/>
                <w:numId w:val="2"/>
              </w:numPr>
              <w:jc w:val="left"/>
              <w:rPr>
                <w:rFonts w:ascii="宋体" w:eastAsia="宋体" w:hAnsi="宋体" w:cs="Times New Roman"/>
                <w:sz w:val="18"/>
                <w:szCs w:val="18"/>
              </w:rPr>
            </w:pPr>
          </w:p>
        </w:tc>
        <w:tc>
          <w:tcPr>
            <w:tcW w:w="850" w:type="dxa"/>
            <w:vAlign w:val="center"/>
          </w:tcPr>
          <w:p w14:paraId="4DB352A2">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EFE4EAB">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327785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FA5206">
            <w:pPr>
              <w:numPr>
                <w:ilvl w:val="0"/>
                <w:numId w:val="2"/>
              </w:numPr>
              <w:jc w:val="left"/>
              <w:rPr>
                <w:rFonts w:ascii="宋体" w:eastAsia="宋体" w:hAnsi="宋体" w:cs="Times New Roman"/>
                <w:sz w:val="18"/>
                <w:szCs w:val="18"/>
              </w:rPr>
            </w:pPr>
          </w:p>
        </w:tc>
        <w:tc>
          <w:tcPr>
            <w:tcW w:w="850" w:type="dxa"/>
            <w:vAlign w:val="center"/>
          </w:tcPr>
          <w:p w14:paraId="66A79504">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C1D14B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1BDCB92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958AEB">
            <w:pPr>
              <w:numPr>
                <w:ilvl w:val="0"/>
                <w:numId w:val="2"/>
              </w:numPr>
              <w:jc w:val="left"/>
              <w:rPr>
                <w:rFonts w:ascii="宋体" w:eastAsia="宋体" w:hAnsi="宋体" w:cs="Times New Roman"/>
                <w:sz w:val="18"/>
                <w:szCs w:val="18"/>
              </w:rPr>
            </w:pPr>
          </w:p>
        </w:tc>
        <w:tc>
          <w:tcPr>
            <w:tcW w:w="850" w:type="dxa"/>
            <w:vAlign w:val="center"/>
          </w:tcPr>
          <w:p w14:paraId="743AF11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2311CB37">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0E80B1F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1D45C5">
            <w:pPr>
              <w:numPr>
                <w:ilvl w:val="0"/>
                <w:numId w:val="2"/>
              </w:numPr>
              <w:jc w:val="left"/>
              <w:rPr>
                <w:rFonts w:ascii="宋体" w:eastAsia="宋体" w:hAnsi="宋体" w:cs="Times New Roman"/>
                <w:sz w:val="18"/>
                <w:szCs w:val="18"/>
              </w:rPr>
            </w:pPr>
          </w:p>
        </w:tc>
        <w:tc>
          <w:tcPr>
            <w:tcW w:w="850" w:type="dxa"/>
            <w:vAlign w:val="center"/>
          </w:tcPr>
          <w:p w14:paraId="6EE07661">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16EB2712">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6893B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F2D8AFE">
            <w:pPr>
              <w:numPr>
                <w:ilvl w:val="0"/>
                <w:numId w:val="2"/>
              </w:numPr>
              <w:jc w:val="left"/>
              <w:rPr>
                <w:rFonts w:ascii="宋体" w:eastAsia="宋体" w:hAnsi="宋体" w:cs="Times New Roman"/>
                <w:sz w:val="18"/>
                <w:szCs w:val="18"/>
              </w:rPr>
            </w:pPr>
          </w:p>
        </w:tc>
        <w:tc>
          <w:tcPr>
            <w:tcW w:w="850" w:type="dxa"/>
            <w:vAlign w:val="center"/>
          </w:tcPr>
          <w:p w14:paraId="7F1A822C">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5D0A152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089A44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01893E">
            <w:pPr>
              <w:numPr>
                <w:ilvl w:val="0"/>
                <w:numId w:val="2"/>
              </w:numPr>
              <w:jc w:val="left"/>
              <w:rPr>
                <w:rFonts w:ascii="宋体" w:eastAsia="宋体" w:hAnsi="宋体" w:cs="Times New Roman"/>
                <w:sz w:val="18"/>
                <w:szCs w:val="18"/>
              </w:rPr>
            </w:pPr>
          </w:p>
        </w:tc>
        <w:tc>
          <w:tcPr>
            <w:tcW w:w="850" w:type="dxa"/>
            <w:vAlign w:val="center"/>
          </w:tcPr>
          <w:p w14:paraId="2BF90040">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331EF4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48ECA4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8E870B">
            <w:pPr>
              <w:numPr>
                <w:ilvl w:val="0"/>
                <w:numId w:val="2"/>
              </w:numPr>
              <w:jc w:val="left"/>
              <w:rPr>
                <w:rFonts w:ascii="宋体" w:eastAsia="宋体" w:hAnsi="宋体" w:cs="Times New Roman"/>
                <w:sz w:val="18"/>
                <w:szCs w:val="18"/>
              </w:rPr>
            </w:pPr>
          </w:p>
        </w:tc>
        <w:tc>
          <w:tcPr>
            <w:tcW w:w="850" w:type="dxa"/>
            <w:vAlign w:val="center"/>
          </w:tcPr>
          <w:p w14:paraId="4D9A3731">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67F42326">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5E613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ABAE7E5">
            <w:pPr>
              <w:numPr>
                <w:ilvl w:val="0"/>
                <w:numId w:val="2"/>
              </w:numPr>
              <w:jc w:val="left"/>
              <w:rPr>
                <w:rFonts w:ascii="宋体" w:eastAsia="宋体" w:hAnsi="宋体" w:cs="Times New Roman"/>
                <w:sz w:val="18"/>
                <w:szCs w:val="18"/>
              </w:rPr>
            </w:pPr>
          </w:p>
        </w:tc>
        <w:tc>
          <w:tcPr>
            <w:tcW w:w="850" w:type="dxa"/>
            <w:vAlign w:val="center"/>
          </w:tcPr>
          <w:p w14:paraId="69CAF57E">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846ED6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B3233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4EAE71E">
            <w:pPr>
              <w:numPr>
                <w:ilvl w:val="0"/>
                <w:numId w:val="2"/>
              </w:numPr>
              <w:jc w:val="left"/>
              <w:rPr>
                <w:rFonts w:ascii="宋体" w:eastAsia="宋体" w:hAnsi="宋体" w:cs="Times New Roman"/>
                <w:sz w:val="18"/>
                <w:szCs w:val="18"/>
              </w:rPr>
            </w:pPr>
          </w:p>
        </w:tc>
        <w:tc>
          <w:tcPr>
            <w:tcW w:w="850" w:type="dxa"/>
            <w:vAlign w:val="center"/>
          </w:tcPr>
          <w:p w14:paraId="3C177082">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10FAC9C4">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567C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155B9DD">
            <w:pPr>
              <w:numPr>
                <w:ilvl w:val="0"/>
                <w:numId w:val="2"/>
              </w:numPr>
              <w:jc w:val="left"/>
              <w:rPr>
                <w:rFonts w:ascii="宋体" w:eastAsia="宋体" w:hAnsi="宋体" w:cs="Times New Roman"/>
                <w:sz w:val="18"/>
                <w:szCs w:val="18"/>
              </w:rPr>
            </w:pPr>
          </w:p>
        </w:tc>
        <w:tc>
          <w:tcPr>
            <w:tcW w:w="850" w:type="dxa"/>
            <w:vAlign w:val="center"/>
          </w:tcPr>
          <w:p w14:paraId="4D2EF8F1">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1D1F54A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196A8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C2DBEF">
            <w:pPr>
              <w:numPr>
                <w:ilvl w:val="0"/>
                <w:numId w:val="2"/>
              </w:numPr>
              <w:jc w:val="left"/>
              <w:rPr>
                <w:rFonts w:ascii="宋体" w:eastAsia="宋体" w:hAnsi="宋体" w:cs="Times New Roman"/>
                <w:sz w:val="18"/>
                <w:szCs w:val="18"/>
              </w:rPr>
            </w:pPr>
          </w:p>
        </w:tc>
        <w:tc>
          <w:tcPr>
            <w:tcW w:w="850" w:type="dxa"/>
            <w:vAlign w:val="center"/>
          </w:tcPr>
          <w:p w14:paraId="23919F26">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22496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D91A7B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C290701">
            <w:pPr>
              <w:numPr>
                <w:ilvl w:val="0"/>
                <w:numId w:val="2"/>
              </w:numPr>
              <w:jc w:val="left"/>
              <w:rPr>
                <w:rFonts w:ascii="宋体" w:eastAsia="宋体" w:hAnsi="宋体" w:cs="Times New Roman"/>
                <w:sz w:val="18"/>
                <w:szCs w:val="18"/>
              </w:rPr>
            </w:pPr>
          </w:p>
        </w:tc>
        <w:tc>
          <w:tcPr>
            <w:tcW w:w="850" w:type="dxa"/>
            <w:vAlign w:val="center"/>
          </w:tcPr>
          <w:p w14:paraId="5E82ACE5">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93B221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2DA633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A0FB93">
            <w:pPr>
              <w:numPr>
                <w:ilvl w:val="0"/>
                <w:numId w:val="2"/>
              </w:numPr>
              <w:jc w:val="left"/>
              <w:rPr>
                <w:rFonts w:ascii="宋体" w:eastAsia="宋体" w:hAnsi="宋体" w:cs="Times New Roman"/>
                <w:sz w:val="18"/>
                <w:szCs w:val="18"/>
              </w:rPr>
            </w:pPr>
          </w:p>
        </w:tc>
        <w:tc>
          <w:tcPr>
            <w:tcW w:w="850" w:type="dxa"/>
            <w:vAlign w:val="center"/>
          </w:tcPr>
          <w:p w14:paraId="275CF095">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09F1DC49">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616B3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FAD808A">
            <w:pPr>
              <w:numPr>
                <w:ilvl w:val="0"/>
                <w:numId w:val="2"/>
              </w:numPr>
              <w:jc w:val="left"/>
              <w:rPr>
                <w:rFonts w:ascii="宋体" w:eastAsia="宋体" w:hAnsi="宋体" w:cs="Times New Roman"/>
                <w:sz w:val="18"/>
                <w:szCs w:val="18"/>
              </w:rPr>
            </w:pPr>
          </w:p>
        </w:tc>
        <w:tc>
          <w:tcPr>
            <w:tcW w:w="850" w:type="dxa"/>
            <w:vAlign w:val="center"/>
          </w:tcPr>
          <w:p w14:paraId="12697199">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995626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8F9342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37865EB">
            <w:pPr>
              <w:numPr>
                <w:ilvl w:val="0"/>
                <w:numId w:val="2"/>
              </w:numPr>
              <w:spacing w:line="360" w:lineRule="auto"/>
              <w:jc w:val="left"/>
              <w:rPr>
                <w:rFonts w:ascii="宋体" w:eastAsia="宋体" w:hAnsi="宋体" w:cs="Times New Roman"/>
                <w:bCs/>
                <w:sz w:val="18"/>
                <w:szCs w:val="18"/>
              </w:rPr>
            </w:pPr>
          </w:p>
        </w:tc>
        <w:tc>
          <w:tcPr>
            <w:tcW w:w="850" w:type="dxa"/>
            <w:vAlign w:val="center"/>
          </w:tcPr>
          <w:p w14:paraId="243C87B0">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6FA25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7ABFDD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4BB358">
            <w:pPr>
              <w:numPr>
                <w:ilvl w:val="0"/>
                <w:numId w:val="2"/>
              </w:numPr>
              <w:jc w:val="left"/>
              <w:rPr>
                <w:rFonts w:ascii="宋体" w:eastAsia="宋体" w:hAnsi="宋体" w:cs="Times New Roman"/>
                <w:sz w:val="18"/>
                <w:szCs w:val="18"/>
              </w:rPr>
            </w:pPr>
          </w:p>
        </w:tc>
        <w:tc>
          <w:tcPr>
            <w:tcW w:w="850" w:type="dxa"/>
            <w:vAlign w:val="center"/>
          </w:tcPr>
          <w:p w14:paraId="44A1566B">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2CF6D7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3A03F4A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5DC386">
            <w:pPr>
              <w:numPr>
                <w:ilvl w:val="0"/>
                <w:numId w:val="2"/>
              </w:numPr>
              <w:jc w:val="left"/>
              <w:rPr>
                <w:rFonts w:ascii="宋体" w:eastAsia="宋体" w:hAnsi="宋体" w:cs="Times New Roman"/>
                <w:sz w:val="18"/>
                <w:szCs w:val="18"/>
              </w:rPr>
            </w:pPr>
          </w:p>
        </w:tc>
        <w:tc>
          <w:tcPr>
            <w:tcW w:w="850" w:type="dxa"/>
            <w:vAlign w:val="center"/>
          </w:tcPr>
          <w:p w14:paraId="022A455B">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9A104F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D4372C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A74AF5">
            <w:pPr>
              <w:numPr>
                <w:ilvl w:val="0"/>
                <w:numId w:val="2"/>
              </w:numPr>
              <w:jc w:val="left"/>
              <w:rPr>
                <w:rFonts w:ascii="宋体" w:eastAsia="宋体" w:hAnsi="宋体" w:cs="Times New Roman"/>
                <w:sz w:val="18"/>
                <w:szCs w:val="18"/>
              </w:rPr>
            </w:pPr>
          </w:p>
        </w:tc>
        <w:tc>
          <w:tcPr>
            <w:tcW w:w="850" w:type="dxa"/>
            <w:vAlign w:val="center"/>
          </w:tcPr>
          <w:p w14:paraId="3F10222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49C6E4B">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4A824727">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7C242CA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94D1B4">
            <w:pPr>
              <w:numPr>
                <w:ilvl w:val="0"/>
                <w:numId w:val="2"/>
              </w:numPr>
              <w:jc w:val="left"/>
              <w:rPr>
                <w:rFonts w:ascii="宋体" w:eastAsia="宋体" w:hAnsi="宋体" w:cs="Times New Roman"/>
                <w:sz w:val="18"/>
                <w:szCs w:val="18"/>
              </w:rPr>
            </w:pPr>
          </w:p>
        </w:tc>
        <w:tc>
          <w:tcPr>
            <w:tcW w:w="850" w:type="dxa"/>
            <w:vAlign w:val="center"/>
          </w:tcPr>
          <w:p w14:paraId="3D81CEC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4A1E7C3">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2C9CB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E9172B">
            <w:pPr>
              <w:numPr>
                <w:ilvl w:val="0"/>
                <w:numId w:val="2"/>
              </w:numPr>
              <w:jc w:val="left"/>
              <w:rPr>
                <w:rFonts w:ascii="宋体" w:eastAsia="宋体" w:hAnsi="宋体" w:cs="Times New Roman"/>
                <w:sz w:val="18"/>
                <w:szCs w:val="18"/>
              </w:rPr>
            </w:pPr>
          </w:p>
        </w:tc>
        <w:tc>
          <w:tcPr>
            <w:tcW w:w="850" w:type="dxa"/>
            <w:vAlign w:val="center"/>
          </w:tcPr>
          <w:p w14:paraId="12BB838A">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E29F45D">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52EA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89BDE02">
            <w:pPr>
              <w:numPr>
                <w:ilvl w:val="0"/>
                <w:numId w:val="2"/>
              </w:numPr>
              <w:jc w:val="left"/>
              <w:rPr>
                <w:rFonts w:ascii="宋体" w:eastAsia="宋体" w:hAnsi="宋体" w:cs="Times New Roman"/>
                <w:sz w:val="18"/>
                <w:szCs w:val="18"/>
              </w:rPr>
            </w:pPr>
          </w:p>
        </w:tc>
        <w:tc>
          <w:tcPr>
            <w:tcW w:w="850" w:type="dxa"/>
            <w:vAlign w:val="center"/>
          </w:tcPr>
          <w:p w14:paraId="66E7E17D">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6C3617DF">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D8BB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2892CD5">
            <w:pPr>
              <w:numPr>
                <w:ilvl w:val="0"/>
                <w:numId w:val="2"/>
              </w:numPr>
              <w:jc w:val="left"/>
              <w:rPr>
                <w:rFonts w:ascii="宋体" w:eastAsia="宋体" w:hAnsi="宋体" w:cs="Times New Roman"/>
                <w:sz w:val="18"/>
                <w:szCs w:val="18"/>
              </w:rPr>
            </w:pPr>
          </w:p>
        </w:tc>
        <w:tc>
          <w:tcPr>
            <w:tcW w:w="850" w:type="dxa"/>
            <w:vAlign w:val="center"/>
          </w:tcPr>
          <w:p w14:paraId="7BE68B42">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AAD90E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06E4E19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E7772B0">
            <w:pPr>
              <w:numPr>
                <w:ilvl w:val="0"/>
                <w:numId w:val="2"/>
              </w:numPr>
              <w:jc w:val="left"/>
              <w:rPr>
                <w:rFonts w:ascii="宋体" w:eastAsia="宋体" w:hAnsi="宋体" w:cs="Times New Roman"/>
                <w:sz w:val="18"/>
                <w:szCs w:val="18"/>
              </w:rPr>
            </w:pPr>
          </w:p>
        </w:tc>
        <w:tc>
          <w:tcPr>
            <w:tcW w:w="850" w:type="dxa"/>
            <w:vAlign w:val="center"/>
          </w:tcPr>
          <w:p w14:paraId="05457A2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29821AA">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265525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6037D27">
            <w:pPr>
              <w:numPr>
                <w:ilvl w:val="0"/>
                <w:numId w:val="2"/>
              </w:numPr>
              <w:jc w:val="left"/>
              <w:rPr>
                <w:rFonts w:ascii="宋体" w:eastAsia="宋体" w:hAnsi="宋体" w:cs="Times New Roman"/>
                <w:sz w:val="18"/>
                <w:szCs w:val="18"/>
              </w:rPr>
            </w:pPr>
          </w:p>
        </w:tc>
        <w:tc>
          <w:tcPr>
            <w:tcW w:w="850" w:type="dxa"/>
            <w:vAlign w:val="center"/>
          </w:tcPr>
          <w:p w14:paraId="1F80463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E2E5B19">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F03D1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93A5E"/>
        </w:tc>
        <w:tc>
          <w:tcPr>
            <w:tcW w:w="850" w:type="dxa"/>
            <w:vAlign w:val="center"/>
          </w:tcPr>
          <w:p w14:paraId="7A953FAD"/>
        </w:tc>
        <w:tc>
          <w:tcPr>
            <w:tcW w:w="7723" w:type="dxa"/>
            <w:vAlign w:val="center"/>
          </w:tcPr>
          <w:p w14:paraId="38CA1031"/>
        </w:tc>
      </w:tr>
      <w:tr w14:paraId="3DF3E67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428D671">
            <w:pPr>
              <w:numPr>
                <w:ilvl w:val="0"/>
                <w:numId w:val="2"/>
              </w:numPr>
              <w:jc w:val="left"/>
              <w:rPr>
                <w:rFonts w:ascii="宋体" w:eastAsia="宋体" w:hAnsi="宋体" w:cs="Times New Roman"/>
                <w:sz w:val="18"/>
                <w:szCs w:val="18"/>
              </w:rPr>
            </w:pPr>
          </w:p>
        </w:tc>
        <w:tc>
          <w:tcPr>
            <w:tcW w:w="850" w:type="dxa"/>
            <w:vAlign w:val="center"/>
          </w:tcPr>
          <w:p w14:paraId="3F871908">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E54A472">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0A26E24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9883613">
            <w:pPr>
              <w:numPr>
                <w:ilvl w:val="0"/>
                <w:numId w:val="2"/>
              </w:numPr>
              <w:jc w:val="left"/>
              <w:rPr>
                <w:rFonts w:ascii="宋体" w:eastAsia="宋体" w:hAnsi="宋体" w:cs="Times New Roman"/>
                <w:sz w:val="18"/>
                <w:szCs w:val="18"/>
              </w:rPr>
            </w:pPr>
          </w:p>
        </w:tc>
        <w:tc>
          <w:tcPr>
            <w:tcW w:w="850" w:type="dxa"/>
            <w:vAlign w:val="center"/>
          </w:tcPr>
          <w:p w14:paraId="7995F46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1C1F3A1">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C70D81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91625C8">
            <w:pPr>
              <w:numPr>
                <w:ilvl w:val="0"/>
                <w:numId w:val="2"/>
              </w:numPr>
              <w:jc w:val="left"/>
              <w:rPr>
                <w:rFonts w:ascii="宋体" w:eastAsia="宋体" w:hAnsi="宋体" w:cs="Times New Roman"/>
                <w:sz w:val="18"/>
                <w:szCs w:val="18"/>
              </w:rPr>
            </w:pPr>
          </w:p>
        </w:tc>
        <w:tc>
          <w:tcPr>
            <w:tcW w:w="850" w:type="dxa"/>
            <w:vAlign w:val="center"/>
          </w:tcPr>
          <w:p w14:paraId="6762B419">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2DD9E57F">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49190DDE">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5076AD9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3ABB8F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F5829F4">
            <w:pPr>
              <w:numPr>
                <w:ilvl w:val="0"/>
                <w:numId w:val="2"/>
              </w:numPr>
              <w:jc w:val="left"/>
              <w:rPr>
                <w:rFonts w:ascii="宋体" w:eastAsia="宋体" w:hAnsi="宋体" w:cs="Times New Roman"/>
                <w:sz w:val="18"/>
                <w:szCs w:val="18"/>
              </w:rPr>
            </w:pPr>
          </w:p>
        </w:tc>
        <w:tc>
          <w:tcPr>
            <w:tcW w:w="850" w:type="dxa"/>
            <w:vAlign w:val="center"/>
          </w:tcPr>
          <w:p w14:paraId="0D3714B8">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9A2D42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3D1D2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D7D4F03">
            <w:pPr>
              <w:numPr>
                <w:ilvl w:val="0"/>
                <w:numId w:val="2"/>
              </w:numPr>
              <w:jc w:val="left"/>
              <w:rPr>
                <w:rFonts w:ascii="宋体" w:eastAsia="宋体" w:hAnsi="宋体" w:cs="Times New Roman"/>
                <w:sz w:val="18"/>
                <w:szCs w:val="18"/>
              </w:rPr>
            </w:pPr>
          </w:p>
        </w:tc>
        <w:tc>
          <w:tcPr>
            <w:tcW w:w="850" w:type="dxa"/>
            <w:vAlign w:val="center"/>
          </w:tcPr>
          <w:p w14:paraId="43393B5F">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F4C49A8">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5897A50">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3A1610C">
            <w:pPr>
              <w:numPr>
                <w:ilvl w:val="0"/>
                <w:numId w:val="2"/>
              </w:numPr>
              <w:jc w:val="left"/>
              <w:rPr>
                <w:rFonts w:ascii="宋体" w:eastAsia="宋体" w:hAnsi="宋体" w:cs="Times New Roman"/>
                <w:sz w:val="18"/>
                <w:szCs w:val="18"/>
              </w:rPr>
            </w:pPr>
          </w:p>
        </w:tc>
        <w:tc>
          <w:tcPr>
            <w:tcW w:w="850" w:type="dxa"/>
            <w:vAlign w:val="center"/>
          </w:tcPr>
          <w:p w14:paraId="5BF6DA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2044D5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0A442F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41A31EE">
            <w:pPr>
              <w:numPr>
                <w:ilvl w:val="0"/>
                <w:numId w:val="2"/>
              </w:numPr>
              <w:jc w:val="left"/>
              <w:rPr>
                <w:rFonts w:ascii="宋体" w:eastAsia="宋体" w:hAnsi="宋体" w:cs="Times New Roman"/>
                <w:sz w:val="18"/>
                <w:szCs w:val="18"/>
              </w:rPr>
            </w:pPr>
          </w:p>
        </w:tc>
        <w:tc>
          <w:tcPr>
            <w:tcW w:w="850" w:type="dxa"/>
            <w:vAlign w:val="center"/>
          </w:tcPr>
          <w:p w14:paraId="335EA406">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CD2C67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482A3684">
      <w:pPr>
        <w:spacing w:line="360" w:lineRule="auto"/>
        <w:jc w:val="left"/>
        <w:rPr>
          <w:rFonts w:ascii="Times New Roman" w:eastAsia="宋体" w:hAnsi="Times New Roman" w:cs="Times New Roman"/>
          <w:b/>
          <w:bCs/>
          <w:sz w:val="44"/>
          <w:szCs w:val="44"/>
        </w:rPr>
      </w:pPr>
    </w:p>
    <w:p w14:paraId="5248076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E199E1D">
      <w:pPr>
        <w:spacing w:line="360" w:lineRule="auto"/>
        <w:jc w:val="left"/>
        <w:rPr>
          <w:rFonts w:ascii="宋体" w:eastAsia="宋体" w:hAnsi="宋体" w:cs="微软雅黑"/>
          <w:b/>
          <w:color w:val="0000FF"/>
          <w:kern w:val="0"/>
          <w:szCs w:val="21"/>
        </w:rPr>
      </w:pPr>
    </w:p>
    <w:p w14:paraId="7C50B5B7">
      <w:pPr>
        <w:spacing w:line="360" w:lineRule="auto"/>
        <w:jc w:val="left"/>
        <w:rPr>
          <w:rFonts w:ascii="Times New Roman" w:eastAsia="宋体" w:hAnsi="Times New Roman" w:cs="Times New Roman"/>
          <w:b/>
          <w:bCs/>
          <w:sz w:val="44"/>
          <w:szCs w:val="44"/>
        </w:rPr>
      </w:pPr>
    </w:p>
    <w:p w14:paraId="51ADB79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广西壮族自治区气象技术装备中心</w:t>
      </w:r>
      <w:bookmarkEnd w:id="18"/>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2025年广西通量观测系统建设项目(高精度温室气体浓度观测系统)</w:t>
      </w:r>
      <w:bookmarkEnd w:id="19"/>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ZQCD-25455</w:t>
      </w:r>
      <w:bookmarkEnd w:id="20"/>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2" w:name="合同履约期限_contractPerformancePeriod"/>
      <w:r>
        <w:rPr>
          <w:rFonts w:ascii="宋体" w:hAnsi="宋体" w:cs="微软雅黑" w:hint="eastAsia"/>
          <w:b/>
          <w:color w:val="0000FF"/>
          <w:kern w:val="0"/>
          <w:szCs w:val="21"/>
        </w:rPr>
        <w:t>合同签订后120天内交货，180天内完成安装调试并具备验收条件</w:t>
      </w:r>
      <w:bookmarkEnd w:id="22"/>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涠洲岛、巴马、雁山、南宁、柳州、百色</w:t>
      </w:r>
      <w:bookmarkEnd w:id="23"/>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4" w:name="项目公告_signUpFirstTime"/>
      <w:r>
        <w:rPr>
          <w:rFonts w:ascii="宋体" w:eastAsia="宋体" w:hAnsi="宋体" w:cs="Times New Roman" w:hint="eastAsia"/>
          <w:szCs w:val="21"/>
          <w:highlight w:val="none"/>
        </w:rPr>
        <w:t>2025年12月05日 11:00:00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2025年12月12日 17:00:00</w:t>
      </w:r>
      <w:bookmarkEnd w:id="25"/>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6" w:name="项目公告_openBidTime"/>
      <w:r>
        <w:rPr>
          <w:rFonts w:ascii="宋体" w:eastAsia="宋体" w:hAnsi="宋体" w:cs="Times New Roman" w:hint="eastAsia"/>
          <w:bCs w:val="0"/>
          <w:szCs w:val="21"/>
          <w:highlight w:val="none"/>
        </w:rPr>
        <w:t>2025年12月18日 09:00:00</w:t>
      </w:r>
      <w:bookmarkEnd w:id="26"/>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北京市海淀区中关村南大街46号中国气象局北区8号楼4层404会议室（科技大楼前草坪西侧），届时投标人的法定代表人或其授权的投标人授权代表到场参加。</w:t>
      </w:r>
      <w:bookmarkEnd w:id="27"/>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张夏虹</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68406136</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广西壮族自治区气象技术装备中心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张喜鸿</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0771-5851119</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广西壮族自治区南宁市新竹路30号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5"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6" w:name="采购人1_recorderOrgName_0"/>
            <w:r>
              <w:rPr>
                <w:rFonts w:ascii="宋体" w:eastAsia="宋体" w:hAnsi="宋体" w:cs="微软雅黑" w:hint="eastAsia"/>
                <w:kern w:val="0"/>
                <w:szCs w:val="21"/>
              </w:rPr>
              <w:t>广西壮族自治区气象技术装备中心</w:t>
            </w:r>
            <w:bookmarkEnd w:id="36"/>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38" w:name="代理商投标_agentFlagText"/>
            <w:r>
              <w:rPr>
                <w:rFonts w:asciiTheme="minorEastAsia" w:eastAsiaTheme="minorEastAsia" w:hAnsiTheme="minorEastAsia" w:cstheme="minorEastAsia" w:hint="eastAsia"/>
                <w:kern w:val="0"/>
                <w:szCs w:val="21"/>
              </w:rPr>
              <w:t>不允许（仅针对以下产品：高精度温室气体浓度观测系统（光谱吸收法大气二氧化碳/甲烷高精度分析仪）不允许代理商响应）</w:t>
            </w:r>
            <w:bookmarkEnd w:id="38"/>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39" w:name="进口产品_agentMaterials"/>
            <w:r>
              <w:rPr>
                <w:rFonts w:ascii="宋体" w:hAnsi="宋体" w:cs="微软雅黑" w:hint="eastAsia"/>
                <w:kern w:val="0"/>
                <w:szCs w:val="21"/>
                <w:highlight w:val="none"/>
              </w:rPr>
              <w:t>无</w:t>
            </w:r>
            <w:bookmarkEnd w:id="39"/>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0" w:name="是否设有核心产品_coreFlagText"/>
            <w:r>
              <w:rPr>
                <w:rFonts w:asciiTheme="minorEastAsia" w:eastAsiaTheme="minorEastAsia" w:hAnsiTheme="minorEastAsia" w:cstheme="minorEastAsia" w:hint="eastAsia"/>
                <w:kern w:val="0"/>
                <w:szCs w:val="21"/>
              </w:rPr>
              <w:t>不设有</w:t>
            </w:r>
            <w:bookmarkEnd w:id="40"/>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1" w:name="联合体投标_jointFlagText"/>
            <w:r>
              <w:rPr>
                <w:rFonts w:asciiTheme="minorEastAsia" w:eastAsiaTheme="minorEastAsia" w:hAnsiTheme="minorEastAsia" w:cstheme="minorEastAsia" w:hint="eastAsia"/>
                <w:kern w:val="0"/>
                <w:szCs w:val="21"/>
              </w:rPr>
              <w:t>不允许</w:t>
            </w:r>
            <w:bookmarkEnd w:id="41"/>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2"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必须，以下产品需要提供至响应截止日仍有效的《气象专用技术装备使用许可证》：光谱吸收法大气二氧化碳/甲烷高精度分析仪</w:t>
            </w:r>
            <w:bookmarkEnd w:id="42"/>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3" w:name="进口产品投标_entranceFlagText"/>
            <w:r>
              <w:rPr>
                <w:rFonts w:asciiTheme="minorEastAsia" w:eastAsiaTheme="minorEastAsia" w:hAnsiTheme="minorEastAsia" w:cstheme="minorEastAsia" w:hint="eastAsia"/>
                <w:kern w:val="0"/>
                <w:szCs w:val="21"/>
              </w:rPr>
              <w:t>不允许</w:t>
            </w:r>
            <w:bookmarkEnd w:id="43"/>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标的：高精度温室气体浓度观测系统（光谱吸收法大气二氧化碳/甲烷高精度分析仪） ，属于  工业  行业；</w:t>
            </w:r>
            <w:bookmarkEnd w:id="44"/>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lang w:eastAsia="zh-CN"/>
              </w:rPr>
              <w:t>是（不接受 中小企业以联合体或合同分包方式参加）</w:t>
            </w:r>
            <w:bookmarkEnd w:id="45"/>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6" w:name="中标服务费_finalAmountText"/>
            <w:r>
              <w:rPr>
                <w:rFonts w:hint="eastAsia"/>
                <w:lang w:eastAsia="zh-CN"/>
              </w:rPr>
              <w:t>是，中标服务费：7.7万元。</w:t>
            </w:r>
            <w:bookmarkEnd w:id="46"/>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1,281.600000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1,281.600000 万元</w:t>
            </w:r>
            <w:bookmarkEnd w:id="50"/>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rPr>
              <w:t>不允许</w:t>
            </w:r>
            <w:bookmarkEnd w:id="51"/>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3" w:name="其他事项_ottherReemarks"/>
            <w:r>
              <w:rPr>
                <w:rFonts w:ascii="宋体" w:eastAsia="宋体" w:hAnsi="宋体" w:cs="微软雅黑" w:hint="eastAsia"/>
                <w:kern w:val="0"/>
                <w:szCs w:val="21"/>
              </w:rPr>
              <w:t>无</w:t>
            </w:r>
            <w:bookmarkEnd w:id="53"/>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4"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销售合同必须包括高精度温室气体浓度观测系统（光谱吸收法大气二氧化碳/甲烷高精度分析仪），每提供1份合同得1分，最多得5分。否则不得分。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针对本项目采购的高精度温室气体浓度观测系统（光谱吸收法大气二氧化碳/甲烷高精度分析仪），承诺每提前10天交货的得0.5分，最多得1分。否则不得分。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针对高精度温室气体浓度观测系统（光谱吸收法大气二氧化碳/甲烷高精度分析仪），每提供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 xml:space="preserve">一档0分 </w:t>
              <w:cr/>
              <w:t xml:space="preserve">二档1分 </w:t>
              <w:cr/>
              <w:t xml:space="preserve">三档2分 </w:t>
              <w:cr/>
              <w:t>四档4分</w:t>
            </w:r>
          </w:p>
          <w:p>
            <w:r>
              <w:t>评审标准说明：</w:t>
            </w:r>
          </w:p>
          <w:p>
            <w:r>
              <w:t xml:space="preserve">根据投标人提供的技术方案和能证明投标产品技术性能的第三方测试报告进行评分，具体评分标准如下： </w:t>
              <w:cr/>
              <w:t xml:space="preserve">一档：未提供技术方案，或者投标产品综合技术性能不能满足采购文件要求。 </w:t>
              <w:cr/>
              <w:t xml:space="preserve">二档：技术方案能按照招标文件的格式进行响应，技术响应比较浅显，缺乏针对性，投标产品综合技术性能满足采购文件要求。 </w:t>
              <w:cr/>
              <w:t xml:space="preserve">三档：技术方案基本能按照招标文件的要求进行响应，有一定针对性，基本满足采购文件的需求，投标产品综合技术性能满足且部分优于采购文件要求。  </w:t>
              <w:cr/>
              <w:t xml:space="preserve">四档：技术方案能按照招标文件的要求进行响应，详细具体，针对性强，与项目实际情况相契合，完全满足采购文件的需求，投标产品综合技术性能满足且总体上优于采购文件要求。 </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针对高精度温室气体浓度观测系统（光谱吸收法大气二氧化碳/甲烷高精度分析仪），测试报告应涵盖低温试验、高温试验、低气压试验等内容，每包含一项得1分，最多得3分。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4"/>
    </w:p>
    <w:p>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5" w:name="插入_采购需求书"/>
      <w:bookmarkStart w:id="56" w:name="插入_采购需求标题"/>
      <w:r>
        <w:rPr>
          <w:rFonts w:hint="default"/>
          <w:b/>
          <w:bCs/>
          <w:sz w:val="30"/>
          <w:szCs w:val="30"/>
        </w:rPr>
        <w:t>第七章  采购需求</w:t>
      </w:r>
      <w:bookmarkEnd w:id="56"/>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lang w:val="en-US" w:eastAsia="zh-CN"/>
        </w:rPr>
        <w:t>光谱吸收法大气二氧化碳甲烷高精度浓度观测系统</w:t>
      </w: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1381"/>
        <w:gridCol w:w="455"/>
        <w:gridCol w:w="1212"/>
        <w:gridCol w:w="5436"/>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5"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restart"/>
            <w:vAlign w:val="center"/>
          </w:tcPr>
          <w:p>
            <w:pPr>
              <w:keepNext w:val="0"/>
              <w:keepLines w:val="0"/>
              <w:widowControl/>
              <w:suppressLineNumbers w:val="0"/>
              <w:spacing w:before="0" w:beforeAutospacing="0" w:after="0" w:afterAutospacing="0" w:line="560" w:lineRule="exact"/>
              <w:ind w:left="0" w:right="0"/>
              <w:jc w:val="center"/>
              <w:rPr>
                <w:rFonts w:ascii="仿宋" w:eastAsia="仿宋" w:hAnsi="仿宋" w:cs="仿宋" w:hint="default"/>
                <w:b/>
                <w:bCs/>
                <w:sz w:val="28"/>
                <w:szCs w:val="20"/>
              </w:rPr>
            </w:pPr>
            <w:r>
              <w:rPr>
                <w:rFonts w:ascii="仿宋" w:eastAsia="仿宋" w:hAnsi="仿宋" w:cs="仿宋" w:hint="eastAsia"/>
                <w:b/>
                <w:bCs/>
                <w:kern w:val="2"/>
                <w:sz w:val="28"/>
                <w:szCs w:val="20"/>
                <w:lang w:val="en-US" w:eastAsia="zh-CN" w:bidi="ar"/>
              </w:rPr>
              <w:t>光谱吸收法大气二氧化碳甲烷高精度分析仪（光腔衰荡法）</w:t>
            </w:r>
          </w:p>
          <w:p>
            <w:pPr>
              <w:rPr>
                <w:rFonts w:ascii="仿宋" w:eastAsia="仿宋" w:hAnsi="仿宋" w:cs="仿宋" w:hint="eastAsia"/>
              </w:rPr>
            </w:pPr>
          </w:p>
        </w:tc>
        <w:tc>
          <w:tcPr>
            <w:tcW w:w="3856" w:type="pct"/>
            <w:gridSpan w:val="3"/>
            <w:vAlign w:val="center"/>
          </w:tcPr>
          <w:p>
            <w:pPr>
              <w:rPr>
                <w:rFonts w:ascii="仿宋" w:eastAsia="仿宋" w:hAnsi="仿宋" w:cs="仿宋" w:hint="eastAsia"/>
              </w:rPr>
            </w:pPr>
            <w:r>
              <w:rPr>
                <w:rFonts w:ascii="仿宋" w:eastAsia="仿宋" w:hAnsi="仿宋" w:cs="仿宋" w:hint="eastAsia"/>
                <w:sz w:val="24"/>
              </w:rPr>
              <w:t>在标气条件下（5min平均，1</w:t>
            </w:r>
            <w:r>
              <w:rPr>
                <w:rFonts w:ascii="仿宋" w:eastAsia="仿宋" w:hAnsi="仿宋" w:cs="仿宋" w:hint="eastAsia"/>
                <w:sz w:val="24"/>
              </w:rPr>
              <w:t>σ</w:t>
            </w: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浓度测量精度 &lt; 0.1</w:t>
            </w:r>
            <w:r>
              <w:rPr>
                <w:rFonts w:ascii="仿宋" w:eastAsia="仿宋" w:hAnsi="仿宋" w:cs="仿宋" w:hint="eastAsia"/>
                <w:sz w:val="24"/>
              </w:rPr>
              <w:t>μ</w:t>
            </w:r>
            <w:r>
              <w:rPr>
                <w:rFonts w:ascii="仿宋" w:eastAsia="仿宋" w:hAnsi="仿宋" w:cs="仿宋" w:hint="eastAsia"/>
                <w:sz w:val="24"/>
              </w:rPr>
              <w:t>mol/mol（ppm）  ；CH</w:t>
            </w:r>
            <w:r>
              <w:rPr>
                <w:rFonts w:ascii="仿宋" w:eastAsia="仿宋" w:hAnsi="仿宋" w:cs="仿宋" w:hint="eastAsia"/>
                <w:sz w:val="24"/>
                <w:vertAlign w:val="subscript"/>
              </w:rPr>
              <w:t>4</w:t>
            </w:r>
            <w:r>
              <w:rPr>
                <w:rFonts w:ascii="仿宋" w:eastAsia="仿宋" w:hAnsi="仿宋" w:cs="仿宋" w:hint="eastAsia"/>
                <w:sz w:val="24"/>
              </w:rPr>
              <w:t>浓度测量精度 &lt;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Align w:val="center"/>
          </w:tcPr>
          <w:p>
            <w:pPr>
              <w:rPr>
                <w:rFonts w:ascii="仿宋" w:eastAsia="仿宋" w:hAnsi="仿宋" w:cs="仿宋" w:hint="eastAsia"/>
              </w:rPr>
            </w:pPr>
            <w:r>
              <w:rPr>
                <w:rFonts w:ascii="仿宋" w:eastAsia="仿宋" w:hAnsi="仿宋" w:cs="仿宋" w:hint="eastAsia"/>
                <w:sz w:val="24"/>
              </w:rPr>
              <w:t>测量单元</w:t>
            </w:r>
          </w:p>
        </w:tc>
        <w:tc>
          <w:tcPr>
            <w:tcW w:w="657" w:type="pct"/>
            <w:vAlign w:val="center"/>
          </w:tcPr>
          <w:p>
            <w:pPr>
              <w:rPr>
                <w:rFonts w:ascii="仿宋" w:eastAsia="仿宋" w:hAnsi="仿宋" w:cs="仿宋" w:hint="eastAsia"/>
              </w:rPr>
            </w:pPr>
            <w:r>
              <w:rPr>
                <w:rFonts w:ascii="仿宋" w:eastAsia="仿宋" w:hAnsi="仿宋" w:cs="仿宋" w:hint="eastAsia"/>
                <w:sz w:val="24"/>
              </w:rPr>
              <w:t>分析主机</w:t>
            </w:r>
          </w:p>
        </w:tc>
        <w:tc>
          <w:tcPr>
            <w:tcW w:w="2951" w:type="pct"/>
            <w:vAlign w:val="center"/>
          </w:tcPr>
          <w:p>
            <w:pPr>
              <w:rPr>
                <w:rFonts w:ascii="仿宋" w:eastAsia="仿宋" w:hAnsi="仿宋" w:cs="仿宋" w:hint="eastAsia"/>
              </w:rPr>
            </w:pPr>
            <w:r>
              <w:rPr>
                <w:rFonts w:ascii="仿宋" w:eastAsia="仿宋" w:hAnsi="仿宋" w:cs="仿宋" w:hint="eastAsia"/>
                <w:sz w:val="24"/>
              </w:rPr>
              <w:t>（1）测量原理：光腔衰荡光谱法</w:t>
            </w:r>
          </w:p>
          <w:p>
            <w:pPr>
              <w:rPr>
                <w:rFonts w:ascii="仿宋" w:eastAsia="仿宋" w:hAnsi="仿宋" w:cs="仿宋" w:hint="eastAsia"/>
                <w:highlight w:val="yellow"/>
              </w:rPr>
            </w:pPr>
            <w:r>
              <w:rPr>
                <w:rFonts w:ascii="仿宋" w:eastAsia="仿宋" w:hAnsi="仿宋" w:cs="仿宋" w:hint="eastAsia"/>
                <w:sz w:val="24"/>
              </w:rPr>
              <w:t>（2）</w:t>
            </w:r>
            <w:r>
              <w:rPr>
                <w:rFonts w:ascii="仿宋" w:eastAsia="仿宋" w:hAnsi="仿宋" w:cs="仿宋" w:hint="eastAsia"/>
                <w:sz w:val="24"/>
                <w:highlight w:val="yellow"/>
              </w:rPr>
              <w:t>#精度（l</w:t>
            </w:r>
            <w:r>
              <w:rPr>
                <w:rFonts w:ascii="仿宋" w:eastAsia="仿宋" w:hAnsi="仿宋" w:cs="仿宋" w:hint="eastAsia"/>
                <w:sz w:val="24"/>
                <w:highlight w:val="yellow"/>
              </w:rPr>
              <w:t>δ</w:t>
            </w:r>
            <w:r>
              <w:rPr>
                <w:rFonts w:ascii="仿宋" w:eastAsia="仿宋" w:hAnsi="仿宋" w:cs="仿宋" w:hint="eastAsia"/>
                <w:sz w:val="24"/>
                <w:highlight w:val="yellow"/>
              </w:rPr>
              <w:t>, 5分钟）</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0.025ppm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0.22ppb</w:t>
            </w:r>
          </w:p>
          <w:p>
            <w:pPr>
              <w:rPr>
                <w:rFonts w:ascii="仿宋" w:eastAsia="仿宋" w:hAnsi="仿宋" w:cs="仿宋" w:hint="eastAsia"/>
              </w:rPr>
            </w:pPr>
            <w:r>
              <w:rPr>
                <w:rFonts w:ascii="仿宋" w:eastAsia="仿宋" w:hAnsi="仿宋" w:cs="仿宋" w:hint="eastAsia"/>
                <w:sz w:val="24"/>
              </w:rPr>
              <w:t>（3）</w:t>
            </w:r>
            <w:r>
              <w:rPr>
                <w:rFonts w:ascii="仿宋" w:eastAsia="仿宋" w:hAnsi="仿宋" w:cs="仿宋" w:hint="eastAsia"/>
                <w:sz w:val="24"/>
                <w:highlight w:val="yellow"/>
              </w:rPr>
              <w:t>#量程</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：0～1000ppm（精度保证：300ppm～700ppm）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：0～5ppm（精度保证：1ppm～3ppm）</w:t>
            </w:r>
          </w:p>
          <w:p>
            <w:pPr>
              <w:rPr>
                <w:rFonts w:ascii="仿宋" w:eastAsia="仿宋" w:hAnsi="仿宋" w:cs="仿宋" w:hint="eastAsia"/>
              </w:rPr>
            </w:pP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O：0-7%v 非冷凝（精度保证：0-3%</w:t>
            </w:r>
          </w:p>
          <w:p>
            <w:pPr>
              <w:rPr>
                <w:rFonts w:ascii="仿宋" w:eastAsia="仿宋" w:hAnsi="仿宋" w:cs="仿宋" w:hint="eastAsia"/>
              </w:rPr>
            </w:pPr>
            <w:r>
              <w:rPr>
                <w:rFonts w:ascii="仿宋" w:eastAsia="仿宋" w:hAnsi="仿宋" w:cs="仿宋" w:hint="eastAsia"/>
                <w:sz w:val="24"/>
              </w:rPr>
              <w:t>非冷凝）</w:t>
            </w:r>
          </w:p>
          <w:p>
            <w:pPr>
              <w:rPr>
                <w:rFonts w:ascii="仿宋" w:eastAsia="仿宋" w:hAnsi="仿宋" w:cs="仿宋" w:hint="eastAsia"/>
                <w:highlight w:val="yellow"/>
              </w:rPr>
            </w:pPr>
            <w:r>
              <w:rPr>
                <w:rFonts w:ascii="仿宋" w:eastAsia="仿宋" w:hAnsi="仿宋" w:cs="仿宋" w:hint="eastAsia"/>
                <w:sz w:val="24"/>
              </w:rPr>
              <w:t>（4）</w:t>
            </w:r>
            <w:r>
              <w:rPr>
                <w:rFonts w:ascii="仿宋" w:eastAsia="仿宋" w:hAnsi="仿宋" w:cs="仿宋" w:hint="eastAsia"/>
                <w:sz w:val="24"/>
                <w:highlight w:val="yellow"/>
              </w:rPr>
              <w:t>#最大漂移（标准温度压下，60分钟平均，24小时）</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1 ppb</w:t>
            </w:r>
          </w:p>
          <w:p>
            <w:pPr>
              <w:rPr>
                <w:rFonts w:ascii="仿宋" w:eastAsia="仿宋" w:hAnsi="仿宋" w:cs="仿宋" w:hint="eastAsia"/>
                <w:highlight w:val="yellow"/>
              </w:rPr>
            </w:pPr>
            <w:r>
              <w:rPr>
                <w:rFonts w:ascii="仿宋" w:eastAsia="仿宋" w:hAnsi="仿宋" w:cs="仿宋" w:hint="eastAsia"/>
                <w:sz w:val="24"/>
                <w:highlight w:val="yellow"/>
              </w:rPr>
              <w:t>（5）#线性</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1 ppb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样气采集单元</w:t>
            </w:r>
          </w:p>
        </w:tc>
        <w:tc>
          <w:tcPr>
            <w:tcW w:w="657" w:type="pct"/>
            <w:vAlign w:val="center"/>
          </w:tcPr>
          <w:p>
            <w:pPr>
              <w:rPr>
                <w:rFonts w:ascii="仿宋" w:eastAsia="仿宋" w:hAnsi="仿宋" w:cs="仿宋" w:hint="eastAsia"/>
              </w:rPr>
            </w:pPr>
            <w:r>
              <w:rPr>
                <w:rFonts w:ascii="仿宋" w:eastAsia="仿宋" w:hAnsi="仿宋" w:cs="仿宋" w:hint="eastAsia"/>
                <w:sz w:val="24"/>
              </w:rPr>
              <w:t>采样泵</w:t>
            </w:r>
          </w:p>
        </w:tc>
        <w:tc>
          <w:tcPr>
            <w:tcW w:w="2951" w:type="pct"/>
            <w:vAlign w:val="center"/>
          </w:tcPr>
          <w:p>
            <w:pPr>
              <w:rPr>
                <w:rFonts w:ascii="仿宋" w:eastAsia="仿宋" w:hAnsi="仿宋" w:cs="仿宋" w:hint="eastAsia"/>
              </w:rPr>
            </w:pPr>
            <w:r>
              <w:rPr>
                <w:rFonts w:ascii="仿宋" w:eastAsia="仿宋" w:hAnsi="仿宋" w:cs="仿宋" w:hint="eastAsia"/>
                <w:sz w:val="24"/>
              </w:rPr>
              <w:t>采样泵规格：无油隔膜式气泵</w:t>
            </w:r>
          </w:p>
          <w:p>
            <w:pPr>
              <w:rPr>
                <w:rFonts w:ascii="仿宋" w:eastAsia="仿宋" w:hAnsi="仿宋" w:cs="仿宋" w:hint="eastAsia"/>
              </w:rPr>
            </w:pPr>
            <w:r>
              <w:rPr>
                <w:rFonts w:ascii="仿宋" w:eastAsia="仿宋" w:hAnsi="仿宋" w:cs="仿宋" w:hint="eastAsia"/>
                <w:sz w:val="24"/>
              </w:rPr>
              <w:t>采样泵抽气/排气速度：＞10L/min</w:t>
            </w:r>
          </w:p>
          <w:p>
            <w:pPr>
              <w:rPr>
                <w:rFonts w:ascii="仿宋" w:eastAsia="仿宋" w:hAnsi="仿宋" w:cs="仿宋" w:hint="eastAsia"/>
              </w:rPr>
            </w:pPr>
            <w:r>
              <w:rPr>
                <w:rFonts w:ascii="仿宋" w:eastAsia="仿宋" w:hAnsi="仿宋" w:cs="仿宋" w:hint="eastAsia"/>
                <w:sz w:val="24"/>
              </w:rPr>
              <w:t>采样泵最大真空度：＞100mbar abs</w:t>
            </w:r>
          </w:p>
          <w:p>
            <w:pPr>
              <w:rPr>
                <w:rFonts w:ascii="仿宋" w:eastAsia="仿宋" w:hAnsi="仿宋" w:cs="仿宋" w:hint="eastAsia"/>
              </w:rPr>
            </w:pPr>
            <w:r>
              <w:rPr>
                <w:rFonts w:ascii="仿宋" w:eastAsia="仿宋" w:hAnsi="仿宋" w:cs="仿宋" w:hint="eastAsia"/>
                <w:sz w:val="24"/>
              </w:rPr>
              <w:t>采样泵操作压力：6.0/87.0（bar rel./psig）</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采样管</w:t>
            </w:r>
          </w:p>
        </w:tc>
        <w:tc>
          <w:tcPr>
            <w:tcW w:w="2951" w:type="pct"/>
            <w:vAlign w:val="center"/>
          </w:tcPr>
          <w:p>
            <w:pPr>
              <w:rPr>
                <w:rFonts w:ascii="仿宋" w:eastAsia="仿宋" w:hAnsi="仿宋" w:cs="仿宋" w:hint="eastAsia"/>
              </w:rPr>
            </w:pPr>
            <w:r>
              <w:rPr>
                <w:rFonts w:ascii="仿宋" w:eastAsia="仿宋" w:hAnsi="仿宋" w:cs="仿宋" w:hint="eastAsia"/>
                <w:sz w:val="24"/>
                <w:highlight w:val="yellow"/>
              </w:rPr>
              <w:t>#具有耐老化、无污染、无碳渗透的黑胶铝管（外径</w:t>
            </w:r>
            <w:r>
              <w:rPr>
                <w:rFonts w:ascii="仿宋" w:eastAsia="仿宋" w:hAnsi="仿宋" w:cs="仿宋" w:hint="eastAsia"/>
                <w:sz w:val="24"/>
                <w:highlight w:val="yellow"/>
              </w:rPr>
              <w:t>≥</w:t>
            </w:r>
            <w:r>
              <w:rPr>
                <w:rFonts w:ascii="仿宋" w:eastAsia="仿宋" w:hAnsi="仿宋" w:cs="仿宋" w:hint="eastAsia"/>
                <w:sz w:val="24"/>
                <w:highlight w:val="yellow"/>
              </w:rPr>
              <w:t>10mm）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采样口过滤器</w:t>
            </w:r>
          </w:p>
        </w:tc>
        <w:tc>
          <w:tcPr>
            <w:tcW w:w="2951" w:type="pct"/>
            <w:vAlign w:val="center"/>
          </w:tcPr>
          <w:p>
            <w:pPr>
              <w:rPr>
                <w:rFonts w:ascii="仿宋" w:eastAsia="仿宋" w:hAnsi="仿宋" w:cs="仿宋" w:hint="eastAsia"/>
              </w:rPr>
            </w:pPr>
            <w:r>
              <w:rPr>
                <w:rFonts w:ascii="仿宋" w:eastAsia="仿宋" w:hAnsi="仿宋" w:cs="仿宋" w:hint="eastAsia"/>
                <w:sz w:val="24"/>
                <w:highlight w:val="yellow"/>
              </w:rPr>
              <w:t>#过滤粒径应</w:t>
            </w:r>
            <w:r>
              <w:rPr>
                <w:rFonts w:ascii="仿宋" w:eastAsia="仿宋" w:hAnsi="仿宋" w:cs="仿宋" w:hint="eastAsia"/>
                <w:sz w:val="24"/>
                <w:highlight w:val="yellow"/>
              </w:rPr>
              <w:t>≤</w:t>
            </w:r>
            <w:r>
              <w:rPr>
                <w:rFonts w:ascii="仿宋" w:eastAsia="仿宋" w:hAnsi="仿宋" w:cs="仿宋" w:hint="eastAsia"/>
                <w:sz w:val="24"/>
                <w:highlight w:val="yellow"/>
              </w:rPr>
              <w:t>7</w:t>
            </w:r>
            <w:r>
              <w:rPr>
                <w:rFonts w:ascii="仿宋" w:eastAsia="仿宋" w:hAnsi="仿宋" w:cs="仿宋" w:hint="eastAsia"/>
                <w:sz w:val="24"/>
                <w:highlight w:val="yellow"/>
              </w:rPr>
              <w:t>μ</w:t>
            </w:r>
            <w:r>
              <w:rPr>
                <w:rFonts w:ascii="仿宋" w:eastAsia="仿宋" w:hAnsi="仿宋" w:cs="仿宋" w:hint="eastAsia"/>
                <w:sz w:val="24"/>
                <w:highlight w:val="yellow"/>
              </w:rPr>
              <w:t xml:space="preserve">m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采样泵过滤器</w:t>
            </w:r>
          </w:p>
        </w:tc>
        <w:tc>
          <w:tcPr>
            <w:tcW w:w="2951" w:type="pct"/>
            <w:vAlign w:val="center"/>
          </w:tcPr>
          <w:p>
            <w:pPr>
              <w:rPr>
                <w:rFonts w:ascii="仿宋" w:eastAsia="仿宋" w:hAnsi="仿宋" w:cs="仿宋" w:hint="eastAsia"/>
              </w:rPr>
            </w:pPr>
            <w:r>
              <w:rPr>
                <w:rFonts w:ascii="仿宋" w:eastAsia="仿宋" w:hAnsi="仿宋" w:cs="仿宋" w:hint="eastAsia"/>
                <w:sz w:val="24"/>
              </w:rPr>
              <w:t>7</w:t>
            </w:r>
            <w:r>
              <w:rPr>
                <w:rFonts w:ascii="仿宋" w:eastAsia="仿宋" w:hAnsi="仿宋" w:cs="仿宋" w:hint="eastAsia"/>
                <w:sz w:val="24"/>
              </w:rPr>
              <w:t>μ</w:t>
            </w:r>
            <w:r>
              <w:rPr>
                <w:rFonts w:ascii="仿宋" w:eastAsia="仿宋" w:hAnsi="仿宋" w:cs="仿宋" w:hint="eastAsia"/>
                <w:sz w:val="24"/>
              </w:rPr>
              <w:t>m孔径烧结过滤器</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样气处理单元</w:t>
            </w:r>
          </w:p>
        </w:tc>
        <w:tc>
          <w:tcPr>
            <w:tcW w:w="3608" w:type="pct"/>
            <w:gridSpan w:val="2"/>
            <w:vAlign w:val="center"/>
          </w:tcPr>
          <w:p>
            <w:pPr>
              <w:rPr>
                <w:rFonts w:ascii="仿宋" w:eastAsia="仿宋" w:hAnsi="仿宋" w:cs="仿宋" w:hint="eastAsia"/>
              </w:rPr>
            </w:pPr>
            <w:r>
              <w:rPr>
                <w:rFonts w:ascii="仿宋" w:eastAsia="仿宋" w:hAnsi="仿宋" w:cs="仿宋" w:hint="eastAsia"/>
                <w:sz w:val="24"/>
              </w:rPr>
              <w:t>除湿装置应对CO</w:t>
            </w:r>
            <w:r>
              <w:rPr>
                <w:rFonts w:ascii="仿宋" w:eastAsia="仿宋" w:hAnsi="仿宋" w:cs="仿宋" w:hint="eastAsia"/>
                <w:sz w:val="24"/>
                <w:vertAlign w:val="subscript"/>
              </w:rPr>
              <w:t>2</w:t>
            </w:r>
            <w:r>
              <w:rPr>
                <w:rFonts w:ascii="仿宋" w:eastAsia="仿宋" w:hAnsi="仿宋" w:cs="仿宋" w:hint="eastAsia"/>
                <w:sz w:val="24"/>
              </w:rPr>
              <w:t>等被测气体无明显吸附或污染；</w:t>
            </w:r>
          </w:p>
          <w:p>
            <w:pPr>
              <w:rPr>
                <w:rFonts w:ascii="仿宋" w:eastAsia="仿宋" w:hAnsi="仿宋" w:cs="仿宋" w:hint="eastAsia"/>
              </w:rPr>
            </w:pPr>
            <w:r>
              <w:rPr>
                <w:rFonts w:ascii="仿宋" w:eastAsia="仿宋" w:hAnsi="仿宋" w:cs="仿宋" w:hint="eastAsia"/>
                <w:sz w:val="24"/>
                <w:highlight w:val="yellow"/>
              </w:rPr>
              <w:t>#除湿后，水汽浓度应低于40ppm；</w:t>
            </w:r>
            <w:r>
              <w:rPr>
                <w:rFonts w:ascii="仿宋" w:eastAsia="仿宋" w:hAnsi="仿宋" w:cs="仿宋" w:hint="eastAsia"/>
                <w:sz w:val="24"/>
              </w:rPr>
              <w:t></w:t>
            </w:r>
            <w:r>
              <w:rPr>
                <w:rFonts w:ascii="仿宋" w:eastAsia="仿宋" w:hAnsi="仿宋" w:cs="仿宋" w:hint="eastAsia"/>
                <w:sz w:val="24"/>
              </w:rPr>
              <w:tab/>
            </w:r>
          </w:p>
          <w:p>
            <w:pPr>
              <w:rPr>
                <w:rFonts w:ascii="仿宋" w:eastAsia="仿宋" w:hAnsi="仿宋" w:cs="仿宋" w:hint="eastAsia"/>
              </w:rPr>
            </w:pPr>
            <w:r>
              <w:rPr>
                <w:rFonts w:ascii="仿宋" w:eastAsia="仿宋" w:hAnsi="仿宋" w:cs="仿宋" w:hint="eastAsia"/>
                <w:sz w:val="24"/>
              </w:rPr>
              <w:t>除湿装置应具有工作状态、温度等信息输出功能。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气体冷却器</w:t>
            </w:r>
          </w:p>
        </w:tc>
        <w:tc>
          <w:tcPr>
            <w:tcW w:w="2951" w:type="pct"/>
            <w:vAlign w:val="center"/>
          </w:tcPr>
          <w:p>
            <w:pPr>
              <w:rPr>
                <w:rFonts w:ascii="仿宋" w:eastAsia="仿宋" w:hAnsi="仿宋" w:cs="仿宋" w:hint="eastAsia"/>
              </w:rPr>
            </w:pPr>
            <w:r>
              <w:rPr>
                <w:rFonts w:ascii="仿宋" w:eastAsia="仿宋" w:hAnsi="仿宋" w:cs="仿宋" w:hint="eastAsia"/>
                <w:sz w:val="24"/>
              </w:rPr>
              <w:t>双路进气除水，通过压缩机冷却控制系统将射流热交换管稳定在恒定的露点温度，蠕动泵将冷凝液排出。</w:t>
            </w:r>
          </w:p>
          <w:p>
            <w:pPr>
              <w:rPr>
                <w:rFonts w:ascii="仿宋" w:eastAsia="仿宋" w:hAnsi="仿宋" w:cs="仿宋" w:hint="eastAsia"/>
              </w:rPr>
            </w:pPr>
            <w:r>
              <w:rPr>
                <w:rFonts w:ascii="仿宋" w:eastAsia="仿宋" w:hAnsi="仿宋" w:cs="仿宋" w:hint="eastAsia"/>
                <w:sz w:val="24"/>
              </w:rPr>
              <w:t>除湿温度应控制在1</w:t>
            </w:r>
            <w:r>
              <w:rPr>
                <w:rFonts w:ascii="仿宋" w:eastAsia="仿宋" w:hAnsi="仿宋" w:cs="仿宋" w:hint="eastAsia"/>
                <w:sz w:val="24"/>
              </w:rPr>
              <w:t>℃</w:t>
            </w: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restart"/>
            <w:vAlign w:val="center"/>
          </w:tcPr>
          <w:p>
            <w:pPr>
              <w:rPr>
                <w:rFonts w:ascii="仿宋" w:eastAsia="仿宋" w:hAnsi="仿宋" w:cs="仿宋" w:hint="eastAsia"/>
              </w:rPr>
            </w:pPr>
            <w:r>
              <w:rPr>
                <w:rFonts w:ascii="仿宋" w:eastAsia="仿宋" w:hAnsi="仿宋" w:cs="仿宋" w:hint="eastAsia"/>
                <w:sz w:val="24"/>
              </w:rPr>
              <w:t>渗透膜除水系统</w:t>
            </w:r>
          </w:p>
        </w:tc>
        <w:tc>
          <w:tcPr>
            <w:tcW w:w="2951" w:type="pct"/>
            <w:vMerge w:val="restart"/>
            <w:vAlign w:val="center"/>
          </w:tcPr>
          <w:p>
            <w:pPr>
              <w:rPr>
                <w:rFonts w:ascii="仿宋" w:eastAsia="仿宋" w:hAnsi="仿宋" w:cs="仿宋" w:hint="eastAsia"/>
              </w:rPr>
            </w:pPr>
            <w:r>
              <w:rPr>
                <w:rFonts w:ascii="仿宋" w:eastAsia="仿宋" w:hAnsi="仿宋" w:cs="仿宋" w:hint="eastAsia"/>
                <w:sz w:val="24"/>
              </w:rPr>
              <w:t>采用气体干燥管进行除湿，气体干燥管选择性渗透膜应为Nafion聚合物材料，吹扫气体应为干燥的空气或其他气体。</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ign w:val="center"/>
          </w:tcPr>
          <w:p>
            <w:pPr>
              <w:rPr>
                <w:rFonts w:ascii="仿宋" w:eastAsia="仿宋" w:hAnsi="仿宋" w:cs="仿宋" w:hint="eastAsia"/>
              </w:rPr>
            </w:pPr>
          </w:p>
        </w:tc>
        <w:tc>
          <w:tcPr>
            <w:tcW w:w="2951" w:type="pct"/>
            <w:vMerge/>
            <w:vAlign w:val="center"/>
          </w:tcPr>
          <w:p>
            <w:pPr>
              <w:rPr>
                <w:rFonts w:ascii="仿宋" w:eastAsia="仿宋" w:hAnsi="仿宋" w:cs="仿宋" w:hint="eastAsia"/>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ign w:val="center"/>
          </w:tcPr>
          <w:p>
            <w:pPr>
              <w:rPr>
                <w:rFonts w:ascii="仿宋" w:eastAsia="仿宋" w:hAnsi="仿宋" w:cs="仿宋" w:hint="eastAsia"/>
              </w:rPr>
            </w:pPr>
          </w:p>
        </w:tc>
        <w:tc>
          <w:tcPr>
            <w:tcW w:w="2951" w:type="pct"/>
            <w:vMerge/>
            <w:vAlign w:val="center"/>
          </w:tcPr>
          <w:p>
            <w:pPr>
              <w:rPr>
                <w:rFonts w:ascii="仿宋" w:eastAsia="仿宋" w:hAnsi="仿宋" w:cs="仿宋" w:hint="eastAsia"/>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超低温冷阱</w:t>
            </w:r>
          </w:p>
        </w:tc>
        <w:tc>
          <w:tcPr>
            <w:tcW w:w="2951" w:type="pct"/>
            <w:vAlign w:val="center"/>
          </w:tcPr>
          <w:p>
            <w:pPr>
              <w:rPr>
                <w:rFonts w:ascii="仿宋" w:eastAsia="仿宋" w:hAnsi="仿宋" w:cs="仿宋" w:hint="eastAsia"/>
                <w:highlight w:val="yellow"/>
              </w:rPr>
            </w:pPr>
            <w:r>
              <w:rPr>
                <w:rFonts w:ascii="仿宋" w:eastAsia="仿宋" w:hAnsi="仿宋" w:cs="仿宋" w:hint="eastAsia"/>
                <w:sz w:val="24"/>
                <w:highlight w:val="yellow"/>
              </w:rPr>
              <w:t>#除湿温度应控制在-50</w:t>
            </w:r>
            <w:r>
              <w:rPr>
                <w:rFonts w:ascii="仿宋" w:eastAsia="仿宋" w:hAnsi="仿宋" w:cs="仿宋" w:hint="eastAsia"/>
                <w:sz w:val="24"/>
                <w:highlight w:val="yellow"/>
              </w:rPr>
              <w:t>℃</w:t>
            </w:r>
            <w:r>
              <w:rPr>
                <w:rFonts w:ascii="仿宋" w:eastAsia="仿宋" w:hAnsi="仿宋" w:cs="仿宋" w:hint="eastAsia"/>
                <w:sz w:val="24"/>
                <w:highlight w:val="yellow"/>
              </w:rPr>
              <w:t>～-75</w:t>
            </w:r>
            <w:r>
              <w:rPr>
                <w:rFonts w:ascii="仿宋" w:eastAsia="仿宋" w:hAnsi="仿宋" w:cs="仿宋" w:hint="eastAsia"/>
                <w:sz w:val="24"/>
                <w:highlight w:val="yellow"/>
              </w:rPr>
              <w:t>℃</w:t>
            </w:r>
            <w:r>
              <w:rPr>
                <w:rFonts w:ascii="仿宋" w:eastAsia="仿宋" w:hAnsi="仿宋" w:cs="仿宋" w:hint="eastAsia"/>
                <w:sz w:val="24"/>
                <w:highlight w:val="yellow"/>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室内管路及接头</w:t>
            </w:r>
          </w:p>
        </w:tc>
        <w:tc>
          <w:tcPr>
            <w:tcW w:w="2951" w:type="pct"/>
            <w:vAlign w:val="center"/>
          </w:tcPr>
          <w:p>
            <w:pPr>
              <w:rPr>
                <w:rFonts w:ascii="仿宋" w:eastAsia="仿宋" w:hAnsi="仿宋" w:cs="仿宋" w:hint="eastAsia"/>
              </w:rPr>
            </w:pPr>
            <w:r>
              <w:rPr>
                <w:rFonts w:ascii="仿宋" w:eastAsia="仿宋" w:hAnsi="仿宋" w:cs="仿宋" w:hint="eastAsia"/>
                <w:sz w:val="24"/>
              </w:rPr>
              <w:t>进气管线为1/4in不锈钢管和铝塑管，标气管线为应使用316/316L无缝不锈钢管（外径</w:t>
            </w:r>
            <w:r>
              <w:rPr>
                <w:rFonts w:ascii="仿宋" w:eastAsia="仿宋" w:hAnsi="仿宋" w:cs="仿宋" w:hint="eastAsia"/>
                <w:sz w:val="24"/>
              </w:rPr>
              <w:t>≤</w:t>
            </w:r>
            <w:r>
              <w:rPr>
                <w:rFonts w:ascii="仿宋" w:eastAsia="仿宋" w:hAnsi="仿宋" w:cs="仿宋" w:hint="eastAsia"/>
                <w:sz w:val="24"/>
              </w:rPr>
              <w:t>1/8in）。</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Align w:val="center"/>
          </w:tcPr>
          <w:p>
            <w:pPr>
              <w:rPr>
                <w:rFonts w:ascii="仿宋" w:eastAsia="仿宋" w:hAnsi="仿宋" w:cs="仿宋" w:hint="eastAsia"/>
              </w:rPr>
            </w:pPr>
            <w:r>
              <w:rPr>
                <w:rFonts w:ascii="仿宋" w:eastAsia="仿宋" w:hAnsi="仿宋" w:cs="仿宋" w:hint="eastAsia"/>
                <w:sz w:val="24"/>
              </w:rPr>
              <w:t>样气选择单元</w:t>
            </w:r>
          </w:p>
        </w:tc>
        <w:tc>
          <w:tcPr>
            <w:tcW w:w="657" w:type="pct"/>
            <w:vAlign w:val="center"/>
          </w:tcPr>
          <w:p>
            <w:pPr>
              <w:rPr>
                <w:rFonts w:ascii="仿宋" w:eastAsia="仿宋" w:hAnsi="仿宋" w:cs="仿宋" w:hint="eastAsia"/>
              </w:rPr>
            </w:pPr>
            <w:r>
              <w:rPr>
                <w:rFonts w:ascii="仿宋" w:eastAsia="仿宋" w:hAnsi="仿宋" w:cs="仿宋" w:hint="eastAsia"/>
                <w:sz w:val="24"/>
              </w:rPr>
              <w:t>进样阀箱</w:t>
            </w:r>
          </w:p>
        </w:tc>
        <w:tc>
          <w:tcPr>
            <w:tcW w:w="2951" w:type="pct"/>
            <w:vAlign w:val="center"/>
          </w:tcPr>
          <w:p>
            <w:pPr>
              <w:rPr>
                <w:rFonts w:ascii="仿宋" w:eastAsia="仿宋" w:hAnsi="仿宋" w:cs="仿宋" w:hint="eastAsia"/>
              </w:rPr>
            </w:pPr>
            <w:r>
              <w:rPr>
                <w:rFonts w:ascii="仿宋" w:eastAsia="仿宋" w:hAnsi="仿宋" w:cs="仿宋" w:hint="eastAsia"/>
                <w:sz w:val="24"/>
              </w:rPr>
              <w:t>包括质量流量控制器、样气选择模块（可选用电磁阀或多口阀等）。</w:t>
            </w:r>
          </w:p>
          <w:p>
            <w:pPr>
              <w:rPr>
                <w:rFonts w:ascii="仿宋" w:eastAsia="仿宋" w:hAnsi="仿宋" w:cs="仿宋" w:hint="eastAsia"/>
              </w:rPr>
            </w:pPr>
            <w:r>
              <w:rPr>
                <w:rFonts w:ascii="仿宋" w:eastAsia="仿宋" w:hAnsi="仿宋" w:cs="仿宋" w:hint="eastAsia"/>
                <w:sz w:val="24"/>
              </w:rPr>
              <w:t>选择阀：应使用对CO</w:t>
            </w:r>
            <w:r>
              <w:rPr>
                <w:rFonts w:ascii="仿宋" w:eastAsia="仿宋" w:hAnsi="仿宋" w:cs="仿宋" w:hint="eastAsia"/>
                <w:sz w:val="24"/>
                <w:vertAlign w:val="subscript"/>
              </w:rPr>
              <w:t>2</w:t>
            </w:r>
            <w:r>
              <w:rPr>
                <w:rFonts w:ascii="仿宋" w:eastAsia="仿宋" w:hAnsi="仿宋" w:cs="仿宋" w:hint="eastAsia"/>
                <w:sz w:val="24"/>
              </w:rPr>
              <w:t>等被测气体无明显吸附、无污染和反应作用的不锈钢材质，不同气路切换时应无漏气和交叉污染；具有通讯接口，可程控切换。</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标气单元</w:t>
            </w:r>
          </w:p>
          <w:p>
            <w:pPr>
              <w:jc w:val="cente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气瓶</w:t>
            </w:r>
          </w:p>
        </w:tc>
        <w:tc>
          <w:tcPr>
            <w:tcW w:w="2951" w:type="pct"/>
            <w:vAlign w:val="center"/>
          </w:tcPr>
          <w:p>
            <w:pPr>
              <w:rPr>
                <w:rFonts w:ascii="仿宋" w:eastAsia="仿宋" w:hAnsi="仿宋" w:cs="仿宋" w:hint="eastAsia"/>
              </w:rPr>
            </w:pPr>
            <w:r>
              <w:rPr>
                <w:rFonts w:ascii="仿宋" w:eastAsia="仿宋" w:hAnsi="仿宋" w:cs="仿宋" w:hint="eastAsia"/>
                <w:sz w:val="24"/>
              </w:rPr>
              <w:t>内抛光专用铝合金气瓶，最高耐压不低于3500psi。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高精度减压阀</w:t>
            </w:r>
          </w:p>
        </w:tc>
        <w:tc>
          <w:tcPr>
            <w:tcW w:w="2951" w:type="pct"/>
            <w:vAlign w:val="center"/>
          </w:tcPr>
          <w:p>
            <w:pPr>
              <w:rPr>
                <w:rFonts w:ascii="仿宋" w:eastAsia="仿宋" w:hAnsi="仿宋" w:cs="仿宋" w:hint="eastAsia"/>
              </w:rPr>
            </w:pPr>
            <w:r>
              <w:rPr>
                <w:rFonts w:ascii="仿宋" w:eastAsia="仿宋" w:hAnsi="仿宋" w:cs="仿宋" w:hint="eastAsia"/>
                <w:sz w:val="24"/>
              </w:rPr>
              <w:t>不锈钢或黄铜镀镍层材质，不锈钢横膈膜；输入压力范围：0～3000psi，输出压力范围：0～100psi。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混合标气（不含瓶）</w:t>
            </w:r>
          </w:p>
        </w:tc>
        <w:tc>
          <w:tcPr>
            <w:tcW w:w="2951" w:type="pct"/>
            <w:vAlign w:val="center"/>
          </w:tcPr>
          <w:p>
            <w:pPr>
              <w:rPr>
                <w:rFonts w:ascii="仿宋" w:eastAsia="仿宋" w:hAnsi="仿宋" w:cs="仿宋" w:hint="eastAsia"/>
                <w:highlight w:val="yellow"/>
              </w:rPr>
            </w:pPr>
            <w:r>
              <w:rPr>
                <w:rFonts w:ascii="仿宋" w:eastAsia="仿宋" w:hAnsi="仿宋" w:cs="仿宋" w:hint="eastAsia"/>
                <w:sz w:val="24"/>
                <w:highlight w:val="yellow"/>
              </w:rPr>
              <w:t>#应溯源至气象部门最高计量标准，并经过国家气象计量站审核认证。</w:t>
            </w:r>
          </w:p>
          <w:p>
            <w:pPr>
              <w:rPr>
                <w:rFonts w:ascii="仿宋" w:eastAsia="仿宋" w:hAnsi="仿宋" w:cs="仿宋" w:hint="eastAsia"/>
              </w:rPr>
            </w:pPr>
            <w:r>
              <w:rPr>
                <w:rFonts w:ascii="仿宋" w:eastAsia="仿宋" w:hAnsi="仿宋" w:cs="仿宋" w:hint="eastAsia"/>
                <w:sz w:val="24"/>
              </w:rPr>
              <w:t>高浓度与低浓度工作标气：以自然大气为底气，CO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等浓度应涵盖观测点大气CO</w:t>
            </w:r>
            <w:r>
              <w:rPr>
                <w:rFonts w:ascii="仿宋" w:eastAsia="仿宋" w:hAnsi="仿宋" w:cs="仿宋" w:hint="eastAsia"/>
                <w:sz w:val="24"/>
                <w:vertAlign w:val="subscript"/>
              </w:rPr>
              <w:t>2</w:t>
            </w:r>
            <w:r>
              <w:rPr>
                <w:rFonts w:ascii="仿宋" w:eastAsia="仿宋" w:hAnsi="仿宋" w:cs="仿宋" w:hint="eastAsia"/>
                <w:sz w:val="24"/>
              </w:rPr>
              <w:t>等浓度变化范围。标气水气含量</w:t>
            </w:r>
            <w:r>
              <w:rPr>
                <w:rFonts w:ascii="仿宋" w:eastAsia="仿宋" w:hAnsi="仿宋" w:cs="仿宋" w:hint="eastAsia"/>
                <w:sz w:val="24"/>
              </w:rPr>
              <w:t>≤</w:t>
            </w:r>
            <w:r>
              <w:rPr>
                <w:rFonts w:ascii="仿宋" w:eastAsia="仿宋" w:hAnsi="仿宋" w:cs="仿宋" w:hint="eastAsia"/>
                <w:sz w:val="24"/>
              </w:rPr>
              <w:t>5ppm。</w:t>
            </w:r>
          </w:p>
          <w:p>
            <w:pPr>
              <w:rPr>
                <w:rFonts w:ascii="仿宋" w:eastAsia="仿宋" w:hAnsi="仿宋" w:cs="仿宋" w:hint="eastAsia"/>
              </w:rPr>
            </w:pPr>
            <w:r>
              <w:rPr>
                <w:rFonts w:ascii="仿宋" w:eastAsia="仿宋" w:hAnsi="仿宋" w:cs="仿宋" w:hint="eastAsia"/>
                <w:sz w:val="24"/>
              </w:rPr>
              <w:t>目标标气：以自然大气为底气，CO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等浓度应接近观测点大气CO</w:t>
            </w:r>
            <w:r>
              <w:rPr>
                <w:rFonts w:ascii="仿宋" w:eastAsia="仿宋" w:hAnsi="仿宋" w:cs="仿宋" w:hint="eastAsia"/>
                <w:sz w:val="24"/>
                <w:vertAlign w:val="subscript"/>
              </w:rPr>
              <w:t>2</w:t>
            </w:r>
            <w:r>
              <w:rPr>
                <w:rFonts w:ascii="仿宋" w:eastAsia="仿宋" w:hAnsi="仿宋" w:cs="仿宋" w:hint="eastAsia"/>
                <w:sz w:val="24"/>
              </w:rPr>
              <w:t>等平均浓度。</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气瓶架</w:t>
            </w:r>
          </w:p>
        </w:tc>
        <w:tc>
          <w:tcPr>
            <w:tcW w:w="2951" w:type="pct"/>
            <w:vAlign w:val="center"/>
          </w:tcPr>
          <w:p>
            <w:pPr>
              <w:rPr>
                <w:rFonts w:ascii="仿宋" w:eastAsia="仿宋" w:hAnsi="仿宋" w:cs="仿宋" w:hint="eastAsia"/>
              </w:rPr>
            </w:pPr>
            <w:r>
              <w:rPr>
                <w:rFonts w:ascii="仿宋" w:eastAsia="仿宋" w:hAnsi="仿宋" w:cs="仿宋" w:hint="eastAsia"/>
                <w:sz w:val="24"/>
              </w:rPr>
              <w:t>（三瓶横置）宽深高100</w:t>
            </w:r>
            <w:r>
              <w:rPr>
                <w:rFonts w:ascii="仿宋" w:eastAsia="仿宋" w:hAnsi="仿宋" w:cs="仿宋" w:hint="eastAsia"/>
                <w:sz w:val="24"/>
              </w:rPr>
              <w:t>×</w:t>
            </w:r>
            <w:r>
              <w:rPr>
                <w:rFonts w:ascii="仿宋" w:eastAsia="仿宋" w:hAnsi="仿宋" w:cs="仿宋" w:hint="eastAsia"/>
                <w:sz w:val="24"/>
              </w:rPr>
              <w:t>40</w:t>
            </w:r>
            <w:r>
              <w:rPr>
                <w:rFonts w:ascii="仿宋" w:eastAsia="仿宋" w:hAnsi="仿宋" w:cs="仿宋" w:hint="eastAsia"/>
                <w:sz w:val="24"/>
              </w:rPr>
              <w:t>×</w:t>
            </w:r>
            <w:r>
              <w:rPr>
                <w:rFonts w:ascii="仿宋" w:eastAsia="仿宋" w:hAnsi="仿宋" w:cs="仿宋" w:hint="eastAsia"/>
                <w:sz w:val="24"/>
              </w:rPr>
              <w:t>120cm。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数据采集与处理单元</w:t>
            </w:r>
          </w:p>
        </w:tc>
        <w:tc>
          <w:tcPr>
            <w:tcW w:w="3608" w:type="pct"/>
            <w:gridSpan w:val="2"/>
            <w:vAlign w:val="center"/>
          </w:tcPr>
          <w:p>
            <w:pPr>
              <w:rPr>
                <w:rFonts w:ascii="仿宋" w:eastAsia="仿宋" w:hAnsi="仿宋" w:cs="仿宋" w:hint="eastAsia"/>
              </w:rPr>
            </w:pPr>
            <w:r>
              <w:rPr>
                <w:rFonts w:ascii="仿宋" w:eastAsia="仿宋" w:hAnsi="仿宋" w:cs="仿宋" w:hint="eastAsia"/>
                <w:sz w:val="24"/>
              </w:rPr>
              <w:t>具备自动控制样气选择单元，并可设定样气种类、进气顺序和时长等，实现阀位的自动切换。</w:t>
            </w:r>
          </w:p>
          <w:p>
            <w:pPr>
              <w:rPr>
                <w:rFonts w:ascii="仿宋" w:eastAsia="仿宋" w:hAnsi="仿宋" w:cs="仿宋" w:hint="eastAsia"/>
              </w:rPr>
            </w:pPr>
            <w:r>
              <w:rPr>
                <w:rFonts w:ascii="仿宋" w:eastAsia="仿宋" w:hAnsi="仿宋" w:cs="仿宋" w:hint="eastAsia"/>
                <w:sz w:val="24"/>
              </w:rPr>
              <w:t>具有小时数据存贮、打包、上传及实时显示等功能。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工控机</w:t>
            </w:r>
          </w:p>
        </w:tc>
        <w:tc>
          <w:tcPr>
            <w:tcW w:w="2951" w:type="pct"/>
            <w:vAlign w:val="center"/>
          </w:tcPr>
          <w:p>
            <w:pPr>
              <w:rPr>
                <w:rFonts w:ascii="仿宋" w:eastAsia="仿宋" w:hAnsi="仿宋" w:cs="仿宋" w:hint="eastAsia"/>
              </w:rPr>
            </w:pPr>
            <w:r>
              <w:rPr>
                <w:rFonts w:ascii="仿宋" w:eastAsia="仿宋" w:hAnsi="仿宋" w:cs="仿宋" w:hint="eastAsia"/>
                <w:sz w:val="24"/>
              </w:rPr>
              <w:t>CPU主频：3GHz或更高。</w:t>
            </w:r>
          </w:p>
          <w:p>
            <w:pPr>
              <w:rPr>
                <w:rFonts w:ascii="仿宋" w:eastAsia="仿宋" w:hAnsi="仿宋" w:cs="仿宋" w:hint="eastAsia"/>
              </w:rPr>
            </w:pPr>
            <w:r>
              <w:rPr>
                <w:rFonts w:ascii="仿宋" w:eastAsia="仿宋" w:hAnsi="仿宋" w:cs="仿宋" w:hint="eastAsia"/>
                <w:sz w:val="24"/>
              </w:rPr>
              <w:t>内存容量：4G或更高。</w:t>
            </w:r>
          </w:p>
          <w:p>
            <w:pPr>
              <w:rPr>
                <w:rFonts w:ascii="仿宋" w:eastAsia="仿宋" w:hAnsi="仿宋" w:cs="仿宋" w:hint="eastAsia"/>
              </w:rPr>
            </w:pPr>
            <w:r>
              <w:rPr>
                <w:rFonts w:ascii="仿宋" w:eastAsia="仿宋" w:hAnsi="仿宋" w:cs="仿宋" w:hint="eastAsia"/>
                <w:sz w:val="24"/>
              </w:rPr>
              <w:t>硬盘容量：机械500G或更高。</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监测报警系统</w:t>
            </w:r>
          </w:p>
        </w:tc>
        <w:tc>
          <w:tcPr>
            <w:tcW w:w="2951" w:type="pct"/>
            <w:vAlign w:val="center"/>
          </w:tcPr>
          <w:p>
            <w:pPr>
              <w:rPr>
                <w:rFonts w:ascii="仿宋" w:eastAsia="仿宋" w:hAnsi="仿宋" w:cs="仿宋" w:hint="eastAsia"/>
              </w:rPr>
            </w:pPr>
            <w:r>
              <w:rPr>
                <w:rFonts w:ascii="仿宋" w:eastAsia="仿宋" w:hAnsi="仿宋" w:cs="仿宋" w:hint="eastAsia"/>
                <w:sz w:val="24"/>
              </w:rPr>
              <w:t>具有气瓶压力、样气流量、阀位信息、除湿装置运行信息等采集、存贮及异常报警功能。</w:t>
            </w:r>
          </w:p>
          <w:p>
            <w:pPr>
              <w:rPr>
                <w:rFonts w:ascii="仿宋" w:eastAsia="仿宋" w:hAnsi="仿宋" w:cs="仿宋" w:hint="eastAsia"/>
              </w:rPr>
            </w:pPr>
            <w:r>
              <w:rPr>
                <w:rFonts w:ascii="仿宋" w:eastAsia="仿宋" w:hAnsi="仿宋" w:cs="仿宋" w:hint="eastAsia"/>
                <w:sz w:val="24"/>
              </w:rPr>
              <w:t>具有观测系统运行监控与报警功能。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机柜</w:t>
            </w:r>
          </w:p>
        </w:tc>
        <w:tc>
          <w:tcPr>
            <w:tcW w:w="2951" w:type="pct"/>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宽600</w:t>
            </w:r>
            <w:r>
              <w:rPr>
                <w:rFonts w:ascii="仿宋" w:eastAsia="仿宋" w:hAnsi="仿宋" w:cs="仿宋" w:hint="eastAsia"/>
                <w:sz w:val="24"/>
              </w:rPr>
              <w:t>×</w:t>
            </w:r>
            <w:r>
              <w:rPr>
                <w:rFonts w:ascii="仿宋" w:eastAsia="仿宋" w:hAnsi="仿宋" w:cs="仿宋" w:hint="eastAsia"/>
                <w:sz w:val="24"/>
              </w:rPr>
              <w:t>深1000</w:t>
            </w:r>
            <w:r>
              <w:rPr>
                <w:rFonts w:ascii="仿宋" w:eastAsia="仿宋" w:hAnsi="仿宋" w:cs="仿宋" w:hint="eastAsia"/>
                <w:sz w:val="24"/>
              </w:rPr>
              <w:t>×</w:t>
            </w:r>
            <w:r>
              <w:rPr>
                <w:rFonts w:ascii="仿宋" w:eastAsia="仿宋" w:hAnsi="仿宋" w:cs="仿宋" w:hint="eastAsia"/>
                <w:sz w:val="24"/>
              </w:rPr>
              <w:t>高2000mm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三维超声风速观测系统</w:t>
            </w:r>
          </w:p>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三维超声传感器</w:t>
            </w:r>
          </w:p>
        </w:tc>
        <w:tc>
          <w:tcPr>
            <w:tcW w:w="2951" w:type="pct"/>
            <w:vAlign w:val="center"/>
          </w:tcPr>
          <w:p>
            <w:pPr>
              <w:rPr>
                <w:rFonts w:ascii="仿宋" w:eastAsia="仿宋" w:hAnsi="仿宋" w:cs="仿宋" w:hint="eastAsia"/>
              </w:rPr>
            </w:pPr>
            <w:r>
              <w:rPr>
                <w:rFonts w:ascii="仿宋" w:eastAsia="仿宋" w:hAnsi="仿宋" w:cs="仿宋" w:hint="eastAsia"/>
                <w:sz w:val="24"/>
              </w:rPr>
              <w:t>水平风速：范围0～40.0m/s；分辨力0.01m/s；最大允许误差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hint="eastAsia"/>
              </w:rPr>
            </w:pPr>
            <w:r>
              <w:rPr>
                <w:rFonts w:ascii="仿宋" w:eastAsia="仿宋" w:hAnsi="仿宋" w:cs="仿宋" w:hint="eastAsia"/>
                <w:sz w:val="24"/>
              </w:rPr>
              <w:t>垂直风速：范围0～8.0m/s；分辨力0.01m/s；最大允许误差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hint="eastAsia"/>
              </w:rPr>
            </w:pPr>
            <w:r>
              <w:rPr>
                <w:rFonts w:ascii="仿宋" w:eastAsia="仿宋" w:hAnsi="仿宋" w:cs="仿宋" w:hint="eastAsia"/>
                <w:sz w:val="24"/>
              </w:rPr>
              <w:t>超声虚温；范围0～50</w:t>
            </w:r>
            <w:r>
              <w:rPr>
                <w:rFonts w:ascii="仿宋" w:eastAsia="仿宋" w:hAnsi="仿宋" w:cs="仿宋" w:hint="eastAsia"/>
                <w:sz w:val="24"/>
              </w:rPr>
              <w:t>℃</w:t>
            </w:r>
            <w:r>
              <w:rPr>
                <w:rFonts w:ascii="仿宋" w:eastAsia="仿宋" w:hAnsi="仿宋" w:cs="仿宋" w:hint="eastAsia"/>
                <w:sz w:val="24"/>
              </w:rPr>
              <w:t>；分辨力0.01</w:t>
            </w:r>
            <w:r>
              <w:rPr>
                <w:rFonts w:ascii="仿宋" w:eastAsia="仿宋" w:hAnsi="仿宋" w:cs="仿宋" w:hint="eastAsia"/>
                <w:sz w:val="24"/>
              </w:rPr>
              <w:t>℃</w:t>
            </w:r>
            <w:r>
              <w:rPr>
                <w:rFonts w:ascii="仿宋" w:eastAsia="仿宋" w:hAnsi="仿宋" w:cs="仿宋" w:hint="eastAsia"/>
                <w:sz w:val="24"/>
              </w:rPr>
              <w:t>，最大允许误差</w:t>
            </w: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测量速率：1Hz～60Hz（可选）。</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供电单元</w:t>
            </w:r>
          </w:p>
        </w:tc>
        <w:tc>
          <w:tcPr>
            <w:tcW w:w="2951" w:type="pct"/>
            <w:vAlign w:val="center"/>
          </w:tcPr>
          <w:p>
            <w:pPr>
              <w:rPr>
                <w:rFonts w:ascii="仿宋" w:eastAsia="仿宋" w:hAnsi="仿宋" w:cs="仿宋" w:hint="eastAsia"/>
              </w:rPr>
            </w:pPr>
            <w:r>
              <w:rPr>
                <w:rFonts w:ascii="仿宋" w:eastAsia="仿宋" w:hAnsi="仿宋" w:cs="仿宋" w:hint="eastAsia"/>
                <w:sz w:val="24"/>
              </w:rPr>
              <w:t>配置电源过压、过载和漏电保护装置，并有良好的接地线路。</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配套设施</w:t>
            </w:r>
          </w:p>
        </w:tc>
        <w:tc>
          <w:tcPr>
            <w:tcW w:w="657" w:type="pct"/>
            <w:vAlign w:val="center"/>
          </w:tcPr>
          <w:p>
            <w:pPr>
              <w:rPr>
                <w:rFonts w:ascii="仿宋" w:eastAsia="仿宋" w:hAnsi="仿宋" w:cs="仿宋" w:hint="eastAsia"/>
              </w:rPr>
            </w:pPr>
            <w:r>
              <w:rPr>
                <w:rFonts w:ascii="仿宋" w:eastAsia="仿宋" w:hAnsi="仿宋" w:cs="仿宋" w:hint="eastAsia"/>
                <w:sz w:val="24"/>
              </w:rPr>
              <w:t>采样塔</w:t>
            </w:r>
          </w:p>
        </w:tc>
        <w:tc>
          <w:tcPr>
            <w:tcW w:w="2951" w:type="pct"/>
            <w:vAlign w:val="center"/>
          </w:tcPr>
          <w:p>
            <w:pPr>
              <w:rPr>
                <w:rFonts w:ascii="仿宋" w:eastAsia="仿宋" w:hAnsi="仿宋" w:cs="仿宋" w:hint="eastAsia"/>
              </w:rPr>
            </w:pPr>
            <w:r>
              <w:rPr>
                <w:rFonts w:ascii="仿宋" w:eastAsia="仿宋" w:hAnsi="仿宋" w:cs="仿宋" w:hint="eastAsia"/>
                <w:sz w:val="24"/>
              </w:rPr>
              <w:t>（1）大气采样塔主要用于安装温室气体观测系统的采样管、常规气象要素和三维超声风速仪等观测设备或设施。</w:t>
            </w:r>
          </w:p>
          <w:p>
            <w:pPr>
              <w:rPr>
                <w:rFonts w:ascii="仿宋" w:eastAsia="仿宋" w:hAnsi="仿宋" w:cs="仿宋" w:hint="eastAsia"/>
                <w:highlight w:val="yellow"/>
              </w:rPr>
            </w:pPr>
            <w:r>
              <w:rPr>
                <w:rFonts w:ascii="仿宋" w:eastAsia="仿宋" w:hAnsi="仿宋" w:cs="仿宋" w:hint="eastAsia"/>
                <w:sz w:val="24"/>
              </w:rPr>
              <w:t>（2）根据站点的地理环境和下垫面条件单独建设。可选用拉线塔或自立塔，</w:t>
            </w:r>
            <w:r>
              <w:rPr>
                <w:rFonts w:ascii="仿宋" w:eastAsia="仿宋" w:hAnsi="仿宋" w:cs="仿宋" w:hint="eastAsia"/>
                <w:sz w:val="24"/>
                <w:highlight w:val="yellow"/>
              </w:rPr>
              <w:t>#塔身有效高度应能满足采样管进气口高出下垫面冠层至少30m的要求。</w:t>
            </w:r>
          </w:p>
          <w:p>
            <w:pPr>
              <w:rPr>
                <w:rFonts w:ascii="仿宋" w:eastAsia="仿宋" w:hAnsi="仿宋" w:cs="仿宋" w:hint="eastAsia"/>
              </w:rPr>
            </w:pPr>
            <w:r>
              <w:rPr>
                <w:rFonts w:ascii="仿宋" w:eastAsia="仿宋" w:hAnsi="仿宋" w:cs="仿宋" w:hint="eastAsia"/>
                <w:sz w:val="24"/>
              </w:rPr>
              <w:t>（3）具有较强的抗震能力，抗震烈度不低于8度，塔体不产生永久形变，设计使用寿命不小于20年。</w:t>
            </w:r>
          </w:p>
          <w:p>
            <w:pPr>
              <w:rPr>
                <w:rFonts w:ascii="仿宋" w:eastAsia="仿宋" w:hAnsi="仿宋" w:cs="仿宋" w:hint="eastAsia"/>
              </w:rPr>
            </w:pPr>
            <w:r>
              <w:rPr>
                <w:rFonts w:ascii="仿宋" w:eastAsia="仿宋" w:hAnsi="仿宋" w:cs="仿宋" w:hint="eastAsia"/>
                <w:sz w:val="24"/>
              </w:rPr>
              <w:t>（4）观测塔所有材料的质量符合国家标准，塔架制作工艺和质量必须符合国家相关行业规定（如焊接、镀锌等），同时满足相关观测的要求。</w:t>
            </w:r>
          </w:p>
          <w:p>
            <w:pPr>
              <w:rPr>
                <w:rFonts w:ascii="仿宋" w:eastAsia="仿宋" w:hAnsi="仿宋" w:cs="仿宋" w:hint="eastAsia"/>
              </w:rPr>
            </w:pPr>
            <w:r>
              <w:rPr>
                <w:rFonts w:ascii="仿宋" w:eastAsia="仿宋" w:hAnsi="仿宋" w:cs="仿宋" w:hint="eastAsia"/>
                <w:sz w:val="24"/>
              </w:rPr>
              <w:t>（5）观测塔各构件间的连接坚固，防腐工艺采用热镀锌处理，并具较强的抗腐蚀、抗锈蚀和抗风能力。</w:t>
            </w:r>
          </w:p>
          <w:p>
            <w:pPr>
              <w:rPr>
                <w:rFonts w:ascii="仿宋" w:eastAsia="仿宋" w:hAnsi="仿宋" w:cs="仿宋" w:hint="eastAsia"/>
              </w:rPr>
            </w:pPr>
            <w:r>
              <w:rPr>
                <w:rFonts w:ascii="仿宋" w:eastAsia="仿宋" w:hAnsi="仿宋" w:cs="仿宋" w:hint="eastAsia"/>
                <w:sz w:val="24"/>
              </w:rPr>
              <w:t>（6）观测塔结构尽可能减小塔体对气流的阻挡，建议采用通风性能良好的格构式结构。</w:t>
            </w:r>
          </w:p>
          <w:p>
            <w:pPr>
              <w:rPr>
                <w:rFonts w:ascii="仿宋" w:eastAsia="仿宋" w:hAnsi="仿宋" w:cs="仿宋" w:hint="eastAsia"/>
              </w:rPr>
            </w:pPr>
            <w:r>
              <w:rPr>
                <w:rFonts w:ascii="仿宋" w:eastAsia="仿宋" w:hAnsi="仿宋" w:cs="仿宋" w:hint="eastAsia"/>
                <w:sz w:val="24"/>
              </w:rPr>
              <w:t>（7）观测塔的安装符合防雷电及接地装置的相关标准要求，接地电阻小于4</w:t>
            </w:r>
            <w:r>
              <w:rPr>
                <w:rFonts w:ascii="仿宋" w:eastAsia="仿宋" w:hAnsi="仿宋" w:cs="仿宋" w:hint="eastAsia"/>
                <w:sz w:val="24"/>
              </w:rPr>
              <w:t>Ω</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（8）观测塔爬梯有安全防护措施，配有上塔安全防护装备，并应设有醒目、安全、合理的警示牌。</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方舱</w:t>
            </w:r>
          </w:p>
        </w:tc>
        <w:tc>
          <w:tcPr>
            <w:tcW w:w="2951" w:type="pct"/>
            <w:vAlign w:val="center"/>
          </w:tcPr>
          <w:p>
            <w:pPr>
              <w:rPr>
                <w:rFonts w:ascii="仿宋" w:eastAsia="仿宋" w:hAnsi="仿宋" w:cs="仿宋" w:hint="eastAsia"/>
              </w:rPr>
            </w:pPr>
            <w:r>
              <w:rPr>
                <w:rFonts w:ascii="仿宋" w:eastAsia="仿宋" w:hAnsi="仿宋" w:cs="仿宋" w:hint="eastAsia"/>
                <w:sz w:val="24"/>
              </w:rPr>
              <w:t>（1）观测室主要用于安装温室气体观测系统，观测室的面积应能保证观测仪器设备的安装、运行以及操作等，并预留一定的仪器检修、校准和未来发展的空间；一般情况下，观测室面积不小于6m</w:t>
            </w:r>
            <w:r>
              <w:rPr>
                <w:rFonts w:ascii="仿宋" w:eastAsia="仿宋" w:hAnsi="仿宋" w:cs="仿宋" w:hint="eastAsia"/>
                <w:sz w:val="24"/>
                <w:vertAlign w:val="superscript"/>
              </w:rPr>
              <w:t>2</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（2）观测室入口处宜设有缓冲区域或空间，以保持温度和湿度的稳定，防止灰尘和泥土直接带入观测室。</w:t>
            </w:r>
          </w:p>
          <w:p>
            <w:pPr>
              <w:rPr>
                <w:rFonts w:ascii="仿宋" w:eastAsia="仿宋" w:hAnsi="仿宋" w:cs="仿宋" w:hint="eastAsia"/>
              </w:rPr>
            </w:pPr>
            <w:r>
              <w:rPr>
                <w:rFonts w:ascii="仿宋" w:eastAsia="仿宋" w:hAnsi="仿宋" w:cs="仿宋" w:hint="eastAsia"/>
                <w:sz w:val="24"/>
              </w:rPr>
              <w:t>（3）观测室内地面、墙壁、顶棚应采用不易起尘的环保材料。观测室应不受强震动、强电磁辐射的干扰。</w:t>
            </w:r>
          </w:p>
          <w:p>
            <w:pPr>
              <w:rPr>
                <w:rFonts w:ascii="仿宋" w:eastAsia="仿宋" w:hAnsi="仿宋" w:cs="仿宋" w:hint="eastAsia"/>
              </w:rPr>
            </w:pPr>
            <w:r>
              <w:rPr>
                <w:rFonts w:ascii="仿宋" w:eastAsia="仿宋" w:hAnsi="仿宋" w:cs="仿宋" w:hint="eastAsia"/>
                <w:sz w:val="24"/>
              </w:rPr>
              <w:t>（4）室内环境保持整洁，室内温度、湿度按照仪器运行的环境要求保持相对稳定，取暖采用空调或电暖气设备。根据当地的环境特点，采取适当的防虫措施。</w:t>
            </w:r>
          </w:p>
          <w:p>
            <w:pPr>
              <w:rPr>
                <w:rFonts w:ascii="仿宋" w:eastAsia="仿宋" w:hAnsi="仿宋" w:cs="仿宋" w:hint="eastAsia"/>
              </w:rPr>
            </w:pPr>
            <w:r>
              <w:rPr>
                <w:rFonts w:ascii="仿宋" w:eastAsia="仿宋" w:hAnsi="仿宋" w:cs="仿宋" w:hint="eastAsia"/>
                <w:sz w:val="24"/>
              </w:rPr>
              <w:t>（5）观测室内安装温湿度控制设备，使室内温度能控制在25</w:t>
            </w: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（6）观测室具有良好的通风条件和排风设施，以保持室内空气清洁。</w:t>
            </w:r>
          </w:p>
          <w:p>
            <w:pPr>
              <w:rPr>
                <w:rFonts w:ascii="仿宋" w:eastAsia="仿宋" w:hAnsi="仿宋" w:cs="仿宋" w:hint="eastAsia"/>
              </w:rPr>
            </w:pPr>
            <w:r>
              <w:rPr>
                <w:rFonts w:ascii="仿宋" w:eastAsia="仿宋" w:hAnsi="仿宋" w:cs="仿宋" w:hint="eastAsia"/>
                <w:sz w:val="24"/>
              </w:rPr>
              <w:t>（7）根据观测项目的技术要求，可预先在观测室顶部及侧壁的适当位置预留管线孔洞。</w:t>
            </w:r>
          </w:p>
          <w:p>
            <w:pPr>
              <w:rPr>
                <w:rFonts w:ascii="仿宋" w:eastAsia="仿宋" w:hAnsi="仿宋" w:cs="仿宋" w:hint="eastAsia"/>
              </w:rPr>
            </w:pPr>
            <w:r>
              <w:rPr>
                <w:rFonts w:ascii="仿宋" w:eastAsia="仿宋" w:hAnsi="仿宋" w:cs="仿宋" w:hint="eastAsia"/>
                <w:sz w:val="24"/>
              </w:rPr>
              <w:t>（8）观测室内设有可靠的网络、通讯线路等。</w:t>
            </w:r>
          </w:p>
          <w:p>
            <w:pPr>
              <w:rPr>
                <w:rFonts w:ascii="仿宋" w:eastAsia="仿宋" w:hAnsi="仿宋" w:cs="仿宋" w:hint="eastAsia"/>
              </w:rPr>
            </w:pPr>
            <w:r>
              <w:rPr>
                <w:rFonts w:ascii="仿宋" w:eastAsia="仿宋" w:hAnsi="仿宋" w:cs="仿宋" w:hint="eastAsia"/>
                <w:sz w:val="24"/>
              </w:rPr>
              <w:t>（9）观测室配备专门的消防设施和器材，对危险物品还应配备监控装置和设施。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UPS</w:t>
            </w:r>
          </w:p>
        </w:tc>
        <w:tc>
          <w:tcPr>
            <w:tcW w:w="2951" w:type="pct"/>
            <w:vAlign w:val="center"/>
          </w:tcPr>
          <w:p>
            <w:pPr>
              <w:rPr>
                <w:rFonts w:ascii="仿宋" w:eastAsia="仿宋" w:hAnsi="仿宋" w:cs="仿宋" w:hint="eastAsia"/>
              </w:rPr>
            </w:pPr>
            <w:r>
              <w:rPr>
                <w:rFonts w:ascii="仿宋" w:eastAsia="仿宋" w:hAnsi="仿宋" w:cs="仿宋" w:hint="eastAsia"/>
                <w:sz w:val="24"/>
              </w:rPr>
              <w:t>UPS不间断电源应能在市电中断后继续供电，保证测量单元和数据采集与处理单元稳定运行2小时以上。</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高精度温室气体浓度观测系统6年*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240" w:lineRule="auto"/>
        <w:ind w:firstLine="0" w:firstLineChars="0"/>
        <w:jc w:val="left"/>
        <w:outlineLvl w:val="9"/>
        <w:rPr>
          <w:rFonts w:ascii="Times New Roman" w:hAnsi="Times New Roman" w:hint="default"/>
          <w:bCs w:val="0"/>
          <w:snapToGrid/>
        </w:rPr>
      </w:pPr>
      <w:r>
        <w:rPr>
          <w:rFonts w:ascii="Times New Roman" w:eastAsia="方正仿宋" w:hAnsi="Times New Roman" w:cs="Times New Roman" w:hint="default"/>
          <w:sz w:val="32"/>
          <w:szCs w:val="24"/>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01"/>
        <w:gridCol w:w="2837"/>
        <w:gridCol w:w="657"/>
        <w:gridCol w:w="913"/>
        <w:gridCol w:w="1042"/>
        <w:gridCol w:w="657"/>
        <w:gridCol w:w="2054"/>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通量观测系统（高精度温室气体浓度观测系统）</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12,816,000.00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广西壮族自治区气象技术装备中心 张喜鸿15994370121</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12,816,000.00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27"/>
        <w:gridCol w:w="1113"/>
        <w:gridCol w:w="2319"/>
        <w:gridCol w:w="327"/>
        <w:gridCol w:w="747"/>
        <w:gridCol w:w="675"/>
        <w:gridCol w:w="2004"/>
        <w:gridCol w:w="10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装备中心(001049022)</w:t>
            </w:r>
          </w:p>
        </w:tc>
        <w:tc>
          <w:tcPr/>
          <w:p>
            <w:r>
              <w:t>通量观测系统（高精度温室气体浓度观测系统）</w:t>
            </w:r>
          </w:p>
        </w:tc>
        <w:tc>
          <w:tcPr/>
          <w:p>
            <w:r>
              <w:t>6</w:t>
            </w:r>
          </w:p>
        </w:tc>
        <w:tc>
          <w:tcPr/>
          <w:p>
            <w:r>
              <w:t>12816000.00</w:t>
            </w:r>
          </w:p>
        </w:tc>
        <w:tc>
          <w:tcPr/>
          <w:p>
            <w:r>
              <w:t xml:space="preserve">12816000.00  </w:t>
            </w:r>
          </w:p>
        </w:tc>
        <w:tc>
          <w:tcPr/>
          <w:p>
            <w:r>
              <w:t>涠洲岛、巴马、雁山、南宁、柳州、百色</w:t>
            </w:r>
          </w:p>
        </w:tc>
        <w:tc>
          <w:tcPr/>
          <w:p>
            <w:r>
              <w:t>张喜鸿15994370121</w:t>
            </w: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DF5AAC">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DF5AAC">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DF5AAC">
      <w:pPr>
        <w:ind w:firstLine="560" w:firstLineChars="200"/>
        <w:rPr>
          <w:rFonts w:ascii="仿宋" w:eastAsia="仿宋" w:hAnsi="仿宋" w:cs="仿宋"/>
          <w:sz w:val="28"/>
          <w:szCs w:val="20"/>
        </w:rPr>
      </w:pPr>
      <w:r>
        <w:rPr>
          <w:rFonts w:ascii="仿宋" w:eastAsia="仿宋" w:hAnsi="仿宋" w:cs="仿宋" w:hint="eastAsia"/>
          <w:sz w:val="28"/>
          <w:szCs w:val="20"/>
        </w:rPr>
        <w:t>为深入贯彻落</w:t>
      </w:r>
      <w:r>
        <w:rPr>
          <w:rFonts w:ascii="仿宋" w:eastAsia="仿宋" w:hAnsi="仿宋" w:cs="仿宋" w:hint="eastAsia"/>
          <w:sz w:val="28"/>
          <w:szCs w:val="20"/>
        </w:rPr>
        <w:t>实习近</w:t>
      </w:r>
      <w:r>
        <w:rPr>
          <w:rFonts w:ascii="仿宋" w:eastAsia="仿宋" w:hAnsi="仿宋" w:cs="仿宋" w:hint="eastAsia"/>
          <w:sz w:val="28"/>
          <w:szCs w:val="20"/>
        </w:rPr>
        <w:t>平总书记关于气象工作的重要指示精神重要指示精神，着力推进观测站网、运行保障、观测产品等高质量发展，进一步强化气象监测预警能力。依据《综合气象观测业务发展“十四五”规划》、《</w:t>
      </w:r>
      <w:r>
        <w:rPr>
          <w:rFonts w:ascii="仿宋" w:eastAsia="仿宋" w:hAnsi="仿宋" w:cs="仿宋" w:hint="eastAsia"/>
          <w:sz w:val="28"/>
          <w:szCs w:val="20"/>
        </w:rPr>
        <w:t>2025</w:t>
      </w:r>
      <w:r>
        <w:rPr>
          <w:rFonts w:ascii="仿宋" w:eastAsia="仿宋" w:hAnsi="仿宋" w:cs="仿宋" w:hint="eastAsia"/>
          <w:sz w:val="28"/>
          <w:szCs w:val="20"/>
        </w:rPr>
        <w:t>年广西、安徽通量观测系统建设项目可行性研究报告》等文件，在</w:t>
      </w:r>
      <w:r>
        <w:rPr>
          <w:rFonts w:ascii="仿宋" w:eastAsia="仿宋" w:hAnsi="仿宋" w:cs="仿宋" w:hint="eastAsia"/>
          <w:sz w:val="28"/>
          <w:szCs w:val="20"/>
        </w:rPr>
        <w:t>广</w:t>
      </w:r>
      <w:r>
        <w:rPr>
          <w:rFonts w:ascii="仿宋" w:eastAsia="仿宋" w:hAnsi="仿宋" w:cs="仿宋" w:hint="eastAsia"/>
          <w:sz w:val="28"/>
          <w:szCs w:val="20"/>
        </w:rPr>
        <w:t>西区的</w:t>
      </w:r>
      <w:r>
        <w:rPr>
          <w:rFonts w:ascii="仿宋" w:eastAsia="仿宋" w:hAnsi="仿宋" w:cs="仿宋" w:hint="eastAsia"/>
          <w:sz w:val="28"/>
          <w:szCs w:val="20"/>
        </w:rPr>
        <w:t>涠洲岛、巴马、雁山、南宁、柳州、百色等地建设</w:t>
      </w:r>
      <w:r>
        <w:rPr>
          <w:rFonts w:ascii="仿宋" w:eastAsia="仿宋" w:hAnsi="仿宋" w:cs="仿宋" w:hint="eastAsia"/>
          <w:sz w:val="28"/>
          <w:szCs w:val="20"/>
        </w:rPr>
        <w:t>6</w:t>
      </w:r>
      <w:r>
        <w:rPr>
          <w:rFonts w:ascii="仿宋" w:eastAsia="仿宋" w:hAnsi="仿宋" w:cs="仿宋" w:hint="eastAsia"/>
          <w:sz w:val="28"/>
          <w:szCs w:val="20"/>
        </w:rPr>
        <w:t>套通量观测仪，提升内蒙古、宁夏、云南等地应对气候变化服务能力，服务国家“碳达峰、碳中和”战略。则上需取得气象专用技术装备许可证，通过进一步测试评估，选择技术指标高、运行稳定可靠的仪器设备。本项目目标是通过</w:t>
      </w:r>
      <w:r>
        <w:rPr>
          <w:rFonts w:ascii="仿宋" w:eastAsia="仿宋" w:hAnsi="仿宋" w:cs="仿宋" w:hint="eastAsia"/>
          <w:sz w:val="28"/>
          <w:szCs w:val="20"/>
        </w:rPr>
        <w:t>2025</w:t>
      </w:r>
      <w:r>
        <w:rPr>
          <w:rFonts w:ascii="仿宋" w:eastAsia="仿宋" w:hAnsi="仿宋" w:cs="仿宋" w:hint="eastAsia"/>
          <w:sz w:val="28"/>
          <w:szCs w:val="20"/>
        </w:rPr>
        <w:t>年气象观测站网工程建设，实现</w:t>
      </w:r>
      <w:r>
        <w:rPr>
          <w:rFonts w:ascii="仿宋" w:eastAsia="仿宋" w:hAnsi="仿宋" w:cs="仿宋" w:hint="eastAsia"/>
          <w:sz w:val="28"/>
          <w:szCs w:val="20"/>
        </w:rPr>
        <w:t>CO2</w:t>
      </w:r>
      <w:r>
        <w:rPr>
          <w:rFonts w:ascii="仿宋" w:eastAsia="仿宋" w:hAnsi="仿宋" w:cs="仿宋" w:hint="eastAsia"/>
          <w:sz w:val="28"/>
          <w:szCs w:val="20"/>
        </w:rPr>
        <w:t>、</w:t>
      </w:r>
      <w:r>
        <w:rPr>
          <w:rFonts w:ascii="仿宋" w:eastAsia="仿宋" w:hAnsi="仿宋" w:cs="仿宋" w:hint="eastAsia"/>
          <w:sz w:val="28"/>
          <w:szCs w:val="20"/>
        </w:rPr>
        <w:t>CH4</w:t>
      </w:r>
      <w:r>
        <w:rPr>
          <w:rFonts w:ascii="仿宋" w:eastAsia="仿宋" w:hAnsi="仿宋" w:cs="仿宋" w:hint="eastAsia"/>
          <w:sz w:val="28"/>
          <w:szCs w:val="20"/>
        </w:rPr>
        <w:t>浓度的在线观测。</w:t>
      </w:r>
    </w:p>
    <w:p w:rsidR="00DF5AAC">
      <w:pPr>
        <w:ind w:firstLine="560" w:firstLineChars="200"/>
        <w:rPr>
          <w:rFonts w:ascii="仿宋" w:eastAsia="仿宋" w:hAnsi="仿宋" w:cs="仿宋"/>
          <w:sz w:val="28"/>
          <w:szCs w:val="20"/>
        </w:rPr>
      </w:pPr>
      <w:r>
        <w:rPr>
          <w:rFonts w:ascii="仿宋" w:eastAsia="仿宋" w:hAnsi="仿宋" w:cs="仿宋" w:hint="eastAsia"/>
          <w:sz w:val="28"/>
          <w:szCs w:val="20"/>
        </w:rPr>
        <w:t>采购的设备原则上需取得气象专用技术装备许可证，通过进一步测试评估，选择技术指标高、运行稳定可靠的仪器设备。</w:t>
      </w:r>
    </w:p>
    <w:p w:rsidR="00DF5AAC">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DF5AAC">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w:t>
      </w:r>
      <w:r>
        <w:rPr>
          <w:rFonts w:ascii="仿宋" w:eastAsia="仿宋" w:hAnsi="仿宋" w:cs="仿宋" w:hint="eastAsia"/>
          <w:sz w:val="28"/>
          <w:szCs w:val="20"/>
        </w:rPr>
        <w:t>员组成、技术支持文档等。其中，售后服务组织机构设置合理，人员技术能力强，技术文档内容全面。</w:t>
      </w:r>
    </w:p>
    <w:p w:rsidR="00DF5AAC">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DF5AAC">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w:t>
      </w:r>
      <w:r>
        <w:rPr>
          <w:rFonts w:ascii="仿宋" w:eastAsia="仿宋" w:hAnsi="仿宋" w:cs="仿宋" w:hint="eastAsia"/>
          <w:sz w:val="28"/>
          <w:szCs w:val="20"/>
        </w:rPr>
        <w:t>质量控制、质量保证方法和措施；掌握本项目进一步开发、应用所需的知识和技能。书面承诺每种设备的培训讲师具有中级以上职称或从事该设备技术工作至少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DF5AAC">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rPr>
        <w:t>2</w:t>
      </w:r>
      <w:r>
        <w:rPr>
          <w:rFonts w:ascii="仿宋" w:eastAsia="仿宋" w:hAnsi="仿宋" w:cs="仿宋" w:hint="eastAsia"/>
          <w:sz w:val="28"/>
          <w:szCs w:val="20"/>
        </w:rPr>
        <w:t>次技术培训，培训课时</w:t>
      </w:r>
      <w:r>
        <w:rPr>
          <w:rFonts w:ascii="仿宋" w:eastAsia="仿宋" w:hAnsi="仿宋" w:cs="仿宋"/>
          <w:sz w:val="28"/>
          <w:szCs w:val="20"/>
        </w:rPr>
        <w:t>不少于</w:t>
      </w:r>
      <w:r>
        <w:rPr>
          <w:rFonts w:ascii="仿宋" w:eastAsia="仿宋" w:hAnsi="仿宋" w:cs="仿宋" w:hint="eastAsia"/>
          <w:sz w:val="28"/>
          <w:szCs w:val="20"/>
        </w:rPr>
        <w:t>8</w:t>
      </w:r>
      <w:r>
        <w:rPr>
          <w:rFonts w:ascii="仿宋" w:eastAsia="仿宋" w:hAnsi="仿宋" w:cs="仿宋" w:hint="eastAsia"/>
          <w:sz w:val="28"/>
          <w:szCs w:val="20"/>
        </w:rPr>
        <w:t>个</w:t>
      </w:r>
      <w:r>
        <w:rPr>
          <w:rFonts w:ascii="仿宋" w:eastAsia="仿宋" w:hAnsi="仿宋" w:cs="仿宋"/>
          <w:sz w:val="28"/>
          <w:szCs w:val="20"/>
        </w:rPr>
        <w:t>课时，培训人数不少于</w:t>
      </w:r>
      <w:r>
        <w:rPr>
          <w:rFonts w:ascii="仿宋" w:eastAsia="仿宋" w:hAnsi="仿宋" w:cs="仿宋" w:hint="eastAsia"/>
          <w:sz w:val="28"/>
          <w:szCs w:val="20"/>
        </w:rPr>
        <w:t>30</w:t>
      </w:r>
      <w:r>
        <w:rPr>
          <w:rFonts w:ascii="仿宋" w:eastAsia="仿宋" w:hAnsi="仿宋" w:cs="仿宋" w:hint="eastAsia"/>
          <w:sz w:val="28"/>
          <w:szCs w:val="20"/>
        </w:rPr>
        <w:t>人</w:t>
      </w:r>
      <w:r>
        <w:rPr>
          <w:rFonts w:ascii="仿宋" w:eastAsia="仿宋" w:hAnsi="仿宋" w:cs="仿宋"/>
          <w:sz w:val="28"/>
          <w:szCs w:val="20"/>
        </w:rPr>
        <w:t>。</w:t>
      </w:r>
      <w:r>
        <w:rPr>
          <w:rFonts w:ascii="仿宋" w:eastAsia="仿宋" w:hAnsi="仿宋" w:cs="仿宋" w:hint="eastAsia"/>
          <w:sz w:val="28"/>
          <w:szCs w:val="20"/>
        </w:rPr>
        <w:t>培训内容包</w:t>
      </w:r>
      <w:r>
        <w:rPr>
          <w:rFonts w:ascii="仿宋" w:eastAsia="仿宋" w:hAnsi="仿宋" w:cs="仿宋" w:hint="eastAsia"/>
          <w:sz w:val="28"/>
          <w:szCs w:val="20"/>
        </w:rPr>
        <w:t>括设备安装、使用、日常维护、观测原理及产品应用，培训时间及地点双方协商确定。</w:t>
      </w:r>
    </w:p>
    <w:p w:rsidR="00DF5AAC">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DF5AAC">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中标供应商将所有设备运送至涠洲岛、巴马、雁山、南宁、柳州、百色地点（运输相关费用由供应商负责），并负责安装调试。</w:t>
      </w:r>
    </w:p>
    <w:p w:rsidR="00DF5AAC">
      <w:pPr>
        <w:ind w:left="559" w:leftChars="266"/>
        <w:rPr>
          <w:rFonts w:ascii="仿宋" w:eastAsia="仿宋" w:hAnsi="仿宋" w:cs="仿宋"/>
          <w:b/>
          <w:bCs/>
          <w:sz w:val="28"/>
          <w:szCs w:val="20"/>
        </w:rPr>
      </w:pPr>
      <w:r w:rsidRPr="003C1503">
        <w:rPr>
          <w:rFonts w:ascii="仿宋" w:eastAsia="仿宋" w:hAnsi="仿宋" w:cs="仿宋" w:hint="eastAsia"/>
          <w:sz w:val="28"/>
          <w:szCs w:val="20"/>
        </w:rPr>
        <w:t>合同签订后120天内交货，180天内完成安装调试并具备验收条件</w:t>
      </w:r>
      <w:r w:rsidR="00B1396B">
        <w:rPr>
          <w:rFonts w:ascii="仿宋" w:eastAsia="仿宋" w:hAnsi="仿宋" w:cs="仿宋" w:hint="eastAsia"/>
          <w:sz w:val="28"/>
          <w:szCs w:val="20"/>
        </w:rPr>
        <w:t>。</w:t>
      </w:r>
      <w:r w:rsidR="00B1396B">
        <w:rPr>
          <w:rFonts w:ascii="仿宋" w:eastAsia="仿宋" w:hAnsi="仿宋" w:cs="仿宋" w:hint="eastAsia"/>
          <w:sz w:val="28"/>
          <w:szCs w:val="20"/>
        </w:rPr>
        <w:br/>
      </w:r>
      <w:r w:rsidR="00B1396B">
        <w:rPr>
          <w:rFonts w:ascii="仿宋" w:eastAsia="仿宋" w:hAnsi="仿宋" w:cs="仿宋" w:hint="eastAsia"/>
          <w:b/>
          <w:bCs/>
          <w:sz w:val="28"/>
          <w:szCs w:val="20"/>
        </w:rPr>
        <w:t>五、服务团队要求</w:t>
      </w:r>
    </w:p>
    <w:p w:rsidR="00DF5AAC">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w:t>
      </w:r>
      <w:r>
        <w:rPr>
          <w:rFonts w:ascii="仿宋" w:eastAsia="仿宋" w:hAnsi="仿宋" w:cs="仿宋" w:hint="eastAsia"/>
          <w:sz w:val="28"/>
          <w:szCs w:val="20"/>
        </w:rPr>
        <w:t>保缴纳证明（投标人为新成立公司，或者有关人员为退休人员的，可提供聘用合同）。</w:t>
      </w:r>
    </w:p>
    <w:p w:rsidR="00DF5AAC">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DF5AAC">
      <w:pPr>
        <w:ind w:firstLine="560" w:firstLineChars="200"/>
        <w:rPr>
          <w:rFonts w:ascii="仿宋" w:eastAsia="仿宋" w:hAnsi="仿宋" w:cs="仿宋"/>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r>
        <w:rPr>
          <w:rFonts w:ascii="仿宋" w:eastAsia="仿宋" w:hAnsi="仿宋" w:cs="仿宋" w:hint="eastAsia"/>
          <w:sz w:val="28"/>
          <w:szCs w:val="20"/>
        </w:rPr>
        <w:t xml:space="preserve">  </w:t>
      </w:r>
    </w:p>
    <w:p w:rsidR="00DF5AAC">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rsidR="00DF5AAC">
      <w:pPr>
        <w:ind w:firstLine="560" w:firstLineChars="200"/>
        <w:rPr>
          <w:rFonts w:ascii="仿宋" w:eastAsia="仿宋" w:hAnsi="仿宋" w:cs="仿宋"/>
          <w:sz w:val="28"/>
          <w:szCs w:val="20"/>
        </w:rPr>
      </w:pPr>
      <w:r>
        <w:rPr>
          <w:rFonts w:ascii="仿宋" w:eastAsia="仿宋" w:hAnsi="仿宋" w:cs="仿宋" w:hint="eastAsia"/>
          <w:sz w:val="28"/>
          <w:szCs w:val="20"/>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20"/>
          <w:docGrid w:type="linesAndChars" w:linePitch="312" w:charSpace="0"/>
        </w:sectPr>
      </w:pPr>
      <w:bookmarkEnd w:id="55"/>
    </w:p>
    <w:p w:rsidR="006232BC">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5" w:name="投标被拒绝条款专用部分_JJTK"/>
      <w:r>
        <w:rPr>
          <w:rFonts w:ascii="Times New Roman" w:eastAsia="宋体" w:hAnsi="Times New Roman" w:cs="Times New Roman" w:hint="eastAsia"/>
          <w:b/>
          <w:sz w:val="30"/>
          <w:szCs w:val="30"/>
        </w:rPr>
        <w:t>第八章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6232BC">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482326">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F2748" w:rsidP="00482326">
            <w:pPr>
              <w:rPr>
                <w:sz w:val="18"/>
                <w:szCs w:val="18"/>
              </w:rPr>
            </w:pPr>
            <w:r>
              <w:rPr>
                <w:rFonts w:hint="eastAsia"/>
                <w:sz w:val="18"/>
                <w:szCs w:val="18"/>
              </w:rPr>
              <w:t>序号</w:t>
            </w:r>
          </w:p>
        </w:tc>
        <w:tc>
          <w:tcPr>
            <w:tcW w:w="898" w:type="dxa"/>
            <w:vAlign w:val="center"/>
          </w:tcPr>
          <w:p w:rsidR="000F2748" w:rsidP="00482326">
            <w:pPr>
              <w:jc w:val="center"/>
              <w:rPr>
                <w:sz w:val="18"/>
                <w:szCs w:val="18"/>
              </w:rPr>
            </w:pPr>
            <w:r>
              <w:rPr>
                <w:rFonts w:hint="eastAsia"/>
                <w:sz w:val="18"/>
                <w:szCs w:val="18"/>
              </w:rPr>
              <w:t>对应</w:t>
            </w:r>
          </w:p>
          <w:p w:rsidR="000F2748" w:rsidP="00482326">
            <w:pPr>
              <w:jc w:val="center"/>
              <w:rPr>
                <w:sz w:val="18"/>
                <w:szCs w:val="18"/>
              </w:rPr>
            </w:pPr>
            <w:r>
              <w:rPr>
                <w:rFonts w:hint="eastAsia"/>
                <w:sz w:val="18"/>
                <w:szCs w:val="18"/>
              </w:rPr>
              <w:t>条款号</w:t>
            </w:r>
          </w:p>
        </w:tc>
        <w:tc>
          <w:tcPr>
            <w:tcW w:w="7347" w:type="dxa"/>
            <w:vAlign w:val="center"/>
          </w:tcPr>
          <w:p w:rsidR="000F2748" w:rsidP="00482326">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482326">
        <w:tblPrEx>
          <w:tblW w:w="8789" w:type="dxa"/>
          <w:tblLayout w:type="fixed"/>
          <w:tblLook w:val="04A0"/>
        </w:tblPrEx>
        <w:trPr>
          <w:cantSplit/>
        </w:trPr>
        <w:tc>
          <w:tcPr>
            <w:tcW w:w="8789" w:type="dxa"/>
            <w:gridSpan w:val="3"/>
            <w:vAlign w:val="center"/>
          </w:tcPr>
          <w:p w:rsidR="000F2748" w:rsidP="00482326">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响应人须知专用部分</w:t>
            </w:r>
          </w:p>
        </w:tc>
      </w:tr>
      <w:tr w:rsidTr="00482326">
        <w:tblPrEx>
          <w:tblW w:w="8789" w:type="dxa"/>
          <w:tblLayout w:type="fixed"/>
          <w:tblLook w:val="04A0"/>
        </w:tblPrEx>
        <w:trPr>
          <w:cantSplit/>
        </w:trPr>
        <w:tc>
          <w:tcPr>
            <w:tcW w:w="544" w:type="dxa"/>
            <w:vAlign w:val="center"/>
          </w:tcPr>
          <w:p w:rsidR="000F2748" w:rsidP="000F2748">
            <w:pPr>
              <w:numPr>
                <w:ilvl w:val="0"/>
                <w:numId w:val="15"/>
              </w:numPr>
              <w:rPr>
                <w:rFonts w:ascii="宋体" w:hAnsi="宋体"/>
                <w:sz w:val="18"/>
                <w:szCs w:val="18"/>
              </w:rPr>
            </w:pPr>
          </w:p>
        </w:tc>
        <w:tc>
          <w:tcPr>
            <w:tcW w:w="898" w:type="dxa"/>
            <w:vAlign w:val="center"/>
          </w:tcPr>
          <w:p w:rsidR="000F2748" w:rsidP="00482326">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tcPr>
          <w:p w:rsidR="000F2748" w:rsidP="00482326">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投标产品</w:t>
            </w:r>
            <w:r>
              <w:rPr>
                <w:rFonts w:ascii="宋体" w:hAnsi="宋体" w:cs="微软雅黑"/>
                <w:b/>
                <w:color w:val="0000FF"/>
                <w:kern w:val="0"/>
                <w:sz w:val="18"/>
                <w:szCs w:val="18"/>
              </w:rPr>
              <w:t>必须取得</w:t>
            </w:r>
            <w:r>
              <w:rPr>
                <w:rFonts w:ascii="宋体" w:hAnsi="宋体" w:cs="微软雅黑" w:hint="eastAsia"/>
                <w:b/>
                <w:color w:val="0000FF"/>
                <w:kern w:val="0"/>
                <w:sz w:val="18"/>
                <w:szCs w:val="18"/>
              </w:rPr>
              <w:t>《光谱吸收法大气二氧化碳/甲烷高精度分析仪气象专用技术装备许可证》</w:t>
            </w:r>
          </w:p>
        </w:tc>
      </w:tr>
      <w:tr w:rsidTr="00482326">
        <w:tblPrEx>
          <w:tblW w:w="8789" w:type="dxa"/>
          <w:tblLayout w:type="fixed"/>
          <w:tblLook w:val="04A0"/>
        </w:tblPrEx>
        <w:trPr>
          <w:cantSplit/>
        </w:trPr>
        <w:tc>
          <w:tcPr>
            <w:tcW w:w="8789" w:type="dxa"/>
            <w:gridSpan w:val="3"/>
            <w:vAlign w:val="center"/>
          </w:tcPr>
          <w:p w:rsidR="000F2748" w:rsidP="00482326">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482326">
        <w:tblPrEx>
          <w:tblW w:w="8789" w:type="dxa"/>
          <w:tblLayout w:type="fixed"/>
          <w:tblLook w:val="04A0"/>
        </w:tblPrEx>
        <w:trPr>
          <w:cantSplit/>
        </w:trPr>
        <w:tc>
          <w:tcPr>
            <w:tcW w:w="544" w:type="dxa"/>
            <w:vAlign w:val="center"/>
          </w:tcPr>
          <w:p w:rsidR="000F2748" w:rsidP="000F2748">
            <w:pPr>
              <w:numPr>
                <w:ilvl w:val="0"/>
                <w:numId w:val="15"/>
              </w:numPr>
              <w:rPr>
                <w:rFonts w:ascii="宋体" w:hAnsi="宋体"/>
                <w:sz w:val="18"/>
                <w:szCs w:val="18"/>
              </w:rPr>
            </w:pPr>
          </w:p>
        </w:tc>
        <w:tc>
          <w:tcPr>
            <w:tcW w:w="898" w:type="dxa"/>
            <w:vAlign w:val="center"/>
          </w:tcPr>
          <w:p w:rsidR="000F2748" w:rsidP="00482326">
            <w:pPr>
              <w:jc w:val="center"/>
              <w:rPr>
                <w:rFonts w:ascii="宋体" w:hAnsi="宋体"/>
                <w:sz w:val="18"/>
                <w:szCs w:val="18"/>
              </w:rPr>
            </w:pPr>
            <w:r w:rsidRPr="007E1968">
              <w:rPr>
                <w:rFonts w:ascii="宋体" w:hAnsi="宋体" w:hint="eastAsia"/>
                <w:sz w:val="18"/>
                <w:szCs w:val="18"/>
              </w:rPr>
              <w:t>四、质保服务要求</w:t>
            </w:r>
          </w:p>
        </w:tc>
        <w:tc>
          <w:tcPr>
            <w:tcW w:w="7347" w:type="dxa"/>
            <w:vAlign w:val="center"/>
          </w:tcPr>
          <w:p w:rsidR="000F2748" w:rsidP="00482326">
            <w:pPr>
              <w:tabs>
                <w:tab w:val="left" w:pos="709"/>
              </w:tabs>
              <w:spacing w:line="360" w:lineRule="auto"/>
              <w:jc w:val="left"/>
              <w:rPr>
                <w:rFonts w:ascii="宋体" w:hAnsi="宋体"/>
                <w:sz w:val="18"/>
                <w:szCs w:val="18"/>
              </w:rPr>
            </w:pPr>
            <w:r w:rsidRPr="002F1A36">
              <w:rPr>
                <w:rFonts w:ascii="宋体" w:hAnsi="宋体" w:cs="微软雅黑" w:hint="eastAsia"/>
                <w:b/>
                <w:color w:val="0000FF"/>
                <w:kern w:val="0"/>
                <w:sz w:val="18"/>
                <w:szCs w:val="18"/>
              </w:rPr>
              <w:t>质保期：高精度温室气体浓度观测系统6年*，从双方签署现场安装测试报告之日起开始计算质保期。</w:t>
            </w:r>
          </w:p>
        </w:tc>
      </w:tr>
    </w:tbl>
    <w:p w:rsidR="006232BC">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6232BC"/>
    <w:p w:rsidR="00A77B3E"/>
    <w:p w:rsidR="006232BC">
      <w:pPr>
        <w:tabs>
          <w:tab w:val="left" w:pos="1573"/>
        </w:tabs>
        <w:adjustRightInd w:val="0"/>
        <w:snapToGrid w:val="0"/>
        <w:spacing w:line="360" w:lineRule="auto"/>
        <w:jc w:val="center"/>
        <w:outlineLvl w:val="1"/>
        <w:rPr>
          <w:rFonts w:ascii="Times New Roman" w:eastAsia="宋体" w:hAnsi="Times New Roman" w:cs="Times New Roman"/>
          <w:b/>
          <w:bCs/>
          <w:sz w:val="30"/>
          <w:szCs w:val="30"/>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5"/>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pPr>
        <w:numPr>
          <w:ilvl w:val="0"/>
          <w:numId w:val="5"/>
        </w:numPr>
        <w:spacing w:line="360" w:lineRule="auto"/>
        <w:ind w:firstLine="3066" w:firstLineChars="1460"/>
        <w:jc w:val="left"/>
        <w:rPr>
          <w:b/>
          <w:bCs/>
          <w:szCs w:val="21"/>
        </w:rPr>
      </w:pPr>
      <w:bookmarkStart w:id="66" w:name="采购公告合同部分_ZBGGHT"/>
      <w:r>
        <w:rPr>
          <w:b/>
          <w:bCs/>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b/>
          <w:bCs/>
          <w:szCs w:val="21"/>
        </w:rPr>
        <w:instrText>ADDIN CNKISM.UserStyle</w:instrText>
      </w:r>
      <w:r>
        <w:rPr>
          <w:b/>
          <w:bCs/>
          <w:szCs w:val="21"/>
        </w:rPr>
        <w:fldChar w:fldCharType="separate"/>
      </w:r>
      <w:r>
        <w:rPr>
          <w:b/>
          <w:bCs/>
          <w:szCs w:val="21"/>
        </w:rPr>
        <w:fldChar w:fldCharType="end"/>
      </w:r>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67"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space="708"/>
          <w:docGrid w:type="lines" w:linePitch="312"/>
        </w:sectPr>
      </w:pPr>
    </w:p>
    <w:p>
      <w:pPr>
        <w:pStyle w:val="Heading2"/>
        <w:numPr>
          <w:ilvl w:val="0"/>
          <w:numId w:val="0"/>
        </w:numPr>
        <w:adjustRightInd w:val="0"/>
        <w:snapToGrid w:val="0"/>
        <w:spacing w:line="400" w:lineRule="exact"/>
        <w:jc w:val="center"/>
        <w:rPr>
          <w:rFonts w:ascii="黑体" w:hAnsi="华文中宋"/>
          <w:b w:val="0"/>
          <w:bCs w:val="0"/>
          <w:sz w:val="28"/>
          <w:szCs w:val="28"/>
        </w:rPr>
      </w:pPr>
      <w:bookmarkStart w:id="68" w:name="_Toc22209"/>
      <w:bookmarkEnd w:id="67"/>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68"/>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tbl>
      <w:tblPr>
        <w:tblStyle w:val="TableNormal"/>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3"/>
        <w:gridCol w:w="956"/>
        <w:gridCol w:w="669"/>
        <w:gridCol w:w="537"/>
        <w:gridCol w:w="1489"/>
        <w:gridCol w:w="1489"/>
        <w:gridCol w:w="644"/>
        <w:gridCol w:w="668"/>
        <w:gridCol w:w="966"/>
      </w:tblGrid>
      <w:tr>
        <w:tblPrEx>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37"/>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序号</w:t>
            </w: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服务产品名称</w:t>
            </w: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数量</w:t>
            </w: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cs="宋体" w:hint="eastAsia"/>
                <w:szCs w:val="21"/>
              </w:rPr>
            </w:pPr>
            <w:r>
              <w:rPr>
                <w:rFonts w:ascii="宋体" w:hAnsi="宋体" w:cs="宋体" w:hint="eastAsia"/>
                <w:szCs w:val="21"/>
              </w:rPr>
              <w:t>品牌</w:t>
            </w: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cs="宋体" w:hint="eastAsia"/>
                <w:szCs w:val="21"/>
              </w:rPr>
              <w:t>规格型号</w:t>
            </w: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单价（元）</w:t>
            </w: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总价（元）</w:t>
            </w: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交付时间</w:t>
            </w:r>
          </w:p>
        </w:tc>
      </w:tr>
      <w:tr>
        <w:tblPrEx>
          <w:tblW w:w="7951" w:type="dxa"/>
          <w:jc w:val="center"/>
          <w:tblLayout w:type="fixed"/>
          <w:tblCellMar>
            <w:top w:w="0" w:type="dxa"/>
            <w:left w:w="108" w:type="dxa"/>
            <w:bottom w:w="0" w:type="dxa"/>
            <w:right w:w="108" w:type="dxa"/>
          </w:tblCellMar>
          <w:tblLook w:val="0000"/>
        </w:tblPrEx>
        <w:trPr>
          <w:trHeight w:val="372"/>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65"/>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72"/>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Look w:val="0000"/>
        </w:tblPrEx>
        <w:trPr>
          <w:trHeight w:val="365"/>
          <w:jc w:val="center"/>
        </w:trPr>
        <w:tc>
          <w:tcPr>
            <w:tcW w:w="1489" w:type="dxa"/>
            <w:gridSpan w:val="2"/>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jc w:val="center"/>
              <w:rPr>
                <w:rFonts w:ascii="宋体" w:hAnsi="宋体" w:hint="eastAsia"/>
                <w:sz w:val="20"/>
                <w:szCs w:val="21"/>
              </w:rPr>
            </w:pPr>
          </w:p>
        </w:tc>
        <w:tc>
          <w:tcPr>
            <w:tcW w:w="4828" w:type="dxa"/>
            <w:gridSpan w:val="5"/>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合计</w:t>
            </w: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bl>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采购标的的技术要求、商务要求具体见招标文件。</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lang w:eastAsia="zh-CN"/>
        </w:rPr>
        <w:t>合同签订生效后，甲方支付合同总金额</w:t>
      </w:r>
      <w:r>
        <w:rPr>
          <w:rFonts w:ascii="宋体" w:hAnsi="宋体" w:hint="eastAsia"/>
          <w:szCs w:val="21"/>
          <w:u w:val="single"/>
          <w:lang w:val="en-US" w:eastAsia="zh-CN"/>
        </w:rPr>
        <w:t>95%的首付款，设备完成验收合格后，甲方支付剩余合同总额5%的尾款。</w:t>
      </w:r>
      <w:r>
        <w:rPr>
          <w:rFonts w:ascii="宋体" w:hAnsi="宋体" w:hint="eastAsia"/>
          <w:szCs w:val="21"/>
          <w:u w:val="single"/>
        </w:rPr>
        <w:t xml:space="preserve"> </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r>
        <w:rPr>
          <w:rFonts w:ascii="宋体" w:eastAsia="宋体" w:hAnsi="宋体" w:cs="宋体" w:hint="eastAsia"/>
          <w:bCs/>
          <w:sz w:val="21"/>
          <w:u w:val="single"/>
          <w:lang w:eastAsia="zh-CN"/>
        </w:rPr>
        <w:t>银行保函为期一年，项目中标金额</w:t>
      </w:r>
      <w:r>
        <w:rPr>
          <w:rFonts w:ascii="宋体" w:eastAsia="宋体" w:hAnsi="宋体" w:cs="宋体" w:hint="eastAsia"/>
          <w:bCs/>
          <w:sz w:val="21"/>
          <w:u w:val="single"/>
          <w:lang w:val="en-US" w:eastAsia="zh-CN"/>
        </w:rPr>
        <w:t>5%</w:t>
      </w:r>
      <w:r>
        <w:rPr>
          <w:rFonts w:ascii="宋体" w:eastAsia="宋体" w:hAnsi="宋体" w:cs="宋体" w:hint="eastAsia"/>
          <w:bCs/>
          <w:sz w:val="21"/>
          <w:u w:val="single"/>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合同履行及验收</w:t>
      </w:r>
    </w:p>
    <w:p>
      <w:pPr>
        <w:adjustRightInd w:val="0"/>
        <w:snapToGrid w:val="0"/>
        <w:spacing w:line="360" w:lineRule="auto"/>
        <w:ind w:left="420"/>
        <w:rPr>
          <w:b/>
        </w:rPr>
      </w:pPr>
      <w:r>
        <w:rPr>
          <w:rFonts w:ascii="宋体" w:hAnsi="宋体" w:hint="eastAsia"/>
          <w:b/>
          <w:szCs w:val="21"/>
        </w:rPr>
        <w:t xml:space="preserve"> </w:t>
      </w:r>
      <w:r>
        <w:rPr>
          <w:rFonts w:hint="eastAsia"/>
          <w:b/>
        </w:rPr>
        <w:t>（1）质量标准及保证</w:t>
      </w:r>
    </w:p>
    <w:p>
      <w:pPr>
        <w:numPr>
          <w:ilvl w:val="0"/>
          <w:numId w:val="8"/>
        </w:numPr>
        <w:tabs>
          <w:tab w:val="left" w:pos="1573"/>
        </w:tabs>
        <w:adjustRightInd w:val="0"/>
        <w:snapToGrid w:val="0"/>
        <w:spacing w:line="360" w:lineRule="auto"/>
        <w:ind w:firstLine="420" w:firstLineChars="200"/>
        <w:rPr>
          <w:rFonts w:hint="eastAsia"/>
        </w:rPr>
      </w:pPr>
      <w:r>
        <w:rPr>
          <w:rFonts w:hint="eastAsia"/>
        </w:rPr>
        <w:t>乙方应提供产品达到合格标准的出厂测试报告。</w:t>
      </w:r>
    </w:p>
    <w:p>
      <w:pPr>
        <w:numPr>
          <w:ilvl w:val="0"/>
          <w:numId w:val="8"/>
        </w:numPr>
        <w:tabs>
          <w:tab w:val="left" w:pos="1573"/>
        </w:tabs>
        <w:adjustRightInd w:val="0"/>
        <w:snapToGrid w:val="0"/>
        <w:spacing w:line="360" w:lineRule="auto"/>
        <w:ind w:firstLine="420" w:firstLineChars="200"/>
        <w:rPr>
          <w:rFonts w:hint="eastAsia"/>
        </w:rPr>
      </w:pPr>
      <w:r>
        <w:rPr>
          <w:rFonts w:hint="eastAsia"/>
        </w:rPr>
        <w:t>合同签订后</w:t>
      </w:r>
      <w:r>
        <w:rPr>
          <w:rFonts w:hint="eastAsia"/>
          <w:lang w:val="en-US" w:eastAsia="zh-CN"/>
        </w:rPr>
        <w:t>120</w:t>
      </w:r>
      <w:r>
        <w:rPr>
          <w:rFonts w:hint="eastAsia"/>
        </w:rPr>
        <w:t>天内，完成设备出厂测试，</w:t>
      </w:r>
      <w:r>
        <w:rPr>
          <w:rFonts w:hint="eastAsia"/>
          <w:lang w:val="en-US" w:eastAsia="zh-CN"/>
        </w:rPr>
        <w:t>120</w:t>
      </w:r>
      <w:r>
        <w:rPr>
          <w:rFonts w:hint="eastAsia"/>
        </w:rPr>
        <w:t>天内发货</w:t>
      </w:r>
    </w:p>
    <w:p>
      <w:pPr>
        <w:numPr>
          <w:ilvl w:val="0"/>
          <w:numId w:val="8"/>
        </w:numPr>
        <w:tabs>
          <w:tab w:val="left" w:pos="1573"/>
        </w:tabs>
        <w:adjustRightInd w:val="0"/>
        <w:snapToGrid w:val="0"/>
        <w:spacing w:line="360" w:lineRule="auto"/>
        <w:ind w:firstLine="420" w:firstLineChars="200"/>
        <w:rPr>
          <w:rFonts w:hint="eastAsia"/>
        </w:rPr>
      </w:pPr>
      <w:r>
        <w:rPr>
          <w:rFonts w:hint="eastAsia"/>
        </w:rPr>
        <w:t>合同签订后</w:t>
      </w:r>
      <w:r>
        <w:rPr>
          <w:rFonts w:hint="eastAsia"/>
          <w:lang w:val="en-US" w:eastAsia="zh-CN"/>
        </w:rPr>
        <w:t>180</w:t>
      </w:r>
      <w:r>
        <w:rPr>
          <w:rFonts w:hint="eastAsia"/>
        </w:rPr>
        <w:t>天内，完成现场后安装、测试和数据上传。</w:t>
      </w:r>
    </w:p>
    <w:p>
      <w:pPr>
        <w:numPr>
          <w:ilvl w:val="0"/>
          <w:numId w:val="8"/>
        </w:numPr>
        <w:tabs>
          <w:tab w:val="left" w:pos="1573"/>
        </w:tabs>
        <w:adjustRightInd w:val="0"/>
        <w:snapToGrid w:val="0"/>
        <w:spacing w:line="360" w:lineRule="auto"/>
        <w:ind w:firstLine="420" w:firstLineChars="200"/>
      </w:pPr>
      <w:r>
        <w:rPr>
          <w:rFonts w:hint="eastAsia"/>
        </w:rPr>
        <w:t>合同签订后</w:t>
      </w:r>
      <w:r>
        <w:rPr>
          <w:rFonts w:hint="eastAsia"/>
          <w:lang w:val="en-US" w:eastAsia="zh-CN"/>
        </w:rPr>
        <w:t>210</w:t>
      </w:r>
      <w:r>
        <w:rPr>
          <w:rFonts w:hint="eastAsia"/>
        </w:rPr>
        <w:t>天内，完成现场验收。</w:t>
      </w:r>
    </w:p>
    <w:p>
      <w:pPr>
        <w:numPr>
          <w:ilvl w:val="0"/>
          <w:numId w:val="8"/>
        </w:numPr>
        <w:tabs>
          <w:tab w:val="left" w:pos="1573"/>
        </w:tabs>
        <w:adjustRightInd w:val="0"/>
        <w:snapToGrid w:val="0"/>
        <w:spacing w:line="360" w:lineRule="auto"/>
        <w:ind w:firstLine="420" w:firstLineChars="200"/>
        <w:rPr>
          <w:rFonts w:hint="eastAsia"/>
        </w:rPr>
      </w:pPr>
      <w:r>
        <w:rPr>
          <w:rFonts w:hint="eastAsia"/>
        </w:rPr>
        <w:t>备品备件、故障维修、巡检巡查等具体要求按照《2024年气象观测站网工程新上设备建设及质保指导意见（7种生态观测设备）》、《</w:t>
      </w:r>
      <w:r>
        <w:rPr>
          <w:rFonts w:hint="eastAsia"/>
        </w:rPr>
        <w:t>“</w:t>
      </w:r>
      <w:r>
        <w:rPr>
          <w:rFonts w:hint="eastAsia"/>
        </w:rPr>
        <w:t>十四五</w:t>
      </w:r>
      <w:r>
        <w:rPr>
          <w:rFonts w:hint="eastAsia"/>
        </w:rPr>
        <w:t>”</w:t>
      </w:r>
      <w:r>
        <w:rPr>
          <w:rFonts w:hint="eastAsia"/>
        </w:rPr>
        <w:t>期间综合观测类工程项目新上设备建设及质保指导意见》文件执行。</w:t>
      </w:r>
      <w:r>
        <w:rPr>
          <w:rFonts w:hAnsi="仿宋_GB2312" w:cs="仿宋_GB2312" w:hint="eastAsia"/>
          <w:color w:val="3366FF"/>
          <w:lang w:eastAsia="zh-CN"/>
        </w:rPr>
        <w:t>质保</w:t>
      </w:r>
      <w:r>
        <w:rPr>
          <w:rFonts w:hAnsi="仿宋_GB2312" w:cs="仿宋_GB2312" w:hint="eastAsia"/>
          <w:color w:val="3366FF"/>
          <w:lang w:val="en-US" w:eastAsia="zh-CN"/>
        </w:rPr>
        <w:t>6年。</w:t>
      </w:r>
    </w:p>
    <w:p>
      <w:pPr>
        <w:numPr>
          <w:ilvl w:val="0"/>
          <w:numId w:val="7"/>
        </w:numPr>
        <w:adjustRightInd w:val="0"/>
        <w:snapToGrid w:val="0"/>
        <w:spacing w:line="360" w:lineRule="auto"/>
        <w:ind w:left="420"/>
        <w:rPr>
          <w:b/>
        </w:rPr>
      </w:pPr>
      <w:r>
        <w:rPr>
          <w:rFonts w:hint="eastAsia"/>
          <w:b/>
        </w:rPr>
        <w:t>验收</w:t>
      </w:r>
    </w:p>
    <w:p>
      <w:pPr>
        <w:pStyle w:val="BodyTextFirstIndent2"/>
        <w:numPr>
          <w:ilvl w:val="0"/>
          <w:numId w:val="9"/>
        </w:numPr>
        <w:ind w:leftChars="0" w:firstLineChars="0"/>
        <w:rPr>
          <w:rFonts w:hint="eastAsia"/>
          <w:highlight w:val="yellow"/>
        </w:rPr>
      </w:pPr>
      <w:r>
        <w:rPr>
          <w:rFonts w:hint="eastAsia"/>
          <w:highlight w:val="yellow"/>
        </w:rPr>
        <w:t>乙方应按照甲方要求提交合同实施情况报告、出厂测试报告、货物/服务接收清单、现场验收报告、安装后测试报告、业务运行准入测试报告等。</w:t>
      </w:r>
      <w:r>
        <w:rPr>
          <w:rFonts w:hint="eastAsia"/>
          <w:color w:val="FF0000"/>
          <w:highlight w:val="yellow"/>
        </w:rPr>
        <w:t>XX</w:t>
      </w:r>
      <w:r>
        <w:rPr>
          <w:rFonts w:hint="eastAsia"/>
          <w:highlight w:val="yellow"/>
        </w:rPr>
        <w:t>设备需具备装备许可，否则验收为不合格，追究乙方责任。满足《</w:t>
      </w:r>
      <w:r>
        <w:rPr>
          <w:rFonts w:hint="eastAsia"/>
          <w:highlight w:val="yellow"/>
        </w:rPr>
        <w:t>“</w:t>
      </w:r>
      <w:r>
        <w:rPr>
          <w:rFonts w:hint="eastAsia"/>
          <w:highlight w:val="yellow"/>
        </w:rPr>
        <w:t>十四五</w:t>
      </w:r>
      <w:r>
        <w:rPr>
          <w:rFonts w:hint="eastAsia"/>
          <w:highlight w:val="yellow"/>
        </w:rPr>
        <w:t>”</w:t>
      </w:r>
      <w:r>
        <w:rPr>
          <w:rFonts w:hint="eastAsia"/>
          <w:highlight w:val="yellow"/>
        </w:rPr>
        <w:t>期间综合观测类工程项目新上设备验收技术指南》验收要求。</w:t>
      </w:r>
    </w:p>
    <w:p>
      <w:pPr>
        <w:pStyle w:val="BodyTextFirstIndent2"/>
        <w:numPr>
          <w:ilvl w:val="0"/>
          <w:numId w:val="9"/>
        </w:numPr>
        <w:ind w:leftChars="0" w:firstLineChars="0"/>
        <w:rPr>
          <w:rFonts w:hint="eastAsia"/>
          <w:highlight w:val="yellow"/>
        </w:rPr>
      </w:pPr>
      <w:r>
        <w:rPr>
          <w:rFonts w:hint="eastAsia"/>
          <w:highlight w:val="yellow"/>
        </w:rPr>
        <w:t>乙方按照相关规范和投标设备说明书的规定完成设备供货、安装、调试及试运行。</w:t>
      </w:r>
    </w:p>
    <w:p>
      <w:pPr>
        <w:pStyle w:val="BodyTextFirstIndent2"/>
        <w:numPr>
          <w:ilvl w:val="0"/>
          <w:numId w:val="9"/>
        </w:numPr>
        <w:ind w:leftChars="0" w:firstLineChars="0"/>
        <w:rPr>
          <w:rFonts w:hint="eastAsia"/>
          <w:highlight w:val="yellow"/>
        </w:rPr>
      </w:pPr>
      <w:r>
        <w:rPr>
          <w:rFonts w:hint="eastAsia"/>
          <w:highlight w:val="yellow"/>
        </w:rPr>
        <w:t>在设备安装、调试合格后，提交检验测试报告，经甲方验收合格后签署现场验收报告。</w:t>
      </w:r>
    </w:p>
    <w:p>
      <w:pPr>
        <w:pStyle w:val="BodyTextFirstIndent2"/>
        <w:numPr>
          <w:ilvl w:val="0"/>
          <w:numId w:val="9"/>
        </w:numPr>
        <w:ind w:leftChars="0" w:firstLineChars="0"/>
        <w:rPr>
          <w:rFonts w:hint="eastAsia"/>
          <w:highlight w:val="yellow"/>
        </w:rPr>
      </w:pPr>
      <w:r>
        <w:rPr>
          <w:rFonts w:hint="eastAsia"/>
          <w:highlight w:val="yellow"/>
        </w:rPr>
        <w:t>在设备试运行结束后，经甲方验收合格后签署合同验收报告。</w:t>
      </w:r>
      <w:r>
        <w:rPr>
          <w:rFonts w:hint="eastAsia"/>
          <w:color w:val="FF0000"/>
          <w:highlight w:val="yellow"/>
        </w:rPr>
        <w:t>各省根据设备情况补充，</w:t>
      </w:r>
      <w:r>
        <w:rPr>
          <w:rFonts w:hint="eastAsia"/>
          <w:highlight w:val="yellow"/>
        </w:rPr>
        <w:t>按照验收技术指导意见完善。</w:t>
      </w:r>
    </w:p>
    <w:p>
      <w:pPr>
        <w:adjustRightInd w:val="0"/>
        <w:snapToGrid w:val="0"/>
        <w:spacing w:line="360" w:lineRule="auto"/>
        <w:ind w:left="420"/>
        <w:rPr>
          <w:b/>
        </w:rPr>
      </w:pPr>
      <w:r>
        <w:rPr>
          <w:rFonts w:hint="eastAsia"/>
          <w:b/>
        </w:rPr>
        <w:t>（3）运输</w:t>
      </w:r>
    </w:p>
    <w:p>
      <w:pPr>
        <w:adjustRightInd w:val="0"/>
        <w:snapToGrid w:val="0"/>
        <w:spacing w:line="360" w:lineRule="auto"/>
        <w:ind w:left="420"/>
        <w:rPr>
          <w:rFonts w:hint="eastAsia"/>
          <w:highlight w:val="yellow"/>
        </w:rPr>
      </w:pPr>
      <w:r>
        <w:rPr>
          <w:rFonts w:hint="eastAsia"/>
          <w:highlight w:val="yellow"/>
          <w:lang w:eastAsia="zh-CN"/>
        </w:rPr>
        <w:t>由厂家承担运输</w:t>
      </w:r>
    </w:p>
    <w:p>
      <w:pPr>
        <w:adjustRightInd w:val="0"/>
        <w:snapToGrid w:val="0"/>
        <w:spacing w:line="360" w:lineRule="auto"/>
        <w:ind w:left="420"/>
        <w:rPr>
          <w:b/>
        </w:rPr>
      </w:pPr>
      <w:r>
        <w:rPr>
          <w:rFonts w:hint="eastAsia"/>
          <w:b/>
        </w:rPr>
        <w:t>（4）技术服务和保修责任方式</w:t>
      </w:r>
    </w:p>
    <w:p>
      <w:pPr>
        <w:tabs>
          <w:tab w:val="left" w:pos="1573"/>
        </w:tabs>
        <w:adjustRightInd w:val="0"/>
        <w:snapToGrid w:val="0"/>
        <w:spacing w:line="360" w:lineRule="auto"/>
        <w:ind w:left="840"/>
        <w:rPr>
          <w:rFonts w:ascii="宋体" w:hAnsi="宋体"/>
          <w:szCs w:val="21"/>
        </w:rPr>
      </w:pPr>
      <w:r>
        <w:rPr>
          <w:rFonts w:ascii="宋体" w:hAnsi="宋体" w:hint="eastAsia"/>
          <w:szCs w:val="21"/>
        </w:rPr>
        <w:t>1）乙方对合同货物的质量保修期为验收报告签署之日起96 个月。</w:t>
      </w:r>
    </w:p>
    <w:p>
      <w:pPr>
        <w:tabs>
          <w:tab w:val="left" w:pos="1573"/>
        </w:tabs>
        <w:adjustRightInd w:val="0"/>
        <w:snapToGrid w:val="0"/>
        <w:spacing w:line="360" w:lineRule="auto"/>
        <w:ind w:left="840"/>
        <w:rPr>
          <w:rFonts w:ascii="宋体" w:hAnsi="宋体"/>
          <w:szCs w:val="21"/>
        </w:rPr>
      </w:pPr>
      <w:r>
        <w:rPr>
          <w:rFonts w:ascii="宋体" w:hAnsi="宋体" w:hint="eastAsia"/>
          <w:szCs w:val="21"/>
        </w:rPr>
        <w:t>2）在保修期内，如果设备发生故障，乙方将调查故障原因及修复情况及时上报甲方。</w:t>
      </w:r>
    </w:p>
    <w:p>
      <w:pPr>
        <w:tabs>
          <w:tab w:val="left" w:pos="1573"/>
        </w:tabs>
        <w:adjustRightInd w:val="0"/>
        <w:snapToGrid w:val="0"/>
        <w:spacing w:line="360" w:lineRule="auto"/>
        <w:ind w:left="840"/>
        <w:rPr>
          <w:rFonts w:ascii="宋体" w:hAnsi="宋体" w:hint="eastAsia"/>
          <w:szCs w:val="21"/>
          <w:highlight w:val="yellow"/>
        </w:rPr>
      </w:pPr>
      <w:r>
        <w:rPr>
          <w:rFonts w:ascii="宋体" w:hAnsi="宋体" w:hint="eastAsia"/>
          <w:color w:val="FF0000"/>
          <w:szCs w:val="21"/>
        </w:rPr>
        <w:t>3）</w:t>
      </w:r>
      <w:r>
        <w:rPr>
          <w:rFonts w:ascii="宋体" w:hAnsi="宋体" w:hint="eastAsia"/>
          <w:szCs w:val="21"/>
          <w:highlight w:val="yellow"/>
        </w:rPr>
        <w:t>乙方承诺为甲方提供终身免费7天</w:t>
      </w:r>
      <w:r>
        <w:rPr>
          <w:rFonts w:ascii="宋体" w:hAnsi="宋体" w:hint="eastAsia"/>
          <w:szCs w:val="21"/>
          <w:highlight w:val="yellow"/>
        </w:rPr>
        <w:t>×</w:t>
      </w:r>
      <w:r>
        <w:rPr>
          <w:rFonts w:ascii="宋体" w:hAnsi="宋体"/>
          <w:szCs w:val="21"/>
          <w:highlight w:val="yellow"/>
        </w:rPr>
        <w:t>24</w:t>
      </w:r>
      <w:r>
        <w:rPr>
          <w:rFonts w:ascii="宋体" w:hAnsi="宋体" w:hint="eastAsia"/>
          <w:szCs w:val="21"/>
          <w:highlight w:val="yellow"/>
        </w:rPr>
        <w:t>小时远程技术支持服务。在货物出现故障或接到甲方提出的技术服务要求后2小时内予以答复，1</w:t>
      </w:r>
      <w:r>
        <w:rPr>
          <w:rFonts w:ascii="宋体" w:hAnsi="宋体"/>
          <w:szCs w:val="21"/>
          <w:highlight w:val="yellow"/>
        </w:rPr>
        <w:t>2</w:t>
      </w:r>
      <w:r>
        <w:rPr>
          <w:rFonts w:ascii="宋体" w:hAnsi="宋体" w:hint="eastAsia"/>
          <w:szCs w:val="21"/>
          <w:highlight w:val="yellow"/>
        </w:rPr>
        <w:t>小时内给出维修方案。甲方有要求或必要时，乙方将在接到甲方通知后7</w:t>
      </w:r>
      <w:r>
        <w:rPr>
          <w:rFonts w:ascii="宋体" w:hAnsi="宋体"/>
          <w:szCs w:val="21"/>
          <w:highlight w:val="yellow"/>
        </w:rPr>
        <w:t>2</w:t>
      </w:r>
      <w:r>
        <w:rPr>
          <w:rFonts w:ascii="宋体" w:hAnsi="宋体" w:hint="eastAsia"/>
          <w:szCs w:val="21"/>
          <w:highlight w:val="yellow"/>
        </w:rPr>
        <w:t>小时内到达现场。</w:t>
      </w:r>
    </w:p>
    <w:p>
      <w:pPr>
        <w:tabs>
          <w:tab w:val="left" w:pos="1573"/>
        </w:tabs>
        <w:adjustRightInd w:val="0"/>
        <w:snapToGrid w:val="0"/>
        <w:spacing w:line="360" w:lineRule="auto"/>
        <w:ind w:left="840"/>
        <w:rPr>
          <w:rFonts w:ascii="宋体" w:hAnsi="宋体" w:hint="eastAsia"/>
          <w:szCs w:val="21"/>
          <w:highlight w:val="yellow"/>
        </w:rPr>
      </w:pPr>
      <w:r>
        <w:rPr>
          <w:rFonts w:ascii="宋体" w:hAnsi="宋体" w:hint="eastAsia"/>
          <w:szCs w:val="21"/>
          <w:highlight w:val="yellow"/>
        </w:rPr>
        <w:t>4）质保期内提供</w:t>
      </w:r>
      <w:r>
        <w:rPr>
          <w:rFonts w:ascii="宋体" w:hAnsi="宋体" w:hint="eastAsia"/>
          <w:szCs w:val="21"/>
          <w:highlight w:val="yellow"/>
          <w:lang w:val="en-US" w:eastAsia="zh-CN"/>
        </w:rPr>
        <w:t>2</w:t>
      </w:r>
      <w:r>
        <w:rPr>
          <w:rFonts w:ascii="宋体" w:hAnsi="宋体" w:hint="eastAsia"/>
          <w:szCs w:val="21"/>
          <w:highlight w:val="yellow"/>
        </w:rPr>
        <w:t>次现场培训</w:t>
      </w:r>
    </w:p>
    <w:p>
      <w:pPr>
        <w:adjustRightInd w:val="0"/>
        <w:snapToGrid w:val="0"/>
        <w:spacing w:line="360" w:lineRule="auto"/>
        <w:ind w:left="420"/>
        <w:rPr>
          <w:b/>
        </w:rPr>
      </w:pPr>
      <w:r>
        <w:rPr>
          <w:rFonts w:hint="eastAsia"/>
          <w:b/>
        </w:rPr>
        <w:t>（5）安全生产责任</w:t>
      </w:r>
    </w:p>
    <w:p>
      <w:pPr>
        <w:adjustRightInd w:val="0"/>
        <w:snapToGrid w:val="0"/>
        <w:spacing w:line="400" w:lineRule="exact"/>
        <w:ind w:left="420"/>
        <w:rPr>
          <w:rFonts w:hint="eastAsia"/>
          <w:color w:val="FF0000"/>
          <w:highlight w:val="yellow"/>
        </w:rPr>
      </w:pPr>
      <w:r>
        <w:rPr>
          <w:rFonts w:hint="eastAsia"/>
          <w:color w:val="FF0000"/>
          <w:highlight w:val="yellow"/>
          <w:lang w:eastAsia="zh-CN"/>
        </w:rPr>
        <w:t>项目建设过程需要中标方做好安全生产管理</w:t>
      </w:r>
    </w:p>
    <w:p>
      <w:pPr>
        <w:adjustRightInd w:val="0"/>
        <w:snapToGrid w:val="0"/>
        <w:spacing w:line="400" w:lineRule="exact"/>
        <w:ind w:left="420"/>
        <w:rPr>
          <w:rFonts w:ascii="宋体" w:hAnsi="宋体"/>
          <w:bCs/>
          <w:szCs w:val="21"/>
        </w:rPr>
      </w:pPr>
      <w:r>
        <w:rPr>
          <w:rFonts w:ascii="宋体" w:hAnsi="宋体" w:hint="eastAsia"/>
          <w:bCs/>
          <w:szCs w:val="21"/>
        </w:rPr>
        <w:t>（6）验收组织方式：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履约验收程序：</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735" w:firstLineChars="350"/>
        <w:rPr>
          <w:rFonts w:ascii="宋体" w:hAnsi="宋体"/>
          <w:bCs/>
          <w:szCs w:val="21"/>
          <w:u w:val="single"/>
        </w:rPr>
      </w:pPr>
      <w:r>
        <w:rPr>
          <w:rFonts w:ascii="宋体" w:hAnsi="宋体" w:hint="eastAsia"/>
          <w:bCs/>
          <w:szCs w:val="21"/>
        </w:rPr>
        <w:t>履约验收标准：</w:t>
      </w:r>
      <w:r>
        <w:rPr>
          <w:rFonts w:ascii="宋体" w:hAnsi="宋体" w:hint="eastAsia"/>
          <w:bCs/>
          <w:szCs w:val="21"/>
          <w:u w:val="single"/>
        </w:rPr>
        <w:t xml:space="preserve">                                         </w:t>
      </w:r>
    </w:p>
    <w:p>
      <w:pPr>
        <w:pStyle w:val="AONormal"/>
        <w:ind w:firstLine="735" w:firstLineChars="350"/>
        <w:rPr>
          <w:rFonts w:ascii="宋体" w:eastAsia="宋体" w:hAnsi="宋体" w:cs="宋体"/>
          <w:sz w:val="21"/>
        </w:rPr>
      </w:pP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735" w:firstLineChars="350"/>
        <w:rPr>
          <w:rFonts w:ascii="宋体" w:hAnsi="宋体" w:cs="宋体"/>
          <w:bCs/>
          <w:szCs w:val="21"/>
          <w:u w:val="single"/>
        </w:rPr>
      </w:pPr>
      <w:r>
        <w:rPr>
          <w:rFonts w:ascii="宋体" w:hAnsi="宋体" w:cs="宋体" w:hint="eastAsia"/>
          <w:bCs/>
          <w:szCs w:val="21"/>
        </w:rPr>
        <w:t>履约验收其他事项：</w:t>
      </w:r>
      <w:r>
        <w:rPr>
          <w:rFonts w:ascii="宋体" w:hAnsi="宋体" w:cs="宋体" w:hint="eastAsia"/>
          <w:bCs/>
          <w:szCs w:val="21"/>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00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000"/>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CellMar>
            <w:top w:w="0" w:type="dxa"/>
            <w:left w:w="108" w:type="dxa"/>
            <w:bottom w:w="0" w:type="dxa"/>
            <w:right w:w="108" w:type="dxa"/>
          </w:tblCellMar>
          <w:tblLook w:val="0000"/>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CellMar>
            <w:top w:w="0" w:type="dxa"/>
            <w:left w:w="108" w:type="dxa"/>
            <w:bottom w:w="0" w:type="dxa"/>
            <w:right w:w="108" w:type="dxa"/>
          </w:tblCellMar>
          <w:tblLook w:val="0000"/>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CellMar>
            <w:top w:w="0" w:type="dxa"/>
            <w:left w:w="108" w:type="dxa"/>
            <w:bottom w:w="0" w:type="dxa"/>
            <w:right w:w="108" w:type="dxa"/>
          </w:tblCellMar>
          <w:tblLook w:val="0000"/>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69" w:name="_Toc27624"/>
      <w:r>
        <w:rPr>
          <w:rFonts w:ascii="黑体" w:hAnsi="黑体" w:hint="eastAsia"/>
          <w:b w:val="0"/>
          <w:bCs w:val="0"/>
          <w:sz w:val="28"/>
          <w:szCs w:val="28"/>
        </w:rPr>
        <w:t>第二节 政府采购合同通用条款</w:t>
      </w:r>
      <w:bookmarkEnd w:id="69"/>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w:t>
      </w:r>
      <w:r>
        <w:rPr>
          <w:rFonts w:ascii="宋体" w:hAnsi="宋体" w:hint="eastAsia"/>
          <w:szCs w:val="21"/>
        </w:rPr>
        <w:t>“</w:t>
      </w:r>
      <w:r>
        <w:rPr>
          <w:rFonts w:ascii="宋体" w:hAnsi="宋体" w:hint="eastAsia"/>
          <w:szCs w:val="21"/>
        </w:rPr>
        <w:t>合同</w:t>
      </w:r>
      <w:r>
        <w:rPr>
          <w:rFonts w:ascii="宋体" w:hAnsi="宋体" w:hint="eastAsia"/>
          <w:szCs w:val="21"/>
        </w:rPr>
        <w:t>”</w:t>
      </w:r>
      <w:r>
        <w:rPr>
          <w:rFonts w:ascii="宋体" w:hAnsi="宋体" w:hint="eastAsia"/>
          <w:szCs w:val="21"/>
        </w:rPr>
        <w:t>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w:t>
      </w:r>
      <w:r>
        <w:rPr>
          <w:rFonts w:ascii="宋体" w:hAnsi="宋体" w:hint="eastAsia"/>
          <w:szCs w:val="21"/>
        </w:rPr>
        <w:t>“</w:t>
      </w:r>
      <w:r>
        <w:rPr>
          <w:rFonts w:ascii="宋体" w:hAnsi="宋体" w:hint="eastAsia"/>
          <w:szCs w:val="21"/>
        </w:rPr>
        <w:t>合同价款</w:t>
      </w:r>
      <w:r>
        <w:rPr>
          <w:rFonts w:ascii="宋体" w:hAnsi="宋体" w:hint="eastAsia"/>
          <w:szCs w:val="21"/>
        </w:rPr>
        <w:t>”</w:t>
      </w:r>
      <w:r>
        <w:rPr>
          <w:rFonts w:ascii="宋体" w:hAnsi="宋体" w:hint="eastAsia"/>
          <w:szCs w:val="21"/>
        </w:rPr>
        <w:t>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w:t>
      </w:r>
      <w:r>
        <w:rPr>
          <w:rFonts w:ascii="宋体" w:hAnsi="宋体" w:hint="eastAsia"/>
          <w:szCs w:val="21"/>
        </w:rPr>
        <w:t>“</w:t>
      </w:r>
      <w:r>
        <w:rPr>
          <w:rFonts w:ascii="宋体" w:hAnsi="宋体" w:hint="eastAsia"/>
          <w:szCs w:val="21"/>
        </w:rPr>
        <w:t>货物</w:t>
      </w:r>
      <w:r>
        <w:rPr>
          <w:rFonts w:ascii="宋体" w:hAnsi="宋体" w:hint="eastAsia"/>
          <w:szCs w:val="21"/>
        </w:rPr>
        <w:t>”</w:t>
      </w:r>
      <w:r>
        <w:rPr>
          <w:rFonts w:ascii="宋体" w:hAnsi="宋体" w:hint="eastAsia"/>
          <w:szCs w:val="21"/>
        </w:rPr>
        <w:t>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w:t>
      </w:r>
      <w:r>
        <w:rPr>
          <w:rFonts w:ascii="宋体" w:hAnsi="宋体" w:hint="eastAsia"/>
          <w:color w:val="000000"/>
          <w:szCs w:val="21"/>
        </w:rPr>
        <w:t>”</w:t>
      </w:r>
      <w:r>
        <w:rPr>
          <w:rFonts w:ascii="宋体" w:hAnsi="宋体" w:hint="eastAsia"/>
          <w:color w:val="000000"/>
          <w:szCs w:val="21"/>
        </w:rPr>
        <w:t>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hint="eastAsia"/>
          <w:color w:val="000000"/>
          <w:szCs w:val="21"/>
        </w:rPr>
        <w:t>“</w:t>
      </w:r>
      <w:r>
        <w:rPr>
          <w:rFonts w:ascii="宋体" w:hAnsi="宋体" w:hint="eastAsia"/>
          <w:color w:val="000000"/>
          <w:szCs w:val="21"/>
        </w:rPr>
        <w:t>分包</w:t>
      </w:r>
      <w:r>
        <w:rPr>
          <w:rFonts w:ascii="宋体" w:hAnsi="宋体" w:hint="eastAsia"/>
          <w:color w:val="000000"/>
          <w:szCs w:val="21"/>
        </w:rPr>
        <w:t>”</w:t>
      </w:r>
      <w:r>
        <w:rPr>
          <w:rFonts w:ascii="宋体" w:hAnsi="宋体" w:hint="eastAsia"/>
          <w:color w:val="000000"/>
          <w:szCs w:val="21"/>
        </w:rPr>
        <w:t>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w:t>
      </w:r>
      <w:r>
        <w:rPr>
          <w:rFonts w:ascii="宋体" w:hAnsi="宋体" w:hint="eastAsia"/>
          <w:szCs w:val="21"/>
        </w:rPr>
        <w:t>联合体</w:t>
      </w:r>
      <w:r>
        <w:rPr>
          <w:rFonts w:ascii="宋体" w:hAnsi="宋体" w:hint="eastAsia"/>
          <w:szCs w:val="21"/>
        </w:rPr>
        <w:t>”</w:t>
      </w:r>
      <w:r>
        <w:rPr>
          <w:rFonts w:ascii="宋体" w:hAnsi="宋体" w:hint="eastAsia"/>
          <w:szCs w:val="21"/>
        </w:rPr>
        <w:t>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0"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0"/>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2"/>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3"/>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1"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0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Merge w:val="restart"/>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Merge/>
            <w:vAlign w:val="center"/>
          </w:tcPr>
          <w:p>
            <w:pPr>
              <w:adjustRightInd w:val="0"/>
              <w:snapToGrid w:val="0"/>
              <w:jc w:val="center"/>
              <w:rPr>
                <w:rFonts w:ascii="宋体" w:hAnsi="宋体"/>
                <w:szCs w:val="21"/>
              </w:rPr>
            </w:pPr>
          </w:p>
        </w:tc>
        <w:tc>
          <w:tcPr>
            <w:tcW w:w="1742" w:type="dxa"/>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772"/>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66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Look w:val="0000"/>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Look w:val="0000"/>
        </w:tblPrEx>
        <w:trPr>
          <w:trHeight w:val="770"/>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szCs w:val="21"/>
              </w:rPr>
            </w:pPr>
          </w:p>
        </w:tc>
      </w:tr>
    </w:tbl>
    <w:p/>
    <w:p>
      <w:pPr>
        <w:rPr>
          <w:b/>
          <w:bCs/>
          <w:sz w:val="44"/>
          <w:szCs w:val="44"/>
        </w:rPr>
      </w:pPr>
    </w:p>
    <w:p/>
    <w:p w:rsidR="00A77B3E"/>
    <w:p>
      <w:pPr>
        <w:numPr>
          <w:ilvl w:val="0"/>
          <w:numId w:val="5"/>
        </w:numPr>
        <w:spacing w:line="360" w:lineRule="auto"/>
        <w:ind w:firstLine="3066" w:firstLineChars="1460"/>
        <w:jc w:val="left"/>
        <w:rPr>
          <w:b/>
          <w:bCs/>
          <w:szCs w:val="21"/>
        </w:rPr>
      </w:pPr>
      <w:bookmarkEnd w:id="66"/>
    </w:p>
    <w:sectPr>
      <w:pgSz w:w="11906" w:h="16838"/>
      <w:pgMar w:top="1440" w:right="1800" w:bottom="1440" w:left="1800" w:header="851" w:footer="992" w:gutter="0"/>
      <w:cols w:space="708"/>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0002AFF" w:usb1="C000247B" w:usb2="00000009" w:usb3="00000000" w:csb0="000001FF"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multilevel"/>
    <w:tmpl w:val="CFE7C3F8"/>
    <w:lvl w:ilvl="0">
      <w:start w:val="1"/>
      <w:numFmt w:val="decimal"/>
      <w:suff w:val="nothing"/>
      <w:lvlText w:val="（%1）"/>
      <w:lvlJc w:val="left"/>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6">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8">
    <w:nsid w:val="21530C5B"/>
    <w:multiLevelType w:val="singleLevel"/>
    <w:tmpl w:val="21530C5B"/>
    <w:lvl w:ilvl="0">
      <w:start w:val="1"/>
      <w:numFmt w:val="decimal"/>
      <w:lvlText w:val="%1)"/>
      <w:lvlJc w:val="left"/>
      <w:pPr>
        <w:ind w:left="562"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3">
    <w:nsid w:val="71896B7A"/>
    <w:multiLevelType w:val="multilevel"/>
    <w:tmpl w:val="71896B7A"/>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14">
    <w:nsid w:val="7A0F6431"/>
    <w:multiLevelType w:val="singleLevel"/>
    <w:tmpl w:val="7A0F6431"/>
    <w:lvl w:ilvl="0">
      <w:start w:val="1"/>
      <w:numFmt w:val="decimal"/>
      <w:suff w:val="space"/>
      <w:lvlText w:val="%1."/>
      <w:lvlJc w:val="left"/>
    </w:lvl>
  </w:abstractNum>
  <w:num w:numId="1">
    <w:abstractNumId w:val="5"/>
  </w:num>
  <w:num w:numId="2">
    <w:abstractNumId w:val="6"/>
  </w:num>
  <w:num w:numId="3">
    <w:abstractNumId w:val="7"/>
  </w:num>
  <w:num w:numId="4">
    <w:abstractNumId w:val="12"/>
  </w:num>
  <w:num w:numId="5">
    <w:abstractNumId w:val="11"/>
  </w:num>
  <w:num w:numId="6">
    <w:abstractNumId w:val="14"/>
  </w:num>
  <w:num w:numId="7">
    <w:abstractNumId w:val="1"/>
  </w:num>
  <w:num w:numId="8">
    <w:abstractNumId w:val="8"/>
  </w:num>
  <w:num w:numId="9">
    <w:abstractNumId w:val="13"/>
  </w:num>
  <w:num w:numId="10">
    <w:abstractNumId w:val="3"/>
  </w:num>
  <w:num w:numId="11">
    <w:abstractNumId w:val="2"/>
  </w:num>
  <w:num w:numId="12">
    <w:abstractNumId w:val="10"/>
  </w:num>
  <w:num w:numId="13">
    <w:abstractNumId w:val="0"/>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E6200"/>
    <w:rsid w:val="000E7870"/>
    <w:rsid w:val="000F2748"/>
    <w:rsid w:val="000F6D0B"/>
    <w:rsid w:val="0010660E"/>
    <w:rsid w:val="00110F6C"/>
    <w:rsid w:val="001238AC"/>
    <w:rsid w:val="00123A96"/>
    <w:rsid w:val="0013192F"/>
    <w:rsid w:val="00131C64"/>
    <w:rsid w:val="00165CE6"/>
    <w:rsid w:val="0016708A"/>
    <w:rsid w:val="00176A5E"/>
    <w:rsid w:val="001D43A6"/>
    <w:rsid w:val="001D559B"/>
    <w:rsid w:val="001D5E99"/>
    <w:rsid w:val="001E35E0"/>
    <w:rsid w:val="001F3A3B"/>
    <w:rsid w:val="00211690"/>
    <w:rsid w:val="0021525A"/>
    <w:rsid w:val="00223224"/>
    <w:rsid w:val="00235153"/>
    <w:rsid w:val="002503CA"/>
    <w:rsid w:val="00271216"/>
    <w:rsid w:val="00282D5E"/>
    <w:rsid w:val="00295140"/>
    <w:rsid w:val="002B1EC1"/>
    <w:rsid w:val="002B3B35"/>
    <w:rsid w:val="002B7975"/>
    <w:rsid w:val="002C0F0A"/>
    <w:rsid w:val="002C33FE"/>
    <w:rsid w:val="002D7404"/>
    <w:rsid w:val="002D761D"/>
    <w:rsid w:val="002E33DD"/>
    <w:rsid w:val="002F1A36"/>
    <w:rsid w:val="00316EC6"/>
    <w:rsid w:val="00331088"/>
    <w:rsid w:val="003414CE"/>
    <w:rsid w:val="00346214"/>
    <w:rsid w:val="00364E8F"/>
    <w:rsid w:val="00367AB7"/>
    <w:rsid w:val="00393AFB"/>
    <w:rsid w:val="0039635B"/>
    <w:rsid w:val="0039653C"/>
    <w:rsid w:val="003A16E0"/>
    <w:rsid w:val="003A3902"/>
    <w:rsid w:val="003A79E1"/>
    <w:rsid w:val="003B0E00"/>
    <w:rsid w:val="003B42D9"/>
    <w:rsid w:val="003C1503"/>
    <w:rsid w:val="003C2C43"/>
    <w:rsid w:val="003E552D"/>
    <w:rsid w:val="003F56F2"/>
    <w:rsid w:val="00405E1B"/>
    <w:rsid w:val="00436BCE"/>
    <w:rsid w:val="00444AF7"/>
    <w:rsid w:val="00451CD1"/>
    <w:rsid w:val="00454581"/>
    <w:rsid w:val="00456D0E"/>
    <w:rsid w:val="00462328"/>
    <w:rsid w:val="00477F37"/>
    <w:rsid w:val="00480310"/>
    <w:rsid w:val="00482326"/>
    <w:rsid w:val="0049742F"/>
    <w:rsid w:val="004A48A7"/>
    <w:rsid w:val="004A5407"/>
    <w:rsid w:val="004B39D2"/>
    <w:rsid w:val="004C2CE8"/>
    <w:rsid w:val="004E1FDE"/>
    <w:rsid w:val="004F38CB"/>
    <w:rsid w:val="004F7454"/>
    <w:rsid w:val="005020A4"/>
    <w:rsid w:val="00503B9A"/>
    <w:rsid w:val="00503EA9"/>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3F30"/>
    <w:rsid w:val="005F1203"/>
    <w:rsid w:val="00605343"/>
    <w:rsid w:val="0061056B"/>
    <w:rsid w:val="006232BC"/>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E1968"/>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B5263"/>
    <w:rsid w:val="00AC54A0"/>
    <w:rsid w:val="00AC79D0"/>
    <w:rsid w:val="00AE1687"/>
    <w:rsid w:val="00AF513E"/>
    <w:rsid w:val="00B1396B"/>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DF5AAC"/>
    <w:rsid w:val="00E01033"/>
    <w:rsid w:val="00E10766"/>
    <w:rsid w:val="00E127E2"/>
    <w:rsid w:val="00E22077"/>
    <w:rsid w:val="00E42569"/>
    <w:rsid w:val="00E5303B"/>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7CE3"/>
    <w:rsid w:val="00FF2E6C"/>
    <w:rsid w:val="00FF4447"/>
    <w:rsid w:val="00FF638E"/>
    <w:rsid w:val="188F74E0"/>
    <w:rsid w:val="1DE101C9"/>
    <w:rsid w:val="281F6319"/>
    <w:rsid w:val="2E411B7D"/>
    <w:rsid w:val="306A2DAC"/>
    <w:rsid w:val="51A907ED"/>
    <w:rsid w:val="58535795"/>
    <w:rsid w:val="5BC62547"/>
    <w:rsid w:val="5ED54891"/>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eastAsia="zh-CN"/>
    </w:rPr>
  </w:style>
  <w:style w:type="paragraph" w:styleId="BodyTextFirstIndent2">
    <w:name w:val="Body Text First Indent 2"/>
    <w:basedOn w:val="BodyTextIndent"/>
    <w:link w:val="2Char0"/>
    <w:pPr>
      <w:ind w:firstLine="420" w:firstLineChars="200"/>
    </w:pPr>
    <w:rPr>
      <w:rFonts w:ascii="Calibri" w:eastAsia="宋体" w:hAnsi="Calibri" w:cs="Times New Roman"/>
    </w:rPr>
  </w:style>
  <w:style w:type="character" w:customStyle="1" w:styleId="2Char0">
    <w:name w:val="正文首行缩进 2 Char"/>
    <w:link w:val="BodyTextFirstIndent2"/>
    <w:rPr>
      <w:rFonts w:ascii="Calibri" w:eastAsia="宋体" w:hAnsi="Calibri" w:cs="Times New Roman"/>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26525</Words>
  <Characters>28090</Characters>
  <Application>Microsoft Office Word</Application>
  <DocSecurity>0</DocSecurity>
  <Lines>439</Lines>
  <Paragraphs>123</Paragraphs>
  <ScaleCrop>false</ScaleCrop>
  <Company/>
  <LinksUpToDate>false</LinksUpToDate>
  <CharactersWithSpaces>28279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2025-07-01T08:02:43Z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