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互联网数据收集、质量评估及行业数据普查系统升级建设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互联网数据收集、质量评估及行业数据普查系统升级建设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ZQCD-26175</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在合同签订后12个月内完成项目</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国家气象信息中心交付</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2026年08月18日 00:00:00</w:t>
      </w:r>
      <w:bookmarkEnd w:id="27"/>
      <w:r>
        <w:rPr>
          <w:rFonts w:ascii="宋体" w:hint="eastAsia"/>
          <w:szCs w:val="21"/>
          <w:highlight w:val="none"/>
        </w:rPr>
        <w:t>至</w:t>
      </w:r>
      <w:bookmarkStart w:id="28" w:name="项目公告_signUpLastTime"/>
      <w:r>
        <w:rPr>
          <w:rFonts w:ascii="宋体" w:hint="eastAsia"/>
          <w:szCs w:val="21"/>
          <w:highlight w:val="none"/>
        </w:rPr>
        <w:t>2026年08月25日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2026年09月08日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姜澍辰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010-58994368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（1）标的：互联网数据收集、质量评估及行业数据普查系统升级建设，属于软件和信息技术服务业行业；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是，代理服务费：1.6万元。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108.000000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108.000000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6"/>
        <w:gridCol w:w="273"/>
        <w:gridCol w:w="1337"/>
        <w:gridCol w:w="273"/>
        <w:gridCol w:w="69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ISO9000系列或GJB9001B质量管理体系认证；</w:t>
              <w:cr/>
              <w:t>2、投标人具有ISO20000信息技术服务管理体系认证；</w:t>
              <w:cr/>
              <w:t>3、投标人具有ISO27001信息安全管理体系认证；</w:t>
              <w:cr/>
              <w:t>以上每有一个证书得1分，满分3分。否则不得分。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每提供1份合同得2分，最多得10分。否则不得分。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(10)</w:t>
            </w:r>
          </w:p>
        </w:tc>
        <w:tc>
          <w:tcPr/>
          <w:p>
            <w:r>
              <w:t>评审标准：</w:t>
            </w:r>
          </w:p>
          <w:p>
            <w:r>
              <w:t>每提供1份软件著作权证书得2分，最多得 10分。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(14)</w:t>
            </w:r>
          </w:p>
        </w:tc>
        <w:tc>
          <w:tcPr/>
          <w:p>
            <w:r>
              <w:t>评审标准：</w:t>
            </w:r>
          </w:p>
          <w:p>
            <w:r>
              <w:t>投标人应组成本项目开发服务团队，团队组织结构清晰。具体如下：</w:t>
              <w:cr/>
              <w:t>1、开发服务团队人数为5人的得1分，在此基础上，每增加1人加1分，最高得3分。</w:t>
              <w:cr/>
              <w:t>2、开发服务团队驻场人员至少2人得2分，否则不得分。</w:t>
              <w:cr/>
              <w:t>3、项目经理具备气象或计算机或地理信息等相关专业高级或以上职称，并且具有3年及以上同类项目开发经验的，得3分。</w:t>
              <w:cr/>
              <w:t>4、拟派本项目团队成员（除项目经理外）中，每有1人有计算机、地理信息系统等相关专业高级或以上技术职称得2分，每有1人有计算机、地理信息系统等相关专业中级技术职称得1分，最高得6分。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(6)</w:t>
            </w:r>
          </w:p>
        </w:tc>
        <w:tc>
          <w:tcPr/>
          <w:p>
            <w:r>
              <w:t>评审标准：</w:t>
            </w:r>
          </w:p>
          <w:p>
            <w:r>
              <w:t>承诺质量保证期内采购人免费拥有20%的软件需求变更权利，得6分。</w:t>
            </w:r>
          </w:p>
          <w:p>
            <w:r>
              <w:t>评审标准说明：</w:t>
            </w:r>
          </w:p>
          <w:p>
            <w:r>
              <w:t>提供加盖投标人公章的书面承诺。</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(1)</w:t>
            </w:r>
          </w:p>
        </w:tc>
        <w:tc>
          <w:tcPr/>
          <w:p>
            <w:r>
              <w:t>评审标准：</w:t>
            </w:r>
          </w:p>
          <w:p>
            <w:r>
              <w:t>一档0分</w:t>
              <w:cr/>
              <w:t>二档0.25分</w:t>
              <w:cr/>
              <w:t>三档0.5分</w:t>
              <w:cr/>
              <w:t>四档1分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(1)</w:t>
            </w:r>
          </w:p>
        </w:tc>
        <w:tc>
          <w:tcPr/>
          <w:p>
            <w:r>
              <w:t>评审标准：</w:t>
            </w:r>
          </w:p>
          <w:p>
            <w:r>
              <w:t>一档0分</w:t>
              <w:cr/>
              <w:t>二档0.25分</w:t>
              <w:cr/>
              <w:t>三档0.5分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(1)</w:t>
            </w:r>
          </w:p>
        </w:tc>
        <w:tc>
          <w:tcPr/>
          <w:p>
            <w:r>
              <w:t>评审标准：</w:t>
            </w:r>
          </w:p>
          <w:p>
            <w:r>
              <w:t>一档0分</w:t>
              <w:cr/>
              <w:t>二档0.25分</w:t>
              <w:cr/>
              <w:t>三档0.5分</w:t>
              <w:cr/>
              <w:t>四档1分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软件功能需求分析（主观分）</w:t>
            </w:r>
          </w:p>
        </w:tc>
        <w:tc>
          <w:tcPr/>
          <w:p>
            <w:r>
              <w:t>勾选打分</w:t>
            </w:r>
            <w:r>
              <w:t>(4)</w:t>
            </w:r>
          </w:p>
        </w:tc>
        <w:tc>
          <w:tcPr/>
          <w:p>
            <w:r>
              <w:t>评审标准：</w:t>
            </w:r>
          </w:p>
          <w:p>
            <w:r>
              <w:t>一档0分</w:t>
              <w:cr/>
              <w:t>二档1分</w:t>
              <w:cr/>
              <w:t>三档2分</w:t>
              <w:cr/>
              <w:t>四档4分</w:t>
            </w:r>
          </w:p>
          <w:p>
            <w:r>
              <w:t>评审标准说明：</w:t>
            </w:r>
          </w:p>
          <w:p>
            <w:r>
              <w:t>依据“第七章 采购购需求”第5节，对互联网数据收集系统、地球系统数据质量评估系统、各省行业数据收集与共享情况普查进行功能拆分和业务流程分析。</w:t>
              <w:cr/>
              <w:t>一档：未提供。</w:t>
              <w:cr/>
              <w:t>二档：仅分析部分系统，功能拆分不完整。</w:t>
              <w:cr/>
              <w:t>三档：基本覆盖三个系统主要功能，但部分功能点、用户操作、输入输出或业务流程分析不充分。</w:t>
              <w:cr/>
              <w:t>四档：完整覆盖三个系统全部功能，逐项说明用户角色、业务流程、输入输出、处理规则及功能之间的关系，分析具体、合理。</w:t>
            </w:r>
          </w:p>
          <w:p/>
        </w:tc>
      </w:tr>
      <w:tr>
        <w:tblPrEx>
          <w:tblW w:w="5000" w:type="pct"/>
          <w:tblCellMar>
            <w:left w:w="108" w:type="dxa"/>
            <w:right w:w="108" w:type="dxa"/>
          </w:tblCellMar>
        </w:tblPrEx>
        <w:tc>
          <w:tcPr/>
          <w:p>
            <w:r>
              <w:t>11</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依据“第七章 采购需求“第1节至第4节，对项目背景、建设目标、基本要求、现有业务衔接、系统用户及职责进行分析。</w:t>
              <w:cr/>
              <w:t>一档：未提供。</w:t>
              <w:cr/>
              <w:t>二档：仅作原则性描述，对建设范围、现有系统衔接或用户职责存在明显遗漏。</w:t>
              <w:cr/>
              <w:t>三档：基本理解项目背景、建设目标、建设范围和用户需求，但对互联网数据收集、质量评估和行业数据普查三方面业务能力之间的衔接分析不充分。</w:t>
              <w:cr/>
              <w:t>四档：准确说明项目背景、建设目标、建设范围、现有环境衔接及各类用户业务需求，内容与采购需求一致，重点清晰。</w:t>
            </w:r>
          </w:p>
          <w:p/>
        </w:tc>
      </w:tr>
      <w:tr>
        <w:tblPrEx>
          <w:tblW w:w="5000" w:type="pct"/>
          <w:tblCellMar>
            <w:left w:w="108" w:type="dxa"/>
            <w:right w:w="108" w:type="dxa"/>
          </w:tblCellMar>
        </w:tblPrEx>
        <w:tc>
          <w:tcPr/>
          <w:p>
            <w:r>
              <w:t>12</w:t>
            </w:r>
          </w:p>
        </w:tc>
        <w:tc>
          <w:tcPr>
            <w:vMerge/>
          </w:tcPr>
          <w:p>
            <w:r>
              <w:t>技术部分</w:t>
            </w:r>
          </w:p>
        </w:tc>
        <w:tc>
          <w:tcPr/>
          <w:p>
            <w:r>
              <w:t>软件数据需求分析（主观分）</w:t>
            </w:r>
          </w:p>
        </w:tc>
        <w:tc>
          <w:tcPr/>
          <w:p>
            <w:r>
              <w:t>勾选打分</w:t>
            </w:r>
            <w:r>
              <w:t>(3)</w:t>
            </w:r>
          </w:p>
        </w:tc>
        <w:tc>
          <w:tcPr/>
          <w:p>
            <w:r>
              <w:t>评审标准：</w:t>
            </w:r>
          </w:p>
          <w:p>
            <w:r>
              <w:t>一档0分</w:t>
              <w:cr/>
              <w:t>二档1分</w:t>
              <w:cr/>
              <w:t>三档2分</w:t>
              <w:cr/>
              <w:t>四档3分</w:t>
            </w:r>
          </w:p>
          <w:p>
            <w:r>
              <w:t>评审标准说明：</w:t>
            </w:r>
          </w:p>
          <w:p>
            <w:r>
              <w:t>依据“第七章 采购需求”第5节，对地面及高空、海洋、数值预报、再分析、卫星及其他类型的当前已知和未来新增资料，17类重点主备资料、ERA5数据、质量评估数据、元数据、飞机观测与颠簸数据以及行业普查数据进行分析。</w:t>
              <w:cr/>
              <w:t>一档：未提供。</w:t>
              <w:cr/>
              <w:t>二档：仅列举部分数据类别，未说明数据特征和处理要求。</w:t>
              <w:cr/>
              <w:t>三档：基本覆盖主要数据对象，说明数据格式、时空范围、更新周期、版本、目录或统计口径，但部分内容不完整。</w:t>
              <w:cr/>
              <w:t>四档：全面覆盖所列明的数据对象，明确数据来源、访问方式、格式、命名与目录规则、时空和版本特征、更新周期、校验、存储及统计口径。</w:t>
            </w:r>
          </w:p>
          <w:p/>
        </w:tc>
      </w:tr>
      <w:tr>
        <w:tblPrEx>
          <w:tblW w:w="5000" w:type="pct"/>
          <w:tblCellMar>
            <w:left w:w="108" w:type="dxa"/>
            <w:right w:w="108" w:type="dxa"/>
          </w:tblCellMar>
        </w:tblPrEx>
        <w:tc>
          <w:tcPr/>
          <w:p>
            <w:r>
              <w:t>13</w:t>
            </w:r>
          </w:p>
        </w:tc>
        <w:tc>
          <w:tcPr>
            <w:vMerge/>
          </w:tcPr>
          <w:p>
            <w:r>
              <w:t>技术部分</w:t>
            </w:r>
          </w:p>
        </w:tc>
        <w:tc>
          <w:tcPr/>
          <w:p>
            <w:r>
              <w:t>软件接口需求分析（主观分）</w:t>
            </w:r>
          </w:p>
        </w:tc>
        <w:tc>
          <w:tcPr/>
          <w:p>
            <w:r>
              <w:t>勾选打分</w:t>
            </w:r>
            <w:r>
              <w:t>(3)</w:t>
            </w:r>
          </w:p>
        </w:tc>
        <w:tc>
          <w:tcPr/>
          <w:p>
            <w:r>
              <w:t>评审标准：</w:t>
            </w:r>
          </w:p>
          <w:p>
            <w:r>
              <w:t>一档0分</w:t>
              <w:cr/>
              <w:t>二档1分</w:t>
              <w:cr/>
              <w:t>三档2分</w:t>
              <w:cr/>
              <w:t>四档3分</w:t>
            </w:r>
          </w:p>
          <w:p>
            <w:r>
              <w:t>评审标准说明：</w:t>
            </w:r>
          </w:p>
          <w:p>
            <w:r>
              <w:t>依据“第七章 采购需求”第3节、第5节和第6节，对天元、天擎、天镜、天衡天衍、OA证书认证及相关业务平台接口进行分析和设计。</w:t>
              <w:cr/>
              <w:t>一档：未提供。</w:t>
              <w:cr/>
              <w:t>二档：仅列出部分接口对象，缺少调用及异常处理设计。</w:t>
              <w:cr/>
              <w:t>三档：基本覆盖主要接口，说明调用方式、参数和返回结果，但认证、安全、错误码、超时重试或日志设计不充分。</w:t>
              <w:cr/>
              <w:t>四档：完整覆盖接口对象，明确接口地址、认证、调用方式、请求参数、返回结果、错误码、超时重试、调用日志及异常处理，并保证数据格式、时间格式、编码和业务口径一致。</w:t>
            </w:r>
          </w:p>
          <w:p/>
        </w:tc>
      </w:tr>
      <w:tr>
        <w:tblPrEx>
          <w:tblW w:w="5000" w:type="pct"/>
          <w:tblCellMar>
            <w:left w:w="108" w:type="dxa"/>
            <w:right w:w="108" w:type="dxa"/>
          </w:tblCellMar>
        </w:tblPrEx>
        <w:tc>
          <w:tcPr/>
          <w:p>
            <w:r>
              <w:t>14</w:t>
            </w:r>
          </w:p>
        </w:tc>
        <w:tc>
          <w:tcPr>
            <w:vMerge/>
          </w:tcPr>
          <w:p>
            <w:r>
              <w:t>技术部分</w:t>
            </w:r>
          </w:p>
        </w:tc>
        <w:tc>
          <w:tcPr/>
          <w:p>
            <w:r>
              <w:t>互联网数据收集系统技术方案（主观分）</w:t>
            </w:r>
          </w:p>
        </w:tc>
        <w:tc>
          <w:tcPr/>
          <w:p>
            <w:r>
              <w:t>勾选打分</w:t>
            </w:r>
            <w:r>
              <w:t>(6)</w:t>
            </w:r>
          </w:p>
        </w:tc>
        <w:tc>
          <w:tcPr/>
          <w:p>
            <w:r>
              <w:t>评审标准：</w:t>
            </w:r>
          </w:p>
          <w:p>
            <w:r>
              <w:t>一档0分</w:t>
              <w:cr/>
              <w:t>二档1分</w:t>
              <w:cr/>
              <w:t>三档3分</w:t>
              <w:cr/>
              <w:t>四档6分</w:t>
            </w:r>
          </w:p>
          <w:p>
            <w:r>
              <w:t>评审标准说明：</w:t>
            </w:r>
          </w:p>
          <w:p>
            <w:r>
              <w:t>依据“第七章 采购需求”第5.1节进行评价，方案应覆盖：互联网新增资料接入、互联网数据监视分析、重点数据资源备份收集、ERA5再分析数据专题展示、日常运行维护。</w:t>
              <w:cr/>
              <w:t>一档：未提供。</w:t>
              <w:cr/>
              <w:t>二档：仅作原则性描述，缺失多个上述建设内容。</w:t>
              <w:cr/>
              <w:t>三档：基本覆盖上述建设内容，但资料接入、识别与调度、完整性校验、异常处置、主备切换方案存在缺项，实施细节不充分。</w:t>
              <w:cr/>
              <w:t>四档：完全满足“第七章 采购需求”第5.1节要求及其中各数据清单，明确不同资料的访问、目录、命名、日期、时次、预报时效、要素、层次、区域、版本和周期规则，说明定时收集、批量补采、监视统计、异常跟踪、主备切换与补采以及7×24小时运行保障，方案具体可实施。</w:t>
            </w:r>
          </w:p>
          <w:p/>
        </w:tc>
      </w:tr>
      <w:tr>
        <w:tblPrEx>
          <w:tblW w:w="5000" w:type="pct"/>
          <w:tblCellMar>
            <w:left w:w="108" w:type="dxa"/>
            <w:right w:w="108" w:type="dxa"/>
          </w:tblCellMar>
        </w:tblPrEx>
        <w:tc>
          <w:tcPr/>
          <w:p>
            <w:r>
              <w:t>15</w:t>
            </w:r>
          </w:p>
        </w:tc>
        <w:tc>
          <w:tcPr>
            <w:vMerge/>
          </w:tcPr>
          <w:p>
            <w:r>
              <w:t>技术部分</w:t>
            </w:r>
          </w:p>
        </w:tc>
        <w:tc>
          <w:tcPr/>
          <w:p>
            <w:r>
              <w:t>地球系统数据质量评估系统技术方案（主观分）</w:t>
            </w:r>
          </w:p>
        </w:tc>
        <w:tc>
          <w:tcPr/>
          <w:p>
            <w:r>
              <w:t>勾选打分</w:t>
            </w:r>
            <w:r>
              <w:t>(6)</w:t>
            </w:r>
          </w:p>
        </w:tc>
        <w:tc>
          <w:tcPr/>
          <w:p>
            <w:r>
              <w:t>评审标准：</w:t>
            </w:r>
          </w:p>
          <w:p>
            <w:r>
              <w:t>一档0分</w:t>
              <w:cr/>
              <w:t>二档1分</w:t>
              <w:cr/>
              <w:t>三档3分</w:t>
              <w:cr/>
              <w:t>四档6分</w:t>
            </w:r>
          </w:p>
          <w:p>
            <w:r>
              <w:t>评审标准说明：</w:t>
            </w:r>
          </w:p>
          <w:p>
            <w:r>
              <w:t>依据“第七章 采购需求”第5.2节进行评价，方案应覆盖：应收尽收评估扩展与完善、系统安全与性能提升、扩展新增数据的评估、评估结果多渠道发布、日常运行维护。</w:t>
              <w:cr/>
              <w:t>一档：未提供。</w:t>
              <w:cr/>
              <w:t>二档：仅作原则性描述，缺失多个上述建设内容。</w:t>
              <w:cr/>
              <w:t>三档：基本覆盖上述建设内容，但评估指标和统计口径、天元/天擎数据应用、微信告警、安全认证、存储性能、地面或海洋对比评估、飞机颠簸评估、结果发布或系统联动存在缺项。</w:t>
              <w:cr/>
              <w:t>四档：完全满足“第七章 采购需求”第5.2节要求，明确各类评估对象、指标、算法、周期、统计报表和报告，说明Web查询下载、时间序列和空间分布展示、微信告警、HTTPS与OA证书双因素认证、分级存储和访问性能、API联动以及7×24小时运行保障，方案具体可实施。</w:t>
            </w:r>
          </w:p>
          <w:p/>
        </w:tc>
      </w:tr>
      <w:tr>
        <w:tblPrEx>
          <w:tblW w:w="5000" w:type="pct"/>
          <w:tblCellMar>
            <w:left w:w="108" w:type="dxa"/>
            <w:right w:w="108" w:type="dxa"/>
          </w:tblCellMar>
        </w:tblPrEx>
        <w:tc>
          <w:tcPr/>
          <w:p>
            <w:r>
              <w:t>16</w:t>
            </w:r>
          </w:p>
        </w:tc>
        <w:tc>
          <w:tcPr>
            <w:vMerge/>
          </w:tcPr>
          <w:p>
            <w:r>
              <w:t>技术部分</w:t>
            </w:r>
          </w:p>
        </w:tc>
        <w:tc>
          <w:tcPr/>
          <w:p>
            <w:r>
              <w:t>各省行业数据收集与共享情况普查技术方案（主观分）</w:t>
            </w:r>
          </w:p>
        </w:tc>
        <w:tc>
          <w:tcPr/>
          <w:p>
            <w:r>
              <w:t>勾选打分</w:t>
            </w:r>
            <w:r>
              <w:t>(4)</w:t>
            </w:r>
          </w:p>
        </w:tc>
        <w:tc>
          <w:tcPr/>
          <w:p>
            <w:r>
              <w:t>评审标准：</w:t>
            </w:r>
          </w:p>
          <w:p>
            <w:r>
              <w:t>一档0分</w:t>
              <w:cr/>
              <w:t>二档1分</w:t>
              <w:cr/>
              <w:t>三档2分</w:t>
              <w:cr/>
              <w:t>四档4分</w:t>
            </w:r>
          </w:p>
          <w:p>
            <w:r>
              <w:t>评审标准说明：</w:t>
            </w:r>
          </w:p>
          <w:p>
            <w:r>
              <w:t>依据“第七章 采购需求”第5.3节，对行业及气象数据普查、普查年度与填报模板管理、行业应用典型案例填报、统计分析与报表生成、用户权限与分级管理进行评价。</w:t>
              <w:cr/>
              <w:t>一档：未提供。</w:t>
              <w:cr/>
              <w:t>二档：仅覆盖在线填报，年度、模板、典型案例、统计或权限功能存在明显缺失。</w:t>
              <w:cr/>
              <w:t>三档：基本覆盖主要功能，但国家、省、地市、县分级管理，模板校验、统计维度或报表展示不充分。</w:t>
              <w:cr/>
              <w:t>四档：完全满足“第七章 采购需求”第5.3节要求，明确2026年度及后续年度任务、模板生成与校验、四级填报维护、典型案例、多维统计与图表报表、分级查看汇总导出权限，业务流程清晰可实施。</w:t>
            </w:r>
          </w:p>
          <w:p/>
        </w:tc>
      </w:tr>
      <w:tr>
        <w:tblPrEx>
          <w:tblW w:w="5000" w:type="pct"/>
          <w:tblCellMar>
            <w:left w:w="108" w:type="dxa"/>
            <w:right w:w="108" w:type="dxa"/>
          </w:tblCellMar>
        </w:tblPrEx>
        <w:tc>
          <w:tcPr/>
          <w:p>
            <w:r>
              <w:t>17</w:t>
            </w:r>
          </w:p>
        </w:tc>
        <w:tc>
          <w:tcPr>
            <w:vMerge/>
          </w:tcPr>
          <w:p>
            <w:r>
              <w:t>技术部分</w:t>
            </w:r>
          </w:p>
        </w:tc>
        <w:tc>
          <w:tcPr/>
          <w:p>
            <w:r>
              <w:t>软件非功能技术方案（主观分）</w:t>
            </w:r>
          </w:p>
        </w:tc>
        <w:tc>
          <w:tcPr/>
          <w:p>
            <w:r>
              <w:t>勾选打分</w:t>
            </w:r>
            <w:r>
              <w:t>(3)</w:t>
            </w:r>
          </w:p>
        </w:tc>
        <w:tc>
          <w:tcPr/>
          <w:p>
            <w:r>
              <w:t>评审标准：</w:t>
            </w:r>
          </w:p>
          <w:p>
            <w:r>
              <w:t>一档0分</w:t>
              <w:cr/>
              <w:t>二档1分</w:t>
              <w:cr/>
              <w:t>三档2分</w:t>
              <w:cr/>
              <w:t>四档3分</w:t>
            </w:r>
          </w:p>
          <w:p>
            <w:r>
              <w:t>评审标准说明：</w:t>
            </w:r>
          </w:p>
          <w:p>
            <w:r>
              <w:t>依据“第七章 采购需求”第6节，对稳定性、安全性、时效性、易用性、可维护性和可扩展性方案进行评价。</w:t>
              <w:cr/>
              <w:t>一档：未提供。</w:t>
              <w:cr/>
              <w:t>二档：仅作原则性描述，缺失两类及以上非功能要求。</w:t>
              <w:cr/>
              <w:t>三档：覆盖六类非功能要求，但部分措施或指标不具体。</w:t>
              <w:cr/>
              <w:t>四档：完全面满足“第七章 采购需求”第6节要求，明确7×24小时连续运行、监控告警、失败重试、断点续传、任务补采、主备切换与回切、数据完整性保护、一般应用故障原则上1小时内恢复核心功能、身份认证与分级授权、凭据保护、接口安全、任务和成果时效、界面易用、日志追溯、版本回退及处理能力扩展措施。</w:t>
            </w:r>
          </w:p>
          <w:p/>
        </w:tc>
      </w:tr>
      <w:tr>
        <w:tblPrEx>
          <w:tblW w:w="5000" w:type="pct"/>
          <w:tblCellMar>
            <w:left w:w="108" w:type="dxa"/>
            <w:right w:w="108" w:type="dxa"/>
          </w:tblCellMar>
        </w:tblPrEx>
        <w:tc>
          <w:tcPr/>
          <w:p>
            <w:r>
              <w:t>18</w:t>
            </w:r>
          </w:p>
        </w:tc>
        <w:tc>
          <w:tcPr>
            <w:vMerge/>
          </w:tcPr>
          <w:p>
            <w:r>
              <w:t>技术部分</w:t>
            </w:r>
          </w:p>
        </w:tc>
        <w:tc>
          <w:tcPr/>
          <w:p>
            <w:r>
              <w:t>项目实施及进度计划（主观分）</w:t>
            </w:r>
          </w:p>
        </w:tc>
        <w:tc>
          <w:tcPr/>
          <w:p>
            <w:r>
              <w:t>勾选打分</w:t>
            </w:r>
            <w:r>
              <w:t>(3)</w:t>
            </w:r>
          </w:p>
        </w:tc>
        <w:tc>
          <w:tcPr/>
          <w:p>
            <w:r>
              <w:t>评审标准：</w:t>
            </w:r>
          </w:p>
          <w:p>
            <w:r>
              <w:t>一档0分</w:t>
              <w:cr/>
              <w:t>二档1分</w:t>
              <w:cr/>
              <w:t>三档2分</w:t>
              <w:cr/>
              <w:t>四档3分</w:t>
            </w:r>
          </w:p>
          <w:p>
            <w:r>
              <w:t>评审标准说明：</w:t>
            </w:r>
          </w:p>
          <w:p>
            <w:r>
              <w:t>依据“第七章 采购需求”第7.1、第7.4节和第7.5节，对12个月研制计划、实施管理和人员组织进行评价。</w:t>
              <w:cr/>
              <w:t>一档：未提供。</w:t>
              <w:cr/>
              <w:t>二档：计划缺少阶段、里程碑、人员职责或进度控制措施。</w:t>
              <w:cr/>
              <w:t>三档：覆盖需求分析、概要设计、详细设计与编码调试、系统部署测试与初验、试运行和系统终验，人员和进度安排基本合理。</w:t>
              <w:cr/>
              <w:t>四档：严格按照规定的阶段及工期，明确工作分解、里程碑、交付物、评审节点、项目经理和技术负责人职责、每周进展机制、质量控制及计划调整措施。</w:t>
            </w:r>
          </w:p>
          <w:p/>
        </w:tc>
      </w:tr>
      <w:tr>
        <w:tblPrEx>
          <w:tblW w:w="5000" w:type="pct"/>
          <w:tblCellMar>
            <w:left w:w="108" w:type="dxa"/>
            <w:right w:w="108" w:type="dxa"/>
          </w:tblCellMar>
        </w:tblPrEx>
        <w:tc>
          <w:tcPr/>
          <w:p>
            <w:r>
              <w:t>19</w:t>
            </w:r>
          </w:p>
        </w:tc>
        <w:tc>
          <w:tcPr>
            <w:vMerge/>
          </w:tcPr>
          <w:p>
            <w:r>
              <w:t>技术部分</w:t>
            </w:r>
          </w:p>
        </w:tc>
        <w:tc>
          <w:tcPr/>
          <w:p>
            <w:r>
              <w:t>测试、部署、交付及验收方案（主观分）</w:t>
            </w:r>
          </w:p>
        </w:tc>
        <w:tc>
          <w:tcPr/>
          <w:p>
            <w:r>
              <w:t>勾选打分</w:t>
            </w:r>
            <w:r>
              <w:t>(4)</w:t>
            </w:r>
          </w:p>
        </w:tc>
        <w:tc>
          <w:tcPr/>
          <w:p>
            <w:r>
              <w:t>评审标准：</w:t>
            </w:r>
          </w:p>
          <w:p>
            <w:r>
              <w:t>一档0分</w:t>
              <w:cr/>
              <w:t>二档1分</w:t>
              <w:cr/>
              <w:t>三档2分</w:t>
              <w:cr/>
              <w:t>四档4分</w:t>
            </w:r>
          </w:p>
          <w:p>
            <w:r>
              <w:t>评审标准说明：</w:t>
            </w:r>
          </w:p>
          <w:p>
            <w:r>
              <w:t>依据“第七章 采购需求”第3节、第7.2节和第7.6节，对接口联调、数据验证、功能测试、性能测试、安全测试、部署实施、试运行、产品和文档交付及评审验收方案进行评价。</w:t>
              <w:cr/>
              <w:t>一档：未提供。</w:t>
              <w:cr/>
              <w:t>二档：仅描述部分测试或部署工作，缺少交付及验收内容。</w:t>
              <w:cr/>
              <w:t>三档：基本覆盖测试、部署、试运行、产品和文档交付及验收，但测试方法、成果清单或验收指标不充分。</w:t>
              <w:cr/>
              <w:t>四档：明确测试类型、环境与数据、缺陷处理、部署和试运行步骤，完整移交应用软件安装包、源代码、工程文件、程序说明及规定的技术和管理文档，并提出明确、可操作的评审验收指标，完全满足采购需求。</w:t>
            </w:r>
          </w:p>
          <w:p/>
        </w:tc>
      </w:tr>
      <w:tr>
        <w:tblPrEx>
          <w:tblW w:w="5000" w:type="pct"/>
          <w:tblCellMar>
            <w:left w:w="108" w:type="dxa"/>
            <w:right w:w="108" w:type="dxa"/>
          </w:tblCellMar>
        </w:tblPrEx>
        <w:tc>
          <w:tcPr/>
          <w:p>
            <w:r>
              <w:t>20</w:t>
            </w:r>
          </w:p>
        </w:tc>
        <w:tc>
          <w:tcPr>
            <w:vMerge/>
          </w:tcPr>
          <w:p>
            <w:r>
              <w:t>技术部分</w:t>
            </w:r>
          </w:p>
        </w:tc>
        <w:tc>
          <w:tcPr/>
          <w:p>
            <w:r>
              <w:t>故障处理、容错备份及运行保障方案（主观分）</w:t>
            </w:r>
          </w:p>
        </w:tc>
        <w:tc>
          <w:tcPr/>
          <w:p>
            <w:r>
              <w:t>勾选打分</w:t>
            </w:r>
            <w:r>
              <w:t>(4)</w:t>
            </w:r>
          </w:p>
        </w:tc>
        <w:tc>
          <w:tcPr/>
          <w:p>
            <w:r>
              <w:t>评审标准：</w:t>
            </w:r>
          </w:p>
          <w:p>
            <w:r>
              <w:t>一档0分</w:t>
              <w:cr/>
              <w:t>二档1分</w:t>
              <w:cr/>
              <w:t>三档2分</w:t>
              <w:cr/>
              <w:t>四档4分</w:t>
            </w:r>
          </w:p>
          <w:p>
            <w:r>
              <w:t>评审标准说明：</w:t>
            </w:r>
          </w:p>
          <w:p>
            <w:r>
              <w:t>依据“第七章 采购需求”第5.1.5节、第5.2.5节和第7.3节，对系统出错处理、容错备份、高可用、数据备份和运行保障进行评价。</w:t>
              <w:cr/>
              <w:t>一档：未提供。</w:t>
              <w:cr/>
              <w:t>二档：仅提出日志或备份原则，缺少故障恢复和高可用措施。</w:t>
              <w:cr/>
              <w:t>三档：具备友好错误提示、错误日志、监控告警、服务状态回滚、人工恢复、软件和数据库备份等措施，但双机或多机、故障转移或运行保障不充分。</w:t>
              <w:cr/>
              <w:t>四档：明确界面和服务错误处理、状态回滚、日志复查、人工恢复、双机或多机备份、服务器集群与故障转移、应用程序当前运行版本备份，以及日常和汛期应急7×24小时保障，完全满足采购需求。</w:t>
            </w:r>
          </w:p>
          <w:p/>
        </w:tc>
      </w:tr>
    </w:tbl>
    <w:p w:rsidR="00A77B3E">
      <w:r>
        <w:t xml:space="preserve">      </w:t>
      </w:r>
    </w:p>
    <w:p w:rsidR="00A77B3E"/>
    <w:p w:rsidR="00A77B3E">
      <w:bookmarkEnd w:id="59"/>
    </w:p>
    <w:p w:rsidR="0039352C">
      <w:pPr>
        <w:spacing w:before="156" w:beforeLines="50"/>
        <w:ind w:firstLine="602"/>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61" w:name="_Toc235096448"/>
      <w:r>
        <w:rPr>
          <w:rFonts w:hint="eastAsia"/>
        </w:rPr>
        <w:t>项目背景</w:t>
      </w:r>
      <w:bookmarkEnd w:id="61"/>
    </w:p>
    <w:p w:rsidR="0039352C">
      <w:pPr>
        <w:ind w:firstLine="480"/>
      </w:pPr>
      <w:r>
        <w:rPr>
          <w:rFonts w:hint="eastAsia"/>
        </w:rPr>
        <w:t>随着全球气象综合观测体系不断完善，互联网开放数据、国际交换数据、新型观测资料和行业共享数据持续增长，气象数据资源呈现来源多样、类型复杂、规模庞大和更新频繁等特点，为天气预报、气候预测、防灾减灾、科学研究和行业服务提供了更加丰富的数据基础，也对数据接入、运行保障、质量评估和资源管理提出了更高要求。</w:t>
      </w:r>
    </w:p>
    <w:p w:rsidR="0039352C">
      <w:pPr>
        <w:ind w:firstLine="480"/>
      </w:pPr>
      <w:r>
        <w:rPr>
          <w:rFonts w:hint="eastAsia"/>
        </w:rPr>
        <w:t>近年来，气象数据资源收集、质量评估和共享应用能力持续提升，已形成一定的业务基础。但随着业务范围不断拓展，现有系统在新增资料接入、运行状态监视、异常信息管理、重点数据保障等方面仍需进一步完善；新型观测资料和国际交换数据不断增加，对应收尽收评估、数据质量分析、评估结果展示及成果发布能力也提出了新的需求。同时，全国各省与行业部门之间的数据收集和共享工作不断深入，需要建立统一的普查、统计和分析机制，全面掌握行业数据资源收集、共享及应用情况。</w:t>
      </w:r>
    </w:p>
    <w:p w:rsidR="0039352C">
      <w:pPr>
        <w:ind w:firstLine="480"/>
      </w:pPr>
      <w:r>
        <w:rPr>
          <w:rFonts w:hint="eastAsia"/>
        </w:rPr>
        <w:t>本项目围绕气象数据资源收集与质量评估业务需求，在现有系统基础上进一步完善互</w:t>
      </w:r>
      <w:r>
        <w:rPr>
          <w:rFonts w:hint="eastAsia"/>
        </w:rPr>
        <w:t>联网资料接入和运行监视能力，提升重点资料获取保障水平；扩展新增观测资料的质量评估、结果展示、报告生成和业务联动能力；开展全国</w:t>
      </w:r>
      <w:r>
        <w:rPr>
          <w:rFonts w:hint="eastAsia"/>
        </w:rPr>
        <w:t>2026</w:t>
      </w:r>
      <w:r>
        <w:rPr>
          <w:rFonts w:hint="eastAsia"/>
        </w:rPr>
        <w:t>年度各省行业数据收集与气象数据共享情况普查，形成覆盖资料接入、运行监控、质量评估、资源普查、统计分析和成果发布的业务支撑体系，提升气象数据资源建设和业务运行保障水平。</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62" w:name="_Toc235096449"/>
      <w:r>
        <w:rPr>
          <w:rFonts w:hint="eastAsia"/>
        </w:rPr>
        <w:t>建设目标</w:t>
      </w:r>
      <w:bookmarkEnd w:id="62"/>
    </w:p>
    <w:p w:rsidR="0039352C">
      <w:pPr>
        <w:ind w:firstLine="480"/>
      </w:pPr>
      <w:r>
        <w:rPr>
          <w:rFonts w:hint="eastAsia"/>
        </w:rPr>
        <w:t>本项目围绕气象数据收集、质量评估和行业数据资源管理业务需求，在现有系统基础上完善互联网资料接入与运行保障能力，扩展气象观测资料质量评估及成果应用能力，建设全国行业数据收集与气象数据共享情况普查功能，提升</w:t>
      </w:r>
      <w:r>
        <w:rPr>
          <w:rFonts w:hint="eastAsia"/>
        </w:rPr>
        <w:t>气象数据资源建设和业务运行支撑水平。</w:t>
      </w:r>
    </w:p>
    <w:p w:rsidR="0039352C">
      <w:pPr>
        <w:ind w:firstLine="480"/>
      </w:pPr>
      <w:r>
        <w:rPr>
          <w:rFonts w:hint="eastAsia"/>
        </w:rPr>
        <w:t>项目建设完成后，一是完成新增互联网资料接入，完善资料到报、传输运行、异常信息和获取时效等监视分析能力，建立重点资料主备下</w:t>
      </w:r>
      <w:r>
        <w:rPr>
          <w:rFonts w:hint="eastAsia"/>
        </w:rPr>
        <w:t>载保障</w:t>
      </w:r>
      <w:r>
        <w:rPr>
          <w:rFonts w:hint="eastAsia"/>
        </w:rPr>
        <w:t>机制，提高互联网资料获取的完整性、连续性和稳定性；二是扩展新型观测资料、国际交换资料及飞机观测资料的质量评估能力，优化应收尽收评估算法，完善评估结果展示、报告生成、告警推送和业务系统联动；三是开展全国</w:t>
      </w:r>
      <w:r>
        <w:rPr>
          <w:rFonts w:hint="eastAsia"/>
        </w:rPr>
        <w:t>2026</w:t>
      </w:r>
      <w:r>
        <w:rPr>
          <w:rFonts w:hint="eastAsia"/>
        </w:rPr>
        <w:t>年度各省行业数据收集与气象数据共享情况普查，建立统一的填报、权限管理、统计分析和报表生成机制，掌握各地区行业数据资源收集、共享及应用情况。</w:t>
      </w:r>
    </w:p>
    <w:p w:rsidR="0039352C">
      <w:pPr>
        <w:ind w:firstLine="480"/>
      </w:pPr>
      <w:r>
        <w:rPr>
          <w:rFonts w:hint="eastAsia"/>
        </w:rPr>
        <w:t>通过项目建设，形成相互衔接的互联网资料接入与运行保障、气象数据质量评估和行业数据资源普查三方面业务能力，为气象数据资源持续建设、业务稳定运行、质量问题分析和行业数据共享管理提供支撑。</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63" w:name="_Toc235096450"/>
      <w:r>
        <w:rPr>
          <w:rFonts w:hint="eastAsia"/>
        </w:rPr>
        <w:t>基本要求</w:t>
      </w:r>
      <w:bookmarkEnd w:id="63"/>
    </w:p>
    <w:p w:rsidR="0039352C">
      <w:pPr>
        <w:ind w:firstLine="480"/>
      </w:pPr>
      <w:r>
        <w:rPr>
          <w:rFonts w:hint="eastAsia"/>
        </w:rPr>
        <w:t>本项目建设应充分衔接现有互联网数据收集、气象数据质量评估及相关业务支撑环境，在现有业务基础上开展功能完善、能力扩展和系统优化。系统建设应遵循统一规划、统一标准、统一管理和分步实施的原则，确保新增功能与现有系统有效衔接，避免重复建设</w:t>
      </w:r>
      <w:r>
        <w:rPr>
          <w:rFonts w:hint="eastAsia"/>
        </w:rPr>
        <w:t>，开发的软件必须满足国产适配</w:t>
      </w:r>
      <w:r>
        <w:rPr>
          <w:rFonts w:hint="eastAsia"/>
        </w:rPr>
        <w:t>。</w:t>
      </w:r>
    </w:p>
    <w:p w:rsidR="0039352C">
      <w:pPr>
        <w:ind w:firstLine="480"/>
      </w:pPr>
      <w:r>
        <w:rPr>
          <w:rFonts w:hint="eastAsia"/>
        </w:rPr>
        <w:t>1</w:t>
      </w:r>
      <w:r>
        <w:rPr>
          <w:rFonts w:hint="eastAsia"/>
        </w:rPr>
        <w:t>、系统建设应围绕互联网数据收集、运行监视、异常管理、质</w:t>
      </w:r>
      <w:r>
        <w:rPr>
          <w:rFonts w:hint="eastAsia"/>
        </w:rPr>
        <w:t>量评估、成果发布及行业数据资源普查等业务需求开展，建设内容应与实际业务流程相匹配，满足业务人员日常运行、管理、分析和决策需要。</w:t>
      </w:r>
    </w:p>
    <w:p w:rsidR="0039352C">
      <w:pPr>
        <w:ind w:firstLine="480"/>
      </w:pPr>
      <w:r>
        <w:rPr>
          <w:rFonts w:hint="eastAsia"/>
        </w:rPr>
        <w:t>2</w:t>
      </w:r>
      <w:r>
        <w:rPr>
          <w:rFonts w:hint="eastAsia"/>
        </w:rPr>
        <w:t>、系统应充分利用现有软硬件环境、网络环境、数据资源及业务系统，新增功能应与现有互联网数据收集系统、气象数据质量评估系统、天擎、天元、天</w:t>
      </w:r>
      <w:r>
        <w:rPr>
          <w:rFonts w:hint="eastAsia"/>
        </w:rPr>
        <w:t>衡天衍及</w:t>
      </w:r>
      <w:r>
        <w:rPr>
          <w:rFonts w:hint="eastAsia"/>
        </w:rPr>
        <w:t>相关业务平台进行有效衔接。</w:t>
      </w:r>
    </w:p>
    <w:p w:rsidR="0039352C">
      <w:pPr>
        <w:ind w:firstLine="480"/>
      </w:pPr>
      <w:r>
        <w:rPr>
          <w:rFonts w:hint="eastAsia"/>
        </w:rPr>
        <w:t>3</w:t>
      </w:r>
      <w:r>
        <w:rPr>
          <w:rFonts w:hint="eastAsia"/>
        </w:rPr>
        <w:t>、系统接口设计应遵循统一规范，明确接口地址、调用方式、请求参数、返回结果、错误代码和异常处理机制。与外部系统交互时，应保证数据格式、时间格式、编码方式和业务口径一致。</w:t>
      </w:r>
    </w:p>
    <w:p w:rsidR="0039352C">
      <w:pPr>
        <w:ind w:firstLine="480"/>
      </w:pPr>
      <w:r>
        <w:rPr>
          <w:rFonts w:hint="eastAsia"/>
        </w:rPr>
        <w:t>4</w:t>
      </w:r>
      <w:r>
        <w:rPr>
          <w:rFonts w:hint="eastAsia"/>
        </w:rPr>
        <w:t>、系统建设过程中应完成需求分析、系统设计</w:t>
      </w:r>
      <w:r>
        <w:rPr>
          <w:rFonts w:hint="eastAsia"/>
        </w:rPr>
        <w:t>、软件开发、接口联调、数据验证、功能测试、性能测试、安全测试、部署实施和用户培训等工作，并形成相应的技术文档和管理文档。</w:t>
      </w:r>
    </w:p>
    <w:p w:rsidR="0039352C">
      <w:pPr>
        <w:ind w:firstLine="480"/>
      </w:pPr>
      <w:r>
        <w:rPr>
          <w:rFonts w:hint="eastAsia"/>
        </w:rPr>
        <w:t>5</w:t>
      </w:r>
      <w:r>
        <w:rPr>
          <w:rFonts w:hint="eastAsia"/>
        </w:rPr>
        <w:t>、项目建设形成的软件代码、配置文件、接口文档、数据库设计、部署说明、用户手册、运维手册和测试材料等成果应完整移交，并满足后续运行维护和持续升级需要。</w:t>
      </w:r>
    </w:p>
    <w:p w:rsidR="0039352C">
      <w:pPr>
        <w:ind w:firstLine="480"/>
      </w:pPr>
      <w:r>
        <w:rPr>
          <w:rFonts w:hint="eastAsia"/>
        </w:rPr>
        <w:t>6</w:t>
      </w:r>
      <w:r>
        <w:rPr>
          <w:rFonts w:hint="eastAsia"/>
        </w:rPr>
        <w:t>、开发的软件必须满足国产适配，选用国产操作系统（</w:t>
      </w:r>
      <w:r>
        <w:rPr>
          <w:rFonts w:hint="eastAsia"/>
        </w:rPr>
        <w:t>如统信</w:t>
      </w:r>
      <w:r>
        <w:rPr>
          <w:rFonts w:hint="eastAsia"/>
        </w:rPr>
        <w:t>UOS</w:t>
      </w:r>
      <w:r>
        <w:rPr>
          <w:rFonts w:hint="eastAsia"/>
        </w:rPr>
        <w:t>、麒麟等）、中间件、数据库等</w:t>
      </w:r>
      <w:r>
        <w:rPr>
          <w:rFonts w:hint="eastAsia"/>
        </w:rPr>
        <w:t>。</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64" w:name="_Toc235096451"/>
      <w:r>
        <w:rPr>
          <w:rFonts w:hint="eastAsia"/>
        </w:rPr>
        <w:t>系统用户</w:t>
      </w:r>
      <w:bookmarkEnd w:id="64"/>
    </w:p>
    <w:p w:rsidR="0039352C">
      <w:pPr>
        <w:ind w:firstLine="480"/>
      </w:pPr>
      <w:r>
        <w:rPr>
          <w:rFonts w:hint="eastAsia"/>
        </w:rPr>
        <w:t>本系统主要面向互联网数据收集业务人员、气象数据质量评估人员、行业数据资源管理人员、运行维护人员。</w:t>
      </w:r>
    </w:p>
    <w:p w:rsidR="0039352C">
      <w:pPr>
        <w:ind w:firstLine="482"/>
        <w:rPr>
          <w:b/>
          <w:bCs/>
        </w:rPr>
      </w:pPr>
      <w:r>
        <w:rPr>
          <w:rFonts w:hint="eastAsia"/>
          <w:b/>
          <w:bCs/>
        </w:rPr>
        <w:t>1</w:t>
      </w:r>
      <w:r>
        <w:rPr>
          <w:rFonts w:hint="eastAsia"/>
          <w:b/>
          <w:bCs/>
        </w:rPr>
        <w:t>、系统管理员</w:t>
      </w:r>
    </w:p>
    <w:p w:rsidR="0039352C">
      <w:pPr>
        <w:ind w:firstLine="480"/>
      </w:pPr>
      <w:r>
        <w:rPr>
          <w:rFonts w:hint="eastAsia"/>
        </w:rPr>
        <w:t>系统管理员负责系统基</w:t>
      </w:r>
      <w:r>
        <w:rPr>
          <w:rFonts w:hint="eastAsia"/>
        </w:rPr>
        <w:t>础配置、用户管理、角色管理、权限分配、数据字典维护和系统参数管理等工作。</w:t>
      </w:r>
    </w:p>
    <w:p w:rsidR="0039352C">
      <w:pPr>
        <w:ind w:firstLine="482"/>
        <w:rPr>
          <w:b/>
          <w:bCs/>
        </w:rPr>
      </w:pPr>
      <w:r>
        <w:rPr>
          <w:rFonts w:hint="eastAsia"/>
          <w:b/>
          <w:bCs/>
        </w:rPr>
        <w:t>2</w:t>
      </w:r>
      <w:r>
        <w:rPr>
          <w:rFonts w:hint="eastAsia"/>
          <w:b/>
          <w:bCs/>
        </w:rPr>
        <w:t>、互联网数据收集业务人员</w:t>
      </w:r>
    </w:p>
    <w:p w:rsidR="0039352C">
      <w:pPr>
        <w:ind w:firstLine="480"/>
      </w:pPr>
      <w:r>
        <w:rPr>
          <w:rFonts w:hint="eastAsia"/>
        </w:rPr>
        <w:t>互联网数据收集业务人员负责互联网数据源维护、数据收集任务配置、数据到报监视、异常处置和重点数据资源收集保障。</w:t>
      </w:r>
    </w:p>
    <w:p w:rsidR="0039352C">
      <w:pPr>
        <w:ind w:firstLine="482"/>
        <w:rPr>
          <w:b/>
          <w:bCs/>
        </w:rPr>
      </w:pPr>
      <w:r>
        <w:rPr>
          <w:rFonts w:hint="eastAsia"/>
          <w:b/>
          <w:bCs/>
        </w:rPr>
        <w:t>3</w:t>
      </w:r>
      <w:r>
        <w:rPr>
          <w:rFonts w:hint="eastAsia"/>
          <w:b/>
          <w:bCs/>
        </w:rPr>
        <w:t>、气象数据质量评估业务人员</w:t>
      </w:r>
    </w:p>
    <w:p w:rsidR="0039352C">
      <w:pPr>
        <w:ind w:firstLine="480"/>
      </w:pPr>
      <w:r>
        <w:rPr>
          <w:rFonts w:hint="eastAsia"/>
        </w:rPr>
        <w:t>气象数据质量评估人员负责观测资料应收尽收评估、数据质量分析、评估规则维护、问题核查和评估报告制作。</w:t>
      </w:r>
    </w:p>
    <w:p w:rsidR="0039352C">
      <w:pPr>
        <w:ind w:firstLine="482"/>
        <w:rPr>
          <w:b/>
          <w:bCs/>
        </w:rPr>
      </w:pPr>
      <w:r>
        <w:rPr>
          <w:rFonts w:hint="eastAsia"/>
          <w:b/>
          <w:bCs/>
        </w:rPr>
        <w:t>4</w:t>
      </w:r>
      <w:r>
        <w:rPr>
          <w:rFonts w:hint="eastAsia"/>
          <w:b/>
          <w:bCs/>
        </w:rPr>
        <w:t>、行业数据资源普查业务人员</w:t>
      </w:r>
    </w:p>
    <w:p w:rsidR="0039352C">
      <w:pPr>
        <w:ind w:firstLine="480"/>
      </w:pPr>
      <w:r>
        <w:rPr>
          <w:rFonts w:hint="eastAsia"/>
        </w:rPr>
        <w:t>行业数据资源普查人员负责全国行业数据收集与共享情况的调查填报、数据审核、统计分析和成果汇总。</w:t>
      </w:r>
    </w:p>
    <w:p w:rsidR="0039352C">
      <w:pPr>
        <w:ind w:firstLine="482"/>
        <w:rPr>
          <w:b/>
          <w:bCs/>
        </w:rPr>
      </w:pPr>
      <w:r>
        <w:rPr>
          <w:rFonts w:hint="eastAsia"/>
          <w:b/>
          <w:bCs/>
        </w:rPr>
        <w:t>5</w:t>
      </w:r>
      <w:r>
        <w:rPr>
          <w:rFonts w:hint="eastAsia"/>
          <w:b/>
          <w:bCs/>
        </w:rPr>
        <w:t>、运行维护人员</w:t>
      </w:r>
    </w:p>
    <w:p w:rsidR="0039352C">
      <w:pPr>
        <w:ind w:firstLine="480"/>
      </w:pPr>
      <w:r>
        <w:rPr>
          <w:rFonts w:hint="eastAsia"/>
        </w:rPr>
        <w:t>运行维护人员负责系统运行监测、故障处理、接口维护、任务恢复、系统升级和安全保障。</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65" w:name="_Toc235096452"/>
      <w:r>
        <w:rPr>
          <w:rFonts w:hint="eastAsia"/>
        </w:rPr>
        <w:t>功能要求</w:t>
      </w:r>
      <w:bookmarkEnd w:id="65"/>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66" w:name="_Toc235096453"/>
      <w:r>
        <w:rPr>
          <w:rFonts w:hint="eastAsia"/>
        </w:rPr>
        <w:t>互联网数据收集系统</w:t>
      </w:r>
      <w:bookmarkEnd w:id="66"/>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67" w:name="_Toc235096454"/>
      <w:r>
        <w:rPr>
          <w:rFonts w:hint="eastAsia"/>
        </w:rPr>
        <w:t>互联网新增资料接入</w:t>
      </w:r>
      <w:bookmarkEnd w:id="67"/>
    </w:p>
    <w:p w:rsidR="0039352C">
      <w:pPr>
        <w:ind w:firstLine="482"/>
        <w:rPr>
          <w:b/>
          <w:bCs/>
        </w:rPr>
      </w:pPr>
      <w:r>
        <w:rPr>
          <w:rFonts w:hint="eastAsia"/>
          <w:b/>
          <w:bCs/>
        </w:rPr>
        <w:t>1</w:t>
      </w:r>
      <w:r>
        <w:rPr>
          <w:rFonts w:hint="eastAsia"/>
          <w:b/>
          <w:bCs/>
        </w:rPr>
        <w:t>、地面及高空气象资料接入</w:t>
      </w:r>
    </w:p>
    <w:p w:rsidR="0039352C">
      <w:pPr>
        <w:ind w:firstLine="480"/>
        <w:rPr>
          <w:color w:val="auto"/>
        </w:rPr>
      </w:pPr>
      <w:r>
        <w:rPr>
          <w:rFonts w:hint="eastAsia"/>
          <w:color w:val="auto"/>
        </w:rPr>
        <w:t>完成已知的</w:t>
      </w:r>
      <w:r>
        <w:rPr>
          <w:rFonts w:hint="eastAsia"/>
          <w:color w:val="auto"/>
        </w:rPr>
        <w:t>13</w:t>
      </w:r>
      <w:r>
        <w:rPr>
          <w:rFonts w:hint="eastAsia"/>
          <w:color w:val="auto"/>
        </w:rPr>
        <w:t>种地面及高空气象数据的接入和收集，以及未来包括但不限于的</w:t>
      </w:r>
      <w:r>
        <w:rPr>
          <w:rFonts w:hint="eastAsia"/>
          <w:color w:val="auto"/>
        </w:rPr>
        <w:t>10</w:t>
      </w:r>
      <w:r>
        <w:rPr>
          <w:rFonts w:hint="eastAsia"/>
          <w:color w:val="auto"/>
        </w:rPr>
        <w:t>类新增数据的接入和收集：</w:t>
      </w:r>
    </w:p>
    <w:tbl>
      <w:tblPr>
        <w:tblStyle w:val="TableGrid"/>
        <w:tblW w:w="8409" w:type="dxa"/>
        <w:jc w:val="center"/>
        <w:tblLook w:val="04A0"/>
      </w:tblPr>
      <w:tblGrid>
        <w:gridCol w:w="848"/>
        <w:gridCol w:w="7561"/>
      </w:tblGrid>
      <w:tr>
        <w:tblPrEx>
          <w:tblW w:w="8409" w:type="dxa"/>
          <w:jc w:val="center"/>
          <w:tblLook w:val="04A0"/>
        </w:tblPrEx>
        <w:trPr>
          <w:jc w:val="center"/>
        </w:trPr>
        <w:tc>
          <w:tcPr>
            <w:tcW w:w="848" w:type="dxa"/>
            <w:shd w:val="clear" w:color="auto" w:fill="F9DBDE" w:themeFill="accent6" w:themeFillTint="33"/>
            <w:vAlign w:val="center"/>
          </w:tcPr>
          <w:p w:rsidR="0039352C">
            <w:pPr>
              <w:ind w:firstLine="0" w:firstLineChars="0"/>
              <w:jc w:val="center"/>
              <w:rPr>
                <w:b/>
                <w:bCs/>
                <w:sz w:val="21"/>
                <w:szCs w:val="21"/>
              </w:rPr>
            </w:pPr>
            <w:r>
              <w:rPr>
                <w:rFonts w:hint="eastAsia"/>
                <w:b/>
                <w:bCs/>
                <w:sz w:val="21"/>
                <w:szCs w:val="21"/>
              </w:rPr>
              <w:t>序号</w:t>
            </w:r>
          </w:p>
        </w:tc>
        <w:tc>
          <w:tcPr>
            <w:tcW w:w="7561" w:type="dxa"/>
            <w:shd w:val="clear" w:color="auto" w:fill="F9DBDE" w:themeFill="accent6" w:themeFillTint="33"/>
            <w:vAlign w:val="center"/>
          </w:tcPr>
          <w:p w:rsidR="0039352C">
            <w:pPr>
              <w:ind w:firstLine="0" w:firstLineChars="0"/>
              <w:jc w:val="center"/>
              <w:rPr>
                <w:b/>
                <w:bCs/>
                <w:sz w:val="21"/>
                <w:szCs w:val="21"/>
              </w:rPr>
            </w:pPr>
            <w:r>
              <w:rPr>
                <w:rFonts w:hint="eastAsia"/>
                <w:b/>
                <w:bCs/>
                <w:sz w:val="21"/>
                <w:szCs w:val="21"/>
              </w:rPr>
              <w:t>当前已知数据</w:t>
            </w:r>
          </w:p>
        </w:tc>
      </w:tr>
      <w:tr>
        <w:tblPrEx>
          <w:tblW w:w="8409" w:type="dxa"/>
          <w:jc w:val="center"/>
          <w:tblLook w:val="04A0"/>
        </w:tblPrEx>
        <w:trPr>
          <w:jc w:val="center"/>
        </w:trPr>
        <w:tc>
          <w:tcPr>
            <w:tcW w:w="848" w:type="dxa"/>
            <w:vAlign w:val="center"/>
          </w:tcPr>
          <w:p w:rsidR="0039352C">
            <w:pPr>
              <w:pStyle w:val="HXLC-"/>
            </w:pPr>
            <w:r>
              <w:rPr>
                <w:rFonts w:hint="eastAsia"/>
              </w:rPr>
              <w:t>1</w:t>
            </w:r>
          </w:p>
        </w:tc>
        <w:tc>
          <w:tcPr>
            <w:tcW w:w="7561" w:type="dxa"/>
            <w:vAlign w:val="center"/>
          </w:tcPr>
          <w:p w:rsidR="0039352C">
            <w:pPr>
              <w:pStyle w:val="HXLC-"/>
            </w:pPr>
            <w:r>
              <w:rPr>
                <w:rFonts w:hint="eastAsia"/>
              </w:rPr>
              <w:t>GPM IMERG</w:t>
            </w:r>
            <w:r>
              <w:rPr>
                <w:rFonts w:hint="eastAsia"/>
              </w:rPr>
              <w:t>日尺度晚期近实时降水数据</w:t>
            </w:r>
          </w:p>
        </w:tc>
      </w:tr>
      <w:tr>
        <w:tblPrEx>
          <w:tblW w:w="8409" w:type="dxa"/>
          <w:jc w:val="center"/>
          <w:tblLook w:val="04A0"/>
        </w:tblPrEx>
        <w:trPr>
          <w:jc w:val="center"/>
        </w:trPr>
        <w:tc>
          <w:tcPr>
            <w:tcW w:w="848" w:type="dxa"/>
            <w:vAlign w:val="center"/>
          </w:tcPr>
          <w:p w:rsidR="0039352C">
            <w:pPr>
              <w:pStyle w:val="HXLC-"/>
            </w:pPr>
            <w:r>
              <w:rPr>
                <w:rFonts w:hint="eastAsia"/>
              </w:rPr>
              <w:t>2</w:t>
            </w:r>
          </w:p>
        </w:tc>
        <w:tc>
          <w:tcPr>
            <w:tcW w:w="7561" w:type="dxa"/>
            <w:vAlign w:val="center"/>
          </w:tcPr>
          <w:p w:rsidR="0039352C">
            <w:pPr>
              <w:pStyle w:val="HXLC-"/>
            </w:pPr>
            <w:r>
              <w:rPr>
                <w:rFonts w:hint="eastAsia"/>
              </w:rPr>
              <w:t>GPM IMERG</w:t>
            </w:r>
            <w:r>
              <w:rPr>
                <w:rFonts w:hint="eastAsia"/>
              </w:rPr>
              <w:t>月尺度降水数据</w:t>
            </w:r>
          </w:p>
        </w:tc>
      </w:tr>
      <w:tr>
        <w:tblPrEx>
          <w:tblW w:w="8409" w:type="dxa"/>
          <w:jc w:val="center"/>
          <w:tblLook w:val="04A0"/>
        </w:tblPrEx>
        <w:trPr>
          <w:jc w:val="center"/>
        </w:trPr>
        <w:tc>
          <w:tcPr>
            <w:tcW w:w="848" w:type="dxa"/>
            <w:vAlign w:val="center"/>
          </w:tcPr>
          <w:p w:rsidR="0039352C">
            <w:pPr>
              <w:pStyle w:val="HXLC-"/>
            </w:pPr>
            <w:r>
              <w:rPr>
                <w:rFonts w:hint="eastAsia"/>
              </w:rPr>
              <w:t>3</w:t>
            </w:r>
          </w:p>
        </w:tc>
        <w:tc>
          <w:tcPr>
            <w:tcW w:w="7561" w:type="dxa"/>
            <w:vAlign w:val="center"/>
          </w:tcPr>
          <w:p w:rsidR="0039352C">
            <w:pPr>
              <w:pStyle w:val="HXLC-"/>
            </w:pPr>
            <w:r>
              <w:rPr>
                <w:rFonts w:hint="eastAsia"/>
              </w:rPr>
              <w:t>GPM IMERG</w:t>
            </w:r>
            <w:r>
              <w:rPr>
                <w:rFonts w:hint="eastAsia"/>
              </w:rPr>
              <w:t>日尺度</w:t>
            </w:r>
            <w:r>
              <w:rPr>
                <w:rFonts w:hint="eastAsia"/>
              </w:rPr>
              <w:t>最终版</w:t>
            </w:r>
            <w:r>
              <w:rPr>
                <w:rFonts w:hint="eastAsia"/>
              </w:rPr>
              <w:t>降水数据</w:t>
            </w:r>
          </w:p>
        </w:tc>
      </w:tr>
      <w:tr>
        <w:tblPrEx>
          <w:tblW w:w="8409" w:type="dxa"/>
          <w:jc w:val="center"/>
          <w:tblLook w:val="04A0"/>
        </w:tblPrEx>
        <w:trPr>
          <w:jc w:val="center"/>
        </w:trPr>
        <w:tc>
          <w:tcPr>
            <w:tcW w:w="848" w:type="dxa"/>
            <w:vAlign w:val="center"/>
          </w:tcPr>
          <w:p w:rsidR="0039352C">
            <w:pPr>
              <w:pStyle w:val="HXLC-"/>
            </w:pPr>
            <w:r>
              <w:rPr>
                <w:rFonts w:hint="eastAsia"/>
              </w:rPr>
              <w:t>4</w:t>
            </w:r>
          </w:p>
        </w:tc>
        <w:tc>
          <w:tcPr>
            <w:tcW w:w="7561" w:type="dxa"/>
            <w:vAlign w:val="center"/>
          </w:tcPr>
          <w:p w:rsidR="0039352C">
            <w:pPr>
              <w:pStyle w:val="HXLC-"/>
            </w:pPr>
            <w:r>
              <w:rPr>
                <w:rFonts w:hint="eastAsia"/>
              </w:rPr>
              <w:t>美国</w:t>
            </w:r>
            <w:r>
              <w:rPr>
                <w:rFonts w:hint="eastAsia"/>
              </w:rPr>
              <w:t>NCEI</w:t>
            </w:r>
            <w:r>
              <w:rPr>
                <w:rFonts w:hint="eastAsia"/>
              </w:rPr>
              <w:t>全球地面历史气候观测网小时值（</w:t>
            </w:r>
            <w:r>
              <w:rPr>
                <w:rFonts w:hint="eastAsia"/>
              </w:rPr>
              <w:t>GHCN-H</w:t>
            </w:r>
            <w:r>
              <w:rPr>
                <w:rFonts w:hint="eastAsia"/>
              </w:rPr>
              <w:t>）数据集</w:t>
            </w:r>
          </w:p>
        </w:tc>
      </w:tr>
      <w:tr>
        <w:tblPrEx>
          <w:tblW w:w="8409" w:type="dxa"/>
          <w:jc w:val="center"/>
          <w:tblLook w:val="04A0"/>
        </w:tblPrEx>
        <w:trPr>
          <w:jc w:val="center"/>
        </w:trPr>
        <w:tc>
          <w:tcPr>
            <w:tcW w:w="848" w:type="dxa"/>
            <w:vAlign w:val="center"/>
          </w:tcPr>
          <w:p w:rsidR="0039352C">
            <w:pPr>
              <w:pStyle w:val="HXLC-"/>
            </w:pPr>
            <w:r>
              <w:rPr>
                <w:rFonts w:hint="eastAsia"/>
              </w:rPr>
              <w:t>5</w:t>
            </w:r>
          </w:p>
        </w:tc>
        <w:tc>
          <w:tcPr>
            <w:tcW w:w="7561" w:type="dxa"/>
            <w:vAlign w:val="center"/>
          </w:tcPr>
          <w:p w:rsidR="0039352C">
            <w:pPr>
              <w:pStyle w:val="HXLC-"/>
            </w:pPr>
            <w:r>
              <w:rPr>
                <w:rFonts w:hint="eastAsia"/>
              </w:rPr>
              <w:t>IGS</w:t>
            </w:r>
            <w:r>
              <w:rPr>
                <w:rFonts w:hint="eastAsia"/>
              </w:rPr>
              <w:t>国际</w:t>
            </w:r>
            <w:r>
              <w:rPr>
                <w:rFonts w:hint="eastAsia"/>
              </w:rPr>
              <w:t>基准网</w:t>
            </w:r>
            <w:r>
              <w:rPr>
                <w:rFonts w:hint="eastAsia"/>
              </w:rPr>
              <w:t>台站位置信息</w:t>
            </w:r>
          </w:p>
        </w:tc>
      </w:tr>
      <w:tr>
        <w:tblPrEx>
          <w:tblW w:w="8409" w:type="dxa"/>
          <w:jc w:val="center"/>
          <w:tblLook w:val="04A0"/>
        </w:tblPrEx>
        <w:trPr>
          <w:jc w:val="center"/>
        </w:trPr>
        <w:tc>
          <w:tcPr>
            <w:tcW w:w="848" w:type="dxa"/>
            <w:vAlign w:val="center"/>
          </w:tcPr>
          <w:p w:rsidR="0039352C">
            <w:pPr>
              <w:pStyle w:val="HXLC-"/>
            </w:pPr>
            <w:r>
              <w:rPr>
                <w:rFonts w:hint="eastAsia"/>
              </w:rPr>
              <w:t>6</w:t>
            </w:r>
          </w:p>
        </w:tc>
        <w:tc>
          <w:tcPr>
            <w:tcW w:w="7561" w:type="dxa"/>
            <w:vAlign w:val="center"/>
          </w:tcPr>
          <w:p w:rsidR="0039352C">
            <w:pPr>
              <w:pStyle w:val="HXLC-"/>
            </w:pPr>
            <w:r>
              <w:rPr>
                <w:rFonts w:hint="eastAsia"/>
              </w:rPr>
              <w:t>IGS</w:t>
            </w:r>
            <w:r>
              <w:rPr>
                <w:rFonts w:hint="eastAsia"/>
              </w:rPr>
              <w:t>分析中心</w:t>
            </w:r>
            <w:r>
              <w:rPr>
                <w:rFonts w:hint="eastAsia"/>
              </w:rPr>
              <w:t>SOPAC</w:t>
            </w:r>
            <w:r>
              <w:rPr>
                <w:rFonts w:hint="eastAsia"/>
              </w:rPr>
              <w:t>地球和卫星表文件</w:t>
            </w:r>
          </w:p>
        </w:tc>
      </w:tr>
      <w:tr>
        <w:tblPrEx>
          <w:tblW w:w="8409" w:type="dxa"/>
          <w:jc w:val="center"/>
          <w:tblLook w:val="04A0"/>
        </w:tblPrEx>
        <w:trPr>
          <w:jc w:val="center"/>
        </w:trPr>
        <w:tc>
          <w:tcPr>
            <w:tcW w:w="848" w:type="dxa"/>
            <w:vAlign w:val="center"/>
          </w:tcPr>
          <w:p w:rsidR="0039352C">
            <w:pPr>
              <w:pStyle w:val="HXLC-"/>
            </w:pPr>
            <w:r>
              <w:rPr>
                <w:rFonts w:hint="eastAsia"/>
              </w:rPr>
              <w:t>7</w:t>
            </w:r>
          </w:p>
        </w:tc>
        <w:tc>
          <w:tcPr>
            <w:tcW w:w="7561" w:type="dxa"/>
            <w:vAlign w:val="center"/>
          </w:tcPr>
          <w:p w:rsidR="0039352C">
            <w:pPr>
              <w:pStyle w:val="HXLC-"/>
            </w:pPr>
            <w:r>
              <w:rPr>
                <w:rFonts w:hint="eastAsia"/>
              </w:rPr>
              <w:t>IGS</w:t>
            </w:r>
            <w:r>
              <w:rPr>
                <w:rFonts w:hint="eastAsia"/>
              </w:rPr>
              <w:t>分析中心武汉大学地球和卫星表文件</w:t>
            </w:r>
          </w:p>
        </w:tc>
      </w:tr>
      <w:tr>
        <w:tblPrEx>
          <w:tblW w:w="8409" w:type="dxa"/>
          <w:jc w:val="center"/>
          <w:tblLook w:val="04A0"/>
        </w:tblPrEx>
        <w:trPr>
          <w:jc w:val="center"/>
        </w:trPr>
        <w:tc>
          <w:tcPr>
            <w:tcW w:w="848" w:type="dxa"/>
            <w:vAlign w:val="center"/>
          </w:tcPr>
          <w:p w:rsidR="0039352C">
            <w:pPr>
              <w:pStyle w:val="HXLC-"/>
            </w:pPr>
            <w:r>
              <w:rPr>
                <w:rFonts w:hint="eastAsia"/>
              </w:rPr>
              <w:t>8</w:t>
            </w:r>
          </w:p>
        </w:tc>
        <w:tc>
          <w:tcPr>
            <w:tcW w:w="7561" w:type="dxa"/>
            <w:vAlign w:val="center"/>
          </w:tcPr>
          <w:p w:rsidR="0039352C">
            <w:pPr>
              <w:pStyle w:val="HXLC-"/>
            </w:pPr>
            <w:r>
              <w:rPr>
                <w:rFonts w:hint="eastAsia"/>
              </w:rPr>
              <w:t>IGS</w:t>
            </w:r>
            <w:r>
              <w:rPr>
                <w:rFonts w:hint="eastAsia"/>
              </w:rPr>
              <w:t>分析中心相位码偏差</w:t>
            </w:r>
          </w:p>
        </w:tc>
      </w:tr>
      <w:tr>
        <w:tblPrEx>
          <w:tblW w:w="8409" w:type="dxa"/>
          <w:jc w:val="center"/>
          <w:tblLook w:val="04A0"/>
        </w:tblPrEx>
        <w:trPr>
          <w:jc w:val="center"/>
        </w:trPr>
        <w:tc>
          <w:tcPr>
            <w:tcW w:w="848" w:type="dxa"/>
            <w:vAlign w:val="center"/>
          </w:tcPr>
          <w:p w:rsidR="0039352C">
            <w:pPr>
              <w:pStyle w:val="HXLC-"/>
            </w:pPr>
            <w:r>
              <w:rPr>
                <w:rFonts w:hint="eastAsia"/>
              </w:rPr>
              <w:t>9</w:t>
            </w:r>
          </w:p>
        </w:tc>
        <w:tc>
          <w:tcPr>
            <w:tcW w:w="7561" w:type="dxa"/>
            <w:vAlign w:val="center"/>
          </w:tcPr>
          <w:p w:rsidR="0039352C">
            <w:pPr>
              <w:pStyle w:val="HXLC-"/>
            </w:pPr>
            <w:r>
              <w:rPr>
                <w:rFonts w:hint="eastAsia"/>
              </w:rPr>
              <w:t>IGS</w:t>
            </w:r>
            <w:r>
              <w:rPr>
                <w:rFonts w:hint="eastAsia"/>
              </w:rPr>
              <w:t>分析中心武汉大学国际</w:t>
            </w:r>
            <w:r>
              <w:rPr>
                <w:rFonts w:hint="eastAsia"/>
              </w:rPr>
              <w:t>基准网</w:t>
            </w:r>
            <w:r>
              <w:rPr>
                <w:rFonts w:hint="eastAsia"/>
              </w:rPr>
              <w:t>观测数据</w:t>
            </w:r>
          </w:p>
        </w:tc>
      </w:tr>
      <w:tr>
        <w:tblPrEx>
          <w:tblW w:w="8409" w:type="dxa"/>
          <w:jc w:val="center"/>
          <w:tblLook w:val="04A0"/>
        </w:tblPrEx>
        <w:trPr>
          <w:jc w:val="center"/>
        </w:trPr>
        <w:tc>
          <w:tcPr>
            <w:tcW w:w="848" w:type="dxa"/>
            <w:vAlign w:val="center"/>
          </w:tcPr>
          <w:p w:rsidR="0039352C">
            <w:pPr>
              <w:pStyle w:val="HXLC-"/>
            </w:pPr>
            <w:r>
              <w:rPr>
                <w:rFonts w:hint="eastAsia"/>
              </w:rPr>
              <w:t>10</w:t>
            </w:r>
          </w:p>
        </w:tc>
        <w:tc>
          <w:tcPr>
            <w:tcW w:w="7561" w:type="dxa"/>
            <w:vAlign w:val="center"/>
          </w:tcPr>
          <w:p w:rsidR="0039352C">
            <w:pPr>
              <w:pStyle w:val="HXLC-"/>
            </w:pPr>
            <w:r>
              <w:rPr>
                <w:rFonts w:hint="eastAsia"/>
              </w:rPr>
              <w:t>IGS</w:t>
            </w:r>
            <w:r>
              <w:rPr>
                <w:rFonts w:hint="eastAsia"/>
              </w:rPr>
              <w:t>分析中心武汉大学广播星历</w:t>
            </w:r>
          </w:p>
        </w:tc>
      </w:tr>
      <w:tr>
        <w:tblPrEx>
          <w:tblW w:w="8409" w:type="dxa"/>
          <w:jc w:val="center"/>
          <w:tblLook w:val="04A0"/>
        </w:tblPrEx>
        <w:trPr>
          <w:jc w:val="center"/>
        </w:trPr>
        <w:tc>
          <w:tcPr>
            <w:tcW w:w="848" w:type="dxa"/>
            <w:vAlign w:val="center"/>
          </w:tcPr>
          <w:p w:rsidR="0039352C">
            <w:pPr>
              <w:pStyle w:val="HXLC-"/>
            </w:pPr>
            <w:r>
              <w:rPr>
                <w:rFonts w:hint="eastAsia"/>
              </w:rPr>
              <w:t>11</w:t>
            </w:r>
          </w:p>
        </w:tc>
        <w:tc>
          <w:tcPr>
            <w:tcW w:w="7561" w:type="dxa"/>
            <w:vAlign w:val="center"/>
          </w:tcPr>
          <w:p w:rsidR="0039352C">
            <w:pPr>
              <w:pStyle w:val="HXLC-"/>
            </w:pPr>
            <w:r>
              <w:rPr>
                <w:rFonts w:hint="eastAsia"/>
              </w:rPr>
              <w:t>IGS</w:t>
            </w:r>
            <w:r>
              <w:rPr>
                <w:rFonts w:hint="eastAsia"/>
              </w:rPr>
              <w:t>分析中心武汉大学实时钟差</w:t>
            </w:r>
          </w:p>
        </w:tc>
      </w:tr>
      <w:tr>
        <w:tblPrEx>
          <w:tblW w:w="8409" w:type="dxa"/>
          <w:jc w:val="center"/>
          <w:tblLook w:val="04A0"/>
        </w:tblPrEx>
        <w:trPr>
          <w:jc w:val="center"/>
        </w:trPr>
        <w:tc>
          <w:tcPr>
            <w:tcW w:w="848" w:type="dxa"/>
            <w:vAlign w:val="center"/>
          </w:tcPr>
          <w:p w:rsidR="0039352C">
            <w:pPr>
              <w:pStyle w:val="HXLC-"/>
            </w:pPr>
            <w:r>
              <w:rPr>
                <w:rFonts w:hint="eastAsia"/>
              </w:rPr>
              <w:t>12</w:t>
            </w:r>
          </w:p>
        </w:tc>
        <w:tc>
          <w:tcPr>
            <w:tcW w:w="7561" w:type="dxa"/>
            <w:vAlign w:val="center"/>
          </w:tcPr>
          <w:p w:rsidR="0039352C">
            <w:pPr>
              <w:pStyle w:val="HXLC-"/>
            </w:pPr>
            <w:r>
              <w:rPr>
                <w:rFonts w:hint="eastAsia"/>
              </w:rPr>
              <w:t>IGS</w:t>
            </w:r>
            <w:r>
              <w:rPr>
                <w:rFonts w:hint="eastAsia"/>
              </w:rPr>
              <w:t>分析中心</w:t>
            </w:r>
            <w:r>
              <w:rPr>
                <w:rFonts w:hint="eastAsia"/>
              </w:rPr>
              <w:t>SOPAC</w:t>
            </w:r>
            <w:r>
              <w:rPr>
                <w:rFonts w:hint="eastAsia"/>
              </w:rPr>
              <w:t>预报星历</w:t>
            </w:r>
          </w:p>
        </w:tc>
      </w:tr>
      <w:tr>
        <w:tblPrEx>
          <w:tblW w:w="8409" w:type="dxa"/>
          <w:jc w:val="center"/>
          <w:tblLook w:val="04A0"/>
        </w:tblPrEx>
        <w:trPr>
          <w:jc w:val="center"/>
        </w:trPr>
        <w:tc>
          <w:tcPr>
            <w:tcW w:w="848" w:type="dxa"/>
            <w:vAlign w:val="center"/>
          </w:tcPr>
          <w:p w:rsidR="0039352C">
            <w:pPr>
              <w:pStyle w:val="HXLC-"/>
            </w:pPr>
            <w:r>
              <w:rPr>
                <w:rFonts w:hint="eastAsia"/>
              </w:rPr>
              <w:t>13</w:t>
            </w:r>
          </w:p>
        </w:tc>
        <w:tc>
          <w:tcPr>
            <w:tcW w:w="7561" w:type="dxa"/>
            <w:vAlign w:val="center"/>
          </w:tcPr>
          <w:p w:rsidR="0039352C">
            <w:pPr>
              <w:pStyle w:val="HXLC-"/>
            </w:pPr>
            <w:r>
              <w:rPr>
                <w:rFonts w:hint="eastAsia"/>
              </w:rPr>
              <w:t>IGS</w:t>
            </w:r>
            <w:r>
              <w:rPr>
                <w:rFonts w:hint="eastAsia"/>
              </w:rPr>
              <w:t>分析中心武汉大学预报星历</w:t>
            </w:r>
          </w:p>
        </w:tc>
      </w:tr>
    </w:tbl>
    <w:p w:rsidR="0039352C">
      <w:pPr>
        <w:ind w:firstLine="480"/>
      </w:pPr>
    </w:p>
    <w:tbl>
      <w:tblPr>
        <w:tblStyle w:val="TableGrid"/>
        <w:tblW w:w="8409" w:type="dxa"/>
        <w:jc w:val="center"/>
        <w:tblLook w:val="04A0"/>
      </w:tblPr>
      <w:tblGrid>
        <w:gridCol w:w="848"/>
        <w:gridCol w:w="7561"/>
      </w:tblGrid>
      <w:tr>
        <w:tblPrEx>
          <w:tblW w:w="8409" w:type="dxa"/>
          <w:jc w:val="center"/>
          <w:tblLook w:val="04A0"/>
        </w:tblPrEx>
        <w:trPr>
          <w:jc w:val="center"/>
        </w:trPr>
        <w:tc>
          <w:tcPr>
            <w:tcW w:w="848" w:type="dxa"/>
            <w:shd w:val="clear" w:color="auto" w:fill="F9DBDE" w:themeFill="accent6" w:themeFillTint="33"/>
            <w:vAlign w:val="center"/>
          </w:tcPr>
          <w:p w:rsidR="0039352C">
            <w:pPr>
              <w:pStyle w:val="HXLC-"/>
              <w:jc w:val="center"/>
              <w:rPr>
                <w:b/>
                <w:bCs/>
                <w:color w:val="auto"/>
              </w:rPr>
            </w:pPr>
            <w:r>
              <w:rPr>
                <w:rFonts w:hint="eastAsia"/>
                <w:b/>
                <w:bCs/>
                <w:color w:val="auto"/>
              </w:rPr>
              <w:t>序号</w:t>
            </w:r>
          </w:p>
        </w:tc>
        <w:tc>
          <w:tcPr>
            <w:tcW w:w="7561" w:type="dxa"/>
            <w:shd w:val="clear" w:color="auto" w:fill="F9DBDE" w:themeFill="accent6" w:themeFillTint="33"/>
            <w:vAlign w:val="center"/>
          </w:tcPr>
          <w:p w:rsidR="0039352C">
            <w:pPr>
              <w:pStyle w:val="HXLC-"/>
              <w:jc w:val="center"/>
              <w:rPr>
                <w:b/>
                <w:bCs/>
                <w:color w:val="auto"/>
              </w:rPr>
            </w:pPr>
            <w:r>
              <w:rPr>
                <w:rFonts w:hint="eastAsia"/>
                <w:b/>
                <w:bCs/>
                <w:color w:val="auto"/>
              </w:rPr>
              <w:t>未来新增数据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w:t>
            </w:r>
          </w:p>
        </w:tc>
        <w:tc>
          <w:tcPr>
            <w:tcW w:w="7561" w:type="dxa"/>
            <w:vAlign w:val="center"/>
          </w:tcPr>
          <w:p w:rsidR="0039352C">
            <w:pPr>
              <w:pStyle w:val="HXLC-"/>
              <w:rPr>
                <w:color w:val="auto"/>
              </w:rPr>
            </w:pPr>
            <w:r>
              <w:rPr>
                <w:rFonts w:hint="eastAsia"/>
                <w:color w:val="auto"/>
              </w:rPr>
              <w:t>HadCRUT</w:t>
            </w:r>
            <w:r>
              <w:rPr>
                <w:rFonts w:hint="eastAsia"/>
                <w:color w:val="auto"/>
              </w:rPr>
              <w:t>（全球历史地表温度格点数据集）</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2</w:t>
            </w:r>
          </w:p>
        </w:tc>
        <w:tc>
          <w:tcPr>
            <w:tcW w:w="7561" w:type="dxa"/>
            <w:vAlign w:val="center"/>
          </w:tcPr>
          <w:p w:rsidR="0039352C">
            <w:pPr>
              <w:pStyle w:val="HXLC-"/>
              <w:rPr>
                <w:color w:val="auto"/>
              </w:rPr>
            </w:pPr>
            <w:r>
              <w:rPr>
                <w:rFonts w:hint="eastAsia"/>
                <w:color w:val="auto"/>
              </w:rPr>
              <w:t>CRU TS</w:t>
            </w:r>
            <w:r>
              <w:rPr>
                <w:rFonts w:hint="eastAsia"/>
                <w:color w:val="auto"/>
              </w:rPr>
              <w:t>（高分辨率全球陆地月平均气候格点数据集）</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3</w:t>
            </w:r>
          </w:p>
        </w:tc>
        <w:tc>
          <w:tcPr>
            <w:tcW w:w="7561" w:type="dxa"/>
            <w:vAlign w:val="center"/>
          </w:tcPr>
          <w:p w:rsidR="0039352C">
            <w:pPr>
              <w:pStyle w:val="HXLC-"/>
              <w:rPr>
                <w:color w:val="auto"/>
              </w:rPr>
            </w:pPr>
            <w:r>
              <w:rPr>
                <w:rFonts w:hint="eastAsia"/>
                <w:color w:val="auto"/>
              </w:rPr>
              <w:t>HadISD</w:t>
            </w:r>
            <w:r>
              <w:rPr>
                <w:rFonts w:hint="eastAsia"/>
                <w:color w:val="auto"/>
              </w:rPr>
              <w:t>（全球次每日（</w:t>
            </w:r>
            <w:r>
              <w:rPr>
                <w:rFonts w:hint="eastAsia"/>
                <w:color w:val="auto"/>
              </w:rPr>
              <w:t>sub-daily</w:t>
            </w:r>
            <w:r>
              <w:rPr>
                <w:rFonts w:hint="eastAsia"/>
                <w:color w:val="auto"/>
              </w:rPr>
              <w:t>）气象站数据集）</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4</w:t>
            </w:r>
          </w:p>
        </w:tc>
        <w:tc>
          <w:tcPr>
            <w:tcW w:w="7561" w:type="dxa"/>
            <w:vAlign w:val="center"/>
          </w:tcPr>
          <w:p w:rsidR="0039352C">
            <w:pPr>
              <w:pStyle w:val="HXLC-"/>
              <w:rPr>
                <w:color w:val="auto"/>
              </w:rPr>
            </w:pPr>
            <w:r>
              <w:rPr>
                <w:rFonts w:hint="eastAsia"/>
                <w:color w:val="auto"/>
              </w:rPr>
              <w:t>HadISDH</w:t>
            </w:r>
            <w:r>
              <w:rPr>
                <w:rFonts w:hint="eastAsia"/>
                <w:color w:val="auto"/>
              </w:rPr>
              <w:t>（基于</w:t>
            </w:r>
            <w:r>
              <w:rPr>
                <w:rFonts w:hint="eastAsia"/>
                <w:color w:val="auto"/>
              </w:rPr>
              <w:t>HadISD</w:t>
            </w:r>
            <w:r>
              <w:rPr>
                <w:rFonts w:hint="eastAsia"/>
                <w:color w:val="auto"/>
              </w:rPr>
              <w:t>的全球陆地月平均湿度格点数据集）</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5</w:t>
            </w:r>
          </w:p>
        </w:tc>
        <w:tc>
          <w:tcPr>
            <w:tcW w:w="7561" w:type="dxa"/>
            <w:vAlign w:val="center"/>
          </w:tcPr>
          <w:p w:rsidR="0039352C">
            <w:pPr>
              <w:pStyle w:val="HXLC-"/>
              <w:rPr>
                <w:color w:val="auto"/>
              </w:rPr>
            </w:pPr>
            <w:r>
              <w:rPr>
                <w:rFonts w:hint="eastAsia"/>
                <w:color w:val="auto"/>
              </w:rPr>
              <w:t>RAOB-CORE radiosonde dataset</w:t>
            </w:r>
            <w:r>
              <w:rPr>
                <w:rFonts w:hint="eastAsia"/>
                <w:color w:val="auto"/>
              </w:rPr>
              <w:t>（全球无线电探空核心数据集）</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6</w:t>
            </w:r>
          </w:p>
        </w:tc>
        <w:tc>
          <w:tcPr>
            <w:tcW w:w="7561" w:type="dxa"/>
            <w:vAlign w:val="center"/>
          </w:tcPr>
          <w:p w:rsidR="0039352C">
            <w:pPr>
              <w:pStyle w:val="HXLC-"/>
              <w:rPr>
                <w:color w:val="auto"/>
              </w:rPr>
            </w:pPr>
            <w:r>
              <w:rPr>
                <w:rFonts w:hint="eastAsia"/>
                <w:color w:val="auto"/>
              </w:rPr>
              <w:t>RICH radiosonde dataset</w:t>
            </w:r>
            <w:r>
              <w:rPr>
                <w:rFonts w:hint="eastAsia"/>
                <w:color w:val="auto"/>
              </w:rPr>
              <w:t>（全球无线电探空均一化数据集）</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7</w:t>
            </w:r>
          </w:p>
        </w:tc>
        <w:tc>
          <w:tcPr>
            <w:tcW w:w="7561" w:type="dxa"/>
            <w:vAlign w:val="center"/>
          </w:tcPr>
          <w:p w:rsidR="0039352C">
            <w:pPr>
              <w:pStyle w:val="HXLC-"/>
              <w:rPr>
                <w:color w:val="auto"/>
              </w:rPr>
            </w:pPr>
            <w:r>
              <w:rPr>
                <w:rFonts w:hint="eastAsia"/>
                <w:color w:val="auto"/>
              </w:rPr>
              <w:t>HadUK</w:t>
            </w:r>
            <w:r>
              <w:rPr>
                <w:rFonts w:hint="eastAsia"/>
                <w:color w:val="auto"/>
              </w:rPr>
              <w:t>-Grid</w:t>
            </w:r>
            <w:r>
              <w:rPr>
                <w:rFonts w:hint="eastAsia"/>
                <w:color w:val="auto"/>
              </w:rPr>
              <w:t>（英国区域格点气候数据）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8</w:t>
            </w:r>
          </w:p>
        </w:tc>
        <w:tc>
          <w:tcPr>
            <w:tcW w:w="7561" w:type="dxa"/>
            <w:vAlign w:val="center"/>
          </w:tcPr>
          <w:p w:rsidR="0039352C">
            <w:pPr>
              <w:pStyle w:val="HXLC-"/>
              <w:rPr>
                <w:color w:val="auto"/>
              </w:rPr>
            </w:pPr>
            <w:r>
              <w:rPr>
                <w:rFonts w:hint="eastAsia"/>
                <w:color w:val="auto"/>
              </w:rPr>
              <w:t>Australian Gridded Climate Data (AGCD)</w:t>
            </w:r>
            <w:r>
              <w:rPr>
                <w:rFonts w:hint="eastAsia"/>
                <w:color w:val="auto"/>
              </w:rPr>
              <w:t>（澳大利亚格点气候数据）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9</w:t>
            </w:r>
          </w:p>
        </w:tc>
        <w:tc>
          <w:tcPr>
            <w:tcW w:w="7561" w:type="dxa"/>
            <w:vAlign w:val="center"/>
          </w:tcPr>
          <w:p w:rsidR="0039352C">
            <w:pPr>
              <w:pStyle w:val="HXLC-"/>
              <w:rPr>
                <w:color w:val="auto"/>
              </w:rPr>
            </w:pPr>
            <w:r>
              <w:rPr>
                <w:rFonts w:hint="eastAsia"/>
                <w:color w:val="auto"/>
              </w:rPr>
              <w:t>E-OBS</w:t>
            </w:r>
            <w:r>
              <w:rPr>
                <w:rFonts w:hint="eastAsia"/>
                <w:color w:val="auto"/>
              </w:rPr>
              <w:t>（欧洲范围温度和降水观测插值格点数据）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10</w:t>
            </w:r>
          </w:p>
        </w:tc>
        <w:tc>
          <w:tcPr>
            <w:tcW w:w="7561" w:type="dxa"/>
            <w:vAlign w:val="center"/>
          </w:tcPr>
          <w:p w:rsidR="0039352C">
            <w:pPr>
              <w:pStyle w:val="HXLC-"/>
              <w:rPr>
                <w:color w:val="auto"/>
              </w:rPr>
            </w:pPr>
            <w:r>
              <w:rPr>
                <w:rFonts w:hint="eastAsia"/>
                <w:color w:val="auto"/>
              </w:rPr>
              <w:t>New Zealand temperature and rainfall datasets</w:t>
            </w:r>
            <w:r>
              <w:rPr>
                <w:rFonts w:hint="eastAsia"/>
                <w:color w:val="auto"/>
              </w:rPr>
              <w:t>（新西兰气温降水数据）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11</w:t>
            </w:r>
          </w:p>
        </w:tc>
        <w:tc>
          <w:tcPr>
            <w:tcW w:w="7561" w:type="dxa"/>
            <w:vAlign w:val="center"/>
          </w:tcPr>
          <w:p w:rsidR="0039352C">
            <w:pPr>
              <w:pStyle w:val="HXLC-"/>
              <w:rPr>
                <w:color w:val="auto"/>
              </w:rPr>
            </w:pPr>
            <w:r>
              <w:rPr>
                <w:rFonts w:hint="eastAsia"/>
                <w:color w:val="auto"/>
              </w:rPr>
              <w:t>EUMETNET</w:t>
            </w:r>
            <w:r>
              <w:rPr>
                <w:rFonts w:hint="eastAsia"/>
                <w:color w:val="auto"/>
              </w:rPr>
              <w:t>地基</w:t>
            </w:r>
            <w:r>
              <w:rPr>
                <w:rFonts w:hint="eastAsia"/>
                <w:color w:val="auto"/>
              </w:rPr>
              <w:t>GNSS</w:t>
            </w:r>
            <w:r>
              <w:rPr>
                <w:rFonts w:hint="eastAsia"/>
                <w:color w:val="auto"/>
              </w:rPr>
              <w:t>天顶对流层延迟与水汽产品（</w:t>
            </w:r>
            <w:r>
              <w:rPr>
                <w:rFonts w:hint="eastAsia"/>
                <w:color w:val="auto"/>
              </w:rPr>
              <w:t>E-GVAP ZTD/PWV</w:t>
            </w:r>
            <w:r>
              <w:rPr>
                <w:rFonts w:hint="eastAsia"/>
                <w:color w:val="auto"/>
              </w:rPr>
              <w:t>）</w:t>
            </w:r>
          </w:p>
        </w:tc>
      </w:tr>
    </w:tbl>
    <w:p w:rsidR="0039352C">
      <w:pPr>
        <w:ind w:firstLine="480"/>
      </w:pPr>
    </w:p>
    <w:p w:rsidR="0039352C">
      <w:pPr>
        <w:ind w:firstLine="480"/>
      </w:pPr>
      <w:r>
        <w:rPr>
          <w:rFonts w:hint="eastAsia"/>
        </w:rPr>
        <w:t>根据</w:t>
      </w:r>
      <w:r>
        <w:rPr>
          <w:rFonts w:hint="eastAsia"/>
        </w:rPr>
        <w:t>各资料</w:t>
      </w:r>
      <w:r>
        <w:rPr>
          <w:rFonts w:hint="eastAsia"/>
        </w:rPr>
        <w:t>实际发布方式，配置数据源地址、访问参数、目录层级、文件识别规则、更新时间和本地存储路径。针对实时钟差、广播星历等高频更新资料配置周期性获取任务，针对日尺度、月尺度及历史数据配置相应的定时收集和</w:t>
      </w:r>
      <w:r>
        <w:rPr>
          <w:rFonts w:hint="eastAsia"/>
        </w:rPr>
        <w:t>批量补采任务</w:t>
      </w:r>
      <w:r>
        <w:rPr>
          <w:rFonts w:hint="eastAsia"/>
        </w:rPr>
        <w:t>。</w:t>
      </w:r>
    </w:p>
    <w:p w:rsidR="0039352C">
      <w:pPr>
        <w:ind w:firstLine="482"/>
        <w:rPr>
          <w:b/>
          <w:bCs/>
        </w:rPr>
      </w:pPr>
      <w:r>
        <w:rPr>
          <w:rFonts w:hint="eastAsia"/>
          <w:b/>
          <w:bCs/>
        </w:rPr>
        <w:t>2</w:t>
      </w:r>
      <w:r>
        <w:rPr>
          <w:rFonts w:hint="eastAsia"/>
          <w:b/>
          <w:bCs/>
        </w:rPr>
        <w:t>、海洋气象资料接入</w:t>
      </w:r>
    </w:p>
    <w:p w:rsidR="0039352C">
      <w:pPr>
        <w:ind w:firstLine="480"/>
        <w:rPr>
          <w:color w:val="auto"/>
        </w:rPr>
      </w:pPr>
      <w:r>
        <w:rPr>
          <w:rFonts w:hint="eastAsia"/>
          <w:color w:val="auto"/>
        </w:rPr>
        <w:t>完</w:t>
      </w:r>
      <w:r>
        <w:rPr>
          <w:rFonts w:hint="eastAsia"/>
          <w:color w:val="auto"/>
        </w:rPr>
        <w:t>成已知的</w:t>
      </w:r>
      <w:r>
        <w:rPr>
          <w:rFonts w:hint="eastAsia"/>
          <w:color w:val="auto"/>
        </w:rPr>
        <w:t>10</w:t>
      </w:r>
      <w:r>
        <w:rPr>
          <w:rFonts w:hint="eastAsia"/>
          <w:color w:val="auto"/>
        </w:rPr>
        <w:t>类海洋气象数据的接入和收集，未来包括但不限于的</w:t>
      </w:r>
      <w:r>
        <w:rPr>
          <w:rFonts w:hint="eastAsia"/>
          <w:color w:val="auto"/>
        </w:rPr>
        <w:t>1</w:t>
      </w:r>
      <w:r>
        <w:rPr>
          <w:rFonts w:hint="eastAsia"/>
          <w:color w:val="auto"/>
        </w:rPr>
        <w:t>类新增数据的接入和收集：</w:t>
      </w:r>
    </w:p>
    <w:tbl>
      <w:tblPr>
        <w:tblStyle w:val="TableGrid"/>
        <w:tblW w:w="8409" w:type="dxa"/>
        <w:jc w:val="center"/>
        <w:tblLook w:val="04A0"/>
      </w:tblPr>
      <w:tblGrid>
        <w:gridCol w:w="848"/>
        <w:gridCol w:w="7561"/>
      </w:tblGrid>
      <w:tr>
        <w:tblPrEx>
          <w:tblW w:w="8409" w:type="dxa"/>
          <w:jc w:val="center"/>
          <w:tblLook w:val="04A0"/>
        </w:tblPrEx>
        <w:trPr>
          <w:jc w:val="center"/>
        </w:trPr>
        <w:tc>
          <w:tcPr>
            <w:tcW w:w="848" w:type="dxa"/>
            <w:shd w:val="clear" w:color="auto" w:fill="F9DBDE" w:themeFill="accent6" w:themeFillTint="33"/>
            <w:vAlign w:val="center"/>
          </w:tcPr>
          <w:p w:rsidR="0039352C">
            <w:pPr>
              <w:pStyle w:val="HXLC-"/>
              <w:jc w:val="center"/>
              <w:rPr>
                <w:b/>
                <w:bCs/>
              </w:rPr>
            </w:pPr>
            <w:r>
              <w:rPr>
                <w:rFonts w:hint="eastAsia"/>
                <w:b/>
                <w:bCs/>
              </w:rPr>
              <w:t>序号</w:t>
            </w:r>
          </w:p>
        </w:tc>
        <w:tc>
          <w:tcPr>
            <w:tcW w:w="7561" w:type="dxa"/>
            <w:shd w:val="clear" w:color="auto" w:fill="F9DBDE" w:themeFill="accent6" w:themeFillTint="33"/>
            <w:vAlign w:val="center"/>
          </w:tcPr>
          <w:p w:rsidR="0039352C">
            <w:pPr>
              <w:pStyle w:val="HXLC-"/>
              <w:jc w:val="center"/>
              <w:rPr>
                <w:b/>
                <w:bCs/>
              </w:rPr>
            </w:pPr>
            <w:r>
              <w:rPr>
                <w:rFonts w:hint="eastAsia"/>
                <w:b/>
                <w:bCs/>
              </w:rPr>
              <w:t>当前已知数据</w:t>
            </w:r>
          </w:p>
        </w:tc>
      </w:tr>
      <w:tr>
        <w:tblPrEx>
          <w:tblW w:w="8409" w:type="dxa"/>
          <w:jc w:val="center"/>
          <w:tblLook w:val="04A0"/>
        </w:tblPrEx>
        <w:trPr>
          <w:jc w:val="center"/>
        </w:trPr>
        <w:tc>
          <w:tcPr>
            <w:tcW w:w="848" w:type="dxa"/>
            <w:vAlign w:val="center"/>
          </w:tcPr>
          <w:p w:rsidR="0039352C">
            <w:pPr>
              <w:pStyle w:val="HXLC-"/>
            </w:pPr>
            <w:r>
              <w:rPr>
                <w:rFonts w:hint="eastAsia"/>
              </w:rPr>
              <w:t>1</w:t>
            </w:r>
          </w:p>
        </w:tc>
        <w:tc>
          <w:tcPr>
            <w:tcW w:w="7561" w:type="dxa"/>
            <w:vAlign w:val="center"/>
          </w:tcPr>
          <w:p w:rsidR="0039352C">
            <w:pPr>
              <w:pStyle w:val="HXLC-"/>
            </w:pPr>
            <w:r>
              <w:rPr>
                <w:rFonts w:hint="eastAsia"/>
              </w:rPr>
              <w:t>CryoSat-2 L4</w:t>
            </w:r>
            <w:r>
              <w:rPr>
                <w:rFonts w:hint="eastAsia"/>
              </w:rPr>
              <w:t>海冰厚度产品</w:t>
            </w:r>
          </w:p>
        </w:tc>
      </w:tr>
      <w:tr>
        <w:tblPrEx>
          <w:tblW w:w="8409" w:type="dxa"/>
          <w:jc w:val="center"/>
          <w:tblLook w:val="04A0"/>
        </w:tblPrEx>
        <w:trPr>
          <w:jc w:val="center"/>
        </w:trPr>
        <w:tc>
          <w:tcPr>
            <w:tcW w:w="848" w:type="dxa"/>
            <w:vAlign w:val="center"/>
          </w:tcPr>
          <w:p w:rsidR="0039352C">
            <w:pPr>
              <w:pStyle w:val="HXLC-"/>
            </w:pPr>
            <w:r>
              <w:rPr>
                <w:rFonts w:hint="eastAsia"/>
              </w:rPr>
              <w:t>2</w:t>
            </w:r>
          </w:p>
        </w:tc>
        <w:tc>
          <w:tcPr>
            <w:tcW w:w="7561" w:type="dxa"/>
            <w:vAlign w:val="center"/>
          </w:tcPr>
          <w:p w:rsidR="0039352C">
            <w:pPr>
              <w:pStyle w:val="HXLC-"/>
            </w:pPr>
            <w:r>
              <w:rPr>
                <w:rFonts w:hint="eastAsia"/>
              </w:rPr>
              <w:t>ICESat-2 L4</w:t>
            </w:r>
            <w:r>
              <w:rPr>
                <w:rFonts w:hint="eastAsia"/>
              </w:rPr>
              <w:t>月平均网格化海冰厚度产品</w:t>
            </w:r>
          </w:p>
        </w:tc>
      </w:tr>
      <w:tr>
        <w:tblPrEx>
          <w:tblW w:w="8409" w:type="dxa"/>
          <w:jc w:val="center"/>
          <w:tblLook w:val="04A0"/>
        </w:tblPrEx>
        <w:trPr>
          <w:jc w:val="center"/>
        </w:trPr>
        <w:tc>
          <w:tcPr>
            <w:tcW w:w="848" w:type="dxa"/>
            <w:vAlign w:val="center"/>
          </w:tcPr>
          <w:p w:rsidR="0039352C">
            <w:pPr>
              <w:pStyle w:val="HXLC-"/>
            </w:pPr>
            <w:r>
              <w:rPr>
                <w:rFonts w:hint="eastAsia"/>
              </w:rPr>
              <w:t>3</w:t>
            </w:r>
          </w:p>
        </w:tc>
        <w:tc>
          <w:tcPr>
            <w:tcW w:w="7561" w:type="dxa"/>
            <w:vAlign w:val="center"/>
          </w:tcPr>
          <w:p w:rsidR="0039352C">
            <w:pPr>
              <w:pStyle w:val="HXLC-"/>
            </w:pPr>
            <w:r>
              <w:rPr>
                <w:rFonts w:hint="eastAsia"/>
              </w:rPr>
              <w:t>泛北极海冰—海洋模拟与同化系统海冰厚度数据</w:t>
            </w:r>
          </w:p>
        </w:tc>
      </w:tr>
      <w:tr>
        <w:tblPrEx>
          <w:tblW w:w="8409" w:type="dxa"/>
          <w:jc w:val="center"/>
          <w:tblLook w:val="04A0"/>
        </w:tblPrEx>
        <w:trPr>
          <w:jc w:val="center"/>
        </w:trPr>
        <w:tc>
          <w:tcPr>
            <w:tcW w:w="848" w:type="dxa"/>
            <w:vAlign w:val="center"/>
          </w:tcPr>
          <w:p w:rsidR="0039352C">
            <w:pPr>
              <w:pStyle w:val="HXLC-"/>
            </w:pPr>
            <w:r>
              <w:rPr>
                <w:rFonts w:hint="eastAsia"/>
              </w:rPr>
              <w:t>4</w:t>
            </w:r>
          </w:p>
        </w:tc>
        <w:tc>
          <w:tcPr>
            <w:tcW w:w="7561" w:type="dxa"/>
            <w:vAlign w:val="center"/>
          </w:tcPr>
          <w:p w:rsidR="0039352C">
            <w:pPr>
              <w:pStyle w:val="HXLC-"/>
            </w:pPr>
            <w:r>
              <w:rPr>
                <w:rFonts w:hint="eastAsia"/>
              </w:rPr>
              <w:t>中国科学院</w:t>
            </w:r>
            <w:r>
              <w:rPr>
                <w:rFonts w:hint="eastAsia"/>
              </w:rPr>
              <w:t>CODCv2</w:t>
            </w:r>
            <w:r>
              <w:rPr>
                <w:rFonts w:hint="eastAsia"/>
              </w:rPr>
              <w:t>全球海洋温盐原位观测数据库（</w:t>
            </w:r>
            <w:r>
              <w:rPr>
                <w:rFonts w:hint="eastAsia"/>
              </w:rPr>
              <w:t>WOD</w:t>
            </w:r>
            <w:r>
              <w:rPr>
                <w:rFonts w:hint="eastAsia"/>
              </w:rPr>
              <w:t>）</w:t>
            </w:r>
          </w:p>
        </w:tc>
      </w:tr>
      <w:tr>
        <w:tblPrEx>
          <w:tblW w:w="8409" w:type="dxa"/>
          <w:jc w:val="center"/>
          <w:tblLook w:val="04A0"/>
        </w:tblPrEx>
        <w:trPr>
          <w:jc w:val="center"/>
        </w:trPr>
        <w:tc>
          <w:tcPr>
            <w:tcW w:w="848" w:type="dxa"/>
            <w:vAlign w:val="center"/>
          </w:tcPr>
          <w:p w:rsidR="0039352C">
            <w:pPr>
              <w:pStyle w:val="HXLC-"/>
            </w:pPr>
            <w:r>
              <w:rPr>
                <w:rFonts w:hint="eastAsia"/>
              </w:rPr>
              <w:t>5</w:t>
            </w:r>
          </w:p>
        </w:tc>
        <w:tc>
          <w:tcPr>
            <w:tcW w:w="7561" w:type="dxa"/>
            <w:vAlign w:val="center"/>
          </w:tcPr>
          <w:p w:rsidR="0039352C">
            <w:pPr>
              <w:pStyle w:val="HXLC-"/>
            </w:pPr>
            <w:r>
              <w:rPr>
                <w:rFonts w:hint="eastAsia"/>
              </w:rPr>
              <w:t>AVISO</w:t>
            </w:r>
            <w:r>
              <w:rPr>
                <w:rFonts w:hint="eastAsia"/>
              </w:rPr>
              <w:t>全球平均海平面监测序列</w:t>
            </w:r>
          </w:p>
        </w:tc>
      </w:tr>
      <w:tr>
        <w:tblPrEx>
          <w:tblW w:w="8409" w:type="dxa"/>
          <w:jc w:val="center"/>
          <w:tblLook w:val="04A0"/>
        </w:tblPrEx>
        <w:trPr>
          <w:jc w:val="center"/>
        </w:trPr>
        <w:tc>
          <w:tcPr>
            <w:tcW w:w="848" w:type="dxa"/>
            <w:vAlign w:val="center"/>
          </w:tcPr>
          <w:p w:rsidR="0039352C">
            <w:pPr>
              <w:pStyle w:val="HXLC-"/>
            </w:pPr>
            <w:r>
              <w:rPr>
                <w:rFonts w:hint="eastAsia"/>
              </w:rPr>
              <w:t>6</w:t>
            </w:r>
          </w:p>
        </w:tc>
        <w:tc>
          <w:tcPr>
            <w:tcW w:w="7561" w:type="dxa"/>
            <w:vAlign w:val="center"/>
          </w:tcPr>
          <w:p w:rsidR="0039352C">
            <w:pPr>
              <w:pStyle w:val="HXLC-"/>
            </w:pPr>
            <w:r>
              <w:rPr>
                <w:rFonts w:hint="eastAsia"/>
              </w:rPr>
              <w:t>业务化海表面温度和海冰分析（</w:t>
            </w:r>
            <w:r>
              <w:rPr>
                <w:rFonts w:hint="eastAsia"/>
              </w:rPr>
              <w:t>OSTIA</w:t>
            </w:r>
            <w:r>
              <w:rPr>
                <w:rFonts w:hint="eastAsia"/>
              </w:rPr>
              <w:t>）产品</w:t>
            </w:r>
          </w:p>
        </w:tc>
      </w:tr>
      <w:tr>
        <w:tblPrEx>
          <w:tblW w:w="8409" w:type="dxa"/>
          <w:jc w:val="center"/>
          <w:tblLook w:val="04A0"/>
        </w:tblPrEx>
        <w:trPr>
          <w:jc w:val="center"/>
        </w:trPr>
        <w:tc>
          <w:tcPr>
            <w:tcW w:w="848" w:type="dxa"/>
            <w:vAlign w:val="center"/>
          </w:tcPr>
          <w:p w:rsidR="0039352C">
            <w:pPr>
              <w:pStyle w:val="HXLC-"/>
            </w:pPr>
            <w:r>
              <w:rPr>
                <w:rFonts w:hint="eastAsia"/>
              </w:rPr>
              <w:t>7</w:t>
            </w:r>
          </w:p>
        </w:tc>
        <w:tc>
          <w:tcPr>
            <w:tcW w:w="7561" w:type="dxa"/>
            <w:vAlign w:val="center"/>
          </w:tcPr>
          <w:p w:rsidR="0039352C">
            <w:pPr>
              <w:pStyle w:val="HXLC-"/>
            </w:pPr>
            <w:r>
              <w:rPr>
                <w:rFonts w:hint="eastAsia"/>
              </w:rPr>
              <w:t>IAP</w:t>
            </w:r>
            <w:r>
              <w:rPr>
                <w:rFonts w:hint="eastAsia"/>
              </w:rPr>
              <w:t>全球海洋盐度格点产品</w:t>
            </w:r>
          </w:p>
        </w:tc>
      </w:tr>
      <w:tr>
        <w:tblPrEx>
          <w:tblW w:w="8409" w:type="dxa"/>
          <w:jc w:val="center"/>
          <w:tblLook w:val="04A0"/>
        </w:tblPrEx>
        <w:trPr>
          <w:jc w:val="center"/>
        </w:trPr>
        <w:tc>
          <w:tcPr>
            <w:tcW w:w="848" w:type="dxa"/>
            <w:vAlign w:val="center"/>
          </w:tcPr>
          <w:p w:rsidR="0039352C">
            <w:pPr>
              <w:pStyle w:val="HXLC-"/>
            </w:pPr>
            <w:r>
              <w:rPr>
                <w:rFonts w:hint="eastAsia"/>
              </w:rPr>
              <w:t>8</w:t>
            </w:r>
          </w:p>
        </w:tc>
        <w:tc>
          <w:tcPr>
            <w:tcW w:w="7561" w:type="dxa"/>
            <w:vAlign w:val="center"/>
          </w:tcPr>
          <w:p w:rsidR="0039352C">
            <w:pPr>
              <w:pStyle w:val="HXLC-"/>
            </w:pPr>
            <w:r>
              <w:rPr>
                <w:rFonts w:hint="eastAsia"/>
              </w:rPr>
              <w:t>IAP</w:t>
            </w:r>
            <w:r>
              <w:rPr>
                <w:rFonts w:hint="eastAsia"/>
              </w:rPr>
              <w:t>全球海洋温度格点产品</w:t>
            </w:r>
          </w:p>
        </w:tc>
      </w:tr>
      <w:tr>
        <w:tblPrEx>
          <w:tblW w:w="8409" w:type="dxa"/>
          <w:jc w:val="center"/>
          <w:tblLook w:val="04A0"/>
        </w:tblPrEx>
        <w:trPr>
          <w:jc w:val="center"/>
        </w:trPr>
        <w:tc>
          <w:tcPr>
            <w:tcW w:w="848" w:type="dxa"/>
            <w:vAlign w:val="center"/>
          </w:tcPr>
          <w:p w:rsidR="0039352C">
            <w:pPr>
              <w:pStyle w:val="HXLC-"/>
            </w:pPr>
            <w:r>
              <w:rPr>
                <w:rFonts w:hint="eastAsia"/>
              </w:rPr>
              <w:t>9</w:t>
            </w:r>
          </w:p>
        </w:tc>
        <w:tc>
          <w:tcPr>
            <w:tcW w:w="7561" w:type="dxa"/>
            <w:vAlign w:val="center"/>
          </w:tcPr>
          <w:p w:rsidR="0039352C">
            <w:pPr>
              <w:pStyle w:val="HXLC-"/>
            </w:pPr>
            <w:r>
              <w:rPr>
                <w:rFonts w:hint="eastAsia"/>
              </w:rPr>
              <w:t>IAP</w:t>
            </w:r>
            <w:r>
              <w:rPr>
                <w:rFonts w:hint="eastAsia"/>
              </w:rPr>
              <w:t>全球海洋热含量格点产品</w:t>
            </w:r>
          </w:p>
        </w:tc>
      </w:tr>
      <w:tr>
        <w:tblPrEx>
          <w:tblW w:w="8409" w:type="dxa"/>
          <w:jc w:val="center"/>
          <w:tblLook w:val="04A0"/>
        </w:tblPrEx>
        <w:trPr>
          <w:jc w:val="center"/>
        </w:trPr>
        <w:tc>
          <w:tcPr>
            <w:tcW w:w="848" w:type="dxa"/>
            <w:vAlign w:val="center"/>
          </w:tcPr>
          <w:p w:rsidR="0039352C">
            <w:pPr>
              <w:pStyle w:val="HXLC-"/>
            </w:pPr>
            <w:r>
              <w:rPr>
                <w:rFonts w:hint="eastAsia"/>
              </w:rPr>
              <w:t>10</w:t>
            </w:r>
          </w:p>
        </w:tc>
        <w:tc>
          <w:tcPr>
            <w:tcW w:w="7561" w:type="dxa"/>
            <w:vAlign w:val="center"/>
          </w:tcPr>
          <w:p w:rsidR="0039352C">
            <w:pPr>
              <w:pStyle w:val="HXLC-"/>
            </w:pPr>
            <w:r>
              <w:rPr>
                <w:rFonts w:hint="eastAsia"/>
              </w:rPr>
              <w:t>NOAA</w:t>
            </w:r>
            <w:r>
              <w:rPr>
                <w:rFonts w:hint="eastAsia"/>
              </w:rPr>
              <w:t>全球海</w:t>
            </w:r>
            <w:r>
              <w:rPr>
                <w:rFonts w:hint="eastAsia"/>
              </w:rPr>
              <w:t>温</w:t>
            </w:r>
            <w:r>
              <w:rPr>
                <w:rFonts w:hint="eastAsia"/>
              </w:rPr>
              <w:t>INDICES</w:t>
            </w:r>
            <w:r>
              <w:rPr>
                <w:rFonts w:hint="eastAsia"/>
              </w:rPr>
              <w:t>月值产品（</w:t>
            </w:r>
            <w:r>
              <w:rPr>
                <w:rFonts w:hint="eastAsia"/>
              </w:rPr>
              <w:t>OISST</w:t>
            </w:r>
            <w:r>
              <w:rPr>
                <w:rFonts w:hint="eastAsia"/>
              </w:rPr>
              <w:t>）</w:t>
            </w:r>
          </w:p>
        </w:tc>
      </w:tr>
    </w:tbl>
    <w:p w:rsidR="0039352C">
      <w:pPr>
        <w:ind w:firstLine="480"/>
      </w:pPr>
    </w:p>
    <w:tbl>
      <w:tblPr>
        <w:tblStyle w:val="TableGrid"/>
        <w:tblW w:w="8409" w:type="dxa"/>
        <w:jc w:val="center"/>
        <w:tblLook w:val="04A0"/>
      </w:tblPr>
      <w:tblGrid>
        <w:gridCol w:w="848"/>
        <w:gridCol w:w="7561"/>
      </w:tblGrid>
      <w:tr>
        <w:tblPrEx>
          <w:tblW w:w="8409" w:type="dxa"/>
          <w:jc w:val="center"/>
          <w:tblLook w:val="04A0"/>
        </w:tblPrEx>
        <w:trPr>
          <w:jc w:val="center"/>
        </w:trPr>
        <w:tc>
          <w:tcPr>
            <w:tcW w:w="848" w:type="dxa"/>
            <w:shd w:val="clear" w:color="auto" w:fill="F9DBDE" w:themeFill="accent6" w:themeFillTint="33"/>
            <w:vAlign w:val="center"/>
          </w:tcPr>
          <w:p w:rsidR="0039352C">
            <w:pPr>
              <w:pStyle w:val="HXLC-"/>
              <w:jc w:val="center"/>
              <w:rPr>
                <w:b/>
                <w:bCs/>
                <w:color w:val="auto"/>
              </w:rPr>
            </w:pPr>
            <w:r>
              <w:rPr>
                <w:rFonts w:hint="eastAsia"/>
                <w:b/>
                <w:bCs/>
                <w:color w:val="auto"/>
              </w:rPr>
              <w:t>序号</w:t>
            </w:r>
          </w:p>
        </w:tc>
        <w:tc>
          <w:tcPr>
            <w:tcW w:w="7561" w:type="dxa"/>
            <w:shd w:val="clear" w:color="auto" w:fill="F9DBDE" w:themeFill="accent6" w:themeFillTint="33"/>
            <w:vAlign w:val="center"/>
          </w:tcPr>
          <w:p w:rsidR="0039352C">
            <w:pPr>
              <w:pStyle w:val="HXLC-"/>
              <w:jc w:val="center"/>
              <w:rPr>
                <w:b/>
                <w:bCs/>
                <w:color w:val="auto"/>
              </w:rPr>
            </w:pPr>
            <w:r>
              <w:rPr>
                <w:rFonts w:hint="eastAsia"/>
                <w:b/>
                <w:bCs/>
                <w:color w:val="auto"/>
              </w:rPr>
              <w:t>当前已知数据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w:t>
            </w:r>
          </w:p>
        </w:tc>
        <w:tc>
          <w:tcPr>
            <w:tcW w:w="7561" w:type="dxa"/>
            <w:vAlign w:val="center"/>
          </w:tcPr>
          <w:p w:rsidR="0039352C">
            <w:pPr>
              <w:pStyle w:val="HXLC-"/>
              <w:rPr>
                <w:color w:val="auto"/>
              </w:rPr>
            </w:pPr>
            <w:r>
              <w:rPr>
                <w:rFonts w:hint="eastAsia"/>
                <w:color w:val="auto"/>
              </w:rPr>
              <w:t>Bermuda Atlantic Time-series Study Data (BATS)</w:t>
            </w:r>
            <w:r>
              <w:rPr>
                <w:rFonts w:hint="eastAsia"/>
                <w:color w:val="auto"/>
              </w:rPr>
              <w:t>（百慕大大西洋时间序列海洋观测数据）</w:t>
            </w:r>
          </w:p>
        </w:tc>
      </w:tr>
    </w:tbl>
    <w:p w:rsidR="0039352C">
      <w:pPr>
        <w:ind w:firstLine="480"/>
      </w:pPr>
    </w:p>
    <w:p w:rsidR="0039352C">
      <w:pPr>
        <w:ind w:firstLine="480"/>
      </w:pPr>
      <w:r>
        <w:rPr>
          <w:rFonts w:hint="eastAsia"/>
        </w:rPr>
        <w:t>根据海冰厚度、海表温度、海洋温盐、海平面和海洋热含量等产品的数据更新周期，分别建立日、</w:t>
      </w:r>
      <w:r>
        <w:rPr>
          <w:rFonts w:hint="eastAsia"/>
        </w:rPr>
        <w:t>月及其</w:t>
      </w:r>
      <w:r>
        <w:rPr>
          <w:rFonts w:hint="eastAsia"/>
        </w:rPr>
        <w:t>他周期性收集任务。支持识别不同时间分辨率、空间分辨率、数据版本和文件格式，</w:t>
      </w:r>
      <w:r>
        <w:rPr>
          <w:rFonts w:hint="eastAsia"/>
        </w:rPr>
        <w:t>按照资料</w:t>
      </w:r>
      <w:r>
        <w:rPr>
          <w:rFonts w:hint="eastAsia"/>
        </w:rPr>
        <w:t>名称、产品时间和数据版本进行分类存储。</w:t>
      </w:r>
    </w:p>
    <w:p w:rsidR="0039352C">
      <w:pPr>
        <w:ind w:firstLine="482"/>
        <w:rPr>
          <w:b/>
          <w:bCs/>
        </w:rPr>
      </w:pPr>
      <w:r>
        <w:rPr>
          <w:rFonts w:hint="eastAsia"/>
          <w:b/>
          <w:bCs/>
        </w:rPr>
        <w:t>3</w:t>
      </w:r>
      <w:r>
        <w:rPr>
          <w:rFonts w:hint="eastAsia"/>
          <w:b/>
          <w:bCs/>
        </w:rPr>
        <w:t>、数值预报、再分析及卫星资料接入</w:t>
      </w:r>
    </w:p>
    <w:p w:rsidR="0039352C">
      <w:pPr>
        <w:ind w:firstLine="480"/>
        <w:rPr>
          <w:color w:val="auto"/>
        </w:rPr>
      </w:pPr>
      <w:r>
        <w:rPr>
          <w:rFonts w:hint="eastAsia"/>
          <w:color w:val="auto"/>
        </w:rPr>
        <w:t>完成以下</w:t>
      </w:r>
      <w:r>
        <w:rPr>
          <w:rFonts w:hint="eastAsia"/>
          <w:color w:val="auto"/>
        </w:rPr>
        <w:t>16</w:t>
      </w:r>
      <w:r>
        <w:rPr>
          <w:rFonts w:hint="eastAsia"/>
          <w:color w:val="auto"/>
        </w:rPr>
        <w:t>种数值预报、再分析、卫星气象及其他类型数据的接入和收集，以及未来包括但不限于的</w:t>
      </w:r>
      <w:r>
        <w:rPr>
          <w:rFonts w:hint="eastAsia"/>
          <w:color w:val="auto"/>
        </w:rPr>
        <w:t>14</w:t>
      </w:r>
      <w:r>
        <w:rPr>
          <w:rFonts w:hint="eastAsia"/>
          <w:color w:val="auto"/>
        </w:rPr>
        <w:t>种新增数据的接入和收集：</w:t>
      </w:r>
    </w:p>
    <w:tbl>
      <w:tblPr>
        <w:tblStyle w:val="TableGrid"/>
        <w:tblW w:w="8409" w:type="dxa"/>
        <w:jc w:val="center"/>
        <w:tblLook w:val="04A0"/>
      </w:tblPr>
      <w:tblGrid>
        <w:gridCol w:w="848"/>
        <w:gridCol w:w="7561"/>
      </w:tblGrid>
      <w:tr>
        <w:tblPrEx>
          <w:tblW w:w="8409" w:type="dxa"/>
          <w:jc w:val="center"/>
          <w:tblLook w:val="04A0"/>
        </w:tblPrEx>
        <w:trPr>
          <w:jc w:val="center"/>
        </w:trPr>
        <w:tc>
          <w:tcPr>
            <w:tcW w:w="848" w:type="dxa"/>
            <w:shd w:val="clear" w:color="auto" w:fill="F9DBDE" w:themeFill="accent6" w:themeFillTint="33"/>
            <w:vAlign w:val="center"/>
          </w:tcPr>
          <w:p w:rsidR="0039352C">
            <w:pPr>
              <w:pStyle w:val="HXLC-"/>
              <w:jc w:val="center"/>
              <w:rPr>
                <w:b/>
                <w:bCs/>
              </w:rPr>
            </w:pPr>
            <w:r>
              <w:rPr>
                <w:rFonts w:hint="eastAsia"/>
                <w:b/>
                <w:bCs/>
              </w:rPr>
              <w:t>序号</w:t>
            </w:r>
          </w:p>
        </w:tc>
        <w:tc>
          <w:tcPr>
            <w:tcW w:w="7561" w:type="dxa"/>
            <w:shd w:val="clear" w:color="auto" w:fill="F9DBDE" w:themeFill="accent6" w:themeFillTint="33"/>
            <w:vAlign w:val="center"/>
          </w:tcPr>
          <w:p w:rsidR="0039352C">
            <w:pPr>
              <w:pStyle w:val="HXLC-"/>
              <w:jc w:val="center"/>
              <w:rPr>
                <w:b/>
                <w:bCs/>
              </w:rPr>
            </w:pPr>
            <w:r>
              <w:rPr>
                <w:rFonts w:hint="eastAsia"/>
                <w:b/>
                <w:bCs/>
              </w:rPr>
              <w:t>当前已知数据</w:t>
            </w:r>
          </w:p>
        </w:tc>
      </w:tr>
      <w:tr>
        <w:tblPrEx>
          <w:tblW w:w="8409" w:type="dxa"/>
          <w:jc w:val="center"/>
          <w:tblLook w:val="04A0"/>
        </w:tblPrEx>
        <w:trPr>
          <w:jc w:val="center"/>
        </w:trPr>
        <w:tc>
          <w:tcPr>
            <w:tcW w:w="848" w:type="dxa"/>
            <w:vAlign w:val="center"/>
          </w:tcPr>
          <w:p w:rsidR="0039352C">
            <w:pPr>
              <w:pStyle w:val="HXLC-"/>
            </w:pPr>
            <w:r>
              <w:rPr>
                <w:rFonts w:hint="eastAsia"/>
              </w:rPr>
              <w:t>1</w:t>
            </w:r>
          </w:p>
        </w:tc>
        <w:tc>
          <w:tcPr>
            <w:tcW w:w="7561" w:type="dxa"/>
            <w:vAlign w:val="center"/>
          </w:tcPr>
          <w:p w:rsidR="0039352C">
            <w:pPr>
              <w:pStyle w:val="HXLC-"/>
            </w:pPr>
            <w:r>
              <w:rPr>
                <w:rFonts w:hint="eastAsia"/>
              </w:rPr>
              <w:t>日本气象厅</w:t>
            </w:r>
            <w:r>
              <w:rPr>
                <w:rFonts w:hint="eastAsia"/>
              </w:rPr>
              <w:t>JRA-3Q</w:t>
            </w:r>
            <w:r>
              <w:rPr>
                <w:rFonts w:hint="eastAsia"/>
              </w:rPr>
              <w:t>再分析产品</w:t>
            </w:r>
          </w:p>
        </w:tc>
      </w:tr>
      <w:tr>
        <w:tblPrEx>
          <w:tblW w:w="8409" w:type="dxa"/>
          <w:jc w:val="center"/>
          <w:tblLook w:val="04A0"/>
        </w:tblPrEx>
        <w:trPr>
          <w:jc w:val="center"/>
        </w:trPr>
        <w:tc>
          <w:tcPr>
            <w:tcW w:w="848" w:type="dxa"/>
            <w:vAlign w:val="center"/>
          </w:tcPr>
          <w:p w:rsidR="0039352C">
            <w:pPr>
              <w:pStyle w:val="HXLC-"/>
            </w:pPr>
            <w:r>
              <w:rPr>
                <w:rFonts w:hint="eastAsia"/>
              </w:rPr>
              <w:t>2</w:t>
            </w:r>
          </w:p>
        </w:tc>
        <w:tc>
          <w:tcPr>
            <w:tcW w:w="7561" w:type="dxa"/>
            <w:vAlign w:val="center"/>
          </w:tcPr>
          <w:p w:rsidR="0039352C">
            <w:pPr>
              <w:pStyle w:val="HXLC-"/>
            </w:pPr>
            <w:r>
              <w:rPr>
                <w:rFonts w:hint="eastAsia"/>
              </w:rPr>
              <w:t>哥白尼气候变化服务（</w:t>
            </w:r>
            <w:r>
              <w:rPr>
                <w:rFonts w:hint="eastAsia"/>
              </w:rPr>
              <w:t>C3S</w:t>
            </w:r>
            <w:r>
              <w:rPr>
                <w:rFonts w:hint="eastAsia"/>
              </w:rPr>
              <w:t>）日本季节模式预测月平均数据</w:t>
            </w:r>
          </w:p>
        </w:tc>
      </w:tr>
      <w:tr>
        <w:tblPrEx>
          <w:tblW w:w="8409" w:type="dxa"/>
          <w:jc w:val="center"/>
          <w:tblLook w:val="04A0"/>
        </w:tblPrEx>
        <w:trPr>
          <w:jc w:val="center"/>
        </w:trPr>
        <w:tc>
          <w:tcPr>
            <w:tcW w:w="848" w:type="dxa"/>
            <w:vAlign w:val="center"/>
          </w:tcPr>
          <w:p w:rsidR="0039352C">
            <w:pPr>
              <w:pStyle w:val="HXLC-"/>
            </w:pPr>
            <w:r>
              <w:rPr>
                <w:rFonts w:hint="eastAsia"/>
              </w:rPr>
              <w:t>3</w:t>
            </w:r>
          </w:p>
        </w:tc>
        <w:tc>
          <w:tcPr>
            <w:tcW w:w="7561" w:type="dxa"/>
            <w:vAlign w:val="center"/>
          </w:tcPr>
          <w:p w:rsidR="0039352C">
            <w:pPr>
              <w:pStyle w:val="HXLC-"/>
            </w:pPr>
            <w:r>
              <w:rPr>
                <w:rFonts w:hint="eastAsia"/>
              </w:rPr>
              <w:t>日本气象厅</w:t>
            </w:r>
            <w:r>
              <w:rPr>
                <w:rFonts w:hint="eastAsia"/>
              </w:rPr>
              <w:t>66</w:t>
            </w:r>
            <w:r>
              <w:rPr>
                <w:rFonts w:hint="eastAsia"/>
              </w:rPr>
              <w:t>年全球海洋—海冰模式强迫数据集（</w:t>
            </w:r>
            <w:r>
              <w:rPr>
                <w:rFonts w:hint="eastAsia"/>
              </w:rPr>
              <w:t>JRA55-do</w:t>
            </w:r>
            <w:r>
              <w:rPr>
                <w:rFonts w:hint="eastAsia"/>
              </w:rPr>
              <w:t>）</w:t>
            </w:r>
          </w:p>
        </w:tc>
      </w:tr>
      <w:tr>
        <w:tblPrEx>
          <w:tblW w:w="8409" w:type="dxa"/>
          <w:jc w:val="center"/>
          <w:tblLook w:val="04A0"/>
        </w:tblPrEx>
        <w:trPr>
          <w:jc w:val="center"/>
        </w:trPr>
        <w:tc>
          <w:tcPr>
            <w:tcW w:w="848" w:type="dxa"/>
            <w:vAlign w:val="center"/>
          </w:tcPr>
          <w:p w:rsidR="0039352C">
            <w:pPr>
              <w:pStyle w:val="HXLC-"/>
            </w:pPr>
            <w:r>
              <w:rPr>
                <w:rFonts w:hint="eastAsia"/>
              </w:rPr>
              <w:t>4</w:t>
            </w:r>
          </w:p>
        </w:tc>
        <w:tc>
          <w:tcPr>
            <w:tcW w:w="7561" w:type="dxa"/>
            <w:vAlign w:val="center"/>
          </w:tcPr>
          <w:p w:rsidR="0039352C">
            <w:pPr>
              <w:pStyle w:val="HXLC-"/>
            </w:pPr>
            <w:r>
              <w:rPr>
                <w:rFonts w:hint="eastAsia"/>
              </w:rPr>
              <w:t>台风委员会</w:t>
            </w:r>
            <w:r>
              <w:rPr>
                <w:rFonts w:hint="eastAsia"/>
              </w:rPr>
              <w:t>AI</w:t>
            </w:r>
            <w:r>
              <w:rPr>
                <w:rFonts w:hint="eastAsia"/>
              </w:rPr>
              <w:t>热带气旋路径数据集</w:t>
            </w:r>
          </w:p>
        </w:tc>
      </w:tr>
      <w:tr>
        <w:tblPrEx>
          <w:tblW w:w="8409" w:type="dxa"/>
          <w:jc w:val="center"/>
          <w:tblLook w:val="04A0"/>
        </w:tblPrEx>
        <w:trPr>
          <w:jc w:val="center"/>
        </w:trPr>
        <w:tc>
          <w:tcPr>
            <w:tcW w:w="848" w:type="dxa"/>
            <w:vAlign w:val="center"/>
          </w:tcPr>
          <w:p w:rsidR="0039352C">
            <w:pPr>
              <w:pStyle w:val="HXLC-"/>
            </w:pPr>
            <w:r>
              <w:rPr>
                <w:rFonts w:hint="eastAsia"/>
              </w:rPr>
              <w:t>5</w:t>
            </w:r>
          </w:p>
        </w:tc>
        <w:tc>
          <w:tcPr>
            <w:tcW w:w="7561" w:type="dxa"/>
            <w:vAlign w:val="center"/>
          </w:tcPr>
          <w:p w:rsidR="0039352C">
            <w:pPr>
              <w:pStyle w:val="HXLC-"/>
            </w:pPr>
            <w:r>
              <w:rPr>
                <w:rFonts w:hint="eastAsia"/>
              </w:rPr>
              <w:t>NOAA</w:t>
            </w:r>
            <w:r>
              <w:rPr>
                <w:rFonts w:hint="eastAsia"/>
              </w:rPr>
              <w:t>常规</w:t>
            </w:r>
            <w:r>
              <w:rPr>
                <w:rFonts w:hint="eastAsia"/>
              </w:rPr>
              <w:t>观测再</w:t>
            </w:r>
            <w:r>
              <w:rPr>
                <w:rFonts w:hint="eastAsia"/>
              </w:rPr>
              <w:t>分析数据（</w:t>
            </w:r>
            <w:r>
              <w:rPr>
                <w:rFonts w:hint="eastAsia"/>
              </w:rPr>
              <w:t>CORe</w:t>
            </w:r>
            <w:r>
              <w:rPr>
                <w:rFonts w:hint="eastAsia"/>
              </w:rPr>
              <w:t>）</w:t>
            </w:r>
          </w:p>
        </w:tc>
      </w:tr>
      <w:tr>
        <w:tblPrEx>
          <w:tblW w:w="8409" w:type="dxa"/>
          <w:jc w:val="center"/>
          <w:tblLook w:val="04A0"/>
        </w:tblPrEx>
        <w:trPr>
          <w:jc w:val="center"/>
        </w:trPr>
        <w:tc>
          <w:tcPr>
            <w:tcW w:w="848" w:type="dxa"/>
            <w:vAlign w:val="center"/>
          </w:tcPr>
          <w:p w:rsidR="0039352C">
            <w:pPr>
              <w:pStyle w:val="HXLC-"/>
            </w:pPr>
            <w:r>
              <w:rPr>
                <w:rFonts w:hint="eastAsia"/>
              </w:rPr>
              <w:t>6</w:t>
            </w:r>
          </w:p>
        </w:tc>
        <w:tc>
          <w:tcPr>
            <w:tcW w:w="7561" w:type="dxa"/>
            <w:vAlign w:val="center"/>
          </w:tcPr>
          <w:p w:rsidR="0039352C">
            <w:pPr>
              <w:pStyle w:val="HXLC-"/>
            </w:pPr>
            <w:r>
              <w:rPr>
                <w:rFonts w:hint="eastAsia"/>
              </w:rPr>
              <w:t>美国</w:t>
            </w:r>
            <w:r>
              <w:rPr>
                <w:rFonts w:hint="eastAsia"/>
              </w:rPr>
              <w:t>GEOS</w:t>
            </w:r>
            <w:r>
              <w:rPr>
                <w:rFonts w:hint="eastAsia"/>
              </w:rPr>
              <w:t>同化场数据</w:t>
            </w:r>
          </w:p>
        </w:tc>
      </w:tr>
      <w:tr>
        <w:tblPrEx>
          <w:tblW w:w="8409" w:type="dxa"/>
          <w:jc w:val="center"/>
          <w:tblLook w:val="04A0"/>
        </w:tblPrEx>
        <w:trPr>
          <w:jc w:val="center"/>
        </w:trPr>
        <w:tc>
          <w:tcPr>
            <w:tcW w:w="848" w:type="dxa"/>
            <w:vAlign w:val="center"/>
          </w:tcPr>
          <w:p w:rsidR="0039352C">
            <w:pPr>
              <w:pStyle w:val="HXLC-"/>
            </w:pPr>
            <w:r>
              <w:rPr>
                <w:rFonts w:hint="eastAsia"/>
              </w:rPr>
              <w:t>7</w:t>
            </w:r>
          </w:p>
        </w:tc>
        <w:tc>
          <w:tcPr>
            <w:tcW w:w="7561" w:type="dxa"/>
            <w:vAlign w:val="center"/>
          </w:tcPr>
          <w:p w:rsidR="0039352C">
            <w:pPr>
              <w:pStyle w:val="HXLC-"/>
            </w:pPr>
            <w:r>
              <w:rPr>
                <w:rFonts w:hint="eastAsia"/>
              </w:rPr>
              <w:t>中科院大气所</w:t>
            </w:r>
            <w:r>
              <w:rPr>
                <w:rFonts w:hint="eastAsia"/>
              </w:rPr>
              <w:t>iDust</w:t>
            </w:r>
            <w:r>
              <w:rPr>
                <w:rFonts w:hint="eastAsia"/>
              </w:rPr>
              <w:t>全球</w:t>
            </w:r>
            <w:r>
              <w:rPr>
                <w:rFonts w:hint="eastAsia"/>
              </w:rPr>
              <w:t>10</w:t>
            </w:r>
            <w:r>
              <w:rPr>
                <w:rFonts w:hint="eastAsia"/>
              </w:rPr>
              <w:t>公里级沙尘数值模式数据</w:t>
            </w:r>
          </w:p>
        </w:tc>
      </w:tr>
      <w:tr>
        <w:tblPrEx>
          <w:tblW w:w="8409" w:type="dxa"/>
          <w:jc w:val="center"/>
          <w:tblLook w:val="04A0"/>
        </w:tblPrEx>
        <w:trPr>
          <w:jc w:val="center"/>
        </w:trPr>
        <w:tc>
          <w:tcPr>
            <w:tcW w:w="848" w:type="dxa"/>
            <w:vAlign w:val="center"/>
          </w:tcPr>
          <w:p w:rsidR="0039352C">
            <w:pPr>
              <w:pStyle w:val="HXLC-"/>
            </w:pPr>
            <w:r>
              <w:rPr>
                <w:rFonts w:hint="eastAsia"/>
              </w:rPr>
              <w:t>8</w:t>
            </w:r>
          </w:p>
        </w:tc>
        <w:tc>
          <w:tcPr>
            <w:tcW w:w="7561" w:type="dxa"/>
            <w:vAlign w:val="center"/>
          </w:tcPr>
          <w:p w:rsidR="0039352C">
            <w:pPr>
              <w:pStyle w:val="HXLC-"/>
            </w:pPr>
            <w:r>
              <w:rPr>
                <w:rFonts w:hint="eastAsia"/>
              </w:rPr>
              <w:t xml:space="preserve">NCEP </w:t>
            </w:r>
            <w:r>
              <w:rPr>
                <w:rFonts w:hint="eastAsia"/>
              </w:rPr>
              <w:t>NBM</w:t>
            </w:r>
            <w:r>
              <w:rPr>
                <w:rFonts w:hint="eastAsia"/>
              </w:rPr>
              <w:t>模式产品</w:t>
            </w:r>
          </w:p>
        </w:tc>
      </w:tr>
      <w:tr>
        <w:tblPrEx>
          <w:tblW w:w="8409" w:type="dxa"/>
          <w:jc w:val="center"/>
          <w:tblLook w:val="04A0"/>
        </w:tblPrEx>
        <w:trPr>
          <w:jc w:val="center"/>
        </w:trPr>
        <w:tc>
          <w:tcPr>
            <w:tcW w:w="848" w:type="dxa"/>
            <w:vAlign w:val="center"/>
          </w:tcPr>
          <w:p w:rsidR="0039352C">
            <w:pPr>
              <w:pStyle w:val="HXLC-"/>
            </w:pPr>
            <w:r>
              <w:rPr>
                <w:rFonts w:hint="eastAsia"/>
              </w:rPr>
              <w:t>9</w:t>
            </w:r>
          </w:p>
        </w:tc>
        <w:tc>
          <w:tcPr>
            <w:tcW w:w="7561" w:type="dxa"/>
            <w:vAlign w:val="center"/>
          </w:tcPr>
          <w:p w:rsidR="0039352C">
            <w:pPr>
              <w:pStyle w:val="HXLC-"/>
            </w:pPr>
            <w:r>
              <w:rPr>
                <w:rFonts w:hint="eastAsia"/>
              </w:rPr>
              <w:t>天目星座</w:t>
            </w:r>
            <w:r>
              <w:rPr>
                <w:rFonts w:hint="eastAsia"/>
              </w:rPr>
              <w:t>GNOSR</w:t>
            </w:r>
            <w:r>
              <w:rPr>
                <w:rFonts w:hint="eastAsia"/>
              </w:rPr>
              <w:t>海冰厚度和海冰覆盖度产品（实时）</w:t>
            </w:r>
          </w:p>
        </w:tc>
      </w:tr>
      <w:tr>
        <w:tblPrEx>
          <w:tblW w:w="8409" w:type="dxa"/>
          <w:jc w:val="center"/>
          <w:tblLook w:val="04A0"/>
        </w:tblPrEx>
        <w:trPr>
          <w:jc w:val="center"/>
        </w:trPr>
        <w:tc>
          <w:tcPr>
            <w:tcW w:w="848" w:type="dxa"/>
            <w:vAlign w:val="center"/>
          </w:tcPr>
          <w:p w:rsidR="0039352C">
            <w:pPr>
              <w:pStyle w:val="HXLC-"/>
            </w:pPr>
            <w:r>
              <w:rPr>
                <w:rFonts w:hint="eastAsia"/>
              </w:rPr>
              <w:t>10</w:t>
            </w:r>
          </w:p>
        </w:tc>
        <w:tc>
          <w:tcPr>
            <w:tcW w:w="7561" w:type="dxa"/>
            <w:vAlign w:val="center"/>
          </w:tcPr>
          <w:p w:rsidR="0039352C">
            <w:pPr>
              <w:pStyle w:val="HXLC-"/>
            </w:pPr>
            <w:r>
              <w:rPr>
                <w:rFonts w:hint="eastAsia"/>
              </w:rPr>
              <w:t>星载合成孔径雷达（</w:t>
            </w:r>
            <w:r>
              <w:rPr>
                <w:rFonts w:hint="eastAsia"/>
              </w:rPr>
              <w:t>SAR</w:t>
            </w:r>
            <w:r>
              <w:rPr>
                <w:rFonts w:hint="eastAsia"/>
              </w:rPr>
              <w:t>）热带气旋风速产品</w:t>
            </w:r>
          </w:p>
        </w:tc>
      </w:tr>
      <w:tr>
        <w:tblPrEx>
          <w:tblW w:w="8409" w:type="dxa"/>
          <w:jc w:val="center"/>
          <w:tblLook w:val="04A0"/>
        </w:tblPrEx>
        <w:trPr>
          <w:jc w:val="center"/>
        </w:trPr>
        <w:tc>
          <w:tcPr>
            <w:tcW w:w="848" w:type="dxa"/>
            <w:vAlign w:val="center"/>
          </w:tcPr>
          <w:p w:rsidR="0039352C">
            <w:pPr>
              <w:pStyle w:val="HXLC-"/>
            </w:pPr>
            <w:r>
              <w:rPr>
                <w:rFonts w:hint="eastAsia"/>
              </w:rPr>
              <w:t>11</w:t>
            </w:r>
          </w:p>
        </w:tc>
        <w:tc>
          <w:tcPr>
            <w:tcW w:w="7561" w:type="dxa"/>
            <w:vAlign w:val="center"/>
          </w:tcPr>
          <w:p w:rsidR="0039352C">
            <w:pPr>
              <w:pStyle w:val="HXLC-"/>
            </w:pPr>
            <w:r>
              <w:rPr>
                <w:rFonts w:hint="eastAsia"/>
              </w:rPr>
              <w:t>SRTM</w:t>
            </w:r>
            <w:r>
              <w:rPr>
                <w:rFonts w:hint="eastAsia"/>
              </w:rPr>
              <w:t>地形数据</w:t>
            </w:r>
          </w:p>
        </w:tc>
      </w:tr>
      <w:tr>
        <w:tblPrEx>
          <w:tblW w:w="8409" w:type="dxa"/>
          <w:jc w:val="center"/>
          <w:tblLook w:val="04A0"/>
        </w:tblPrEx>
        <w:trPr>
          <w:jc w:val="center"/>
        </w:trPr>
        <w:tc>
          <w:tcPr>
            <w:tcW w:w="848" w:type="dxa"/>
            <w:vAlign w:val="center"/>
          </w:tcPr>
          <w:p w:rsidR="0039352C">
            <w:pPr>
              <w:pStyle w:val="HXLC-"/>
            </w:pPr>
            <w:r>
              <w:rPr>
                <w:rFonts w:hint="eastAsia"/>
              </w:rPr>
              <w:t>12</w:t>
            </w:r>
          </w:p>
        </w:tc>
        <w:tc>
          <w:tcPr>
            <w:tcW w:w="7561" w:type="dxa"/>
            <w:vAlign w:val="center"/>
          </w:tcPr>
          <w:p w:rsidR="0039352C">
            <w:pPr>
              <w:pStyle w:val="HXLC-"/>
            </w:pPr>
            <w:r>
              <w:rPr>
                <w:rFonts w:hint="eastAsia"/>
              </w:rPr>
              <w:t>哨兵一号</w:t>
            </w:r>
            <w:r>
              <w:rPr>
                <w:rFonts w:hint="eastAsia"/>
              </w:rPr>
              <w:t>SAR</w:t>
            </w:r>
            <w:r>
              <w:rPr>
                <w:rFonts w:hint="eastAsia"/>
              </w:rPr>
              <w:t>影像数据</w:t>
            </w:r>
          </w:p>
        </w:tc>
      </w:tr>
      <w:tr>
        <w:tblPrEx>
          <w:tblW w:w="8409" w:type="dxa"/>
          <w:jc w:val="center"/>
          <w:tblLook w:val="04A0"/>
        </w:tblPrEx>
        <w:trPr>
          <w:jc w:val="center"/>
        </w:trPr>
        <w:tc>
          <w:tcPr>
            <w:tcW w:w="848" w:type="dxa"/>
            <w:vAlign w:val="center"/>
          </w:tcPr>
          <w:p w:rsidR="0039352C">
            <w:pPr>
              <w:pStyle w:val="HXLC-"/>
            </w:pPr>
            <w:r>
              <w:rPr>
                <w:rFonts w:hint="eastAsia"/>
              </w:rPr>
              <w:t>13</w:t>
            </w:r>
          </w:p>
        </w:tc>
        <w:tc>
          <w:tcPr>
            <w:tcW w:w="7561" w:type="dxa"/>
            <w:vAlign w:val="center"/>
          </w:tcPr>
          <w:p w:rsidR="0039352C">
            <w:pPr>
              <w:pStyle w:val="HXLC-"/>
            </w:pPr>
            <w:r>
              <w:rPr>
                <w:rFonts w:hint="eastAsia"/>
              </w:rPr>
              <w:t>哨兵</w:t>
            </w:r>
            <w:r>
              <w:rPr>
                <w:rFonts w:hint="eastAsia"/>
              </w:rPr>
              <w:t>2</w:t>
            </w:r>
            <w:r>
              <w:rPr>
                <w:rFonts w:hint="eastAsia"/>
              </w:rPr>
              <w:t>号多光谱成像仪</w:t>
            </w:r>
            <w:r>
              <w:rPr>
                <w:rFonts w:hint="eastAsia"/>
              </w:rPr>
              <w:t>1C</w:t>
            </w:r>
            <w:r>
              <w:rPr>
                <w:rFonts w:hint="eastAsia"/>
              </w:rPr>
              <w:t>级产品（大气顶层反射率）</w:t>
            </w:r>
          </w:p>
        </w:tc>
      </w:tr>
      <w:tr>
        <w:tblPrEx>
          <w:tblW w:w="8409" w:type="dxa"/>
          <w:jc w:val="center"/>
          <w:tblLook w:val="04A0"/>
        </w:tblPrEx>
        <w:trPr>
          <w:jc w:val="center"/>
        </w:trPr>
        <w:tc>
          <w:tcPr>
            <w:tcW w:w="848" w:type="dxa"/>
            <w:vAlign w:val="center"/>
          </w:tcPr>
          <w:p w:rsidR="0039352C">
            <w:pPr>
              <w:pStyle w:val="HXLC-"/>
            </w:pPr>
            <w:r>
              <w:rPr>
                <w:rFonts w:hint="eastAsia"/>
              </w:rPr>
              <w:t>14</w:t>
            </w:r>
          </w:p>
        </w:tc>
        <w:tc>
          <w:tcPr>
            <w:tcW w:w="7561" w:type="dxa"/>
            <w:vAlign w:val="center"/>
          </w:tcPr>
          <w:p w:rsidR="0039352C">
            <w:pPr>
              <w:pStyle w:val="HXLC-"/>
            </w:pPr>
            <w:r>
              <w:rPr>
                <w:rFonts w:hint="eastAsia"/>
              </w:rPr>
              <w:t>哨兵</w:t>
            </w:r>
            <w:r>
              <w:rPr>
                <w:rFonts w:hint="eastAsia"/>
              </w:rPr>
              <w:t>2</w:t>
            </w:r>
            <w:r>
              <w:rPr>
                <w:rFonts w:hint="eastAsia"/>
              </w:rPr>
              <w:t>号多光谱成像仪</w:t>
            </w:r>
            <w:r>
              <w:rPr>
                <w:rFonts w:hint="eastAsia"/>
              </w:rPr>
              <w:t>2A</w:t>
            </w:r>
            <w:r>
              <w:rPr>
                <w:rFonts w:hint="eastAsia"/>
              </w:rPr>
              <w:t>级产品（地表反射率）</w:t>
            </w:r>
          </w:p>
        </w:tc>
      </w:tr>
      <w:tr>
        <w:tblPrEx>
          <w:tblW w:w="8409" w:type="dxa"/>
          <w:jc w:val="center"/>
          <w:tblLook w:val="04A0"/>
        </w:tblPrEx>
        <w:trPr>
          <w:jc w:val="center"/>
        </w:trPr>
        <w:tc>
          <w:tcPr>
            <w:tcW w:w="848" w:type="dxa"/>
            <w:vAlign w:val="center"/>
          </w:tcPr>
          <w:p w:rsidR="0039352C">
            <w:pPr>
              <w:pStyle w:val="HXLC-"/>
            </w:pPr>
            <w:r>
              <w:rPr>
                <w:rFonts w:hint="eastAsia"/>
              </w:rPr>
              <w:t>15</w:t>
            </w:r>
          </w:p>
        </w:tc>
        <w:tc>
          <w:tcPr>
            <w:tcW w:w="7561" w:type="dxa"/>
            <w:vAlign w:val="center"/>
          </w:tcPr>
          <w:p w:rsidR="0039352C">
            <w:pPr>
              <w:pStyle w:val="HXLC-"/>
            </w:pPr>
            <w:r>
              <w:rPr>
                <w:rFonts w:hint="eastAsia"/>
              </w:rPr>
              <w:t>GCOM-W</w:t>
            </w:r>
            <w:r>
              <w:rPr>
                <w:rFonts w:hint="eastAsia"/>
              </w:rPr>
              <w:t>卫星</w:t>
            </w:r>
            <w:r>
              <w:rPr>
                <w:rFonts w:hint="eastAsia"/>
              </w:rPr>
              <w:t>AMSR3</w:t>
            </w:r>
            <w:r>
              <w:rPr>
                <w:rFonts w:hint="eastAsia"/>
              </w:rPr>
              <w:t>传感器</w:t>
            </w:r>
            <w:r>
              <w:rPr>
                <w:rFonts w:hint="eastAsia"/>
              </w:rPr>
              <w:t>L1R</w:t>
            </w:r>
            <w:r>
              <w:rPr>
                <w:rFonts w:hint="eastAsia"/>
              </w:rPr>
              <w:t>原始</w:t>
            </w:r>
            <w:r>
              <w:rPr>
                <w:rFonts w:hint="eastAsia"/>
              </w:rPr>
              <w:t>亮温数据</w:t>
            </w:r>
          </w:p>
        </w:tc>
      </w:tr>
      <w:tr>
        <w:tblPrEx>
          <w:tblW w:w="8409" w:type="dxa"/>
          <w:jc w:val="center"/>
          <w:tblLook w:val="04A0"/>
        </w:tblPrEx>
        <w:trPr>
          <w:jc w:val="center"/>
        </w:trPr>
        <w:tc>
          <w:tcPr>
            <w:tcW w:w="848" w:type="dxa"/>
            <w:vAlign w:val="center"/>
          </w:tcPr>
          <w:p w:rsidR="0039352C">
            <w:pPr>
              <w:pStyle w:val="HXLC-"/>
            </w:pPr>
            <w:r>
              <w:rPr>
                <w:rFonts w:hint="eastAsia"/>
              </w:rPr>
              <w:t>16</w:t>
            </w:r>
          </w:p>
        </w:tc>
        <w:tc>
          <w:tcPr>
            <w:tcW w:w="7561" w:type="dxa"/>
            <w:vAlign w:val="center"/>
          </w:tcPr>
          <w:p w:rsidR="0039352C">
            <w:pPr>
              <w:pStyle w:val="HXLC-"/>
            </w:pPr>
            <w:r>
              <w:rPr>
                <w:rFonts w:hint="eastAsia"/>
              </w:rPr>
              <w:t>全球机场经纬度数据（</w:t>
            </w:r>
            <w:r>
              <w:rPr>
                <w:rFonts w:hint="eastAsia"/>
              </w:rPr>
              <w:t>ICAO</w:t>
            </w:r>
            <w:r>
              <w:rPr>
                <w:rFonts w:hint="eastAsia"/>
              </w:rPr>
              <w:t>）</w:t>
            </w:r>
          </w:p>
        </w:tc>
      </w:tr>
    </w:tbl>
    <w:p w:rsidR="0039352C">
      <w:pPr>
        <w:ind w:firstLine="480"/>
      </w:pPr>
    </w:p>
    <w:tbl>
      <w:tblPr>
        <w:tblStyle w:val="TableGrid"/>
        <w:tblW w:w="8409" w:type="dxa"/>
        <w:jc w:val="center"/>
        <w:tblLook w:val="04A0"/>
      </w:tblPr>
      <w:tblGrid>
        <w:gridCol w:w="848"/>
        <w:gridCol w:w="7561"/>
      </w:tblGrid>
      <w:tr>
        <w:tblPrEx>
          <w:tblW w:w="8409" w:type="dxa"/>
          <w:jc w:val="center"/>
          <w:tblLook w:val="04A0"/>
        </w:tblPrEx>
        <w:trPr>
          <w:jc w:val="center"/>
        </w:trPr>
        <w:tc>
          <w:tcPr>
            <w:tcW w:w="848" w:type="dxa"/>
            <w:shd w:val="clear" w:color="auto" w:fill="F9DBDE" w:themeFill="accent6" w:themeFillTint="33"/>
            <w:vAlign w:val="center"/>
          </w:tcPr>
          <w:p w:rsidR="0039352C">
            <w:pPr>
              <w:pStyle w:val="HXLC-"/>
              <w:jc w:val="center"/>
              <w:rPr>
                <w:b/>
                <w:bCs/>
                <w:color w:val="auto"/>
              </w:rPr>
            </w:pPr>
            <w:r>
              <w:rPr>
                <w:rFonts w:hint="eastAsia"/>
                <w:b/>
                <w:bCs/>
                <w:color w:val="auto"/>
              </w:rPr>
              <w:t>序号</w:t>
            </w:r>
          </w:p>
        </w:tc>
        <w:tc>
          <w:tcPr>
            <w:tcW w:w="7561" w:type="dxa"/>
            <w:shd w:val="clear" w:color="auto" w:fill="F9DBDE" w:themeFill="accent6" w:themeFillTint="33"/>
            <w:vAlign w:val="center"/>
          </w:tcPr>
          <w:p w:rsidR="0039352C">
            <w:pPr>
              <w:pStyle w:val="HXLC-"/>
              <w:jc w:val="center"/>
              <w:rPr>
                <w:b/>
                <w:bCs/>
                <w:color w:val="auto"/>
              </w:rPr>
            </w:pPr>
            <w:r>
              <w:rPr>
                <w:rFonts w:hint="eastAsia"/>
                <w:b/>
                <w:bCs/>
                <w:color w:val="auto"/>
              </w:rPr>
              <w:t>当前已知数据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w:t>
            </w:r>
          </w:p>
        </w:tc>
        <w:tc>
          <w:tcPr>
            <w:tcW w:w="7561" w:type="dxa"/>
            <w:vAlign w:val="center"/>
          </w:tcPr>
          <w:p w:rsidR="0039352C">
            <w:pPr>
              <w:pStyle w:val="HXLC-"/>
              <w:rPr>
                <w:color w:val="auto"/>
              </w:rPr>
            </w:pPr>
            <w:r>
              <w:rPr>
                <w:rFonts w:hint="eastAsia"/>
                <w:color w:val="auto"/>
              </w:rPr>
              <w:t>NCEP-NCAR Reanalysis</w:t>
            </w:r>
            <w:r>
              <w:rPr>
                <w:rFonts w:hint="eastAsia"/>
                <w:color w:val="auto"/>
              </w:rPr>
              <w:t>（美国</w:t>
            </w:r>
            <w:r>
              <w:rPr>
                <w:rFonts w:hint="eastAsia"/>
                <w:color w:val="auto"/>
              </w:rPr>
              <w:t>NCEP/NCAR</w:t>
            </w:r>
            <w:r>
              <w:rPr>
                <w:rFonts w:hint="eastAsia"/>
                <w:color w:val="auto"/>
              </w:rPr>
              <w:t>全球大气再分析资料）</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2</w:t>
            </w:r>
          </w:p>
        </w:tc>
        <w:tc>
          <w:tcPr>
            <w:tcW w:w="7561" w:type="dxa"/>
            <w:vAlign w:val="center"/>
          </w:tcPr>
          <w:p w:rsidR="0039352C">
            <w:pPr>
              <w:pStyle w:val="HXLC-"/>
              <w:rPr>
                <w:color w:val="auto"/>
              </w:rPr>
            </w:pPr>
            <w:r>
              <w:rPr>
                <w:rFonts w:hint="eastAsia"/>
                <w:color w:val="auto"/>
              </w:rPr>
              <w:t>W5E5 bias-adjusted reanalysis</w:t>
            </w:r>
            <w:r>
              <w:rPr>
                <w:rFonts w:hint="eastAsia"/>
                <w:color w:val="auto"/>
              </w:rPr>
              <w:t>（偏差订正后的全球再分析资料（</w:t>
            </w:r>
            <w:r>
              <w:rPr>
                <w:rFonts w:hint="eastAsia"/>
                <w:color w:val="auto"/>
              </w:rPr>
              <w:t>ISIMIP</w:t>
            </w:r>
            <w:r>
              <w:rPr>
                <w:rFonts w:hint="eastAsia"/>
                <w:color w:val="auto"/>
              </w:rPr>
              <w:t>用））</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3</w:t>
            </w:r>
          </w:p>
        </w:tc>
        <w:tc>
          <w:tcPr>
            <w:tcW w:w="7561" w:type="dxa"/>
            <w:vAlign w:val="center"/>
          </w:tcPr>
          <w:p w:rsidR="0039352C">
            <w:pPr>
              <w:pStyle w:val="HXLC-"/>
              <w:rPr>
                <w:color w:val="auto"/>
              </w:rPr>
            </w:pPr>
            <w:r>
              <w:rPr>
                <w:rFonts w:hint="eastAsia"/>
                <w:color w:val="auto"/>
              </w:rPr>
              <w:t>CCU 'IKI-Monitoring' satellite data archive</w:t>
            </w:r>
            <w:r>
              <w:rPr>
                <w:rFonts w:hint="eastAsia"/>
                <w:color w:val="auto"/>
              </w:rPr>
              <w:t>（多类卫星遥感数据归档）</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4</w:t>
            </w:r>
          </w:p>
        </w:tc>
        <w:tc>
          <w:tcPr>
            <w:tcW w:w="7561" w:type="dxa"/>
            <w:vAlign w:val="center"/>
          </w:tcPr>
          <w:p w:rsidR="0039352C">
            <w:pPr>
              <w:pStyle w:val="HXLC-"/>
              <w:rPr>
                <w:color w:val="auto"/>
              </w:rPr>
            </w:pPr>
            <w:r>
              <w:rPr>
                <w:rFonts w:hint="eastAsia"/>
                <w:color w:val="auto"/>
              </w:rPr>
              <w:t>CERES EBAF</w:t>
            </w:r>
            <w:r>
              <w:rPr>
                <w:rFonts w:hint="eastAsia"/>
                <w:color w:val="auto"/>
              </w:rPr>
              <w:t>（云和地球辐射能量系统卫星资料（辐射平衡））</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5</w:t>
            </w:r>
          </w:p>
        </w:tc>
        <w:tc>
          <w:tcPr>
            <w:tcW w:w="7561" w:type="dxa"/>
            <w:vAlign w:val="center"/>
          </w:tcPr>
          <w:p w:rsidR="0039352C">
            <w:pPr>
              <w:pStyle w:val="HXLC-"/>
              <w:rPr>
                <w:color w:val="auto"/>
              </w:rPr>
            </w:pPr>
            <w:r>
              <w:rPr>
                <w:rFonts w:hint="eastAsia"/>
                <w:color w:val="auto"/>
              </w:rPr>
              <w:t>欧洲中心人工智能</w:t>
            </w:r>
            <w:r>
              <w:rPr>
                <w:rFonts w:hint="eastAsia"/>
                <w:color w:val="auto"/>
              </w:rPr>
              <w:t xml:space="preserve"> / </w:t>
            </w:r>
            <w:r>
              <w:rPr>
                <w:rFonts w:hint="eastAsia"/>
                <w:color w:val="auto"/>
              </w:rPr>
              <w:t>综合预报系统</w:t>
            </w:r>
            <w:r>
              <w:rPr>
                <w:rFonts w:hint="eastAsia"/>
                <w:color w:val="auto"/>
              </w:rPr>
              <w:t xml:space="preserve"> (AIFS) </w:t>
            </w:r>
            <w:r>
              <w:rPr>
                <w:rFonts w:hint="eastAsia"/>
                <w:color w:val="auto"/>
              </w:rPr>
              <w:t>集合控制预报数据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6</w:t>
            </w:r>
          </w:p>
        </w:tc>
        <w:tc>
          <w:tcPr>
            <w:tcW w:w="7561" w:type="dxa"/>
            <w:vAlign w:val="center"/>
          </w:tcPr>
          <w:p w:rsidR="0039352C">
            <w:pPr>
              <w:pStyle w:val="HXLC-"/>
              <w:rPr>
                <w:color w:val="auto"/>
              </w:rPr>
            </w:pPr>
            <w:r>
              <w:rPr>
                <w:rFonts w:hint="eastAsia"/>
                <w:color w:val="auto"/>
              </w:rPr>
              <w:t>MIROC-SPRINTARS</w:t>
            </w:r>
            <w:r>
              <w:rPr>
                <w:rFonts w:hint="eastAsia"/>
                <w:color w:val="auto"/>
              </w:rPr>
              <w:t>全球大气成分数值预报数据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7</w:t>
            </w:r>
          </w:p>
        </w:tc>
        <w:tc>
          <w:tcPr>
            <w:tcW w:w="7561" w:type="dxa"/>
            <w:vAlign w:val="center"/>
          </w:tcPr>
          <w:p w:rsidR="0039352C">
            <w:pPr>
              <w:pStyle w:val="HXLC-"/>
              <w:rPr>
                <w:color w:val="auto"/>
              </w:rPr>
            </w:pPr>
            <w:r>
              <w:rPr>
                <w:rFonts w:hint="eastAsia"/>
                <w:color w:val="auto"/>
              </w:rPr>
              <w:t>NCEP</w:t>
            </w:r>
            <w:r>
              <w:rPr>
                <w:rFonts w:hint="eastAsia"/>
                <w:color w:val="auto"/>
              </w:rPr>
              <w:t>全球大气成分数值预报数据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8</w:t>
            </w:r>
          </w:p>
        </w:tc>
        <w:tc>
          <w:tcPr>
            <w:tcW w:w="7561" w:type="dxa"/>
            <w:vAlign w:val="center"/>
          </w:tcPr>
          <w:p w:rsidR="0039352C">
            <w:pPr>
              <w:pStyle w:val="HXLC-"/>
              <w:rPr>
                <w:color w:val="auto"/>
              </w:rPr>
            </w:pPr>
            <w:r>
              <w:rPr>
                <w:rFonts w:hint="eastAsia"/>
                <w:color w:val="auto"/>
              </w:rPr>
              <w:t>SILAM</w:t>
            </w:r>
            <w:r>
              <w:rPr>
                <w:rFonts w:hint="eastAsia"/>
                <w:color w:val="auto"/>
              </w:rPr>
              <w:t>全球大气成分数值预报数据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9</w:t>
            </w:r>
          </w:p>
        </w:tc>
        <w:tc>
          <w:tcPr>
            <w:tcW w:w="7561" w:type="dxa"/>
            <w:vAlign w:val="center"/>
          </w:tcPr>
          <w:p w:rsidR="0039352C">
            <w:pPr>
              <w:pStyle w:val="HXLC-"/>
              <w:rPr>
                <w:color w:val="auto"/>
              </w:rPr>
            </w:pPr>
            <w:r>
              <w:rPr>
                <w:rFonts w:hint="eastAsia"/>
                <w:color w:val="auto"/>
              </w:rPr>
              <w:t>CAMS</w:t>
            </w:r>
            <w:r>
              <w:rPr>
                <w:rFonts w:hint="eastAsia"/>
                <w:color w:val="auto"/>
              </w:rPr>
              <w:t>全球大气成分数值预报数据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10</w:t>
            </w:r>
          </w:p>
        </w:tc>
        <w:tc>
          <w:tcPr>
            <w:tcW w:w="7561" w:type="dxa"/>
            <w:vAlign w:val="center"/>
          </w:tcPr>
          <w:p w:rsidR="0039352C">
            <w:pPr>
              <w:pStyle w:val="HXLC-"/>
              <w:rPr>
                <w:color w:val="auto"/>
              </w:rPr>
            </w:pPr>
            <w:r>
              <w:rPr>
                <w:rFonts w:hint="eastAsia"/>
                <w:color w:val="auto"/>
              </w:rPr>
              <w:t>GCOM-W</w:t>
            </w:r>
            <w:r>
              <w:rPr>
                <w:rFonts w:hint="eastAsia"/>
                <w:color w:val="auto"/>
              </w:rPr>
              <w:t>卫星</w:t>
            </w:r>
            <w:r>
              <w:rPr>
                <w:rFonts w:hint="eastAsia"/>
                <w:color w:val="auto"/>
              </w:rPr>
              <w:t>AMSR3</w:t>
            </w:r>
            <w:r>
              <w:rPr>
                <w:rFonts w:hint="eastAsia"/>
                <w:color w:val="auto"/>
              </w:rPr>
              <w:t>传感器</w:t>
            </w:r>
            <w:r>
              <w:rPr>
                <w:rFonts w:hint="eastAsia"/>
                <w:color w:val="auto"/>
              </w:rPr>
              <w:t>L1R</w:t>
            </w:r>
            <w:r>
              <w:rPr>
                <w:rFonts w:hint="eastAsia"/>
                <w:color w:val="auto"/>
              </w:rPr>
              <w:t>原始</w:t>
            </w:r>
            <w:r>
              <w:rPr>
                <w:rFonts w:hint="eastAsia"/>
                <w:color w:val="auto"/>
              </w:rPr>
              <w:t>亮温数据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11</w:t>
            </w:r>
          </w:p>
        </w:tc>
        <w:tc>
          <w:tcPr>
            <w:tcW w:w="7561" w:type="dxa"/>
            <w:vAlign w:val="center"/>
          </w:tcPr>
          <w:p w:rsidR="0039352C">
            <w:pPr>
              <w:pStyle w:val="HXLC-"/>
              <w:rPr>
                <w:color w:val="auto"/>
              </w:rPr>
            </w:pPr>
            <w:r>
              <w:rPr>
                <w:rFonts w:hint="eastAsia"/>
                <w:color w:val="auto"/>
              </w:rPr>
              <w:t>北美多模式集合预测系统（</w:t>
            </w:r>
            <w:r>
              <w:rPr>
                <w:rFonts w:hint="eastAsia"/>
                <w:color w:val="auto"/>
              </w:rPr>
              <w:t>NMME</w:t>
            </w:r>
            <w:r>
              <w:rPr>
                <w:rFonts w:hint="eastAsia"/>
                <w:color w:val="auto"/>
              </w:rPr>
              <w:t>）数据</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12</w:t>
            </w:r>
          </w:p>
        </w:tc>
        <w:tc>
          <w:tcPr>
            <w:tcW w:w="7561" w:type="dxa"/>
            <w:vAlign w:val="center"/>
          </w:tcPr>
          <w:p w:rsidR="0039352C">
            <w:pPr>
              <w:pStyle w:val="HXLC-"/>
              <w:rPr>
                <w:color w:val="auto"/>
              </w:rPr>
            </w:pPr>
            <w:r>
              <w:rPr>
                <w:rFonts w:hint="eastAsia"/>
                <w:color w:val="auto"/>
              </w:rPr>
              <w:t xml:space="preserve">NOAA Global Temp / NOAA Global Temp </w:t>
            </w:r>
            <w:r>
              <w:rPr>
                <w:rFonts w:hint="eastAsia"/>
                <w:color w:val="auto"/>
              </w:rPr>
              <w:t>–</w:t>
            </w:r>
            <w:r>
              <w:rPr>
                <w:rFonts w:hint="eastAsia"/>
                <w:color w:val="auto"/>
              </w:rPr>
              <w:t xml:space="preserve"> Interim</w:t>
            </w:r>
            <w:r>
              <w:rPr>
                <w:rFonts w:hint="eastAsia"/>
                <w:color w:val="auto"/>
              </w:rPr>
              <w:t>（全球温度基准监测资料（陆地</w:t>
            </w:r>
            <w:r>
              <w:rPr>
                <w:rFonts w:hint="eastAsia"/>
                <w:color w:val="auto"/>
              </w:rPr>
              <w:t>+</w:t>
            </w:r>
            <w:r>
              <w:rPr>
                <w:rFonts w:hint="eastAsia"/>
                <w:color w:val="auto"/>
              </w:rPr>
              <w:t>海洋表面温度））</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13</w:t>
            </w:r>
          </w:p>
        </w:tc>
        <w:tc>
          <w:tcPr>
            <w:tcW w:w="7561" w:type="dxa"/>
            <w:vAlign w:val="center"/>
          </w:tcPr>
          <w:p w:rsidR="0039352C">
            <w:pPr>
              <w:pStyle w:val="HXLC-"/>
              <w:rPr>
                <w:color w:val="auto"/>
              </w:rPr>
            </w:pPr>
            <w:r>
              <w:rPr>
                <w:rFonts w:hint="eastAsia"/>
                <w:color w:val="auto"/>
              </w:rPr>
              <w:t>UAH satellite temperature</w:t>
            </w:r>
            <w:r>
              <w:rPr>
                <w:rFonts w:hint="eastAsia"/>
                <w:color w:val="auto"/>
              </w:rPr>
              <w:t>（阿拉巴马大学卫星微波遥感全球温度产品）</w:t>
            </w:r>
          </w:p>
        </w:tc>
      </w:tr>
      <w:tr>
        <w:tblPrEx>
          <w:tblW w:w="8409" w:type="dxa"/>
          <w:jc w:val="center"/>
          <w:tblLook w:val="04A0"/>
        </w:tblPrEx>
        <w:trPr>
          <w:jc w:val="center"/>
        </w:trPr>
        <w:tc>
          <w:tcPr>
            <w:tcW w:w="848" w:type="dxa"/>
            <w:vAlign w:val="center"/>
          </w:tcPr>
          <w:p w:rsidR="0039352C">
            <w:pPr>
              <w:pStyle w:val="HXLC-"/>
              <w:rPr>
                <w:color w:val="auto"/>
              </w:rPr>
            </w:pPr>
            <w:r>
              <w:rPr>
                <w:rFonts w:hint="eastAsia"/>
                <w:color w:val="auto"/>
              </w:rPr>
              <w:t>14</w:t>
            </w:r>
          </w:p>
        </w:tc>
        <w:tc>
          <w:tcPr>
            <w:tcW w:w="7561" w:type="dxa"/>
            <w:vAlign w:val="center"/>
          </w:tcPr>
          <w:p w:rsidR="0039352C">
            <w:pPr>
              <w:pStyle w:val="HXLC-"/>
              <w:rPr>
                <w:color w:val="auto"/>
              </w:rPr>
            </w:pPr>
            <w:r>
              <w:rPr>
                <w:rFonts w:hint="eastAsia"/>
                <w:color w:val="auto"/>
              </w:rPr>
              <w:t>AD-NET</w:t>
            </w:r>
            <w:r>
              <w:rPr>
                <w:rFonts w:hint="eastAsia"/>
                <w:color w:val="auto"/>
              </w:rPr>
              <w:t>亚洲尘埃和气溶胶激光雷达观测网络数据</w:t>
            </w:r>
          </w:p>
        </w:tc>
      </w:tr>
    </w:tbl>
    <w:p w:rsidR="0039352C">
      <w:pPr>
        <w:ind w:firstLine="480"/>
        <w:rPr>
          <w:color w:val="EE822F" w:themeColor="accent2"/>
        </w:rPr>
      </w:pPr>
    </w:p>
    <w:p w:rsidR="0039352C">
      <w:pPr>
        <w:ind w:firstLine="480"/>
      </w:pPr>
      <w:r>
        <w:rPr>
          <w:rFonts w:hint="eastAsia"/>
        </w:rPr>
        <w:t>针对再分析资料、季节预测资料、</w:t>
      </w:r>
      <w:r>
        <w:rPr>
          <w:rFonts w:hint="eastAsia"/>
        </w:rPr>
        <w:t>同化场</w:t>
      </w:r>
      <w:r>
        <w:rPr>
          <w:rFonts w:hint="eastAsia"/>
        </w:rPr>
        <w:t>数据、数值模式产品、卫星实时产品和全球机场经纬度的不同发布特点，配置相应的日期、时次、预报时效、要素、层次、区域和版本识别规则。对于包含多个时次、预报时效或分块文件的数据产品，应支持按照产品目录和文件命名规则自动识别并获取目标文件。</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68" w:name="_Toc235096455"/>
      <w:r>
        <w:rPr>
          <w:rFonts w:hint="eastAsia"/>
        </w:rPr>
        <w:t>互联网数据监视分析</w:t>
      </w:r>
      <w:bookmarkEnd w:id="68"/>
    </w:p>
    <w:p w:rsidR="0039352C">
      <w:pPr>
        <w:ind w:firstLine="480"/>
      </w:pPr>
      <w:r>
        <w:rPr>
          <w:rFonts w:hint="eastAsia"/>
        </w:rPr>
        <w:t>面向新增资料及历史收集的资料，建设到报完整性、任务运行、异常管理和获取时效分析功能，全面掌握资料接入后的运行状态。</w:t>
      </w:r>
    </w:p>
    <w:p w:rsidR="0039352C">
      <w:pPr>
        <w:ind w:firstLine="482"/>
        <w:rPr>
          <w:b/>
          <w:bCs/>
        </w:rPr>
      </w:pPr>
      <w:r>
        <w:rPr>
          <w:rFonts w:hint="eastAsia"/>
          <w:b/>
          <w:bCs/>
        </w:rPr>
        <w:t>1</w:t>
      </w:r>
      <w:r>
        <w:rPr>
          <w:rFonts w:hint="eastAsia"/>
          <w:b/>
          <w:bCs/>
        </w:rPr>
        <w:t>、资料到报与完整性监视</w:t>
      </w:r>
    </w:p>
    <w:p w:rsidR="0039352C">
      <w:pPr>
        <w:ind w:firstLine="480"/>
      </w:pPr>
      <w:r>
        <w:rPr>
          <w:rFonts w:hint="eastAsia"/>
        </w:rPr>
        <w:t>根据不同资料的更新周期、发布时间、文件数量、轨道、景次、区域或分</w:t>
      </w:r>
      <w:r>
        <w:rPr>
          <w:rFonts w:hint="eastAsia"/>
        </w:rPr>
        <w:t>幅清单配置监视规</w:t>
      </w:r>
      <w:r>
        <w:rPr>
          <w:rFonts w:hint="eastAsia"/>
        </w:rPr>
        <w:t>则，统计应到、实到、缺失和迟到情况。对实时及周期性资料按时次或周期监视，对</w:t>
      </w:r>
      <w:r>
        <w:rPr>
          <w:rFonts w:hint="eastAsia"/>
        </w:rPr>
        <w:t>SRTM</w:t>
      </w:r>
      <w:r>
        <w:rPr>
          <w:rFonts w:hint="eastAsia"/>
        </w:rPr>
        <w:t>地形数据、卫星影像及历史批量资料按任务清单和完成进度进行完整性检查。</w:t>
      </w:r>
    </w:p>
    <w:p w:rsidR="0039352C">
      <w:pPr>
        <w:ind w:firstLine="482"/>
        <w:rPr>
          <w:b/>
          <w:bCs/>
        </w:rPr>
      </w:pPr>
      <w:r>
        <w:rPr>
          <w:rFonts w:hint="eastAsia"/>
          <w:b/>
          <w:bCs/>
        </w:rPr>
        <w:t>2</w:t>
      </w:r>
      <w:r>
        <w:rPr>
          <w:rFonts w:hint="eastAsia"/>
          <w:b/>
          <w:bCs/>
        </w:rPr>
        <w:t>、任务传输运行监视</w:t>
      </w:r>
    </w:p>
    <w:p w:rsidR="0039352C">
      <w:pPr>
        <w:ind w:firstLine="480"/>
      </w:pPr>
      <w:r>
        <w:rPr>
          <w:rFonts w:hint="eastAsia"/>
        </w:rPr>
        <w:t>对资料的数据源访问、文件发现、任务启动、文件下载、文件落地和结果校验等环节进行监视，展示任务执行时间、发现文件数、成功数、失败数、传输数据量和完成进度，并对相关下载程序、调度服务及</w:t>
      </w:r>
      <w:r>
        <w:rPr>
          <w:rFonts w:hint="eastAsia"/>
        </w:rPr>
        <w:t>AFD</w:t>
      </w:r>
      <w:r>
        <w:rPr>
          <w:rFonts w:hint="eastAsia"/>
        </w:rPr>
        <w:t>传输软件的运行状态进行检测。</w:t>
      </w:r>
    </w:p>
    <w:p w:rsidR="0039352C">
      <w:pPr>
        <w:ind w:firstLine="482"/>
        <w:rPr>
          <w:b/>
          <w:bCs/>
        </w:rPr>
      </w:pPr>
      <w:r>
        <w:rPr>
          <w:rFonts w:hint="eastAsia"/>
          <w:b/>
          <w:bCs/>
        </w:rPr>
        <w:t>3</w:t>
      </w:r>
      <w:r>
        <w:rPr>
          <w:rFonts w:hint="eastAsia"/>
          <w:b/>
          <w:bCs/>
        </w:rPr>
        <w:t>、运行异常信息管理</w:t>
      </w:r>
    </w:p>
    <w:p w:rsidR="0039352C">
      <w:pPr>
        <w:ind w:firstLine="480"/>
      </w:pPr>
      <w:r>
        <w:rPr>
          <w:rFonts w:hint="eastAsia"/>
        </w:rPr>
        <w:t>对数据源无法访问、认证失败、目录变化、文件未发布、下载失败、任务超时、文件异常、存储失败和软件运行异</w:t>
      </w:r>
      <w:r>
        <w:rPr>
          <w:rFonts w:hint="eastAsia"/>
        </w:rPr>
        <w:t>常等问题进行统一登记，记录关联资料、任务、发生时间、异常类型、影响范围、处理状态和处理结果，支持异常查询、分类和处置跟踪。</w:t>
      </w:r>
    </w:p>
    <w:p w:rsidR="0039352C">
      <w:pPr>
        <w:ind w:firstLine="482"/>
        <w:rPr>
          <w:b/>
          <w:bCs/>
        </w:rPr>
      </w:pPr>
      <w:r>
        <w:rPr>
          <w:rFonts w:hint="eastAsia"/>
          <w:b/>
          <w:bCs/>
        </w:rPr>
        <w:t>4</w:t>
      </w:r>
      <w:r>
        <w:rPr>
          <w:rFonts w:hint="eastAsia"/>
          <w:b/>
          <w:bCs/>
        </w:rPr>
        <w:t>、资料获取时效统计分析</w:t>
      </w:r>
    </w:p>
    <w:p w:rsidR="0039352C">
      <w:pPr>
        <w:ind w:firstLine="480"/>
      </w:pPr>
      <w:r>
        <w:rPr>
          <w:rFonts w:hint="eastAsia"/>
        </w:rPr>
        <w:t>记录资料发布时间、系统发现时间、下载开始时间、下载完成时间和最终落地时间，计算资料发现、传输和落地等环节耗时。</w:t>
      </w:r>
      <w:r>
        <w:rPr>
          <w:rFonts w:hint="eastAsia"/>
        </w:rPr>
        <w:t>按照资料</w:t>
      </w:r>
      <w:r>
        <w:rPr>
          <w:rFonts w:hint="eastAsia"/>
        </w:rPr>
        <w:t>大类、数据名称、数据源和日期等维度统计平均时效、最大时效、最小时效及变化趋势，并通过统计表和趋势图进行展示。</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69" w:name="_Toc235096456"/>
      <w:r>
        <w:rPr>
          <w:rFonts w:hint="eastAsia"/>
        </w:rPr>
        <w:t>重点数据资源备份收集</w:t>
      </w:r>
      <w:bookmarkEnd w:id="69"/>
    </w:p>
    <w:p w:rsidR="0039352C">
      <w:pPr>
        <w:ind w:firstLine="480"/>
      </w:pPr>
      <w:r>
        <w:rPr>
          <w:rFonts w:hint="eastAsia"/>
        </w:rPr>
        <w:t>针对目前通过美国国家环境预报中心（</w:t>
      </w:r>
      <w:r>
        <w:rPr>
          <w:rFonts w:hint="eastAsia"/>
        </w:rPr>
        <w:t>NCEP</w:t>
      </w:r>
      <w:r>
        <w:rPr>
          <w:rFonts w:hint="eastAsia"/>
        </w:rPr>
        <w:t>）获取的重点数值预报、海洋预报、资料同化、气候预测及台风路径资料，建立主、</w:t>
      </w:r>
      <w:r>
        <w:rPr>
          <w:rFonts w:hint="eastAsia"/>
        </w:rPr>
        <w:t>备下载源配置</w:t>
      </w:r>
      <w:r>
        <w:rPr>
          <w:rFonts w:hint="eastAsia"/>
        </w:rPr>
        <w:t>和切换机制。在主下载</w:t>
      </w:r>
      <w:r>
        <w:rPr>
          <w:rFonts w:hint="eastAsia"/>
        </w:rPr>
        <w:t>源访问</w:t>
      </w:r>
      <w:r>
        <w:rPr>
          <w:rFonts w:hint="eastAsia"/>
        </w:rPr>
        <w:t>异常或资料获取失败时，通过备用下载源继续执行下载任务，提高重点资料获取的连续性和稳定性。</w:t>
      </w:r>
    </w:p>
    <w:p w:rsidR="0039352C">
      <w:pPr>
        <w:ind w:firstLine="482"/>
        <w:rPr>
          <w:b/>
          <w:bCs/>
        </w:rPr>
      </w:pPr>
      <w:r>
        <w:rPr>
          <w:rFonts w:hint="eastAsia"/>
          <w:b/>
          <w:bCs/>
        </w:rPr>
        <w:t>1</w:t>
      </w:r>
      <w:r>
        <w:rPr>
          <w:rFonts w:hint="eastAsia"/>
          <w:b/>
          <w:bCs/>
        </w:rPr>
        <w:t>、主备下</w:t>
      </w:r>
      <w:r>
        <w:rPr>
          <w:rFonts w:hint="eastAsia"/>
          <w:b/>
          <w:bCs/>
        </w:rPr>
        <w:t>载资料</w:t>
      </w:r>
      <w:r>
        <w:rPr>
          <w:rFonts w:hint="eastAsia"/>
          <w:b/>
          <w:bCs/>
        </w:rPr>
        <w:t>范围</w:t>
      </w:r>
    </w:p>
    <w:p w:rsidR="0039352C">
      <w:pPr>
        <w:ind w:firstLine="480"/>
      </w:pPr>
      <w:r>
        <w:rPr>
          <w:rFonts w:hint="eastAsia"/>
        </w:rPr>
        <w:t>（</w:t>
      </w:r>
      <w:r>
        <w:rPr>
          <w:rFonts w:hint="eastAsia"/>
        </w:rPr>
        <w:t>1</w:t>
      </w:r>
      <w:r>
        <w:rPr>
          <w:rFonts w:hint="eastAsia"/>
        </w:rPr>
        <w:t>）美国全球预报系统产品（</w:t>
      </w:r>
      <w:r>
        <w:rPr>
          <w:rFonts w:hint="eastAsia"/>
        </w:rPr>
        <w:t>GFS</w:t>
      </w:r>
      <w:r>
        <w:rPr>
          <w:rFonts w:hint="eastAsia"/>
        </w:rPr>
        <w:t>）</w:t>
      </w:r>
      <w:r>
        <w:rPr>
          <w:rFonts w:hint="eastAsia"/>
        </w:rPr>
        <w:t>0.25</w:t>
      </w:r>
      <w:r>
        <w:rPr>
          <w:rFonts w:hint="eastAsia"/>
        </w:rPr>
        <w:t>°；</w:t>
      </w:r>
    </w:p>
    <w:p w:rsidR="0039352C">
      <w:pPr>
        <w:ind w:firstLine="480"/>
      </w:pPr>
      <w:r>
        <w:rPr>
          <w:rFonts w:hint="eastAsia"/>
        </w:rPr>
        <w:t>（</w:t>
      </w:r>
      <w:r>
        <w:rPr>
          <w:rFonts w:hint="eastAsia"/>
        </w:rPr>
        <w:t>2</w:t>
      </w:r>
      <w:r>
        <w:rPr>
          <w:rFonts w:hint="eastAsia"/>
        </w:rPr>
        <w:t>）美国全球预报系统产品（</w:t>
      </w:r>
      <w:r>
        <w:rPr>
          <w:rFonts w:hint="eastAsia"/>
        </w:rPr>
        <w:t>GFS</w:t>
      </w:r>
      <w:r>
        <w:rPr>
          <w:rFonts w:hint="eastAsia"/>
        </w:rPr>
        <w:t>）</w:t>
      </w:r>
      <w:r>
        <w:rPr>
          <w:rFonts w:hint="eastAsia"/>
        </w:rPr>
        <w:t>0.50</w:t>
      </w:r>
      <w:r>
        <w:rPr>
          <w:rFonts w:hint="eastAsia"/>
        </w:rPr>
        <w:t>°和</w:t>
      </w:r>
      <w:r>
        <w:rPr>
          <w:rFonts w:hint="eastAsia"/>
        </w:rPr>
        <w:t>1.00</w:t>
      </w:r>
      <w:r>
        <w:rPr>
          <w:rFonts w:hint="eastAsia"/>
        </w:rPr>
        <w:t>°；</w:t>
      </w:r>
    </w:p>
    <w:p w:rsidR="0039352C">
      <w:pPr>
        <w:ind w:firstLine="480"/>
      </w:pPr>
      <w:r>
        <w:rPr>
          <w:rFonts w:hint="eastAsia"/>
        </w:rPr>
        <w:t>（</w:t>
      </w:r>
      <w:r>
        <w:rPr>
          <w:rFonts w:hint="eastAsia"/>
        </w:rPr>
        <w:t>3</w:t>
      </w:r>
      <w:r>
        <w:rPr>
          <w:rFonts w:hint="eastAsia"/>
        </w:rPr>
        <w:t>）美国全球海浪预报系统（</w:t>
      </w:r>
      <w:r>
        <w:rPr>
          <w:rFonts w:hint="eastAsia"/>
        </w:rPr>
        <w:t>GFS Wave</w:t>
      </w:r>
      <w:r>
        <w:rPr>
          <w:rFonts w:hint="eastAsia"/>
        </w:rPr>
        <w:t>）产品；</w:t>
      </w:r>
    </w:p>
    <w:p w:rsidR="0039352C">
      <w:pPr>
        <w:ind w:firstLine="480"/>
      </w:pPr>
      <w:r>
        <w:rPr>
          <w:rFonts w:hint="eastAsia"/>
        </w:rPr>
        <w:t>（</w:t>
      </w:r>
      <w:r>
        <w:rPr>
          <w:rFonts w:hint="eastAsia"/>
        </w:rPr>
        <w:t>4</w:t>
      </w:r>
      <w:r>
        <w:rPr>
          <w:rFonts w:hint="eastAsia"/>
        </w:rPr>
        <w:t>）美国全球集合预报系统海浪（</w:t>
      </w:r>
      <w:r>
        <w:rPr>
          <w:rFonts w:hint="eastAsia"/>
        </w:rPr>
        <w:t>GEFS Wave</w:t>
      </w:r>
      <w:r>
        <w:rPr>
          <w:rFonts w:hint="eastAsia"/>
        </w:rPr>
        <w:t>）产品；</w:t>
      </w:r>
    </w:p>
    <w:p w:rsidR="0039352C">
      <w:pPr>
        <w:ind w:firstLine="480"/>
      </w:pPr>
      <w:r>
        <w:rPr>
          <w:rFonts w:hint="eastAsia"/>
        </w:rPr>
        <w:t>（</w:t>
      </w:r>
      <w:r>
        <w:rPr>
          <w:rFonts w:hint="eastAsia"/>
        </w:rPr>
        <w:t>5</w:t>
      </w:r>
      <w:r>
        <w:rPr>
          <w:rFonts w:hint="eastAsia"/>
        </w:rPr>
        <w:t>）美国海军集合预</w:t>
      </w:r>
      <w:r>
        <w:rPr>
          <w:rFonts w:hint="eastAsia"/>
        </w:rPr>
        <w:t>报系统（</w:t>
      </w:r>
      <w:r>
        <w:rPr>
          <w:rFonts w:hint="eastAsia"/>
        </w:rPr>
        <w:t>FENS</w:t>
      </w:r>
      <w:r>
        <w:rPr>
          <w:rFonts w:hint="eastAsia"/>
        </w:rPr>
        <w:t>）台风集合路径预报数据；</w:t>
      </w:r>
    </w:p>
    <w:p w:rsidR="0039352C">
      <w:pPr>
        <w:ind w:firstLine="480"/>
      </w:pPr>
      <w:r>
        <w:rPr>
          <w:rFonts w:hint="eastAsia"/>
        </w:rPr>
        <w:t>（</w:t>
      </w:r>
      <w:r>
        <w:rPr>
          <w:rFonts w:hint="eastAsia"/>
        </w:rPr>
        <w:t>6</w:t>
      </w:r>
      <w:r>
        <w:rPr>
          <w:rFonts w:hint="eastAsia"/>
        </w:rPr>
        <w:t>）</w:t>
      </w:r>
      <w:r>
        <w:rPr>
          <w:rFonts w:hint="eastAsia"/>
        </w:rPr>
        <w:t>NCEP</w:t>
      </w:r>
      <w:r>
        <w:rPr>
          <w:rFonts w:hint="eastAsia"/>
        </w:rPr>
        <w:t>全球资料同化系统观测输入资料（</w:t>
      </w:r>
      <w:r>
        <w:rPr>
          <w:rFonts w:hint="eastAsia"/>
        </w:rPr>
        <w:t>GDAS</w:t>
      </w:r>
      <w:r>
        <w:rPr>
          <w:rFonts w:hint="eastAsia"/>
        </w:rPr>
        <w:t>）；</w:t>
      </w:r>
    </w:p>
    <w:p w:rsidR="0039352C">
      <w:pPr>
        <w:ind w:firstLine="480"/>
      </w:pPr>
      <w:r>
        <w:rPr>
          <w:rFonts w:hint="eastAsia"/>
        </w:rPr>
        <w:t>（</w:t>
      </w:r>
      <w:r>
        <w:rPr>
          <w:rFonts w:hint="eastAsia"/>
        </w:rPr>
        <w:t>7</w:t>
      </w:r>
      <w:r>
        <w:rPr>
          <w:rFonts w:hint="eastAsia"/>
        </w:rPr>
        <w:t>）美国</w:t>
      </w:r>
      <w:r>
        <w:rPr>
          <w:rFonts w:hint="eastAsia"/>
        </w:rPr>
        <w:t>NCEP</w:t>
      </w:r>
      <w:r>
        <w:rPr>
          <w:rFonts w:hint="eastAsia"/>
        </w:rPr>
        <w:t>全球预报系统模式（</w:t>
      </w:r>
      <w:r>
        <w:rPr>
          <w:rFonts w:hint="eastAsia"/>
        </w:rPr>
        <w:t>GFS</w:t>
      </w:r>
      <w:r>
        <w:rPr>
          <w:rFonts w:hint="eastAsia"/>
        </w:rPr>
        <w:t>）热带气旋路径预报数据；</w:t>
      </w:r>
    </w:p>
    <w:p w:rsidR="0039352C">
      <w:pPr>
        <w:ind w:firstLine="480"/>
      </w:pPr>
      <w:r>
        <w:rPr>
          <w:rFonts w:hint="eastAsia"/>
        </w:rPr>
        <w:t>（</w:t>
      </w:r>
      <w:r>
        <w:rPr>
          <w:rFonts w:hint="eastAsia"/>
        </w:rPr>
        <w:t>8</w:t>
      </w:r>
      <w:r>
        <w:rPr>
          <w:rFonts w:hint="eastAsia"/>
        </w:rPr>
        <w:t>）美国</w:t>
      </w:r>
      <w:r>
        <w:rPr>
          <w:rFonts w:hint="eastAsia"/>
        </w:rPr>
        <w:t>NCEP</w:t>
      </w:r>
      <w:r>
        <w:rPr>
          <w:rFonts w:hint="eastAsia"/>
        </w:rPr>
        <w:t>全球洋流模式系统产品（</w:t>
      </w:r>
      <w:r>
        <w:rPr>
          <w:rFonts w:hint="eastAsia"/>
        </w:rPr>
        <w:t>RTOFS</w:t>
      </w:r>
      <w:r>
        <w:rPr>
          <w:rFonts w:hint="eastAsia"/>
        </w:rPr>
        <w:t>）；</w:t>
      </w:r>
    </w:p>
    <w:p w:rsidR="0039352C">
      <w:pPr>
        <w:ind w:firstLine="480"/>
      </w:pPr>
      <w:r>
        <w:rPr>
          <w:rFonts w:hint="eastAsia"/>
        </w:rPr>
        <w:t>（</w:t>
      </w:r>
      <w:r>
        <w:rPr>
          <w:rFonts w:hint="eastAsia"/>
        </w:rPr>
        <w:t>9</w:t>
      </w:r>
      <w:r>
        <w:rPr>
          <w:rFonts w:hint="eastAsia"/>
        </w:rPr>
        <w:t>）</w:t>
      </w:r>
      <w:r>
        <w:rPr>
          <w:rFonts w:hint="eastAsia"/>
        </w:rPr>
        <w:t>NCEP</w:t>
      </w:r>
      <w:r>
        <w:rPr>
          <w:rFonts w:hint="eastAsia"/>
        </w:rPr>
        <w:t>实时海表温度产品（</w:t>
      </w:r>
      <w:r>
        <w:rPr>
          <w:rFonts w:hint="eastAsia"/>
        </w:rPr>
        <w:t>RTSST</w:t>
      </w:r>
      <w:r>
        <w:rPr>
          <w:rFonts w:hint="eastAsia"/>
        </w:rPr>
        <w:t>）；</w:t>
      </w:r>
    </w:p>
    <w:p w:rsidR="0039352C">
      <w:pPr>
        <w:ind w:firstLine="480"/>
      </w:pPr>
      <w:r>
        <w:rPr>
          <w:rFonts w:hint="eastAsia"/>
        </w:rPr>
        <w:t>（</w:t>
      </w:r>
      <w:r>
        <w:rPr>
          <w:rFonts w:hint="eastAsia"/>
        </w:rPr>
        <w:t>10</w:t>
      </w:r>
      <w:r>
        <w:rPr>
          <w:rFonts w:hint="eastAsia"/>
        </w:rPr>
        <w:t>）美国全球预报系统（</w:t>
      </w:r>
      <w:r>
        <w:rPr>
          <w:rFonts w:hint="eastAsia"/>
        </w:rPr>
        <w:t>GFS</w:t>
      </w:r>
      <w:r>
        <w:rPr>
          <w:rFonts w:hint="eastAsia"/>
        </w:rPr>
        <w:t>）同化分析产品数据；</w:t>
      </w:r>
    </w:p>
    <w:p w:rsidR="0039352C">
      <w:pPr>
        <w:ind w:firstLine="480"/>
      </w:pPr>
      <w:r>
        <w:rPr>
          <w:rFonts w:hint="eastAsia"/>
        </w:rPr>
        <w:t>（</w:t>
      </w:r>
      <w:r>
        <w:rPr>
          <w:rFonts w:hint="eastAsia"/>
        </w:rPr>
        <w:t>11</w:t>
      </w:r>
      <w:r>
        <w:rPr>
          <w:rFonts w:hint="eastAsia"/>
        </w:rPr>
        <w:t>）加拿大集合预报系统（</w:t>
      </w:r>
      <w:r>
        <w:rPr>
          <w:rFonts w:hint="eastAsia"/>
        </w:rPr>
        <w:t>CMCE</w:t>
      </w:r>
      <w:r>
        <w:rPr>
          <w:rFonts w:hint="eastAsia"/>
        </w:rPr>
        <w:t>）台风集合路径预报数据；</w:t>
      </w:r>
    </w:p>
    <w:p w:rsidR="0039352C">
      <w:pPr>
        <w:ind w:firstLine="480"/>
      </w:pPr>
      <w:r>
        <w:rPr>
          <w:rFonts w:hint="eastAsia"/>
        </w:rPr>
        <w:t>（</w:t>
      </w:r>
      <w:r>
        <w:rPr>
          <w:rFonts w:hint="eastAsia"/>
        </w:rPr>
        <w:t>12</w:t>
      </w:r>
      <w:r>
        <w:rPr>
          <w:rFonts w:hint="eastAsia"/>
        </w:rPr>
        <w:t>）</w:t>
      </w:r>
      <w:r>
        <w:rPr>
          <w:rFonts w:hint="eastAsia"/>
        </w:rPr>
        <w:t>NCEP</w:t>
      </w:r>
      <w:r>
        <w:rPr>
          <w:rFonts w:hint="eastAsia"/>
        </w:rPr>
        <w:t>气候预报系统（</w:t>
      </w:r>
      <w:r>
        <w:rPr>
          <w:rFonts w:hint="eastAsia"/>
        </w:rPr>
        <w:t>CFSv2</w:t>
      </w:r>
      <w:r>
        <w:rPr>
          <w:rFonts w:hint="eastAsia"/>
        </w:rPr>
        <w:t>）</w:t>
      </w:r>
      <w:r>
        <w:rPr>
          <w:rFonts w:hint="eastAsia"/>
        </w:rPr>
        <w:t>日值产品</w:t>
      </w:r>
      <w:r>
        <w:rPr>
          <w:rFonts w:hint="eastAsia"/>
        </w:rPr>
        <w:t>；</w:t>
      </w:r>
    </w:p>
    <w:p w:rsidR="0039352C">
      <w:pPr>
        <w:ind w:firstLine="480"/>
      </w:pPr>
      <w:r>
        <w:rPr>
          <w:rFonts w:hint="eastAsia"/>
        </w:rPr>
        <w:t>（</w:t>
      </w:r>
      <w:r>
        <w:rPr>
          <w:rFonts w:hint="eastAsia"/>
        </w:rPr>
        <w:t>13</w:t>
      </w:r>
      <w:r>
        <w:rPr>
          <w:rFonts w:hint="eastAsia"/>
        </w:rPr>
        <w:t>）</w:t>
      </w:r>
      <w:r>
        <w:rPr>
          <w:rFonts w:hint="eastAsia"/>
        </w:rPr>
        <w:t>NCEP</w:t>
      </w:r>
      <w:r>
        <w:rPr>
          <w:rFonts w:hint="eastAsia"/>
        </w:rPr>
        <w:t>气候预报系统（</w:t>
      </w:r>
      <w:r>
        <w:rPr>
          <w:rFonts w:hint="eastAsia"/>
        </w:rPr>
        <w:t>CFSv2</w:t>
      </w:r>
      <w:r>
        <w:rPr>
          <w:rFonts w:hint="eastAsia"/>
        </w:rPr>
        <w:t>）</w:t>
      </w:r>
      <w:r>
        <w:rPr>
          <w:rFonts w:hint="eastAsia"/>
        </w:rPr>
        <w:t>6</w:t>
      </w:r>
      <w:r>
        <w:rPr>
          <w:rFonts w:hint="eastAsia"/>
        </w:rPr>
        <w:t>小时产品；</w:t>
      </w:r>
    </w:p>
    <w:p w:rsidR="0039352C">
      <w:pPr>
        <w:ind w:firstLine="480"/>
      </w:pPr>
      <w:r>
        <w:rPr>
          <w:rFonts w:hint="eastAsia"/>
        </w:rPr>
        <w:t>（</w:t>
      </w:r>
      <w:r>
        <w:rPr>
          <w:rFonts w:hint="eastAsia"/>
        </w:rPr>
        <w:t>14</w:t>
      </w:r>
      <w:r>
        <w:rPr>
          <w:rFonts w:hint="eastAsia"/>
        </w:rPr>
        <w:t>）</w:t>
      </w:r>
      <w:r>
        <w:rPr>
          <w:rFonts w:hint="eastAsia"/>
        </w:rPr>
        <w:t>NCE</w:t>
      </w:r>
      <w:r>
        <w:rPr>
          <w:rFonts w:hint="eastAsia"/>
        </w:rPr>
        <w:t>P</w:t>
      </w:r>
      <w:r>
        <w:rPr>
          <w:rFonts w:hint="eastAsia"/>
        </w:rPr>
        <w:t>气候预报系统（</w:t>
      </w:r>
      <w:r>
        <w:rPr>
          <w:rFonts w:hint="eastAsia"/>
        </w:rPr>
        <w:t>CFSv2</w:t>
      </w:r>
      <w:r>
        <w:rPr>
          <w:rFonts w:hint="eastAsia"/>
        </w:rPr>
        <w:t>）月产品；</w:t>
      </w:r>
    </w:p>
    <w:p w:rsidR="0039352C">
      <w:pPr>
        <w:ind w:firstLine="480"/>
      </w:pPr>
      <w:r>
        <w:rPr>
          <w:rFonts w:hint="eastAsia"/>
        </w:rPr>
        <w:t>（</w:t>
      </w:r>
      <w:r>
        <w:rPr>
          <w:rFonts w:hint="eastAsia"/>
        </w:rPr>
        <w:t>15</w:t>
      </w:r>
      <w:r>
        <w:rPr>
          <w:rFonts w:hint="eastAsia"/>
        </w:rPr>
        <w:t>）</w:t>
      </w:r>
      <w:r>
        <w:rPr>
          <w:rFonts w:hint="eastAsia"/>
        </w:rPr>
        <w:t>NCEP</w:t>
      </w:r>
      <w:r>
        <w:rPr>
          <w:rFonts w:hint="eastAsia"/>
        </w:rPr>
        <w:t>国家混合模式（</w:t>
      </w:r>
      <w:r>
        <w:rPr>
          <w:rFonts w:hint="eastAsia"/>
        </w:rPr>
        <w:t>NBM</w:t>
      </w:r>
      <w:r>
        <w:rPr>
          <w:rFonts w:hint="eastAsia"/>
        </w:rPr>
        <w:t>）产品；</w:t>
      </w:r>
    </w:p>
    <w:p w:rsidR="0039352C">
      <w:pPr>
        <w:ind w:firstLine="480"/>
      </w:pPr>
      <w:r>
        <w:rPr>
          <w:rFonts w:hint="eastAsia"/>
        </w:rPr>
        <w:t>（</w:t>
      </w:r>
      <w:r>
        <w:rPr>
          <w:rFonts w:hint="eastAsia"/>
        </w:rPr>
        <w:t>16</w:t>
      </w:r>
      <w:r>
        <w:rPr>
          <w:rFonts w:hint="eastAsia"/>
        </w:rPr>
        <w:t>）</w:t>
      </w:r>
      <w:r>
        <w:rPr>
          <w:rFonts w:hint="eastAsia"/>
        </w:rPr>
        <w:t>NCEP</w:t>
      </w:r>
      <w:r>
        <w:rPr>
          <w:rFonts w:hint="eastAsia"/>
        </w:rPr>
        <w:t>全球集合预报系统选择性要素产品（</w:t>
      </w:r>
      <w:r>
        <w:rPr>
          <w:rFonts w:hint="eastAsia"/>
        </w:rPr>
        <w:t>0.25</w:t>
      </w:r>
      <w:r>
        <w:rPr>
          <w:rFonts w:hint="eastAsia"/>
        </w:rPr>
        <w:t>°×</w:t>
      </w:r>
      <w:r>
        <w:rPr>
          <w:rFonts w:hint="eastAsia"/>
        </w:rPr>
        <w:t>0.25</w:t>
      </w:r>
      <w:r>
        <w:rPr>
          <w:rFonts w:hint="eastAsia"/>
        </w:rPr>
        <w:t>°）；</w:t>
      </w:r>
    </w:p>
    <w:p w:rsidR="0039352C">
      <w:pPr>
        <w:ind w:firstLine="480"/>
      </w:pPr>
      <w:r>
        <w:rPr>
          <w:rFonts w:hint="eastAsia"/>
        </w:rPr>
        <w:t>（</w:t>
      </w:r>
      <w:r>
        <w:rPr>
          <w:rFonts w:hint="eastAsia"/>
        </w:rPr>
        <w:t>17</w:t>
      </w:r>
      <w:r>
        <w:rPr>
          <w:rFonts w:hint="eastAsia"/>
        </w:rPr>
        <w:t>）</w:t>
      </w:r>
      <w:r>
        <w:rPr>
          <w:rFonts w:hint="eastAsia"/>
        </w:rPr>
        <w:t>NCEP</w:t>
      </w:r>
      <w:r>
        <w:rPr>
          <w:rFonts w:hint="eastAsia"/>
        </w:rPr>
        <w:t>全球集合预报系统产品（</w:t>
      </w:r>
      <w:r>
        <w:rPr>
          <w:rFonts w:hint="eastAsia"/>
        </w:rPr>
        <w:t>0.5</w:t>
      </w:r>
      <w:r>
        <w:rPr>
          <w:rFonts w:hint="eastAsia"/>
        </w:rPr>
        <w:t>°×</w:t>
      </w:r>
      <w:r>
        <w:rPr>
          <w:rFonts w:hint="eastAsia"/>
        </w:rPr>
        <w:t>0.5</w:t>
      </w:r>
      <w:r>
        <w:rPr>
          <w:rFonts w:hint="eastAsia"/>
        </w:rPr>
        <w:t>°）。</w:t>
      </w:r>
    </w:p>
    <w:p w:rsidR="0039352C">
      <w:pPr>
        <w:ind w:firstLine="482"/>
        <w:rPr>
          <w:b/>
          <w:bCs/>
        </w:rPr>
      </w:pPr>
      <w:r>
        <w:rPr>
          <w:rFonts w:hint="eastAsia"/>
          <w:b/>
          <w:bCs/>
        </w:rPr>
        <w:t>2</w:t>
      </w:r>
      <w:r>
        <w:rPr>
          <w:rFonts w:hint="eastAsia"/>
          <w:b/>
          <w:bCs/>
        </w:rPr>
        <w:t>、主</w:t>
      </w:r>
      <w:r>
        <w:rPr>
          <w:rFonts w:hint="eastAsia"/>
          <w:b/>
          <w:bCs/>
        </w:rPr>
        <w:t>备下载源配置</w:t>
      </w:r>
    </w:p>
    <w:p w:rsidR="0039352C">
      <w:pPr>
        <w:ind w:firstLine="480"/>
      </w:pPr>
      <w:r>
        <w:rPr>
          <w:rFonts w:hint="eastAsia"/>
        </w:rPr>
        <w:t>针对上述</w:t>
      </w:r>
      <w:r>
        <w:rPr>
          <w:rFonts w:hint="eastAsia"/>
        </w:rPr>
        <w:t>17</w:t>
      </w:r>
      <w:r>
        <w:rPr>
          <w:rFonts w:hint="eastAsia"/>
        </w:rPr>
        <w:t>类资料，分别维护主下载地址、备用下载地址、远程目录、文件命名规则、日期</w:t>
      </w:r>
      <w:r>
        <w:rPr>
          <w:rFonts w:hint="eastAsia"/>
        </w:rPr>
        <w:t>及时次</w:t>
      </w:r>
      <w:r>
        <w:rPr>
          <w:rFonts w:hint="eastAsia"/>
        </w:rPr>
        <w:t>规则、预报时效、执行周期和本地保存目录等参数。针对</w:t>
      </w:r>
      <w:r>
        <w:rPr>
          <w:rFonts w:hint="eastAsia"/>
        </w:rPr>
        <w:t>FTP</w:t>
      </w:r>
      <w:r>
        <w:rPr>
          <w:rFonts w:hint="eastAsia"/>
        </w:rPr>
        <w:t>与</w:t>
      </w:r>
      <w:r>
        <w:rPr>
          <w:rFonts w:hint="eastAsia"/>
        </w:rPr>
        <w:t>HTTPS</w:t>
      </w:r>
      <w:r>
        <w:rPr>
          <w:rFonts w:hint="eastAsia"/>
        </w:rPr>
        <w:t>访问方式的差异，分别配置连接方式、远程目录解析规则、文件列表获取方式和下载参数，确保同一资料可通过主、备下</w:t>
      </w:r>
      <w:r>
        <w:rPr>
          <w:rFonts w:hint="eastAsia"/>
        </w:rPr>
        <w:t>载源正确</w:t>
      </w:r>
      <w:r>
        <w:rPr>
          <w:rFonts w:hint="eastAsia"/>
        </w:rPr>
        <w:t>获取。</w:t>
      </w:r>
    </w:p>
    <w:p w:rsidR="0039352C">
      <w:pPr>
        <w:ind w:firstLine="482"/>
        <w:rPr>
          <w:b/>
          <w:bCs/>
        </w:rPr>
      </w:pPr>
      <w:r>
        <w:rPr>
          <w:rFonts w:hint="eastAsia"/>
          <w:b/>
          <w:bCs/>
        </w:rPr>
        <w:t>3</w:t>
      </w:r>
      <w:r>
        <w:rPr>
          <w:rFonts w:hint="eastAsia"/>
          <w:b/>
          <w:bCs/>
        </w:rPr>
        <w:t>、主备下载切换</w:t>
      </w:r>
    </w:p>
    <w:p w:rsidR="0039352C">
      <w:pPr>
        <w:ind w:firstLine="480"/>
      </w:pPr>
      <w:r>
        <w:rPr>
          <w:rFonts w:hint="eastAsia"/>
        </w:rPr>
        <w:t>系统应对主下载源的网络连接、目录访问、文件列表获取和文件下载结果进行检测。当出现主下载</w:t>
      </w:r>
      <w:r>
        <w:rPr>
          <w:rFonts w:hint="eastAsia"/>
        </w:rPr>
        <w:t>源无法</w:t>
      </w:r>
      <w:r>
        <w:rPr>
          <w:rFonts w:hint="eastAsia"/>
        </w:rPr>
        <w:t>连接、目录无法访问、目标文件未发现或文件连续下载失败等情况时，支持切换至备用下载源继续执行相应资料的下载任务。</w:t>
      </w:r>
    </w:p>
    <w:p w:rsidR="0039352C">
      <w:pPr>
        <w:ind w:firstLine="482"/>
        <w:rPr>
          <w:b/>
          <w:bCs/>
        </w:rPr>
      </w:pPr>
      <w:r>
        <w:rPr>
          <w:rFonts w:hint="eastAsia"/>
          <w:b/>
          <w:bCs/>
        </w:rPr>
        <w:t>4</w:t>
      </w:r>
      <w:r>
        <w:rPr>
          <w:rFonts w:hint="eastAsia"/>
          <w:b/>
          <w:bCs/>
        </w:rPr>
        <w:t>、下载结果检查与运行统计</w:t>
      </w:r>
    </w:p>
    <w:p w:rsidR="0039352C">
      <w:pPr>
        <w:ind w:firstLine="480"/>
      </w:pPr>
      <w:r>
        <w:rPr>
          <w:rFonts w:hint="eastAsia"/>
        </w:rPr>
        <w:t>对主、备下</w:t>
      </w:r>
      <w:r>
        <w:rPr>
          <w:rFonts w:hint="eastAsia"/>
        </w:rPr>
        <w:t>载任务</w:t>
      </w:r>
      <w:r>
        <w:rPr>
          <w:rFonts w:hint="eastAsia"/>
        </w:rPr>
        <w:t>获取的文件进行结果检查，核对文件名称、日期、时次、预报时效、文件数量和文件大小，识别缺失文件、重复文件、空文件及下</w:t>
      </w:r>
      <w:r>
        <w:rPr>
          <w:rFonts w:hint="eastAsia"/>
        </w:rPr>
        <w:t>载不完整文件。对未成功获取的文件，支持通过主下载</w:t>
      </w:r>
      <w:r>
        <w:rPr>
          <w:rFonts w:hint="eastAsia"/>
        </w:rPr>
        <w:t>源重新</w:t>
      </w:r>
      <w:r>
        <w:rPr>
          <w:rFonts w:hint="eastAsia"/>
        </w:rPr>
        <w:t>下载或通过备用下载源补充下载。</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0" w:name="_Toc235096457"/>
      <w:r>
        <w:rPr>
          <w:rFonts w:hint="eastAsia"/>
        </w:rPr>
        <w:t>ERA5</w:t>
      </w:r>
      <w:r>
        <w:rPr>
          <w:rFonts w:hint="eastAsia"/>
        </w:rPr>
        <w:t>再分析数据专题展示</w:t>
      </w:r>
      <w:bookmarkEnd w:id="70"/>
    </w:p>
    <w:p w:rsidR="0039352C">
      <w:pPr>
        <w:ind w:firstLine="482"/>
        <w:rPr>
          <w:b/>
          <w:bCs/>
        </w:rPr>
      </w:pPr>
      <w:r>
        <w:rPr>
          <w:rFonts w:hint="eastAsia"/>
          <w:b/>
          <w:bCs/>
        </w:rPr>
        <w:t>1</w:t>
      </w:r>
      <w:r>
        <w:rPr>
          <w:rFonts w:hint="eastAsia"/>
          <w:b/>
          <w:bCs/>
        </w:rPr>
        <w:t>、</w:t>
      </w:r>
      <w:r>
        <w:rPr>
          <w:rFonts w:hint="eastAsia"/>
          <w:b/>
          <w:bCs/>
        </w:rPr>
        <w:t>ERA5 API</w:t>
      </w:r>
      <w:r>
        <w:rPr>
          <w:rFonts w:hint="eastAsia"/>
          <w:b/>
          <w:bCs/>
        </w:rPr>
        <w:t>管理</w:t>
      </w:r>
    </w:p>
    <w:p w:rsidR="0039352C">
      <w:pPr>
        <w:ind w:firstLine="480"/>
      </w:pPr>
      <w:r>
        <w:rPr>
          <w:rFonts w:hint="eastAsia"/>
        </w:rPr>
        <w:t>建设</w:t>
      </w:r>
      <w:r>
        <w:rPr>
          <w:rFonts w:hint="eastAsia"/>
        </w:rPr>
        <w:t>ERA5</w:t>
      </w:r>
      <w:r>
        <w:rPr>
          <w:rFonts w:hint="eastAsia"/>
        </w:rPr>
        <w:t>数据访问</w:t>
      </w:r>
      <w:r>
        <w:rPr>
          <w:rFonts w:hint="eastAsia"/>
        </w:rPr>
        <w:t>API</w:t>
      </w:r>
      <w:r>
        <w:rPr>
          <w:rFonts w:hint="eastAsia"/>
        </w:rPr>
        <w:t>统一管理功能，支持维护</w:t>
      </w:r>
      <w:r>
        <w:rPr>
          <w:rFonts w:hint="eastAsia"/>
        </w:rPr>
        <w:t>API</w:t>
      </w:r>
      <w:r>
        <w:rPr>
          <w:rFonts w:hint="eastAsia"/>
        </w:rPr>
        <w:t>地址、用户信息、认证密钥、接口参数和调用状态等内容。、对</w:t>
      </w:r>
      <w:r>
        <w:rPr>
          <w:rFonts w:hint="eastAsia"/>
        </w:rPr>
        <w:t>API</w:t>
      </w:r>
      <w:r>
        <w:rPr>
          <w:rFonts w:hint="eastAsia"/>
        </w:rPr>
        <w:t>认证信息进行安全存储，支持</w:t>
      </w:r>
      <w:r>
        <w:rPr>
          <w:rFonts w:hint="eastAsia"/>
        </w:rPr>
        <w:t>API</w:t>
      </w:r>
      <w:r>
        <w:rPr>
          <w:rFonts w:hint="eastAsia"/>
        </w:rPr>
        <w:t>连接测试、认证有效性检查和调用异常记录，及时发现认证失效、接口</w:t>
      </w:r>
      <w:r>
        <w:rPr>
          <w:rFonts w:hint="eastAsia"/>
        </w:rPr>
        <w:t>不</w:t>
      </w:r>
      <w:r>
        <w:rPr>
          <w:rFonts w:hint="eastAsia"/>
        </w:rPr>
        <w:t>可用及请求受限等问题。</w:t>
      </w:r>
    </w:p>
    <w:p w:rsidR="0039352C">
      <w:pPr>
        <w:ind w:firstLine="482"/>
        <w:rPr>
          <w:b/>
          <w:bCs/>
        </w:rPr>
      </w:pPr>
      <w:r>
        <w:rPr>
          <w:rFonts w:hint="eastAsia"/>
          <w:b/>
          <w:bCs/>
        </w:rPr>
        <w:t>2</w:t>
      </w:r>
      <w:r>
        <w:rPr>
          <w:rFonts w:hint="eastAsia"/>
          <w:b/>
          <w:bCs/>
        </w:rPr>
        <w:t>、数据收集参数配置</w:t>
      </w:r>
    </w:p>
    <w:p w:rsidR="0039352C">
      <w:pPr>
        <w:ind w:firstLine="480"/>
      </w:pPr>
      <w:r>
        <w:rPr>
          <w:rFonts w:hint="eastAsia"/>
        </w:rPr>
        <w:t>支持按照数据类型、数据要素、气压层、时间分辨率、空间范围、时间范围和文件格式等条件配置</w:t>
      </w:r>
      <w:r>
        <w:rPr>
          <w:rFonts w:hint="eastAsia"/>
        </w:rPr>
        <w:t>ERA5</w:t>
      </w:r>
      <w:r>
        <w:rPr>
          <w:rFonts w:hint="eastAsia"/>
        </w:rPr>
        <w:t>数据收集任务。对任务参数进行合法性校验，避免因要素、层次、时间或空间参数组合错误导致任务执行失败。</w:t>
      </w:r>
    </w:p>
    <w:p w:rsidR="0039352C">
      <w:pPr>
        <w:ind w:firstLine="482"/>
        <w:rPr>
          <w:b/>
          <w:bCs/>
        </w:rPr>
      </w:pPr>
      <w:r>
        <w:rPr>
          <w:rFonts w:hint="eastAsia"/>
          <w:b/>
          <w:bCs/>
        </w:rPr>
        <w:t>3</w:t>
      </w:r>
      <w:r>
        <w:rPr>
          <w:rFonts w:hint="eastAsia"/>
          <w:b/>
          <w:bCs/>
        </w:rPr>
        <w:t>、</w:t>
      </w:r>
      <w:r>
        <w:rPr>
          <w:rFonts w:hint="eastAsia"/>
          <w:b/>
          <w:bCs/>
        </w:rPr>
        <w:t>ERA5</w:t>
      </w:r>
      <w:r>
        <w:rPr>
          <w:rFonts w:hint="eastAsia"/>
          <w:b/>
          <w:bCs/>
        </w:rPr>
        <w:t>数据管理</w:t>
      </w:r>
    </w:p>
    <w:p w:rsidR="0039352C">
      <w:pPr>
        <w:ind w:firstLine="480"/>
      </w:pPr>
      <w:r>
        <w:rPr>
          <w:rFonts w:hint="eastAsia"/>
        </w:rPr>
        <w:t>对已收集的</w:t>
      </w:r>
      <w:r>
        <w:rPr>
          <w:rFonts w:hint="eastAsia"/>
        </w:rPr>
        <w:t>ERA5</w:t>
      </w:r>
      <w:r>
        <w:rPr>
          <w:rFonts w:hint="eastAsia"/>
        </w:rPr>
        <w:t>数据进行统一登记和管理，记录数据要素、时间分辨率、时间范围、空间范围、数据层次、文件格式、文件数量、数据量及存储位置等信息。支持按照数据要素、时间范围、气压层、空间范围和任务状态等条件查询已收集数据。</w:t>
      </w:r>
    </w:p>
    <w:p w:rsidR="0039352C">
      <w:pPr>
        <w:ind w:firstLine="482"/>
        <w:rPr>
          <w:b/>
          <w:bCs/>
        </w:rPr>
      </w:pPr>
      <w:r>
        <w:rPr>
          <w:rFonts w:hint="eastAsia"/>
          <w:b/>
          <w:bCs/>
        </w:rPr>
        <w:t>4</w:t>
      </w:r>
      <w:r>
        <w:rPr>
          <w:rFonts w:hint="eastAsia"/>
          <w:b/>
          <w:bCs/>
        </w:rPr>
        <w:t>、专题统计与可视化展示</w:t>
      </w:r>
    </w:p>
    <w:p w:rsidR="0039352C">
      <w:pPr>
        <w:ind w:firstLine="480"/>
      </w:pPr>
      <w:r>
        <w:rPr>
          <w:rFonts w:hint="eastAsia"/>
        </w:rPr>
        <w:t>建设</w:t>
      </w:r>
      <w:r>
        <w:rPr>
          <w:rFonts w:hint="eastAsia"/>
        </w:rPr>
        <w:t>ERA5</w:t>
      </w:r>
      <w:r>
        <w:rPr>
          <w:rFonts w:hint="eastAsia"/>
        </w:rPr>
        <w:t>再分析数据专题展示页面，按照数据要素、时间分辨率、年份、月份、气压层及空间范围等维度统计数据收集情况。通过时间轴、统计表、覆盖图和</w:t>
      </w:r>
      <w:r>
        <w:rPr>
          <w:rFonts w:hint="eastAsia"/>
        </w:rPr>
        <w:t>完整率图等</w:t>
      </w:r>
      <w:r>
        <w:rPr>
          <w:rFonts w:hint="eastAsia"/>
        </w:rPr>
        <w:t>方式，展示不同要素、不同时间范围的数据覆盖情况，直观反映已收集、未收集及部分缺失的数据范围。支持查看具体要素的收集</w:t>
      </w:r>
      <w:r>
        <w:rPr>
          <w:rFonts w:hint="eastAsia"/>
        </w:rPr>
        <w:t>起止时间、文件数量、数据量、完整率和最近更新时间，为</w:t>
      </w:r>
      <w:r>
        <w:rPr>
          <w:rFonts w:hint="eastAsia"/>
        </w:rPr>
        <w:t>ERA5</w:t>
      </w:r>
      <w:r>
        <w:rPr>
          <w:rFonts w:hint="eastAsia"/>
        </w:rPr>
        <w:t>数据持续收集和资源建设提供依据。</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1" w:name="_Toc235096458"/>
      <w:r>
        <w:rPr>
          <w:rFonts w:hint="eastAsia"/>
        </w:rPr>
        <w:t>日常运行维护</w:t>
      </w:r>
      <w:bookmarkEnd w:id="71"/>
    </w:p>
    <w:p w:rsidR="0039352C">
      <w:pPr>
        <w:ind w:firstLine="480"/>
      </w:pPr>
      <w:r>
        <w:rPr>
          <w:rFonts w:hint="eastAsia"/>
          <w:color w:val="auto"/>
        </w:rPr>
        <w:t>1</w:t>
      </w:r>
      <w:r>
        <w:rPr>
          <w:rFonts w:hint="eastAsia"/>
          <w:color w:val="auto"/>
        </w:rPr>
        <w:t>、完成互联网数据收集系统和底层支撑软件的日常升级和打补丁，确保系</w:t>
      </w:r>
      <w:r>
        <w:rPr>
          <w:rFonts w:hint="eastAsia"/>
        </w:rPr>
        <w:t>统</w:t>
      </w:r>
      <w:r>
        <w:rPr>
          <w:rFonts w:hint="eastAsia"/>
        </w:rPr>
        <w:t>7*24</w:t>
      </w:r>
      <w:r>
        <w:rPr>
          <w:rFonts w:hint="eastAsia"/>
        </w:rPr>
        <w:t>小时稳定运行。</w:t>
      </w:r>
    </w:p>
    <w:p w:rsidR="0039352C">
      <w:pPr>
        <w:ind w:firstLine="480"/>
      </w:pPr>
      <w:r>
        <w:rPr>
          <w:rFonts w:hint="eastAsia"/>
        </w:rPr>
        <w:t>2</w:t>
      </w:r>
      <w:r>
        <w:rPr>
          <w:rFonts w:hint="eastAsia"/>
        </w:rPr>
        <w:t>、在汛期和应急保障阶段，确保</w:t>
      </w:r>
      <w:r>
        <w:rPr>
          <w:rFonts w:hint="eastAsia"/>
        </w:rPr>
        <w:t>7*24</w:t>
      </w:r>
      <w:r>
        <w:rPr>
          <w:rFonts w:hint="eastAsia"/>
        </w:rPr>
        <w:t>小时的技术人员现场或远程支持。</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72" w:name="_Toc235096459"/>
      <w:r>
        <w:t>地球系统数据质量评估系统</w:t>
      </w:r>
      <w:bookmarkEnd w:id="72"/>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3" w:name="_Toc235096460"/>
      <w:r>
        <w:rPr>
          <w:rFonts w:hint="eastAsia"/>
        </w:rPr>
        <w:t>应收尽收评估扩展与完善</w:t>
      </w:r>
      <w:bookmarkEnd w:id="73"/>
    </w:p>
    <w:p w:rsidR="0039352C">
      <w:pPr>
        <w:ind w:firstLine="482"/>
        <w:rPr>
          <w:b/>
          <w:bCs/>
        </w:rPr>
      </w:pPr>
      <w:r>
        <w:rPr>
          <w:rFonts w:hint="eastAsia"/>
          <w:b/>
          <w:bCs/>
        </w:rPr>
        <w:t>1</w:t>
      </w:r>
      <w:r>
        <w:rPr>
          <w:rFonts w:hint="eastAsia"/>
          <w:b/>
          <w:bCs/>
        </w:rPr>
        <w:t>、评估数据扩展</w:t>
      </w:r>
    </w:p>
    <w:p w:rsidR="0039352C">
      <w:pPr>
        <w:ind w:firstLine="480"/>
      </w:pPr>
      <w:r>
        <w:rPr>
          <w:rFonts w:hint="eastAsia"/>
        </w:rPr>
        <w:t>扩展对十四五期间气象部门建设的新型观测数据的应收尽收评估，包括微波激光复合雷达、双偏振云雷达、通量观测等，对各类数据的应收站、实收站、站点上报率、数据量等进行逐日统计，对</w:t>
      </w:r>
      <w:r>
        <w:rPr>
          <w:rFonts w:hint="eastAsia"/>
        </w:rPr>
        <w:t>考核</w:t>
      </w:r>
      <w:r>
        <w:rPr>
          <w:rFonts w:hint="eastAsia"/>
        </w:rPr>
        <w:t>站和非考核站</w:t>
      </w:r>
      <w:r>
        <w:rPr>
          <w:rFonts w:hint="eastAsia"/>
        </w:rPr>
        <w:t>进行分类统计，对站点是否在天元注册进行标识等，并形成周和月的统计报表等。</w:t>
      </w:r>
    </w:p>
    <w:p w:rsidR="0039352C">
      <w:pPr>
        <w:ind w:firstLine="480"/>
      </w:pPr>
      <w:r>
        <w:rPr>
          <w:rFonts w:hint="eastAsia"/>
        </w:rPr>
        <w:t>所有评估结果支持基于浏览器的</w:t>
      </w:r>
      <w:r>
        <w:rPr>
          <w:rFonts w:hint="eastAsia"/>
        </w:rPr>
        <w:t>web</w:t>
      </w:r>
      <w:r>
        <w:rPr>
          <w:rFonts w:hint="eastAsia"/>
        </w:rPr>
        <w:t>前端在线浏览、查询和下载等。</w:t>
      </w:r>
    </w:p>
    <w:p w:rsidR="0039352C">
      <w:pPr>
        <w:ind w:firstLine="482"/>
        <w:rPr>
          <w:b/>
          <w:bCs/>
        </w:rPr>
      </w:pPr>
      <w:r>
        <w:rPr>
          <w:rFonts w:hint="eastAsia"/>
          <w:b/>
          <w:bCs/>
        </w:rPr>
        <w:t>2</w:t>
      </w:r>
      <w:r>
        <w:rPr>
          <w:rFonts w:hint="eastAsia"/>
          <w:b/>
          <w:bCs/>
        </w:rPr>
        <w:t>、评估算法优化调整</w:t>
      </w:r>
    </w:p>
    <w:p w:rsidR="0039352C">
      <w:pPr>
        <w:ind w:firstLine="480"/>
      </w:pPr>
      <w:r>
        <w:rPr>
          <w:rFonts w:hint="eastAsia"/>
        </w:rPr>
        <w:t>结合“天元”</w:t>
      </w:r>
      <w:r>
        <w:rPr>
          <w:rFonts w:hint="eastAsia"/>
        </w:rPr>
        <w:t>API</w:t>
      </w:r>
      <w:r>
        <w:rPr>
          <w:rFonts w:hint="eastAsia"/>
        </w:rPr>
        <w:t>接口提供的“站点类型”、“设备类型”、“波段类型”、“设备名称”“站点状态””等信息，对应收尽收统计算法进行优化。</w:t>
      </w:r>
    </w:p>
    <w:p w:rsidR="0039352C">
      <w:pPr>
        <w:ind w:firstLine="480"/>
      </w:pPr>
      <w:r>
        <w:rPr>
          <w:rFonts w:hint="eastAsia"/>
        </w:rPr>
        <w:t>（</w:t>
      </w:r>
      <w:r>
        <w:rPr>
          <w:rFonts w:hint="eastAsia"/>
        </w:rPr>
        <w:t>1</w:t>
      </w:r>
      <w:r>
        <w:rPr>
          <w:rFonts w:hint="eastAsia"/>
        </w:rPr>
        <w:t>）</w:t>
      </w:r>
      <w:r>
        <w:rPr>
          <w:rFonts w:hint="eastAsia"/>
        </w:rPr>
        <w:t>应收站</w:t>
      </w:r>
      <w:r>
        <w:rPr>
          <w:rFonts w:hint="eastAsia"/>
        </w:rPr>
        <w:t>的基准优化，例如：对在“天元”中站点状态为“停止”、“暂停”、“规划建设”、“试验中”，或站点类型为“共建站”、“试验站”或“应急站”的站点进行特殊处理。</w:t>
      </w:r>
    </w:p>
    <w:p w:rsidR="0039352C">
      <w:pPr>
        <w:ind w:firstLine="480"/>
      </w:pPr>
      <w:r>
        <w:rPr>
          <w:rFonts w:hint="eastAsia"/>
        </w:rPr>
        <w:t>（</w:t>
      </w:r>
      <w:r>
        <w:rPr>
          <w:rFonts w:hint="eastAsia"/>
        </w:rPr>
        <w:t>2</w:t>
      </w:r>
      <w:r>
        <w:rPr>
          <w:rFonts w:hint="eastAsia"/>
        </w:rPr>
        <w:t>）细化天气雷达的评估，根据“波段类</w:t>
      </w:r>
      <w:r>
        <w:rPr>
          <w:rFonts w:hint="eastAsia"/>
        </w:rPr>
        <w:t>型”和“设备名称”等信息对</w:t>
      </w:r>
      <w:r>
        <w:rPr>
          <w:rFonts w:hint="eastAsia"/>
        </w:rPr>
        <w:t>X</w:t>
      </w:r>
      <w:r>
        <w:rPr>
          <w:rFonts w:hint="eastAsia"/>
        </w:rPr>
        <w:t>波段雷达，</w:t>
      </w:r>
      <w:r>
        <w:rPr>
          <w:rFonts w:hint="eastAsia"/>
        </w:rPr>
        <w:t>X</w:t>
      </w:r>
      <w:r>
        <w:rPr>
          <w:rFonts w:hint="eastAsia"/>
        </w:rPr>
        <w:t>波段相控阵雷达、</w:t>
      </w:r>
      <w:r>
        <w:rPr>
          <w:rFonts w:hint="eastAsia"/>
        </w:rPr>
        <w:t>S</w:t>
      </w:r>
      <w:r>
        <w:rPr>
          <w:rFonts w:hint="eastAsia"/>
        </w:rPr>
        <w:t>波段雷达，</w:t>
      </w:r>
      <w:r>
        <w:rPr>
          <w:rFonts w:hint="eastAsia"/>
        </w:rPr>
        <w:t>C</w:t>
      </w:r>
      <w:r>
        <w:rPr>
          <w:rFonts w:hint="eastAsia"/>
        </w:rPr>
        <w:t>波段雷达等进行不同体制雷达的分类统计。</w:t>
      </w:r>
    </w:p>
    <w:p w:rsidR="0039352C">
      <w:pPr>
        <w:ind w:firstLine="480"/>
      </w:pPr>
      <w:r>
        <w:rPr>
          <w:rFonts w:hint="eastAsia"/>
        </w:rPr>
        <w:t>（</w:t>
      </w:r>
      <w:r>
        <w:rPr>
          <w:rFonts w:hint="eastAsia"/>
        </w:rPr>
        <w:t>3</w:t>
      </w:r>
      <w:r>
        <w:rPr>
          <w:rFonts w:hint="eastAsia"/>
        </w:rPr>
        <w:t>）完善应收尽收评估相关统计报表和评估报告，对“天元”接口获取的元数据信息支持用户下载。</w:t>
      </w:r>
    </w:p>
    <w:p w:rsidR="0039352C">
      <w:pPr>
        <w:ind w:firstLine="480"/>
      </w:pPr>
      <w:r>
        <w:rPr>
          <w:rFonts w:hint="eastAsia"/>
        </w:rPr>
        <w:t>（</w:t>
      </w:r>
      <w:r>
        <w:rPr>
          <w:rFonts w:hint="eastAsia"/>
        </w:rPr>
        <w:t>4</w:t>
      </w:r>
      <w:r>
        <w:rPr>
          <w:rFonts w:hint="eastAsia"/>
        </w:rPr>
        <w:t>）根据业务需求调整个别评估数据的“天擎”评估来源，对“应收</w:t>
      </w:r>
      <w:r>
        <w:rPr>
          <w:rFonts w:hint="eastAsia"/>
        </w:rPr>
        <w:t>=</w:t>
      </w:r>
      <w:r>
        <w:rPr>
          <w:rFonts w:hint="eastAsia"/>
        </w:rPr>
        <w:t>实收”等统计规则进行算法优化。</w:t>
      </w:r>
    </w:p>
    <w:p w:rsidR="0039352C">
      <w:pPr>
        <w:ind w:firstLine="480"/>
      </w:pPr>
      <w:r>
        <w:rPr>
          <w:rFonts w:hint="eastAsia"/>
        </w:rPr>
        <w:t>（</w:t>
      </w:r>
      <w:r>
        <w:rPr>
          <w:rFonts w:hint="eastAsia"/>
        </w:rPr>
        <w:t>5</w:t>
      </w:r>
      <w:r>
        <w:rPr>
          <w:rFonts w:hint="eastAsia"/>
        </w:rPr>
        <w:t>）根据业务要求随需进行其它优化调整。</w:t>
      </w:r>
    </w:p>
    <w:p w:rsidR="0039352C">
      <w:pPr>
        <w:ind w:firstLine="482"/>
        <w:rPr>
          <w:b/>
          <w:bCs/>
        </w:rPr>
      </w:pPr>
      <w:r>
        <w:rPr>
          <w:rFonts w:hint="eastAsia"/>
          <w:b/>
          <w:bCs/>
        </w:rPr>
        <w:t>3</w:t>
      </w:r>
      <w:r>
        <w:rPr>
          <w:rFonts w:hint="eastAsia"/>
          <w:b/>
          <w:bCs/>
        </w:rPr>
        <w:t>、</w:t>
      </w:r>
      <w:r>
        <w:rPr>
          <w:rFonts w:hint="eastAsia"/>
          <w:b/>
          <w:bCs/>
        </w:rPr>
        <w:t>微信告警</w:t>
      </w:r>
    </w:p>
    <w:p w:rsidR="0039352C">
      <w:pPr>
        <w:ind w:firstLine="480"/>
      </w:pPr>
      <w:r>
        <w:rPr>
          <w:rFonts w:hint="eastAsia"/>
        </w:rPr>
        <w:t>基于</w:t>
      </w:r>
      <w:r>
        <w:rPr>
          <w:rFonts w:hint="eastAsia"/>
        </w:rPr>
        <w:t>应收站</w:t>
      </w:r>
      <w:r>
        <w:rPr>
          <w:rFonts w:hint="eastAsia"/>
        </w:rPr>
        <w:t>和实收站的历史统计，形成合理的告警规则和阈值，对低于阈</w:t>
      </w:r>
      <w:r>
        <w:rPr>
          <w:rFonts w:hint="eastAsia"/>
        </w:rPr>
        <w:t>值的数据按照</w:t>
      </w:r>
      <w:r>
        <w:rPr>
          <w:rFonts w:hint="eastAsia"/>
        </w:rPr>
        <w:t xml:space="preserve">EI </w:t>
      </w:r>
      <w:r>
        <w:rPr>
          <w:rFonts w:hint="eastAsia"/>
        </w:rPr>
        <w:t>规则发送</w:t>
      </w:r>
      <w:r>
        <w:rPr>
          <w:rFonts w:hint="eastAsia"/>
        </w:rPr>
        <w:t xml:space="preserve"> </w:t>
      </w:r>
      <w:r>
        <w:rPr>
          <w:rFonts w:hint="eastAsia"/>
        </w:rPr>
        <w:t>“天镜”，其通过</w:t>
      </w:r>
      <w:r>
        <w:rPr>
          <w:rFonts w:hint="eastAsia"/>
        </w:rPr>
        <w:t>企业微信推送</w:t>
      </w:r>
      <w:r>
        <w:rPr>
          <w:rFonts w:hint="eastAsia"/>
        </w:rPr>
        <w:t>值班人员。</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4" w:name="_Toc235096461"/>
      <w:r>
        <w:rPr>
          <w:rFonts w:hint="eastAsia"/>
        </w:rPr>
        <w:t>系统安全与性能提升</w:t>
      </w:r>
      <w:bookmarkEnd w:id="74"/>
    </w:p>
    <w:p w:rsidR="0039352C">
      <w:pPr>
        <w:ind w:firstLine="480"/>
      </w:pPr>
      <w:r>
        <w:rPr>
          <w:rFonts w:hint="eastAsia"/>
        </w:rPr>
        <w:t>1</w:t>
      </w:r>
      <w:r>
        <w:rPr>
          <w:rFonts w:hint="eastAsia"/>
        </w:rPr>
        <w:t>、升级气象数据质量评估系统前端</w:t>
      </w:r>
      <w:r>
        <w:rPr>
          <w:rFonts w:hint="eastAsia"/>
        </w:rPr>
        <w:t>web</w:t>
      </w:r>
      <w:r>
        <w:rPr>
          <w:rFonts w:hint="eastAsia"/>
        </w:rPr>
        <w:t>网页为</w:t>
      </w:r>
      <w:r>
        <w:rPr>
          <w:rFonts w:hint="eastAsia"/>
        </w:rPr>
        <w:t>https</w:t>
      </w:r>
      <w:r>
        <w:rPr>
          <w:rFonts w:hint="eastAsia"/>
        </w:rPr>
        <w:t>访问方式，具备基于</w:t>
      </w:r>
      <w:r>
        <w:rPr>
          <w:rFonts w:hint="eastAsia"/>
        </w:rPr>
        <w:t>OA</w:t>
      </w:r>
      <w:r>
        <w:rPr>
          <w:rFonts w:hint="eastAsia"/>
        </w:rPr>
        <w:t>证书的</w:t>
      </w:r>
      <w:r>
        <w:rPr>
          <w:rFonts w:hint="eastAsia"/>
        </w:rPr>
        <w:t>双因素</w:t>
      </w:r>
      <w:r>
        <w:rPr>
          <w:rFonts w:hint="eastAsia"/>
        </w:rPr>
        <w:t>用户认证功能，提升系统自身安全性。</w:t>
      </w:r>
    </w:p>
    <w:p w:rsidR="0039352C">
      <w:pPr>
        <w:ind w:firstLine="480"/>
      </w:pPr>
      <w:r>
        <w:rPr>
          <w:rFonts w:hint="eastAsia"/>
        </w:rPr>
        <w:t>2</w:t>
      </w:r>
      <w:r>
        <w:rPr>
          <w:rFonts w:hint="eastAsia"/>
        </w:rPr>
        <w:t>、通过多种存储技术和检索方式的采用，以及分级存储策略的应用，实现对气象数据质量评估系统生产的评估数据的集约化和合理化存储，提升页面访问性能。</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5" w:name="_Toc235096462"/>
      <w:r>
        <w:rPr>
          <w:rFonts w:hint="eastAsia"/>
        </w:rPr>
        <w:t>扩展新增数据的评估</w:t>
      </w:r>
      <w:bookmarkEnd w:id="75"/>
    </w:p>
    <w:p w:rsidR="0039352C">
      <w:pPr>
        <w:ind w:firstLine="482"/>
        <w:rPr>
          <w:b/>
          <w:bCs/>
        </w:rPr>
      </w:pPr>
      <w:r>
        <w:rPr>
          <w:rFonts w:hint="eastAsia"/>
          <w:b/>
          <w:bCs/>
        </w:rPr>
        <w:t>1</w:t>
      </w:r>
      <w:r>
        <w:rPr>
          <w:rFonts w:hint="eastAsia"/>
          <w:b/>
          <w:bCs/>
        </w:rPr>
        <w:t>、</w:t>
      </w:r>
      <w:r>
        <w:rPr>
          <w:rFonts w:hint="eastAsia"/>
          <w:b/>
          <w:bCs/>
        </w:rPr>
        <w:t>WIS2.0</w:t>
      </w:r>
      <w:r>
        <w:rPr>
          <w:rFonts w:hint="eastAsia"/>
          <w:b/>
          <w:bCs/>
        </w:rPr>
        <w:t>与</w:t>
      </w:r>
      <w:r>
        <w:rPr>
          <w:rFonts w:hint="eastAsia"/>
          <w:b/>
          <w:bCs/>
        </w:rPr>
        <w:t>GTS</w:t>
      </w:r>
      <w:r>
        <w:rPr>
          <w:rFonts w:hint="eastAsia"/>
          <w:b/>
          <w:bCs/>
        </w:rPr>
        <w:t>全球地面的对比评估</w:t>
      </w:r>
    </w:p>
    <w:p w:rsidR="0039352C">
      <w:pPr>
        <w:ind w:firstLine="480"/>
      </w:pPr>
      <w:r>
        <w:rPr>
          <w:rFonts w:hint="eastAsia"/>
        </w:rPr>
        <w:t>针对</w:t>
      </w:r>
      <w:r>
        <w:rPr>
          <w:rFonts w:hint="eastAsia"/>
        </w:rPr>
        <w:t>WIS2.0</w:t>
      </w:r>
      <w:r>
        <w:rPr>
          <w:rFonts w:hint="eastAsia"/>
        </w:rPr>
        <w:t>和</w:t>
      </w:r>
      <w:r>
        <w:rPr>
          <w:rFonts w:hint="eastAsia"/>
        </w:rPr>
        <w:t>GTS</w:t>
      </w:r>
      <w:r>
        <w:rPr>
          <w:rFonts w:hint="eastAsia"/>
        </w:rPr>
        <w:t>全球地面数据开展针对性的对比评估，评估重点包括：</w:t>
      </w:r>
    </w:p>
    <w:p w:rsidR="0039352C">
      <w:pPr>
        <w:ind w:firstLine="480"/>
      </w:pPr>
      <w:r>
        <w:rPr>
          <w:rFonts w:hint="eastAsia"/>
        </w:rPr>
        <w:t>（</w:t>
      </w:r>
      <w:r>
        <w:rPr>
          <w:rFonts w:hint="eastAsia"/>
        </w:rPr>
        <w:t>1</w:t>
      </w:r>
      <w:r>
        <w:rPr>
          <w:rFonts w:hint="eastAsia"/>
        </w:rPr>
        <w:t>）元数据站点信息的评估，例如对</w:t>
      </w:r>
      <w:r>
        <w:rPr>
          <w:rFonts w:hint="eastAsia"/>
        </w:rPr>
        <w:t>WIS2.0</w:t>
      </w:r>
      <w:r>
        <w:rPr>
          <w:rFonts w:hint="eastAsia"/>
        </w:rPr>
        <w:t>相对于</w:t>
      </w:r>
      <w:r>
        <w:rPr>
          <w:rFonts w:hint="eastAsia"/>
        </w:rPr>
        <w:t>GTS</w:t>
      </w:r>
      <w:r>
        <w:rPr>
          <w:rFonts w:hint="eastAsia"/>
        </w:rPr>
        <w:t>发生变动的站点数量及空间分布，以及两者共有站点之</w:t>
      </w:r>
      <w:r>
        <w:rPr>
          <w:rFonts w:hint="eastAsia"/>
        </w:rPr>
        <w:t>间的站点经纬度、海拔高度等元数据信息是否存在差异等；</w:t>
      </w:r>
    </w:p>
    <w:p w:rsidR="0039352C">
      <w:pPr>
        <w:ind w:firstLine="480"/>
      </w:pPr>
      <w:r>
        <w:rPr>
          <w:rFonts w:hint="eastAsia"/>
        </w:rPr>
        <w:t>（</w:t>
      </w:r>
      <w:r>
        <w:rPr>
          <w:rFonts w:hint="eastAsia"/>
        </w:rPr>
        <w:t>2</w:t>
      </w:r>
      <w:r>
        <w:rPr>
          <w:rFonts w:hint="eastAsia"/>
        </w:rPr>
        <w:t>）数据质量评估，对常规气象观测要素（例如温、压、湿、风等）的数据及时性、完整性以及数据质量开展针对性评估，评估结果生成评估报告，并通过气象数据质量评估系统定期对外发布。</w:t>
      </w:r>
    </w:p>
    <w:p w:rsidR="0039352C">
      <w:pPr>
        <w:ind w:firstLine="482"/>
        <w:rPr>
          <w:b/>
          <w:bCs/>
        </w:rPr>
      </w:pPr>
      <w:r>
        <w:rPr>
          <w:rFonts w:hint="eastAsia"/>
          <w:b/>
          <w:bCs/>
        </w:rPr>
        <w:t>2</w:t>
      </w:r>
      <w:r>
        <w:rPr>
          <w:rFonts w:hint="eastAsia"/>
          <w:b/>
          <w:bCs/>
        </w:rPr>
        <w:t>、</w:t>
      </w:r>
      <w:r>
        <w:rPr>
          <w:rFonts w:hint="eastAsia"/>
          <w:b/>
          <w:bCs/>
        </w:rPr>
        <w:t>WIS2.0</w:t>
      </w:r>
      <w:r>
        <w:rPr>
          <w:rFonts w:hint="eastAsia"/>
          <w:b/>
          <w:bCs/>
        </w:rPr>
        <w:t>与</w:t>
      </w:r>
      <w:r>
        <w:rPr>
          <w:rFonts w:hint="eastAsia"/>
          <w:b/>
          <w:bCs/>
        </w:rPr>
        <w:t>GTS</w:t>
      </w:r>
      <w:r>
        <w:rPr>
          <w:rFonts w:hint="eastAsia"/>
          <w:b/>
          <w:bCs/>
        </w:rPr>
        <w:t>全球海洋的对比评估</w:t>
      </w:r>
    </w:p>
    <w:p w:rsidR="0039352C">
      <w:pPr>
        <w:ind w:firstLine="480"/>
      </w:pPr>
      <w:r>
        <w:rPr>
          <w:rFonts w:hint="eastAsia"/>
        </w:rPr>
        <w:t>针对</w:t>
      </w:r>
      <w:r>
        <w:rPr>
          <w:rFonts w:hint="eastAsia"/>
        </w:rPr>
        <w:t>WIS2.0</w:t>
      </w:r>
      <w:r>
        <w:rPr>
          <w:rFonts w:hint="eastAsia"/>
        </w:rPr>
        <w:t>和</w:t>
      </w:r>
      <w:r>
        <w:rPr>
          <w:rFonts w:hint="eastAsia"/>
        </w:rPr>
        <w:t>GTS</w:t>
      </w:r>
      <w:r>
        <w:rPr>
          <w:rFonts w:hint="eastAsia"/>
        </w:rPr>
        <w:t>全球海洋数据开展针对性的对比评估，评估重点包括：</w:t>
      </w:r>
    </w:p>
    <w:p w:rsidR="0039352C">
      <w:pPr>
        <w:ind w:firstLine="480"/>
      </w:pPr>
      <w:r>
        <w:rPr>
          <w:rFonts w:hint="eastAsia"/>
        </w:rPr>
        <w:t>（</w:t>
      </w:r>
      <w:r>
        <w:rPr>
          <w:rFonts w:hint="eastAsia"/>
        </w:rPr>
        <w:t>1</w:t>
      </w:r>
      <w:r>
        <w:rPr>
          <w:rFonts w:hint="eastAsia"/>
        </w:rPr>
        <w:t>）元数据站点信息评估：对</w:t>
      </w:r>
      <w:r>
        <w:rPr>
          <w:rFonts w:hint="eastAsia"/>
        </w:rPr>
        <w:t>WIS2.0</w:t>
      </w:r>
      <w:r>
        <w:rPr>
          <w:rFonts w:hint="eastAsia"/>
        </w:rPr>
        <w:t>与</w:t>
      </w:r>
      <w:r>
        <w:rPr>
          <w:rFonts w:hint="eastAsia"/>
        </w:rPr>
        <w:t>GTS</w:t>
      </w:r>
      <w:r>
        <w:rPr>
          <w:rFonts w:hint="eastAsia"/>
        </w:rPr>
        <w:t>全球海洋观测的元数据信息进行对比分析，重点评估两者共有站点的站点经纬度、海拔高度等元数据信息是否存在差异，</w:t>
      </w:r>
      <w:r>
        <w:rPr>
          <w:rFonts w:hint="eastAsia"/>
        </w:rPr>
        <w:t>WIS2.0</w:t>
      </w:r>
      <w:r>
        <w:rPr>
          <w:rFonts w:hint="eastAsia"/>
        </w:rPr>
        <w:t>相对于</w:t>
      </w:r>
      <w:r>
        <w:rPr>
          <w:rFonts w:hint="eastAsia"/>
        </w:rPr>
        <w:t>GTS</w:t>
      </w:r>
      <w:r>
        <w:rPr>
          <w:rFonts w:hint="eastAsia"/>
        </w:rPr>
        <w:t>发生变动的站点数量及空间分布特征等；</w:t>
      </w:r>
      <w:r>
        <w:tab/>
      </w:r>
      <w:r>
        <w:rPr>
          <w:rFonts w:hint="eastAsia"/>
        </w:rPr>
        <w:t>（</w:t>
      </w:r>
      <w:r>
        <w:rPr>
          <w:rFonts w:hint="eastAsia"/>
        </w:rPr>
        <w:t>2</w:t>
      </w:r>
      <w:r>
        <w:rPr>
          <w:rFonts w:hint="eastAsia"/>
        </w:rPr>
        <w:t>）数据质量评估，对海洋观测要素（例如海表温度、海平面气压、风等）开展数据及时性、完整性及数据质量的专项评估，评估结果生成评估报告，并通过质量评估系统定期对外发布。</w:t>
      </w:r>
    </w:p>
    <w:p w:rsidR="0039352C">
      <w:pPr>
        <w:ind w:firstLine="480"/>
      </w:pPr>
      <w:r>
        <w:rPr>
          <w:rFonts w:hint="eastAsia"/>
        </w:rPr>
        <w:t>（</w:t>
      </w:r>
      <w:r>
        <w:rPr>
          <w:rFonts w:hint="eastAsia"/>
        </w:rPr>
        <w:t>3</w:t>
      </w:r>
      <w:r>
        <w:rPr>
          <w:rFonts w:hint="eastAsia"/>
        </w:rPr>
        <w:t>）对</w:t>
      </w:r>
      <w:r>
        <w:rPr>
          <w:rFonts w:hint="eastAsia"/>
        </w:rPr>
        <w:t>WIS2.0</w:t>
      </w:r>
      <w:r>
        <w:rPr>
          <w:rFonts w:hint="eastAsia"/>
        </w:rPr>
        <w:t>海洋和</w:t>
      </w:r>
      <w:r>
        <w:rPr>
          <w:rFonts w:hint="eastAsia"/>
        </w:rPr>
        <w:t>GTS</w:t>
      </w:r>
      <w:r>
        <w:rPr>
          <w:rFonts w:hint="eastAsia"/>
        </w:rPr>
        <w:t>全球海洋的评估结果实现基于浏览器的</w:t>
      </w:r>
      <w:r>
        <w:rPr>
          <w:rFonts w:hint="eastAsia"/>
        </w:rPr>
        <w:t>web</w:t>
      </w:r>
      <w:r>
        <w:rPr>
          <w:rFonts w:hint="eastAsia"/>
        </w:rPr>
        <w:t>前端展示，能够通过时间序列和空间分布等不同维度展示评估结果。</w:t>
      </w:r>
    </w:p>
    <w:p w:rsidR="0039352C">
      <w:pPr>
        <w:ind w:firstLine="482"/>
        <w:rPr>
          <w:b/>
          <w:bCs/>
        </w:rPr>
      </w:pPr>
      <w:r>
        <w:rPr>
          <w:rFonts w:hint="eastAsia"/>
          <w:b/>
          <w:bCs/>
        </w:rPr>
        <w:t>3</w:t>
      </w:r>
      <w:r>
        <w:rPr>
          <w:rFonts w:hint="eastAsia"/>
          <w:b/>
          <w:bCs/>
        </w:rPr>
        <w:t>、飞机颠簸数据的评估</w:t>
      </w:r>
    </w:p>
    <w:p w:rsidR="0039352C">
      <w:pPr>
        <w:ind w:firstLine="480"/>
      </w:pPr>
      <w:r>
        <w:rPr>
          <w:rFonts w:hint="eastAsia"/>
        </w:rPr>
        <w:t>针对飞机观测数据（气温、风向风速）和颠簸（</w:t>
      </w:r>
      <w:r>
        <w:rPr>
          <w:rFonts w:hint="eastAsia"/>
        </w:rPr>
        <w:t>EDR</w:t>
      </w:r>
      <w:r>
        <w:rPr>
          <w:rFonts w:hint="eastAsia"/>
        </w:rPr>
        <w:t>）数据的评估，评估重点包括：</w:t>
      </w:r>
    </w:p>
    <w:p w:rsidR="0039352C">
      <w:pPr>
        <w:ind w:firstLine="480"/>
      </w:pPr>
      <w:r>
        <w:rPr>
          <w:rFonts w:hint="eastAsia"/>
        </w:rPr>
        <w:t>（</w:t>
      </w:r>
      <w:r>
        <w:rPr>
          <w:rFonts w:hint="eastAsia"/>
        </w:rPr>
        <w:t>1</w:t>
      </w:r>
      <w:r>
        <w:rPr>
          <w:rFonts w:hint="eastAsia"/>
        </w:rPr>
        <w:t>）飞机观测数据及颠簸数据元数据信息的评估，包括加密前后</w:t>
      </w:r>
      <w:r>
        <w:rPr>
          <w:rFonts w:hint="eastAsia"/>
        </w:rPr>
        <w:t>飞机尾号、航班号是否存在缺失、重复、前后不一致等情况；</w:t>
      </w:r>
    </w:p>
    <w:p w:rsidR="0039352C">
      <w:pPr>
        <w:ind w:firstLine="480"/>
      </w:pPr>
      <w:r>
        <w:rPr>
          <w:rFonts w:hint="eastAsia"/>
        </w:rPr>
        <w:t>（</w:t>
      </w:r>
      <w:r>
        <w:rPr>
          <w:rFonts w:hint="eastAsia"/>
        </w:rPr>
        <w:t>2</w:t>
      </w:r>
      <w:r>
        <w:rPr>
          <w:rFonts w:hint="eastAsia"/>
        </w:rPr>
        <w:t>）统计数据的总体观测记录数、涉及的航司数量、飞机型号，以及对应的飞机</w:t>
      </w:r>
      <w:r>
        <w:rPr>
          <w:rFonts w:hint="eastAsia"/>
        </w:rPr>
        <w:t>架次与</w:t>
      </w:r>
      <w:r>
        <w:rPr>
          <w:rFonts w:hint="eastAsia"/>
        </w:rPr>
        <w:t>航班架次数量，分析上述指标的总量水平及颠簸（</w:t>
      </w:r>
      <w:r>
        <w:rPr>
          <w:rFonts w:hint="eastAsia"/>
        </w:rPr>
        <w:t>EDR</w:t>
      </w:r>
      <w:r>
        <w:rPr>
          <w:rFonts w:hint="eastAsia"/>
        </w:rPr>
        <w:t>）数据量的日变化趋势；</w:t>
      </w:r>
    </w:p>
    <w:p w:rsidR="0039352C">
      <w:pPr>
        <w:ind w:firstLine="480"/>
      </w:pPr>
      <w:r>
        <w:rPr>
          <w:rFonts w:hint="eastAsia"/>
        </w:rPr>
        <w:t>（</w:t>
      </w:r>
      <w:r>
        <w:rPr>
          <w:rFonts w:hint="eastAsia"/>
        </w:rPr>
        <w:t>3</w:t>
      </w:r>
      <w:r>
        <w:rPr>
          <w:rFonts w:hint="eastAsia"/>
        </w:rPr>
        <w:t>）针对气温、风向风速数据，逐飞机、</w:t>
      </w:r>
      <w:r>
        <w:rPr>
          <w:rFonts w:hint="eastAsia"/>
        </w:rPr>
        <w:t>逐航司</w:t>
      </w:r>
      <w:r>
        <w:rPr>
          <w:rFonts w:hint="eastAsia"/>
        </w:rPr>
        <w:t>、逐机型开展数据质量的专项评估；</w:t>
      </w:r>
    </w:p>
    <w:p w:rsidR="0039352C">
      <w:pPr>
        <w:ind w:firstLine="480"/>
      </w:pPr>
      <w:r>
        <w:rPr>
          <w:rFonts w:hint="eastAsia"/>
        </w:rPr>
        <w:t>（</w:t>
      </w:r>
      <w:r>
        <w:rPr>
          <w:rFonts w:hint="eastAsia"/>
        </w:rPr>
        <w:t>4</w:t>
      </w:r>
      <w:r>
        <w:rPr>
          <w:rFonts w:hint="eastAsia"/>
        </w:rPr>
        <w:t>）围绕不同颠簸等级，分析其在空间和时间上的分布特征，</w:t>
      </w:r>
      <w:r>
        <w:rPr>
          <w:rFonts w:hint="eastAsia"/>
        </w:rPr>
        <w:t>逐航司开展</w:t>
      </w:r>
      <w:r>
        <w:rPr>
          <w:rFonts w:hint="eastAsia"/>
        </w:rPr>
        <w:t>颠簸数据专项评估</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6" w:name="_Toc235096463"/>
      <w:r>
        <w:rPr>
          <w:rFonts w:hint="eastAsia"/>
        </w:rPr>
        <w:t>评估结果多渠道发布</w:t>
      </w:r>
      <w:bookmarkEnd w:id="76"/>
    </w:p>
    <w:p w:rsidR="0039352C">
      <w:pPr>
        <w:ind w:firstLine="480"/>
      </w:pPr>
      <w:r>
        <w:rPr>
          <w:rFonts w:hint="eastAsia"/>
        </w:rPr>
        <w:t>1</w:t>
      </w:r>
      <w:r>
        <w:rPr>
          <w:rFonts w:hint="eastAsia"/>
        </w:rPr>
        <w:t>、将气象数据质量评估系统发现的质量问题和元数据问题通过</w:t>
      </w:r>
      <w:r>
        <w:rPr>
          <w:rFonts w:hint="eastAsia"/>
        </w:rPr>
        <w:t>API</w:t>
      </w:r>
      <w:r>
        <w:rPr>
          <w:rFonts w:hint="eastAsia"/>
        </w:rPr>
        <w:t>接口方式与天</w:t>
      </w:r>
      <w:r>
        <w:rPr>
          <w:rFonts w:hint="eastAsia"/>
        </w:rPr>
        <w:t>衡天衍实现</w:t>
      </w:r>
      <w:r>
        <w:rPr>
          <w:rFonts w:hint="eastAsia"/>
        </w:rPr>
        <w:t>技术对接与联动。</w:t>
      </w:r>
    </w:p>
    <w:p w:rsidR="0039352C">
      <w:pPr>
        <w:ind w:firstLine="480"/>
      </w:pPr>
      <w:r>
        <w:rPr>
          <w:rFonts w:hint="eastAsia"/>
        </w:rPr>
        <w:t>2</w:t>
      </w:r>
      <w:r>
        <w:rPr>
          <w:rFonts w:hint="eastAsia"/>
        </w:rPr>
        <w:t>、按期编发地球系统资源报告和部委收集评估报告等。</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7" w:name="_Toc235096464"/>
      <w:r>
        <w:rPr>
          <w:rFonts w:hint="eastAsia"/>
        </w:rPr>
        <w:t>日常运行维护</w:t>
      </w:r>
      <w:bookmarkEnd w:id="77"/>
    </w:p>
    <w:p w:rsidR="0039352C">
      <w:pPr>
        <w:ind w:firstLine="480"/>
      </w:pPr>
      <w:r>
        <w:rPr>
          <w:rFonts w:hint="eastAsia"/>
        </w:rPr>
        <w:t>1</w:t>
      </w:r>
      <w:r>
        <w:rPr>
          <w:rFonts w:hint="eastAsia"/>
        </w:rPr>
        <w:t>、完成地球系统数据质量评估系统和底层支撑软件的日常升级和打补丁，确保系统</w:t>
      </w:r>
      <w:r>
        <w:rPr>
          <w:rFonts w:hint="eastAsia"/>
        </w:rPr>
        <w:t>7*24</w:t>
      </w:r>
      <w:r>
        <w:rPr>
          <w:rFonts w:hint="eastAsia"/>
        </w:rPr>
        <w:t>小时稳定运行。</w:t>
      </w:r>
    </w:p>
    <w:p w:rsidR="0039352C">
      <w:pPr>
        <w:ind w:firstLine="480"/>
      </w:pPr>
      <w:r>
        <w:rPr>
          <w:rFonts w:hint="eastAsia"/>
        </w:rPr>
        <w:t>2</w:t>
      </w:r>
      <w:r>
        <w:rPr>
          <w:rFonts w:hint="eastAsia"/>
        </w:rPr>
        <w:t>、在汛期和应急保障阶段，确保</w:t>
      </w:r>
      <w:r>
        <w:rPr>
          <w:rFonts w:hint="eastAsia"/>
        </w:rPr>
        <w:t>7*24</w:t>
      </w:r>
      <w:r>
        <w:rPr>
          <w:rFonts w:hint="eastAsia"/>
        </w:rPr>
        <w:t>小时的技术人员现场或远程支持。</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78" w:name="_Toc235096465"/>
      <w:r>
        <w:t>各省行业数据收集与共享情况普查</w:t>
      </w:r>
      <w:bookmarkEnd w:id="78"/>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79" w:name="_Toc235096466"/>
      <w:r>
        <w:t>行业</w:t>
      </w:r>
      <w:r>
        <w:rPr>
          <w:rFonts w:hint="eastAsia"/>
        </w:rPr>
        <w:t>及气象数据</w:t>
      </w:r>
      <w:r>
        <w:t>普查</w:t>
      </w:r>
      <w:bookmarkEnd w:id="79"/>
    </w:p>
    <w:p w:rsidR="0039352C">
      <w:pPr>
        <w:ind w:firstLine="480"/>
      </w:pPr>
      <w:r>
        <w:rPr>
          <w:rFonts w:hint="eastAsia"/>
        </w:rPr>
        <w:t>建设行业数据收集与气象数据共享情况在线填报和维护功能，支持国家、省、地市、县各级用户填报本级从行业部门收集的数据资源情况，以及向外部门、外单位共享气象数据的情况。</w:t>
      </w:r>
    </w:p>
    <w:p w:rsidR="0039352C">
      <w:pPr>
        <w:ind w:firstLine="480"/>
      </w:pPr>
      <w:r>
        <w:rPr>
          <w:rFonts w:hint="eastAsia"/>
        </w:rPr>
        <w:t>支持填报信息新增、修改、删除、查询和导出，并按照地区、行政层级、行业部门、数据名称、收集方式、共享单位及共享方式等条件进行检索。省级用户可汇总查看和导出本省及下级填报数据，国家级用户可查看和导出国家级及全国各省填报数据。</w:t>
      </w:r>
    </w:p>
    <w:p w:rsidR="0039352C">
      <w:pPr>
        <w:pStyle w:val="Heading3"/>
        <w:keepNext/>
        <w:keepLines/>
        <w:widowControl w:val="0"/>
        <w:numPr>
          <w:ilvl w:val="2"/>
          <w:numId w:val="4"/>
        </w:numPr>
        <w:tabs>
          <w:tab w:val="left" w:pos="480"/>
        </w:tabs>
        <w:spacing w:before="156" w:beforeLines="50" w:after="156" w:afterLines="50" w:line="360" w:lineRule="auto"/>
        <w:ind w:left="0" w:firstLine="0" w:firstLineChars="0"/>
      </w:pPr>
      <w:bookmarkStart w:id="80" w:name="_Toc235096467"/>
      <w:r>
        <w:rPr>
          <w:rFonts w:hint="eastAsia"/>
        </w:rPr>
        <w:t>普查年度与填报模板管理</w:t>
      </w:r>
      <w:bookmarkEnd w:id="80"/>
    </w:p>
    <w:p w:rsidR="0039352C">
      <w:pPr>
        <w:ind w:firstLine="480"/>
      </w:pPr>
      <w:r>
        <w:rPr>
          <w:rFonts w:hint="eastAsia"/>
        </w:rPr>
        <w:t>建设普查年度管理功能，对普查年份、填报开始时间、填报截止时间、年度状态及填报要求等内容进行统一配置。</w:t>
      </w:r>
      <w:r>
        <w:rPr>
          <w:rFonts w:hint="eastAsia"/>
        </w:rPr>
        <w:t>2026</w:t>
      </w:r>
      <w:r>
        <w:rPr>
          <w:rFonts w:hint="eastAsia"/>
        </w:rPr>
        <w:t>年度普查页面默认关联</w:t>
      </w:r>
      <w:r>
        <w:rPr>
          <w:rFonts w:hint="eastAsia"/>
        </w:rPr>
        <w:t>2026</w:t>
      </w:r>
      <w:r>
        <w:rPr>
          <w:rFonts w:hint="eastAsia"/>
        </w:rPr>
        <w:t>年度任务，并支持后续新增年度普查任务。</w:t>
      </w:r>
    </w:p>
    <w:p w:rsidR="0039352C">
      <w:pPr>
        <w:ind w:firstLine="480"/>
      </w:pPr>
      <w:r>
        <w:rPr>
          <w:rFonts w:hint="eastAsia"/>
        </w:rPr>
        <w:t>建设填报模板管理功能，支持根据行业数据收集、气象数据共享及其他普查业务配置表单字段、字段类</w:t>
      </w:r>
      <w:r>
        <w:rPr>
          <w:rFonts w:hint="eastAsia"/>
        </w:rPr>
        <w:t>型、是否必填、选项内容、填写说明和数据校验规则，并根据模板自动生成填报页面。</w:t>
      </w:r>
    </w:p>
    <w:p w:rsidR="0039352C">
      <w:pPr>
        <w:pStyle w:val="Heading3"/>
        <w:keepNext/>
        <w:keepLines/>
        <w:widowControl w:val="0"/>
        <w:numPr>
          <w:ilvl w:val="2"/>
          <w:numId w:val="4"/>
        </w:numPr>
        <w:tabs>
          <w:tab w:val="left" w:pos="480"/>
        </w:tabs>
        <w:spacing w:before="156" w:beforeLines="50" w:after="156" w:afterLines="50" w:line="360" w:lineRule="auto"/>
        <w:ind w:left="0" w:firstLine="0" w:firstLineChars="0"/>
      </w:pPr>
      <w:bookmarkStart w:id="81" w:name="_Toc235096468"/>
      <w:r>
        <w:rPr>
          <w:rFonts w:hint="eastAsia"/>
        </w:rPr>
        <w:t>行业应用典型案例填报</w:t>
      </w:r>
      <w:bookmarkEnd w:id="81"/>
    </w:p>
    <w:p w:rsidR="0039352C">
      <w:pPr>
        <w:ind w:firstLine="480"/>
      </w:pPr>
      <w:r>
        <w:rPr>
          <w:rFonts w:hint="eastAsia"/>
        </w:rPr>
        <w:t>依托填报模板管理功能，建设行业应用典型案例填报页面，支持国家、省、地市、县各级用户在线填报和维护本级行业应用典型案例，集中反映行业数据和气象数据在相关业务中的应用情况。</w:t>
      </w:r>
    </w:p>
    <w:p w:rsidR="0039352C">
      <w:pPr>
        <w:ind w:firstLine="480"/>
      </w:pPr>
      <w:r>
        <w:rPr>
          <w:rFonts w:hint="eastAsia"/>
        </w:rPr>
        <w:t>典型案例填报内容根据后续业务要求和年度普查模板统一配置，支持案例信息新增、修改、查询，为行业数据应用情况统计和典型案例成果整理提供支撑。</w:t>
      </w:r>
    </w:p>
    <w:p w:rsidR="0039352C">
      <w:pPr>
        <w:pStyle w:val="Heading3"/>
        <w:keepNext/>
        <w:keepLines/>
        <w:widowControl w:val="0"/>
        <w:numPr>
          <w:ilvl w:val="2"/>
          <w:numId w:val="4"/>
        </w:numPr>
        <w:tabs>
          <w:tab w:val="left" w:pos="480"/>
        </w:tabs>
        <w:spacing w:before="156" w:beforeLines="50" w:after="156" w:afterLines="50" w:line="360" w:lineRule="auto"/>
        <w:ind w:left="0" w:firstLine="0" w:firstLineChars="0"/>
      </w:pPr>
      <w:bookmarkStart w:id="82" w:name="_Toc235096469"/>
      <w:r>
        <w:rPr>
          <w:rFonts w:hint="eastAsia"/>
        </w:rPr>
        <w:t>普查统计分析与报表生成</w:t>
      </w:r>
      <w:bookmarkEnd w:id="82"/>
    </w:p>
    <w:p w:rsidR="0039352C">
      <w:pPr>
        <w:ind w:firstLine="480"/>
      </w:pPr>
      <w:r>
        <w:rPr>
          <w:rFonts w:hint="eastAsia"/>
        </w:rPr>
        <w:t>建设行业数据收集与气象数据共享统计分析功能，支持按照省份、行政层级、行业数据来源</w:t>
      </w:r>
      <w:r>
        <w:rPr>
          <w:rFonts w:hint="eastAsia"/>
        </w:rPr>
        <w:t>、数据类别、收集部门、共享部门、共享方式、更新频次及应用领域等维度进行查询和统计。</w:t>
      </w:r>
    </w:p>
    <w:p w:rsidR="0039352C">
      <w:pPr>
        <w:ind w:firstLine="480"/>
      </w:pPr>
      <w:r>
        <w:rPr>
          <w:rFonts w:hint="eastAsia"/>
        </w:rPr>
        <w:t>支持统计各省收集数据种类、行业部门数量、共享数据种类、共享单位数量及不同共享方式的分布情况，并通过统计表、柱状图、</w:t>
      </w:r>
      <w:r>
        <w:rPr>
          <w:rFonts w:hint="eastAsia"/>
        </w:rPr>
        <w:t>饼图等</w:t>
      </w:r>
      <w:r>
        <w:rPr>
          <w:rFonts w:hint="eastAsia"/>
        </w:rPr>
        <w:t>方式展示全国及各省普查结果。</w:t>
      </w:r>
    </w:p>
    <w:p w:rsidR="0039352C">
      <w:pPr>
        <w:pStyle w:val="Heading3"/>
        <w:keepNext/>
        <w:keepLines/>
        <w:widowControl w:val="0"/>
        <w:numPr>
          <w:ilvl w:val="2"/>
          <w:numId w:val="4"/>
        </w:numPr>
        <w:tabs>
          <w:tab w:val="left" w:pos="480"/>
        </w:tabs>
        <w:spacing w:before="156" w:beforeLines="50" w:after="156" w:afterLines="50" w:line="360" w:lineRule="auto"/>
        <w:ind w:left="0" w:firstLine="0" w:firstLineChars="0"/>
      </w:pPr>
      <w:bookmarkStart w:id="83" w:name="_Toc235096470"/>
      <w:r>
        <w:rPr>
          <w:rFonts w:hint="eastAsia"/>
        </w:rPr>
        <w:t>用户权限与分级管理</w:t>
      </w:r>
      <w:bookmarkEnd w:id="83"/>
    </w:p>
    <w:p w:rsidR="0039352C">
      <w:pPr>
        <w:ind w:firstLine="480"/>
      </w:pPr>
      <w:r>
        <w:rPr>
          <w:rFonts w:hint="eastAsia"/>
        </w:rPr>
        <w:t>完善普查用户角色和权限控制功能，根据国家级、省级、地市级和县级用户职责，分别配置数据填报、修改、查看、汇总和导出权限。</w:t>
      </w:r>
    </w:p>
    <w:p w:rsidR="0039352C">
      <w:pPr>
        <w:ind w:firstLine="480"/>
      </w:pPr>
      <w:r>
        <w:rPr>
          <w:rFonts w:hint="eastAsia"/>
        </w:rPr>
        <w:t>国家级用户可查看和导出全国各省及国家级填报数据；省级用户可查看和导出本省及所属地市、县级填报数据；地市和县级用户原则上仅维护和查看本级填报</w:t>
      </w:r>
      <w:r>
        <w:rPr>
          <w:rFonts w:hint="eastAsia"/>
        </w:rPr>
        <w:t>数据。</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84" w:name="_Toc235096471"/>
      <w:r>
        <w:rPr>
          <w:rFonts w:hint="eastAsia"/>
        </w:rPr>
        <w:t>非功能要求</w:t>
      </w:r>
      <w:bookmarkEnd w:id="84"/>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85" w:name="_Toc235096472"/>
      <w:r>
        <w:rPr>
          <w:rFonts w:hint="eastAsia"/>
        </w:rPr>
        <w:t>时效性</w:t>
      </w:r>
    </w:p>
    <w:p w:rsidR="0039352C">
      <w:pPr>
        <w:ind w:firstLine="480"/>
      </w:pPr>
      <w:r>
        <w:rPr>
          <w:rFonts w:hint="eastAsia"/>
        </w:rPr>
        <w:t>系统应满足互联网数据持续收集、运行状态监视、异常处置、质量评估和成果发布等业务对处理时效的要求。系统应合理设置任务调度周期、状态更新频率、异常检测阈值和评估执行周期，确保数据及时收集、异常及时发现、评估结果及时生成并发布。</w:t>
      </w:r>
    </w:p>
    <w:p w:rsidR="0039352C">
      <w:pPr>
        <w:ind w:firstLine="480"/>
      </w:pPr>
      <w:r>
        <w:rPr>
          <w:rFonts w:hint="eastAsia"/>
        </w:rPr>
        <w:t>1</w:t>
      </w:r>
      <w:r>
        <w:rPr>
          <w:rFonts w:hint="eastAsia"/>
        </w:rPr>
        <w:t>、互联网数据收集任务应按照数据源更新频率和业务时次自动执行。对于实时或高频更新的数据，在数据源正常发布、网络环境正常的情况下，原则上应在数据发布后</w:t>
      </w:r>
      <w:r>
        <w:rPr>
          <w:rFonts w:hint="eastAsia"/>
        </w:rPr>
        <w:t>5</w:t>
      </w:r>
      <w:r>
        <w:rPr>
          <w:rFonts w:hint="eastAsia"/>
        </w:rPr>
        <w:t>分钟内发现并启动收集任务；对于日、周、月等周期性数据，应按照配置时间自动执行，任务调度延迟原则上不超过</w:t>
      </w:r>
      <w:r>
        <w:rPr>
          <w:rFonts w:hint="eastAsia"/>
        </w:rPr>
        <w:t>5</w:t>
      </w:r>
      <w:r>
        <w:rPr>
          <w:rFonts w:hint="eastAsia"/>
        </w:rPr>
        <w:t>分钟。</w:t>
      </w:r>
    </w:p>
    <w:p w:rsidR="0039352C">
      <w:pPr>
        <w:ind w:firstLine="480"/>
      </w:pPr>
      <w:r>
        <w:rPr>
          <w:rFonts w:hint="eastAsia"/>
        </w:rPr>
        <w:t>2</w:t>
      </w:r>
      <w:r>
        <w:rPr>
          <w:rFonts w:hint="eastAsia"/>
        </w:rPr>
        <w:t>、数据到报监视、传输状态监视和</w:t>
      </w:r>
      <w:r>
        <w:rPr>
          <w:rFonts w:hint="eastAsia"/>
        </w:rPr>
        <w:t>AFD</w:t>
      </w:r>
      <w:r>
        <w:rPr>
          <w:rFonts w:hint="eastAsia"/>
        </w:rPr>
        <w:t>运行状态监视应按设定周期自动更新，检测周期原则上不超过</w:t>
      </w:r>
      <w:r>
        <w:rPr>
          <w:rFonts w:hint="eastAsia"/>
        </w:rPr>
        <w:t>5</w:t>
      </w:r>
      <w:r>
        <w:rPr>
          <w:rFonts w:hint="eastAsia"/>
        </w:rPr>
        <w:t>分钟，监视页面状态刷新时间原则上不超过</w:t>
      </w:r>
      <w:r>
        <w:rPr>
          <w:rFonts w:hint="eastAsia"/>
        </w:rPr>
        <w:t>1</w:t>
      </w:r>
      <w:r>
        <w:rPr>
          <w:rFonts w:hint="eastAsia"/>
        </w:rPr>
        <w:t>分钟。监视页面应及时反映数据应到、实到、迟到、缺失及任务运行状态。</w:t>
      </w:r>
    </w:p>
    <w:p w:rsidR="0039352C">
      <w:pPr>
        <w:ind w:firstLine="480"/>
      </w:pPr>
      <w:r>
        <w:rPr>
          <w:rFonts w:hint="eastAsia"/>
        </w:rPr>
        <w:t>3</w:t>
      </w:r>
      <w:r>
        <w:rPr>
          <w:rFonts w:hint="eastAsia"/>
        </w:rPr>
        <w:t>、当发生数据源无法访问、文件持续未到、任务执行失败、传输中断或核心进程异常等情况时，系统应及时识别并生成异常记录，原则上异常识别和记录时间不超过</w:t>
      </w:r>
      <w:r>
        <w:rPr>
          <w:rFonts w:hint="eastAsia"/>
        </w:rPr>
        <w:t>10</w:t>
      </w:r>
      <w:r>
        <w:rPr>
          <w:rFonts w:hint="eastAsia"/>
        </w:rPr>
        <w:t>分钟；达到告警条件后，原则上应在</w:t>
      </w:r>
      <w:r>
        <w:rPr>
          <w:rFonts w:hint="eastAsia"/>
        </w:rPr>
        <w:t>5</w:t>
      </w:r>
      <w:r>
        <w:rPr>
          <w:rFonts w:hint="eastAsia"/>
        </w:rPr>
        <w:t>分钟内完成页面告警展示，并按照配置规则向相关运行人员推送告警信息。</w:t>
      </w:r>
    </w:p>
    <w:p w:rsidR="0039352C">
      <w:pPr>
        <w:ind w:firstLine="480"/>
      </w:pPr>
      <w:r>
        <w:rPr>
          <w:rFonts w:hint="eastAsia"/>
        </w:rPr>
        <w:t>4</w:t>
      </w:r>
      <w:r>
        <w:rPr>
          <w:rFonts w:hint="eastAsia"/>
        </w:rPr>
        <w:t>、应收尽收评估、</w:t>
      </w:r>
      <w:r>
        <w:rPr>
          <w:rFonts w:hint="eastAsia"/>
        </w:rPr>
        <w:t>WIS2.0</w:t>
      </w:r>
      <w:r>
        <w:rPr>
          <w:rFonts w:hint="eastAsia"/>
        </w:rPr>
        <w:t>与</w:t>
      </w:r>
      <w:r>
        <w:rPr>
          <w:rFonts w:hint="eastAsia"/>
        </w:rPr>
        <w:t>GTS</w:t>
      </w:r>
      <w:r>
        <w:rPr>
          <w:rFonts w:hint="eastAsia"/>
        </w:rPr>
        <w:t>对比评估、飞机观测</w:t>
      </w:r>
      <w:r>
        <w:rPr>
          <w:rFonts w:hint="eastAsia"/>
        </w:rPr>
        <w:t>数据及颠簸数据评估等周期性任务，应按照日、周、月或业务规定周期自动执行。评估任务完成后，原则上应在</w:t>
      </w:r>
      <w:r>
        <w:rPr>
          <w:rFonts w:hint="eastAsia"/>
        </w:rPr>
        <w:t>5</w:t>
      </w:r>
      <w:r>
        <w:rPr>
          <w:rFonts w:hint="eastAsia"/>
        </w:rPr>
        <w:t>分钟内完成评估结果、统计图表和相关查询页面的更新。</w:t>
      </w:r>
    </w:p>
    <w:p w:rsidR="0039352C">
      <w:pPr>
        <w:ind w:firstLine="480"/>
      </w:pPr>
      <w:r>
        <w:rPr>
          <w:rFonts w:hint="eastAsia"/>
        </w:rPr>
        <w:t>5</w:t>
      </w:r>
      <w:r>
        <w:rPr>
          <w:rFonts w:hint="eastAsia"/>
        </w:rPr>
        <w:t>、评估报告、统计报表和资源普查结果应按照规定周期生成。常规统计报表和评估报告原则上应在任务启动后</w:t>
      </w:r>
      <w:r>
        <w:rPr>
          <w:rFonts w:hint="eastAsia"/>
        </w:rPr>
        <w:t>5</w:t>
      </w:r>
      <w:r>
        <w:rPr>
          <w:rFonts w:hint="eastAsia"/>
        </w:rPr>
        <w:t>分钟内完成生成；对于数据量较大或计算过程复杂的任务，应展示处理进度和任务状态。报告中应明确记录数据范围、统计截止时间、任务完成时间和报告生成时间，确保成果发布时效和统计口径可核查。</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r>
        <w:rPr>
          <w:rFonts w:hint="eastAsia"/>
        </w:rPr>
        <w:t>稳定性</w:t>
      </w:r>
      <w:bookmarkEnd w:id="85"/>
    </w:p>
    <w:p w:rsidR="0039352C">
      <w:pPr>
        <w:ind w:firstLine="480"/>
      </w:pPr>
      <w:r>
        <w:rPr>
          <w:rFonts w:hint="eastAsia"/>
        </w:rPr>
        <w:t>本项目建设内容涉及互联网数据持续收集、数据到报监视、异常管理、传输状态</w:t>
      </w:r>
      <w:r>
        <w:rPr>
          <w:rFonts w:hint="eastAsia"/>
        </w:rPr>
        <w:t>监控、数据质量评估、统计分析、评估报告生成及成果发布等业务，应满足长期、连续、稳定运行要求。系统在数据源接入、任务调度、文件传输、数据处理、质量评估和接口</w:t>
      </w:r>
      <w:r>
        <w:rPr>
          <w:rFonts w:hint="eastAsia"/>
        </w:rPr>
        <w:t>交互等</w:t>
      </w:r>
      <w:r>
        <w:rPr>
          <w:rFonts w:hint="eastAsia"/>
        </w:rPr>
        <w:t>环节，应具备运行监测、异常识别、失败重试、故障告警和恢复处理能力，保障数据收集和质量评估业务连续运行。</w:t>
      </w:r>
    </w:p>
    <w:p w:rsidR="0039352C">
      <w:pPr>
        <w:ind w:firstLine="480"/>
      </w:pPr>
      <w:r>
        <w:rPr>
          <w:rFonts w:hint="eastAsia"/>
        </w:rPr>
        <w:t>1</w:t>
      </w:r>
      <w:r>
        <w:rPr>
          <w:rFonts w:hint="eastAsia"/>
        </w:rPr>
        <w:t>、系统应具备</w:t>
      </w:r>
      <w:r>
        <w:rPr>
          <w:rFonts w:hint="eastAsia"/>
        </w:rPr>
        <w:t>7</w:t>
      </w:r>
      <w:r>
        <w:rPr>
          <w:rFonts w:hint="eastAsia"/>
        </w:rPr>
        <w:t>×</w:t>
      </w:r>
      <w:r>
        <w:rPr>
          <w:rFonts w:hint="eastAsia"/>
        </w:rPr>
        <w:t>24</w:t>
      </w:r>
      <w:r>
        <w:rPr>
          <w:rFonts w:hint="eastAsia"/>
        </w:rPr>
        <w:t>小时连续运行能力。数据收集任务、到报监视任务、质量评估任务及统计分析任务应支持定时调度和持续运行，关键服务、任务进程和接口应具备运行状态监测、日志记录及异常告警能力。</w:t>
      </w:r>
    </w:p>
    <w:p w:rsidR="0039352C">
      <w:pPr>
        <w:ind w:firstLine="480"/>
      </w:pPr>
      <w:r>
        <w:rPr>
          <w:rFonts w:hint="eastAsia"/>
        </w:rPr>
        <w:t>2</w:t>
      </w:r>
      <w:r>
        <w:rPr>
          <w:rFonts w:hint="eastAsia"/>
        </w:rPr>
        <w:t>、系统应具备任务异常处理和恢复能力。对数据源无法访问、网</w:t>
      </w:r>
      <w:r>
        <w:rPr>
          <w:rFonts w:hint="eastAsia"/>
        </w:rPr>
        <w:t>络连接中断、身份认证失败、文件下载失败、接口调用异常、任务执行超时及数据处理失败等情况，应能够记录异常原因，并按照配置执行自动重试、断点续传、</w:t>
      </w:r>
      <w:r>
        <w:rPr>
          <w:rFonts w:hint="eastAsia"/>
        </w:rPr>
        <w:t>任务补采或</w:t>
      </w:r>
      <w:r>
        <w:rPr>
          <w:rFonts w:hint="eastAsia"/>
        </w:rPr>
        <w:t>人工重新执行。</w:t>
      </w:r>
    </w:p>
    <w:p w:rsidR="0039352C">
      <w:pPr>
        <w:ind w:firstLine="480"/>
      </w:pPr>
      <w:r>
        <w:rPr>
          <w:rFonts w:hint="eastAsia"/>
        </w:rPr>
        <w:t>3</w:t>
      </w:r>
      <w:r>
        <w:rPr>
          <w:rFonts w:hint="eastAsia"/>
        </w:rPr>
        <w:t>、重点数据资源收集应具备主</w:t>
      </w:r>
      <w:r>
        <w:rPr>
          <w:rFonts w:hint="eastAsia"/>
        </w:rPr>
        <w:t>备保障</w:t>
      </w:r>
      <w:r>
        <w:rPr>
          <w:rFonts w:hint="eastAsia"/>
        </w:rPr>
        <w:t>能力。当主数据源</w:t>
      </w:r>
      <w:r>
        <w:rPr>
          <w:rFonts w:hint="eastAsia"/>
        </w:rPr>
        <w:t>不</w:t>
      </w:r>
      <w:r>
        <w:rPr>
          <w:rFonts w:hint="eastAsia"/>
        </w:rPr>
        <w:t>可用、持续未更</w:t>
      </w:r>
      <w:r>
        <w:rPr>
          <w:rFonts w:hint="eastAsia"/>
        </w:rPr>
        <w:t>新或数据到报异常时，应支持自动或手动切换至备用数据源继续执行收集任务；主数据源恢复后，应支持</w:t>
      </w:r>
      <w:r>
        <w:rPr>
          <w:rFonts w:hint="eastAsia"/>
        </w:rPr>
        <w:t>回切及</w:t>
      </w:r>
      <w:r>
        <w:rPr>
          <w:rFonts w:hint="eastAsia"/>
        </w:rPr>
        <w:t>缺失数据补采，保障重点数据收集的连续性和完整性。</w:t>
      </w:r>
    </w:p>
    <w:p w:rsidR="0039352C">
      <w:pPr>
        <w:ind w:firstLine="480"/>
      </w:pPr>
      <w:r>
        <w:rPr>
          <w:rFonts w:hint="eastAsia"/>
        </w:rPr>
        <w:t>4</w:t>
      </w:r>
      <w:r>
        <w:rPr>
          <w:rFonts w:hint="eastAsia"/>
        </w:rPr>
        <w:t>、系统应具备数据完整性保护能力。数据收集和质量评估过程中，应对缺失文件、重复文件、空文件、文件损坏、数据量异常及处理结果异常等情况进行识别，避免异常数据进入后续处理流程，并支持对缺失或失败数据重新处理。</w:t>
      </w:r>
    </w:p>
    <w:p w:rsidR="0039352C">
      <w:pPr>
        <w:ind w:firstLine="480"/>
      </w:pPr>
      <w:r>
        <w:rPr>
          <w:rFonts w:hint="eastAsia"/>
        </w:rPr>
        <w:t>5</w:t>
      </w:r>
      <w:r>
        <w:rPr>
          <w:rFonts w:hint="eastAsia"/>
        </w:rPr>
        <w:t>、系统发生故障后，应能够通过运行日志、任务记录、异常信息和状态监视结果快速定位问题。在基础软硬件环境正常的情况下，一般应用故障原则上应在</w:t>
      </w:r>
      <w:r>
        <w:rPr>
          <w:rFonts w:hint="eastAsia"/>
        </w:rPr>
        <w:t>1</w:t>
      </w:r>
      <w:r>
        <w:rPr>
          <w:rFonts w:hint="eastAsia"/>
        </w:rPr>
        <w:t>小时内恢复核心数据收集、运行监视和质量评估功能。</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86" w:name="_Toc235096473"/>
      <w:r>
        <w:rPr>
          <w:rFonts w:hint="eastAsia"/>
        </w:rPr>
        <w:t>安全性</w:t>
      </w:r>
      <w:bookmarkEnd w:id="86"/>
    </w:p>
    <w:p w:rsidR="0039352C">
      <w:pPr>
        <w:ind w:firstLine="480"/>
      </w:pPr>
      <w:r>
        <w:rPr>
          <w:rFonts w:hint="eastAsia"/>
        </w:rPr>
        <w:t>本项目涉及互联网数据源接入、数据收集任务配置、观测数据质量评估、元数据信息获取、评估结果发布及行业数据资源普</w:t>
      </w:r>
      <w:r>
        <w:rPr>
          <w:rFonts w:hint="eastAsia"/>
        </w:rPr>
        <w:t>查等业务，应按照网络安全、数据安全和系统安全相关要求开展设计和建设。系统应从用户认证、权限管理、数据源凭据保护、接口访问控制、传输安全、操作审计和</w:t>
      </w:r>
      <w:r>
        <w:rPr>
          <w:rFonts w:hint="eastAsia"/>
        </w:rPr>
        <w:t>安全运</w:t>
      </w:r>
      <w:r>
        <w:rPr>
          <w:rFonts w:hint="eastAsia"/>
        </w:rPr>
        <w:t>维等方面建立安全保障机制，确保业务系统、数据资源及评估成果安全可控。</w:t>
      </w:r>
    </w:p>
    <w:p w:rsidR="0039352C">
      <w:pPr>
        <w:ind w:firstLine="480"/>
      </w:pPr>
      <w:r>
        <w:rPr>
          <w:rFonts w:hint="eastAsia"/>
        </w:rPr>
        <w:t>1</w:t>
      </w:r>
      <w:r>
        <w:rPr>
          <w:rFonts w:hint="eastAsia"/>
        </w:rPr>
        <w:t>、系统应建立统一的身份认证和权限管理机制。系统用户应通过统一认证方式登录，并按照系统管理员、业务管理人员、运行维护人员、数据收集人员、质量评估人员及普通查询用户等角色配置相应权限，对数据源配置、收集任务维护、异常处置、评估规则调整、报告发布和系统管理等操作实施分级授权，防止越权访问和未授</w:t>
      </w:r>
      <w:r>
        <w:rPr>
          <w:rFonts w:hint="eastAsia"/>
        </w:rPr>
        <w:t>权操作。</w:t>
      </w:r>
    </w:p>
    <w:p w:rsidR="0039352C">
      <w:pPr>
        <w:ind w:firstLine="480"/>
      </w:pPr>
      <w:r>
        <w:rPr>
          <w:rFonts w:hint="eastAsia"/>
        </w:rPr>
        <w:t>2</w:t>
      </w:r>
      <w:r>
        <w:rPr>
          <w:rFonts w:hint="eastAsia"/>
        </w:rPr>
        <w:t>、系统应加强互联网数据源账号、</w:t>
      </w:r>
      <w:r>
        <w:rPr>
          <w:rFonts w:hint="eastAsia"/>
        </w:rPr>
        <w:t>API</w:t>
      </w:r>
      <w:r>
        <w:rPr>
          <w:rFonts w:hint="eastAsia"/>
        </w:rPr>
        <w:t>密钥和接口凭据的安全管理。</w:t>
      </w:r>
      <w:r>
        <w:rPr>
          <w:rFonts w:hint="eastAsia"/>
        </w:rPr>
        <w:t>FTP</w:t>
      </w:r>
      <w:r>
        <w:rPr>
          <w:rFonts w:hint="eastAsia"/>
        </w:rPr>
        <w:t>、</w:t>
      </w:r>
      <w:r>
        <w:rPr>
          <w:rFonts w:hint="eastAsia"/>
        </w:rPr>
        <w:t>SFTP</w:t>
      </w:r>
      <w:r>
        <w:rPr>
          <w:rFonts w:hint="eastAsia"/>
        </w:rPr>
        <w:t>、</w:t>
      </w:r>
      <w:r>
        <w:rPr>
          <w:rFonts w:hint="eastAsia"/>
        </w:rPr>
        <w:t>HTTP</w:t>
      </w:r>
      <w:r>
        <w:rPr>
          <w:rFonts w:hint="eastAsia"/>
        </w:rPr>
        <w:t>、</w:t>
      </w:r>
      <w:r>
        <w:rPr>
          <w:rFonts w:hint="eastAsia"/>
        </w:rPr>
        <w:t>HTTPS</w:t>
      </w:r>
      <w:r>
        <w:rPr>
          <w:rFonts w:hint="eastAsia"/>
        </w:rPr>
        <w:t>及</w:t>
      </w:r>
      <w:r>
        <w:rPr>
          <w:rFonts w:hint="eastAsia"/>
        </w:rPr>
        <w:t>API</w:t>
      </w:r>
      <w:r>
        <w:rPr>
          <w:rFonts w:hint="eastAsia"/>
        </w:rPr>
        <w:t>等数据源所使用的用户名、密码、令牌和密钥等敏感信息不得以明文方式在前端页面、配置文件及日志中展示，应进行加密存储或脱敏处理，并严格限制查看和修改权限。</w:t>
      </w:r>
    </w:p>
    <w:p w:rsidR="0039352C">
      <w:pPr>
        <w:ind w:firstLine="480"/>
      </w:pPr>
      <w:r>
        <w:rPr>
          <w:rFonts w:hint="eastAsia"/>
        </w:rPr>
        <w:t>2</w:t>
      </w:r>
      <w:r>
        <w:rPr>
          <w:rFonts w:hint="eastAsia"/>
        </w:rPr>
        <w:t>、系统应加强接口调用安全控制。与</w:t>
      </w:r>
      <w:r>
        <w:rPr>
          <w:rFonts w:hint="eastAsia"/>
        </w:rPr>
        <w:t>ERA5</w:t>
      </w:r>
      <w:r>
        <w:rPr>
          <w:rFonts w:hint="eastAsia"/>
        </w:rPr>
        <w:t>、天元、天擎、天</w:t>
      </w:r>
      <w:r>
        <w:rPr>
          <w:rFonts w:hint="eastAsia"/>
        </w:rPr>
        <w:t>衡天衍及其</w:t>
      </w:r>
      <w:r>
        <w:rPr>
          <w:rFonts w:hint="eastAsia"/>
        </w:rPr>
        <w:t>他外部系统进行接口交互时，应具备身份鉴权、请求参数校验、访问来源限</w:t>
      </w:r>
      <w:r>
        <w:rPr>
          <w:rFonts w:hint="eastAsia"/>
        </w:rPr>
        <w:t>制、调用超时控制、异常请求处理和调用日志记录能力，防止非法调用、参数注入、重复提交及异常请求影响系统运行。</w:t>
      </w:r>
    </w:p>
    <w:p w:rsidR="0039352C">
      <w:pPr>
        <w:ind w:firstLine="480"/>
      </w:pPr>
      <w:r>
        <w:rPr>
          <w:rFonts w:hint="eastAsia"/>
        </w:rPr>
        <w:t>3</w:t>
      </w:r>
      <w:r>
        <w:rPr>
          <w:rFonts w:hint="eastAsia"/>
        </w:rPr>
        <w:t>、系统部署和运行过程中，应及时开展应用软件、数据库、中间件及底层支撑软件的安全升级和补丁维护。系统上线前应开展必要的安全测试和漏洞检查，对发现的安全风险及时整改，避免使用弱口令、默认账号和不必要的开放端口。</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87" w:name="_Toc235096475"/>
      <w:r>
        <w:rPr>
          <w:rFonts w:hint="eastAsia"/>
        </w:rPr>
        <w:t>易用性</w:t>
      </w:r>
      <w:bookmarkEnd w:id="87"/>
    </w:p>
    <w:p w:rsidR="0039352C">
      <w:pPr>
        <w:ind w:firstLine="480"/>
      </w:pPr>
      <w:r>
        <w:rPr>
          <w:rFonts w:hint="eastAsia"/>
        </w:rPr>
        <w:t>系统应面向数据收集业务人员、质量评估人员、运行维护人员、行业数据普查人员及成果查询用户提供清晰、直观、便捷的操作方式。系统应结合互联网数据收集、运行监视、异常处置、质量评估、统计分析和报告发布等实际业务流程，统一界面风格和操作规范，减少重复操作和人工干预，提升业务处理效率。</w:t>
      </w:r>
    </w:p>
    <w:p w:rsidR="0039352C">
      <w:pPr>
        <w:ind w:firstLine="480"/>
      </w:pPr>
      <w:r>
        <w:rPr>
          <w:rFonts w:hint="eastAsia"/>
        </w:rPr>
        <w:t>1</w:t>
      </w:r>
      <w:r>
        <w:rPr>
          <w:rFonts w:hint="eastAsia"/>
        </w:rPr>
        <w:t>、系统界面应布</w:t>
      </w:r>
      <w:r>
        <w:rPr>
          <w:rFonts w:hint="eastAsia"/>
        </w:rPr>
        <w:t>局清晰、功能入口明确，菜单名称、字段名称、状态标识和提示信息应符合气象数据收集与质量评估业务习惯。同类功能的查询条件、操作按钮、页面布局和结果展示方式应保持一致。</w:t>
      </w:r>
    </w:p>
    <w:p w:rsidR="0039352C">
      <w:pPr>
        <w:ind w:firstLine="480"/>
      </w:pPr>
      <w:r>
        <w:rPr>
          <w:rFonts w:hint="eastAsia"/>
        </w:rPr>
        <w:t>2</w:t>
      </w:r>
      <w:r>
        <w:rPr>
          <w:rFonts w:hint="eastAsia"/>
        </w:rPr>
        <w:t>、系统应支持按照数据源、数据类型、数据产品、圈层、日期、时次、任务状态、异常类型和评估类型等常用条件进行组合查询，并提供默认条件、常用条件记忆、条件重置和模糊检索等功能，降低数据查询和业务操作难度。</w:t>
      </w:r>
    </w:p>
    <w:p w:rsidR="0039352C">
      <w:pPr>
        <w:ind w:firstLine="480"/>
      </w:pPr>
      <w:r>
        <w:rPr>
          <w:rFonts w:hint="eastAsia"/>
        </w:rPr>
        <w:t>3</w:t>
      </w:r>
      <w:r>
        <w:rPr>
          <w:rFonts w:hint="eastAsia"/>
        </w:rPr>
        <w:t>、数据收集任务、</w:t>
      </w:r>
      <w:r>
        <w:rPr>
          <w:rFonts w:hint="eastAsia"/>
        </w:rPr>
        <w:t>ERA5</w:t>
      </w:r>
      <w:r>
        <w:rPr>
          <w:rFonts w:hint="eastAsia"/>
        </w:rPr>
        <w:t>收集任务、质量评估任务和统计报表任务的配置过程应提供明确的字段说明、参数校验和错误提示。</w:t>
      </w:r>
      <w:r>
        <w:rPr>
          <w:rFonts w:hint="eastAsia"/>
        </w:rPr>
        <w:t>对于必填项</w:t>
      </w:r>
      <w:r>
        <w:rPr>
          <w:rFonts w:hint="eastAsia"/>
        </w:rPr>
        <w:t>缺失、参数格式错误、时</w:t>
      </w:r>
      <w:r>
        <w:rPr>
          <w:rFonts w:hint="eastAsia"/>
        </w:rPr>
        <w:t>间范围冲突及任务规则配置异常等情况，应准确提示问题原因和修改方式。</w:t>
      </w:r>
    </w:p>
    <w:p w:rsidR="0039352C">
      <w:pPr>
        <w:ind w:firstLine="480"/>
      </w:pPr>
      <w:r>
        <w:rPr>
          <w:rFonts w:hint="eastAsia"/>
        </w:rPr>
        <w:t>4</w:t>
      </w:r>
      <w:r>
        <w:rPr>
          <w:rFonts w:hint="eastAsia"/>
        </w:rPr>
        <w:t>、系统应通过列表、统计表、趋势图、空间分布图、时间序列图和状态标识等形式，直观展示数据到报、任务执行、传输状态、异常信息、收集时效和质量评估结果。对于正常、迟到、缺失、异常、处理中和已恢复等不同状态，应采用统一且易识别的展示方式。</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88" w:name="_Toc235096476"/>
      <w:r>
        <w:rPr>
          <w:rFonts w:hint="eastAsia"/>
        </w:rPr>
        <w:t>可维护性</w:t>
      </w:r>
      <w:bookmarkEnd w:id="88"/>
    </w:p>
    <w:p w:rsidR="0039352C">
      <w:pPr>
        <w:ind w:firstLine="0" w:firstLineChars="0"/>
      </w:pPr>
      <w:r>
        <w:tab/>
      </w:r>
      <w:r>
        <w:rPr>
          <w:rFonts w:hint="eastAsia"/>
        </w:rPr>
        <w:t>系统应具备良好的运行维护和持续升级能力，能够支撑互联网数据源调整、收集任务变更、质量评估规则优化、统计口径调整及外部接口变化等业务需求。系统设计应保持模块边界清晰、配置集中管理、日志记录完整，便于运行人员开展状态检查、问题定位、参数调整和版本升级。</w:t>
      </w:r>
    </w:p>
    <w:p w:rsidR="0039352C">
      <w:pPr>
        <w:ind w:firstLine="0" w:firstLineChars="0"/>
      </w:pPr>
      <w:r>
        <w:tab/>
      </w:r>
      <w:r>
        <w:rPr>
          <w:rFonts w:hint="eastAsia"/>
        </w:rPr>
        <w:t>1</w:t>
      </w:r>
      <w:r>
        <w:rPr>
          <w:rFonts w:hint="eastAsia"/>
        </w:rPr>
        <w:t>、系统应建立统一的日志记录机制，对数据源访问、任务调度、文件传输、数据完整性检查、质量评估、接口调用、报告生成及成果发布等关键环节记录运行日志。发生异常时，应记录异常时间、关联任务、异常环节、错误内容、处理结果等信息，满足故障定位和问题追溯要求。</w:t>
      </w:r>
    </w:p>
    <w:p w:rsidR="0039352C">
      <w:pPr>
        <w:ind w:firstLine="0" w:firstLineChars="0"/>
      </w:pPr>
      <w:r>
        <w:tab/>
      </w:r>
      <w:r>
        <w:rPr>
          <w:rFonts w:hint="eastAsia"/>
        </w:rPr>
        <w:t>2</w:t>
      </w:r>
      <w:r>
        <w:rPr>
          <w:rFonts w:hint="eastAsia"/>
        </w:rPr>
        <w:t>、系统</w:t>
      </w:r>
      <w:r>
        <w:rPr>
          <w:rFonts w:hint="eastAsia"/>
        </w:rPr>
        <w:t>应按照数据收集、运行监视、异常管理、质量评估、统计分析和成果发布等业务划分功能模块。各模块之间应通过规范的接口和数据格式进行交互，避免单个模块调整影响其他业务功能。</w:t>
      </w:r>
    </w:p>
    <w:p w:rsidR="0039352C">
      <w:pPr>
        <w:ind w:firstLine="0" w:firstLineChars="0"/>
      </w:pPr>
      <w:r>
        <w:tab/>
      </w:r>
      <w:r>
        <w:rPr>
          <w:rFonts w:hint="eastAsia"/>
        </w:rPr>
        <w:t>3</w:t>
      </w:r>
      <w:r>
        <w:rPr>
          <w:rFonts w:hint="eastAsia"/>
        </w:rPr>
        <w:t>、系统版本升级、配置变更和补丁安装前，应进行必要的备份和测试验证。升级后应对数据收集、质量评估、统计查询和成果发布等主要功能进行验证，并具备必要的版本回退能力。</w:t>
      </w:r>
    </w:p>
    <w:p w:rsidR="0039352C">
      <w:pPr>
        <w:ind w:firstLine="0" w:firstLineChars="0"/>
      </w:pPr>
      <w:r>
        <w:tab/>
      </w:r>
      <w:r>
        <w:rPr>
          <w:rFonts w:hint="eastAsia"/>
        </w:rPr>
        <w:t>4</w:t>
      </w:r>
      <w:r>
        <w:rPr>
          <w:rFonts w:hint="eastAsia"/>
        </w:rPr>
        <w:t>、系统应提供系统配置说明、接口说明、运行维护手册、故障处理说明和版本变更记录，支撑运</w:t>
      </w:r>
      <w:r>
        <w:rPr>
          <w:rFonts w:hint="eastAsia"/>
        </w:rPr>
        <w:t>维人员</w:t>
      </w:r>
      <w:r>
        <w:rPr>
          <w:rFonts w:hint="eastAsia"/>
        </w:rPr>
        <w:t>开展日常维护、异常处置和系统升级。</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89" w:name="_Toc235096477"/>
      <w:r>
        <w:rPr>
          <w:rFonts w:hint="eastAsia"/>
        </w:rPr>
        <w:t>可扩展性</w:t>
      </w:r>
      <w:bookmarkEnd w:id="89"/>
    </w:p>
    <w:p w:rsidR="0039352C">
      <w:pPr>
        <w:ind w:firstLine="480"/>
      </w:pPr>
      <w:r>
        <w:rPr>
          <w:rFonts w:hint="eastAsia"/>
        </w:rPr>
        <w:t>系统应满足后续新增互联网数据源、新型观测</w:t>
      </w:r>
      <w:r>
        <w:rPr>
          <w:rFonts w:hint="eastAsia"/>
        </w:rPr>
        <w:t>资料、质量评估对象、统计指标和成果发布方式等业务扩展需求。系统设计应采用模块化、参数化和接口化方式，为数据资源持续增长和业务规则持续调整预留扩展能力。</w:t>
      </w:r>
    </w:p>
    <w:p w:rsidR="0039352C">
      <w:pPr>
        <w:ind w:firstLine="480"/>
      </w:pPr>
      <w:r>
        <w:rPr>
          <w:rFonts w:hint="eastAsia"/>
        </w:rPr>
        <w:t>1</w:t>
      </w:r>
      <w:r>
        <w:rPr>
          <w:rFonts w:hint="eastAsia"/>
        </w:rPr>
        <w:t>、互联网数据收集系统应支持新增数据源、数据产品、所属圈层、访问协议、目录结构、文件命名规则和收集周期。对于采用现有访问方式和处理规则的数据源，应能够主要通过配置完成接入。</w:t>
      </w:r>
    </w:p>
    <w:p w:rsidR="0039352C">
      <w:pPr>
        <w:ind w:firstLine="480"/>
      </w:pPr>
      <w:r>
        <w:rPr>
          <w:rFonts w:hint="eastAsia"/>
        </w:rPr>
        <w:t>2</w:t>
      </w:r>
      <w:r>
        <w:rPr>
          <w:rFonts w:hint="eastAsia"/>
        </w:rPr>
        <w:t>、质量评估系统应支持新增观测资料类型、站点类型、设备类型、观测要素和评估指标，并能够根据业务需要扩展应收尽收、及时性、完整性、一致性</w:t>
      </w:r>
      <w:r>
        <w:rPr>
          <w:rFonts w:hint="eastAsia"/>
        </w:rPr>
        <w:t>和数据质量等评估规则。</w:t>
      </w:r>
    </w:p>
    <w:p w:rsidR="0039352C">
      <w:pPr>
        <w:ind w:firstLine="480"/>
      </w:pPr>
      <w:r>
        <w:rPr>
          <w:rFonts w:hint="eastAsia"/>
        </w:rPr>
        <w:t>3</w:t>
      </w:r>
      <w:r>
        <w:rPr>
          <w:rFonts w:hint="eastAsia"/>
        </w:rPr>
        <w:t>、系统应支持与其他业务系统</w:t>
      </w:r>
      <w:r>
        <w:rPr>
          <w:rFonts w:hint="eastAsia"/>
        </w:rPr>
        <w:t>进行接口扩展。后续新增外部数据源、元数据平台、监控告警平台及成果发布平台时，应能够按照统一的接口规范增加数据获取、结果推送和状态反馈能力。</w:t>
      </w:r>
    </w:p>
    <w:p w:rsidR="0039352C">
      <w:pPr>
        <w:ind w:firstLine="480"/>
      </w:pPr>
      <w:r>
        <w:rPr>
          <w:rFonts w:hint="eastAsia"/>
        </w:rPr>
        <w:t>4</w:t>
      </w:r>
      <w:r>
        <w:rPr>
          <w:rFonts w:hint="eastAsia"/>
        </w:rPr>
        <w:t>、系统应支持业务处理能力扩展。随着数据源数量、文件数量和评估任务增加，可通过增加任务执行节点、调整并发参数及扩展计算和存储资源提升处理能力。</w:t>
      </w:r>
    </w:p>
    <w:p w:rsidR="0039352C">
      <w:pPr>
        <w:pStyle w:val="Heading1"/>
        <w:keepNext/>
        <w:keepLines/>
        <w:widowControl w:val="0"/>
        <w:numPr>
          <w:numId w:val="4"/>
        </w:numPr>
        <w:tabs>
          <w:tab w:val="left" w:pos="480"/>
        </w:tabs>
        <w:spacing w:before="156" w:beforeLines="50" w:after="156" w:afterLines="50" w:line="360" w:lineRule="auto"/>
        <w:ind w:left="0" w:firstLine="0" w:firstLineChars="0"/>
      </w:pPr>
      <w:bookmarkStart w:id="90" w:name="_Toc235096478"/>
      <w:r>
        <w:rPr>
          <w:rFonts w:hint="eastAsia"/>
        </w:rPr>
        <w:t>项目实施要求</w:t>
      </w:r>
      <w:bookmarkEnd w:id="90"/>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91" w:name="_Toc235096479"/>
      <w:r>
        <w:rPr>
          <w:rFonts w:hint="eastAsia"/>
        </w:rPr>
        <w:t>项目进度要求</w:t>
      </w:r>
      <w:bookmarkEnd w:id="91"/>
    </w:p>
    <w:p w:rsidR="0039352C">
      <w:pPr>
        <w:ind w:firstLine="480"/>
      </w:pPr>
      <w:r>
        <w:t>本项目要求完全按软件工程的方法和过程实施，其研制过程主要包括需求分析、概要设计、详细设计与编码调试、测试与系统集成、试运行、系统验收六个阶段，研制周期为</w:t>
      </w:r>
      <w:r>
        <w:t>12</w:t>
      </w:r>
      <w:r>
        <w:t>个月，下表给出了任务各阶段的进度要求：</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6"/>
        <w:gridCol w:w="1418"/>
        <w:gridCol w:w="5599"/>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696" w:type="dxa"/>
            <w:shd w:val="clear" w:color="auto" w:fill="D0CECE"/>
            <w:vAlign w:val="center"/>
          </w:tcPr>
          <w:p w:rsidR="0039352C">
            <w:pPr>
              <w:pStyle w:val="HXLC-"/>
              <w:jc w:val="center"/>
              <w:rPr>
                <w:b/>
                <w:bCs/>
              </w:rPr>
            </w:pPr>
            <w:r>
              <w:rPr>
                <w:b/>
                <w:bCs/>
              </w:rPr>
              <w:t>软件研发过程</w:t>
            </w:r>
          </w:p>
        </w:tc>
        <w:tc>
          <w:tcPr>
            <w:tcW w:w="1418" w:type="dxa"/>
            <w:shd w:val="clear" w:color="auto" w:fill="D0CECE"/>
            <w:vAlign w:val="center"/>
          </w:tcPr>
          <w:p w:rsidR="0039352C">
            <w:pPr>
              <w:pStyle w:val="HXLC-"/>
              <w:jc w:val="center"/>
              <w:rPr>
                <w:b/>
                <w:bCs/>
              </w:rPr>
            </w:pPr>
            <w:r>
              <w:rPr>
                <w:b/>
                <w:bCs/>
              </w:rPr>
              <w:t>进度要求</w:t>
            </w:r>
          </w:p>
        </w:tc>
        <w:tc>
          <w:tcPr>
            <w:tcW w:w="5599" w:type="dxa"/>
            <w:shd w:val="clear" w:color="auto" w:fill="D0CECE"/>
            <w:vAlign w:val="center"/>
          </w:tcPr>
          <w:p w:rsidR="0039352C">
            <w:pPr>
              <w:pStyle w:val="HXLC-"/>
              <w:jc w:val="center"/>
              <w:rPr>
                <w:b/>
                <w:bCs/>
              </w:rPr>
            </w:pPr>
            <w:r>
              <w:rPr>
                <w:b/>
                <w:bCs/>
              </w:rPr>
              <w:t>基本要求</w:t>
            </w:r>
          </w:p>
        </w:tc>
      </w:tr>
      <w:tr>
        <w:tblPrEx>
          <w:tblW w:w="8713" w:type="dxa"/>
          <w:jc w:val="center"/>
          <w:tblLook w:val="04A0"/>
        </w:tblPrEx>
        <w:trPr>
          <w:jc w:val="center"/>
        </w:trPr>
        <w:tc>
          <w:tcPr>
            <w:tcW w:w="1696" w:type="dxa"/>
            <w:vAlign w:val="center"/>
          </w:tcPr>
          <w:p w:rsidR="0039352C">
            <w:pPr>
              <w:pStyle w:val="HXLC-"/>
            </w:pPr>
            <w:r>
              <w:t>需求分析</w:t>
            </w:r>
          </w:p>
        </w:tc>
        <w:tc>
          <w:tcPr>
            <w:tcW w:w="1418" w:type="dxa"/>
            <w:vAlign w:val="center"/>
          </w:tcPr>
          <w:p w:rsidR="0039352C">
            <w:pPr>
              <w:pStyle w:val="HXLC-"/>
            </w:pPr>
            <w:r>
              <w:rPr>
                <w:rFonts w:hint="eastAsia"/>
              </w:rPr>
              <w:t>2</w:t>
            </w:r>
          </w:p>
        </w:tc>
        <w:tc>
          <w:tcPr>
            <w:tcW w:w="5599" w:type="dxa"/>
            <w:vAlign w:val="center"/>
          </w:tcPr>
          <w:p w:rsidR="0039352C" w:rsidP="007D4B14">
            <w:pPr>
              <w:pStyle w:val="HXLC-"/>
            </w:pPr>
            <w:r>
              <w:rPr>
                <w:rFonts w:hint="eastAsia"/>
              </w:rPr>
              <w:t>完成</w:t>
            </w:r>
            <w:r>
              <w:t>所有软件功能的分析</w:t>
            </w:r>
            <w:r>
              <w:rPr>
                <w:rFonts w:hint="eastAsia"/>
              </w:rPr>
              <w:t>，</w:t>
            </w:r>
            <w:r>
              <w:t>提交软件需求阶段应提交的各类文档，通过</w:t>
            </w:r>
            <w:r>
              <w:rPr>
                <w:rFonts w:hint="eastAsia"/>
              </w:rPr>
              <w:t>甲方组织的评审</w:t>
            </w:r>
          </w:p>
        </w:tc>
      </w:tr>
      <w:tr>
        <w:tblPrEx>
          <w:tblW w:w="8713" w:type="dxa"/>
          <w:jc w:val="center"/>
          <w:tblLook w:val="04A0"/>
        </w:tblPrEx>
        <w:trPr>
          <w:jc w:val="center"/>
        </w:trPr>
        <w:tc>
          <w:tcPr>
            <w:tcW w:w="1696" w:type="dxa"/>
            <w:vAlign w:val="center"/>
          </w:tcPr>
          <w:p w:rsidR="0039352C">
            <w:pPr>
              <w:pStyle w:val="HXLC-"/>
            </w:pPr>
            <w:r>
              <w:t>概要设计</w:t>
            </w:r>
          </w:p>
        </w:tc>
        <w:tc>
          <w:tcPr>
            <w:tcW w:w="1418" w:type="dxa"/>
            <w:vAlign w:val="center"/>
          </w:tcPr>
          <w:p w:rsidR="0039352C">
            <w:pPr>
              <w:pStyle w:val="HXLC-"/>
            </w:pPr>
            <w:r>
              <w:rPr>
                <w:rFonts w:hint="eastAsia"/>
              </w:rPr>
              <w:t>1</w:t>
            </w:r>
          </w:p>
        </w:tc>
        <w:tc>
          <w:tcPr>
            <w:tcW w:w="5599" w:type="dxa"/>
            <w:vAlign w:val="center"/>
          </w:tcPr>
          <w:p w:rsidR="0039352C" w:rsidP="007D4B14">
            <w:pPr>
              <w:pStyle w:val="HXLC-"/>
            </w:pPr>
            <w:r>
              <w:rPr>
                <w:rFonts w:hint="eastAsia"/>
              </w:rPr>
              <w:t>完成</w:t>
            </w:r>
            <w:r>
              <w:t>所有软件功能的</w:t>
            </w:r>
            <w:r>
              <w:rPr>
                <w:rFonts w:hint="eastAsia"/>
              </w:rPr>
              <w:t>设计，</w:t>
            </w:r>
            <w:r>
              <w:t>提交概要设计阶段应提交的各类文档，提供客户端原型设计，通过</w:t>
            </w:r>
            <w:r>
              <w:rPr>
                <w:rFonts w:hint="eastAsia"/>
              </w:rPr>
              <w:t>甲方组织的评审</w:t>
            </w:r>
          </w:p>
        </w:tc>
      </w:tr>
      <w:tr>
        <w:tblPrEx>
          <w:tblW w:w="8713" w:type="dxa"/>
          <w:jc w:val="center"/>
          <w:tblLook w:val="04A0"/>
        </w:tblPrEx>
        <w:trPr>
          <w:jc w:val="center"/>
        </w:trPr>
        <w:tc>
          <w:tcPr>
            <w:tcW w:w="1696" w:type="dxa"/>
            <w:vAlign w:val="center"/>
          </w:tcPr>
          <w:p w:rsidR="0039352C">
            <w:pPr>
              <w:pStyle w:val="HXLC-"/>
            </w:pPr>
            <w:r>
              <w:t>详细设计与编码调试</w:t>
            </w:r>
          </w:p>
        </w:tc>
        <w:tc>
          <w:tcPr>
            <w:tcW w:w="1418" w:type="dxa"/>
            <w:vAlign w:val="center"/>
          </w:tcPr>
          <w:p w:rsidR="0039352C">
            <w:pPr>
              <w:pStyle w:val="HXLC-"/>
            </w:pPr>
            <w:r>
              <w:rPr>
                <w:rFonts w:hint="eastAsia"/>
              </w:rPr>
              <w:t>7.5</w:t>
            </w:r>
          </w:p>
        </w:tc>
        <w:tc>
          <w:tcPr>
            <w:tcW w:w="5599" w:type="dxa"/>
            <w:vAlign w:val="center"/>
          </w:tcPr>
          <w:p w:rsidR="0039352C">
            <w:pPr>
              <w:pStyle w:val="HXLC-"/>
            </w:pPr>
            <w:r>
              <w:t>完成详细设计、程序编码、调试和单元测试</w:t>
            </w:r>
          </w:p>
        </w:tc>
      </w:tr>
      <w:tr>
        <w:tblPrEx>
          <w:tblW w:w="8713" w:type="dxa"/>
          <w:jc w:val="center"/>
          <w:tblLook w:val="04A0"/>
        </w:tblPrEx>
        <w:trPr>
          <w:jc w:val="center"/>
        </w:trPr>
        <w:tc>
          <w:tcPr>
            <w:tcW w:w="1696" w:type="dxa"/>
            <w:vAlign w:val="center"/>
          </w:tcPr>
          <w:p w:rsidR="0039352C">
            <w:pPr>
              <w:pStyle w:val="HXLC-"/>
            </w:pPr>
            <w:r>
              <w:t>系统部署测试与初验</w:t>
            </w:r>
          </w:p>
        </w:tc>
        <w:tc>
          <w:tcPr>
            <w:tcW w:w="1418" w:type="dxa"/>
            <w:vAlign w:val="center"/>
          </w:tcPr>
          <w:p w:rsidR="0039352C">
            <w:pPr>
              <w:pStyle w:val="HXLC-"/>
            </w:pPr>
            <w:r>
              <w:t>0.5</w:t>
            </w:r>
          </w:p>
        </w:tc>
        <w:tc>
          <w:tcPr>
            <w:tcW w:w="5599" w:type="dxa"/>
            <w:vAlign w:val="center"/>
          </w:tcPr>
          <w:p w:rsidR="0039352C">
            <w:pPr>
              <w:pStyle w:val="HXLC-"/>
            </w:pPr>
            <w:r>
              <w:t>完成系统功能确认测试、</w:t>
            </w:r>
            <w:r>
              <w:rPr>
                <w:rFonts w:hint="eastAsia"/>
              </w:rPr>
              <w:t>运行环境配置、</w:t>
            </w:r>
            <w:r>
              <w:t>系统应用集成</w:t>
            </w:r>
            <w:r>
              <w:rPr>
                <w:rFonts w:hint="eastAsia"/>
              </w:rPr>
              <w:t>与部署</w:t>
            </w:r>
          </w:p>
        </w:tc>
      </w:tr>
      <w:tr>
        <w:tblPrEx>
          <w:tblW w:w="8713" w:type="dxa"/>
          <w:jc w:val="center"/>
          <w:tblLook w:val="04A0"/>
        </w:tblPrEx>
        <w:trPr>
          <w:jc w:val="center"/>
        </w:trPr>
        <w:tc>
          <w:tcPr>
            <w:tcW w:w="1696" w:type="dxa"/>
            <w:vAlign w:val="center"/>
          </w:tcPr>
          <w:p w:rsidR="0039352C">
            <w:pPr>
              <w:pStyle w:val="HXLC-"/>
            </w:pPr>
            <w:r>
              <w:rPr>
                <w:rFonts w:hint="eastAsia"/>
              </w:rPr>
              <w:t>试运行</w:t>
            </w:r>
          </w:p>
        </w:tc>
        <w:tc>
          <w:tcPr>
            <w:tcW w:w="1418" w:type="dxa"/>
            <w:vAlign w:val="center"/>
          </w:tcPr>
          <w:p w:rsidR="0039352C">
            <w:pPr>
              <w:pStyle w:val="HXLC-"/>
            </w:pPr>
            <w:r>
              <w:rPr>
                <w:rFonts w:hint="eastAsia"/>
              </w:rPr>
              <w:t>1</w:t>
            </w:r>
          </w:p>
        </w:tc>
        <w:tc>
          <w:tcPr>
            <w:tcW w:w="5599" w:type="dxa"/>
            <w:vAlign w:val="center"/>
          </w:tcPr>
          <w:p w:rsidR="0039352C">
            <w:pPr>
              <w:pStyle w:val="HXLC-"/>
            </w:pPr>
            <w:r>
              <w:rPr>
                <w:rFonts w:hint="eastAsia"/>
              </w:rPr>
              <w:t>完成业务试运行</w:t>
            </w:r>
          </w:p>
        </w:tc>
      </w:tr>
      <w:tr>
        <w:tblPrEx>
          <w:tblW w:w="8713" w:type="dxa"/>
          <w:jc w:val="center"/>
          <w:tblLook w:val="04A0"/>
        </w:tblPrEx>
        <w:trPr>
          <w:jc w:val="center"/>
        </w:trPr>
        <w:tc>
          <w:tcPr>
            <w:tcW w:w="1696" w:type="dxa"/>
            <w:vAlign w:val="center"/>
          </w:tcPr>
          <w:p w:rsidR="0039352C">
            <w:pPr>
              <w:pStyle w:val="HXLC-"/>
            </w:pPr>
            <w:r>
              <w:rPr>
                <w:rFonts w:hint="eastAsia"/>
              </w:rPr>
              <w:t>系统终验</w:t>
            </w:r>
          </w:p>
        </w:tc>
        <w:tc>
          <w:tcPr>
            <w:tcW w:w="1418" w:type="dxa"/>
            <w:vAlign w:val="center"/>
          </w:tcPr>
          <w:p w:rsidR="0039352C">
            <w:pPr>
              <w:pStyle w:val="HXLC-"/>
            </w:pPr>
            <w:r>
              <w:rPr>
                <w:rFonts w:hint="eastAsia"/>
              </w:rPr>
              <w:t>-</w:t>
            </w:r>
          </w:p>
        </w:tc>
        <w:tc>
          <w:tcPr>
            <w:tcW w:w="5599" w:type="dxa"/>
            <w:vAlign w:val="center"/>
          </w:tcPr>
          <w:p w:rsidR="0039352C">
            <w:pPr>
              <w:pStyle w:val="HXLC-"/>
            </w:pPr>
            <w:r>
              <w:t>完成</w:t>
            </w:r>
            <w:r>
              <w:rPr>
                <w:rFonts w:hint="eastAsia"/>
              </w:rPr>
              <w:t>系统最终验收并移交</w:t>
            </w:r>
          </w:p>
        </w:tc>
      </w:tr>
    </w:tbl>
    <w:p w:rsidR="0039352C">
      <w:pPr>
        <w:ind w:firstLine="480"/>
      </w:pP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92" w:name="_Toc235096480"/>
      <w:r>
        <w:rPr>
          <w:rFonts w:hint="eastAsia"/>
        </w:rPr>
        <w:t>软件交付要求</w:t>
      </w:r>
      <w:bookmarkEnd w:id="92"/>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93" w:name="_Toc235096481"/>
      <w:r>
        <w:rPr>
          <w:rFonts w:hint="eastAsia"/>
        </w:rPr>
        <w:t>产品交付物</w:t>
      </w:r>
      <w:bookmarkEnd w:id="93"/>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71"/>
        <w:gridCol w:w="6925"/>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421" w:type="dxa"/>
            <w:shd w:val="pct10" w:color="auto" w:fill="auto"/>
          </w:tcPr>
          <w:p w:rsidR="0039352C">
            <w:pPr>
              <w:pStyle w:val="HXLC-"/>
              <w:jc w:val="center"/>
              <w:rPr>
                <w:b/>
                <w:bCs/>
              </w:rPr>
            </w:pPr>
            <w:r>
              <w:rPr>
                <w:rFonts w:hint="eastAsia"/>
                <w:b/>
                <w:bCs/>
              </w:rPr>
              <w:t>序号</w:t>
            </w:r>
          </w:p>
        </w:tc>
        <w:tc>
          <w:tcPr>
            <w:tcW w:w="7260" w:type="dxa"/>
            <w:shd w:val="pct10" w:color="auto" w:fill="auto"/>
          </w:tcPr>
          <w:p w:rsidR="0039352C">
            <w:pPr>
              <w:pStyle w:val="HXLC-"/>
              <w:jc w:val="center"/>
              <w:rPr>
                <w:b/>
                <w:bCs/>
              </w:rPr>
            </w:pPr>
            <w:r>
              <w:rPr>
                <w:rFonts w:hint="eastAsia"/>
                <w:b/>
                <w:bCs/>
              </w:rPr>
              <w:t>产品名称</w:t>
            </w:r>
          </w:p>
        </w:tc>
      </w:tr>
      <w:tr>
        <w:tblPrEx>
          <w:tblW w:w="0" w:type="auto"/>
          <w:jc w:val="center"/>
          <w:tblLook w:val="04A0"/>
        </w:tblPrEx>
        <w:trPr>
          <w:jc w:val="center"/>
        </w:trPr>
        <w:tc>
          <w:tcPr>
            <w:tcW w:w="1421" w:type="dxa"/>
          </w:tcPr>
          <w:p w:rsidR="0039352C">
            <w:pPr>
              <w:pStyle w:val="HXLC-"/>
            </w:pPr>
            <w:r>
              <w:rPr>
                <w:rFonts w:hint="eastAsia"/>
              </w:rPr>
              <w:t>1</w:t>
            </w:r>
          </w:p>
        </w:tc>
        <w:tc>
          <w:tcPr>
            <w:tcW w:w="7260" w:type="dxa"/>
          </w:tcPr>
          <w:p w:rsidR="0039352C">
            <w:pPr>
              <w:pStyle w:val="HXLC-"/>
            </w:pPr>
            <w:r>
              <w:rPr>
                <w:rFonts w:hint="eastAsia"/>
              </w:rPr>
              <w:t>应用软件安装包</w:t>
            </w:r>
          </w:p>
        </w:tc>
      </w:tr>
      <w:tr>
        <w:tblPrEx>
          <w:tblW w:w="0" w:type="auto"/>
          <w:jc w:val="center"/>
          <w:tblLook w:val="04A0"/>
        </w:tblPrEx>
        <w:trPr>
          <w:jc w:val="center"/>
        </w:trPr>
        <w:tc>
          <w:tcPr>
            <w:tcW w:w="1421" w:type="dxa"/>
          </w:tcPr>
          <w:p w:rsidR="0039352C">
            <w:pPr>
              <w:pStyle w:val="HXLC-"/>
            </w:pPr>
            <w:r>
              <w:rPr>
                <w:rFonts w:hint="eastAsia"/>
              </w:rPr>
              <w:t>2</w:t>
            </w:r>
          </w:p>
        </w:tc>
        <w:tc>
          <w:tcPr>
            <w:tcW w:w="7260" w:type="dxa"/>
          </w:tcPr>
          <w:p w:rsidR="0039352C">
            <w:pPr>
              <w:pStyle w:val="HXLC-"/>
            </w:pPr>
            <w:r>
              <w:rPr>
                <w:rFonts w:hint="eastAsia"/>
              </w:rPr>
              <w:t>源代码、工程文件及程序说明</w:t>
            </w:r>
          </w:p>
        </w:tc>
      </w:tr>
    </w:tbl>
    <w:p w:rsidR="0039352C">
      <w:pPr>
        <w:ind w:firstLine="0" w:firstLineChars="0"/>
      </w:pP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94" w:name="_Toc235096482"/>
      <w:r>
        <w:rPr>
          <w:rFonts w:hint="eastAsia"/>
        </w:rPr>
        <w:t>文档交付物</w:t>
      </w:r>
      <w:bookmarkEnd w:id="94"/>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64"/>
        <w:gridCol w:w="2766"/>
        <w:gridCol w:w="2766"/>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666" w:type="pct"/>
            <w:shd w:val="pct10" w:color="auto" w:fill="auto"/>
            <w:vAlign w:val="center"/>
          </w:tcPr>
          <w:p w:rsidR="0039352C">
            <w:pPr>
              <w:pStyle w:val="HXLC-"/>
              <w:jc w:val="center"/>
              <w:rPr>
                <w:b/>
                <w:bCs/>
              </w:rPr>
            </w:pPr>
            <w:r>
              <w:rPr>
                <w:rFonts w:hint="eastAsia"/>
                <w:b/>
                <w:bCs/>
              </w:rPr>
              <w:t>工作内容</w:t>
            </w:r>
          </w:p>
        </w:tc>
        <w:tc>
          <w:tcPr>
            <w:tcW w:w="1667" w:type="pct"/>
            <w:shd w:val="pct10" w:color="auto" w:fill="auto"/>
            <w:vAlign w:val="center"/>
          </w:tcPr>
          <w:p w:rsidR="0039352C">
            <w:pPr>
              <w:pStyle w:val="HXLC-"/>
              <w:jc w:val="center"/>
              <w:rPr>
                <w:b/>
                <w:bCs/>
              </w:rPr>
            </w:pPr>
            <w:r>
              <w:rPr>
                <w:rFonts w:hint="eastAsia"/>
                <w:b/>
                <w:bCs/>
              </w:rPr>
              <w:t>技术文档</w:t>
            </w:r>
          </w:p>
        </w:tc>
        <w:tc>
          <w:tcPr>
            <w:tcW w:w="1667" w:type="pct"/>
            <w:shd w:val="pct10" w:color="auto" w:fill="auto"/>
            <w:vAlign w:val="center"/>
          </w:tcPr>
          <w:p w:rsidR="0039352C">
            <w:pPr>
              <w:pStyle w:val="HXLC-"/>
              <w:jc w:val="center"/>
              <w:rPr>
                <w:b/>
                <w:bCs/>
              </w:rPr>
            </w:pPr>
            <w:r>
              <w:rPr>
                <w:rFonts w:hint="eastAsia"/>
                <w:b/>
                <w:bCs/>
              </w:rPr>
              <w:t>管理文档</w:t>
            </w:r>
          </w:p>
        </w:tc>
      </w:tr>
      <w:tr>
        <w:tblPrEx>
          <w:tblW w:w="5000" w:type="pct"/>
          <w:jc w:val="center"/>
          <w:tblLook w:val="04A0"/>
        </w:tblPrEx>
        <w:trPr>
          <w:jc w:val="center"/>
        </w:trPr>
        <w:tc>
          <w:tcPr>
            <w:tcW w:w="1666" w:type="pct"/>
            <w:vAlign w:val="center"/>
          </w:tcPr>
          <w:p w:rsidR="0039352C">
            <w:pPr>
              <w:pStyle w:val="HXLC-"/>
            </w:pPr>
            <w:r>
              <w:rPr>
                <w:rFonts w:hint="eastAsia"/>
              </w:rPr>
              <w:t>需求分析</w:t>
            </w:r>
          </w:p>
        </w:tc>
        <w:tc>
          <w:tcPr>
            <w:tcW w:w="1667" w:type="pct"/>
            <w:vAlign w:val="center"/>
          </w:tcPr>
          <w:p w:rsidR="0039352C">
            <w:pPr>
              <w:pStyle w:val="HXLC-"/>
            </w:pPr>
            <w:r>
              <w:rPr>
                <w:rFonts w:hint="eastAsia"/>
              </w:rPr>
              <w:t>需求规格说明书</w:t>
            </w:r>
          </w:p>
        </w:tc>
        <w:tc>
          <w:tcPr>
            <w:tcW w:w="1667" w:type="pct"/>
            <w:vAlign w:val="center"/>
          </w:tcPr>
          <w:p w:rsidR="0039352C">
            <w:pPr>
              <w:pStyle w:val="HXLC-"/>
            </w:pPr>
          </w:p>
        </w:tc>
      </w:tr>
      <w:tr>
        <w:tblPrEx>
          <w:tblW w:w="5000" w:type="pct"/>
          <w:jc w:val="center"/>
          <w:tblLook w:val="04A0"/>
        </w:tblPrEx>
        <w:trPr>
          <w:jc w:val="center"/>
        </w:trPr>
        <w:tc>
          <w:tcPr>
            <w:tcW w:w="1666" w:type="pct"/>
            <w:vAlign w:val="center"/>
          </w:tcPr>
          <w:p w:rsidR="0039352C">
            <w:pPr>
              <w:pStyle w:val="HXLC-"/>
            </w:pPr>
            <w:r>
              <w:rPr>
                <w:rFonts w:hint="eastAsia"/>
              </w:rPr>
              <w:t>设计开发</w:t>
            </w:r>
          </w:p>
        </w:tc>
        <w:tc>
          <w:tcPr>
            <w:tcW w:w="1667" w:type="pct"/>
            <w:vAlign w:val="center"/>
          </w:tcPr>
          <w:p w:rsidR="0039352C">
            <w:pPr>
              <w:pStyle w:val="HXLC-"/>
            </w:pPr>
            <w:r>
              <w:rPr>
                <w:rFonts w:hint="eastAsia"/>
              </w:rPr>
              <w:t>概要设计说明书</w:t>
            </w:r>
          </w:p>
        </w:tc>
        <w:tc>
          <w:tcPr>
            <w:tcW w:w="1667" w:type="pct"/>
            <w:vAlign w:val="center"/>
          </w:tcPr>
          <w:p w:rsidR="0039352C">
            <w:pPr>
              <w:pStyle w:val="HXLC-"/>
            </w:pPr>
          </w:p>
        </w:tc>
      </w:tr>
      <w:tr>
        <w:tblPrEx>
          <w:tblW w:w="5000" w:type="pct"/>
          <w:jc w:val="center"/>
          <w:tblLook w:val="04A0"/>
        </w:tblPrEx>
        <w:trPr>
          <w:jc w:val="center"/>
        </w:trPr>
        <w:tc>
          <w:tcPr>
            <w:tcW w:w="1666" w:type="pct"/>
            <w:vMerge w:val="restart"/>
            <w:vAlign w:val="center"/>
          </w:tcPr>
          <w:p w:rsidR="0039352C">
            <w:pPr>
              <w:pStyle w:val="HXLC-"/>
            </w:pPr>
            <w:r>
              <w:rPr>
                <w:rFonts w:hint="eastAsia"/>
              </w:rPr>
              <w:t>测试部署</w:t>
            </w:r>
          </w:p>
        </w:tc>
        <w:tc>
          <w:tcPr>
            <w:tcW w:w="1667" w:type="pct"/>
            <w:vAlign w:val="center"/>
          </w:tcPr>
          <w:p w:rsidR="0039352C">
            <w:pPr>
              <w:pStyle w:val="HXLC-"/>
            </w:pPr>
            <w:r>
              <w:rPr>
                <w:rFonts w:hint="eastAsia"/>
              </w:rPr>
              <w:t>系统测试方案</w:t>
            </w:r>
          </w:p>
        </w:tc>
        <w:tc>
          <w:tcPr>
            <w:tcW w:w="1667" w:type="pct"/>
            <w:vMerge w:val="restart"/>
            <w:vAlign w:val="center"/>
          </w:tcPr>
          <w:p w:rsidR="0039352C">
            <w:pPr>
              <w:pStyle w:val="HXLC-"/>
            </w:pPr>
          </w:p>
        </w:tc>
      </w:tr>
      <w:tr>
        <w:tblPrEx>
          <w:tblW w:w="5000" w:type="pct"/>
          <w:jc w:val="center"/>
          <w:tblLook w:val="04A0"/>
        </w:tblPrEx>
        <w:trPr>
          <w:jc w:val="center"/>
        </w:trPr>
        <w:tc>
          <w:tcPr>
            <w:tcW w:w="1666" w:type="pct"/>
            <w:vMerge/>
            <w:vAlign w:val="center"/>
          </w:tcPr>
          <w:p w:rsidR="0039352C">
            <w:pPr>
              <w:pStyle w:val="HXLC-"/>
            </w:pPr>
          </w:p>
        </w:tc>
        <w:tc>
          <w:tcPr>
            <w:tcW w:w="1667" w:type="pct"/>
            <w:vAlign w:val="center"/>
          </w:tcPr>
          <w:p w:rsidR="0039352C">
            <w:pPr>
              <w:pStyle w:val="HXLC-"/>
            </w:pPr>
            <w:r>
              <w:rPr>
                <w:rFonts w:hint="eastAsia"/>
              </w:rPr>
              <w:t>系统测试报告</w:t>
            </w:r>
          </w:p>
        </w:tc>
        <w:tc>
          <w:tcPr>
            <w:tcW w:w="1667" w:type="pct"/>
            <w:vMerge/>
            <w:vAlign w:val="center"/>
          </w:tcPr>
          <w:p w:rsidR="0039352C">
            <w:pPr>
              <w:pStyle w:val="HXLC-"/>
            </w:pPr>
          </w:p>
        </w:tc>
      </w:tr>
      <w:tr>
        <w:tblPrEx>
          <w:tblW w:w="5000" w:type="pct"/>
          <w:jc w:val="center"/>
          <w:tblLook w:val="04A0"/>
        </w:tblPrEx>
        <w:trPr>
          <w:jc w:val="center"/>
        </w:trPr>
        <w:tc>
          <w:tcPr>
            <w:tcW w:w="1666" w:type="pct"/>
            <w:vMerge w:val="restart"/>
            <w:vAlign w:val="center"/>
          </w:tcPr>
          <w:p w:rsidR="0039352C">
            <w:pPr>
              <w:pStyle w:val="HXLC-"/>
            </w:pPr>
            <w:r>
              <w:rPr>
                <w:rFonts w:hint="eastAsia"/>
              </w:rPr>
              <w:t>系统初验</w:t>
            </w:r>
          </w:p>
        </w:tc>
        <w:tc>
          <w:tcPr>
            <w:tcW w:w="1667" w:type="pct"/>
            <w:vAlign w:val="center"/>
          </w:tcPr>
          <w:p w:rsidR="0039352C">
            <w:pPr>
              <w:pStyle w:val="HXLC-"/>
            </w:pPr>
            <w:r>
              <w:rPr>
                <w:rFonts w:hint="eastAsia"/>
              </w:rPr>
              <w:t>用户使用手册</w:t>
            </w:r>
          </w:p>
        </w:tc>
        <w:tc>
          <w:tcPr>
            <w:tcW w:w="1667" w:type="pct"/>
            <w:vMerge w:val="restart"/>
            <w:vAlign w:val="center"/>
          </w:tcPr>
          <w:p w:rsidR="0039352C">
            <w:pPr>
              <w:pStyle w:val="HXLC-"/>
            </w:pPr>
            <w:r>
              <w:rPr>
                <w:rFonts w:hint="eastAsia"/>
              </w:rPr>
              <w:t>初验计划</w:t>
            </w:r>
          </w:p>
          <w:p w:rsidR="0039352C">
            <w:pPr>
              <w:pStyle w:val="HXLC-"/>
            </w:pPr>
            <w:r>
              <w:rPr>
                <w:rFonts w:hint="eastAsia"/>
              </w:rPr>
              <w:t>初验工作报告</w:t>
            </w:r>
          </w:p>
        </w:tc>
      </w:tr>
      <w:tr>
        <w:tblPrEx>
          <w:tblW w:w="5000" w:type="pct"/>
          <w:jc w:val="center"/>
          <w:tblLook w:val="04A0"/>
        </w:tblPrEx>
        <w:trPr>
          <w:jc w:val="center"/>
        </w:trPr>
        <w:tc>
          <w:tcPr>
            <w:tcW w:w="1666" w:type="pct"/>
            <w:vMerge/>
            <w:vAlign w:val="center"/>
          </w:tcPr>
          <w:p w:rsidR="0039352C">
            <w:pPr>
              <w:pStyle w:val="HXLC-"/>
            </w:pPr>
          </w:p>
        </w:tc>
        <w:tc>
          <w:tcPr>
            <w:tcW w:w="1667" w:type="pct"/>
            <w:vAlign w:val="center"/>
          </w:tcPr>
          <w:p w:rsidR="0039352C">
            <w:pPr>
              <w:pStyle w:val="HXLC-"/>
            </w:pPr>
            <w:r>
              <w:rPr>
                <w:rFonts w:hint="eastAsia"/>
              </w:rPr>
              <w:t>运行维护手册</w:t>
            </w:r>
          </w:p>
        </w:tc>
        <w:tc>
          <w:tcPr>
            <w:tcW w:w="1667" w:type="pct"/>
            <w:vMerge/>
            <w:vAlign w:val="center"/>
          </w:tcPr>
          <w:p w:rsidR="0039352C">
            <w:pPr>
              <w:pStyle w:val="HXLC-"/>
            </w:pPr>
          </w:p>
        </w:tc>
      </w:tr>
      <w:tr>
        <w:tblPrEx>
          <w:tblW w:w="5000" w:type="pct"/>
          <w:jc w:val="center"/>
          <w:tblLook w:val="04A0"/>
        </w:tblPrEx>
        <w:trPr>
          <w:jc w:val="center"/>
        </w:trPr>
        <w:tc>
          <w:tcPr>
            <w:tcW w:w="1666" w:type="pct"/>
            <w:vMerge/>
            <w:vAlign w:val="center"/>
          </w:tcPr>
          <w:p w:rsidR="0039352C">
            <w:pPr>
              <w:pStyle w:val="HXLC-"/>
            </w:pPr>
          </w:p>
        </w:tc>
        <w:tc>
          <w:tcPr>
            <w:tcW w:w="1667" w:type="pct"/>
            <w:vAlign w:val="center"/>
          </w:tcPr>
          <w:p w:rsidR="0039352C">
            <w:pPr>
              <w:pStyle w:val="HXLC-"/>
            </w:pPr>
            <w:r>
              <w:rPr>
                <w:rFonts w:hint="eastAsia"/>
              </w:rPr>
              <w:t>初验技术报告</w:t>
            </w:r>
          </w:p>
        </w:tc>
        <w:tc>
          <w:tcPr>
            <w:tcW w:w="1667" w:type="pct"/>
            <w:vMerge/>
            <w:vAlign w:val="center"/>
          </w:tcPr>
          <w:p w:rsidR="0039352C">
            <w:pPr>
              <w:pStyle w:val="HXLC-"/>
            </w:pPr>
          </w:p>
        </w:tc>
      </w:tr>
      <w:tr>
        <w:tblPrEx>
          <w:tblW w:w="5000" w:type="pct"/>
          <w:jc w:val="center"/>
          <w:tblLook w:val="04A0"/>
        </w:tblPrEx>
        <w:trPr>
          <w:jc w:val="center"/>
        </w:trPr>
        <w:tc>
          <w:tcPr>
            <w:tcW w:w="1666" w:type="pct"/>
            <w:vAlign w:val="center"/>
          </w:tcPr>
          <w:p w:rsidR="0039352C">
            <w:pPr>
              <w:pStyle w:val="HXLC-"/>
            </w:pPr>
            <w:r>
              <w:rPr>
                <w:rFonts w:hint="eastAsia"/>
              </w:rPr>
              <w:t>系统试运行</w:t>
            </w:r>
          </w:p>
        </w:tc>
        <w:tc>
          <w:tcPr>
            <w:tcW w:w="1667" w:type="pct"/>
            <w:vAlign w:val="center"/>
          </w:tcPr>
          <w:p w:rsidR="0039352C">
            <w:pPr>
              <w:pStyle w:val="HXLC-"/>
            </w:pPr>
            <w:r>
              <w:rPr>
                <w:rFonts w:hint="eastAsia"/>
              </w:rPr>
              <w:t>试运行评估报告</w:t>
            </w:r>
          </w:p>
        </w:tc>
        <w:tc>
          <w:tcPr>
            <w:tcW w:w="1667" w:type="pct"/>
            <w:vAlign w:val="center"/>
          </w:tcPr>
          <w:p w:rsidR="0039352C">
            <w:pPr>
              <w:pStyle w:val="HXLC-"/>
            </w:pPr>
          </w:p>
        </w:tc>
      </w:tr>
      <w:tr>
        <w:tblPrEx>
          <w:tblW w:w="5000" w:type="pct"/>
          <w:jc w:val="center"/>
          <w:tblLook w:val="04A0"/>
        </w:tblPrEx>
        <w:trPr>
          <w:jc w:val="center"/>
        </w:trPr>
        <w:tc>
          <w:tcPr>
            <w:tcW w:w="1666" w:type="pct"/>
            <w:vMerge w:val="restart"/>
            <w:vAlign w:val="center"/>
          </w:tcPr>
          <w:p w:rsidR="0039352C">
            <w:pPr>
              <w:pStyle w:val="HXLC-"/>
            </w:pPr>
            <w:r>
              <w:rPr>
                <w:rFonts w:hint="eastAsia"/>
              </w:rPr>
              <w:t>系统培训</w:t>
            </w:r>
          </w:p>
        </w:tc>
        <w:tc>
          <w:tcPr>
            <w:tcW w:w="1667" w:type="pct"/>
            <w:vMerge w:val="restart"/>
            <w:vAlign w:val="center"/>
          </w:tcPr>
          <w:p w:rsidR="0039352C">
            <w:pPr>
              <w:pStyle w:val="HXLC-"/>
            </w:pPr>
            <w:r>
              <w:rPr>
                <w:rFonts w:hint="eastAsia"/>
              </w:rPr>
              <w:t>培训教程</w:t>
            </w:r>
          </w:p>
        </w:tc>
        <w:tc>
          <w:tcPr>
            <w:tcW w:w="1667" w:type="pct"/>
            <w:vAlign w:val="center"/>
          </w:tcPr>
          <w:p w:rsidR="0039352C">
            <w:pPr>
              <w:pStyle w:val="HXLC-"/>
            </w:pPr>
            <w:r>
              <w:rPr>
                <w:rFonts w:hint="eastAsia"/>
              </w:rPr>
              <w:t>培训计划</w:t>
            </w:r>
          </w:p>
        </w:tc>
      </w:tr>
      <w:tr>
        <w:tblPrEx>
          <w:tblW w:w="5000" w:type="pct"/>
          <w:jc w:val="center"/>
          <w:tblLook w:val="04A0"/>
        </w:tblPrEx>
        <w:trPr>
          <w:jc w:val="center"/>
        </w:trPr>
        <w:tc>
          <w:tcPr>
            <w:tcW w:w="1666" w:type="pct"/>
            <w:vMerge/>
            <w:vAlign w:val="center"/>
          </w:tcPr>
          <w:p w:rsidR="0039352C">
            <w:pPr>
              <w:pStyle w:val="HXLC-"/>
            </w:pPr>
          </w:p>
        </w:tc>
        <w:tc>
          <w:tcPr>
            <w:tcW w:w="1667" w:type="pct"/>
            <w:vMerge/>
            <w:vAlign w:val="center"/>
          </w:tcPr>
          <w:p w:rsidR="0039352C">
            <w:pPr>
              <w:pStyle w:val="HXLC-"/>
            </w:pPr>
          </w:p>
        </w:tc>
        <w:tc>
          <w:tcPr>
            <w:tcW w:w="1667" w:type="pct"/>
            <w:vAlign w:val="center"/>
          </w:tcPr>
          <w:p w:rsidR="0039352C">
            <w:pPr>
              <w:pStyle w:val="HXLC-"/>
            </w:pPr>
            <w:r>
              <w:rPr>
                <w:rFonts w:hint="eastAsia"/>
              </w:rPr>
              <w:t>培训记录</w:t>
            </w:r>
          </w:p>
        </w:tc>
      </w:tr>
      <w:tr>
        <w:tblPrEx>
          <w:tblW w:w="5000" w:type="pct"/>
          <w:jc w:val="center"/>
          <w:tblLook w:val="04A0"/>
        </w:tblPrEx>
        <w:trPr>
          <w:trHeight w:val="61"/>
          <w:jc w:val="center"/>
        </w:trPr>
        <w:tc>
          <w:tcPr>
            <w:tcW w:w="1666" w:type="pct"/>
            <w:vMerge w:val="restart"/>
            <w:vAlign w:val="center"/>
          </w:tcPr>
          <w:p w:rsidR="0039352C">
            <w:pPr>
              <w:pStyle w:val="HXLC-"/>
            </w:pPr>
            <w:r>
              <w:rPr>
                <w:rFonts w:hint="eastAsia"/>
              </w:rPr>
              <w:t>系统终验</w:t>
            </w:r>
          </w:p>
        </w:tc>
        <w:tc>
          <w:tcPr>
            <w:tcW w:w="1667" w:type="pct"/>
            <w:vMerge w:val="restart"/>
            <w:vAlign w:val="center"/>
          </w:tcPr>
          <w:p w:rsidR="0039352C">
            <w:pPr>
              <w:pStyle w:val="HXLC-"/>
            </w:pPr>
            <w:r>
              <w:rPr>
                <w:rFonts w:hint="eastAsia"/>
              </w:rPr>
              <w:t>技术报告</w:t>
            </w:r>
          </w:p>
        </w:tc>
        <w:tc>
          <w:tcPr>
            <w:tcW w:w="1667" w:type="pct"/>
            <w:vAlign w:val="center"/>
          </w:tcPr>
          <w:p w:rsidR="0039352C">
            <w:pPr>
              <w:pStyle w:val="HXLC-"/>
            </w:pPr>
            <w:r>
              <w:rPr>
                <w:rFonts w:hint="eastAsia"/>
              </w:rPr>
              <w:t>终</w:t>
            </w:r>
            <w:r>
              <w:rPr>
                <w:rFonts w:hint="eastAsia"/>
              </w:rPr>
              <w:t>验计划</w:t>
            </w:r>
          </w:p>
        </w:tc>
      </w:tr>
      <w:tr>
        <w:tblPrEx>
          <w:tblW w:w="5000" w:type="pct"/>
          <w:jc w:val="center"/>
          <w:tblLook w:val="04A0"/>
        </w:tblPrEx>
        <w:trPr>
          <w:trHeight w:val="61"/>
          <w:jc w:val="center"/>
        </w:trPr>
        <w:tc>
          <w:tcPr>
            <w:tcW w:w="1666" w:type="pct"/>
            <w:vMerge/>
            <w:vAlign w:val="center"/>
          </w:tcPr>
          <w:p w:rsidR="0039352C">
            <w:pPr>
              <w:pStyle w:val="HXLC-"/>
            </w:pPr>
          </w:p>
        </w:tc>
        <w:tc>
          <w:tcPr>
            <w:tcW w:w="1667" w:type="pct"/>
            <w:vMerge/>
            <w:vAlign w:val="center"/>
          </w:tcPr>
          <w:p w:rsidR="0039352C">
            <w:pPr>
              <w:pStyle w:val="HXLC-"/>
            </w:pPr>
          </w:p>
        </w:tc>
        <w:tc>
          <w:tcPr>
            <w:tcW w:w="1667" w:type="pct"/>
            <w:vAlign w:val="center"/>
          </w:tcPr>
          <w:p w:rsidR="0039352C">
            <w:pPr>
              <w:pStyle w:val="HXLC-"/>
            </w:pPr>
            <w:r>
              <w:rPr>
                <w:rFonts w:hint="eastAsia"/>
              </w:rPr>
              <w:t>工作报告</w:t>
            </w:r>
          </w:p>
        </w:tc>
      </w:tr>
    </w:tbl>
    <w:p w:rsidR="0039352C">
      <w:pPr>
        <w:ind w:firstLine="480"/>
      </w:pP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95" w:name="_Toc235096483"/>
      <w:r>
        <w:rPr>
          <w:rFonts w:hint="eastAsia"/>
        </w:rPr>
        <w:t>故障处理要求</w:t>
      </w:r>
      <w:bookmarkEnd w:id="95"/>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96" w:name="_Toc235096484"/>
      <w:r>
        <w:rPr>
          <w:rFonts w:hint="eastAsia"/>
        </w:rPr>
        <w:t>系统出错处理</w:t>
      </w:r>
      <w:bookmarkEnd w:id="96"/>
    </w:p>
    <w:p w:rsidR="0039352C">
      <w:pPr>
        <w:ind w:firstLine="480"/>
      </w:pPr>
      <w:r>
        <w:rPr>
          <w:rFonts w:hint="eastAsia"/>
        </w:rPr>
        <w:t>用户界面错误：在界面出错后，给出一个友好的错误提示界面，并且记录</w:t>
      </w:r>
      <w:r>
        <w:rPr>
          <w:rFonts w:hint="eastAsia"/>
        </w:rPr>
        <w:t>错误日志，通过监控系统发送告警信息，并提供一段时间的日志复查，为故障处理提供依据。</w:t>
      </w:r>
    </w:p>
    <w:p w:rsidR="0039352C">
      <w:pPr>
        <w:ind w:firstLine="480"/>
      </w:pPr>
      <w:r>
        <w:rPr>
          <w:rFonts w:hint="eastAsia"/>
        </w:rPr>
        <w:t>服务错误：当各类业务处理服务出错后，提供处理状态回滚，记录错误日志，通过监控系统发送告警信息，为故障处理提供依据。可采用人工干预的方式重新启动服务，继续执行尚未完成的作业。</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97" w:name="_Toc235096485"/>
      <w:r>
        <w:rPr>
          <w:rFonts w:hint="eastAsia"/>
        </w:rPr>
        <w:t>容错备份处理</w:t>
      </w:r>
      <w:bookmarkEnd w:id="97"/>
    </w:p>
    <w:p w:rsidR="0039352C">
      <w:pPr>
        <w:pStyle w:val="Heading4"/>
        <w:keepNext/>
        <w:keepLines/>
        <w:widowControl w:val="0"/>
        <w:numPr>
          <w:ilvl w:val="3"/>
          <w:numId w:val="4"/>
        </w:numPr>
        <w:tabs>
          <w:tab w:val="left" w:pos="480"/>
        </w:tabs>
        <w:spacing w:before="156" w:beforeLines="50" w:after="156" w:afterLines="50" w:line="360" w:lineRule="auto"/>
        <w:ind w:left="0" w:firstLine="0" w:firstLineChars="0"/>
      </w:pPr>
      <w:r>
        <w:rPr>
          <w:rFonts w:hint="eastAsia"/>
        </w:rPr>
        <w:t>容错措施</w:t>
      </w:r>
    </w:p>
    <w:p w:rsidR="0039352C">
      <w:pPr>
        <w:ind w:firstLine="480"/>
      </w:pPr>
      <w:r>
        <w:rPr>
          <w:rFonts w:hint="eastAsia"/>
        </w:rPr>
        <w:t>由于服务器承担着关键业务，其数据和运行的安全问题显得非常重要。对气象事业来说，利用计算机系统来提供及时可靠的信息和服务实必不可少的；另一方面，计算机硬件与软件都不可避</w:t>
      </w:r>
      <w:r>
        <w:rPr>
          <w:rFonts w:hint="eastAsia"/>
        </w:rPr>
        <w:t>免的会发生故障，这些故障有可能给气象业务带来极大的损失，甚至整个服务终止，网络的瘫痪。本项目每天</w:t>
      </w:r>
      <w:r>
        <w:rPr>
          <w:rFonts w:hint="eastAsia"/>
        </w:rPr>
        <w:t>24</w:t>
      </w:r>
      <w:r>
        <w:rPr>
          <w:rFonts w:hint="eastAsia"/>
        </w:rPr>
        <w:t>小时不间断的自动运行，对系统的高可用性显得更为重要。因此，必须有适当的措施来确保计算机系统提供不间断的服务，以维护系统的可用性。</w:t>
      </w:r>
    </w:p>
    <w:p w:rsidR="0039352C">
      <w:pPr>
        <w:ind w:firstLine="480"/>
      </w:pPr>
      <w:r>
        <w:rPr>
          <w:rFonts w:hint="eastAsia"/>
        </w:rPr>
        <w:t>系统的可用性通常在两种情况下会受到影响，一种是系统</w:t>
      </w:r>
      <w:r>
        <w:rPr>
          <w:rFonts w:hint="eastAsia"/>
        </w:rPr>
        <w:t>宕</w:t>
      </w:r>
      <w:r>
        <w:rPr>
          <w:rFonts w:hint="eastAsia"/>
        </w:rPr>
        <w:t>机、错误操作和管理引起的异常失败，另一种是由于系统维护和升级，需要安装新的硬件或软件而正常关机。高可靠性系统必须为这两种情况提供不间断的系统服务。</w:t>
      </w:r>
    </w:p>
    <w:p w:rsidR="0039352C">
      <w:pPr>
        <w:ind w:firstLine="480"/>
      </w:pPr>
      <w:r>
        <w:rPr>
          <w:rFonts w:hint="eastAsia"/>
        </w:rPr>
        <w:t>高可用性系统是在冗余的通常可用性基础之上，运用高可靠性软件而构成。高可靠性软件用于</w:t>
      </w:r>
      <w:r>
        <w:rPr>
          <w:rFonts w:hint="eastAsia"/>
        </w:rPr>
        <w:t>自动监测系统的运行状态，在一台服务器出现故障的情况下，自动把设定的服务转道另一台服务器上。</w:t>
      </w:r>
    </w:p>
    <w:p w:rsidR="0039352C">
      <w:pPr>
        <w:ind w:firstLine="480"/>
      </w:pPr>
      <w:r>
        <w:rPr>
          <w:rFonts w:hint="eastAsia"/>
        </w:rPr>
        <w:t>高可用性系统具有：软件故障监测与排除、备份和数据保护、管理站能够监视各站点的运行情况，能随时或定时报告系统运行状况，故障能及时报告和告警，并有必要的控制手段、实现错误隔离以及主、备份服务器间的服务切换。</w:t>
      </w:r>
    </w:p>
    <w:p w:rsidR="0039352C">
      <w:pPr>
        <w:ind w:firstLine="480"/>
      </w:pPr>
      <w:r>
        <w:rPr>
          <w:rFonts w:hint="eastAsia"/>
        </w:rPr>
        <w:t>本次项目建设的所有作业运行软件采取双机或多机备份方案。利用服务器集群技术，故障转移技术提供高可用系统，从系统环境上杜绝单点故障的发生。</w:t>
      </w:r>
    </w:p>
    <w:p w:rsidR="0039352C">
      <w:pPr>
        <w:pStyle w:val="Heading4"/>
        <w:keepNext/>
        <w:keepLines/>
        <w:widowControl w:val="0"/>
        <w:numPr>
          <w:ilvl w:val="3"/>
          <w:numId w:val="4"/>
        </w:numPr>
        <w:tabs>
          <w:tab w:val="left" w:pos="480"/>
        </w:tabs>
        <w:spacing w:before="156" w:beforeLines="50" w:after="156" w:afterLines="50" w:line="360" w:lineRule="auto"/>
        <w:ind w:left="0" w:firstLine="0" w:firstLineChars="0"/>
      </w:pPr>
      <w:r>
        <w:rPr>
          <w:rFonts w:hint="eastAsia"/>
        </w:rPr>
        <w:t>数据备份</w:t>
      </w:r>
    </w:p>
    <w:p w:rsidR="0039352C">
      <w:pPr>
        <w:ind w:firstLine="480"/>
      </w:pPr>
      <w:r>
        <w:rPr>
          <w:rFonts w:hint="eastAsia"/>
        </w:rPr>
        <w:t>数据备份能将故障引起的后果降低到最低限度。数据的备份是保证数据安全的第</w:t>
      </w:r>
      <w:r>
        <w:rPr>
          <w:rFonts w:hint="eastAsia"/>
        </w:rPr>
        <w:t>一要素。能把数据拷贝到一种存储介质，当数据出现问题时，可以进行还原。当硬盘出现故障时，磁盘的容错功能，可以将数据恢复。</w:t>
      </w:r>
    </w:p>
    <w:p w:rsidR="0039352C">
      <w:pPr>
        <w:ind w:firstLine="480"/>
      </w:pPr>
      <w:r>
        <w:rPr>
          <w:rFonts w:hint="eastAsia"/>
        </w:rPr>
        <w:t>数据备份包括：软件备份和数据库备份。应用程序要备份当前运行版本。</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98" w:name="_Toc235096486"/>
      <w:r>
        <w:rPr>
          <w:rFonts w:hint="eastAsia"/>
        </w:rPr>
        <w:t>实施管理要求</w:t>
      </w:r>
      <w:bookmarkEnd w:id="98"/>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99" w:name="_Toc235096487"/>
      <w:r>
        <w:rPr>
          <w:rFonts w:hint="eastAsia"/>
        </w:rPr>
        <w:t>编制软件开发实施进度计划并组织实施</w:t>
      </w:r>
      <w:bookmarkEnd w:id="99"/>
    </w:p>
    <w:p w:rsidR="0039352C">
      <w:pPr>
        <w:ind w:firstLine="480"/>
      </w:pPr>
      <w:r>
        <w:rPr>
          <w:rFonts w:hint="eastAsia"/>
        </w:rPr>
        <w:t>提供软件开发实施计划。</w:t>
      </w:r>
    </w:p>
    <w:p w:rsidR="0039352C">
      <w:pPr>
        <w:ind w:firstLine="480"/>
      </w:pPr>
      <w:r>
        <w:rPr>
          <w:rFonts w:hint="eastAsia"/>
        </w:rPr>
        <w:t>每周向甲方提供工作实施进展情况，并提出相关建议。</w:t>
      </w:r>
    </w:p>
    <w:p w:rsidR="0039352C">
      <w:pPr>
        <w:ind w:firstLine="480"/>
      </w:pPr>
      <w:r>
        <w:rPr>
          <w:rFonts w:hint="eastAsia"/>
        </w:rPr>
        <w:t>解决软件开发实施过程中出现的各种技术问题。</w:t>
      </w:r>
    </w:p>
    <w:p w:rsidR="0039352C">
      <w:pPr>
        <w:ind w:firstLine="480"/>
      </w:pPr>
      <w:r>
        <w:rPr>
          <w:rFonts w:hint="eastAsia"/>
        </w:rPr>
        <w:t>协助甲方处理实施过程中出现的质量事故。</w:t>
      </w:r>
    </w:p>
    <w:p w:rsidR="0039352C">
      <w:pPr>
        <w:ind w:firstLine="480"/>
      </w:pPr>
      <w:r>
        <w:rPr>
          <w:rFonts w:hint="eastAsia"/>
        </w:rPr>
        <w:t>计划周密，当项目建设过程中出现变化时，要能及时做出调整。</w:t>
      </w:r>
    </w:p>
    <w:p w:rsidR="0039352C">
      <w:pPr>
        <w:ind w:firstLine="480"/>
      </w:pPr>
      <w:r>
        <w:rPr>
          <w:rFonts w:hint="eastAsia"/>
        </w:rPr>
        <w:t>要有规范的进度管理机制。</w:t>
      </w:r>
    </w:p>
    <w:p w:rsidR="0039352C">
      <w:pPr>
        <w:pStyle w:val="Heading3"/>
        <w:keepNext/>
        <w:keepLines/>
        <w:widowControl w:val="0"/>
        <w:numPr>
          <w:ilvl w:val="2"/>
          <w:numId w:val="4"/>
        </w:numPr>
        <w:tabs>
          <w:tab w:val="left" w:pos="480"/>
        </w:tabs>
        <w:spacing w:before="156" w:beforeLines="50" w:after="156" w:afterLines="50" w:line="360" w:lineRule="auto"/>
        <w:ind w:left="425" w:firstLine="0" w:firstLineChars="0"/>
      </w:pPr>
      <w:bookmarkStart w:id="100" w:name="_Toc235096488"/>
      <w:r>
        <w:rPr>
          <w:rFonts w:hint="eastAsia"/>
        </w:rPr>
        <w:t>进行项目开发的日常组织、管理、协调</w:t>
      </w:r>
      <w:bookmarkEnd w:id="100"/>
    </w:p>
    <w:p w:rsidR="0039352C">
      <w:pPr>
        <w:ind w:firstLine="480"/>
      </w:pPr>
      <w:r>
        <w:rPr>
          <w:rFonts w:hint="eastAsia"/>
        </w:rPr>
        <w:t>参加甲方组织与项目建设有关的各类会议。</w:t>
      </w:r>
    </w:p>
    <w:p w:rsidR="0039352C">
      <w:pPr>
        <w:ind w:firstLine="480"/>
      </w:pPr>
      <w:r>
        <w:rPr>
          <w:rFonts w:hint="eastAsia"/>
        </w:rPr>
        <w:t>要遵循相应的项目管理规范，并有相应的项目管理文档。</w:t>
      </w:r>
    </w:p>
    <w:p w:rsidR="0039352C">
      <w:pPr>
        <w:ind w:firstLine="480"/>
      </w:pPr>
      <w:r>
        <w:rPr>
          <w:rFonts w:hint="eastAsia"/>
        </w:rPr>
        <w:t>对项目建设任务中出现的调整，要及时做出安排，并尊重甲方的安排。</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101" w:name="_Toc235096489"/>
      <w:r>
        <w:rPr>
          <w:rFonts w:hint="eastAsia"/>
        </w:rPr>
        <w:t>人员组织要求</w:t>
      </w:r>
      <w:bookmarkEnd w:id="101"/>
    </w:p>
    <w:p w:rsidR="0039352C">
      <w:pPr>
        <w:ind w:firstLine="480"/>
      </w:pPr>
      <w:r>
        <w:rPr>
          <w:rFonts w:hint="eastAsia"/>
        </w:rPr>
        <w:t>乙方必须成立合理的组织机构，建立健全保障设计、开发工作顺利实施的各项管理制度和质量保证体系，安排好足够的高素质人才参加本项目工作。</w:t>
      </w:r>
    </w:p>
    <w:p w:rsidR="0039352C">
      <w:pPr>
        <w:ind w:firstLine="480"/>
      </w:pPr>
      <w:r>
        <w:rPr>
          <w:rFonts w:hint="eastAsia"/>
        </w:rPr>
        <w:t>在组织机构中应明确各岗位的职责、任职资格及成果，确保项目顺利实施，应分别配备有项目经理、技术负责人承担本项目工作。</w:t>
      </w:r>
    </w:p>
    <w:p w:rsidR="0039352C">
      <w:pPr>
        <w:ind w:firstLine="480"/>
      </w:pPr>
      <w:r>
        <w:rPr>
          <w:rFonts w:hint="eastAsia"/>
        </w:rPr>
        <w:t>乙方应确保服务于本项目的核心技术人员及主要开发人员稳定，服务团队人数不少于</w:t>
      </w:r>
      <w:r>
        <w:rPr>
          <w:rFonts w:hint="eastAsia"/>
        </w:rPr>
        <w:t>5</w:t>
      </w:r>
      <w:r>
        <w:rPr>
          <w:rFonts w:hint="eastAsia"/>
        </w:rPr>
        <w:t>人，驻场服务人员不少于</w:t>
      </w:r>
      <w:r>
        <w:rPr>
          <w:rFonts w:hint="eastAsia"/>
        </w:rPr>
        <w:t>2</w:t>
      </w:r>
      <w:r>
        <w:rPr>
          <w:rFonts w:hint="eastAsia"/>
        </w:rPr>
        <w:t>人，</w:t>
      </w:r>
      <w:r>
        <w:rPr>
          <w:rFonts w:hint="eastAsia"/>
        </w:rPr>
        <w:t>未经甲方允许不得调整核心团队</w:t>
      </w:r>
      <w:r>
        <w:rPr>
          <w:rFonts w:hint="eastAsia"/>
        </w:rPr>
        <w:t>成员，甲方有权要求更换乙方项目团队成员。</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102" w:name="_Toc235096490"/>
      <w:r>
        <w:rPr>
          <w:rFonts w:hint="eastAsia"/>
        </w:rPr>
        <w:t>评审验收要求</w:t>
      </w:r>
      <w:bookmarkEnd w:id="102"/>
    </w:p>
    <w:p w:rsidR="0039352C">
      <w:pPr>
        <w:ind w:firstLine="480"/>
      </w:pPr>
      <w:r>
        <w:t>通过甲方组织的需求评审后形成项目评审验收方案，制订出一套明确的可操作性的评价指标，作为甲方评价开发工作的标准，用于本项目的评审和验收。</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103" w:name="_Toc235096491"/>
      <w:r>
        <w:rPr>
          <w:rFonts w:hint="eastAsia"/>
        </w:rPr>
        <w:t>项目培训要求</w:t>
      </w:r>
      <w:bookmarkEnd w:id="103"/>
    </w:p>
    <w:p w:rsidR="0039352C">
      <w:pPr>
        <w:ind w:firstLine="0" w:firstLineChars="0"/>
      </w:pPr>
      <w:r>
        <w:tab/>
      </w:r>
      <w:r>
        <w:rPr>
          <w:rFonts w:hint="eastAsia"/>
        </w:rPr>
        <w:t>1</w:t>
      </w:r>
      <w:r>
        <w:rPr>
          <w:rFonts w:hint="eastAsia"/>
        </w:rPr>
        <w:t>、培训方式应包括现场培训和集中培训，并应在进行培训之前向甲方提交一份详细的培训计划。</w:t>
      </w:r>
    </w:p>
    <w:p w:rsidR="0039352C">
      <w:pPr>
        <w:ind w:firstLine="0" w:firstLineChars="0"/>
      </w:pPr>
      <w:r>
        <w:tab/>
      </w:r>
      <w:r>
        <w:rPr>
          <w:rFonts w:hint="eastAsia"/>
        </w:rPr>
        <w:t>2</w:t>
      </w:r>
      <w:r>
        <w:rPr>
          <w:rFonts w:hint="eastAsia"/>
        </w:rPr>
        <w:t>、乙方应以培训目标的实现为目的组织培训，确保每一位系统使用人员能够独立、熟练地完成操作，保证系统用户能够独立处理软件系统故障和进行简单的功能调整。</w:t>
      </w:r>
    </w:p>
    <w:p w:rsidR="0039352C">
      <w:pPr>
        <w:ind w:firstLine="480"/>
      </w:pPr>
      <w:r>
        <w:rPr>
          <w:rFonts w:hint="eastAsia"/>
        </w:rPr>
        <w:t>3</w:t>
      </w:r>
      <w:r>
        <w:rPr>
          <w:rFonts w:hint="eastAsia"/>
        </w:rPr>
        <w:t>、集中</w:t>
      </w:r>
      <w:r>
        <w:rPr>
          <w:rFonts w:hint="eastAsia"/>
        </w:rPr>
        <w:t>培训地点由甲方根据本项目实际情况确定，确保培训次数不少于</w:t>
      </w:r>
      <w:r>
        <w:rPr>
          <w:rFonts w:hint="eastAsia"/>
        </w:rPr>
        <w:t>3</w:t>
      </w:r>
      <w:r>
        <w:rPr>
          <w:rFonts w:hint="eastAsia"/>
        </w:rPr>
        <w:t>次，具体培训时间由甲方与乙方根据项目进展情况协商确定。</w:t>
      </w:r>
    </w:p>
    <w:p w:rsidR="0039352C">
      <w:pPr>
        <w:ind w:firstLine="480"/>
      </w:pPr>
      <w:r>
        <w:rPr>
          <w:rFonts w:hint="eastAsia"/>
        </w:rPr>
        <w:t>4</w:t>
      </w:r>
      <w:r>
        <w:rPr>
          <w:rFonts w:hint="eastAsia"/>
        </w:rPr>
        <w:t>、乙方负责为培训搭建所需的环境，并提供培训教材等相关用品。</w:t>
      </w:r>
    </w:p>
    <w:p w:rsidR="0039352C">
      <w:pPr>
        <w:ind w:firstLine="480"/>
      </w:pPr>
      <w:r>
        <w:rPr>
          <w:rFonts w:hint="eastAsia"/>
        </w:rPr>
        <w:t>5</w:t>
      </w:r>
      <w:r>
        <w:rPr>
          <w:rFonts w:hint="eastAsia"/>
        </w:rPr>
        <w:t>、乙方人承担培训产生的食宿、场地、教师等一切费用。</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104" w:name="_Toc235096492"/>
      <w:r>
        <w:rPr>
          <w:rFonts w:hint="eastAsia"/>
        </w:rPr>
        <w:t>安全保密要求</w:t>
      </w:r>
      <w:bookmarkEnd w:id="104"/>
    </w:p>
    <w:p w:rsidR="0039352C">
      <w:pPr>
        <w:ind w:firstLine="480"/>
      </w:pPr>
      <w:r>
        <w:rPr>
          <w:rFonts w:hint="eastAsia"/>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w:t>
      </w:r>
      <w:r>
        <w:rPr>
          <w:rFonts w:hint="eastAsia"/>
        </w:rPr>
        <w:t>资料）仅</w:t>
      </w:r>
      <w:r>
        <w:rPr>
          <w:rFonts w:hint="eastAsia"/>
        </w:rPr>
        <w:t>供项目</w:t>
      </w:r>
      <w:r>
        <w:rPr>
          <w:rFonts w:hint="eastAsia"/>
        </w:rPr>
        <w:t>建设使用，乙方在项目执行过程中如发生气象数据丢失、转让或交易等行为，甲方将根据合同和相关法规要求乙方赔偿并追究法律责任。</w:t>
      </w:r>
    </w:p>
    <w:p w:rsidR="0039352C">
      <w:pPr>
        <w:ind w:firstLine="480"/>
      </w:pPr>
      <w:r>
        <w:rPr>
          <w:rFonts w:hint="eastAsia"/>
        </w:rPr>
        <w:t>乙方必须对项目技术文件以及由甲方提供的所有内部材料、技术文档和信息予以保密。乙方必须遵守与甲方签订的保密协议，未经甲方书面许可，乙方不得以任何形式向第三方透露本项目的任何内容。</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105" w:name="_Toc235096493"/>
      <w:r>
        <w:rPr>
          <w:rFonts w:hint="eastAsia"/>
        </w:rPr>
        <w:t>售后服务要求</w:t>
      </w:r>
      <w:bookmarkEnd w:id="105"/>
    </w:p>
    <w:p w:rsidR="0039352C">
      <w:pPr>
        <w:ind w:firstLine="480"/>
      </w:pPr>
      <w:r>
        <w:rPr>
          <w:rFonts w:hint="eastAsia"/>
        </w:rPr>
        <w:t>本项目要求乙方能够提供从系统终验之日起</w:t>
      </w:r>
      <w:r>
        <w:rPr>
          <w:rFonts w:hint="eastAsia"/>
        </w:rPr>
        <w:t>1</w:t>
      </w:r>
      <w:r>
        <w:rPr>
          <w:rFonts w:hint="eastAsia"/>
        </w:rPr>
        <w:t>年免费技术支持服务。</w:t>
      </w:r>
    </w:p>
    <w:p w:rsidR="0039352C">
      <w:pPr>
        <w:ind w:firstLine="480"/>
      </w:pPr>
      <w:r>
        <w:rPr>
          <w:rFonts w:hint="eastAsia"/>
        </w:rPr>
        <w:t>系统发生异常情况，在接到甲方的通知后，乙方技术人员应提供</w:t>
      </w:r>
      <w:r>
        <w:rPr>
          <w:rFonts w:hint="eastAsia"/>
        </w:rPr>
        <w:t>7*24</w:t>
      </w:r>
      <w:r>
        <w:rPr>
          <w:rFonts w:hint="eastAsia"/>
        </w:rPr>
        <w:t>小时的服务响应，随时进行电话应答；</w:t>
      </w:r>
      <w:r>
        <w:rPr>
          <w:rFonts w:hint="eastAsia"/>
        </w:rPr>
        <w:t>30</w:t>
      </w:r>
      <w:r>
        <w:rPr>
          <w:rFonts w:hint="eastAsia"/>
        </w:rPr>
        <w:t>分钟内完成远程登录诊</w:t>
      </w:r>
      <w:r>
        <w:rPr>
          <w:rFonts w:hint="eastAsia"/>
        </w:rPr>
        <w:t>断；在</w:t>
      </w:r>
      <w:r>
        <w:rPr>
          <w:rFonts w:hint="eastAsia"/>
        </w:rPr>
        <w:t>1</w:t>
      </w:r>
      <w:r>
        <w:rPr>
          <w:rFonts w:hint="eastAsia"/>
        </w:rPr>
        <w:t>小时内到达国家局现场解决疑难。</w:t>
      </w:r>
    </w:p>
    <w:p w:rsidR="0039352C">
      <w:pPr>
        <w:ind w:firstLine="480"/>
      </w:pPr>
      <w:r>
        <w:rPr>
          <w:rFonts w:hint="eastAsia"/>
        </w:rPr>
        <w:t>质量保证期后，乙方仍应根据合同要求向甲方提供技术服务，以合理价格提供软件功能改进技术服务。</w:t>
      </w:r>
    </w:p>
    <w:p w:rsidR="0039352C">
      <w:pPr>
        <w:ind w:firstLine="480"/>
      </w:pPr>
      <w:r>
        <w:rPr>
          <w:rFonts w:hint="eastAsia"/>
        </w:rPr>
        <w:t>质量保证期间的维护服务不收取任何额外费用，质量保证期后按合同约定进行维护。</w:t>
      </w:r>
    </w:p>
    <w:p w:rsidR="0039352C">
      <w:pPr>
        <w:pStyle w:val="Heading2"/>
        <w:keepNext/>
        <w:keepLines/>
        <w:widowControl w:val="0"/>
        <w:numPr>
          <w:ilvl w:val="1"/>
          <w:numId w:val="4"/>
        </w:numPr>
        <w:tabs>
          <w:tab w:val="left" w:pos="480"/>
        </w:tabs>
        <w:spacing w:before="156" w:beforeLines="50" w:after="156" w:afterLines="50" w:line="360" w:lineRule="auto"/>
        <w:ind w:left="0" w:firstLine="0" w:firstLineChars="0"/>
      </w:pPr>
      <w:bookmarkStart w:id="106" w:name="_Toc235096494"/>
      <w:r>
        <w:rPr>
          <w:rFonts w:hint="eastAsia"/>
        </w:rPr>
        <w:t>知识产权要求</w:t>
      </w:r>
      <w:bookmarkEnd w:id="106"/>
    </w:p>
    <w:p w:rsidR="0039352C">
      <w:pPr>
        <w:ind w:firstLine="480"/>
      </w:pPr>
      <w:r>
        <w:rPr>
          <w:rFonts w:hint="eastAsia"/>
        </w:rPr>
        <w:t>全部及</w:t>
      </w:r>
      <w:r>
        <w:rPr>
          <w:rFonts w:hint="eastAsia"/>
        </w:rPr>
        <w:t>/</w:t>
      </w:r>
      <w:r>
        <w:rPr>
          <w:rFonts w:hint="eastAsia"/>
        </w:rPr>
        <w:t>或任何部分的相关知识产权，包括相关权益，归甲方共有。乙方有不可争议的义务确保采购人依据本次采购所获得的知识产权不存在任何瑕疵并且可以不受限制地行使相关权利，包括各项延伸权利。若因此发生任何争议均应当由乙方独自承担全部及</w:t>
      </w:r>
      <w:r>
        <w:rPr>
          <w:rFonts w:hint="eastAsia"/>
        </w:rPr>
        <w:t>/</w:t>
      </w:r>
      <w:r>
        <w:rPr>
          <w:rFonts w:hint="eastAsia"/>
        </w:rPr>
        <w:t>或任何责任，包括但不限于应当承担其自身及采购方为排除任何争议或</w:t>
      </w:r>
      <w:r>
        <w:rPr>
          <w:rFonts w:hint="eastAsia"/>
        </w:rPr>
        <w:t>瑕疵所应当或所需支付的一切相关</w:t>
      </w:r>
      <w:r>
        <w:rPr>
          <w:rFonts w:hint="eastAsia"/>
        </w:rPr>
        <w:t>/</w:t>
      </w:r>
      <w:r>
        <w:rPr>
          <w:rFonts w:hint="eastAsia"/>
        </w:rPr>
        <w:t>或由此引起的费用。</w:t>
      </w:r>
    </w:p>
    <w:p w:rsidR="0039352C">
      <w:pPr>
        <w:ind w:firstLine="480"/>
      </w:pPr>
      <w:r>
        <w:rPr>
          <w:rFonts w:hint="eastAsia"/>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hint="eastAsia"/>
        </w:rPr>
        <w:t>/</w:t>
      </w:r>
      <w:r>
        <w:rPr>
          <w:rFonts w:hint="eastAsia"/>
        </w:rPr>
        <w:t>或任何责任，包括但不限于应当承担其自身及采购中心为排除任何争议及</w:t>
      </w:r>
      <w:r>
        <w:rPr>
          <w:rFonts w:hint="eastAsia"/>
        </w:rPr>
        <w:t>/</w:t>
      </w:r>
      <w:r>
        <w:rPr>
          <w:rFonts w:hint="eastAsia"/>
        </w:rPr>
        <w:t>或赔偿侵权所应当或所需支付的一切相关及</w:t>
      </w:r>
      <w:r>
        <w:rPr>
          <w:rFonts w:hint="eastAsia"/>
        </w:rPr>
        <w:t>/</w:t>
      </w:r>
      <w:r>
        <w:rPr>
          <w:rFonts w:hint="eastAsia"/>
        </w:rPr>
        <w:t>或由此引起的费用。</w:t>
      </w:r>
    </w:p>
    <w:p w:rsidR="0039352C">
      <w:pPr>
        <w:ind w:firstLine="480"/>
      </w:pPr>
      <w:r>
        <w:rPr>
          <w:rFonts w:hint="eastAsia"/>
        </w:rPr>
        <w:t>为甲方提供与本项目设计、开发和集成有关的各类技术咨询服务。</w:t>
      </w:r>
    </w:p>
    <w:p w:rsidR="0039352C">
      <w:pPr>
        <w:ind w:firstLine="480"/>
      </w:pPr>
      <w:r>
        <w:rPr>
          <w:rFonts w:hint="eastAsia"/>
        </w:rPr>
        <w:t>协助甲方预见本项目设计、开发和系统集成工作中和项目其他建设工作中可能</w:t>
      </w:r>
      <w:r>
        <w:rPr>
          <w:rFonts w:hint="eastAsia"/>
        </w:rPr>
        <w:t>发生的问题和困难，并向甲方提出解决的办法或建议。</w:t>
      </w:r>
    </w:p>
    <w:p w:rsidR="0039352C">
      <w:pPr>
        <w:ind w:firstLine="480"/>
      </w:pPr>
      <w:r>
        <w:rPr>
          <w:rFonts w:hint="eastAsia"/>
        </w:rPr>
        <w:t>在系统的运行维护阶段提供技术支持。对运行过程中出现的新问题提供建议和解决方案。</w:t>
      </w:r>
    </w:p>
    <w:p w:rsidR="0039352C">
      <w:pPr>
        <w:ind w:firstLine="480"/>
      </w:pPr>
      <w:r>
        <w:rPr>
          <w:rFonts w:hint="eastAsia"/>
        </w:rPr>
        <w:t>提供其他与项目相关的服务。</w:t>
      </w:r>
    </w:p>
    <w:p w:rsidR="0039352C">
      <w:pPr>
        <w:ind w:firstLine="480"/>
      </w:pPr>
      <w:r>
        <w:rPr>
          <w:rFonts w:hint="eastAsia"/>
        </w:rPr>
        <w:t>积极协助配合甲方开展与项目有关的工作。</w:t>
      </w:r>
    </w:p>
    <w:p w:rsidR="0039352C">
      <w:pPr>
        <w:ind w:firstLine="480"/>
      </w:pPr>
      <w:r>
        <w:rPr>
          <w:rFonts w:hint="eastAsia"/>
        </w:rPr>
        <w:t>技术支持工作需要及时、有效，充分满足项目建设的需求。</w:t>
      </w:r>
    </w:p>
    <w:p w:rsidR="00A77B3E"/>
    <w:p w:rsidR="0039352C">
      <w:pPr>
        <w:spacing w:before="156" w:beforeLines="50"/>
        <w:ind w:firstLine="602"/>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07"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hint="eastAsia"/>
                <w:sz w:val="18"/>
                <w:szCs w:val="18"/>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color w:val="auto"/>
                <w:sz w:val="18"/>
                <w:szCs w:val="18"/>
                <w:highlight w:val="none"/>
              </w:rPr>
            </w:pPr>
          </w:p>
        </w:tc>
        <w:tc>
          <w:tcPr>
            <w:tcW w:w="7347" w:type="dxa"/>
            <w:noWrap w:val="0"/>
            <w:vAlign w:val="center"/>
          </w:tcPr>
          <w:p>
            <w:pPr>
              <w:tabs>
                <w:tab w:val="left" w:pos="709"/>
              </w:tabs>
              <w:spacing w:line="360" w:lineRule="auto"/>
              <w:jc w:val="left"/>
              <w:rPr>
                <w:rFonts w:ascii="宋体" w:hAnsi="宋体" w:hint="eastAsia"/>
                <w:color w:val="auto"/>
                <w:sz w:val="18"/>
                <w:szCs w:val="18"/>
                <w:highlight w:val="none"/>
              </w:rPr>
            </w:pPr>
            <w:r>
              <w:rPr>
                <w:rFonts w:ascii="宋体" w:hAnsi="宋体" w:cs="微软雅黑" w:hint="eastAsia"/>
                <w:b/>
                <w:color w:val="auto"/>
                <w:kern w:val="0"/>
                <w:sz w:val="18"/>
                <w:szCs w:val="18"/>
                <w:highlight w:val="none"/>
                <w:lang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0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ascii="Times New Roman" w:eastAsia="宋体" w:hAnsi="Times New Roman" w:cs="Times New Roman" w:hint="eastAsia"/>
          <w:b/>
          <w:bCs/>
          <w:szCs w:val="21"/>
        </w:rPr>
      </w:pPr>
      <w:bookmarkStart w:id="108" w:name="采购公告合同部分_ZBGGHT"/>
      <w:r>
        <w:rPr>
          <w:rFonts w:ascii="Times New Roman" w:eastAsia="宋体" w:hAnsi="Times New Roman" w:cs="Times New Roman" w:hint="eastAsia"/>
          <w:b/>
          <w:bCs/>
          <w:szCs w:val="21"/>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rPr>
      </w:pPr>
      <w:r>
        <w:rPr>
          <w:rFonts w:hint="eastAsia"/>
          <w:b/>
          <w:bCs/>
          <w:szCs w:val="21"/>
          <w:highlight w:val="none"/>
        </w:rPr>
        <w:t>必须明确合同金额支付条件及支付比例</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09" w:name="_Toc150439537"/>
      <w:r>
        <w:rPr>
          <w:rFonts w:ascii="宋体" w:eastAsia="宋体" w:hAnsi="宋体" w:cs="宋体" w:hint="eastAsia"/>
          <w:b/>
          <w:bCs/>
          <w:szCs w:val="21"/>
        </w:rPr>
        <w:t>项目内容及概况</w:t>
      </w:r>
      <w:bookmarkEnd w:id="109"/>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2"/>
        <w:gridCol w:w="142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10" w:name="_Toc150439540"/>
      <w:r>
        <w:rPr>
          <w:rFonts w:ascii="宋体" w:eastAsia="宋体" w:hAnsi="宋体" w:cs="宋体" w:hint="eastAsia"/>
          <w:b/>
          <w:bCs/>
          <w:szCs w:val="21"/>
        </w:rPr>
        <w:t>项目相关标准</w:t>
      </w:r>
      <w:bookmarkEnd w:id="110"/>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11" w:name="_Toc150439542"/>
      <w:r>
        <w:rPr>
          <w:rFonts w:ascii="宋体" w:eastAsia="宋体" w:hAnsi="宋体" w:cs="宋体" w:hint="eastAsia"/>
          <w:b/>
          <w:bCs/>
          <w:szCs w:val="21"/>
        </w:rPr>
        <w:t>组成本合同的文件</w:t>
      </w:r>
      <w:bookmarkEnd w:id="111"/>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5"/>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112" w:name="_Toc150439545"/>
      <w:r>
        <w:rPr>
          <w:rFonts w:ascii="宋体" w:eastAsia="宋体" w:hAnsi="宋体" w:cs="宋体" w:hint="eastAsia"/>
          <w:b/>
          <w:bCs/>
          <w:szCs w:val="21"/>
        </w:rPr>
        <w:t>合同履行地点、合同服务期</w:t>
      </w:r>
      <w:bookmarkEnd w:id="112"/>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7"/>
        </w:numPr>
        <w:spacing w:before="60" w:after="60" w:line="360" w:lineRule="auto"/>
        <w:ind w:left="840" w:hanging="840"/>
        <w:outlineLvl w:val="1"/>
        <w:rPr>
          <w:rFonts w:ascii="宋体" w:eastAsia="宋体" w:hAnsi="宋体" w:cs="宋体"/>
          <w:b/>
          <w:bCs/>
          <w:szCs w:val="21"/>
        </w:rPr>
      </w:pPr>
      <w:bookmarkStart w:id="113" w:name="_Toc150439547"/>
      <w:r>
        <w:rPr>
          <w:rFonts w:ascii="宋体" w:eastAsia="宋体" w:hAnsi="宋体" w:cs="宋体" w:hint="eastAsia"/>
          <w:b/>
          <w:bCs/>
          <w:szCs w:val="21"/>
        </w:rPr>
        <w:t>服务范围及内容</w:t>
      </w:r>
      <w:bookmarkEnd w:id="113"/>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7"/>
        <w:gridCol w:w="600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7"/>
        </w:numPr>
        <w:spacing w:before="60" w:after="60" w:line="360" w:lineRule="auto"/>
        <w:ind w:left="840" w:hanging="840"/>
        <w:outlineLvl w:val="1"/>
        <w:rPr>
          <w:rFonts w:ascii="宋体" w:eastAsia="宋体" w:hAnsi="宋体" w:cs="宋体"/>
          <w:b/>
          <w:bCs/>
          <w:szCs w:val="21"/>
        </w:rPr>
      </w:pPr>
      <w:bookmarkStart w:id="114" w:name="_Toc150439549"/>
      <w:r>
        <w:rPr>
          <w:rFonts w:ascii="宋体" w:eastAsia="宋体" w:hAnsi="宋体" w:cs="宋体" w:hint="eastAsia"/>
          <w:b/>
          <w:bCs/>
          <w:szCs w:val="21"/>
        </w:rPr>
        <w:t>乙方的权利与义务</w:t>
      </w:r>
      <w:bookmarkEnd w:id="114"/>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19"/>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15" w:name="_Toc150439565"/>
      <w:r>
        <w:rPr>
          <w:rFonts w:ascii="宋体" w:eastAsia="宋体" w:hAnsi="宋体" w:cs="宋体" w:hint="eastAsia"/>
          <w:b/>
          <w:bCs/>
          <w:szCs w:val="21"/>
        </w:rPr>
        <w:t>甲方</w:t>
      </w:r>
      <w:r>
        <w:rPr>
          <w:rFonts w:ascii="宋体" w:eastAsia="宋体" w:hAnsi="宋体" w:cs="宋体"/>
          <w:b/>
          <w:bCs/>
          <w:szCs w:val="21"/>
        </w:rPr>
        <w:t>的权利与义务</w:t>
      </w:r>
      <w:bookmarkEnd w:id="115"/>
    </w:p>
    <w:p>
      <w:pPr>
        <w:numPr>
          <w:ilvl w:val="0"/>
          <w:numId w:val="24"/>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5"/>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16" w:name="_Toc150439567"/>
      <w:r>
        <w:rPr>
          <w:rFonts w:ascii="宋体" w:eastAsia="宋体" w:hAnsi="宋体" w:cs="宋体" w:hint="eastAsia"/>
          <w:b/>
          <w:bCs/>
          <w:szCs w:val="21"/>
        </w:rPr>
        <w:t>项目交付</w:t>
      </w:r>
      <w:bookmarkEnd w:id="116"/>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numId w:val="0"/>
        </w:numPr>
        <w:spacing w:line="360" w:lineRule="auto"/>
        <w:ind w:left="420" w:leftChars="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snapToGrid w:val="0"/>
        <w:spacing w:line="360" w:lineRule="auto"/>
        <w:ind w:firstLine="420" w:firstLineChars="200"/>
        <w:rPr>
          <w:rFonts w:ascii="宋体" w:hAnsi="宋体"/>
          <w:szCs w:val="21"/>
          <w:highlight w:val="none"/>
        </w:rPr>
      </w:pPr>
      <w:bookmarkStart w:id="117" w:name="OLE_LINK47"/>
      <w:r>
        <w:rPr>
          <w:rFonts w:ascii="宋体" w:hAnsi="宋体"/>
          <w:szCs w:val="21"/>
          <w:highlight w:val="none"/>
        </w:rPr>
        <w:t>1</w:t>
      </w:r>
      <w:r>
        <w:rPr>
          <w:rFonts w:ascii="宋体" w:hAnsi="宋体" w:hint="eastAsia"/>
          <w:szCs w:val="21"/>
          <w:highlight w:val="none"/>
          <w:lang w:eastAsia="zh-CN"/>
        </w:rPr>
        <w:t>）</w:t>
      </w:r>
      <w:r>
        <w:rPr>
          <w:rFonts w:ascii="宋体" w:hAnsi="宋体" w:hint="eastAsia"/>
          <w:szCs w:val="21"/>
        </w:rPr>
        <w:t>签订本</w:t>
      </w:r>
      <w:r>
        <w:rPr>
          <w:rFonts w:ascii="宋体" w:hAnsi="宋体"/>
          <w:szCs w:val="21"/>
          <w:highlight w:val="none"/>
        </w:rPr>
        <w:t>合同后</w:t>
      </w:r>
      <w:r>
        <w:rPr>
          <w:rFonts w:ascii="宋体" w:hAnsi="宋体"/>
          <w:szCs w:val="21"/>
          <w:highlight w:val="none"/>
          <w:u w:val="single"/>
        </w:rPr>
        <w:t>10</w:t>
      </w:r>
      <w:r>
        <w:rPr>
          <w:rFonts w:ascii="宋体" w:hAnsi="宋体" w:hint="eastAsia"/>
          <w:szCs w:val="21"/>
          <w:highlight w:val="none"/>
        </w:rPr>
        <w:t>个工作日内，乙方向甲方提供</w:t>
      </w:r>
      <w:bookmarkStart w:id="118" w:name="OLE_LINK30"/>
      <w:bookmarkStart w:id="119" w:name="OLE_LINK29"/>
      <w:r>
        <w:rPr>
          <w:rFonts w:ascii="宋体" w:hAnsi="宋体" w:hint="eastAsia"/>
          <w:szCs w:val="21"/>
        </w:rPr>
        <w:t>合同总金额</w:t>
      </w:r>
      <w:r>
        <w:rPr>
          <w:rFonts w:ascii="宋体" w:hAnsi="宋体"/>
          <w:szCs w:val="21"/>
          <w:u w:val="single"/>
        </w:rPr>
        <w:t>50%</w:t>
      </w:r>
      <w:r>
        <w:rPr>
          <w:rFonts w:ascii="宋体" w:hAnsi="宋体" w:hint="eastAsia"/>
          <w:szCs w:val="21"/>
          <w:u w:val="none"/>
        </w:rPr>
        <w:t>的</w:t>
      </w:r>
      <w:r>
        <w:rPr>
          <w:rFonts w:ascii="宋体" w:hAnsi="宋体" w:hint="eastAsia"/>
          <w:szCs w:val="21"/>
          <w:highlight w:val="none"/>
        </w:rPr>
        <w:t>预付款保函</w:t>
      </w:r>
      <w:bookmarkEnd w:id="118"/>
      <w:bookmarkEnd w:id="119"/>
      <w:r>
        <w:rPr>
          <w:rFonts w:ascii="宋体" w:hAnsi="宋体" w:hint="eastAsia"/>
          <w:szCs w:val="21"/>
          <w:highlight w:val="none"/>
        </w:rPr>
        <w:t>，</w:t>
      </w:r>
      <w:r>
        <w:rPr>
          <w:rFonts w:ascii="宋体" w:hAnsi="宋体" w:hint="eastAsia"/>
          <w:szCs w:val="21"/>
        </w:rPr>
        <w:t>即</w:t>
      </w:r>
      <w:r>
        <w:rPr>
          <w:rFonts w:ascii="宋体" w:hAnsi="宋体" w:hint="eastAsia"/>
          <w:szCs w:val="21"/>
          <w:highlight w:val="none"/>
        </w:rPr>
        <w:t>人民币</w:t>
      </w:r>
      <w:r>
        <w:rPr>
          <w:rFonts w:ascii="宋体" w:hAnsi="宋体"/>
          <w:szCs w:val="21"/>
          <w:highlight w:val="none"/>
          <w:u w:val="single"/>
        </w:rPr>
        <w:t xml:space="preserve">        </w:t>
      </w:r>
      <w:r>
        <w:rPr>
          <w:rFonts w:ascii="宋体" w:hAnsi="宋体"/>
          <w:szCs w:val="21"/>
          <w:highlight w:val="none"/>
        </w:rPr>
        <w:t>(大写)，</w:t>
      </w:r>
      <w:r>
        <w:rPr>
          <w:rFonts w:ascii="宋体" w:hAnsi="宋体"/>
          <w:szCs w:val="21"/>
          <w:highlight w:val="none"/>
          <w:u w:val="single"/>
        </w:rPr>
        <w:t xml:space="preserve">        </w:t>
      </w:r>
      <w:r>
        <w:rPr>
          <w:rFonts w:ascii="宋体" w:hAnsi="宋体" w:hint="eastAsia"/>
          <w:szCs w:val="21"/>
          <w:highlight w:val="none"/>
        </w:rPr>
        <w:t>元</w:t>
      </w:r>
      <w:r>
        <w:rPr>
          <w:rFonts w:ascii="宋体" w:hAnsi="宋体"/>
          <w:szCs w:val="21"/>
          <w:highlight w:val="none"/>
        </w:rPr>
        <w:t>(小写)，</w:t>
      </w:r>
      <w:bookmarkStart w:id="120" w:name="OLE_LINK13"/>
      <w:bookmarkStart w:id="121" w:name="OLE_LINK14"/>
      <w:r>
        <w:rPr>
          <w:rFonts w:ascii="宋体" w:hAnsi="宋体" w:hint="eastAsia"/>
          <w:szCs w:val="21"/>
          <w:highlight w:val="none"/>
        </w:rPr>
        <w:t>有效期截止</w:t>
      </w:r>
      <w:r>
        <w:rPr>
          <w:rFonts w:ascii="宋体" w:hAnsi="宋体"/>
          <w:szCs w:val="21"/>
          <w:highlight w:val="none"/>
          <w:u w:val="single"/>
        </w:rPr>
        <w:t xml:space="preserve">_  </w:t>
      </w:r>
      <w:r>
        <w:rPr>
          <w:rFonts w:ascii="宋体" w:hAnsi="宋体"/>
          <w:szCs w:val="21"/>
          <w:highlight w:val="none"/>
        </w:rPr>
        <w:t>_年_</w:t>
      </w:r>
      <w:r>
        <w:rPr>
          <w:rFonts w:ascii="宋体" w:hAnsi="宋体"/>
          <w:szCs w:val="21"/>
          <w:highlight w:val="none"/>
          <w:u w:val="single"/>
        </w:rPr>
        <w:t xml:space="preserve">  </w:t>
      </w:r>
      <w:r>
        <w:rPr>
          <w:rFonts w:ascii="宋体" w:hAnsi="宋体"/>
          <w:szCs w:val="21"/>
          <w:highlight w:val="none"/>
        </w:rPr>
        <w:t>_月_</w:t>
      </w:r>
      <w:r>
        <w:rPr>
          <w:rFonts w:ascii="宋体" w:hAnsi="宋体"/>
          <w:szCs w:val="21"/>
          <w:highlight w:val="none"/>
          <w:u w:val="single"/>
        </w:rPr>
        <w:t xml:space="preserve">   </w:t>
      </w:r>
      <w:r>
        <w:rPr>
          <w:rFonts w:ascii="宋体" w:hAnsi="宋体" w:hint="eastAsia"/>
          <w:szCs w:val="21"/>
          <w:highlight w:val="none"/>
        </w:rPr>
        <w:t>日。</w:t>
      </w:r>
      <w:bookmarkEnd w:id="120"/>
      <w:bookmarkEnd w:id="121"/>
      <w:r>
        <w:rPr>
          <w:rFonts w:ascii="宋体" w:hAnsi="宋体" w:hint="eastAsia"/>
          <w:szCs w:val="21"/>
          <w:highlight w:val="none"/>
        </w:rPr>
        <w:t>甲方收到上述预付款保函后</w:t>
      </w:r>
      <w:r>
        <w:rPr>
          <w:rFonts w:ascii="宋体" w:hAnsi="宋体"/>
          <w:szCs w:val="21"/>
          <w:highlight w:val="none"/>
          <w:u w:val="single"/>
        </w:rPr>
        <w:t>10</w:t>
      </w:r>
      <w:r>
        <w:rPr>
          <w:rFonts w:ascii="宋体" w:hAnsi="宋体" w:hint="eastAsia"/>
          <w:szCs w:val="21"/>
          <w:highlight w:val="none"/>
        </w:rPr>
        <w:t>个工作日内向乙方支付合同总金额的</w:t>
      </w:r>
      <w:r>
        <w:rPr>
          <w:rFonts w:ascii="宋体" w:hAnsi="宋体"/>
          <w:color w:val="auto"/>
          <w:szCs w:val="21"/>
          <w:highlight w:val="none"/>
          <w:u w:val="single"/>
        </w:rPr>
        <w:t>90%</w:t>
      </w:r>
      <w:r>
        <w:rPr>
          <w:rFonts w:ascii="宋体" w:hAnsi="宋体" w:hint="eastAsia"/>
          <w:szCs w:val="21"/>
          <w:highlight w:val="none"/>
        </w:rPr>
        <w:t>，即人民币</w:t>
      </w:r>
      <w:r>
        <w:rPr>
          <w:rFonts w:ascii="宋体" w:hAnsi="宋体"/>
          <w:szCs w:val="21"/>
          <w:highlight w:val="none"/>
          <w:u w:val="single"/>
        </w:rPr>
        <w:t xml:space="preserve"> </w:t>
      </w:r>
      <w:r>
        <w:rPr>
          <w:rFonts w:ascii="宋体" w:hAnsi="宋体" w:hint="eastAsia"/>
          <w:szCs w:val="21"/>
          <w:u w:val="single"/>
        </w:rPr>
        <w:t xml:space="preserve">    </w:t>
      </w:r>
      <w:r>
        <w:rPr>
          <w:rFonts w:ascii="宋体" w:hAnsi="宋体"/>
          <w:szCs w:val="21"/>
          <w:highlight w:val="none"/>
        </w:rPr>
        <w:t>(大写),</w:t>
      </w:r>
      <w:r>
        <w:rPr>
          <w:rFonts w:ascii="宋体" w:hAnsi="宋体"/>
          <w:szCs w:val="21"/>
          <w:highlight w:val="none"/>
          <w:u w:val="single"/>
        </w:rPr>
        <w:t xml:space="preserve">          </w:t>
      </w:r>
      <w:r>
        <w:rPr>
          <w:rFonts w:ascii="宋体" w:hAnsi="宋体" w:hint="eastAsia"/>
          <w:szCs w:val="21"/>
          <w:highlight w:val="none"/>
        </w:rPr>
        <w:t>元</w:t>
      </w:r>
      <w:r>
        <w:rPr>
          <w:rFonts w:ascii="宋体" w:hAnsi="宋体"/>
          <w:szCs w:val="21"/>
          <w:highlight w:val="none"/>
        </w:rPr>
        <w:t>(小写)。</w:t>
      </w:r>
    </w:p>
    <w:p>
      <w:pPr>
        <w:snapToGrid/>
        <w:spacing w:line="360" w:lineRule="auto"/>
        <w:ind w:firstLine="420" w:firstLineChars="200"/>
        <w:jc w:val="left"/>
        <w:rPr>
          <w:rFonts w:ascii="Times New Roman" w:hAnsi="Times New Roman"/>
          <w:szCs w:val="21"/>
          <w:highlight w:val="none"/>
        </w:rPr>
      </w:pPr>
      <w:r>
        <w:rPr>
          <w:rFonts w:ascii="宋体" w:hAnsi="宋体" w:hint="eastAsia"/>
          <w:szCs w:val="21"/>
        </w:rPr>
        <w:t>2</w:t>
      </w:r>
      <w:bookmarkStart w:id="122" w:name="OLE_LINK11"/>
      <w:bookmarkStart w:id="123" w:name="OLE_LINK12"/>
      <w:r>
        <w:rPr>
          <w:rFonts w:ascii="宋体" w:hAnsi="宋体" w:hint="eastAsia"/>
          <w:szCs w:val="21"/>
          <w:highlight w:val="none"/>
          <w:lang w:eastAsia="zh-CN"/>
        </w:rPr>
        <w:t>）</w:t>
      </w:r>
      <w:r>
        <w:rPr>
          <w:rFonts w:ascii="宋体" w:hAnsi="宋体" w:hint="eastAsia"/>
          <w:szCs w:val="21"/>
          <w:highlight w:val="none"/>
        </w:rPr>
        <w:t>项目</w:t>
      </w:r>
      <w:r>
        <w:rPr>
          <w:rFonts w:ascii="宋体" w:hAnsi="宋体" w:hint="eastAsia"/>
          <w:szCs w:val="21"/>
        </w:rPr>
        <w:t>初</w:t>
      </w:r>
      <w:r>
        <w:rPr>
          <w:rFonts w:ascii="宋体" w:hAnsi="宋体" w:hint="eastAsia"/>
          <w:szCs w:val="21"/>
          <w:highlight w:val="none"/>
        </w:rPr>
        <w:t>验合格且收到</w:t>
      </w:r>
      <w:r>
        <w:rPr>
          <w:rFonts w:ascii="宋体" w:hAnsi="宋体" w:hint="eastAsia"/>
          <w:szCs w:val="21"/>
        </w:rPr>
        <w:t>初</w:t>
      </w:r>
      <w:r>
        <w:rPr>
          <w:rFonts w:ascii="宋体" w:hAnsi="宋体" w:hint="eastAsia"/>
          <w:szCs w:val="21"/>
          <w:highlight w:val="none"/>
        </w:rPr>
        <w:t>验合格证明后</w:t>
      </w:r>
      <w:r>
        <w:rPr>
          <w:rFonts w:ascii="宋体" w:hAnsi="宋体"/>
          <w:szCs w:val="21"/>
          <w:highlight w:val="none"/>
          <w:u w:val="single"/>
        </w:rPr>
        <w:t>10</w:t>
      </w:r>
      <w:r>
        <w:rPr>
          <w:rFonts w:ascii="宋体" w:hAnsi="宋体" w:hint="eastAsia"/>
          <w:szCs w:val="21"/>
          <w:highlight w:val="none"/>
        </w:rPr>
        <w:t>个工作日内</w:t>
      </w:r>
      <w:bookmarkEnd w:id="122"/>
      <w:bookmarkEnd w:id="123"/>
      <w:r>
        <w:rPr>
          <w:rFonts w:ascii="宋体" w:hAnsi="宋体" w:hint="eastAsia"/>
          <w:szCs w:val="21"/>
          <w:highlight w:val="none"/>
        </w:rPr>
        <w:t>，</w:t>
      </w:r>
      <w:bookmarkStart w:id="124" w:name="OLE_LINK25"/>
      <w:bookmarkStart w:id="125" w:name="OLE_LINK26"/>
      <w:r>
        <w:rPr>
          <w:rFonts w:hint="eastAsia"/>
          <w:szCs w:val="21"/>
        </w:rPr>
        <w:t>甲方退还乙方该预付款保函。</w:t>
      </w:r>
      <w:bookmarkEnd w:id="124"/>
      <w:bookmarkEnd w:id="125"/>
      <w:r>
        <w:rPr>
          <w:rFonts w:hint="eastAsia"/>
          <w:szCs w:val="21"/>
        </w:rPr>
        <w:t>同时，乙方向甲方提供合同总金额</w:t>
      </w:r>
      <w:r>
        <w:rPr>
          <w:rFonts w:hint="eastAsia"/>
          <w:szCs w:val="21"/>
          <w:u w:val="single"/>
        </w:rPr>
        <w:t>10%</w:t>
      </w:r>
      <w:r>
        <w:rPr>
          <w:rFonts w:hint="eastAsia"/>
          <w:szCs w:val="21"/>
        </w:rPr>
        <w:t>的履约保函，即人民币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r>
        <w:rPr>
          <w:rFonts w:ascii="宋体" w:hAnsi="宋体" w:hint="eastAsia"/>
          <w:szCs w:val="21"/>
        </w:rPr>
        <w:t>有效期截止</w:t>
      </w:r>
      <w:r>
        <w:rPr>
          <w:rFonts w:ascii="宋体" w:hAnsi="宋体" w:hint="eastAsia"/>
          <w:szCs w:val="21"/>
          <w:u w:val="single"/>
        </w:rPr>
        <w:t xml:space="preserve">_  </w:t>
      </w:r>
      <w:r>
        <w:rPr>
          <w:rFonts w:ascii="宋体" w:hAnsi="宋体" w:hint="eastAsia"/>
          <w:szCs w:val="21"/>
        </w:rPr>
        <w:t>_年_</w:t>
      </w:r>
      <w:r>
        <w:rPr>
          <w:rFonts w:ascii="宋体" w:hAnsi="宋体" w:hint="eastAsia"/>
          <w:szCs w:val="21"/>
          <w:u w:val="single"/>
        </w:rPr>
        <w:t xml:space="preserve">  </w:t>
      </w:r>
      <w:r>
        <w:rPr>
          <w:rFonts w:ascii="宋体" w:hAnsi="宋体" w:hint="eastAsia"/>
          <w:szCs w:val="21"/>
        </w:rPr>
        <w:t>_月_</w:t>
      </w:r>
      <w:r>
        <w:rPr>
          <w:rFonts w:ascii="宋体" w:hAnsi="宋体" w:hint="eastAsia"/>
          <w:szCs w:val="21"/>
          <w:u w:val="single"/>
        </w:rPr>
        <w:t xml:space="preserve">   </w:t>
      </w:r>
      <w:r>
        <w:rPr>
          <w:rFonts w:ascii="宋体" w:hAnsi="宋体" w:hint="eastAsia"/>
          <w:szCs w:val="21"/>
        </w:rPr>
        <w:t>日</w:t>
      </w:r>
      <w:r>
        <w:rPr>
          <w:rFonts w:hint="eastAsia"/>
          <w:szCs w:val="21"/>
        </w:rPr>
        <w:t>。甲方收到上述履约保函后</w:t>
      </w:r>
      <w:r>
        <w:rPr>
          <w:rFonts w:hint="eastAsia"/>
          <w:szCs w:val="21"/>
          <w:u w:val="single"/>
        </w:rPr>
        <w:t>10</w:t>
      </w:r>
      <w:r>
        <w:rPr>
          <w:rFonts w:hint="eastAsia"/>
          <w:szCs w:val="21"/>
        </w:rPr>
        <w:t>个工作日内向</w:t>
      </w:r>
      <w:r>
        <w:rPr>
          <w:rFonts w:asciiTheme="minorHAnsi" w:hAnsiTheme="minorHAnsi" w:hint="eastAsia"/>
          <w:szCs w:val="21"/>
        </w:rPr>
        <w:t>乙方支付合同总金额的</w:t>
      </w:r>
      <w:r>
        <w:rPr>
          <w:rFonts w:hint="eastAsia"/>
          <w:szCs w:val="21"/>
          <w:u w:val="single"/>
        </w:rPr>
        <w:t>10</w:t>
      </w:r>
      <w:r>
        <w:rPr>
          <w:rFonts w:asciiTheme="minorHAnsi" w:hAnsiTheme="minorHAnsi" w:hint="eastAsia"/>
          <w:szCs w:val="21"/>
          <w:u w:val="single"/>
        </w:rPr>
        <w:t xml:space="preserve"> %</w:t>
      </w:r>
      <w:r>
        <w:rPr>
          <w:rFonts w:asciiTheme="minorHAnsi" w:hAnsiTheme="minorHAnsi" w:hint="eastAsia"/>
          <w:szCs w:val="21"/>
        </w:rPr>
        <w:t>，即人民币：</w:t>
      </w:r>
      <w:r>
        <w:rPr>
          <w:rFonts w:hint="eastAsia"/>
          <w:szCs w:val="21"/>
          <w:u w:val="single"/>
        </w:rPr>
        <w:t xml:space="preserve">         </w:t>
      </w:r>
      <w:r>
        <w:rPr>
          <w:rFonts w:asciiTheme="minorHAnsi" w:hAnsiTheme="minorHAnsi" w:hint="eastAsia"/>
          <w:szCs w:val="21"/>
        </w:rPr>
        <w:t>元（大写）：</w:t>
      </w:r>
      <w:r>
        <w:rPr>
          <w:rFonts w:hint="eastAsia"/>
          <w:szCs w:val="21"/>
          <w:u w:val="single"/>
        </w:rPr>
        <w:t xml:space="preserve">           </w:t>
      </w:r>
      <w:r>
        <w:rPr>
          <w:rFonts w:asciiTheme="minorHAnsi" w:hAnsiTheme="minorHAnsi" w:hint="eastAsia"/>
          <w:szCs w:val="21"/>
        </w:rPr>
        <w:t>元（小写）；</w:t>
      </w:r>
    </w:p>
    <w:p>
      <w:pPr>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lang w:eastAsia="zh-CN"/>
        </w:rPr>
        <w:t>）</w:t>
      </w:r>
      <w:r>
        <w:rPr>
          <w:rFonts w:ascii="宋体" w:hAnsi="宋体"/>
          <w:szCs w:val="21"/>
        </w:rPr>
        <w:t>项目</w:t>
      </w:r>
      <w:bookmarkStart w:id="126" w:name="OLE_LINK8"/>
      <w:bookmarkStart w:id="127" w:name="OLE_LINK7"/>
      <w:r>
        <w:rPr>
          <w:rFonts w:ascii="宋体" w:hAnsi="宋体" w:hint="eastAsia"/>
          <w:szCs w:val="21"/>
        </w:rPr>
        <w:t>终验</w:t>
      </w:r>
      <w:bookmarkEnd w:id="126"/>
      <w:bookmarkEnd w:id="127"/>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128" w:name="OLE_LINK37"/>
      <w:bookmarkStart w:id="129" w:name="OLE_LINK38"/>
      <w:r>
        <w:rPr>
          <w:rFonts w:ascii="宋体" w:hAnsi="宋体" w:hint="eastAsia"/>
          <w:szCs w:val="21"/>
        </w:rPr>
        <w:t>甲方向乙方退还该履约保函。</w:t>
      </w:r>
      <w:bookmarkEnd w:id="128"/>
      <w:bookmarkEnd w:id="129"/>
    </w:p>
    <w:p>
      <w:pPr>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highlight w:val="none"/>
          <w:lang w:eastAsia="zh-CN"/>
        </w:rPr>
        <w:t>）</w:t>
      </w:r>
      <w:r>
        <w:rPr>
          <w:rFonts w:ascii="宋体" w:hAnsi="宋体"/>
          <w:szCs w:val="21"/>
          <w:highlight w:val="none"/>
        </w:rPr>
        <w:t>上述付款条件满足，但项目资金未完全下达，则付款时间延后为资金下达后</w:t>
      </w:r>
      <w:r>
        <w:rPr>
          <w:rFonts w:ascii="宋体" w:hAnsi="宋体"/>
          <w:szCs w:val="21"/>
          <w:highlight w:val="none"/>
          <w:u w:val="single"/>
        </w:rPr>
        <w:t>15</w:t>
      </w:r>
      <w:r>
        <w:rPr>
          <w:rFonts w:ascii="宋体" w:hAnsi="宋体" w:hint="eastAsia"/>
          <w:szCs w:val="21"/>
          <w:highlight w:val="none"/>
        </w:rPr>
        <w:t>个工作日内。</w:t>
      </w:r>
    </w:p>
    <w:bookmarkEnd w:id="117"/>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0" w:name="_Toc150439569"/>
      <w:r>
        <w:rPr>
          <w:rFonts w:ascii="宋体" w:eastAsia="宋体" w:hAnsi="宋体" w:cs="宋体" w:hint="eastAsia"/>
          <w:b/>
          <w:bCs/>
          <w:szCs w:val="21"/>
        </w:rPr>
        <w:t>项目验收</w:t>
      </w:r>
      <w:bookmarkEnd w:id="130"/>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1" w:name="_Toc150439566"/>
      <w:r>
        <w:rPr>
          <w:rFonts w:ascii="宋体" w:eastAsia="宋体" w:hAnsi="宋体" w:cs="宋体" w:hint="eastAsia"/>
          <w:b/>
          <w:bCs/>
          <w:szCs w:val="21"/>
        </w:rPr>
        <w:t>质量保证</w:t>
      </w:r>
      <w:bookmarkEnd w:id="131"/>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2" w:name="_Toc150439612"/>
      <w:r>
        <w:rPr>
          <w:rFonts w:ascii="宋体" w:eastAsia="宋体" w:hAnsi="宋体" w:cs="宋体" w:hint="eastAsia"/>
          <w:b/>
          <w:bCs/>
          <w:szCs w:val="21"/>
        </w:rPr>
        <w:t>保密条款（保密协议）</w:t>
      </w:r>
      <w:bookmarkEnd w:id="132"/>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37"/>
        </w:numPr>
        <w:spacing w:line="360" w:lineRule="auto"/>
        <w:ind w:firstLine="420" w:firstLineChars="200"/>
        <w:rPr>
          <w:rFonts w:ascii="宋体" w:eastAsia="宋体" w:hAnsi="宋体" w:cs="宋体"/>
          <w:szCs w:val="21"/>
        </w:rPr>
      </w:pPr>
      <w:bookmarkStart w:id="133"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37"/>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133"/>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134" w:name="_Hlk150343509"/>
      <w:r>
        <w:rPr>
          <w:rFonts w:ascii="宋体" w:eastAsia="宋体" w:hAnsi="宋体" w:cs="宋体" w:hint="eastAsia"/>
          <w:szCs w:val="21"/>
          <w:u w:val="single"/>
        </w:rPr>
        <w:t xml:space="preserve">                             </w:t>
      </w:r>
      <w:bookmarkEnd w:id="134"/>
      <w:r>
        <w:rPr>
          <w:rFonts w:ascii="宋体" w:eastAsia="宋体" w:hAnsi="宋体" w:cs="宋体" w:hint="eastAsia"/>
          <w:szCs w:val="21"/>
          <w:u w:val="single"/>
        </w:rPr>
        <w:t xml:space="preserve">                                </w:t>
      </w:r>
    </w:p>
    <w:p>
      <w:pPr>
        <w:numPr>
          <w:ilvl w:val="0"/>
          <w:numId w:val="3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5" w:name="_Toc150439618"/>
      <w:r>
        <w:rPr>
          <w:rFonts w:ascii="宋体" w:eastAsia="宋体" w:hAnsi="宋体" w:cs="宋体" w:hint="eastAsia"/>
          <w:b/>
          <w:bCs/>
          <w:szCs w:val="21"/>
        </w:rPr>
        <w:t>违约</w:t>
      </w:r>
      <w:r>
        <w:rPr>
          <w:rFonts w:ascii="宋体" w:eastAsia="宋体" w:hAnsi="宋体" w:cs="宋体"/>
          <w:b/>
          <w:bCs/>
          <w:szCs w:val="21"/>
        </w:rPr>
        <w:t>责任及赔偿</w:t>
      </w:r>
      <w:bookmarkEnd w:id="135"/>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6" w:name="_Toc150439619"/>
      <w:r>
        <w:rPr>
          <w:rFonts w:ascii="宋体" w:eastAsia="宋体" w:hAnsi="宋体" w:cs="宋体" w:hint="eastAsia"/>
          <w:b/>
          <w:bCs/>
          <w:szCs w:val="21"/>
        </w:rPr>
        <w:t>争议的解决</w:t>
      </w:r>
      <w:bookmarkEnd w:id="136"/>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1"/>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1"/>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7" w:name="_Toc150439621"/>
      <w:r>
        <w:rPr>
          <w:rFonts w:ascii="宋体" w:eastAsia="宋体" w:hAnsi="宋体" w:cs="宋体" w:hint="eastAsia"/>
          <w:b/>
          <w:bCs/>
          <w:szCs w:val="21"/>
        </w:rPr>
        <w:t>不可抗力</w:t>
      </w:r>
      <w:bookmarkEnd w:id="137"/>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8" w:name="_Toc150439624"/>
      <w:r>
        <w:rPr>
          <w:rFonts w:ascii="宋体" w:eastAsia="宋体" w:hAnsi="宋体" w:cs="宋体" w:hint="eastAsia"/>
          <w:b/>
          <w:bCs/>
          <w:szCs w:val="21"/>
        </w:rPr>
        <w:t>本合同的变更</w:t>
      </w:r>
      <w:bookmarkEnd w:id="138"/>
    </w:p>
    <w:p>
      <w:pPr>
        <w:numPr>
          <w:ilvl w:val="0"/>
          <w:numId w:val="45"/>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5"/>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39" w:name="_Toc150439623"/>
      <w:r>
        <w:rPr>
          <w:rFonts w:ascii="宋体" w:eastAsia="宋体" w:hAnsi="宋体" w:cs="宋体" w:hint="eastAsia"/>
          <w:b/>
          <w:bCs/>
          <w:szCs w:val="21"/>
        </w:rPr>
        <w:t>其它</w:t>
      </w:r>
      <w:bookmarkEnd w:id="139"/>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40" w:name="_Toc150439626"/>
      <w:r>
        <w:rPr>
          <w:rFonts w:ascii="宋体" w:eastAsia="宋体" w:hAnsi="宋体" w:cs="宋体" w:hint="eastAsia"/>
          <w:b/>
          <w:bCs/>
          <w:szCs w:val="21"/>
        </w:rPr>
        <w:t>合同生效</w:t>
      </w:r>
      <w:bookmarkEnd w:id="140"/>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numPr>
          <w:ilvl w:val="0"/>
          <w:numId w:val="5"/>
        </w:numPr>
        <w:spacing w:line="360" w:lineRule="auto"/>
        <w:ind w:firstLine="3066" w:firstLineChars="1460"/>
        <w:jc w:val="left"/>
        <w:rPr>
          <w:rFonts w:ascii="Times New Roman" w:eastAsia="宋体" w:hAnsi="Times New Roman" w:cs="Times New Roman" w:hint="eastAsia"/>
          <w:b/>
          <w:bCs/>
          <w:szCs w:val="21"/>
        </w:rPr>
      </w:pPr>
      <w:bookmarkEnd w:id="108"/>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Times New Roman (正文 CS 字体)">
    <w:altName w:val="宋体"/>
    <w:charset w:val="86"/>
    <w:family w:val="roman"/>
    <w:pitch w:val="default"/>
    <w:sig w:usb0="00000000" w:usb1="00000000" w:usb2="00000000" w:usb3="00000000" w:csb0="00040000" w:csb1="00000000"/>
  </w:font>
  <w:font w:name="Times New Roman (标题 CS)">
    <w:altName w:val="宋体"/>
    <w:charset w:val="86"/>
    <w:family w:val="roma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FCFBA019"/>
    <w:multiLevelType w:val="singleLevel"/>
    <w:tmpl w:val="FCFBA019"/>
    <w:lvl w:ilvl="0">
      <w:start w:val="1"/>
      <w:numFmt w:val="decimal"/>
      <w:lvlText w:val="%1)"/>
      <w:lvlJc w:val="left"/>
      <w:pPr>
        <w:ind w:left="425" w:hanging="425"/>
      </w:pPr>
      <w:rPr>
        <w:rFonts w:hint="default"/>
      </w:rPr>
    </w:lvl>
  </w:abstractNum>
  <w:abstractNum w:abstractNumId="9">
    <w:nsid w:val="FDBF5E33"/>
    <w:multiLevelType w:val="singleLevel"/>
    <w:tmpl w:val="FDBF5E33"/>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3DD946C"/>
    <w:multiLevelType w:val="singleLevel"/>
    <w:tmpl w:val="13DD946C"/>
    <w:lvl w:ilvl="0">
      <w:start w:val="9"/>
      <w:numFmt w:val="chineseCounting"/>
      <w:suff w:val="space"/>
      <w:lvlText w:val="第%1章"/>
      <w:lvlJc w:val="left"/>
      <w:rPr>
        <w:rFonts w:hint="eastAsia"/>
      </w:rPr>
    </w:lvl>
  </w:abstractNum>
  <w:abstractNum w:abstractNumId="22">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6">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4C7A993F"/>
    <w:multiLevelType w:val="singleLevel"/>
    <w:tmpl w:val="4C7A993F"/>
    <w:lvl w:ilvl="0">
      <w:start w:val="1"/>
      <w:numFmt w:val="decimal"/>
      <w:lvlText w:val="%1)"/>
      <w:lvlJc w:val="left"/>
      <w:pPr>
        <w:ind w:left="425" w:hanging="425"/>
      </w:pPr>
      <w:rPr>
        <w:rFonts w:hint="default"/>
      </w:rPr>
    </w:lvl>
  </w:abstractNum>
  <w:abstractNum w:abstractNumId="30">
    <w:nsid w:val="57FFC18B"/>
    <w:multiLevelType w:val="singleLevel"/>
    <w:tmpl w:val="57FFC18B"/>
    <w:lvl w:ilvl="0">
      <w:start w:val="1"/>
      <w:numFmt w:val="decimal"/>
      <w:lvlText w:val="%1)"/>
      <w:lvlJc w:val="left"/>
      <w:pPr>
        <w:ind w:left="425" w:hanging="425"/>
      </w:pPr>
      <w:rPr>
        <w:rFonts w:hint="default"/>
      </w:rPr>
    </w:lvl>
  </w:abstractNum>
  <w:abstractNum w:abstractNumId="31">
    <w:nsid w:val="582D077E"/>
    <w:multiLevelType w:val="multilevel"/>
    <w:tmpl w:val="582D077E"/>
    <w:lvl w:ilvl="0">
      <w:start w:val="1"/>
      <w:numFmt w:val="decimal"/>
      <w:pStyle w:val="Heading1"/>
      <w:suff w:val="space"/>
      <w:lvlText w:val="%1"/>
      <w:lvlJc w:val="left"/>
      <w:pPr>
        <w:ind w:left="425" w:hanging="425"/>
      </w:pPr>
      <w:rPr>
        <w:rFonts w:hint="eastAsia"/>
      </w:rPr>
    </w:lvl>
    <w:lvl w:ilvl="1">
      <w:start w:val="1"/>
      <w:numFmt w:val="decimal"/>
      <w:pStyle w:val="Heading2"/>
      <w:suff w:val="space"/>
      <w:lvlText w:val="%1.%2"/>
      <w:lvlJc w:val="left"/>
      <w:pPr>
        <w:ind w:left="425" w:hanging="425"/>
      </w:pPr>
      <w:rPr>
        <w:rFonts w:hint="eastAsia"/>
      </w:rPr>
    </w:lvl>
    <w:lvl w:ilvl="2">
      <w:start w:val="1"/>
      <w:numFmt w:val="decimal"/>
      <w:pStyle w:val="Heading3"/>
      <w:suff w:val="space"/>
      <w:lvlText w:val="%1.%2.%3"/>
      <w:lvlJc w:val="left"/>
      <w:pPr>
        <w:ind w:left="425" w:hanging="425"/>
      </w:pPr>
      <w:rPr>
        <w:rFonts w:hint="eastAsia"/>
      </w:rPr>
    </w:lvl>
    <w:lvl w:ilvl="3">
      <w:start w:val="1"/>
      <w:numFmt w:val="decimal"/>
      <w:pStyle w:val="Heading4"/>
      <w:suff w:val="space"/>
      <w:lvlText w:val="%1.%2.%3.%4"/>
      <w:lvlJc w:val="left"/>
      <w:pPr>
        <w:ind w:left="425" w:hanging="425"/>
      </w:pPr>
      <w:rPr>
        <w:rFonts w:hint="eastAsia"/>
      </w:rPr>
    </w:lvl>
    <w:lvl w:ilvl="4">
      <w:start w:val="1"/>
      <w:numFmt w:val="decimal"/>
      <w:pStyle w:val="Heading5"/>
      <w:suff w:val="space"/>
      <w:lvlText w:val="%1.%2.%3.%4.%5"/>
      <w:lvlJc w:val="left"/>
      <w:pPr>
        <w:ind w:left="425" w:hanging="425"/>
      </w:pPr>
      <w:rPr>
        <w:rFonts w:hint="eastAsia"/>
      </w:rPr>
    </w:lvl>
    <w:lvl w:ilvl="5">
      <w:start w:val="1"/>
      <w:numFmt w:val="decimal"/>
      <w:pStyle w:val="Heading6"/>
      <w:suff w:val="space"/>
      <w:lvlText w:val="%1.%2.%3.%4.%5.%6"/>
      <w:lvlJc w:val="left"/>
      <w:pPr>
        <w:ind w:left="425" w:hanging="425"/>
      </w:pPr>
      <w:rPr>
        <w:rFonts w:hint="eastAsia"/>
      </w:rPr>
    </w:lvl>
    <w:lvl w:ilvl="6">
      <w:start w:val="1"/>
      <w:numFmt w:val="decimal"/>
      <w:pStyle w:val="Heading7"/>
      <w:suff w:val="space"/>
      <w:lvlText w:val="%1.%2.%3.%4.%5.%6.%7"/>
      <w:lvlJc w:val="left"/>
      <w:pPr>
        <w:ind w:left="425" w:hanging="425"/>
      </w:pPr>
      <w:rPr>
        <w:rFonts w:hint="eastAsia"/>
      </w:rPr>
    </w:lvl>
    <w:lvl w:ilvl="7">
      <w:start w:val="1"/>
      <w:numFmt w:val="decimal"/>
      <w:pStyle w:val="Heading8"/>
      <w:suff w:val="space"/>
      <w:lvlText w:val="%1.%2.%3.%4.%5.%6.%7.%8"/>
      <w:lvlJc w:val="left"/>
      <w:pPr>
        <w:ind w:left="425" w:hanging="425"/>
      </w:pPr>
      <w:rPr>
        <w:rFonts w:hint="eastAsia"/>
      </w:rPr>
    </w:lvl>
    <w:lvl w:ilvl="8">
      <w:start w:val="1"/>
      <w:numFmt w:val="decimal"/>
      <w:pStyle w:val="Heading9"/>
      <w:suff w:val="space"/>
      <w:lvlText w:val="%1.%2.%3.%4.%5.%6.%7.%8.%9"/>
      <w:lvlJc w:val="left"/>
      <w:pPr>
        <w:ind w:left="425" w:hanging="425"/>
      </w:pPr>
      <w:rPr>
        <w:rFonts w:hint="eastAsia"/>
      </w:rPr>
    </w:lvl>
  </w:abstractNum>
  <w:abstractNum w:abstractNumId="32">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4">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9F8DDAB"/>
    <w:multiLevelType w:val="singleLevel"/>
    <w:tmpl w:val="79F8DDAB"/>
    <w:lvl w:ilvl="0">
      <w:start w:val="1"/>
      <w:numFmt w:val="decimal"/>
      <w:lvlText w:val="%1)"/>
      <w:lvlJc w:val="left"/>
      <w:pPr>
        <w:ind w:left="425" w:hanging="425"/>
      </w:pPr>
      <w:rPr>
        <w:rFonts w:hint="default"/>
      </w:rPr>
    </w:lvl>
  </w:abstractNum>
  <w:abstractNum w:abstractNumId="42">
    <w:nsid w:val="7BF79D3F"/>
    <w:multiLevelType w:val="singleLevel"/>
    <w:tmpl w:val="7BF79D3F"/>
    <w:lvl w:ilvl="0">
      <w:start w:val="1"/>
      <w:numFmt w:val="decimal"/>
      <w:lvlText w:val="%1)"/>
      <w:lvlJc w:val="left"/>
      <w:pPr>
        <w:ind w:left="425" w:hanging="425"/>
      </w:pPr>
      <w:rPr>
        <w:rFonts w:hint="default"/>
      </w:rPr>
    </w:lvl>
  </w:abstractNum>
  <w:abstractNum w:abstractNumId="43">
    <w:nsid w:val="7FAFA353"/>
    <w:multiLevelType w:val="singleLevel"/>
    <w:tmpl w:val="7FAFA353"/>
    <w:lvl w:ilvl="0">
      <w:start w:val="1"/>
      <w:numFmt w:val="decimal"/>
      <w:lvlText w:val="%1)"/>
      <w:lvlJc w:val="left"/>
      <w:pPr>
        <w:ind w:left="425" w:hanging="425"/>
      </w:pPr>
      <w:rPr>
        <w:rFonts w:hint="default"/>
      </w:rPr>
    </w:lvl>
  </w:abstractNum>
  <w:abstractNum w:abstractNumId="44">
    <w:nsid w:val="7FDAC479"/>
    <w:multiLevelType w:val="singleLevel"/>
    <w:tmpl w:val="7FDAC479"/>
    <w:lvl w:ilvl="0">
      <w:start w:val="1"/>
      <w:numFmt w:val="decimal"/>
      <w:lvlText w:val="%1)"/>
      <w:lvlJc w:val="left"/>
      <w:pPr>
        <w:ind w:left="425" w:hanging="425"/>
      </w:pPr>
      <w:rPr>
        <w:rFonts w:hint="default"/>
      </w:rPr>
    </w:lvl>
  </w:abstractNum>
  <w:abstractNum w:abstractNumId="45">
    <w:nsid w:val="7FF73EAD"/>
    <w:multiLevelType w:val="singleLevel"/>
    <w:tmpl w:val="7FF73EAD"/>
    <w:lvl w:ilvl="0">
      <w:start w:val="1"/>
      <w:numFmt w:val="decimal"/>
      <w:lvlText w:val="%1)"/>
      <w:lvlJc w:val="left"/>
      <w:pPr>
        <w:ind w:left="425" w:hanging="425"/>
      </w:pPr>
      <w:rPr>
        <w:rFonts w:hint="default"/>
      </w:rPr>
    </w:lvl>
  </w:abstractNum>
  <w:abstractNum w:abstractNumId="46">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31"/>
  </w:num>
  <w:num w:numId="5">
    <w:abstractNumId w:val="21"/>
  </w:num>
  <w:num w:numId="6">
    <w:abstractNumId w:val="0"/>
  </w:num>
  <w:num w:numId="7">
    <w:abstractNumId w:val="23"/>
  </w:num>
  <w:num w:numId="8">
    <w:abstractNumId w:val="37"/>
  </w:num>
  <w:num w:numId="9">
    <w:abstractNumId w:val="22"/>
  </w:num>
  <w:num w:numId="10">
    <w:abstractNumId w:val="40"/>
  </w:num>
  <w:num w:numId="11">
    <w:abstractNumId w:val="3"/>
  </w:num>
  <w:num w:numId="12">
    <w:abstractNumId w:val="45"/>
  </w:num>
  <w:num w:numId="13">
    <w:abstractNumId w:val="5"/>
  </w:num>
  <w:num w:numId="14">
    <w:abstractNumId w:val="36"/>
  </w:num>
  <w:num w:numId="15">
    <w:abstractNumId w:val="11"/>
  </w:num>
  <w:num w:numId="16">
    <w:abstractNumId w:val="35"/>
  </w:num>
  <w:num w:numId="17">
    <w:abstractNumId w:val="34"/>
  </w:num>
  <w:num w:numId="18">
    <w:abstractNumId w:val="16"/>
  </w:num>
  <w:num w:numId="19">
    <w:abstractNumId w:val="39"/>
  </w:num>
  <w:num w:numId="20">
    <w:abstractNumId w:val="2"/>
  </w:num>
  <w:num w:numId="21">
    <w:abstractNumId w:val="41"/>
  </w:num>
  <w:num w:numId="22">
    <w:abstractNumId w:val="42"/>
  </w:num>
  <w:num w:numId="23">
    <w:abstractNumId w:val="30"/>
  </w:num>
  <w:num w:numId="24">
    <w:abstractNumId w:val="25"/>
  </w:num>
  <w:num w:numId="25">
    <w:abstractNumId w:val="7"/>
  </w:num>
  <w:num w:numId="26">
    <w:abstractNumId w:val="1"/>
  </w:num>
  <w:num w:numId="27">
    <w:abstractNumId w:val="19"/>
  </w:num>
  <w:num w:numId="28">
    <w:abstractNumId w:val="43"/>
  </w:num>
  <w:num w:numId="29">
    <w:abstractNumId w:val="29"/>
  </w:num>
  <w:num w:numId="30">
    <w:abstractNumId w:val="26"/>
  </w:num>
  <w:num w:numId="31">
    <w:abstractNumId w:val="44"/>
  </w:num>
  <w:num w:numId="32">
    <w:abstractNumId w:val="6"/>
  </w:num>
  <w:num w:numId="33">
    <w:abstractNumId w:val="38"/>
  </w:num>
  <w:num w:numId="34">
    <w:abstractNumId w:val="46"/>
  </w:num>
  <w:num w:numId="35">
    <w:abstractNumId w:val="10"/>
  </w:num>
  <w:num w:numId="36">
    <w:abstractNumId w:val="28"/>
  </w:num>
  <w:num w:numId="37">
    <w:abstractNumId w:val="32"/>
  </w:num>
  <w:num w:numId="38">
    <w:abstractNumId w:val="18"/>
  </w:num>
  <w:num w:numId="39">
    <w:abstractNumId w:val="12"/>
  </w:num>
  <w:num w:numId="40">
    <w:abstractNumId w:val="20"/>
  </w:num>
  <w:num w:numId="41">
    <w:abstractNumId w:val="9"/>
  </w:num>
  <w:num w:numId="42">
    <w:abstractNumId w:val="33"/>
  </w:num>
  <w:num w:numId="43">
    <w:abstractNumId w:val="4"/>
  </w:num>
  <w:num w:numId="44">
    <w:abstractNumId w:val="8"/>
  </w:num>
  <w:num w:numId="45">
    <w:abstractNumId w:val="15"/>
  </w:num>
  <w:num w:numId="46">
    <w:abstractNumId w:val="27"/>
  </w:num>
  <w:num w:numId="4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352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4B14"/>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uiPriority w:val="9"/>
    <w:unhideWhenUsed/>
    <w:qFormat/>
    <w:pPr>
      <w:keepNext/>
      <w:keepLines/>
      <w:numPr>
        <w:ilvl w:val="4"/>
        <w:numId w:val="4"/>
      </w:numPr>
      <w:tabs>
        <w:tab w:val="left" w:pos="480"/>
      </w:tabs>
      <w:spacing w:before="50" w:beforeLines="50" w:after="50" w:afterLines="50" w:line="360" w:lineRule="auto"/>
      <w:ind w:left="0" w:firstLine="0"/>
      <w:jc w:val="left"/>
      <w:outlineLvl w:val="4"/>
    </w:pPr>
    <w:rPr>
      <w:rFonts w:cs="Times New Roman (标题 CS)"/>
      <w:b/>
      <w:color w:val="000000"/>
      <w:sz w:val="28"/>
      <w:szCs w:val="24"/>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unhideWhenUsed/>
    <w:qFormat/>
    <w:pPr>
      <w:keepNext/>
      <w:keepLines/>
      <w:numPr>
        <w:ilvl w:val="6"/>
        <w:numId w:val="4"/>
      </w:numPr>
      <w:tabs>
        <w:tab w:val="left" w:pos="480"/>
      </w:tabs>
      <w:spacing w:before="50" w:beforeLines="50" w:after="50" w:afterLines="50" w:line="360" w:lineRule="auto"/>
      <w:ind w:left="0" w:firstLine="0"/>
      <w:jc w:val="left"/>
      <w:outlineLvl w:val="6"/>
    </w:pPr>
    <w:rPr>
      <w:b/>
      <w:bCs/>
      <w:color w:val="000000"/>
      <w:sz w:val="28"/>
      <w:szCs w:val="24"/>
    </w:rPr>
  </w:style>
  <w:style w:type="paragraph" w:styleId="Heading8">
    <w:name w:val="heading 8"/>
    <w:basedOn w:val="Normal"/>
    <w:next w:val="Normal"/>
    <w:link w:val="8"/>
    <w:uiPriority w:val="9"/>
    <w:unhideWhenUsed/>
    <w:qFormat/>
    <w:pPr>
      <w:keepNext/>
      <w:keepLines/>
      <w:numPr>
        <w:ilvl w:val="7"/>
        <w:numId w:val="4"/>
      </w:numPr>
      <w:tabs>
        <w:tab w:val="left" w:pos="480"/>
      </w:tabs>
      <w:spacing w:line="360" w:lineRule="auto"/>
      <w:ind w:firstLineChars="200"/>
      <w:jc w:val="left"/>
      <w:outlineLvl w:val="7"/>
    </w:pPr>
    <w:rPr>
      <w:color w:val="595959" w:themeTint="A6"/>
      <w:sz w:val="24"/>
      <w:szCs w:val="24"/>
    </w:rPr>
  </w:style>
  <w:style w:type="paragraph" w:styleId="Heading9">
    <w:name w:val="heading 9"/>
    <w:basedOn w:val="Normal"/>
    <w:next w:val="Normal"/>
    <w:link w:val="9"/>
    <w:uiPriority w:val="9"/>
    <w:unhideWhenUsed/>
    <w:qFormat/>
    <w:pPr>
      <w:keepNext/>
      <w:keepLines/>
      <w:numPr>
        <w:ilvl w:val="8"/>
        <w:numId w:val="4"/>
      </w:numPr>
      <w:tabs>
        <w:tab w:val="left" w:pos="480"/>
      </w:tabs>
      <w:spacing w:line="360" w:lineRule="auto"/>
      <w:ind w:firstLineChars="200"/>
      <w:jc w:val="left"/>
      <w:outlineLvl w:val="8"/>
    </w:pPr>
    <w:rPr>
      <w:rFonts w:eastAsia="等线 Light"/>
      <w:color w:val="595959" w:themeTint="A6"/>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5">
    <w:name w:val="标题 5 字符"/>
    <w:basedOn w:val="DefaultParagraphFont"/>
    <w:link w:val="Heading5"/>
    <w:uiPriority w:val="9"/>
    <w:qFormat/>
    <w:rPr>
      <w:rFonts w:cs="Times New Roman (标题 CS)"/>
      <w:b/>
      <w:color w:val="000000"/>
      <w:sz w:val="28"/>
      <w:lang w:eastAsia="zh-CN"/>
    </w:rPr>
  </w:style>
  <w:style w:type="character" w:customStyle="1" w:styleId="7">
    <w:name w:val="标题 7 字符"/>
    <w:basedOn w:val="DefaultParagraphFont"/>
    <w:link w:val="Heading7"/>
    <w:uiPriority w:val="9"/>
    <w:qFormat/>
    <w:rPr>
      <w:b/>
      <w:bCs/>
      <w:color w:val="000000"/>
      <w:sz w:val="28"/>
      <w:lang w:eastAsia="zh-CN"/>
    </w:rPr>
  </w:style>
  <w:style w:type="character" w:customStyle="1" w:styleId="8">
    <w:name w:val="标题 8 字符"/>
    <w:basedOn w:val="DefaultParagraphFont"/>
    <w:link w:val="Heading8"/>
    <w:uiPriority w:val="9"/>
    <w:qFormat/>
    <w:rPr>
      <w:color w:val="595959" w:themeTint="A6"/>
      <w:sz w:val="24"/>
      <w:lang w:eastAsia="zh-CN"/>
    </w:rPr>
  </w:style>
  <w:style w:type="character" w:customStyle="1" w:styleId="9">
    <w:name w:val="标题 9 字符"/>
    <w:basedOn w:val="DefaultParagraphFont"/>
    <w:link w:val="Heading9"/>
    <w:uiPriority w:val="9"/>
    <w:qFormat/>
    <w:rPr>
      <w:rFonts w:eastAsia="等线 Light"/>
      <w:color w:val="595959" w:themeTint="A6"/>
      <w:sz w:val="24"/>
      <w:lang w:eastAsia="zh-CN"/>
    </w:rPr>
  </w:style>
  <w:style w:type="table" w:styleId="TableGrid">
    <w:name w:val="Table Grid"/>
    <w:basedOn w:val="TableNormal"/>
    <w:uiPriority w:val="39"/>
    <w:qFormat/>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XLC-">
    <w:name w:val="HXLC-表格正文"/>
    <w:basedOn w:val="Normal"/>
    <w:next w:val="Normal"/>
    <w:qFormat/>
    <w:pPr>
      <w:widowControl/>
      <w:tabs>
        <w:tab w:val="left" w:pos="480"/>
      </w:tabs>
      <w:spacing w:line="360" w:lineRule="auto"/>
      <w:jc w:val="left"/>
    </w:pPr>
    <w:rPr>
      <w:rFonts w:cs="Times New Roman (正文 CS 字体)"/>
      <w:color w:val="000000"/>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