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阿里大气本底站2025年新建大气本底站项目（西藏装备部分）（重新招标）</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ZQCD-25447</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2025年12月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西藏阿里地区气象局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阿里大气本底站2025年新建大气本底站项目（西藏装备部分）（重新招标）</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ZQCD-25447</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西藏阿里噶尔县</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2025年12月03日 00:00:00</w:t>
      </w:r>
      <w:bookmarkEnd w:id="26"/>
      <w:r>
        <w:rPr>
          <w:rFonts w:ascii="宋体" w:hint="eastAsia"/>
          <w:szCs w:val="21"/>
          <w:highlight w:val="none"/>
        </w:rPr>
        <w:t>至</w:t>
      </w:r>
      <w:bookmarkStart w:id="27" w:name="项目公告_signUpLastTime"/>
      <w:r>
        <w:rPr>
          <w:rFonts w:ascii="宋体" w:hint="eastAsia"/>
          <w:szCs w:val="21"/>
          <w:highlight w:val="none"/>
        </w:rPr>
        <w:t>2025年12月12日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2025年12月24日 14:00:00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李梦杨</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西藏阿里地区气象局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次仁平措</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0897-2827425</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西藏阿里地区噶尔县北京南路9号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西藏阿里地区气象局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不允许（仅针对以下产品：黑碳仪不允许代理商投标）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（1）标的：黑碳仪    ，属于  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是，中标服务费：2.1万元。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176.000000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176.000000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销售合同必须包括黑碳仪，每提供1份合同得1分，最多得5分。否则不得分。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针对本项目采购的黑碳仪及配套设施，方舱、UPS(含方舱)，承诺每提前5天交货的得1分，最多得1分。否则不得分。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针对黑碳仪设备，每提供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2、除项目经理外至少3人具有2年及以上相关工作经验的，得2分；为本项目派出的技术人员至少2人具有1年及以上相关工作经验的，得1分；其他不得分。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针对黑碳仪设备，测试报告应涵盖高低温工作、高低温贮存、湿度、气压、浪涌（冲击）抗扰度、静电放电抗扰度等内容，每包含一项得0.5分，最多得3分。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一、项</w:t>
      </w:r>
      <w:r>
        <w:rPr>
          <w:rFonts w:eastAsia="仿宋"/>
          <w:sz w:val="28"/>
          <w:szCs w:val="20"/>
        </w:rPr>
        <w:t>目</w:t>
      </w:r>
      <w:r>
        <w:rPr>
          <w:rFonts w:ascii="仿宋" w:eastAsia="仿宋" w:hAnsi="仿宋" w:cs="仿宋" w:hint="eastAsia"/>
          <w:sz w:val="28"/>
          <w:szCs w:val="20"/>
        </w:rPr>
        <w:t>概况及总体要求（详见采购需求-其他技术及商务需求）</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技术性能指标</w:t>
      </w:r>
    </w:p>
    <w:tbl>
      <w:tblPr>
        <w:tblStyle w:val="TableNormal"/>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24"/>
        <w:gridCol w:w="687"/>
        <w:gridCol w:w="2360"/>
        <w:gridCol w:w="5437"/>
      </w:tblGrid>
      <w:tr>
        <w:tblPrEx>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blHeader/>
          <w:jc w:val="center"/>
        </w:trPr>
        <w:tc>
          <w:tcPr>
            <w:tcW w:w="393" w:type="pct"/>
            <w:vAlign w:val="center"/>
          </w:tcPr>
          <w:p>
            <w:pPr>
              <w:rPr>
                <w:rFonts w:ascii="仿宋" w:eastAsia="仿宋" w:hAnsi="仿宋" w:cs="仿宋"/>
                <w:b/>
                <w:bCs/>
              </w:rPr>
            </w:pPr>
            <w:r>
              <w:rPr>
                <w:rFonts w:ascii="仿宋" w:eastAsia="仿宋" w:hAnsi="仿宋" w:cs="仿宋" w:hint="eastAsia"/>
                <w:b/>
                <w:bCs/>
                <w:sz w:val="24"/>
              </w:rPr>
              <w:t>序号</w:t>
            </w:r>
          </w:p>
        </w:tc>
        <w:tc>
          <w:tcPr>
            <w:tcW w:w="1654" w:type="pct"/>
            <w:gridSpan w:val="2"/>
            <w:vAlign w:val="center"/>
          </w:tcPr>
          <w:p>
            <w:pPr>
              <w:jc w:val="center"/>
              <w:rPr>
                <w:rFonts w:ascii="仿宋" w:eastAsia="仿宋" w:hAnsi="仿宋" w:cs="仿宋"/>
                <w:b/>
                <w:bCs/>
              </w:rPr>
            </w:pPr>
            <w:r>
              <w:rPr>
                <w:rFonts w:ascii="仿宋" w:eastAsia="仿宋" w:hAnsi="仿宋" w:cs="仿宋" w:hint="eastAsia"/>
                <w:b/>
                <w:bCs/>
                <w:sz w:val="24"/>
              </w:rPr>
              <w:t>名称</w:t>
            </w:r>
          </w:p>
        </w:tc>
        <w:tc>
          <w:tcPr>
            <w:tcW w:w="2952" w:type="pct"/>
            <w:vAlign w:val="center"/>
          </w:tcPr>
          <w:p>
            <w:pPr>
              <w:jc w:val="center"/>
              <w:rPr>
                <w:rFonts w:ascii="仿宋" w:eastAsia="仿宋" w:hAnsi="仿宋" w:cs="仿宋"/>
                <w:b/>
                <w:bCs/>
              </w:rPr>
            </w:pPr>
            <w:r>
              <w:rPr>
                <w:rFonts w:ascii="仿宋" w:eastAsia="仿宋" w:hAnsi="仿宋" w:cs="仿宋" w:hint="eastAsia"/>
                <w:b/>
                <w:bCs/>
                <w:sz w:val="24"/>
              </w:rPr>
              <w:t>技术要求</w:t>
            </w:r>
          </w:p>
        </w:tc>
      </w:tr>
      <w:tr>
        <w:tblPrEx>
          <w:tblW w:w="5114" w:type="pct"/>
          <w:jc w:val="center"/>
          <w:tblLayout w:type="fixed"/>
          <w:tblCellMar>
            <w:top w:w="0" w:type="dxa"/>
            <w:left w:w="108" w:type="dxa"/>
            <w:bottom w:w="0" w:type="dxa"/>
            <w:right w:w="108" w:type="dxa"/>
          </w:tblCellMar>
        </w:tblPrEx>
        <w:trPr>
          <w:jc w:val="center"/>
        </w:trPr>
        <w:tc>
          <w:tcPr>
            <w:tcW w:w="393" w:type="pct"/>
            <w:vAlign w:val="center"/>
          </w:tcPr>
          <w:p>
            <w:pPr>
              <w:pStyle w:val="ListParagraph2"/>
              <w:numPr>
                <w:ilvl w:val="0"/>
                <w:numId w:val="4"/>
              </w:numPr>
              <w:ind w:left="0" w:firstLine="0" w:firstLineChars="0"/>
              <w:rPr>
                <w:rFonts w:ascii="仿宋" w:eastAsia="仿宋" w:hAnsi="仿宋" w:cs="仿宋"/>
                <w:sz w:val="24"/>
                <w:szCs w:val="24"/>
              </w:rPr>
            </w:pPr>
          </w:p>
        </w:tc>
        <w:tc>
          <w:tcPr>
            <w:tcW w:w="373" w:type="pct"/>
            <w:vMerge w:val="restart"/>
            <w:vAlign w:val="center"/>
          </w:tcPr>
          <w:p>
            <w:pPr>
              <w:rPr>
                <w:rFonts w:ascii="仿宋" w:eastAsia="仿宋" w:hAnsi="仿宋" w:cs="仿宋"/>
              </w:rPr>
            </w:pPr>
            <w:r>
              <w:rPr>
                <w:rFonts w:ascii="仿宋" w:eastAsia="仿宋" w:hAnsi="仿宋" w:cs="仿宋" w:hint="eastAsia"/>
                <w:kern w:val="0"/>
                <w:sz w:val="24"/>
              </w:rPr>
              <w:t>黑碳仪</w:t>
            </w:r>
          </w:p>
        </w:tc>
        <w:tc>
          <w:tcPr>
            <w:tcW w:w="1280" w:type="pct"/>
            <w:vAlign w:val="center"/>
          </w:tcPr>
          <w:p>
            <w:pPr>
              <w:rPr>
                <w:rFonts w:ascii="仿宋" w:eastAsia="仿宋" w:hAnsi="仿宋" w:cs="仿宋"/>
              </w:rPr>
            </w:pPr>
          </w:p>
          <w:p>
            <w:pPr>
              <w:rPr>
                <w:rFonts w:ascii="仿宋" w:eastAsia="仿宋" w:hAnsi="仿宋" w:cs="仿宋"/>
              </w:rPr>
            </w:pPr>
            <w:r>
              <w:rPr>
                <w:rFonts w:ascii="仿宋" w:eastAsia="仿宋" w:hAnsi="仿宋" w:cs="仿宋" w:hint="eastAsia"/>
                <w:sz w:val="24"/>
              </w:rPr>
              <w:t>主机</w:t>
            </w:r>
          </w:p>
        </w:tc>
        <w:tc>
          <w:tcPr>
            <w:tcW w:w="2952" w:type="pct"/>
            <w:vAlign w:val="center"/>
          </w:tcPr>
          <w:p>
            <w:pPr>
              <w:rPr>
                <w:rFonts w:eastAsia="仿宋" w:hint="default"/>
              </w:rPr>
            </w:pPr>
            <w:r>
              <w:rPr>
                <w:rFonts w:ascii="Times New Roman" w:eastAsia="仿宋" w:hAnsi="Times New Roman" w:cs="Times New Roman" w:hint="default"/>
                <w:sz w:val="24"/>
              </w:rPr>
              <w:t>（1）</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highlight w:val="none"/>
              </w:rPr>
              <w:t>测量技术：双点位</w:t>
            </w:r>
            <w:r>
              <w:rPr>
                <w:rFonts w:ascii="Times New Roman" w:eastAsia="仿宋" w:hAnsi="Times New Roman" w:cs="Times New Roman" w:hint="default"/>
                <w:sz w:val="24"/>
                <w:highlight w:val="none"/>
                <w:lang w:eastAsia="zh-CN"/>
              </w:rPr>
              <w:t>，</w:t>
            </w:r>
            <w:r>
              <w:rPr>
                <w:rFonts w:ascii="Times New Roman" w:eastAsia="仿宋" w:hAnsi="Times New Roman" w:cs="Times New Roman" w:hint="default"/>
                <w:sz w:val="24"/>
                <w:highlight w:val="none"/>
                <w:lang w:val="en-US" w:eastAsia="zh-CN"/>
              </w:rPr>
              <w:t>实时测量</w:t>
            </w:r>
          </w:p>
          <w:p>
            <w:pPr>
              <w:rPr>
                <w:rFonts w:eastAsia="仿宋" w:hint="default"/>
              </w:rPr>
            </w:pPr>
            <w:r>
              <w:rPr>
                <w:rFonts w:ascii="Times New Roman" w:eastAsia="仿宋" w:hAnsi="Times New Roman" w:cs="Times New Roman" w:hint="default"/>
                <w:sz w:val="24"/>
              </w:rPr>
              <w:t>（2）</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rPr>
              <w:t>测量波段：至少包含370nm、470nm、520nm、590nm、660nm、880nm、950nm七个波段</w:t>
            </w:r>
          </w:p>
          <w:p>
            <w:pPr>
              <w:rPr>
                <w:rFonts w:eastAsia="仿宋" w:hint="default"/>
              </w:rPr>
            </w:pPr>
            <w:r>
              <w:rPr>
                <w:rFonts w:ascii="Times New Roman" w:eastAsia="仿宋" w:hAnsi="Times New Roman" w:cs="Times New Roman" w:hint="default"/>
                <w:sz w:val="24"/>
              </w:rPr>
              <w:t>（3）</w:t>
            </w:r>
            <w:r>
              <w:rPr>
                <w:rFonts w:ascii="Times New Roman" w:eastAsia="仿宋" w:hAnsi="Times New Roman" w:cs="Times New Roman" w:hint="default"/>
                <w:sz w:val="24"/>
                <w:highlight w:val="none"/>
              </w:rPr>
              <w:t>量程：（0～100）μg/m</w:t>
            </w:r>
            <w:r>
              <w:rPr>
                <w:rFonts w:ascii="Times New Roman" w:eastAsia="仿宋" w:hAnsi="Times New Roman" w:cs="Times New Roman" w:hint="default"/>
                <w:sz w:val="24"/>
                <w:highlight w:val="none"/>
                <w:vertAlign w:val="superscript"/>
              </w:rPr>
              <w:t>3</w:t>
            </w:r>
          </w:p>
          <w:p>
            <w:pPr>
              <w:rPr>
                <w:rFonts w:eastAsia="仿宋" w:hint="default"/>
              </w:rPr>
            </w:pPr>
            <w:r>
              <w:rPr>
                <w:rFonts w:ascii="Times New Roman" w:eastAsia="仿宋" w:hAnsi="Times New Roman" w:cs="Times New Roman" w:hint="default"/>
                <w:sz w:val="24"/>
              </w:rPr>
              <w:t>（4）</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rPr>
              <w:t>检出限：</w:t>
            </w:r>
            <w:r>
              <w:rPr>
                <w:rFonts w:eastAsia="仿宋" w:cs="Times New Roman" w:hint="eastAsia"/>
                <w:sz w:val="24"/>
                <w:lang w:val="en-US" w:eastAsia="zh-CN"/>
              </w:rPr>
              <w:t>&lt;</w:t>
            </w:r>
            <w:r>
              <w:rPr>
                <w:rFonts w:ascii="Times New Roman" w:eastAsia="仿宋" w:hAnsi="Times New Roman" w:cs="Times New Roman" w:hint="default"/>
                <w:sz w:val="24"/>
              </w:rPr>
              <w:t>5ng/m</w:t>
            </w:r>
            <w:r>
              <w:rPr>
                <w:rFonts w:ascii="Times New Roman" w:eastAsia="仿宋" w:hAnsi="Times New Roman" w:cs="Times New Roman" w:hint="default"/>
                <w:sz w:val="24"/>
                <w:vertAlign w:val="superscript"/>
              </w:rPr>
              <w:t>3</w:t>
            </w:r>
            <w:r>
              <w:rPr>
                <w:rFonts w:ascii="Times New Roman" w:eastAsia="仿宋" w:hAnsi="Times New Roman" w:cs="Times New Roman" w:hint="default"/>
                <w:sz w:val="24"/>
              </w:rPr>
              <w:t>（1h）</w:t>
            </w:r>
          </w:p>
          <w:p>
            <w:pPr>
              <w:rPr>
                <w:rFonts w:eastAsia="仿宋" w:hint="default"/>
              </w:rPr>
            </w:pPr>
            <w:r>
              <w:rPr>
                <w:rFonts w:ascii="Times New Roman" w:eastAsia="仿宋" w:hAnsi="Times New Roman" w:cs="Times New Roman" w:hint="default"/>
                <w:sz w:val="24"/>
              </w:rPr>
              <w:t>（5</w:t>
            </w:r>
            <w:r>
              <w:rPr>
                <w:rFonts w:ascii="Times New Roman" w:eastAsia="仿宋" w:hAnsi="Times New Roman" w:cs="Times New Roman" w:hint="default"/>
                <w:sz w:val="24"/>
                <w:highlight w:val="none"/>
              </w:rPr>
              <w:t>）</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highlight w:val="none"/>
              </w:rPr>
              <w:t>流量：</w:t>
            </w:r>
            <w:r>
              <w:rPr>
                <w:rFonts w:ascii="Times New Roman" w:eastAsia="仿宋" w:hAnsi="Times New Roman" w:cs="Times New Roman" w:hint="default"/>
                <w:sz w:val="24"/>
              </w:rPr>
              <w:t>2～5L/min</w:t>
            </w:r>
            <w:r>
              <w:rPr>
                <w:rFonts w:ascii="Times New Roman" w:eastAsia="仿宋" w:hAnsi="Times New Roman" w:cs="Times New Roman" w:hint="default"/>
                <w:sz w:val="24"/>
                <w:lang w:eastAsia="zh-CN"/>
              </w:rPr>
              <w:t>（</w:t>
            </w:r>
            <w:r>
              <w:rPr>
                <w:rFonts w:ascii="Times New Roman" w:eastAsia="仿宋" w:hAnsi="Times New Roman" w:cs="Times New Roman" w:hint="default"/>
                <w:sz w:val="24"/>
              </w:rPr>
              <w:t>可调节</w:t>
            </w:r>
            <w:r>
              <w:rPr>
                <w:rFonts w:ascii="Times New Roman" w:eastAsia="仿宋" w:hAnsi="Times New Roman" w:cs="Times New Roman" w:hint="default"/>
                <w:sz w:val="24"/>
                <w:lang w:eastAsia="zh-CN"/>
              </w:rPr>
              <w:t>），</w:t>
            </w:r>
            <w:r>
              <w:rPr>
                <w:rFonts w:ascii="Times New Roman" w:eastAsia="仿宋" w:hAnsi="Times New Roman" w:cs="Times New Roman" w:hint="default"/>
                <w:sz w:val="24"/>
                <w:lang w:val="en-US" w:eastAsia="zh-CN"/>
              </w:rPr>
              <w:t>在3000m以上配置外置泵</w:t>
            </w:r>
          </w:p>
          <w:p>
            <w:pPr>
              <w:rPr>
                <w:rFonts w:eastAsia="仿宋" w:hint="default"/>
                <w:highlight w:val="none"/>
              </w:rPr>
            </w:pPr>
            <w:r>
              <w:rPr>
                <w:rFonts w:ascii="Times New Roman" w:eastAsia="仿宋" w:hAnsi="Times New Roman" w:cs="Times New Roman" w:hint="default"/>
                <w:sz w:val="24"/>
                <w:highlight w:val="none"/>
              </w:rPr>
              <w:t>（6）</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highlight w:val="none"/>
                <w:lang w:val="en-US" w:eastAsia="zh-CN"/>
              </w:rPr>
              <w:t>光学衰减</w:t>
            </w:r>
            <w:r>
              <w:rPr>
                <w:rFonts w:ascii="Times New Roman" w:eastAsia="仿宋" w:hAnsi="Times New Roman" w:cs="Times New Roman" w:hint="default"/>
                <w:sz w:val="24"/>
                <w:highlight w:val="none"/>
              </w:rPr>
              <w:t>线性：</w:t>
            </w:r>
            <w:r>
              <w:rPr>
                <w:rFonts w:ascii="Times New Roman" w:eastAsia="仿宋" w:hAnsi="Times New Roman" w:cs="Times New Roman" w:hint="default"/>
                <w:sz w:val="24"/>
                <w:highlight w:val="none"/>
                <w:lang w:val="en-US" w:eastAsia="zh-CN"/>
              </w:rPr>
              <w:t>斜率</w:t>
            </w:r>
            <w:r>
              <w:rPr>
                <w:rFonts w:ascii="Times New Roman" w:eastAsia="仿宋" w:hAnsi="Times New Roman" w:cs="Times New Roman" w:hint="default"/>
                <w:sz w:val="24"/>
                <w:highlight w:val="none"/>
              </w:rPr>
              <w:t>1±0.1（透射比标准滤光片）</w:t>
            </w:r>
          </w:p>
          <w:p>
            <w:pPr>
              <w:rPr>
                <w:rFonts w:eastAsia="仿宋" w:hint="default"/>
              </w:rPr>
            </w:pPr>
            <w:r>
              <w:rPr>
                <w:rFonts w:ascii="Times New Roman" w:eastAsia="仿宋" w:hAnsi="Times New Roman" w:cs="Times New Roman" w:hint="default"/>
                <w:sz w:val="24"/>
              </w:rPr>
              <w:t>（7）</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rPr>
              <w:t>分辨率：1ng/m</w:t>
            </w:r>
            <w:r>
              <w:rPr>
                <w:rFonts w:ascii="Times New Roman" w:eastAsia="仿宋" w:hAnsi="Times New Roman" w:cs="Times New Roman" w:hint="default"/>
                <w:sz w:val="24"/>
                <w:vertAlign w:val="superscript"/>
              </w:rPr>
              <w:t>3</w:t>
            </w:r>
          </w:p>
          <w:p>
            <w:pPr>
              <w:rPr>
                <w:rFonts w:eastAsia="仿宋" w:hint="default"/>
              </w:rPr>
            </w:pPr>
            <w:r>
              <w:rPr>
                <w:rFonts w:ascii="Times New Roman" w:eastAsia="仿宋" w:hAnsi="Times New Roman" w:cs="Times New Roman" w:hint="default"/>
                <w:sz w:val="24"/>
              </w:rPr>
              <w:t>（8）</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rPr>
              <w:t>数据采样间隔：</w:t>
            </w:r>
            <w:r>
              <w:rPr>
                <w:rFonts w:ascii="Times New Roman" w:eastAsia="仿宋" w:hAnsi="Times New Roman" w:cs="Times New Roman" w:hint="default"/>
                <w:sz w:val="24"/>
                <w:lang w:val="en-US" w:eastAsia="zh-CN"/>
              </w:rPr>
              <w:t>1s或者1min，可由采样者设置</w:t>
            </w:r>
          </w:p>
          <w:p>
            <w:pPr>
              <w:rPr>
                <w:rFonts w:eastAsia="仿宋" w:hint="default"/>
              </w:rPr>
            </w:pPr>
            <w:r>
              <w:rPr>
                <w:rFonts w:ascii="Times New Roman" w:eastAsia="仿宋" w:hAnsi="Times New Roman" w:cs="Times New Roman" w:hint="default"/>
                <w:sz w:val="24"/>
                <w:lang w:val="en-US" w:eastAsia="zh-CN"/>
              </w:rPr>
              <w:t>（9）滤膜：采用石英或玻璃纤维基质</w:t>
            </w:r>
          </w:p>
          <w:p>
            <w:pPr>
              <w:rPr>
                <w:rFonts w:eastAsia="仿宋" w:hint="default"/>
              </w:rPr>
            </w:pPr>
            <w:r>
              <w:rPr>
                <w:rFonts w:ascii="Times New Roman" w:eastAsia="仿宋" w:hAnsi="Times New Roman" w:cs="Times New Roman" w:hint="default"/>
                <w:sz w:val="24"/>
                <w:lang w:val="en-US" w:eastAsia="zh-CN"/>
              </w:rPr>
              <w:t>（10）24h零点漂移应在-10ng/m</w:t>
            </w:r>
            <w:r>
              <w:rPr>
                <w:rFonts w:ascii="Times New Roman" w:eastAsia="仿宋" w:hAnsi="Times New Roman" w:cs="Times New Roman" w:hint="default"/>
                <w:sz w:val="24"/>
                <w:vertAlign w:val="superscript"/>
                <w:lang w:val="en-US" w:eastAsia="zh-CN"/>
              </w:rPr>
              <w:t>3</w:t>
            </w:r>
            <w:r>
              <w:rPr>
                <w:rFonts w:ascii="Times New Roman" w:eastAsia="仿宋" w:hAnsi="Times New Roman" w:cs="Times New Roman" w:hint="default"/>
                <w:sz w:val="24"/>
                <w:lang w:val="en-US" w:eastAsia="zh-CN"/>
              </w:rPr>
              <w:t>~10ng/m</w:t>
            </w:r>
            <w:r>
              <w:rPr>
                <w:rFonts w:ascii="Times New Roman" w:eastAsia="仿宋" w:hAnsi="Times New Roman" w:cs="Times New Roman" w:hint="default"/>
                <w:sz w:val="24"/>
                <w:vertAlign w:val="superscript"/>
                <w:lang w:val="en-US" w:eastAsia="zh-CN"/>
              </w:rPr>
              <w:t>3</w:t>
            </w:r>
            <w:r>
              <w:rPr>
                <w:rFonts w:ascii="Times New Roman" w:eastAsia="仿宋" w:hAnsi="Times New Roman" w:cs="Times New Roman" w:hint="default"/>
                <w:sz w:val="24"/>
                <w:lang w:val="en-US" w:eastAsia="zh-CN"/>
              </w:rPr>
              <w:t>之间</w:t>
            </w:r>
            <w:r>
              <w:rPr>
                <w:rFonts w:eastAsia="仿宋" w:cs="Times New Roman" w:hint="eastAsia"/>
                <w:sz w:val="24"/>
                <w:lang w:val="en-US" w:eastAsia="zh-CN"/>
              </w:rPr>
              <w:t>（即小时平均零检浓度在24h前后的差值）</w:t>
            </w:r>
          </w:p>
          <w:p>
            <w:pPr>
              <w:rPr>
                <w:rFonts w:eastAsia="仿宋" w:hint="default"/>
              </w:rPr>
            </w:pPr>
            <w:r>
              <w:rPr>
                <w:rFonts w:ascii="Times New Roman" w:eastAsia="仿宋" w:hAnsi="Times New Roman" w:cs="Times New Roman" w:hint="default"/>
                <w:sz w:val="24"/>
                <w:lang w:val="en-US" w:eastAsia="zh-CN"/>
              </w:rPr>
              <w:t>（11）</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lang w:val="en-US" w:eastAsia="zh-CN"/>
              </w:rPr>
              <w:t>平行性≤15%（</w:t>
            </w:r>
            <w:r>
              <w:rPr>
                <w:rFonts w:eastAsia="仿宋" w:cs="Times New Roman" w:hint="eastAsia"/>
                <w:sz w:val="24"/>
                <w:lang w:val="en-US" w:eastAsia="zh-CN"/>
              </w:rPr>
              <w:t>环境</w:t>
            </w:r>
            <w:r>
              <w:rPr>
                <w:rFonts w:ascii="Times New Roman" w:eastAsia="仿宋" w:hAnsi="Times New Roman" w:cs="Times New Roman" w:hint="default"/>
                <w:sz w:val="24"/>
                <w:lang w:val="en-US" w:eastAsia="zh-CN"/>
              </w:rPr>
              <w:t>浓度</w:t>
            </w:r>
            <w:r>
              <w:rPr>
                <w:rFonts w:eastAsia="仿宋" w:cs="Times New Roman" w:hint="eastAsia"/>
                <w:sz w:val="24"/>
                <w:lang w:val="en-US" w:eastAsia="zh-CN"/>
              </w:rPr>
              <w:t>1</w:t>
            </w:r>
            <w:r>
              <w:rPr>
                <w:rFonts w:ascii="Times New Roman" w:eastAsia="仿宋" w:hAnsi="Times New Roman" w:cs="Times New Roman" w:hint="default"/>
                <w:sz w:val="24"/>
                <w:lang w:val="en-US" w:eastAsia="zh-CN"/>
              </w:rPr>
              <w:t>00ng/m</w:t>
            </w:r>
            <w:r>
              <w:rPr>
                <w:rFonts w:ascii="Times New Roman" w:eastAsia="仿宋" w:hAnsi="Times New Roman" w:cs="Times New Roman" w:hint="default"/>
                <w:sz w:val="24"/>
                <w:vertAlign w:val="superscript"/>
                <w:lang w:val="en-US" w:eastAsia="zh-CN"/>
              </w:rPr>
              <w:t>3</w:t>
            </w:r>
            <w:r>
              <w:rPr>
                <w:rFonts w:ascii="Times New Roman" w:eastAsia="仿宋" w:hAnsi="Times New Roman" w:cs="Times New Roman" w:hint="default"/>
                <w:sz w:val="24"/>
                <w:lang w:val="en-US" w:eastAsia="zh-CN"/>
              </w:rPr>
              <w:t>以上</w:t>
            </w:r>
            <w:r>
              <w:rPr>
                <w:rFonts w:eastAsia="仿宋" w:cs="Times New Roman" w:hint="eastAsia"/>
                <w:sz w:val="24"/>
                <w:lang w:val="en-US" w:eastAsia="zh-CN"/>
              </w:rPr>
              <w:t>，以3台设备在同时段、同一采样条件下获取的观测数据的相对标准偏差的均方根表示平行性</w:t>
            </w:r>
            <w:r>
              <w:rPr>
                <w:rFonts w:ascii="Times New Roman" w:eastAsia="仿宋" w:hAnsi="Times New Roman" w:cs="Times New Roman" w:hint="default"/>
                <w:sz w:val="24"/>
                <w:lang w:val="en-US" w:eastAsia="zh-CN"/>
              </w:rPr>
              <w:t>）</w:t>
            </w:r>
          </w:p>
          <w:p>
            <w:pPr>
              <w:rPr>
                <w:rFonts w:eastAsia="仿宋" w:hint="default"/>
              </w:rPr>
            </w:pPr>
          </w:p>
        </w:tc>
      </w:tr>
      <w:tr>
        <w:tblPrEx>
          <w:tblW w:w="5114" w:type="pct"/>
          <w:jc w:val="center"/>
          <w:tblLayout w:type="fixed"/>
          <w:tblCellMar>
            <w:top w:w="0" w:type="dxa"/>
            <w:left w:w="108" w:type="dxa"/>
            <w:bottom w:w="0" w:type="dxa"/>
            <w:right w:w="108" w:type="dxa"/>
          </w:tblCellMar>
        </w:tblPrEx>
        <w:trPr>
          <w:jc w:val="center"/>
        </w:trPr>
        <w:tc>
          <w:tcPr>
            <w:tcW w:w="393" w:type="pct"/>
            <w:vAlign w:val="center"/>
          </w:tcPr>
          <w:p>
            <w:pPr>
              <w:pStyle w:val="ListParagraph2"/>
              <w:numPr>
                <w:ilvl w:val="0"/>
                <w:numId w:val="4"/>
              </w:numPr>
              <w:ind w:left="0" w:firstLine="0" w:firstLineChars="0"/>
              <w:rPr>
                <w:rFonts w:ascii="仿宋" w:eastAsia="仿宋" w:hAnsi="仿宋" w:cs="仿宋"/>
                <w:sz w:val="24"/>
                <w:szCs w:val="24"/>
              </w:rPr>
            </w:pPr>
          </w:p>
        </w:tc>
        <w:tc>
          <w:tcPr>
            <w:tcW w:w="373" w:type="pct"/>
            <w:vMerge/>
            <w:vAlign w:val="center"/>
          </w:tcPr>
          <w:p>
            <w:pPr>
              <w:rPr>
                <w:rFonts w:ascii="仿宋" w:eastAsia="仿宋" w:hAnsi="仿宋" w:cs="仿宋"/>
              </w:rPr>
            </w:pPr>
          </w:p>
        </w:tc>
        <w:tc>
          <w:tcPr>
            <w:tcW w:w="1280" w:type="pct"/>
            <w:vAlign w:val="center"/>
          </w:tcPr>
          <w:p>
            <w:pPr>
              <w:rPr>
                <w:rFonts w:ascii="仿宋" w:eastAsia="仿宋" w:hAnsi="仿宋" w:cs="仿宋"/>
              </w:rPr>
            </w:pPr>
            <w:r>
              <w:rPr>
                <w:rFonts w:ascii="仿宋" w:eastAsia="仿宋" w:hAnsi="仿宋" w:cs="仿宋" w:hint="eastAsia"/>
                <w:sz w:val="24"/>
              </w:rPr>
              <w:t>管路</w:t>
            </w:r>
          </w:p>
        </w:tc>
        <w:tc>
          <w:tcPr>
            <w:tcW w:w="2952" w:type="pct"/>
            <w:vAlign w:val="center"/>
          </w:tcPr>
          <w:p>
            <w:pPr>
              <w:rPr>
                <w:rFonts w:eastAsia="仿宋" w:hint="default"/>
              </w:rPr>
            </w:pPr>
            <w:r>
              <w:rPr>
                <w:rFonts w:ascii="Times New Roman" w:eastAsia="仿宋" w:hAnsi="Times New Roman" w:cs="Times New Roman" w:hint="default"/>
                <w:sz w:val="24"/>
              </w:rPr>
              <w:t>（1）</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rPr>
              <w:t>具有除湿功能，气路湿度达到40%以下</w:t>
            </w:r>
          </w:p>
          <w:p>
            <w:pPr>
              <w:rPr>
                <w:rFonts w:eastAsia="仿宋" w:hint="default"/>
              </w:rPr>
            </w:pPr>
            <w:r>
              <w:rPr>
                <w:rFonts w:ascii="Times New Roman" w:eastAsia="仿宋" w:hAnsi="Times New Roman" w:cs="Times New Roman" w:hint="default"/>
                <w:sz w:val="24"/>
              </w:rPr>
              <w:t>（2）采用不锈钢或静电耗散材质</w:t>
            </w:r>
          </w:p>
        </w:tc>
      </w:tr>
      <w:tr>
        <w:tblPrEx>
          <w:tblW w:w="5114" w:type="pct"/>
          <w:jc w:val="center"/>
          <w:tblLayout w:type="fixed"/>
          <w:tblCellMar>
            <w:top w:w="0" w:type="dxa"/>
            <w:left w:w="108" w:type="dxa"/>
            <w:bottom w:w="0" w:type="dxa"/>
            <w:right w:w="108" w:type="dxa"/>
          </w:tblCellMar>
        </w:tblPrEx>
        <w:trPr>
          <w:jc w:val="center"/>
        </w:trPr>
        <w:tc>
          <w:tcPr>
            <w:tcW w:w="393" w:type="pct"/>
            <w:vAlign w:val="center"/>
          </w:tcPr>
          <w:p>
            <w:pPr>
              <w:pStyle w:val="ListParagraph2"/>
              <w:numPr>
                <w:ilvl w:val="0"/>
                <w:numId w:val="4"/>
              </w:numPr>
              <w:ind w:left="0" w:firstLine="0" w:firstLineChars="0"/>
              <w:rPr>
                <w:rFonts w:ascii="仿宋" w:eastAsia="仿宋" w:hAnsi="仿宋" w:cs="仿宋"/>
                <w:sz w:val="24"/>
                <w:szCs w:val="24"/>
              </w:rPr>
            </w:pPr>
          </w:p>
        </w:tc>
        <w:tc>
          <w:tcPr>
            <w:tcW w:w="373" w:type="pct"/>
            <w:vMerge/>
            <w:vAlign w:val="center"/>
          </w:tcPr>
          <w:p>
            <w:pPr>
              <w:rPr>
                <w:rFonts w:ascii="仿宋" w:eastAsia="仿宋" w:hAnsi="仿宋" w:cs="仿宋"/>
              </w:rPr>
            </w:pPr>
          </w:p>
        </w:tc>
        <w:tc>
          <w:tcPr>
            <w:tcW w:w="1280" w:type="pct"/>
            <w:vAlign w:val="center"/>
          </w:tcPr>
          <w:p>
            <w:pPr>
              <w:rPr>
                <w:rFonts w:ascii="仿宋" w:eastAsia="仿宋" w:hAnsi="仿宋" w:cs="仿宋"/>
              </w:rPr>
            </w:pPr>
            <w:r>
              <w:rPr>
                <w:rFonts w:ascii="仿宋" w:eastAsia="仿宋" w:hAnsi="仿宋" w:cs="仿宋" w:hint="eastAsia"/>
                <w:sz w:val="24"/>
              </w:rPr>
              <w:t>切割器</w:t>
            </w:r>
          </w:p>
        </w:tc>
        <w:tc>
          <w:tcPr>
            <w:tcW w:w="2952" w:type="pct"/>
            <w:vAlign w:val="center"/>
          </w:tcPr>
          <w:p>
            <w:pPr>
              <w:rPr>
                <w:rFonts w:eastAsia="仿宋" w:hint="default"/>
              </w:rPr>
            </w:pPr>
            <w:r>
              <w:rPr>
                <w:rFonts w:ascii="Times New Roman" w:eastAsia="仿宋" w:hAnsi="Times New Roman" w:cs="Times New Roman" w:hint="default"/>
                <w:sz w:val="24"/>
              </w:rPr>
              <w:t>（3）</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rPr>
              <w:t>可实现对PM2.5切割</w:t>
            </w:r>
          </w:p>
        </w:tc>
      </w:tr>
    </w:tbl>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四、质保服务要求</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质保期：黑碳仪质保期8年*，从双方签署现场安装测试报告之日起开始计算质保期。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质保期服务内容要求：</w:t>
      </w:r>
    </w:p>
    <w:p>
      <w:pPr>
        <w:numPr>
          <w:ilvl w:val="0"/>
          <w:numId w:val="5"/>
        </w:num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质保期内，</w:t>
      </w:r>
      <w:r>
        <w:rPr>
          <w:rFonts w:ascii="仿宋" w:eastAsia="仿宋" w:hAnsi="仿宋" w:cs="仿宋" w:hint="eastAsia"/>
          <w:sz w:val="28"/>
          <w:szCs w:val="20"/>
        </w:rPr>
        <w:t>保证设备正常运行所需的核心部件（抽气泵、光源、测量光室、检测器、滤膜传感器、流量控制器、主板）和其余部件的更换和维修、耗材</w:t>
      </w:r>
      <w:r>
        <w:rPr>
          <w:rFonts w:ascii="仿宋" w:eastAsia="仿宋" w:hAnsi="仿宋" w:cs="仿宋" w:hint="eastAsia"/>
          <w:sz w:val="28"/>
          <w:szCs w:val="20"/>
          <w:lang w:val="en-US" w:eastAsia="zh-CN"/>
        </w:rPr>
        <w:t>供应。</w:t>
      </w:r>
    </w:p>
    <w:p>
      <w:pPr>
        <w:numPr>
          <w:ilvl w:val="0"/>
          <w:numId w:val="5"/>
        </w:num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lang w:val="en-US" w:eastAsia="zh-CN"/>
        </w:rPr>
        <w:t>质保期开始第</w:t>
      </w:r>
      <w:r>
        <w:rPr>
          <w:rFonts w:ascii="仿宋" w:eastAsia="仿宋" w:hAnsi="仿宋" w:cs="仿宋" w:hint="eastAsia"/>
          <w:sz w:val="28"/>
          <w:szCs w:val="20"/>
        </w:rPr>
        <w:t>一年内</w:t>
      </w:r>
      <w:r>
        <w:rPr>
          <w:rFonts w:ascii="仿宋" w:eastAsia="仿宋" w:hAnsi="仿宋" w:cs="仿宋" w:hint="eastAsia"/>
          <w:sz w:val="28"/>
          <w:szCs w:val="20"/>
          <w:lang w:eastAsia="zh-CN"/>
        </w:rPr>
        <w:t>，</w:t>
      </w:r>
      <w:r>
        <w:rPr>
          <w:rFonts w:ascii="仿宋" w:eastAsia="仿宋" w:hAnsi="仿宋" w:cs="仿宋" w:hint="eastAsia"/>
          <w:sz w:val="28"/>
          <w:szCs w:val="20"/>
        </w:rPr>
        <w:t>非人为损坏导致的整机</w:t>
      </w:r>
      <w:r>
        <w:rPr>
          <w:rFonts w:ascii="仿宋" w:eastAsia="仿宋" w:hAnsi="仿宋" w:cs="仿宋" w:hint="eastAsia"/>
          <w:sz w:val="28"/>
          <w:szCs w:val="20"/>
          <w:lang w:val="en-US" w:eastAsia="zh-CN"/>
        </w:rPr>
        <w:t>可</w:t>
      </w:r>
      <w:r>
        <w:rPr>
          <w:rFonts w:ascii="仿宋" w:eastAsia="仿宋" w:hAnsi="仿宋" w:cs="仿宋" w:hint="eastAsia"/>
          <w:sz w:val="28"/>
          <w:szCs w:val="20"/>
        </w:rPr>
        <w:t>免费更换。</w:t>
      </w:r>
    </w:p>
    <w:p>
      <w:pPr>
        <w:numPr>
          <w:ilvl w:val="0"/>
          <w:numId w:val="5"/>
        </w:num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质保期内每年一次</w:t>
      </w:r>
      <w:r>
        <w:rPr>
          <w:rFonts w:ascii="仿宋" w:eastAsia="仿宋" w:hAnsi="仿宋" w:cs="仿宋" w:hint="eastAsia"/>
          <w:sz w:val="28"/>
          <w:szCs w:val="20"/>
          <w:lang w:val="en-US" w:eastAsia="zh-CN"/>
        </w:rPr>
        <w:t>现场巡查，</w:t>
      </w:r>
      <w:r>
        <w:rPr>
          <w:rFonts w:ascii="仿宋" w:eastAsia="仿宋" w:hAnsi="仿宋" w:cs="仿宋" w:hint="eastAsia"/>
          <w:sz w:val="28"/>
          <w:szCs w:val="20"/>
        </w:rPr>
        <w:t>进行设备运行情况检查、设备及管路清洁、流量检查和标校等工作，覆盖交通费、人工费、材料费、技术服务费以及必要的其他费用等。</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lang w:val="en-US" w:eastAsia="zh-CN"/>
        </w:rPr>
        <w:t>4</w:t>
      </w:r>
      <w:r>
        <w:rPr>
          <w:rFonts w:ascii="仿宋" w:eastAsia="仿宋" w:hAnsi="仿宋" w:cs="仿宋" w:hint="eastAsia"/>
          <w:sz w:val="28"/>
          <w:szCs w:val="20"/>
        </w:rPr>
        <w:t>）质保期满后，仍有义务提供远程技术服务等支持。</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五、验收要求（检验考核要求等）</w:t>
      </w:r>
    </w:p>
    <w:p>
      <w:pPr>
        <w:keepNext/>
        <w:keepLine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采购人可根据合同</w:t>
      </w:r>
      <w:r>
        <w:rPr>
          <w:rFonts w:ascii="仿宋" w:eastAsia="仿宋" w:hAnsi="仿宋" w:cs="仿宋" w:hint="eastAsia"/>
          <w:sz w:val="28"/>
          <w:szCs w:val="20"/>
          <w:lang w:eastAsia="zh-CN"/>
        </w:rPr>
        <w:t>、</w:t>
      </w:r>
      <w:r>
        <w:rPr>
          <w:rFonts w:ascii="仿宋" w:eastAsia="仿宋" w:hAnsi="仿宋" w:cs="仿宋" w:hint="eastAsia"/>
          <w:sz w:val="28"/>
          <w:szCs w:val="20"/>
        </w:rPr>
        <w:t>技术性能指标以及采购人的有关规定进行修改和补充，经双方确认后形成验收文件作为验收依据</w:t>
      </w:r>
      <w:r>
        <w:rPr>
          <w:rFonts w:ascii="仿宋" w:eastAsia="仿宋" w:hAnsi="仿宋" w:cs="仿宋" w:hint="eastAsia"/>
          <w:sz w:val="28"/>
          <w:szCs w:val="20"/>
          <w:lang w:eastAsia="zh-CN"/>
        </w:rPr>
        <w:t>。</w:t>
      </w:r>
      <w:r>
        <w:rPr>
          <w:rFonts w:ascii="仿宋" w:eastAsia="仿宋" w:hAnsi="仿宋" w:cs="仿宋" w:hint="eastAsia"/>
          <w:sz w:val="28"/>
          <w:szCs w:val="20"/>
        </w:rPr>
        <w:t>设备的技术性能指标除满足三、技术性能指标外，设备出厂、包装运输、安装调试、设备验收、保修服务、工程进度方面还应满足以下要求：</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5.1设备出厂</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（1）保证所提供产品的数量、质量。</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w:t>
      </w:r>
      <w:r>
        <w:rPr>
          <w:rFonts w:ascii="仿宋" w:eastAsia="仿宋" w:hAnsi="仿宋" w:cs="仿宋" w:hint="eastAsia"/>
          <w:sz w:val="28"/>
          <w:szCs w:val="20"/>
          <w:lang w:val="en-US" w:eastAsia="zh-CN"/>
        </w:rPr>
        <w:t xml:space="preserve"> </w:t>
      </w:r>
      <w:r>
        <w:rPr>
          <w:rFonts w:ascii="仿宋" w:eastAsia="仿宋" w:hAnsi="仿宋" w:cs="仿宋" w:hint="eastAsia"/>
          <w:sz w:val="28"/>
          <w:szCs w:val="20"/>
        </w:rPr>
        <w:t>出厂前要经买方人员严格测试和检查，确保设备</w:t>
      </w:r>
      <w:r>
        <w:rPr>
          <w:rFonts w:ascii="仿宋" w:eastAsia="仿宋" w:hAnsi="仿宋" w:cs="仿宋" w:hint="eastAsia"/>
          <w:sz w:val="28"/>
          <w:szCs w:val="20"/>
          <w:lang w:val="en-US" w:eastAsia="zh-CN"/>
        </w:rPr>
        <w:t>性能可靠</w:t>
      </w:r>
      <w:r>
        <w:rPr>
          <w:rFonts w:ascii="仿宋" w:eastAsia="仿宋" w:hAnsi="仿宋" w:cs="仿宋" w:hint="eastAsia"/>
          <w:sz w:val="28"/>
          <w:szCs w:val="20"/>
        </w:rPr>
        <w:t>。</w:t>
      </w:r>
    </w:p>
    <w:p>
      <w:pPr>
        <w:snapToGrid w:val="0"/>
        <w:spacing w:line="560" w:lineRule="exact"/>
        <w:ind w:firstLine="560" w:firstLineChars="200"/>
        <w:rPr>
          <w:rFonts w:ascii="仿宋" w:eastAsia="仿宋" w:hAnsi="仿宋" w:cs="仿宋" w:hint="eastAsia"/>
          <w:color w:val="auto"/>
          <w:sz w:val="28"/>
          <w:szCs w:val="20"/>
        </w:rPr>
      </w:pPr>
      <w:r>
        <w:rPr>
          <w:rFonts w:ascii="仿宋" w:eastAsia="仿宋" w:hAnsi="仿宋" w:cs="仿宋" w:hint="eastAsia"/>
          <w:color w:val="auto"/>
          <w:sz w:val="28"/>
          <w:szCs w:val="20"/>
          <w:lang w:eastAsia="zh-CN"/>
        </w:rPr>
        <w:t>（</w:t>
      </w:r>
      <w:r>
        <w:rPr>
          <w:rFonts w:ascii="仿宋" w:eastAsia="仿宋" w:hAnsi="仿宋" w:cs="仿宋" w:hint="eastAsia"/>
          <w:color w:val="auto"/>
          <w:sz w:val="28"/>
          <w:szCs w:val="20"/>
          <w:lang w:val="en-US" w:eastAsia="zh-CN"/>
        </w:rPr>
        <w:t>3</w:t>
      </w:r>
      <w:r>
        <w:rPr>
          <w:rFonts w:ascii="仿宋" w:eastAsia="仿宋" w:hAnsi="仿宋" w:cs="仿宋" w:hint="eastAsia"/>
          <w:color w:val="auto"/>
          <w:sz w:val="28"/>
          <w:szCs w:val="20"/>
          <w:lang w:eastAsia="zh-CN"/>
        </w:rPr>
        <w:t>）</w:t>
      </w:r>
      <w:r>
        <w:rPr>
          <w:rFonts w:ascii="仿宋" w:eastAsia="仿宋" w:hAnsi="仿宋" w:cs="仿宋" w:hint="eastAsia"/>
          <w:color w:val="auto"/>
          <w:sz w:val="28"/>
          <w:szCs w:val="20"/>
          <w:lang w:val="en-US" w:eastAsia="zh-CN"/>
        </w:rPr>
        <w:t>出厂测试地点为北京，中标人须将设备运到北京，先由采购人指定的国家级业务单位对设备功能和技术性能进行测试，测试合格后由中标人将设备运到采购人指定的安装地点；如果测试不合格，则由中标人将设备运回厂家并再次提供质量合格的产品用于测试检查，直至合格。</w:t>
      </w:r>
    </w:p>
    <w:p>
      <w:pPr>
        <w:snapToGrid w:val="0"/>
        <w:spacing w:line="560" w:lineRule="exact"/>
        <w:ind w:firstLine="560" w:firstLineChars="200"/>
        <w:rPr>
          <w:rFonts w:ascii="仿宋" w:eastAsia="仿宋" w:hAnsi="仿宋" w:cs="仿宋" w:hint="default"/>
          <w:color w:val="auto"/>
          <w:sz w:val="28"/>
          <w:szCs w:val="20"/>
        </w:rPr>
      </w:pPr>
      <w:r>
        <w:rPr>
          <w:rFonts w:ascii="仿宋" w:eastAsia="仿宋" w:hAnsi="仿宋" w:cs="仿宋" w:hint="eastAsia"/>
          <w:color w:val="auto"/>
          <w:sz w:val="28"/>
          <w:szCs w:val="20"/>
          <w:lang w:val="en-US" w:eastAsia="zh-CN"/>
        </w:rPr>
        <w:t>（4）中标人须配合采购人完成设备的出厂测试，出厂测试阶段发生的运费、测试费、设备维修维护费用由中标人承担。</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5.2包装和运输要求</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（1）中标人须在合同签定后</w:t>
      </w:r>
      <w:r>
        <w:rPr>
          <w:rFonts w:ascii="仿宋" w:eastAsia="仿宋" w:hAnsi="仿宋" w:cs="仿宋" w:hint="eastAsia"/>
          <w:sz w:val="28"/>
          <w:szCs w:val="20"/>
          <w:lang w:eastAsia="zh-CN"/>
        </w:rPr>
        <w:t>，</w:t>
      </w:r>
      <w:r>
        <w:rPr>
          <w:rFonts w:ascii="仿宋" w:eastAsia="仿宋" w:hAnsi="仿宋" w:cs="仿宋" w:hint="eastAsia"/>
          <w:sz w:val="28"/>
          <w:szCs w:val="20"/>
          <w:lang w:val="en-US" w:eastAsia="zh-CN"/>
        </w:rPr>
        <w:t>且出厂测试合格的情况下，</w:t>
      </w:r>
      <w:r>
        <w:rPr>
          <w:rFonts w:ascii="仿宋" w:eastAsia="仿宋" w:hAnsi="仿宋" w:cs="仿宋" w:hint="eastAsia"/>
          <w:sz w:val="28"/>
          <w:szCs w:val="20"/>
        </w:rPr>
        <w:t>按约定时间将设备运到招标人指定的地点，运费由中标人承担。</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的精密部件要用木箱包装，箱内应有填充物，以防振动。箱外要有防水、朝上标记或“小心轻放”字样。一般不易损坏的零部件可用纸箱或其它方式包装。如因乙方包装不当等原因造成损坏和丢失，应由中标人负责免费修复或补缺，因此而拖延的工期，按照延迟发货对待。</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5.3安装、调试</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（1）设备安装由中标人负责。</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（2）设备的基础建设（包括预埋件、防雷等基础建设，不含地勘）和设备安装由中标人负责。基础建设和安装调试费等相关费用均包含在报价中。</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（3）设备安装调试过程中，中标人应作详细检验记录。安装调试结果应该符合有关标准的要求。检验记录应提供给采购人。</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（4）中标人需要充分考虑系统运行中所需要的软硬件配套设备。在系统设备安装和调试期间，采购人有权派出技术人员参加，中标人有义务对其进行指导。</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5）中标人提出设备调试的内容、项目、指标和方法，提供全部安装、调试过程中所需的特殊工具和易损件，并自带专用仪器仪表设备。中标人有责任对采购人的技术人员提出的问题作出解答。调试应进行详细记录，系统调试结束后，由中标人设备安装调试技术人员签字后交给采购人验收。</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5.4设备验收</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（1）设备安装、调试达到</w:t>
      </w:r>
      <w:r>
        <w:rPr>
          <w:rFonts w:ascii="仿宋" w:eastAsia="仿宋" w:hAnsi="仿宋" w:cs="仿宋" w:hint="eastAsia"/>
          <w:sz w:val="28"/>
          <w:szCs w:val="20"/>
          <w:lang w:val="en-US" w:eastAsia="zh-CN"/>
        </w:rPr>
        <w:t>合同要求</w:t>
      </w:r>
      <w:r>
        <w:rPr>
          <w:rFonts w:ascii="仿宋" w:eastAsia="仿宋" w:hAnsi="仿宋" w:cs="仿宋" w:hint="eastAsia"/>
          <w:sz w:val="28"/>
          <w:szCs w:val="20"/>
        </w:rPr>
        <w:t>的指标后，可进行</w:t>
      </w:r>
      <w:r>
        <w:rPr>
          <w:rFonts w:ascii="仿宋" w:eastAsia="仿宋" w:hAnsi="仿宋" w:cs="仿宋" w:hint="eastAsia"/>
          <w:sz w:val="28"/>
          <w:szCs w:val="20"/>
          <w:lang w:eastAsia="zh-CN"/>
        </w:rPr>
        <w:t>现场</w:t>
      </w:r>
      <w:r>
        <w:rPr>
          <w:rFonts w:ascii="仿宋" w:eastAsia="仿宋" w:hAnsi="仿宋" w:cs="仿宋" w:hint="eastAsia"/>
          <w:sz w:val="28"/>
          <w:szCs w:val="20"/>
        </w:rPr>
        <w:t>验收。采购人可根据合同</w:t>
      </w:r>
      <w:r>
        <w:rPr>
          <w:rFonts w:ascii="仿宋" w:eastAsia="仿宋" w:hAnsi="仿宋" w:cs="仿宋" w:hint="eastAsia"/>
          <w:sz w:val="28"/>
          <w:szCs w:val="20"/>
          <w:lang w:eastAsia="zh-CN"/>
        </w:rPr>
        <w:t>，</w:t>
      </w:r>
      <w:r>
        <w:rPr>
          <w:rFonts w:ascii="仿宋" w:eastAsia="仿宋" w:hAnsi="仿宋" w:cs="仿宋" w:hint="eastAsia"/>
          <w:sz w:val="28"/>
          <w:szCs w:val="20"/>
          <w:lang w:val="en-US" w:eastAsia="zh-CN"/>
        </w:rPr>
        <w:t>参考部门发布的本设备工程管理验收指导意见等要求，制定</w:t>
      </w:r>
      <w:r>
        <w:rPr>
          <w:rFonts w:ascii="仿宋" w:eastAsia="仿宋" w:hAnsi="仿宋" w:cs="仿宋" w:hint="eastAsia"/>
          <w:sz w:val="28"/>
          <w:szCs w:val="20"/>
        </w:rPr>
        <w:t>验收规范(包括项目、</w:t>
      </w:r>
      <w:r>
        <w:rPr>
          <w:rFonts w:ascii="仿宋" w:eastAsia="仿宋" w:hAnsi="仿宋" w:cs="仿宋" w:hint="eastAsia"/>
          <w:sz w:val="28"/>
          <w:szCs w:val="20"/>
          <w:lang w:eastAsia="zh-CN"/>
        </w:rPr>
        <w:t>测试</w:t>
      </w:r>
      <w:r>
        <w:rPr>
          <w:rFonts w:ascii="仿宋" w:eastAsia="仿宋" w:hAnsi="仿宋" w:cs="仿宋" w:hint="eastAsia"/>
          <w:sz w:val="28"/>
          <w:szCs w:val="20"/>
        </w:rPr>
        <w:t>方</w:t>
      </w:r>
      <w:r>
        <w:rPr>
          <w:rFonts w:ascii="仿宋" w:eastAsia="仿宋" w:hAnsi="仿宋" w:cs="仿宋" w:hint="eastAsia"/>
          <w:sz w:val="28"/>
          <w:szCs w:val="20"/>
          <w:lang w:eastAsia="zh-CN"/>
        </w:rPr>
        <w:t>法</w:t>
      </w:r>
      <w:r>
        <w:rPr>
          <w:rFonts w:ascii="仿宋" w:eastAsia="仿宋" w:hAnsi="仿宋" w:cs="仿宋" w:hint="eastAsia"/>
          <w:sz w:val="28"/>
          <w:szCs w:val="20"/>
        </w:rPr>
        <w:t>和测试仪器等)。经双方确认后形成验收文件作为验收依据。验收测试合格后，双方签署</w:t>
      </w:r>
      <w:r>
        <w:rPr>
          <w:rFonts w:ascii="仿宋" w:eastAsia="仿宋" w:hAnsi="仿宋" w:cs="仿宋" w:hint="eastAsia"/>
          <w:sz w:val="28"/>
          <w:szCs w:val="20"/>
          <w:lang w:eastAsia="zh-CN"/>
        </w:rPr>
        <w:t>现场验收</w:t>
      </w:r>
      <w:r>
        <w:rPr>
          <w:rFonts w:ascii="仿宋" w:eastAsia="仿宋" w:hAnsi="仿宋" w:cs="仿宋" w:hint="eastAsia"/>
          <w:sz w:val="28"/>
          <w:szCs w:val="20"/>
        </w:rPr>
        <w:t>合格协议，设备进入试运行期。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（2）设备经过</w:t>
      </w:r>
      <w:r>
        <w:rPr>
          <w:rFonts w:ascii="仿宋" w:eastAsia="仿宋" w:hAnsi="仿宋" w:cs="仿宋" w:hint="eastAsia"/>
          <w:sz w:val="28"/>
          <w:szCs w:val="20"/>
          <w:lang w:val="en-US" w:eastAsia="zh-CN"/>
        </w:rPr>
        <w:t>3</w:t>
      </w:r>
      <w:r>
        <w:rPr>
          <w:rFonts w:ascii="仿宋" w:eastAsia="仿宋" w:hAnsi="仿宋" w:cs="仿宋" w:hint="eastAsia"/>
          <w:sz w:val="28"/>
          <w:szCs w:val="20"/>
        </w:rPr>
        <w:t>个月试运行期，达到</w:t>
      </w:r>
      <w:r>
        <w:rPr>
          <w:rFonts w:ascii="仿宋" w:eastAsia="仿宋" w:hAnsi="仿宋" w:cs="仿宋" w:hint="eastAsia"/>
          <w:sz w:val="28"/>
          <w:szCs w:val="20"/>
          <w:lang w:val="en-US" w:eastAsia="zh-CN"/>
        </w:rPr>
        <w:t>合同</w:t>
      </w:r>
      <w:r>
        <w:rPr>
          <w:rFonts w:ascii="仿宋" w:eastAsia="仿宋" w:hAnsi="仿宋" w:cs="仿宋" w:hint="eastAsia"/>
          <w:sz w:val="28"/>
          <w:szCs w:val="20"/>
        </w:rPr>
        <w:t>要求时，可进行</w:t>
      </w:r>
      <w:r>
        <w:rPr>
          <w:rFonts w:ascii="仿宋" w:eastAsia="仿宋" w:hAnsi="仿宋" w:cs="仿宋" w:hint="eastAsia"/>
          <w:sz w:val="28"/>
          <w:szCs w:val="20"/>
          <w:lang w:eastAsia="zh-CN"/>
        </w:rPr>
        <w:t>合同</w:t>
      </w:r>
      <w:r>
        <w:rPr>
          <w:rFonts w:ascii="仿宋" w:eastAsia="仿宋" w:hAnsi="仿宋" w:cs="仿宋" w:hint="eastAsia"/>
          <w:sz w:val="28"/>
          <w:szCs w:val="20"/>
        </w:rPr>
        <w:t>验收。在试运行期间，由于设备质量等造成某些指标达不到要求，允许中标人更换或进行修复，但试运行期另加1个月。</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（4）设备安装调试和试运行结束后，采购人组织最终</w:t>
      </w:r>
      <w:r>
        <w:rPr>
          <w:rFonts w:ascii="仿宋" w:eastAsia="仿宋" w:hAnsi="仿宋" w:cs="仿宋" w:hint="eastAsia"/>
          <w:sz w:val="28"/>
          <w:szCs w:val="20"/>
          <w:lang w:eastAsia="zh-CN"/>
        </w:rPr>
        <w:t>合同</w:t>
      </w:r>
      <w:r>
        <w:rPr>
          <w:rFonts w:ascii="仿宋" w:eastAsia="仿宋" w:hAnsi="仿宋" w:cs="仿宋" w:hint="eastAsia"/>
          <w:sz w:val="28"/>
          <w:szCs w:val="20"/>
        </w:rPr>
        <w:t>验收。当满足以下条件时，采购人确认验收合格签署验收合格证：</w:t>
      </w:r>
    </w:p>
    <w:p>
      <w:pPr>
        <w:numPr>
          <w:ilvl w:val="0"/>
          <w:numId w:val="6"/>
        </w:numPr>
        <w:spacing w:line="560" w:lineRule="exact"/>
        <w:ind w:left="0" w:firstLine="560" w:firstLineChars="200"/>
        <w:rPr>
          <w:rFonts w:ascii="仿宋" w:eastAsia="仿宋" w:hAnsi="仿宋" w:cs="仿宋"/>
          <w:sz w:val="28"/>
          <w:szCs w:val="20"/>
        </w:rPr>
      </w:pPr>
      <w:r>
        <w:rPr>
          <w:rFonts w:ascii="仿宋" w:eastAsia="仿宋" w:hAnsi="仿宋" w:cs="仿宋" w:hint="eastAsia"/>
          <w:sz w:val="28"/>
          <w:szCs w:val="20"/>
        </w:rPr>
        <w:t>中标人已提供合同中签署的全部货物及完整技术资料；</w:t>
      </w:r>
    </w:p>
    <w:p>
      <w:pPr>
        <w:numPr>
          <w:ilvl w:val="0"/>
          <w:numId w:val="6"/>
        </w:numPr>
        <w:spacing w:line="560" w:lineRule="exact"/>
        <w:ind w:left="0" w:firstLine="560" w:firstLineChars="200"/>
        <w:rPr>
          <w:rFonts w:ascii="仿宋" w:eastAsia="仿宋" w:hAnsi="仿宋" w:cs="仿宋"/>
          <w:sz w:val="28"/>
          <w:szCs w:val="20"/>
        </w:rPr>
      </w:pPr>
      <w:r>
        <w:rPr>
          <w:rFonts w:ascii="仿宋" w:eastAsia="仿宋" w:hAnsi="仿宋" w:cs="仿宋" w:hint="eastAsia"/>
          <w:sz w:val="28"/>
          <w:szCs w:val="20"/>
        </w:rPr>
        <w:t>货物符合技术规格，性能满足要求；</w:t>
      </w:r>
    </w:p>
    <w:p>
      <w:pPr>
        <w:numPr>
          <w:ilvl w:val="0"/>
          <w:numId w:val="6"/>
        </w:numPr>
        <w:spacing w:line="560" w:lineRule="exact"/>
        <w:ind w:left="0" w:firstLine="560" w:firstLineChars="200"/>
        <w:rPr>
          <w:rFonts w:ascii="仿宋" w:eastAsia="仿宋" w:hAnsi="仿宋" w:cs="仿宋"/>
          <w:sz w:val="28"/>
          <w:szCs w:val="20"/>
        </w:rPr>
      </w:pPr>
      <w:r>
        <w:rPr>
          <w:rFonts w:ascii="仿宋" w:eastAsia="仿宋" w:hAnsi="仿宋" w:cs="仿宋" w:hint="eastAsia"/>
          <w:sz w:val="28"/>
          <w:szCs w:val="20"/>
        </w:rPr>
        <w:t>安装工程符合技术要求，系统性能满足要求，设备正常运行。</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5.5保修服务</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 xml:space="preserve">（1）保修期内因设备设计、质量出现问题，均由设备供应商即时无偿解决（包括更换器件）；设备安装后的试运行期间（一个月）内，遇设备故障或数据明显异常、性能不达标等，中标人负责48小时内到站对故障设备进行测试和更换，确保设备正常投入业务运行。 </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合同签定后，中标人指定负责本工程的项目经理，负责协调中标人在项目全过程的各项工作，如工程进度、设备定制及设备供应、软件定制开发、图纸文件、包装运输、现场安装、调试验收等。中标人需为本项目组建专业售后服务团队，售后服务团队人员经验丰富，有较强的理论及实践经验。保证项目中设备</w:t>
      </w:r>
      <w:r>
        <w:rPr>
          <w:rFonts w:ascii="仿宋" w:eastAsia="仿宋" w:hAnsi="仿宋" w:cs="仿宋" w:hint="eastAsia"/>
          <w:kern w:val="0"/>
          <w:sz w:val="28"/>
          <w:szCs w:val="20"/>
          <w:lang w:bidi="ar"/>
        </w:rPr>
        <w:t>单次故障恢复时间不超过 72小时的要求，在规定时间内完成故障站点现场维修。并承诺团队人员在本项目服务期不随意更换，若出现人员变动，须经采购人同意。</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5.6工程进度</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（1）合同签订后根据招标人的要求安排发货。</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（2）设备到达安装现场后，收到招标人通知五日内到达现场， 完成设备的安装、调测以及供电系统的联调工作。</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中标人应根据招标人的工程进度要求，提出具体的工程进度安排。中标人应提交本项目的项目计划进度表。该计划进度表首先对本项目的工作内容进行分解，针对不同的工作内容提出相应的实施进度表，并提供相应的阶段性工作成果以及邀请采购人进行阶段性验收。</w:t>
      </w:r>
    </w:p>
    <w:p>
      <w:pPr>
        <w:spacing w:line="560" w:lineRule="exact"/>
        <w:ind w:left="630"/>
        <w:rPr>
          <w:rFonts w:ascii="仿宋" w:eastAsia="仿宋" w:hAnsi="仿宋" w:cs="仿宋"/>
          <w:sz w:val="28"/>
          <w:szCs w:val="20"/>
        </w:rPr>
      </w:pPr>
      <w:r>
        <w:rPr>
          <w:rFonts w:ascii="仿宋" w:eastAsia="仿宋" w:hAnsi="仿宋" w:cs="仿宋" w:hint="eastAsia"/>
          <w:sz w:val="28"/>
          <w:szCs w:val="20"/>
        </w:rPr>
        <w:t>六、其他要求</w:t>
      </w:r>
    </w:p>
    <w:p>
      <w:pPr>
        <w:spacing w:line="560" w:lineRule="exact"/>
        <w:ind w:left="420" w:leftChars="200"/>
        <w:rPr>
          <w:rFonts w:ascii="仿宋_GB2312" w:eastAsia="仿宋_GB2312" w:hAnsi="仿宋_GB2312" w:cs="仿宋_GB2312"/>
          <w:sz w:val="28"/>
          <w:szCs w:val="20"/>
        </w:rPr>
      </w:pPr>
      <w:r>
        <w:rPr>
          <w:rFonts w:ascii="仿宋" w:eastAsia="仿宋" w:hAnsi="仿宋" w:cs="仿宋" w:hint="eastAsia"/>
          <w:sz w:val="28"/>
          <w:szCs w:val="20"/>
        </w:rPr>
        <w:t>详见采购需求-其他技术及商务需求。</w:t>
      </w:r>
    </w:p>
    <w:p>
      <w:pPr>
        <w:spacing w:line="560" w:lineRule="exact"/>
        <w:ind w:firstLine="560" w:firstLineChars="200"/>
        <w:rPr>
          <w:rFonts w:ascii="仿宋" w:eastAsia="仿宋" w:hAnsi="仿宋" w:cs="仿宋"/>
          <w:sz w:val="28"/>
          <w:szCs w:val="20"/>
        </w:rPr>
      </w:pP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采购需求 附表</w:t>
      </w:r>
    </w:p>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344"/>
        <w:gridCol w:w="564"/>
        <w:gridCol w:w="564"/>
        <w:gridCol w:w="784"/>
        <w:gridCol w:w="894"/>
        <w:gridCol w:w="564"/>
        <w:gridCol w:w="4847"/>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黑碳仪</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1,760,000.00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r>
              <w:t>附属设施由1.采购1套方舱预算32万元；2.采购一套UPS 含方舱预算72万元；3.采购一套温室气体采集、处理、标气单元配套设备（无采样管）预算18万元</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1,760,000.00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08"/>
        <w:gridCol w:w="1452"/>
        <w:gridCol w:w="669"/>
        <w:gridCol w:w="408"/>
        <w:gridCol w:w="930"/>
        <w:gridCol w:w="775"/>
        <w:gridCol w:w="3018"/>
        <w:gridCol w:w="86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业务科(001054027003)</w:t>
            </w:r>
          </w:p>
        </w:tc>
        <w:tc>
          <w:tcPr/>
          <w:p>
            <w:r>
              <w:t>黑碳仪</w:t>
            </w:r>
          </w:p>
        </w:tc>
        <w:tc>
          <w:tcPr/>
          <w:p>
            <w:r>
              <w:t>1</w:t>
            </w:r>
          </w:p>
        </w:tc>
        <w:tc>
          <w:tcPr/>
          <w:p>
            <w:r>
              <w:t>1760000.00</w:t>
            </w:r>
          </w:p>
        </w:tc>
        <w:tc>
          <w:tcPr/>
          <w:p>
            <w:r>
              <w:t xml:space="preserve">1760000.00  </w:t>
            </w:r>
          </w:p>
        </w:tc>
        <w:tc>
          <w:tcPr/>
          <w:p>
            <w:r>
              <w:t>西藏阿里地区噶尔县扎西岗镇阿里国家大气本底站</w:t>
            </w:r>
          </w:p>
        </w:tc>
        <w:tc>
          <w:tcPr/>
          <w:p>
            <w:r>
              <w:t>次仁平措   18089071699</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rPr>
        <w:t>随着经济的迅速发展和城市化进程的加快，温室气体排放不断增加，城市大气污染风险日益增大。提高我国温室气体及垂直大气监测水平是建设低碳社会的需要，是气象服务国家“双碳”（碳达峰、碳中和）战略实施，推动能耗“双控”向碳排放“双控”转变的重要举措。因此，实施2025年新建大气本底站项目是适应当前经济发展和应对气候变化的需求，有利于国际、国内、区市间协同发展。本项目的建设必要性主要体现在以下几个方面：</w:t>
      </w:r>
    </w:p>
    <w:p>
      <w:pPr>
        <w:ind w:firstLine="560" w:firstLineChars="200"/>
        <w:rPr>
          <w:rFonts w:ascii="仿宋_GB2312" w:eastAsia="仿宋_GB2312" w:hAnsi="仿宋_GB2312" w:cs="仿宋_GB2312" w:hint="eastAsia"/>
          <w:b/>
          <w:bCs/>
          <w:sz w:val="28"/>
          <w:szCs w:val="20"/>
        </w:rPr>
      </w:pPr>
      <w:r>
        <w:rPr>
          <w:rFonts w:ascii="仿宋_GB2312" w:eastAsia="仿宋_GB2312" w:hAnsi="仿宋_GB2312" w:cs="仿宋_GB2312" w:hint="eastAsia"/>
          <w:b/>
          <w:bCs/>
          <w:sz w:val="28"/>
          <w:szCs w:val="20"/>
        </w:rPr>
        <w:t>（1）促进地方经济社会可持续发展</w:t>
      </w:r>
    </w:p>
    <w:p>
      <w:pPr>
        <w:ind w:firstLine="560" w:firstLineChars="200"/>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rPr>
        <w:t>随着经济的快速发展和城市化进程的加速，对于环境质量的要求也日益提升。通过建设高精度温室气体观测系统，不仅能够实时监测温室气体的排放量和浓度，提高大气本底观测能力，还有助于提高地方对气候变化的响应能力，促进绿色、低碳、循环经济的发展。通过精准施策，减少温室气体排放，将有效改善地方生态环境，吸引更多的投资与人才，推动经济社会可持续发展。</w:t>
      </w:r>
    </w:p>
    <w:p>
      <w:pPr>
        <w:ind w:firstLine="560" w:firstLineChars="200"/>
        <w:rPr>
          <w:rFonts w:ascii="仿宋_GB2312" w:eastAsia="仿宋_GB2312" w:hAnsi="仿宋_GB2312" w:cs="仿宋_GB2312" w:hint="eastAsia"/>
          <w:b/>
          <w:bCs/>
          <w:sz w:val="28"/>
          <w:szCs w:val="20"/>
        </w:rPr>
      </w:pPr>
      <w:r>
        <w:rPr>
          <w:rFonts w:ascii="仿宋_GB2312" w:eastAsia="仿宋_GB2312" w:hAnsi="仿宋_GB2312" w:cs="仿宋_GB2312" w:hint="eastAsia"/>
          <w:b/>
          <w:bCs/>
          <w:sz w:val="28"/>
          <w:szCs w:val="20"/>
        </w:rPr>
        <w:t>（2）增强气象监测与预警能力</w:t>
      </w:r>
    </w:p>
    <w:p>
      <w:pPr>
        <w:ind w:firstLine="560" w:firstLineChars="200"/>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rPr>
        <w:t>我国地形复杂，气候多变，气象灾害频发。大气本底站建设，能够进一步完善气象监测网络，提升气象监测的精度和范围。通过实时监测风场、温度场、湿度场、气溶胶等气象要素的变化，结合温室气体数据，能够更准确地预测气候变化趋势，提高气象灾害预警的及时性和准确性，为地方防灾减灾提供有力支持。</w:t>
      </w:r>
    </w:p>
    <w:p>
      <w:pPr>
        <w:ind w:firstLine="560" w:firstLineChars="200"/>
        <w:rPr>
          <w:rFonts w:ascii="仿宋_GB2312" w:eastAsia="仿宋_GB2312" w:hAnsi="仿宋_GB2312" w:cs="仿宋_GB2312" w:hint="eastAsia"/>
          <w:b/>
          <w:bCs/>
          <w:sz w:val="28"/>
          <w:szCs w:val="20"/>
        </w:rPr>
      </w:pPr>
      <w:r>
        <w:rPr>
          <w:rFonts w:ascii="仿宋_GB2312" w:eastAsia="仿宋_GB2312" w:hAnsi="仿宋_GB2312" w:cs="仿宋_GB2312" w:hint="eastAsia"/>
          <w:b/>
          <w:bCs/>
          <w:sz w:val="28"/>
          <w:szCs w:val="20"/>
        </w:rPr>
        <w:t>（3）应对全球气候变化挑战</w:t>
      </w:r>
    </w:p>
    <w:p>
      <w:pPr>
        <w:ind w:firstLine="560" w:firstLineChars="200"/>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rPr>
        <w:t>在全球气候变化的大背景下，温室气体的排放量不断增加，对全球生态系统和社会经济发展带来巨大挑战。通过实施2025年新建大气本底站项目建设能够实时监测温室气体的排放量和浓度，为科学家提供研究气候变化的基础数据，有助于识别温室气体排放的主要来源和关键领域，为全区气候治理提供科学依据。同时，这些数据还能为制定更加科学、合理的减排策略提供有力支持，推动全区气候治理与减排工作的履行。</w:t>
      </w:r>
    </w:p>
    <w:p>
      <w:pPr>
        <w:ind w:firstLine="560" w:firstLineChars="200"/>
        <w:rPr>
          <w:rFonts w:ascii="仿宋_GB2312" w:eastAsia="仿宋_GB2312" w:hAnsi="仿宋_GB2312" w:cs="仿宋_GB2312" w:hint="eastAsia"/>
          <w:b/>
          <w:bCs/>
          <w:sz w:val="28"/>
          <w:szCs w:val="20"/>
        </w:rPr>
      </w:pPr>
      <w:r>
        <w:rPr>
          <w:rFonts w:ascii="仿宋_GB2312" w:eastAsia="仿宋_GB2312" w:hAnsi="仿宋_GB2312" w:cs="仿宋_GB2312" w:hint="eastAsia"/>
          <w:b/>
          <w:bCs/>
          <w:sz w:val="28"/>
          <w:szCs w:val="20"/>
        </w:rPr>
        <w:t>（4）促进温室气体减排与低碳发展</w:t>
      </w:r>
    </w:p>
    <w:p>
      <w:pPr>
        <w:ind w:firstLine="560" w:firstLineChars="200"/>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rPr>
        <w:t>通过本项目的建设，将助力我国实现碳达峰、碳中和目标。通过实时监测温室气体排放情况，可以精准施策，推动能源结构调整和产业结构优化，减少温室气体排放。这些数据还能为评估减排效果提供重要参考，促进低碳发展模式的形成和推广。</w:t>
      </w:r>
    </w:p>
    <w:p>
      <w:pPr>
        <w:ind w:firstLine="560" w:firstLineChars="200"/>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rPr>
        <w:t>综上所述，2025年新建大气本底站建设项目适应当前经济发展和应对气候变化的需求，对于促进地方经济社会可持续发展、增强气象监测与预警能力、应对全球气候变化挑战以及促进温室气体减排与低碳发展具有重要意义。</w:t>
      </w:r>
    </w:p>
    <w:p>
      <w:pPr>
        <w:ind w:firstLine="560" w:firstLineChars="200"/>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rPr>
        <w:t>为了满足气象高质量发展对观测数据质量提升与产品应用的迫切需求，有必要开展省级综合气象观测数据质量监控和观测产品系统建设与推广，包括完善观测数据综合监控与产品系统建设技术方法，提升应急通信能力，弥补灾害期间数据缺失，实现观测数据监控及时性与产品的广泛化和集约化。</w:t>
      </w:r>
    </w:p>
    <w:p>
      <w:pPr>
        <w:ind w:firstLine="560" w:firstLineChars="200"/>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rPr>
        <w:t>为深入贯彻习近平总书记关于气象工作重要指示精神，对标 “监测精密”要求，认真落实中国气象局“质量提升年”行动部署，按照《气象高质量发展纲要（2022-2035年）》《大气本底站研究型业务发展指导意见》要求，以全面提高本底站观测业务质量为目标，“十四五”期间，结合气候系统关键观测区的观测要求，中国气象局将在现有7个国家大气本底站和即将建成的广东新丰国家大气本底站基础上，在环渤海陆海气、黄淮农田生态、四川盆地环境、锡林郭勒草原、敦煌沙漠陆面过程、青藏高原陆面与大气过程等8个综合观测区新增国家大气本底站。实现16个气候系统关键观测区国家大气本底站全覆盖。</w:t>
      </w:r>
    </w:p>
    <w:p>
      <w:pPr>
        <w:ind w:firstLine="560" w:firstLineChars="200"/>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rPr>
        <w:t>为实现每个气候系统关键观测区至少有一个国家大气本底站，在新增观测区内，各省购置大气本底站观测业务观测设备，展开大气本底观测试验，科学合理遴选出最优站址建设大气本底站。此举旨在贯彻落实碳达峰、碳中和重大战略决策，增强大气本底观测能力和温室气体本底浓度联网观测能力，加快完善国家大气本底观测站网，提升关键大气成分长期观测能力，助力应对气候变化。</w:t>
      </w:r>
    </w:p>
    <w:p>
      <w:pPr>
        <w:ind w:firstLine="560" w:firstLineChars="200"/>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rPr>
        <w:t>我国是温室气体、气溶胶等大气成分排放大国，也是国际上有影响力的发展中大国。作为全球第二大经济体，在应对和解决包括气候变化在内全球变化问题进程中，我国不仅要坚定维护中国的发展权益，同时也要积极履行国际义务，展现大国担当。我国自上世纪80年代起就加入了WMO/GAW计划，作为我国履行蒙特里尔公约、气候变化框架公约、京都议定书、巴黎协定等一系列国际公约义务的国家行动，中国气象局大气本底站向WMO/GAW提交大气成分观测权威数据及科学成果。</w:t>
      </w:r>
    </w:p>
    <w:p>
      <w:pPr>
        <w:ind w:firstLine="560" w:firstLineChars="200"/>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rPr>
        <w:t>这样的新增选址布局，由中国气象局依据中国气候观测系统（CCOS）实施方案布局要求，按照需求牵引、科学合理、着眼长远、统筹节约的原则展开。大气本底站的建设，不仅促进了当地的绿色低碳发展，更重要的是，通过长期科学监测得到的数据，为服务国家应对气候变化、生态文明建设和“双碳”目标实现等方面做出贡献，对促进减少温室气体排放、积极应对气候变化，具有非常重要的意义。</w:t>
      </w:r>
    </w:p>
    <w:p>
      <w:pPr>
        <w:ind w:firstLine="560" w:firstLineChars="200"/>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rPr>
        <w:t>中国气象局气象探测中心建成的综合气象观测数据运行监控和观测产品系统，通过多源数据监控、评估、异常反馈算法、三维组网方法、气象数据融合分析方法、人工智能同化方法、大数据识别方法等先进技术手段实现对设备数据质量监控，实现对雾霾等天气过程的实时、精准监测预警。重点解决了现有业务系统时效明显滞后，数据源质量不佳，数据产品内容单调，监测和预警能力不足等一系列问题。为了稳妥推进省级产品服务能力建设，推广省级的试用工作，基于综合气象观测数据质量监控和观测产品系统，封装形成省级产品服务系统，进行省级版本地化部署建设，实现省级产品服务标准化版的内容梳理，输出标准化版功能清单和算法产品清单。在省级天擎环境下实现本地化能力建设，包括数据监视、数据产品服务等功能集成部署并开展试运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rPr>
        <w:t>所有设备出厂前，项目采购方派人到工厂进行检验，设备生产方在设备出厂前提供出厂检验项目指标测试程序和检验方法，供采购方参考，采购方可根据需要进行补充和修改。采购方有权委托有关部门赴生产方按验收规程做出厂抽检验收，所有的测试设备满足测试要求并在计量检定有效期内</w:t>
      </w:r>
      <w:r>
        <w:rPr>
          <w:rFonts w:ascii="仿宋_GB2312" w:eastAsia="仿宋_GB2312" w:hAnsi="仿宋_GB2312" w:cs="仿宋_GB2312" w:hint="eastAsia"/>
          <w:b w:val="0"/>
          <w:bCs w:val="0"/>
          <w:sz w:val="28"/>
          <w:szCs w:val="20"/>
          <w:lang w:eastAsia="zh-CN"/>
        </w:rPr>
        <w:t>，并所有设备维保</w:t>
      </w:r>
      <w:r>
        <w:rPr>
          <w:rFonts w:ascii="仿宋_GB2312" w:eastAsia="仿宋_GB2312" w:hAnsi="仿宋_GB2312" w:cs="仿宋_GB2312" w:hint="eastAsia"/>
          <w:b w:val="0"/>
          <w:bCs w:val="0"/>
          <w:sz w:val="28"/>
          <w:szCs w:val="20"/>
          <w:lang w:val="en-US" w:eastAsia="zh-CN"/>
        </w:rPr>
        <w:t>8年。设备安装、调试达到功能规格需求书规定的指标后，可进行现场验收。验收规范由生产方在前一个月提交给采购方。采购方可进行修改和补充，经双方确认后形成验收文件作为验收依据。验收测试合格后，双方签署现场验收合格报告，设备进入试运行期。</w:t>
      </w:r>
      <w:r>
        <w:rPr>
          <w:rFonts w:ascii="仿宋_GB2312" w:eastAsia="仿宋_GB2312" w:hAnsi="仿宋_GB2312" w:cs="仿宋_GB2312" w:hint="eastAsia"/>
          <w:b w:val="0"/>
          <w:bCs w:val="0"/>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rPr>
        <w:t>设备供应商对每套投标产品提供至少2次技术培训，培训课时不少于</w:t>
      </w:r>
      <w:r>
        <w:rPr>
          <w:rFonts w:ascii="仿宋_GB2312" w:eastAsia="仿宋_GB2312" w:hAnsi="仿宋_GB2312" w:cs="仿宋_GB2312" w:hint="default"/>
          <w:b w:val="0"/>
          <w:bCs w:val="0"/>
          <w:sz w:val="28"/>
          <w:szCs w:val="20"/>
          <w:lang w:val="en"/>
        </w:rPr>
        <w:t>10</w:t>
      </w:r>
      <w:r>
        <w:rPr>
          <w:rFonts w:ascii="仿宋_GB2312" w:eastAsia="仿宋_GB2312" w:hAnsi="仿宋_GB2312" w:cs="仿宋_GB2312" w:hint="eastAsia"/>
          <w:b w:val="0"/>
          <w:bCs w:val="0"/>
          <w:sz w:val="28"/>
          <w:szCs w:val="20"/>
        </w:rPr>
        <w:t>个课时，培训人数不少于</w:t>
      </w:r>
      <w:r>
        <w:rPr>
          <w:rFonts w:ascii="仿宋_GB2312" w:eastAsia="仿宋_GB2312" w:hAnsi="仿宋_GB2312" w:cs="仿宋_GB2312" w:hint="default"/>
          <w:b w:val="0"/>
          <w:bCs w:val="0"/>
          <w:sz w:val="28"/>
          <w:szCs w:val="20"/>
          <w:lang w:val="en"/>
        </w:rPr>
        <w:t>6</w:t>
      </w:r>
      <w:r>
        <w:rPr>
          <w:rFonts w:ascii="仿宋_GB2312" w:eastAsia="仿宋_GB2312" w:hAnsi="仿宋_GB2312" w:cs="仿宋_GB2312" w:hint="eastAsia"/>
          <w:b w:val="0"/>
          <w:bCs w:val="0"/>
          <w:sz w:val="28"/>
          <w:szCs w:val="20"/>
        </w:rPr>
        <w:t>人。培训内容包括设备安装、使用、日常维护、观测原理及产品应用，培训时间及地点双方协商确定。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b/>
          <w:bCs/>
          <w:sz w:val="28"/>
          <w:szCs w:val="20"/>
        </w:rPr>
      </w:pPr>
      <w:r>
        <w:rPr>
          <w:rFonts w:ascii="仿宋_GB2312" w:eastAsia="仿宋_GB2312" w:hAnsi="仿宋_GB2312" w:cs="仿宋_GB2312" w:hint="eastAsia"/>
          <w:b w:val="0"/>
          <w:bCs w:val="0"/>
          <w:sz w:val="28"/>
          <w:szCs w:val="20"/>
        </w:rPr>
        <w:t>中标供应商将所有设备运送至</w:t>
      </w:r>
      <w:r>
        <w:rPr>
          <w:rFonts w:ascii="仿宋_GB2312" w:eastAsia="仿宋_GB2312" w:hAnsi="仿宋_GB2312" w:cs="仿宋_GB2312" w:hint="eastAsia"/>
          <w:b w:val="0"/>
          <w:bCs w:val="0"/>
          <w:sz w:val="28"/>
          <w:szCs w:val="20"/>
          <w:lang w:eastAsia="zh-CN"/>
        </w:rPr>
        <w:t>西藏阿里地区噶尔县扎西岗镇阿里国家大气本底站</w:t>
      </w:r>
      <w:r>
        <w:rPr>
          <w:rFonts w:ascii="仿宋_GB2312" w:eastAsia="仿宋_GB2312" w:hAnsi="仿宋_GB2312" w:cs="仿宋_GB2312" w:hint="eastAsia"/>
          <w:b w:val="0"/>
          <w:bCs w:val="0"/>
          <w:sz w:val="28"/>
          <w:szCs w:val="20"/>
        </w:rPr>
        <w:t>地点（运输相关费用由供应商负责），并负责安装调试。合同签订后120天内完成供货、安装调试并具备验收条件。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sz w:val="28"/>
          <w:szCs w:val="20"/>
        </w:rPr>
      </w:pPr>
      <w:r>
        <w:rPr>
          <w:rFonts w:ascii="仿宋_GB2312" w:eastAsia="仿宋_GB2312" w:hAnsi="仿宋_GB2312" w:cs="仿宋_GB2312" w:hint="eastAsia"/>
          <w:b w:val="0"/>
          <w:bCs w:val="0"/>
          <w:sz w:val="28"/>
          <w:szCs w:val="20"/>
          <w:lang w:eastAsia="zh-CN"/>
        </w:rPr>
        <w:t>设备</w:t>
      </w:r>
      <w:r>
        <w:rPr>
          <w:rFonts w:ascii="仿宋_GB2312" w:eastAsia="仿宋_GB2312" w:hAnsi="仿宋_GB2312" w:cs="仿宋_GB2312" w:hint="eastAsia"/>
          <w:b w:val="0"/>
          <w:bCs w:val="0"/>
          <w:sz w:val="28"/>
          <w:szCs w:val="20"/>
        </w:rPr>
        <w:t>完全符合甲方相关要求和规范，保证其系统的兼容性和功能的完整性。</w:t>
      </w:r>
    </w:p>
    <w:p>
      <w:pPr>
        <w:ind w:firstLine="560" w:firstLineChars="200"/>
        <w:rPr>
          <w:rFonts w:ascii="仿宋" w:eastAsia="仿宋" w:hAnsi="仿宋" w:cs="仿宋"/>
          <w:sz w:val="28"/>
          <w:szCs w:val="20"/>
        </w:rPr>
      </w:pPr>
      <w:r>
        <w:rPr>
          <w:rFonts w:ascii="仿宋" w:eastAsia="仿宋" w:hAnsi="仿宋" w:cs="仿宋" w:hint="eastAsia"/>
          <w:b/>
          <w:bCs/>
          <w:sz w:val="28"/>
          <w:szCs w:val="20"/>
        </w:rPr>
        <w:t>七、其他</w:t>
      </w:r>
    </w:p>
    <w:p>
      <w:pPr>
        <w:ind w:firstLine="560" w:firstLineChars="200"/>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rPr>
        <w:t>阿里国家大气本底站建设设备情况：温室气体采集、处理、标气单元配套设备（无采样管）1套；黑碳仪1套；方舱1套；UPS（含方舱）1套。</w:t>
      </w:r>
      <w:r>
        <w:rPr>
          <w:rFonts w:ascii="仿宋_GB2312" w:eastAsia="仿宋_GB2312" w:hAnsi="仿宋_GB2312" w:cs="仿宋_GB2312" w:hint="eastAsia"/>
          <w:b w:val="0"/>
          <w:bCs w:val="0"/>
          <w:sz w:val="28"/>
          <w:szCs w:val="20"/>
          <w:lang w:eastAsia="zh-CN"/>
        </w:rPr>
        <w:t>具体参数如下：</w:t>
      </w:r>
    </w:p>
    <w:p>
      <w:pPr>
        <w:numPr>
          <w:ilvl w:val="0"/>
          <w:numId w:val="7"/>
        </w:numPr>
        <w:ind w:left="0" w:firstLine="420" w:leftChars="0" w:firstLineChars="0"/>
        <w:rPr>
          <w:rFonts w:ascii="仿宋_GB2312" w:eastAsia="仿宋_GB2312" w:hAnsi="仿宋_GB2312" w:cs="仿宋_GB2312" w:hint="eastAsia"/>
          <w:b/>
          <w:bCs/>
          <w:sz w:val="28"/>
          <w:szCs w:val="20"/>
        </w:rPr>
      </w:pPr>
      <w:r>
        <w:rPr>
          <w:rFonts w:ascii="仿宋_GB2312" w:eastAsia="仿宋_GB2312" w:hAnsi="仿宋_GB2312" w:cs="仿宋_GB2312" w:hint="eastAsia"/>
          <w:b/>
          <w:bCs/>
          <w:sz w:val="28"/>
          <w:szCs w:val="20"/>
          <w:lang w:eastAsia="zh-CN"/>
        </w:rPr>
        <w:t>、黑碳仪</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w:t>
      </w:r>
      <w:r>
        <w:rPr>
          <w:rFonts w:ascii="仿宋_GB2312" w:eastAsia="仿宋_GB2312" w:hAnsi="仿宋_GB2312" w:cs="仿宋_GB2312" w:hint="eastAsia"/>
          <w:b w:val="0"/>
          <w:bCs w:val="0"/>
          <w:sz w:val="28"/>
          <w:szCs w:val="20"/>
          <w:lang w:val="en-US" w:eastAsia="zh-CN"/>
        </w:rPr>
        <w:t>1</w:t>
      </w:r>
      <w:r>
        <w:rPr>
          <w:rFonts w:ascii="仿宋_GB2312" w:eastAsia="仿宋_GB2312" w:hAnsi="仿宋_GB2312" w:cs="仿宋_GB2312" w:hint="eastAsia"/>
          <w:b w:val="0"/>
          <w:bCs w:val="0"/>
          <w:sz w:val="28"/>
          <w:szCs w:val="20"/>
          <w:lang w:eastAsia="zh-CN"/>
        </w:rPr>
        <w:t>）功能：采用多波长光吸收法，测量环境大气中的黑碳气溶胶的浓度。</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w:t>
      </w:r>
      <w:r>
        <w:rPr>
          <w:rFonts w:ascii="仿宋_GB2312" w:eastAsia="仿宋_GB2312" w:hAnsi="仿宋_GB2312" w:cs="仿宋_GB2312" w:hint="eastAsia"/>
          <w:b w:val="0"/>
          <w:bCs w:val="0"/>
          <w:sz w:val="28"/>
          <w:szCs w:val="20"/>
          <w:lang w:val="en-US" w:eastAsia="zh-CN"/>
        </w:rPr>
        <w:t>2</w:t>
      </w:r>
      <w:r>
        <w:rPr>
          <w:rFonts w:ascii="仿宋_GB2312" w:eastAsia="仿宋_GB2312" w:hAnsi="仿宋_GB2312" w:cs="仿宋_GB2312" w:hint="eastAsia"/>
          <w:b w:val="0"/>
          <w:bCs w:val="0"/>
          <w:sz w:val="28"/>
          <w:szCs w:val="20"/>
          <w:lang w:eastAsia="zh-CN"/>
        </w:rPr>
        <w:t>）结构：由1套切割器、1套采样管、1套主机组成。</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w:t>
      </w:r>
      <w:r>
        <w:rPr>
          <w:rFonts w:ascii="仿宋_GB2312" w:eastAsia="仿宋_GB2312" w:hAnsi="仿宋_GB2312" w:cs="仿宋_GB2312" w:hint="eastAsia"/>
          <w:b w:val="0"/>
          <w:bCs w:val="0"/>
          <w:sz w:val="28"/>
          <w:szCs w:val="20"/>
          <w:lang w:val="en-US" w:eastAsia="zh-CN"/>
        </w:rPr>
        <w:t>3</w:t>
      </w:r>
      <w:r>
        <w:rPr>
          <w:rFonts w:ascii="仿宋_GB2312" w:eastAsia="仿宋_GB2312" w:hAnsi="仿宋_GB2312" w:cs="仿宋_GB2312" w:hint="eastAsia"/>
          <w:b w:val="0"/>
          <w:bCs w:val="0"/>
          <w:sz w:val="28"/>
          <w:szCs w:val="20"/>
          <w:lang w:eastAsia="zh-CN"/>
        </w:rPr>
        <w:t>）布局：选择当地有一定海拔高度、代表不同地球系统圈层下垫面特征性的站点。</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w:t>
      </w:r>
      <w:r>
        <w:rPr>
          <w:rFonts w:ascii="仿宋_GB2312" w:eastAsia="仿宋_GB2312" w:hAnsi="仿宋_GB2312" w:cs="仿宋_GB2312" w:hint="eastAsia"/>
          <w:b w:val="0"/>
          <w:bCs w:val="0"/>
          <w:sz w:val="28"/>
          <w:szCs w:val="20"/>
          <w:lang w:val="en-US" w:eastAsia="zh-CN"/>
        </w:rPr>
        <w:t>4</w:t>
      </w:r>
      <w:r>
        <w:rPr>
          <w:rFonts w:ascii="仿宋_GB2312" w:eastAsia="仿宋_GB2312" w:hAnsi="仿宋_GB2312" w:cs="仿宋_GB2312" w:hint="eastAsia"/>
          <w:b w:val="0"/>
          <w:bCs w:val="0"/>
          <w:sz w:val="28"/>
          <w:szCs w:val="20"/>
          <w:lang w:eastAsia="zh-CN"/>
        </w:rPr>
        <w:t>）信息流程：台站级集成及资料处理分析系统采集各观测系统数据，通过气象局专网（内网）传输至省级信息中心-国家级信息中心，最后推送至业务管理部门。</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w:t>
      </w:r>
      <w:r>
        <w:rPr>
          <w:rFonts w:ascii="仿宋_GB2312" w:eastAsia="仿宋_GB2312" w:hAnsi="仿宋_GB2312" w:cs="仿宋_GB2312" w:hint="eastAsia"/>
          <w:b w:val="0"/>
          <w:bCs w:val="0"/>
          <w:sz w:val="28"/>
          <w:szCs w:val="20"/>
          <w:lang w:val="en-US" w:eastAsia="zh-CN"/>
        </w:rPr>
        <w:t>5</w:t>
      </w:r>
      <w:r>
        <w:rPr>
          <w:rFonts w:ascii="仿宋_GB2312" w:eastAsia="仿宋_GB2312" w:hAnsi="仿宋_GB2312" w:cs="仿宋_GB2312" w:hint="eastAsia"/>
          <w:b w:val="0"/>
          <w:bCs w:val="0"/>
          <w:sz w:val="28"/>
          <w:szCs w:val="20"/>
          <w:lang w:eastAsia="zh-CN"/>
        </w:rPr>
        <w:t>）设备（含软件）配置</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1）配置清单</w:t>
      </w:r>
    </w:p>
    <w:tbl>
      <w:tblPr>
        <w:tblStyle w:val="TableNormal"/>
        <w:tblW w:w="477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820"/>
        <w:gridCol w:w="4227"/>
        <w:gridCol w:w="1563"/>
        <w:gridCol w:w="1535"/>
      </w:tblGrid>
      <w:tr>
        <w:tblPrEx>
          <w:tblW w:w="477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20"/>
          <w:tblHeader/>
          <w:jc w:val="center"/>
        </w:trPr>
        <w:tc>
          <w:tcPr>
            <w:tcW w:w="503"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序号</w:t>
            </w:r>
          </w:p>
        </w:tc>
        <w:tc>
          <w:tcPr>
            <w:tcW w:w="2594"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名称</w:t>
            </w:r>
          </w:p>
        </w:tc>
        <w:tc>
          <w:tcPr>
            <w:tcW w:w="959"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数量</w:t>
            </w:r>
          </w:p>
        </w:tc>
        <w:tc>
          <w:tcPr>
            <w:tcW w:w="942"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备注</w:t>
            </w:r>
          </w:p>
        </w:tc>
      </w:tr>
      <w:tr>
        <w:tblPrEx>
          <w:tblW w:w="4779" w:type="pct"/>
          <w:jc w:val="center"/>
          <w:tblCellMar>
            <w:top w:w="0" w:type="dxa"/>
            <w:left w:w="108" w:type="dxa"/>
            <w:bottom w:w="0" w:type="dxa"/>
            <w:right w:w="108" w:type="dxa"/>
          </w:tblCellMar>
        </w:tblPrEx>
        <w:trPr>
          <w:trHeight w:val="20"/>
          <w:jc w:val="center"/>
        </w:trPr>
        <w:tc>
          <w:tcPr>
            <w:tcW w:w="503"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p>
        </w:tc>
        <w:tc>
          <w:tcPr>
            <w:tcW w:w="2594" w:type="pct"/>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切割器</w:t>
            </w:r>
          </w:p>
        </w:tc>
        <w:tc>
          <w:tcPr>
            <w:tcW w:w="959"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1套</w:t>
            </w:r>
          </w:p>
        </w:tc>
        <w:tc>
          <w:tcPr>
            <w:tcW w:w="942"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p>
        </w:tc>
      </w:tr>
      <w:tr>
        <w:tblPrEx>
          <w:tblW w:w="4779" w:type="pct"/>
          <w:jc w:val="center"/>
          <w:tblCellMar>
            <w:top w:w="0" w:type="dxa"/>
            <w:left w:w="108" w:type="dxa"/>
            <w:bottom w:w="0" w:type="dxa"/>
            <w:right w:w="108" w:type="dxa"/>
          </w:tblCellMar>
        </w:tblPrEx>
        <w:trPr>
          <w:trHeight w:val="20"/>
          <w:jc w:val="center"/>
        </w:trPr>
        <w:tc>
          <w:tcPr>
            <w:tcW w:w="503"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p>
        </w:tc>
        <w:tc>
          <w:tcPr>
            <w:tcW w:w="2594" w:type="pct"/>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采样管</w:t>
            </w:r>
          </w:p>
        </w:tc>
        <w:tc>
          <w:tcPr>
            <w:tcW w:w="959"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1套</w:t>
            </w:r>
          </w:p>
        </w:tc>
        <w:tc>
          <w:tcPr>
            <w:tcW w:w="942"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p>
        </w:tc>
      </w:tr>
      <w:tr>
        <w:tblPrEx>
          <w:tblW w:w="4779" w:type="pct"/>
          <w:jc w:val="center"/>
          <w:tblCellMar>
            <w:top w:w="0" w:type="dxa"/>
            <w:left w:w="108" w:type="dxa"/>
            <w:bottom w:w="0" w:type="dxa"/>
            <w:right w:w="108" w:type="dxa"/>
          </w:tblCellMar>
        </w:tblPrEx>
        <w:trPr>
          <w:trHeight w:val="20"/>
          <w:jc w:val="center"/>
        </w:trPr>
        <w:tc>
          <w:tcPr>
            <w:tcW w:w="503"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p>
        </w:tc>
        <w:tc>
          <w:tcPr>
            <w:tcW w:w="2594" w:type="pct"/>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主机</w:t>
            </w:r>
          </w:p>
        </w:tc>
        <w:tc>
          <w:tcPr>
            <w:tcW w:w="959"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1套</w:t>
            </w:r>
          </w:p>
        </w:tc>
        <w:tc>
          <w:tcPr>
            <w:tcW w:w="942"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p>
        </w:tc>
      </w:tr>
    </w:tbl>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2）主要技术性能要求</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测量原理：多波长光吸收法，实时双点位技术。</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 xml:space="preserve">光学测量波段：370nm、430nm、470nm、520nm、565nm、590nm、660nm、700nm、880nm、950nm </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测量范围：（0.01～100）μg/m3</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检出限：5ng/m3（1h）</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流量：2～5L/min，可调节，默认5L/min</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设备安装及配套基础设施建设</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1）安装方案</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放置在观测室或方舱中设备室内仪器台上；采样管延主机上方垂直伸出屋顶，高于屋顶平台1.5米；三脚架安装在屋顶平台固定采样管。</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2）配套基础设施资源</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水：无。</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电：市电（500W）及UPS（500W2H）供电。</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路：便于人员和物资的流动。</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气：无。</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bCs/>
          <w:sz w:val="28"/>
          <w:szCs w:val="20"/>
        </w:rPr>
      </w:pPr>
      <w:r>
        <w:rPr>
          <w:rFonts w:ascii="仿宋_GB2312" w:eastAsia="仿宋_GB2312" w:hAnsi="仿宋_GB2312" w:cs="仿宋_GB2312" w:hint="eastAsia"/>
          <w:b w:val="0"/>
          <w:bCs w:val="0"/>
          <w:sz w:val="28"/>
          <w:szCs w:val="20"/>
          <w:lang w:eastAsia="zh-CN"/>
        </w:rPr>
        <w:t>信：气象局内网。</w:t>
      </w:r>
    </w:p>
    <w:p>
      <w:pPr>
        <w:numPr>
          <w:ilvl w:val="0"/>
          <w:numId w:val="7"/>
        </w:numPr>
        <w:ind w:left="0" w:firstLine="560" w:leftChars="0" w:firstLineChars="200"/>
        <w:rPr>
          <w:rFonts w:ascii="仿宋_GB2312" w:eastAsia="仿宋_GB2312" w:hAnsi="仿宋_GB2312" w:cs="仿宋_GB2312" w:hint="eastAsia"/>
          <w:b/>
          <w:bCs/>
          <w:sz w:val="28"/>
          <w:szCs w:val="20"/>
        </w:rPr>
      </w:pPr>
      <w:r>
        <w:rPr>
          <w:rFonts w:ascii="仿宋_GB2312" w:eastAsia="仿宋_GB2312" w:hAnsi="仿宋_GB2312" w:cs="仿宋_GB2312" w:hint="eastAsia"/>
          <w:b/>
          <w:bCs/>
          <w:sz w:val="28"/>
          <w:szCs w:val="20"/>
          <w:lang w:eastAsia="zh-CN"/>
        </w:rPr>
        <w:t>、室气体采集、处理、标气单元配套设备（无采样管）1套</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w:t>
      </w:r>
      <w:r>
        <w:rPr>
          <w:rFonts w:ascii="仿宋_GB2312" w:eastAsia="仿宋_GB2312" w:hAnsi="仿宋_GB2312" w:cs="仿宋_GB2312" w:hint="eastAsia"/>
          <w:b w:val="0"/>
          <w:bCs w:val="0"/>
          <w:sz w:val="28"/>
          <w:szCs w:val="20"/>
          <w:lang w:val="en-US" w:eastAsia="zh-CN"/>
        </w:rPr>
        <w:t>1</w:t>
      </w:r>
      <w:r>
        <w:rPr>
          <w:rFonts w:ascii="仿宋_GB2312" w:eastAsia="仿宋_GB2312" w:hAnsi="仿宋_GB2312" w:cs="仿宋_GB2312" w:hint="eastAsia"/>
          <w:b w:val="0"/>
          <w:bCs w:val="0"/>
          <w:sz w:val="28"/>
          <w:szCs w:val="20"/>
          <w:lang w:eastAsia="zh-CN"/>
        </w:rPr>
        <w:t>）功能：配套光谱吸收法大气二氧化碳/甲烷高精度分析仪使用，测量环境大气中的CO2、CH4浓度。</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w:t>
      </w:r>
      <w:r>
        <w:rPr>
          <w:rFonts w:ascii="仿宋_GB2312" w:eastAsia="仿宋_GB2312" w:hAnsi="仿宋_GB2312" w:cs="仿宋_GB2312" w:hint="eastAsia"/>
          <w:b w:val="0"/>
          <w:bCs w:val="0"/>
          <w:sz w:val="28"/>
          <w:szCs w:val="20"/>
          <w:lang w:val="en-US" w:eastAsia="zh-CN"/>
        </w:rPr>
        <w:t>2</w:t>
      </w:r>
      <w:r>
        <w:rPr>
          <w:rFonts w:ascii="仿宋_GB2312" w:eastAsia="仿宋_GB2312" w:hAnsi="仿宋_GB2312" w:cs="仿宋_GB2312" w:hint="eastAsia"/>
          <w:b w:val="0"/>
          <w:bCs w:val="0"/>
          <w:sz w:val="28"/>
          <w:szCs w:val="20"/>
          <w:lang w:eastAsia="zh-CN"/>
        </w:rPr>
        <w:t>）结构：系统由1套样气采集单元、1套样气处理单元、1套标气单元组成。</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w:t>
      </w:r>
      <w:r>
        <w:rPr>
          <w:rFonts w:ascii="仿宋_GB2312" w:eastAsia="仿宋_GB2312" w:hAnsi="仿宋_GB2312" w:cs="仿宋_GB2312" w:hint="eastAsia"/>
          <w:b w:val="0"/>
          <w:bCs w:val="0"/>
          <w:sz w:val="28"/>
          <w:szCs w:val="20"/>
          <w:lang w:val="en-US" w:eastAsia="zh-CN"/>
        </w:rPr>
        <w:t>3</w:t>
      </w:r>
      <w:r>
        <w:rPr>
          <w:rFonts w:ascii="仿宋_GB2312" w:eastAsia="仿宋_GB2312" w:hAnsi="仿宋_GB2312" w:cs="仿宋_GB2312" w:hint="eastAsia"/>
          <w:b w:val="0"/>
          <w:bCs w:val="0"/>
          <w:sz w:val="28"/>
          <w:szCs w:val="20"/>
          <w:lang w:eastAsia="zh-CN"/>
        </w:rPr>
        <w:t>）布局：选择当地有一定海拔高度、代表不同地球系统圈层下垫面特征性的站点。</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w:t>
      </w:r>
      <w:r>
        <w:rPr>
          <w:rFonts w:ascii="仿宋_GB2312" w:eastAsia="仿宋_GB2312" w:hAnsi="仿宋_GB2312" w:cs="仿宋_GB2312" w:hint="eastAsia"/>
          <w:b w:val="0"/>
          <w:bCs w:val="0"/>
          <w:sz w:val="28"/>
          <w:szCs w:val="20"/>
          <w:lang w:val="en-US" w:eastAsia="zh-CN"/>
        </w:rPr>
        <w:t>4</w:t>
      </w:r>
      <w:r>
        <w:rPr>
          <w:rFonts w:ascii="仿宋_GB2312" w:eastAsia="仿宋_GB2312" w:hAnsi="仿宋_GB2312" w:cs="仿宋_GB2312" w:hint="eastAsia"/>
          <w:b w:val="0"/>
          <w:bCs w:val="0"/>
          <w:sz w:val="28"/>
          <w:szCs w:val="20"/>
          <w:lang w:eastAsia="zh-CN"/>
        </w:rPr>
        <w:t>）信息流程：配套光谱吸收法大气二氧化碳/甲烷高精度分析仪使用时，台站级集成及资料处理分析系统采集各观测系统数据，通过气象局专网（内网）传输至省级信息中心-国家级信息中心，最后推送至业务管理部门。</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w:t>
      </w:r>
      <w:r>
        <w:rPr>
          <w:rFonts w:ascii="仿宋_GB2312" w:eastAsia="仿宋_GB2312" w:hAnsi="仿宋_GB2312" w:cs="仿宋_GB2312" w:hint="eastAsia"/>
          <w:b w:val="0"/>
          <w:bCs w:val="0"/>
          <w:sz w:val="28"/>
          <w:szCs w:val="20"/>
          <w:lang w:val="en-US" w:eastAsia="zh-CN"/>
        </w:rPr>
        <w:t>5</w:t>
      </w:r>
      <w:r>
        <w:rPr>
          <w:rFonts w:ascii="仿宋_GB2312" w:eastAsia="仿宋_GB2312" w:hAnsi="仿宋_GB2312" w:cs="仿宋_GB2312" w:hint="eastAsia"/>
          <w:b w:val="0"/>
          <w:bCs w:val="0"/>
          <w:sz w:val="28"/>
          <w:szCs w:val="20"/>
          <w:lang w:eastAsia="zh-CN"/>
        </w:rPr>
        <w:t>）设备（含软件）配置</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1）配置清单</w:t>
      </w:r>
    </w:p>
    <w:tbl>
      <w:tblPr>
        <w:tblStyle w:val="TableNormal"/>
        <w:tblW w:w="47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820"/>
        <w:gridCol w:w="4224"/>
        <w:gridCol w:w="1562"/>
        <w:gridCol w:w="1527"/>
      </w:tblGrid>
      <w:tr>
        <w:tblPrEx>
          <w:tblW w:w="47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20"/>
          <w:tblHeader/>
          <w:jc w:val="center"/>
        </w:trPr>
        <w:tc>
          <w:tcPr>
            <w:tcW w:w="504"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序号</w:t>
            </w:r>
          </w:p>
        </w:tc>
        <w:tc>
          <w:tcPr>
            <w:tcW w:w="2597"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名称</w:t>
            </w:r>
          </w:p>
        </w:tc>
        <w:tc>
          <w:tcPr>
            <w:tcW w:w="960"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数量</w:t>
            </w:r>
          </w:p>
        </w:tc>
        <w:tc>
          <w:tcPr>
            <w:tcW w:w="937"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备注</w:t>
            </w:r>
          </w:p>
        </w:tc>
      </w:tr>
      <w:tr>
        <w:tblPrEx>
          <w:tblW w:w="4772" w:type="pct"/>
          <w:jc w:val="center"/>
          <w:tblCellMar>
            <w:top w:w="0" w:type="dxa"/>
            <w:left w:w="108" w:type="dxa"/>
            <w:bottom w:w="0" w:type="dxa"/>
            <w:right w:w="108" w:type="dxa"/>
          </w:tblCellMar>
        </w:tblPrEx>
        <w:trPr>
          <w:trHeight w:val="20"/>
          <w:jc w:val="center"/>
        </w:trPr>
        <w:tc>
          <w:tcPr>
            <w:tcW w:w="5000" w:type="pct"/>
            <w:gridSpan w:val="4"/>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样气采集单元</w:t>
            </w:r>
          </w:p>
        </w:tc>
      </w:tr>
      <w:tr>
        <w:tblPrEx>
          <w:tblW w:w="4772" w:type="pct"/>
          <w:jc w:val="center"/>
          <w:tblCellMar>
            <w:top w:w="0" w:type="dxa"/>
            <w:left w:w="108" w:type="dxa"/>
            <w:bottom w:w="0" w:type="dxa"/>
            <w:right w:w="108" w:type="dxa"/>
          </w:tblCellMar>
        </w:tblPrEx>
        <w:trPr>
          <w:trHeight w:val="20"/>
          <w:jc w:val="center"/>
        </w:trPr>
        <w:tc>
          <w:tcPr>
            <w:tcW w:w="504"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p>
        </w:tc>
        <w:tc>
          <w:tcPr>
            <w:tcW w:w="2597" w:type="pct"/>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采样口过滤器</w:t>
            </w:r>
          </w:p>
        </w:tc>
        <w:tc>
          <w:tcPr>
            <w:tcW w:w="960" w:type="pct"/>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2个</w:t>
            </w:r>
          </w:p>
        </w:tc>
        <w:tc>
          <w:tcPr>
            <w:tcW w:w="937"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p>
        </w:tc>
      </w:tr>
      <w:tr>
        <w:tblPrEx>
          <w:tblW w:w="4772" w:type="pct"/>
          <w:jc w:val="center"/>
          <w:tblCellMar>
            <w:top w:w="0" w:type="dxa"/>
            <w:left w:w="108" w:type="dxa"/>
            <w:bottom w:w="0" w:type="dxa"/>
            <w:right w:w="108" w:type="dxa"/>
          </w:tblCellMar>
        </w:tblPrEx>
        <w:trPr>
          <w:trHeight w:val="20"/>
          <w:jc w:val="center"/>
        </w:trPr>
        <w:tc>
          <w:tcPr>
            <w:tcW w:w="504"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p>
        </w:tc>
        <w:tc>
          <w:tcPr>
            <w:tcW w:w="2597" w:type="pct"/>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采样泵</w:t>
            </w:r>
          </w:p>
        </w:tc>
        <w:tc>
          <w:tcPr>
            <w:tcW w:w="960" w:type="pct"/>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1个</w:t>
            </w:r>
          </w:p>
        </w:tc>
        <w:tc>
          <w:tcPr>
            <w:tcW w:w="937"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p>
        </w:tc>
      </w:tr>
      <w:tr>
        <w:tblPrEx>
          <w:tblW w:w="4772" w:type="pct"/>
          <w:jc w:val="center"/>
          <w:tblCellMar>
            <w:top w:w="0" w:type="dxa"/>
            <w:left w:w="108" w:type="dxa"/>
            <w:bottom w:w="0" w:type="dxa"/>
            <w:right w:w="108" w:type="dxa"/>
          </w:tblCellMar>
        </w:tblPrEx>
        <w:trPr>
          <w:trHeight w:val="20"/>
          <w:jc w:val="center"/>
        </w:trPr>
        <w:tc>
          <w:tcPr>
            <w:tcW w:w="504"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p>
        </w:tc>
        <w:tc>
          <w:tcPr>
            <w:tcW w:w="2597" w:type="pct"/>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采样泵过滤器</w:t>
            </w:r>
          </w:p>
        </w:tc>
        <w:tc>
          <w:tcPr>
            <w:tcW w:w="960" w:type="pct"/>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1个</w:t>
            </w:r>
          </w:p>
        </w:tc>
        <w:tc>
          <w:tcPr>
            <w:tcW w:w="937"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p>
        </w:tc>
      </w:tr>
      <w:tr>
        <w:tblPrEx>
          <w:tblW w:w="4772" w:type="pct"/>
          <w:jc w:val="center"/>
          <w:tblCellMar>
            <w:top w:w="0" w:type="dxa"/>
            <w:left w:w="108" w:type="dxa"/>
            <w:bottom w:w="0" w:type="dxa"/>
            <w:right w:w="108" w:type="dxa"/>
          </w:tblCellMar>
        </w:tblPrEx>
        <w:trPr>
          <w:trHeight w:val="20"/>
          <w:jc w:val="center"/>
        </w:trPr>
        <w:tc>
          <w:tcPr>
            <w:tcW w:w="504"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p>
        </w:tc>
        <w:tc>
          <w:tcPr>
            <w:tcW w:w="2597" w:type="pct"/>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室内管路及接头</w:t>
            </w:r>
          </w:p>
        </w:tc>
        <w:tc>
          <w:tcPr>
            <w:tcW w:w="960" w:type="pct"/>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1套</w:t>
            </w:r>
          </w:p>
        </w:tc>
        <w:tc>
          <w:tcPr>
            <w:tcW w:w="937"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p>
        </w:tc>
      </w:tr>
      <w:tr>
        <w:tblPrEx>
          <w:tblW w:w="4772" w:type="pct"/>
          <w:jc w:val="center"/>
          <w:tblCellMar>
            <w:top w:w="0" w:type="dxa"/>
            <w:left w:w="108" w:type="dxa"/>
            <w:bottom w:w="0" w:type="dxa"/>
            <w:right w:w="108" w:type="dxa"/>
          </w:tblCellMar>
        </w:tblPrEx>
        <w:trPr>
          <w:trHeight w:val="20"/>
          <w:jc w:val="center"/>
        </w:trPr>
        <w:tc>
          <w:tcPr>
            <w:tcW w:w="5000" w:type="pct"/>
            <w:gridSpan w:val="4"/>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样气处理单元</w:t>
            </w:r>
          </w:p>
        </w:tc>
      </w:tr>
      <w:tr>
        <w:tblPrEx>
          <w:tblW w:w="4772" w:type="pct"/>
          <w:jc w:val="center"/>
          <w:tblCellMar>
            <w:top w:w="0" w:type="dxa"/>
            <w:left w:w="108" w:type="dxa"/>
            <w:bottom w:w="0" w:type="dxa"/>
            <w:right w:w="108" w:type="dxa"/>
          </w:tblCellMar>
        </w:tblPrEx>
        <w:trPr>
          <w:trHeight w:val="20"/>
          <w:jc w:val="center"/>
        </w:trPr>
        <w:tc>
          <w:tcPr>
            <w:tcW w:w="504"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p>
        </w:tc>
        <w:tc>
          <w:tcPr>
            <w:tcW w:w="2597" w:type="pct"/>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渗透膜除水系统</w:t>
            </w:r>
          </w:p>
        </w:tc>
        <w:tc>
          <w:tcPr>
            <w:tcW w:w="960" w:type="pct"/>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1套</w:t>
            </w:r>
          </w:p>
        </w:tc>
        <w:tc>
          <w:tcPr>
            <w:tcW w:w="937"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p>
        </w:tc>
      </w:tr>
      <w:tr>
        <w:tblPrEx>
          <w:tblW w:w="4772" w:type="pct"/>
          <w:jc w:val="center"/>
          <w:tblCellMar>
            <w:top w:w="0" w:type="dxa"/>
            <w:left w:w="108" w:type="dxa"/>
            <w:bottom w:w="0" w:type="dxa"/>
            <w:right w:w="108" w:type="dxa"/>
          </w:tblCellMar>
        </w:tblPrEx>
        <w:trPr>
          <w:trHeight w:val="20"/>
          <w:jc w:val="center"/>
        </w:trPr>
        <w:tc>
          <w:tcPr>
            <w:tcW w:w="5000" w:type="pct"/>
            <w:gridSpan w:val="4"/>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标气单元</w:t>
            </w:r>
          </w:p>
        </w:tc>
      </w:tr>
      <w:tr>
        <w:tblPrEx>
          <w:tblW w:w="4772" w:type="pct"/>
          <w:jc w:val="center"/>
          <w:tblCellMar>
            <w:top w:w="0" w:type="dxa"/>
            <w:left w:w="108" w:type="dxa"/>
            <w:bottom w:w="0" w:type="dxa"/>
            <w:right w:w="108" w:type="dxa"/>
          </w:tblCellMar>
        </w:tblPrEx>
        <w:trPr>
          <w:trHeight w:val="20"/>
          <w:jc w:val="center"/>
        </w:trPr>
        <w:tc>
          <w:tcPr>
            <w:tcW w:w="504"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p>
        </w:tc>
        <w:tc>
          <w:tcPr>
            <w:tcW w:w="2597" w:type="pct"/>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标气（含气瓶）</w:t>
            </w:r>
          </w:p>
        </w:tc>
        <w:tc>
          <w:tcPr>
            <w:tcW w:w="960" w:type="pct"/>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2套</w:t>
            </w:r>
          </w:p>
        </w:tc>
        <w:tc>
          <w:tcPr>
            <w:tcW w:w="937"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p>
        </w:tc>
      </w:tr>
      <w:tr>
        <w:tblPrEx>
          <w:tblW w:w="4772" w:type="pct"/>
          <w:jc w:val="center"/>
          <w:tblCellMar>
            <w:top w:w="0" w:type="dxa"/>
            <w:left w:w="108" w:type="dxa"/>
            <w:bottom w:w="0" w:type="dxa"/>
            <w:right w:w="108" w:type="dxa"/>
          </w:tblCellMar>
        </w:tblPrEx>
        <w:trPr>
          <w:trHeight w:val="20"/>
          <w:jc w:val="center"/>
        </w:trPr>
        <w:tc>
          <w:tcPr>
            <w:tcW w:w="504"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p>
        </w:tc>
        <w:tc>
          <w:tcPr>
            <w:tcW w:w="2597" w:type="pct"/>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减压阀</w:t>
            </w:r>
          </w:p>
        </w:tc>
        <w:tc>
          <w:tcPr>
            <w:tcW w:w="960" w:type="pct"/>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2套</w:t>
            </w:r>
          </w:p>
        </w:tc>
        <w:tc>
          <w:tcPr>
            <w:tcW w:w="937"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p>
        </w:tc>
      </w:tr>
    </w:tbl>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2）主要技术性能要求</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A．样气采集单元</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采样口过滤器：≤10μm孔径囊式过滤器</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采样管：≥φ8mm铝塑管</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采样泵流量：≥10L/min，泄露率低于0.6*10-3 mbar l/s</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采样泵过滤器：7μm不锈钢过滤器</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B．样气处理单元</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整体样气处理单元要通过标准气测量：使用标准气验证除水模块引入的测量偏差，对一般环境浓度范围，CO2&lt;0.05ppm，CH4&lt;1ppb</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渗透膜除水系统压力控制范围：0～100psi，需使用有装备许可的设备，且要保证标气气路也通过统一型号的渗透膜除水，确保标气和样气的水汽含量一致，且水汽含量应满足中国气象局高精度温室气体观测业务要求。</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C．标气单元</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气瓶：≥29L铝合金气瓶</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减压阀进/出气压力范围：0～3000psi/0～100psi</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工作标气（WH/WL）：以自然大气为底气，CO2等浓度涵盖观测点大气CO2等浓度变化范围。</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目标标气（T）：以自然大气为底气，CO2等浓度应接近观测点大气CO2等平均浓度。</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标气填充气以自然干洁空气为底气，水汽含量小于5ppm。钢瓶为内抛光专用铝合金气瓶。</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设备安装及配套基础设施建设</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1）安装方案</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A．样气采集单元</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采样口过滤器安装在采样塔30米高度。室外采样管从采样口至室内采样泵保持下降趋势，避免成圈盘绕、死弯及凹陷等，以免形成冷凝水。采样泵放置在具有温度控制的观测室内，采样泵过滤器安装在采样泵进气口。室内管路沿墙面或防静电地板下铺装，通过管夹固定。</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B．样气处理单元</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放置在具有温度控制的观测室内，渗透膜除水阀箱放置在室内专用机柜中。</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C．标气单元</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气瓶放置在机柜附近的气瓶架内，气瓶及减压阀安放位置便于操作与更换。</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2）配套基础设施资源</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水：无。</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电：市电（1000W）及UPS（1KW2H）供电。</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路：便于人员和物资的流动。</w:t>
      </w:r>
    </w:p>
    <w:p>
      <w:pPr>
        <w:numPr>
          <w:ilvl w:val="0"/>
          <w:numId w:val="0"/>
        </w:numPr>
        <w:rPr>
          <w:rFonts w:ascii="仿宋_GB2312" w:eastAsia="仿宋_GB2312" w:hAnsi="仿宋_GB2312" w:cs="仿宋_GB2312" w:hint="eastAsia"/>
          <w:b/>
          <w:bCs/>
          <w:sz w:val="28"/>
          <w:szCs w:val="20"/>
        </w:rPr>
      </w:pPr>
    </w:p>
    <w:p>
      <w:pPr>
        <w:numPr>
          <w:ilvl w:val="0"/>
          <w:numId w:val="7"/>
        </w:numPr>
        <w:ind w:left="0" w:firstLine="560" w:leftChars="0" w:firstLineChars="200"/>
        <w:rPr>
          <w:rFonts w:ascii="仿宋_GB2312" w:eastAsia="仿宋_GB2312" w:hAnsi="仿宋_GB2312" w:cs="仿宋_GB2312" w:hint="eastAsia"/>
          <w:b/>
          <w:bCs/>
          <w:sz w:val="28"/>
          <w:szCs w:val="20"/>
        </w:rPr>
      </w:pPr>
      <w:r>
        <w:rPr>
          <w:rFonts w:ascii="仿宋_GB2312" w:eastAsia="仿宋_GB2312" w:hAnsi="仿宋_GB2312" w:cs="仿宋_GB2312" w:hint="eastAsia"/>
          <w:b/>
          <w:bCs/>
          <w:sz w:val="28"/>
          <w:szCs w:val="20"/>
          <w:lang w:eastAsia="zh-CN"/>
        </w:rPr>
        <w:t>、方舱1套</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（1）主要用于安装温室气体浓度观测系统，面积能保证观测仪器设备的安装、运行以及操作等，并预留一定的仪器检修、校准和未来发展的空间；面积为21㎡。</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（2）入口处宜设有缓冲区域或空间，以保持温度和湿度的稳定，防止灰尘和泥土直接带入观测室。</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（3）内地面、墙壁、顶棚应采用不易起尘的环保材料。不受强震动、强电磁辐射的干扰。</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（4）室内环境应保持整洁，室内温度、湿度按照仪器运行的环境要求保持相对稳定，取暖采用空调或电暖气设备。根据当地的环境特点，采取适当的防虫措施。</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（5）安装温湿度控制设备，使室内温度能控制在25℃±5℃（如使用色谱法环境温度波动≤±2℃），相对湿度控制在60％以下。</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（6）具有良好的通风条件和排风设施，以保持室内空气清洁。</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（7）根据观测项目的技术要求，可预先在观测室顶部及侧壁的适当位置预留管线孔洞。</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（8）设有可靠的网络、通讯和电话传输线路等。</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bCs/>
          <w:sz w:val="28"/>
          <w:szCs w:val="20"/>
        </w:rPr>
      </w:pPr>
      <w:r>
        <w:rPr>
          <w:rFonts w:ascii="仿宋_GB2312" w:eastAsia="仿宋_GB2312" w:hAnsi="仿宋_GB2312" w:cs="仿宋_GB2312" w:hint="eastAsia"/>
          <w:b w:val="0"/>
          <w:bCs w:val="0"/>
          <w:sz w:val="28"/>
          <w:szCs w:val="20"/>
          <w:lang w:eastAsia="zh-CN"/>
        </w:rPr>
        <w:t>（9）配备专门的消防设施和器材，对危险物品配备监控装置和设施。</w:t>
      </w:r>
    </w:p>
    <w:p>
      <w:pPr>
        <w:numPr>
          <w:ilvl w:val="0"/>
          <w:numId w:val="7"/>
        </w:numPr>
        <w:ind w:left="0" w:firstLine="560" w:leftChars="0" w:firstLineChars="200"/>
        <w:rPr>
          <w:rFonts w:ascii="仿宋_GB2312" w:eastAsia="仿宋_GB2312" w:hAnsi="仿宋_GB2312" w:cs="仿宋_GB2312" w:hint="eastAsia"/>
          <w:b/>
          <w:bCs/>
          <w:sz w:val="28"/>
          <w:szCs w:val="20"/>
        </w:rPr>
      </w:pPr>
      <w:r>
        <w:rPr>
          <w:rFonts w:ascii="仿宋_GB2312" w:eastAsia="仿宋_GB2312" w:hAnsi="仿宋_GB2312" w:cs="仿宋_GB2312" w:hint="eastAsia"/>
          <w:b/>
          <w:bCs/>
          <w:sz w:val="28"/>
          <w:szCs w:val="20"/>
          <w:lang w:eastAsia="zh-CN"/>
        </w:rPr>
        <w:t>、UPS（含方舱）1套</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eastAsia="zh-CN"/>
        </w:rPr>
        <w:t>主机：80KW，蓄电池：12V100AH/块*96块*3个电池柜，方舱：15㎡。</w:t>
      </w:r>
    </w:p>
    <w:p>
      <w:pPr>
        <w:numPr>
          <w:ilvl w:val="0"/>
          <w:numId w:val="0"/>
        </w:numPr>
        <w:rPr>
          <w:rFonts w:ascii="仿宋_GB2312" w:eastAsia="仿宋_GB2312" w:hAnsi="仿宋_GB2312" w:cs="仿宋_GB2312" w:hint="eastAsia"/>
          <w:b/>
          <w:bCs/>
          <w:sz w:val="28"/>
          <w:szCs w:val="20"/>
        </w:rPr>
      </w:pPr>
    </w:p>
    <w:p>
      <w:pPr>
        <w:ind w:firstLine="560" w:firstLineChars="200"/>
        <w:rPr>
          <w:rFonts w:ascii="仿宋" w:eastAsia="仿宋" w:hAnsi="仿宋" w:cs="仿宋"/>
          <w:sz w:val="28"/>
          <w:szCs w:val="20"/>
        </w:rPr>
      </w:pP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rsidR="00D135FB">
      <w:pPr>
        <w:tabs>
          <w:tab w:val="left" w:pos="1573"/>
        </w:tabs>
        <w:adjustRightInd w:val="0"/>
        <w:snapToGrid w:val="0"/>
        <w:spacing w:line="360" w:lineRule="auto"/>
        <w:jc w:val="center"/>
        <w:outlineLvl w:val="1"/>
        <w:rPr>
          <w:b/>
          <w:bCs/>
          <w:sz w:val="30"/>
          <w:szCs w:val="30"/>
        </w:rPr>
      </w:pPr>
      <w:bookmarkStart w:id="69"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D135FB">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C16EC7">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D135FB">
            <w:pPr>
              <w:rPr>
                <w:sz w:val="18"/>
                <w:szCs w:val="18"/>
              </w:rPr>
            </w:pPr>
            <w:r>
              <w:rPr>
                <w:rFonts w:hint="eastAsia"/>
                <w:sz w:val="18"/>
                <w:szCs w:val="18"/>
              </w:rPr>
              <w:t>序号</w:t>
            </w:r>
          </w:p>
        </w:tc>
        <w:tc>
          <w:tcPr>
            <w:tcW w:w="898" w:type="dxa"/>
            <w:vAlign w:val="center"/>
          </w:tcPr>
          <w:p w:rsidR="00D135FB">
            <w:pPr>
              <w:jc w:val="center"/>
              <w:rPr>
                <w:sz w:val="18"/>
                <w:szCs w:val="18"/>
              </w:rPr>
            </w:pPr>
            <w:r>
              <w:rPr>
                <w:rFonts w:hint="eastAsia"/>
                <w:sz w:val="18"/>
                <w:szCs w:val="18"/>
              </w:rPr>
              <w:t>对应</w:t>
            </w:r>
          </w:p>
          <w:p w:rsidR="00D135FB">
            <w:pPr>
              <w:jc w:val="center"/>
              <w:rPr>
                <w:sz w:val="18"/>
                <w:szCs w:val="18"/>
              </w:rPr>
            </w:pPr>
            <w:r>
              <w:rPr>
                <w:rFonts w:hint="eastAsia"/>
                <w:sz w:val="18"/>
                <w:szCs w:val="18"/>
              </w:rPr>
              <w:t>条款号</w:t>
            </w:r>
          </w:p>
        </w:tc>
        <w:tc>
          <w:tcPr>
            <w:tcW w:w="7347" w:type="dxa"/>
            <w:vAlign w:val="center"/>
          </w:tcPr>
          <w:p w:rsidR="00D135FB">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C16EC7">
        <w:tblPrEx>
          <w:tblW w:w="8789" w:type="dxa"/>
          <w:tblLayout w:type="fixed"/>
          <w:tblLook w:val="04A0"/>
        </w:tblPrEx>
        <w:trPr>
          <w:cantSplit/>
        </w:trPr>
        <w:tc>
          <w:tcPr>
            <w:tcW w:w="8789" w:type="dxa"/>
            <w:gridSpan w:val="3"/>
            <w:vAlign w:val="center"/>
          </w:tcPr>
          <w:p w:rsidR="00D135FB">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C16EC7">
        <w:tblPrEx>
          <w:tblW w:w="8789" w:type="dxa"/>
          <w:tblLayout w:type="fixed"/>
          <w:tblLook w:val="04A0"/>
        </w:tblPrEx>
        <w:trPr>
          <w:cantSplit/>
        </w:trPr>
        <w:tc>
          <w:tcPr>
            <w:tcW w:w="544" w:type="dxa"/>
            <w:vAlign w:val="center"/>
          </w:tcPr>
          <w:p w:rsidR="00D135FB">
            <w:pPr>
              <w:numPr>
                <w:ilvl w:val="0"/>
                <w:numId w:val="17"/>
              </w:numPr>
              <w:rPr>
                <w:rFonts w:ascii="宋体" w:hAnsi="宋体"/>
                <w:sz w:val="18"/>
                <w:szCs w:val="18"/>
              </w:rPr>
            </w:pPr>
          </w:p>
        </w:tc>
        <w:tc>
          <w:tcPr>
            <w:tcW w:w="898" w:type="dxa"/>
            <w:vAlign w:val="center"/>
          </w:tcPr>
          <w:p w:rsidR="00D135FB">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D135FB">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无</w:t>
            </w:r>
          </w:p>
        </w:tc>
      </w:tr>
      <w:tr w:rsidTr="00C16EC7">
        <w:tblPrEx>
          <w:tblW w:w="8789" w:type="dxa"/>
          <w:tblLayout w:type="fixed"/>
          <w:tblLook w:val="04A0"/>
        </w:tblPrEx>
        <w:trPr>
          <w:cantSplit/>
        </w:trPr>
        <w:tc>
          <w:tcPr>
            <w:tcW w:w="8789" w:type="dxa"/>
            <w:gridSpan w:val="3"/>
            <w:vAlign w:val="center"/>
          </w:tcPr>
          <w:p w:rsidR="00D135FB">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C16EC7">
        <w:tblPrEx>
          <w:tblW w:w="8789" w:type="dxa"/>
          <w:tblLayout w:type="fixed"/>
          <w:tblLook w:val="04A0"/>
        </w:tblPrEx>
        <w:trPr>
          <w:cantSplit/>
        </w:trPr>
        <w:tc>
          <w:tcPr>
            <w:tcW w:w="544" w:type="dxa"/>
            <w:vAlign w:val="center"/>
          </w:tcPr>
          <w:p w:rsidR="00D135FB">
            <w:pPr>
              <w:numPr>
                <w:ilvl w:val="0"/>
                <w:numId w:val="17"/>
              </w:numPr>
              <w:rPr>
                <w:rFonts w:ascii="宋体" w:hAnsi="宋体"/>
                <w:sz w:val="18"/>
                <w:szCs w:val="18"/>
              </w:rPr>
            </w:pPr>
          </w:p>
        </w:tc>
        <w:tc>
          <w:tcPr>
            <w:tcW w:w="898" w:type="dxa"/>
            <w:vAlign w:val="center"/>
          </w:tcPr>
          <w:p w:rsidR="00D135FB">
            <w:pPr>
              <w:jc w:val="center"/>
              <w:rPr>
                <w:rFonts w:ascii="宋体" w:hAnsi="宋体" w:hint="eastAsia"/>
                <w:sz w:val="18"/>
                <w:szCs w:val="18"/>
              </w:rPr>
            </w:pPr>
            <w:r>
              <w:rPr>
                <w:rFonts w:ascii="宋体" w:hAnsi="宋体" w:hint="eastAsia"/>
                <w:sz w:val="18"/>
                <w:szCs w:val="18"/>
              </w:rPr>
              <w:t>四、</w:t>
            </w:r>
            <w:r>
              <w:rPr>
                <w:rFonts w:ascii="宋体" w:hAnsi="宋体"/>
                <w:sz w:val="18"/>
                <w:szCs w:val="18"/>
              </w:rPr>
              <w:t>质保服务要求</w:t>
            </w:r>
          </w:p>
        </w:tc>
        <w:tc>
          <w:tcPr>
            <w:tcW w:w="7347" w:type="dxa"/>
            <w:vAlign w:val="center"/>
          </w:tcPr>
          <w:p w:rsidR="00D135FB" w:rsidRPr="00C16EC7" w:rsidP="00C16EC7">
            <w:pPr>
              <w:tabs>
                <w:tab w:val="left" w:pos="709"/>
              </w:tabs>
              <w:spacing w:line="360" w:lineRule="auto"/>
              <w:jc w:val="left"/>
              <w:rPr>
                <w:rFonts w:ascii="宋体" w:hAnsi="宋体" w:cs="微软雅黑" w:hint="eastAsia"/>
                <w:b/>
                <w:color w:val="0000FF"/>
                <w:kern w:val="0"/>
                <w:sz w:val="18"/>
                <w:szCs w:val="18"/>
              </w:rPr>
            </w:pPr>
            <w:r w:rsidRPr="00C16EC7">
              <w:rPr>
                <w:rFonts w:ascii="宋体" w:hAnsi="宋体" w:cs="微软雅黑" w:hint="eastAsia"/>
                <w:b/>
                <w:color w:val="0000FF"/>
                <w:kern w:val="0"/>
                <w:sz w:val="18"/>
                <w:szCs w:val="18"/>
              </w:rPr>
              <w:t>质保期：黑碳仪质保期8年*，从双方签署现场安装测试报告之日起开始计算质保期。</w:t>
            </w:r>
          </w:p>
        </w:tc>
      </w:tr>
    </w:tbl>
    <w:p w:rsidR="00D135FB">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rsidR="00D135FB">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192C78">
      <w:pPr>
        <w:numPr>
          <w:ilvl w:val="0"/>
          <w:numId w:val="8"/>
        </w:numPr>
        <w:spacing w:line="360" w:lineRule="auto"/>
        <w:ind w:firstLine="3066" w:firstLineChars="1460"/>
        <w:jc w:val="left"/>
        <w:rPr>
          <w:b/>
          <w:bCs/>
          <w:szCs w:val="21"/>
        </w:rPr>
      </w:pPr>
      <w:bookmarkStart w:id="70" w:name="采购公告合同部分_ZBGGHT"/>
      <w:r>
        <w:rPr>
          <w:rFonts w:hint="eastAsia"/>
          <w:b/>
          <w:bCs/>
          <w:szCs w:val="21"/>
        </w:rPr>
        <w:t xml:space="preserve"> </w:t>
      </w:r>
      <w:r>
        <w:rPr>
          <w:rFonts w:hint="eastAsia"/>
          <w:b/>
          <w:bCs/>
          <w:szCs w:val="21"/>
        </w:rPr>
        <w:t>采购合同</w:t>
      </w:r>
    </w:p>
    <w:p w:rsidR="00192C78">
      <w:pPr>
        <w:spacing w:line="360" w:lineRule="auto"/>
        <w:ind w:left="1680" w:firstLine="420"/>
        <w:jc w:val="left"/>
        <w:rPr>
          <w:b/>
          <w:bCs/>
          <w:szCs w:val="21"/>
        </w:rPr>
      </w:pPr>
      <w:r>
        <w:rPr>
          <w:rFonts w:hint="eastAsia"/>
          <w:b/>
          <w:bCs/>
          <w:szCs w:val="21"/>
        </w:rPr>
        <w:t>必须明确合同金额支付条件及支付比例</w:t>
      </w:r>
    </w:p>
    <w:p w:rsidR="00192C78">
      <w:pPr>
        <w:pStyle w:val="BodyText"/>
        <w:spacing w:after="0"/>
        <w:jc w:val="center"/>
        <w:rPr>
          <w:rFonts w:ascii="宋体" w:hAnsi="宋体" w:cs="宋体"/>
          <w:b/>
          <w:bCs/>
          <w:spacing w:val="-20"/>
          <w:kern w:val="44"/>
          <w:sz w:val="48"/>
          <w:szCs w:val="48"/>
        </w:rPr>
      </w:pPr>
      <w:r>
        <w:rPr>
          <w:b/>
          <w:bCs/>
          <w:szCs w:val="21"/>
        </w:rPr>
        <w:br w:type="page"/>
      </w:r>
      <w:bookmarkStart w:id="71" w:name="_Toc3995"/>
    </w:p>
    <w:p w:rsidR="00192C78">
      <w:pPr>
        <w:pStyle w:val="BodyText"/>
        <w:spacing w:after="0"/>
        <w:jc w:val="center"/>
        <w:rPr>
          <w:rFonts w:ascii="宋体" w:hAnsi="宋体" w:cs="宋体"/>
          <w:b/>
          <w:bCs/>
          <w:spacing w:val="-20"/>
          <w:kern w:val="44"/>
          <w:sz w:val="48"/>
          <w:szCs w:val="48"/>
        </w:rPr>
      </w:pPr>
    </w:p>
    <w:p w:rsidR="00192C78">
      <w:pPr>
        <w:pStyle w:val="BodyText"/>
        <w:spacing w:after="0"/>
        <w:jc w:val="center"/>
        <w:rPr>
          <w:rFonts w:ascii="宋体" w:hAnsi="宋体" w:cs="宋体"/>
          <w:b/>
          <w:bCs/>
          <w:spacing w:val="-20"/>
          <w:kern w:val="44"/>
          <w:sz w:val="48"/>
          <w:szCs w:val="48"/>
        </w:rPr>
      </w:pPr>
    </w:p>
    <w:p w:rsidR="00192C78">
      <w:pPr>
        <w:pStyle w:val="BodyText"/>
        <w:spacing w:after="0"/>
        <w:jc w:val="center"/>
        <w:rPr>
          <w:rFonts w:ascii="宋体" w:hAnsi="宋体" w:cs="宋体"/>
          <w:b/>
          <w:bCs/>
          <w:spacing w:val="-20"/>
          <w:kern w:val="44"/>
          <w:sz w:val="48"/>
          <w:szCs w:val="48"/>
        </w:rPr>
      </w:pPr>
    </w:p>
    <w:p w:rsidR="00192C78">
      <w:pPr>
        <w:pStyle w:val="BodyText"/>
        <w:spacing w:after="0"/>
        <w:jc w:val="center"/>
        <w:rPr>
          <w:rFonts w:ascii="宋体" w:hAnsi="宋体" w:cs="宋体"/>
          <w:b/>
          <w:bCs/>
          <w:spacing w:val="-20"/>
          <w:kern w:val="44"/>
          <w:sz w:val="48"/>
          <w:szCs w:val="48"/>
        </w:rPr>
      </w:pPr>
    </w:p>
    <w:p w:rsidR="00192C78">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192C78">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192C78">
      <w:pPr>
        <w:rPr>
          <w:rFonts w:ascii="宋体" w:hAnsi="宋体" w:cs="宋体"/>
          <w:b/>
          <w:bCs/>
          <w:spacing w:val="-20"/>
          <w:kern w:val="44"/>
          <w:sz w:val="40"/>
          <w:szCs w:val="40"/>
        </w:rPr>
      </w:pPr>
    </w:p>
    <w:p w:rsidR="00192C78">
      <w:pPr>
        <w:rPr>
          <w:rFonts w:ascii="宋体" w:hAnsi="宋体" w:cs="宋体"/>
          <w:b/>
          <w:bCs/>
          <w:spacing w:val="-20"/>
          <w:kern w:val="44"/>
          <w:sz w:val="40"/>
          <w:szCs w:val="40"/>
        </w:rPr>
      </w:pPr>
    </w:p>
    <w:p w:rsidR="00192C78">
      <w:pPr>
        <w:rPr>
          <w:rFonts w:ascii="宋体" w:hAnsi="宋体" w:cs="宋体"/>
          <w:b/>
          <w:bCs/>
          <w:spacing w:val="-20"/>
          <w:kern w:val="44"/>
          <w:sz w:val="40"/>
          <w:szCs w:val="40"/>
        </w:rPr>
      </w:pPr>
    </w:p>
    <w:p w:rsidR="00192C78">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bookmarkStart w:id="72" w:name="项目名称_taskName_0"/>
      <w:r>
        <w:rPr>
          <w:rFonts w:hint="eastAsia"/>
          <w:sz w:val="32"/>
          <w:szCs w:val="32"/>
          <w:u w:val="single"/>
        </w:rPr>
        <w:t>阿里大气本底站</w:t>
      </w:r>
      <w:r>
        <w:rPr>
          <w:rFonts w:hint="eastAsia"/>
          <w:sz w:val="32"/>
          <w:szCs w:val="32"/>
          <w:u w:val="single"/>
        </w:rPr>
        <w:t>2025</w:t>
      </w:r>
      <w:r>
        <w:rPr>
          <w:rFonts w:hint="eastAsia"/>
          <w:sz w:val="32"/>
          <w:szCs w:val="32"/>
          <w:u w:val="single"/>
        </w:rPr>
        <w:t>年新建大气本底站项目（西藏装备部分）</w:t>
      </w:r>
      <w:bookmarkEnd w:id="72"/>
      <w:r>
        <w:rPr>
          <w:rFonts w:hint="eastAsia"/>
          <w:sz w:val="32"/>
          <w:szCs w:val="32"/>
          <w:u w:val="single"/>
        </w:rPr>
        <w:t xml:space="preserve">                            </w:t>
      </w:r>
    </w:p>
    <w:p w:rsidR="00192C78">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192C78">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r>
        <w:rPr>
          <w:rFonts w:hint="eastAsia"/>
          <w:sz w:val="32"/>
          <w:szCs w:val="32"/>
          <w:u w:val="single"/>
        </w:rPr>
        <w:t>西藏阿里地区气象局</w:t>
      </w:r>
      <w:r>
        <w:rPr>
          <w:rFonts w:hint="eastAsia"/>
          <w:sz w:val="32"/>
          <w:szCs w:val="32"/>
          <w:u w:val="single"/>
        </w:rPr>
        <w:t xml:space="preserve">                     </w:t>
      </w:r>
    </w:p>
    <w:p w:rsidR="00192C78">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192C78">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192C78"/>
    <w:p w:rsidR="00192C78">
      <w:pPr>
        <w:rPr>
          <w:rFonts w:eastAsia="黑体"/>
          <w:sz w:val="44"/>
          <w:szCs w:val="44"/>
        </w:rPr>
      </w:pPr>
      <w:r>
        <w:rPr>
          <w:rFonts w:eastAsia="黑体"/>
          <w:sz w:val="44"/>
          <w:szCs w:val="44"/>
        </w:rPr>
        <w:br w:type="page"/>
      </w:r>
    </w:p>
    <w:p w:rsidR="00192C78">
      <w:pPr>
        <w:rPr>
          <w:rFonts w:eastAsia="黑体"/>
          <w:sz w:val="44"/>
          <w:szCs w:val="44"/>
        </w:rPr>
      </w:pPr>
    </w:p>
    <w:p w:rsidR="00192C78">
      <w:pPr>
        <w:rPr>
          <w:rFonts w:eastAsia="黑体"/>
          <w:sz w:val="44"/>
          <w:szCs w:val="44"/>
        </w:rPr>
      </w:pPr>
    </w:p>
    <w:p w:rsidR="00192C78">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192C78">
      <w:pPr>
        <w:ind w:firstLine="640" w:firstLineChars="200"/>
        <w:rPr>
          <w:rFonts w:ascii="仿宋_GB2312" w:eastAsia="仿宋_GB2312" w:hAnsi="仿宋_GB2312" w:cs="仿宋_GB2312"/>
          <w:sz w:val="32"/>
          <w:szCs w:val="32"/>
        </w:rPr>
      </w:pPr>
    </w:p>
    <w:p w:rsidR="00192C78">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本合同标准文本适用于购买现成货物的采购项目，不包括需要供应商定制开发、创新研发的货物采购项目。</w:t>
      </w:r>
    </w:p>
    <w:p w:rsidR="00192C78">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本合同标准文本为政府采购货物买卖合同编制提供参考，可以结合采购项目具体情况，对文本作必要的调整修订后使用。</w:t>
      </w:r>
    </w:p>
    <w:p w:rsidR="00192C78">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本合同标准文本各条款中，如涉及填写多家供应商、制造商，多种采购标的、分包主要内容等信息的，可根据采购项目具体情况添加信息项。</w:t>
      </w:r>
    </w:p>
    <w:p w:rsidR="00192C78">
      <w:pPr>
        <w:rPr>
          <w:rFonts w:eastAsia="黑体"/>
          <w:sz w:val="44"/>
          <w:szCs w:val="44"/>
        </w:rPr>
        <w:sectPr>
          <w:pgSz w:w="11906" w:h="16838"/>
          <w:pgMar w:top="1440" w:right="1800" w:bottom="1440" w:left="1800" w:header="851" w:footer="992" w:gutter="0"/>
          <w:cols w:space="425"/>
          <w:docGrid w:type="lines" w:linePitch="312"/>
        </w:sectPr>
      </w:pPr>
    </w:p>
    <w:p w:rsidR="00192C78">
      <w:pPr>
        <w:pStyle w:val="Heading2"/>
        <w:numPr>
          <w:ilvl w:val="0"/>
          <w:numId w:val="0"/>
        </w:numPr>
        <w:adjustRightInd w:val="0"/>
        <w:snapToGrid w:val="0"/>
        <w:spacing w:line="400" w:lineRule="exact"/>
        <w:jc w:val="center"/>
        <w:rPr>
          <w:rFonts w:ascii="黑体" w:hAnsi="华文中宋"/>
          <w:b w:val="0"/>
          <w:bCs w:val="0"/>
          <w:sz w:val="28"/>
          <w:szCs w:val="28"/>
        </w:rPr>
      </w:pPr>
      <w:bookmarkStart w:id="73" w:name="_Toc22209"/>
      <w:bookmarkEnd w:id="71"/>
      <w:r>
        <w:rPr>
          <w:rFonts w:ascii="黑体" w:hAnsi="黑体" w:hint="eastAsia"/>
          <w:b w:val="0"/>
          <w:bCs w:val="0"/>
          <w:sz w:val="28"/>
          <w:szCs w:val="28"/>
        </w:rPr>
        <w:t>第一节</w:t>
      </w:r>
      <w:r>
        <w:rPr>
          <w:rFonts w:ascii="黑体" w:hAnsi="黑体" w:hint="eastAsia"/>
          <w:b w:val="0"/>
          <w:bCs w:val="0"/>
          <w:sz w:val="28"/>
          <w:szCs w:val="28"/>
        </w:rPr>
        <w:t xml:space="preserve"> </w:t>
      </w:r>
      <w:r>
        <w:rPr>
          <w:rFonts w:ascii="黑体" w:hAnsi="华文中宋" w:hint="eastAsia"/>
          <w:b w:val="0"/>
          <w:bCs w:val="0"/>
          <w:sz w:val="28"/>
          <w:szCs w:val="28"/>
        </w:rPr>
        <w:t>政府采购合同协议书</w:t>
      </w:r>
      <w:bookmarkEnd w:id="73"/>
    </w:p>
    <w:p w:rsidR="00192C78">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u w:val="single"/>
        </w:rPr>
        <w:t>西藏阿里地区气象局</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w:t>
      </w:r>
      <w:r>
        <w:rPr>
          <w:rFonts w:ascii="宋体" w:hAnsi="宋体" w:hint="eastAsia"/>
          <w:szCs w:val="21"/>
        </w:rPr>
        <w:t>文件约定的合同甲方）</w:t>
      </w:r>
    </w:p>
    <w:p w:rsidR="00192C78">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1</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（供应商）</w:t>
      </w:r>
    </w:p>
    <w:p w:rsidR="00192C78">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2</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（联合体成员</w:t>
      </w:r>
      <w:r>
        <w:rPr>
          <w:rFonts w:ascii="宋体" w:hAnsi="宋体" w:hint="eastAsia"/>
          <w:szCs w:val="21"/>
        </w:rPr>
        <w:t>供应商或其他合同主体）（如有）</w:t>
      </w:r>
    </w:p>
    <w:p w:rsidR="00192C78">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192C78">
      <w:pPr>
        <w:spacing w:line="400" w:lineRule="exact"/>
      </w:pPr>
    </w:p>
    <w:p w:rsidR="00192C78">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依据《中华人民共和国民法典》、《中华人民共和国政府采购法》等有关的法律法规，以及本采购项目的招标</w:t>
      </w:r>
      <w:r>
        <w:rPr>
          <w:rFonts w:ascii="宋体" w:hAnsi="宋体" w:hint="eastAsia"/>
          <w:szCs w:val="21"/>
        </w:rPr>
        <w:t>/</w:t>
      </w:r>
      <w:r>
        <w:rPr>
          <w:rFonts w:ascii="宋体" w:hAnsi="宋体" w:hint="eastAsia"/>
          <w:szCs w:val="21"/>
        </w:rPr>
        <w:t>谈判文件等采购文件、乙方的《投标（响应）文件》及《中标（成交）通知书》，甲乙双方同意签订本合同。具体情况及要求如下：</w:t>
      </w:r>
      <w:r>
        <w:rPr>
          <w:rFonts w:ascii="宋体" w:hAnsi="宋体" w:hint="eastAsia"/>
          <w:szCs w:val="21"/>
        </w:rPr>
        <w:t xml:space="preserve">     </w:t>
      </w:r>
    </w:p>
    <w:p w:rsidR="00192C78">
      <w:pPr>
        <w:numPr>
          <w:ilvl w:val="0"/>
          <w:numId w:val="9"/>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192C78">
      <w:pPr>
        <w:pStyle w:val="BodyTextIndent"/>
        <w:numPr>
          <w:ilvl w:val="0"/>
          <w:numId w:val="10"/>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r>
        <w:rPr>
          <w:rFonts w:ascii="宋体" w:hAnsi="宋体" w:hint="eastAsia"/>
          <w:szCs w:val="21"/>
          <w:u w:val="single"/>
        </w:rPr>
        <w:t>阿里大气本底站</w:t>
      </w:r>
      <w:r>
        <w:rPr>
          <w:rFonts w:ascii="宋体" w:hAnsi="宋体" w:hint="eastAsia"/>
          <w:szCs w:val="21"/>
          <w:u w:val="single"/>
        </w:rPr>
        <w:t>2025</w:t>
      </w:r>
      <w:r>
        <w:rPr>
          <w:rFonts w:ascii="宋体" w:hAnsi="宋体" w:hint="eastAsia"/>
          <w:szCs w:val="21"/>
          <w:u w:val="single"/>
        </w:rPr>
        <w:t>年新建大气本底站项目（西藏装备部分）</w:t>
      </w:r>
      <w:r>
        <w:rPr>
          <w:rFonts w:ascii="宋体" w:hAnsi="宋体"/>
          <w:szCs w:val="21"/>
          <w:u w:val="single"/>
        </w:rPr>
        <w:t xml:space="preserve">                                        </w:t>
      </w:r>
    </w:p>
    <w:p w:rsidR="00192C78">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w:t>
      </w:r>
      <w:r>
        <w:rPr>
          <w:rFonts w:ascii="宋体" w:hAnsi="宋体" w:hint="eastAsia"/>
          <w:szCs w:val="21"/>
        </w:rPr>
        <w:t>采购项目编号：</w:t>
      </w:r>
      <w:r>
        <w:rPr>
          <w:rFonts w:ascii="宋体" w:hAnsi="宋体"/>
          <w:szCs w:val="21"/>
          <w:u w:val="single"/>
        </w:rPr>
        <w:t xml:space="preserve">                                          </w:t>
      </w:r>
    </w:p>
    <w:p w:rsidR="00192C78">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192C78">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）项目内容：</w:t>
      </w:r>
    </w:p>
    <w:p w:rsidR="00192C78">
      <w:pPr>
        <w:adjustRightInd w:val="0"/>
        <w:snapToGrid w:val="0"/>
        <w:spacing w:line="400" w:lineRule="exact"/>
        <w:ind w:firstLine="420" w:firstLineChars="200"/>
        <w:rPr>
          <w:rFonts w:ascii="宋体" w:hAnsi="宋体"/>
          <w:szCs w:val="21"/>
        </w:rPr>
      </w:pPr>
      <w:r>
        <w:rPr>
          <w:rFonts w:ascii="宋体" w:hAnsi="宋体" w:hint="eastAsia"/>
          <w:szCs w:val="21"/>
        </w:rPr>
        <w:t xml:space="preserve">     </w:t>
      </w:r>
      <w:r>
        <w:rPr>
          <w:rFonts w:ascii="宋体" w:hAnsi="宋体" w:hint="eastAsia"/>
          <w:szCs w:val="21"/>
        </w:rPr>
        <w:t>采购标的及数量（台</w:t>
      </w:r>
      <w:r>
        <w:rPr>
          <w:rFonts w:ascii="宋体" w:hAnsi="宋体" w:hint="eastAsia"/>
          <w:szCs w:val="21"/>
        </w:rPr>
        <w:t>/</w:t>
      </w:r>
      <w:r>
        <w:rPr>
          <w:rFonts w:ascii="宋体" w:hAnsi="宋体" w:hint="eastAsia"/>
          <w:szCs w:val="21"/>
        </w:rPr>
        <w:t>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192C78">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192C78">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采购标的的技术要求、商务要求具体见附件。</w:t>
      </w:r>
    </w:p>
    <w:p w:rsidR="00192C78">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192C78">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w:t>
      </w:r>
      <w:r>
        <w:rPr>
          <w:rFonts w:ascii="宋体" w:hAnsi="宋体" w:cs="宋体" w:hint="eastAsia"/>
          <w:szCs w:val="21"/>
        </w:rPr>
        <w:t>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192C78">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w:t>
      </w:r>
      <w:r>
        <w:rPr>
          <w:rFonts w:ascii="宋体" w:hAnsi="宋体" w:cs="宋体" w:hint="eastAsia"/>
          <w:szCs w:val="21"/>
        </w:rPr>
        <w:t>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型号：</w:t>
      </w:r>
      <w:r>
        <w:rPr>
          <w:rFonts w:ascii="宋体" w:hAnsi="宋体" w:cs="宋体" w:hint="eastAsia"/>
          <w:szCs w:val="21"/>
          <w:u w:val="single"/>
        </w:rPr>
        <w:t xml:space="preserve">       </w:t>
      </w:r>
      <w:r>
        <w:rPr>
          <w:rFonts w:ascii="宋体" w:hAnsi="宋体" w:cs="宋体" w:hint="eastAsia"/>
          <w:szCs w:val="21"/>
        </w:rPr>
        <w:t xml:space="preserve"> </w:t>
      </w:r>
    </w:p>
    <w:p w:rsidR="00192C78">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192C78">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关键部件：</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p>
    <w:p w:rsidR="00192C78">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（注：关键部件是指财政部会同有关部门发布的政府采购需求标准规定的需要通过国家有关部门指定的测评机构开展的安全可靠测评的软硬件，如</w:t>
      </w:r>
      <w:r>
        <w:rPr>
          <w:rFonts w:ascii="宋体" w:eastAsia="宋体" w:hAnsi="宋体" w:cs="宋体" w:hint="eastAsia"/>
          <w:sz w:val="21"/>
        </w:rPr>
        <w:t>CPU</w:t>
      </w:r>
      <w:r>
        <w:rPr>
          <w:rFonts w:ascii="宋体" w:eastAsia="宋体" w:hAnsi="宋体" w:cs="宋体" w:hint="eastAsia"/>
          <w:sz w:val="21"/>
        </w:rPr>
        <w:t>芯片、操作系统、数据库等。）</w:t>
      </w:r>
    </w:p>
    <w:p w:rsidR="00192C78">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192C78">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数量：</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192C78">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192C78">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政府集中采购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部门集中采购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分散采购</w:t>
      </w:r>
    </w:p>
    <w:p w:rsidR="00192C78">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公开招标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邀请招标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竞争性谈判</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竞争性磋商</w:t>
      </w:r>
    </w:p>
    <w:p w:rsidR="00192C78">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询价</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单一来源</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框架协议</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192C78">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192C78">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是</w:t>
      </w: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192C78">
      <w:pPr>
        <w:adjustRightInd w:val="0"/>
        <w:snapToGrid w:val="0"/>
        <w:spacing w:line="400" w:lineRule="exact"/>
        <w:rPr>
          <w:rFonts w:ascii="宋体" w:hAnsi="宋体"/>
          <w:iCs/>
          <w:szCs w:val="21"/>
        </w:rPr>
      </w:pPr>
      <w:r>
        <w:rPr>
          <w:rFonts w:ascii="宋体" w:hAnsi="宋体" w:hint="eastAsia"/>
          <w:szCs w:val="21"/>
        </w:rPr>
        <w:t xml:space="preserve">         </w:t>
      </w:r>
      <w:r>
        <w:rPr>
          <w:rFonts w:ascii="宋体" w:hAnsi="宋体" w:hint="eastAsia"/>
          <w:szCs w:val="21"/>
        </w:rPr>
        <w:t>本合同是否为专门面向中小企业的采购合同（中小企业预留合同）：</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192C78">
      <w:pPr>
        <w:adjustRightInd w:val="0"/>
        <w:snapToGrid w:val="0"/>
        <w:spacing w:line="400" w:lineRule="exact"/>
        <w:rPr>
          <w:rFonts w:ascii="宋体" w:hAnsi="宋体"/>
          <w:iCs/>
          <w:szCs w:val="21"/>
        </w:rPr>
      </w:pPr>
      <w:r>
        <w:rPr>
          <w:rFonts w:hint="eastAsia"/>
        </w:rPr>
        <w:t xml:space="preserve">         </w:t>
      </w:r>
      <w:r>
        <w:rPr>
          <w:rFonts w:hint="eastAsia"/>
        </w:rPr>
        <w:t>若本项目不专门面向中小企业采购，是否给予小微企业评审优惠：</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192C78">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192C78">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192C78">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192C78">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rPr>
        <w:t>分包主要内容：</w:t>
      </w:r>
      <w:r>
        <w:rPr>
          <w:rFonts w:ascii="宋体" w:hAnsi="宋体" w:hint="eastAsia"/>
          <w:szCs w:val="21"/>
          <w:u w:val="single"/>
        </w:rPr>
        <w:t xml:space="preserve">                                            </w:t>
      </w:r>
    </w:p>
    <w:p w:rsidR="00192C78">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制造商名称（如供应商和制造商不同，请分别填写）：</w:t>
      </w:r>
    </w:p>
    <w:p w:rsidR="00192C78">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192C78">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制造商类型（如果供应商和制造商不同，只填写制造商类型）：</w:t>
      </w:r>
    </w:p>
    <w:p w:rsidR="00192C78">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大型企业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中型</w:t>
      </w:r>
      <w:r>
        <w:rPr>
          <w:rFonts w:ascii="宋体" w:hAnsi="宋体" w:hint="eastAsia"/>
          <w:iCs/>
          <w:szCs w:val="21"/>
        </w:rPr>
        <w:t>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小微型企业</w:t>
      </w:r>
      <w:r>
        <w:rPr>
          <w:rFonts w:ascii="宋体" w:hAnsi="宋体" w:hint="eastAsia"/>
          <w:iCs/>
          <w:szCs w:val="21"/>
        </w:rPr>
        <w:t xml:space="preserve">  </w:t>
      </w:r>
    </w:p>
    <w:p w:rsidR="00192C78">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残疾人福利性单位</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监狱企业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p>
    <w:p w:rsidR="00192C78">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是</w:t>
      </w:r>
      <w:r>
        <w:rPr>
          <w:rFonts w:ascii="宋体" w:hAnsi="宋体" w:cs="宋体" w:hint="eastAsia"/>
          <w:iCs/>
          <w:szCs w:val="21"/>
        </w:rPr>
        <w:t xml:space="preserve">       </w:t>
      </w:r>
      <w:r>
        <w:rPr>
          <w:rFonts w:ascii="Wingdings" w:hAnsi="Wingdings" w:cs="宋体"/>
          <w:iCs/>
          <w:szCs w:val="21"/>
        </w:rPr>
        <w:sym w:font="Wingdings" w:char="F0A8"/>
      </w:r>
      <w:r>
        <w:rPr>
          <w:rFonts w:ascii="宋体" w:hAnsi="宋体" w:cs="宋体" w:hint="eastAsia"/>
          <w:iCs/>
          <w:szCs w:val="21"/>
        </w:rPr>
        <w:t>否</w:t>
      </w:r>
    </w:p>
    <w:p w:rsidR="00192C78">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w:t>
      </w:r>
      <w:r>
        <w:rPr>
          <w:rFonts w:ascii="宋体" w:eastAsia="宋体" w:hAnsi="宋体" w:cs="宋体" w:hint="eastAsia"/>
          <w:sz w:val="21"/>
        </w:rPr>
        <w:t>外商投资企业类型：</w:t>
      </w:r>
      <w:r>
        <w:rPr>
          <w:rFonts w:ascii="Wingdings" w:eastAsia="宋体" w:hAnsi="Wingdings" w:cs="宋体"/>
          <w:iCs/>
          <w:sz w:val="21"/>
        </w:rPr>
        <w:sym w:font="Wingdings" w:char="F0A8"/>
      </w:r>
      <w:r>
        <w:rPr>
          <w:rFonts w:ascii="宋体" w:eastAsia="宋体" w:hAnsi="宋体" w:cs="宋体" w:hint="eastAsia"/>
          <w:sz w:val="21"/>
        </w:rPr>
        <w:t>全部由外国投资者投资</w:t>
      </w:r>
      <w:r>
        <w:rPr>
          <w:rFonts w:ascii="宋体" w:eastAsia="宋体" w:hAnsi="宋体" w:cs="宋体" w:hint="eastAsia"/>
          <w:sz w:val="21"/>
        </w:rPr>
        <w:t xml:space="preserve">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192C78">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192C78">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金额：</w:t>
      </w:r>
      <w:r>
        <w:rPr>
          <w:rFonts w:ascii="宋体" w:hAnsi="宋体" w:cs="宋体" w:hint="eastAsia"/>
          <w:szCs w:val="21"/>
          <w:u w:val="single"/>
        </w:rPr>
        <w:t xml:space="preserve">        </w:t>
      </w:r>
    </w:p>
    <w:p w:rsidR="00192C78">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w:t>
      </w:r>
      <w:r>
        <w:rPr>
          <w:rFonts w:ascii="宋体" w:hAnsi="宋体" w:cs="宋体" w:hint="eastAsia"/>
          <w:szCs w:val="21"/>
        </w:rPr>
        <w:t>国别：</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hint="eastAsia"/>
          <w:szCs w:val="21"/>
        </w:rPr>
        <w:t xml:space="preserve">      </w:t>
      </w:r>
    </w:p>
    <w:p w:rsidR="00192C78">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192C78">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0</w:t>
      </w:r>
      <w:r>
        <w:rPr>
          <w:rFonts w:ascii="宋体" w:hAnsi="宋体" w:hint="eastAsia"/>
          <w:szCs w:val="21"/>
        </w:rPr>
        <w:t>）是否涉及节能产品：</w:t>
      </w:r>
    </w:p>
    <w:p w:rsidR="00192C78">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192C78">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192C78">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192C78">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是否涉及环境标志产品：</w:t>
      </w:r>
    </w:p>
    <w:p w:rsidR="00192C78">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192C78">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192C78">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192C78">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是否涉及绿色产品：</w:t>
      </w:r>
      <w:r>
        <w:rPr>
          <w:rFonts w:ascii="宋体" w:eastAsia="宋体" w:hAnsi="宋体" w:cs="Times New Roman" w:hint="eastAsia"/>
          <w:kern w:val="2"/>
          <w:sz w:val="21"/>
        </w:rPr>
        <w:t xml:space="preserve"> </w:t>
      </w:r>
    </w:p>
    <w:p w:rsidR="00192C78">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rsidR="00192C78">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192C78">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192C78">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192C78">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是</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不涉及</w:t>
      </w:r>
    </w:p>
    <w:p w:rsidR="00192C78">
      <w:pPr>
        <w:numPr>
          <w:ilvl w:val="0"/>
          <w:numId w:val="9"/>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192C78">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）合同金额小写：</w:t>
      </w:r>
      <w:r>
        <w:rPr>
          <w:rFonts w:ascii="宋体" w:hAnsi="宋体" w:hint="eastAsia"/>
          <w:szCs w:val="21"/>
          <w:u w:val="single"/>
        </w:rPr>
        <w:t xml:space="preserve">                           </w:t>
      </w:r>
    </w:p>
    <w:p w:rsidR="00192C78">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192C78">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分包金额（如有）小写：</w:t>
      </w:r>
      <w:r>
        <w:rPr>
          <w:rFonts w:ascii="宋体" w:hAnsi="宋体" w:hint="eastAsia"/>
          <w:szCs w:val="21"/>
          <w:u w:val="single"/>
        </w:rPr>
        <w:t xml:space="preserve">                   </w:t>
      </w:r>
    </w:p>
    <w:p w:rsidR="00192C78">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192C78">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（注：固定单价合同应填写单价和最高限价）</w:t>
      </w:r>
    </w:p>
    <w:p w:rsidR="00192C78">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2</w:t>
      </w:r>
      <w:r>
        <w:rPr>
          <w:rFonts w:ascii="宋体" w:hAnsi="宋体" w:hint="eastAsia"/>
          <w:szCs w:val="21"/>
        </w:rPr>
        <w:t>）合同定价方式（采用组合定价方式的，可以勾选多项）：</w:t>
      </w:r>
    </w:p>
    <w:p w:rsidR="00192C78">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固定总价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固定单价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固定费率</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成本补偿</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绩效激励</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192C78">
      <w:pPr>
        <w:pStyle w:val="12"/>
        <w:spacing w:line="400" w:lineRule="exact"/>
      </w:pPr>
      <w:r>
        <w:rPr>
          <w:rFonts w:ascii="宋体" w:hAnsi="宋体" w:hint="eastAsia"/>
        </w:rPr>
        <w:t>（</w:t>
      </w:r>
      <w:r>
        <w:rPr>
          <w:rFonts w:ascii="宋体" w:hAnsi="宋体" w:hint="eastAsia"/>
        </w:rPr>
        <w:t>3</w:t>
      </w:r>
      <w:r>
        <w:rPr>
          <w:rFonts w:ascii="宋体" w:hAnsi="宋体" w:hint="eastAsia"/>
        </w:rPr>
        <w:t>）付款方式（按项目实际勾选填写）：</w:t>
      </w:r>
    </w:p>
    <w:p w:rsidR="00192C78">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w:t>
      </w:r>
      <w:r>
        <w:rPr>
          <w:rFonts w:ascii="宋体" w:hAnsi="宋体" w:hint="eastAsia"/>
          <w:szCs w:val="21"/>
          <w:u w:val="single"/>
        </w:rPr>
        <w:t>人民币壹佰柒拾陆万元</w:t>
      </w:r>
      <w:r>
        <w:rPr>
          <w:rFonts w:ascii="宋体" w:hAnsi="宋体" w:hint="eastAsia"/>
          <w:szCs w:val="21"/>
          <w:u w:val="single"/>
        </w:rPr>
        <w:t xml:space="preserve"> </w:t>
      </w:r>
      <w:r>
        <w:rPr>
          <w:rFonts w:ascii="宋体" w:hAnsi="宋体" w:hint="eastAsia"/>
          <w:szCs w:val="21"/>
          <w:u w:val="single"/>
        </w:rPr>
        <w:t>（</w:t>
      </w:r>
      <w:r>
        <w:rPr>
          <w:rFonts w:ascii="宋体" w:hAnsi="宋体" w:hint="eastAsia"/>
          <w:szCs w:val="21"/>
          <w:u w:val="single"/>
        </w:rPr>
        <w:t>大写）：</w:t>
      </w:r>
      <w:r>
        <w:rPr>
          <w:rFonts w:ascii="宋体" w:hAnsi="宋体" w:hint="eastAsia"/>
          <w:szCs w:val="21"/>
          <w:u w:val="single"/>
        </w:rPr>
        <w:t>元（小写）</w:t>
      </w:r>
      <w:r>
        <w:rPr>
          <w:rFonts w:ascii="宋体" w:hAnsi="宋体" w:hint="eastAsia"/>
          <w:szCs w:val="21"/>
          <w:u w:val="single"/>
        </w:rPr>
        <w:t xml:space="preserve">                    </w:t>
      </w:r>
    </w:p>
    <w:p w:rsidR="00192C78">
      <w:pPr>
        <w:snapToGrid w:val="0"/>
        <w:spacing w:line="400" w:lineRule="exact"/>
        <w:ind w:firstLine="630" w:firstLineChars="300"/>
      </w:pPr>
      <w:r>
        <w:rPr>
          <w:rFonts w:ascii="Wingdings" w:hAnsi="Wingdings"/>
          <w:szCs w:val="21"/>
        </w:rPr>
        <w:sym w:font="Wingdings" w:char="F0A8"/>
      </w:r>
      <w:r>
        <w:rPr>
          <w:rFonts w:ascii="宋体" w:hAnsi="宋体" w:hint="eastAsia"/>
          <w:szCs w:val="21"/>
        </w:rPr>
        <w:t>分期付款：</w:t>
      </w:r>
      <w:r>
        <w:rPr>
          <w:rFonts w:ascii="宋体" w:hAnsi="宋体" w:hint="eastAsia"/>
          <w:szCs w:val="21"/>
          <w:u w:val="single"/>
        </w:rPr>
        <w:t xml:space="preserve">  </w:t>
      </w:r>
      <w:r>
        <w:rPr>
          <w:rFonts w:ascii="宋体" w:hAnsi="宋体" w:hint="eastAsia"/>
          <w:szCs w:val="21"/>
          <w:u w:val="single"/>
        </w:rPr>
        <w:t>（</w:t>
      </w:r>
      <w:r>
        <w:rPr>
          <w:rFonts w:ascii="宋体" w:hAnsi="宋体" w:hint="eastAsia"/>
          <w:szCs w:val="21"/>
          <w:u w:val="single"/>
        </w:rPr>
        <w:t>双方签署合同后</w:t>
      </w:r>
      <w:r>
        <w:rPr>
          <w:rFonts w:ascii="宋体" w:hAnsi="宋体" w:hint="eastAsia"/>
          <w:szCs w:val="21"/>
          <w:u w:val="single"/>
        </w:rPr>
        <w:t>7</w:t>
      </w:r>
      <w:r>
        <w:rPr>
          <w:rFonts w:ascii="宋体" w:hAnsi="宋体" w:hint="eastAsia"/>
          <w:szCs w:val="21"/>
          <w:u w:val="single"/>
        </w:rPr>
        <w:t>个工作日内且甲方收到发票，向乙方支付合同总金额的</w:t>
      </w:r>
      <w:r>
        <w:rPr>
          <w:rFonts w:ascii="宋体" w:hAnsi="宋体" w:hint="eastAsia"/>
          <w:szCs w:val="21"/>
          <w:u w:val="single"/>
        </w:rPr>
        <w:t>90%</w:t>
      </w:r>
      <w:r>
        <w:rPr>
          <w:rFonts w:ascii="宋体" w:hAnsi="宋体" w:hint="eastAsia"/>
          <w:szCs w:val="21"/>
          <w:u w:val="single"/>
        </w:rPr>
        <w:t>，双方签署验收报告后</w:t>
      </w:r>
      <w:r>
        <w:rPr>
          <w:rFonts w:ascii="宋体" w:hAnsi="宋体" w:hint="eastAsia"/>
          <w:szCs w:val="21"/>
          <w:u w:val="single"/>
        </w:rPr>
        <w:t>7</w:t>
      </w:r>
      <w:r>
        <w:rPr>
          <w:rFonts w:ascii="宋体" w:hAnsi="宋体" w:hint="eastAsia"/>
          <w:szCs w:val="21"/>
          <w:u w:val="single"/>
        </w:rPr>
        <w:t>个工作日内且甲方收到发票，向乙方支付合同总金额的</w:t>
      </w:r>
      <w:r>
        <w:rPr>
          <w:rFonts w:ascii="宋体" w:hAnsi="宋体" w:hint="eastAsia"/>
          <w:szCs w:val="21"/>
          <w:u w:val="single"/>
        </w:rPr>
        <w:t>10%</w:t>
      </w:r>
      <w:r>
        <w:rPr>
          <w:rFonts w:ascii="宋体" w:hAnsi="宋体" w:hint="eastAsia"/>
          <w:szCs w:val="21"/>
          <w:u w:val="single"/>
        </w:rPr>
        <w:t>）</w:t>
      </w:r>
      <w:r>
        <w:rPr>
          <w:rFonts w:ascii="宋体" w:hAnsi="宋体" w:hint="eastAsia"/>
          <w:szCs w:val="21"/>
          <w:u w:val="single"/>
        </w:rPr>
        <w:t xml:space="preserve"> </w:t>
      </w:r>
      <w:r>
        <w:rPr>
          <w:rFonts w:ascii="宋体" w:hAnsi="宋体" w:hint="eastAsia"/>
          <w:szCs w:val="21"/>
        </w:rPr>
        <w:t>，其中涉及预付款的：</w:t>
      </w:r>
      <w:r>
        <w:rPr>
          <w:rFonts w:ascii="宋体" w:hAnsi="宋体" w:hint="eastAsia"/>
          <w:szCs w:val="21"/>
          <w:u w:val="single"/>
        </w:rPr>
        <w:t xml:space="preserve"> </w:t>
      </w:r>
      <w:r>
        <w:rPr>
          <w:rFonts w:ascii="宋体" w:hAnsi="宋体" w:hint="eastAsia"/>
          <w:szCs w:val="21"/>
          <w:u w:val="single"/>
        </w:rPr>
        <w:t>（应明确预付款的支付比例和支付条件）</w:t>
      </w:r>
      <w:r>
        <w:rPr>
          <w:rFonts w:ascii="宋体" w:hAnsi="宋体" w:hint="eastAsia"/>
          <w:szCs w:val="21"/>
          <w:u w:val="single"/>
        </w:rPr>
        <w:t xml:space="preserve"> </w:t>
      </w:r>
    </w:p>
    <w:p w:rsidR="00192C78">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w:t>
      </w:r>
      <w:r>
        <w:rPr>
          <w:rFonts w:ascii="宋体" w:hAnsi="宋体" w:hint="eastAsia"/>
          <w:szCs w:val="21"/>
          <w:u w:val="single"/>
        </w:rPr>
        <w:t>（应明确按照成本补偿方式的支付方式和支付</w:t>
      </w:r>
      <w:r>
        <w:rPr>
          <w:rFonts w:ascii="宋体" w:hAnsi="宋体" w:hint="eastAsia"/>
          <w:szCs w:val="21"/>
          <w:u w:val="single"/>
        </w:rPr>
        <w:t>条件）</w:t>
      </w:r>
      <w:r>
        <w:rPr>
          <w:rFonts w:ascii="宋体" w:hAnsi="宋体" w:hint="eastAsia"/>
          <w:szCs w:val="21"/>
          <w:u w:val="single"/>
        </w:rPr>
        <w:t xml:space="preserve">   </w:t>
      </w:r>
    </w:p>
    <w:p w:rsidR="00192C78">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w:t>
      </w:r>
      <w:r>
        <w:rPr>
          <w:rFonts w:ascii="宋体" w:hAnsi="宋体" w:hint="eastAsia"/>
          <w:szCs w:val="21"/>
          <w:u w:val="single"/>
        </w:rPr>
        <w:t>（应明确按照绩效激励方式的支付方式和支付条件）</w:t>
      </w:r>
      <w:r>
        <w:rPr>
          <w:rFonts w:ascii="宋体" w:hAnsi="宋体" w:hint="eastAsia"/>
          <w:szCs w:val="21"/>
          <w:u w:val="single"/>
        </w:rPr>
        <w:t xml:space="preserve">   </w:t>
      </w:r>
    </w:p>
    <w:p w:rsidR="00192C78">
      <w:pPr>
        <w:numPr>
          <w:ilvl w:val="0"/>
          <w:numId w:val="9"/>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192C78">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192C78">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）履约地点</w:t>
      </w:r>
      <w:r>
        <w:rPr>
          <w:rFonts w:ascii="宋体" w:hAnsi="宋体" w:cs="宋体" w:hint="eastAsia"/>
          <w:bCs/>
          <w:szCs w:val="21"/>
        </w:rPr>
        <w:t>：</w:t>
      </w:r>
      <w:r>
        <w:rPr>
          <w:rFonts w:ascii="宋体" w:hAnsi="宋体" w:cs="宋体" w:hint="eastAsia"/>
          <w:szCs w:val="21"/>
          <w:u w:val="single"/>
        </w:rPr>
        <w:t xml:space="preserve">                             </w:t>
      </w:r>
    </w:p>
    <w:p w:rsidR="00192C78">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w:t>
      </w:r>
      <w:r>
        <w:rPr>
          <w:rFonts w:ascii="宋体" w:hAnsi="宋体" w:cs="宋体" w:hint="eastAsia"/>
          <w:bCs/>
          <w:szCs w:val="21"/>
        </w:rPr>
        <w:t>3</w:t>
      </w:r>
      <w:r>
        <w:rPr>
          <w:rFonts w:ascii="宋体" w:hAnsi="宋体" w:cs="宋体" w:hint="eastAsia"/>
          <w:bCs/>
          <w:szCs w:val="21"/>
        </w:rPr>
        <w:t>）履约担保：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否</w:t>
      </w:r>
    </w:p>
    <w:p w:rsidR="00192C78">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w:t>
      </w:r>
      <w:r>
        <w:rPr>
          <w:rFonts w:ascii="宋体" w:eastAsia="宋体" w:hAnsi="宋体" w:cs="宋体" w:hint="eastAsia"/>
          <w:sz w:val="21"/>
        </w:rPr>
        <w:t>收取履约保证金形式：</w:t>
      </w:r>
      <w:r>
        <w:rPr>
          <w:rFonts w:ascii="宋体" w:eastAsia="宋体" w:hAnsi="宋体" w:cs="宋体" w:hint="eastAsia"/>
          <w:bCs/>
          <w:sz w:val="21"/>
          <w:u w:val="single"/>
        </w:rPr>
        <w:t xml:space="preserve">                            </w:t>
      </w:r>
    </w:p>
    <w:p w:rsidR="00192C78">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收取履约保证金金额：</w:t>
      </w:r>
      <w:r>
        <w:rPr>
          <w:rFonts w:ascii="宋体" w:eastAsia="宋体" w:hAnsi="宋体" w:cs="宋体" w:hint="eastAsia"/>
          <w:bCs/>
          <w:sz w:val="21"/>
          <w:u w:val="single"/>
        </w:rPr>
        <w:t xml:space="preserve">                            </w:t>
      </w:r>
    </w:p>
    <w:p w:rsidR="00192C78">
      <w:pPr>
        <w:snapToGrid w:val="0"/>
        <w:spacing w:line="400" w:lineRule="exact"/>
        <w:ind w:firstLine="420" w:firstLineChars="200"/>
        <w:rPr>
          <w:rFonts w:ascii="宋体" w:hAnsi="宋体" w:cs="宋体"/>
        </w:rPr>
      </w:pPr>
      <w:r>
        <w:rPr>
          <w:rFonts w:ascii="宋体" w:hAnsi="宋体" w:cs="宋体" w:hint="eastAsia"/>
          <w:bCs/>
          <w:szCs w:val="21"/>
        </w:rPr>
        <w:t xml:space="preserve">    </w:t>
      </w:r>
      <w:r>
        <w:rPr>
          <w:rFonts w:ascii="宋体" w:hAnsi="宋体" w:cs="宋体" w:hint="eastAsia"/>
          <w:bCs/>
          <w:szCs w:val="21"/>
        </w:rPr>
        <w:t>履约担保期限：</w:t>
      </w:r>
      <w:r>
        <w:rPr>
          <w:rFonts w:ascii="宋体" w:hAnsi="宋体" w:cs="宋体" w:hint="eastAsia"/>
          <w:bCs/>
          <w:szCs w:val="21"/>
          <w:u w:val="single"/>
        </w:rPr>
        <w:t xml:space="preserve">                                  </w:t>
      </w:r>
    </w:p>
    <w:p w:rsidR="00192C78">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w:t>
      </w:r>
      <w:r>
        <w:rPr>
          <w:rFonts w:ascii="宋体" w:hAnsi="宋体" w:cs="宋体" w:hint="eastAsia"/>
          <w:bCs/>
          <w:szCs w:val="21"/>
        </w:rPr>
        <w:t>4</w:t>
      </w:r>
      <w:r>
        <w:rPr>
          <w:rFonts w:ascii="宋体" w:hAnsi="宋体" w:cs="宋体" w:hint="eastAsia"/>
          <w:bCs/>
          <w:szCs w:val="21"/>
        </w:rPr>
        <w:t>）分期履行要求：</w:t>
      </w:r>
      <w:r>
        <w:rPr>
          <w:rFonts w:ascii="宋体" w:hAnsi="宋体" w:cs="宋体" w:hint="eastAsia"/>
          <w:bCs/>
          <w:szCs w:val="21"/>
          <w:u w:val="single"/>
        </w:rPr>
        <w:t xml:space="preserve">                                                        </w:t>
      </w:r>
    </w:p>
    <w:p w:rsidR="00192C78">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w:t>
      </w:r>
      <w:r>
        <w:rPr>
          <w:rFonts w:ascii="宋体" w:hAnsi="宋体" w:cs="宋体" w:hint="eastAsia"/>
          <w:bCs/>
          <w:szCs w:val="21"/>
        </w:rPr>
        <w:t>5</w:t>
      </w:r>
      <w:r>
        <w:rPr>
          <w:rFonts w:ascii="宋体" w:hAnsi="宋体" w:cs="宋体" w:hint="eastAsia"/>
          <w:bCs/>
          <w:szCs w:val="21"/>
        </w:rPr>
        <w:t>）风险处置措施和替代方案：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192C78">
      <w:pPr>
        <w:numPr>
          <w:ilvl w:val="0"/>
          <w:numId w:val="9"/>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192C78">
      <w:pPr>
        <w:numPr>
          <w:ilvl w:val="0"/>
          <w:numId w:val="11"/>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自行组织</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委托第三方组织</w:t>
      </w:r>
    </w:p>
    <w:p w:rsidR="00192C78">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验收主体：</w:t>
      </w:r>
      <w:r>
        <w:rPr>
          <w:rFonts w:ascii="宋体" w:hAnsi="宋体" w:hint="eastAsia"/>
          <w:bCs/>
          <w:szCs w:val="21"/>
          <w:u w:val="single"/>
        </w:rPr>
        <w:t xml:space="preserve">                  </w:t>
      </w:r>
    </w:p>
    <w:p w:rsidR="00192C78">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是否邀请本项目的其他供应商参加验收：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192C78">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192C78">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192C78">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192C78">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192C78">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192C78">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192C78">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192C78">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2</w:t>
      </w:r>
      <w:r>
        <w:rPr>
          <w:rFonts w:ascii="宋体" w:hAnsi="宋体" w:hint="eastAsia"/>
          <w:bCs/>
          <w:szCs w:val="21"/>
        </w:rPr>
        <w:t>）履约验收时间：</w:t>
      </w:r>
      <w:r>
        <w:rPr>
          <w:rFonts w:ascii="宋体" w:hAnsi="宋体" w:hint="eastAsia"/>
          <w:bCs/>
          <w:szCs w:val="21"/>
          <w:u w:val="single"/>
        </w:rPr>
        <w:t>（计划于何时验收</w:t>
      </w:r>
      <w:r>
        <w:rPr>
          <w:rFonts w:ascii="宋体" w:hAnsi="宋体" w:hint="eastAsia"/>
          <w:bCs/>
          <w:szCs w:val="21"/>
          <w:u w:val="single"/>
        </w:rPr>
        <w:t>/</w:t>
      </w:r>
      <w:r>
        <w:rPr>
          <w:rFonts w:ascii="宋体" w:hAnsi="宋体" w:hint="eastAsia"/>
          <w:bCs/>
          <w:szCs w:val="21"/>
          <w:u w:val="single"/>
        </w:rPr>
        <w:t>供应商提出验收申请之日起</w:t>
      </w:r>
      <w:r>
        <w:rPr>
          <w:rFonts w:ascii="宋体" w:hAnsi="宋体" w:hint="eastAsia"/>
          <w:bCs/>
          <w:szCs w:val="21"/>
          <w:u w:val="single"/>
        </w:rPr>
        <w:t xml:space="preserve">   </w:t>
      </w:r>
      <w:r>
        <w:rPr>
          <w:rFonts w:ascii="宋体" w:hAnsi="宋体" w:hint="eastAsia"/>
          <w:bCs/>
          <w:szCs w:val="21"/>
          <w:u w:val="single"/>
        </w:rPr>
        <w:t>日内组织验收）</w:t>
      </w:r>
      <w:r>
        <w:rPr>
          <w:rFonts w:ascii="宋体" w:hAnsi="宋体" w:hint="eastAsia"/>
          <w:bCs/>
          <w:szCs w:val="21"/>
          <w:u w:val="single"/>
        </w:rPr>
        <w:t xml:space="preserve"> </w:t>
      </w:r>
    </w:p>
    <w:p w:rsidR="00192C78">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3</w:t>
      </w:r>
      <w:r>
        <w:rPr>
          <w:rFonts w:ascii="宋体" w:hAnsi="宋体" w:hint="eastAsia"/>
          <w:bCs/>
          <w:szCs w:val="21"/>
        </w:rPr>
        <w:t>）履约验收方式：</w:t>
      </w:r>
      <w:r>
        <w:rPr>
          <w:rFonts w:ascii="Wingdings" w:hAnsi="Wingdings" w:cs="宋体"/>
          <w:szCs w:val="21"/>
        </w:rPr>
        <w:sym w:font="Wingdings" w:char="F0A8"/>
      </w:r>
      <w:r>
        <w:rPr>
          <w:rFonts w:ascii="宋体" w:hAnsi="宋体" w:hint="eastAsia"/>
          <w:bCs/>
          <w:szCs w:val="21"/>
        </w:rPr>
        <w:t>一次性验收</w:t>
      </w:r>
      <w:r>
        <w:rPr>
          <w:rFonts w:ascii="宋体" w:hAnsi="宋体" w:hint="eastAsia"/>
          <w:bCs/>
          <w:szCs w:val="21"/>
        </w:rPr>
        <w:t xml:space="preserve">         </w:t>
      </w:r>
    </w:p>
    <w:p w:rsidR="00192C78">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w:t>
      </w:r>
      <w:r>
        <w:rPr>
          <w:rFonts w:ascii="宋体" w:hAnsi="宋体" w:hint="eastAsia"/>
          <w:bCs/>
          <w:szCs w:val="21"/>
        </w:rPr>
        <w:t>/</w:t>
      </w:r>
      <w:r>
        <w:rPr>
          <w:rFonts w:ascii="宋体" w:hAnsi="宋体" w:hint="eastAsia"/>
          <w:bCs/>
          <w:szCs w:val="21"/>
        </w:rPr>
        <w:t>分项验收：</w:t>
      </w:r>
      <w:r>
        <w:rPr>
          <w:rFonts w:ascii="宋体" w:hAnsi="宋体" w:hint="eastAsia"/>
          <w:bCs/>
          <w:szCs w:val="21"/>
          <w:u w:val="single"/>
        </w:rPr>
        <w:t xml:space="preserve"> </w:t>
      </w:r>
      <w:r>
        <w:rPr>
          <w:rFonts w:ascii="宋体" w:hAnsi="宋体" w:hint="eastAsia"/>
          <w:bCs/>
          <w:szCs w:val="21"/>
          <w:u w:val="single"/>
        </w:rPr>
        <w:t>（应明确分期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w:t>
      </w:r>
      <w:r>
        <w:rPr>
          <w:rFonts w:ascii="宋体" w:hAnsi="宋体" w:hint="eastAsia"/>
          <w:bCs/>
          <w:szCs w:val="21"/>
          <w:u w:val="single"/>
        </w:rPr>
        <w:t xml:space="preserve">  </w:t>
      </w:r>
    </w:p>
    <w:p w:rsidR="00192C78">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4</w:t>
      </w:r>
      <w:r>
        <w:rPr>
          <w:rFonts w:ascii="宋体" w:hAnsi="宋体" w:hint="eastAsia"/>
          <w:bCs/>
          <w:szCs w:val="21"/>
        </w:rPr>
        <w:t>）履约验收程序：</w:t>
      </w:r>
      <w:r>
        <w:rPr>
          <w:rFonts w:ascii="宋体" w:hAnsi="宋体" w:hint="eastAsia"/>
          <w:bCs/>
          <w:szCs w:val="21"/>
          <w:u w:val="single"/>
        </w:rPr>
        <w:t xml:space="preserve">                                         </w:t>
      </w:r>
    </w:p>
    <w:p w:rsidR="00192C78">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5</w:t>
      </w:r>
      <w:r>
        <w:rPr>
          <w:rFonts w:ascii="宋体" w:hAnsi="宋体" w:hint="eastAsia"/>
          <w:bCs/>
          <w:szCs w:val="21"/>
        </w:rPr>
        <w:t>）履约验收的内容：</w:t>
      </w:r>
      <w:r>
        <w:rPr>
          <w:rFonts w:ascii="宋体" w:hAnsi="宋体" w:hint="eastAsia"/>
          <w:bCs/>
          <w:szCs w:val="21"/>
          <w:u w:val="single"/>
        </w:rPr>
        <w:t xml:space="preserve"> </w:t>
      </w:r>
      <w:r>
        <w:rPr>
          <w:rFonts w:ascii="宋体" w:hAnsi="宋体" w:hint="eastAsia"/>
          <w:bCs/>
          <w:szCs w:val="21"/>
          <w:u w:val="single"/>
        </w:rPr>
        <w:t>（应当包括每一项技术和商务要求的履约情况，特别是落实政府采购扶持中小企业，支持绿色发展和乡村振兴等政策情况）</w:t>
      </w:r>
      <w:r>
        <w:rPr>
          <w:rFonts w:ascii="宋体" w:hAnsi="宋体" w:hint="eastAsia"/>
          <w:bCs/>
          <w:szCs w:val="21"/>
          <w:u w:val="single"/>
        </w:rPr>
        <w:t xml:space="preserve">                                      </w:t>
      </w:r>
    </w:p>
    <w:p w:rsidR="00192C78">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6</w:t>
      </w:r>
      <w:r>
        <w:rPr>
          <w:rFonts w:ascii="宋体" w:hAnsi="宋体" w:hint="eastAsia"/>
          <w:bCs/>
          <w:szCs w:val="21"/>
        </w:rPr>
        <w:t>）履约验收标准：</w:t>
      </w:r>
      <w:r>
        <w:rPr>
          <w:rFonts w:ascii="宋体" w:hAnsi="宋体" w:hint="eastAsia"/>
          <w:bCs/>
          <w:szCs w:val="21"/>
          <w:u w:val="single"/>
        </w:rPr>
        <w:t xml:space="preserve">                                         </w:t>
      </w:r>
    </w:p>
    <w:p w:rsidR="00192C78">
      <w:pPr>
        <w:pStyle w:val="AONormal"/>
        <w:ind w:firstLine="420"/>
        <w:rPr>
          <w:rFonts w:ascii="宋体" w:eastAsia="宋体" w:hAnsi="宋体" w:cs="宋体"/>
          <w:sz w:val="21"/>
        </w:rPr>
      </w:pPr>
      <w:r>
        <w:rPr>
          <w:rFonts w:ascii="宋体" w:eastAsia="宋体" w:hAnsi="宋体" w:cs="宋体" w:hint="eastAsia"/>
          <w:bCs/>
          <w:sz w:val="21"/>
        </w:rPr>
        <w:t>（</w:t>
      </w:r>
      <w:r>
        <w:rPr>
          <w:rFonts w:ascii="宋体" w:eastAsia="宋体" w:hAnsi="宋体" w:cs="宋体" w:hint="eastAsia"/>
          <w:bCs/>
          <w:sz w:val="21"/>
        </w:rPr>
        <w:t>7</w:t>
      </w:r>
      <w:r>
        <w:rPr>
          <w:rFonts w:ascii="宋体" w:eastAsia="宋体" w:hAnsi="宋体" w:cs="宋体" w:hint="eastAsia"/>
          <w:bCs/>
          <w:sz w:val="21"/>
        </w:rPr>
        <w:t>）是否以采购活动中供应商提供的样品作为参考：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是</w:t>
      </w:r>
      <w:r>
        <w:rPr>
          <w:rFonts w:ascii="宋体" w:eastAsia="宋体" w:hAnsi="宋体" w:cs="宋体" w:hint="eastAsia"/>
          <w:bCs/>
          <w:sz w:val="21"/>
        </w:rPr>
        <w:t xml:space="preserve">  </w:t>
      </w:r>
      <w:r>
        <w:rPr>
          <w:rFonts w:ascii="Wingdings" w:eastAsia="宋体" w:hAnsi="Wingdings" w:cs="宋体"/>
          <w:sz w:val="21"/>
        </w:rPr>
        <w:sym w:font="Wingdings" w:char="F0A8"/>
      </w:r>
      <w:r>
        <w:rPr>
          <w:rFonts w:ascii="宋体" w:eastAsia="宋体" w:hAnsi="宋体" w:cs="宋体" w:hint="eastAsia"/>
          <w:bCs/>
          <w:sz w:val="21"/>
        </w:rPr>
        <w:t>否</w:t>
      </w:r>
    </w:p>
    <w:p w:rsidR="00192C78">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w:t>
      </w:r>
      <w:r>
        <w:rPr>
          <w:rFonts w:ascii="宋体" w:hAnsi="宋体" w:cs="宋体" w:hint="eastAsia"/>
          <w:bCs/>
          <w:szCs w:val="21"/>
        </w:rPr>
        <w:t>8</w:t>
      </w:r>
      <w:r>
        <w:rPr>
          <w:rFonts w:ascii="宋体" w:hAnsi="宋体" w:cs="宋体" w:hint="eastAsia"/>
          <w:bCs/>
          <w:szCs w:val="21"/>
        </w:rPr>
        <w:t>）履约验收其他事项：</w:t>
      </w:r>
      <w:r>
        <w:rPr>
          <w:rFonts w:ascii="宋体" w:hAnsi="宋体" w:cs="宋体" w:hint="eastAsia"/>
          <w:bCs/>
          <w:szCs w:val="21"/>
          <w:u w:val="single"/>
        </w:rPr>
        <w:t xml:space="preserve">      </w:t>
      </w:r>
      <w:r>
        <w:rPr>
          <w:rFonts w:ascii="宋体" w:hAnsi="宋体" w:cs="宋体" w:hint="eastAsia"/>
          <w:bCs/>
          <w:szCs w:val="21"/>
          <w:u w:val="single"/>
        </w:rPr>
        <w:t>（产权过户登记等）</w:t>
      </w:r>
      <w:r>
        <w:rPr>
          <w:rFonts w:ascii="宋体" w:hAnsi="宋体" w:cs="宋体" w:hint="eastAsia"/>
          <w:bCs/>
          <w:szCs w:val="21"/>
          <w:u w:val="single"/>
        </w:rPr>
        <w:t xml:space="preserve">          </w:t>
      </w:r>
    </w:p>
    <w:p w:rsidR="00192C78">
      <w:pPr>
        <w:numPr>
          <w:ilvl w:val="0"/>
          <w:numId w:val="9"/>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192C78">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192C78">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）政府采购合同协议书及其变更、补充协议</w:t>
      </w:r>
    </w:p>
    <w:p w:rsidR="00192C78">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）政府采购合同专用条款</w:t>
      </w:r>
    </w:p>
    <w:p w:rsidR="00192C78">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）政府采购合同通用条款</w:t>
      </w:r>
    </w:p>
    <w:p w:rsidR="00192C78">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）中标（成交）通知书</w:t>
      </w:r>
    </w:p>
    <w:p w:rsidR="00192C78">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）投标（响应）文件</w:t>
      </w:r>
    </w:p>
    <w:p w:rsidR="00192C78">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）采购文件</w:t>
      </w:r>
    </w:p>
    <w:p w:rsidR="00192C78">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）有关技术文件，图纸</w:t>
      </w:r>
    </w:p>
    <w:p w:rsidR="00192C78">
      <w:pPr>
        <w:pStyle w:val="AONormal"/>
        <w:ind w:firstLine="420"/>
        <w:rPr>
          <w:rFonts w:ascii="宋体" w:eastAsia="宋体" w:hAnsi="宋体" w:cs="宋体"/>
          <w:kern w:val="2"/>
          <w:sz w:val="21"/>
        </w:rPr>
      </w:pPr>
      <w:r>
        <w:rPr>
          <w:rFonts w:ascii="宋体" w:eastAsia="宋体" w:hAnsi="宋体" w:cs="宋体" w:hint="eastAsia"/>
          <w:sz w:val="21"/>
        </w:rPr>
        <w:t>（</w:t>
      </w:r>
      <w:r>
        <w:rPr>
          <w:rFonts w:ascii="宋体" w:eastAsia="宋体" w:hAnsi="宋体" w:cs="宋体" w:hint="eastAsia"/>
          <w:sz w:val="21"/>
        </w:rPr>
        <w:t>8</w:t>
      </w:r>
      <w:r>
        <w:rPr>
          <w:rFonts w:ascii="宋体" w:eastAsia="宋体" w:hAnsi="宋体" w:cs="宋体" w:hint="eastAsia"/>
          <w:sz w:val="21"/>
        </w:rPr>
        <w:t>）</w:t>
      </w:r>
      <w:r>
        <w:rPr>
          <w:rFonts w:ascii="宋体" w:eastAsia="宋体" w:hAnsi="宋体" w:cs="宋体" w:hint="eastAsia"/>
          <w:color w:val="000000"/>
          <w:kern w:val="2"/>
          <w:sz w:val="21"/>
        </w:rPr>
        <w:t>国家法律、行政法规和规章制度规定或合同约定的作为合同组成部分的其他文件</w:t>
      </w:r>
    </w:p>
    <w:p w:rsidR="00192C78">
      <w:pPr>
        <w:numPr>
          <w:ilvl w:val="0"/>
          <w:numId w:val="9"/>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192C78">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192C78">
      <w:pPr>
        <w:numPr>
          <w:ilvl w:val="0"/>
          <w:numId w:val="9"/>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192C78">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192C78">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192C78">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192C78">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192C78">
      <w:r>
        <w:rPr>
          <w:rFonts w:hint="eastAsia"/>
        </w:rPr>
        <w:br w:type="page"/>
      </w:r>
    </w:p>
    <w:p w:rsidR="00192C78">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1"/>
        <w:gridCol w:w="2412"/>
        <w:gridCol w:w="1978"/>
        <w:gridCol w:w="2117"/>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192C78">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192C78">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192C78">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192C78">
            <w:pPr>
              <w:adjustRightInd w:val="0"/>
              <w:snapToGrid w:val="0"/>
              <w:spacing w:line="300" w:lineRule="exact"/>
              <w:jc w:val="center"/>
              <w:rPr>
                <w:szCs w:val="21"/>
              </w:rPr>
            </w:pPr>
            <w:r>
              <w:rPr>
                <w:rFonts w:hint="eastAsia"/>
                <w:szCs w:val="21"/>
              </w:rPr>
              <w:t>西藏阿里地区气象局</w:t>
            </w:r>
          </w:p>
        </w:tc>
        <w:tc>
          <w:tcPr>
            <w:tcW w:w="1178" w:type="pct"/>
            <w:tcBorders>
              <w:top w:val="single" w:sz="2" w:space="0" w:color="auto"/>
              <w:left w:val="single" w:sz="2" w:space="0" w:color="auto"/>
              <w:bottom w:val="single" w:sz="2" w:space="0" w:color="auto"/>
              <w:right w:val="single" w:sz="2" w:space="0" w:color="auto"/>
            </w:tcBorders>
            <w:vAlign w:val="center"/>
          </w:tcPr>
          <w:p w:rsidR="00192C78">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192C78">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192C78">
            <w:pPr>
              <w:adjustRightInd w:val="0"/>
              <w:snapToGrid w:val="0"/>
              <w:spacing w:line="300" w:lineRule="exact"/>
              <w:jc w:val="center"/>
              <w:rPr>
                <w:szCs w:val="21"/>
              </w:rPr>
            </w:pPr>
            <w:r>
              <w:rPr>
                <w:szCs w:val="21"/>
              </w:rPr>
              <w:t>法定代表人</w:t>
            </w:r>
          </w:p>
          <w:p w:rsidR="00192C78">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192C78">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192C78">
            <w:pPr>
              <w:adjustRightInd w:val="0"/>
              <w:snapToGrid w:val="0"/>
              <w:spacing w:line="300" w:lineRule="exact"/>
              <w:jc w:val="center"/>
              <w:rPr>
                <w:szCs w:val="21"/>
              </w:rPr>
            </w:pPr>
            <w:r>
              <w:rPr>
                <w:szCs w:val="21"/>
              </w:rPr>
              <w:t>法定代表人</w:t>
            </w:r>
          </w:p>
          <w:p w:rsidR="00192C78">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192C78">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192C78">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192C7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92C78">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192C7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92C78">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192C7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92C78">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192C7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92C78">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192C78">
            <w:pPr>
              <w:adjustRightInd w:val="0"/>
              <w:snapToGrid w:val="0"/>
              <w:spacing w:line="300" w:lineRule="exact"/>
              <w:jc w:val="center"/>
              <w:rPr>
                <w:szCs w:val="21"/>
              </w:rPr>
            </w:pPr>
            <w:r>
              <w:rPr>
                <w:rFonts w:hint="eastAsia"/>
                <w:szCs w:val="21"/>
              </w:rPr>
              <w:t>次仁平措</w:t>
            </w:r>
          </w:p>
        </w:tc>
        <w:tc>
          <w:tcPr>
            <w:tcW w:w="1178" w:type="pct"/>
            <w:tcBorders>
              <w:top w:val="single" w:sz="2" w:space="0" w:color="auto"/>
              <w:left w:val="single" w:sz="2" w:space="0" w:color="auto"/>
              <w:bottom w:val="single" w:sz="2" w:space="0" w:color="auto"/>
              <w:right w:val="single" w:sz="2" w:space="0" w:color="auto"/>
            </w:tcBorders>
            <w:vAlign w:val="center"/>
          </w:tcPr>
          <w:p w:rsidR="00192C78">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192C7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92C78">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192C78">
            <w:pPr>
              <w:adjustRightInd w:val="0"/>
              <w:snapToGrid w:val="0"/>
              <w:spacing w:line="300" w:lineRule="exact"/>
              <w:jc w:val="center"/>
              <w:rPr>
                <w:szCs w:val="21"/>
              </w:rPr>
            </w:pPr>
            <w:r>
              <w:rPr>
                <w:rFonts w:hint="eastAsia"/>
                <w:szCs w:val="21"/>
              </w:rPr>
              <w:t>18089071699</w:t>
            </w:r>
          </w:p>
        </w:tc>
        <w:tc>
          <w:tcPr>
            <w:tcW w:w="1178" w:type="pct"/>
            <w:tcBorders>
              <w:top w:val="single" w:sz="2" w:space="0" w:color="auto"/>
              <w:left w:val="single" w:sz="2" w:space="0" w:color="auto"/>
              <w:bottom w:val="single" w:sz="2" w:space="0" w:color="auto"/>
              <w:right w:val="single" w:sz="2" w:space="0" w:color="auto"/>
            </w:tcBorders>
            <w:vAlign w:val="center"/>
          </w:tcPr>
          <w:p w:rsidR="00192C78">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192C7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92C78">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192C7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92C78">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192C7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92C78">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192C7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92C78">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192C7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92C78">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192C7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92C78">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192C7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92C78">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192C7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92C78">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192C7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92C78">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192C7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92C78">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192C7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92C78">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192C7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92C78">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192C7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92C78">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192C7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92C78">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192C78">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192C78">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192C78">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4" w:name="_Toc27624"/>
      <w:r>
        <w:rPr>
          <w:rFonts w:ascii="黑体" w:hAnsi="黑体" w:hint="eastAsia"/>
          <w:b w:val="0"/>
          <w:bCs w:val="0"/>
          <w:sz w:val="28"/>
          <w:szCs w:val="28"/>
        </w:rPr>
        <w:t>第二节</w:t>
      </w:r>
      <w:r>
        <w:rPr>
          <w:rFonts w:ascii="黑体" w:hAnsi="黑体" w:hint="eastAsia"/>
          <w:b w:val="0"/>
          <w:bCs w:val="0"/>
          <w:sz w:val="28"/>
          <w:szCs w:val="28"/>
        </w:rPr>
        <w:t xml:space="preserve"> </w:t>
      </w:r>
      <w:r>
        <w:rPr>
          <w:rFonts w:ascii="黑体" w:hAnsi="黑体" w:hint="eastAsia"/>
          <w:b w:val="0"/>
          <w:bCs w:val="0"/>
          <w:sz w:val="28"/>
          <w:szCs w:val="28"/>
        </w:rPr>
        <w:t>政府采购合同通用条款</w:t>
      </w:r>
      <w:bookmarkEnd w:id="74"/>
    </w:p>
    <w:p w:rsidR="00192C78">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192C7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w:t>
      </w:r>
      <w:r>
        <w:rPr>
          <w:rFonts w:ascii="宋体" w:hAnsi="宋体" w:hint="eastAsia"/>
          <w:color w:val="000000"/>
          <w:szCs w:val="21"/>
        </w:rPr>
        <w:t>合同当事人</w:t>
      </w:r>
    </w:p>
    <w:p w:rsidR="00192C7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）采购人（以下称甲方）是指使用财政性资金，通过政府采购方式向供应商购买货物及其相关服务的国家机关、事业单位、团体组织。</w:t>
      </w:r>
    </w:p>
    <w:p w:rsidR="00192C7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）供应商（以下称乙方）是指参加政府采购活动并且中标（成交），向采购人提供合同约定的货物及其相关服务的法人、非法人组织或者自然人。</w:t>
      </w:r>
    </w:p>
    <w:p w:rsidR="00192C7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192C78">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w:t>
      </w:r>
      <w:r>
        <w:rPr>
          <w:rFonts w:ascii="宋体" w:hAnsi="宋体" w:hint="eastAsia"/>
          <w:szCs w:val="21"/>
        </w:rPr>
        <w:t>本合同下列术语应解释为：</w:t>
      </w:r>
    </w:p>
    <w:p w:rsidR="00192C78">
      <w:pPr>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w:t>
      </w:r>
      <w:r>
        <w:rPr>
          <w:rFonts w:ascii="宋体" w:hAnsi="宋体" w:hint="eastAsia"/>
          <w:szCs w:val="21"/>
        </w:rPr>
        <w:t>，政府采购合同专用条款，政府采购合同通用条款，中标（成交）通知书，投标（响应）文件，采购文件，有关技术文件和图纸，以及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192C78">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）“合同价款”系指根据本合同规定乙方在全面履行合同义务后甲方应支付给乙方的价款。</w:t>
      </w:r>
    </w:p>
    <w:p w:rsidR="00192C78">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w:t>
      </w:r>
      <w:r>
        <w:rPr>
          <w:rFonts w:ascii="宋体" w:hAnsi="宋体" w:hint="eastAsia"/>
          <w:szCs w:val="21"/>
        </w:rPr>
        <w:t>3</w:t>
      </w:r>
      <w:r>
        <w:rPr>
          <w:rFonts w:ascii="宋体" w:hAnsi="宋体" w:hint="eastAsia"/>
          <w:szCs w:val="21"/>
        </w:rPr>
        <w:t>）“货物”系指乙方根据本合同规定须向甲方提供的各种形态和种类的物品，包括原材料、设备、产品（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192C78">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192C78">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）“分包”系指中标（成交）供应商按采购文件、投标（响应）文件的规定，根据分包意向协议，将中标（成交）项目中的部分履约内容，分给具有相应资质条件的供应商履行合同的行为。</w:t>
      </w:r>
    </w:p>
    <w:p w:rsidR="00192C78">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6</w:t>
      </w:r>
      <w:r>
        <w:rPr>
          <w:rFonts w:ascii="宋体" w:hAnsi="宋体" w:hint="eastAsia"/>
          <w:color w:val="000000"/>
          <w:szCs w:val="21"/>
        </w:rPr>
        <w:t>）</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w:t>
      </w:r>
      <w:r>
        <w:rPr>
          <w:rFonts w:ascii="宋体" w:hAnsi="宋体" w:hint="eastAsia"/>
          <w:color w:val="000000"/>
          <w:szCs w:val="21"/>
        </w:rPr>
        <w:t>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192C78">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7</w:t>
      </w:r>
      <w:r>
        <w:rPr>
          <w:rFonts w:ascii="宋体" w:hAnsi="宋体" w:hint="eastAsia"/>
          <w:color w:val="000000"/>
          <w:szCs w:val="21"/>
        </w:rPr>
        <w:t>）其他术语解释，见【</w:t>
      </w:r>
      <w:r>
        <w:rPr>
          <w:rFonts w:ascii="宋体" w:hAnsi="宋体" w:hint="eastAsia"/>
          <w:b/>
          <w:bCs/>
          <w:color w:val="000000"/>
          <w:szCs w:val="21"/>
        </w:rPr>
        <w:t>政府采购合同专用条款</w:t>
      </w:r>
      <w:r>
        <w:rPr>
          <w:rFonts w:ascii="宋体" w:hAnsi="宋体" w:hint="eastAsia"/>
          <w:color w:val="000000"/>
          <w:szCs w:val="21"/>
        </w:rPr>
        <w:t>】。</w:t>
      </w:r>
    </w:p>
    <w:p w:rsidR="00192C78">
      <w:pPr>
        <w:numPr>
          <w:ilvl w:val="0"/>
          <w:numId w:val="12"/>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192C78">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 xml:space="preserve">2.1 </w:t>
      </w:r>
      <w:r>
        <w:rPr>
          <w:rFonts w:ascii="宋体" w:hAnsi="宋体" w:hint="eastAsia"/>
          <w:color w:val="000000"/>
          <w:szCs w:val="21"/>
        </w:rPr>
        <w:t>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192C78">
      <w:pPr>
        <w:adjustRightInd w:val="0"/>
        <w:snapToGrid w:val="0"/>
        <w:spacing w:line="400" w:lineRule="exact"/>
        <w:jc w:val="left"/>
        <w:rPr>
          <w:rFonts w:ascii="宋体" w:hAnsi="宋体"/>
          <w:b/>
          <w:color w:val="000000"/>
        </w:rPr>
      </w:pPr>
      <w:r>
        <w:rPr>
          <w:rFonts w:ascii="宋体" w:hAnsi="宋体" w:hint="eastAsia"/>
          <w:b/>
          <w:color w:val="000000"/>
          <w:sz w:val="24"/>
        </w:rPr>
        <w:t xml:space="preserve">3. </w:t>
      </w:r>
      <w:r>
        <w:rPr>
          <w:rFonts w:ascii="宋体" w:hAnsi="宋体" w:hint="eastAsia"/>
          <w:b/>
          <w:color w:val="000000"/>
          <w:sz w:val="24"/>
        </w:rPr>
        <w:t>履行合同的时间、地点和方式</w:t>
      </w:r>
    </w:p>
    <w:p w:rsidR="00192C7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192C78">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4. </w:t>
      </w:r>
      <w:r>
        <w:rPr>
          <w:rFonts w:ascii="宋体" w:hAnsi="宋体" w:hint="eastAsia"/>
          <w:b/>
          <w:bCs/>
          <w:color w:val="000000"/>
          <w:sz w:val="24"/>
        </w:rPr>
        <w:t>甲方的权利和义务</w:t>
      </w:r>
    </w:p>
    <w:p w:rsidR="00192C7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w:t>
      </w:r>
      <w:r>
        <w:rPr>
          <w:rFonts w:ascii="宋体" w:hAnsi="宋体"/>
          <w:color w:val="000000"/>
          <w:szCs w:val="21"/>
        </w:rPr>
        <w:t>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192C7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192C7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192C78">
      <w:pPr>
        <w:snapToGrid w:val="0"/>
        <w:spacing w:line="400" w:lineRule="exact"/>
        <w:ind w:firstLine="420" w:firstLineChars="200"/>
        <w:rPr>
          <w:rFonts w:eastAsia="华文楷体"/>
        </w:rPr>
      </w:pPr>
      <w:r>
        <w:rPr>
          <w:rFonts w:ascii="宋体" w:hAnsi="宋体"/>
          <w:color w:val="000000"/>
          <w:szCs w:val="21"/>
        </w:rPr>
        <w:t xml:space="preserve">4.4 </w:t>
      </w:r>
      <w:r>
        <w:rPr>
          <w:rFonts w:ascii="宋体" w:hAnsi="宋体"/>
          <w:color w:val="000000"/>
          <w:szCs w:val="21"/>
        </w:rPr>
        <w:t>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w:t>
      </w:r>
      <w:r>
        <w:rPr>
          <w:rFonts w:ascii="宋体" w:hAnsi="宋体" w:cs="宋体" w:hint="eastAsia"/>
          <w:szCs w:val="21"/>
        </w:rPr>
        <w:t>的，</w:t>
      </w:r>
      <w:r>
        <w:rPr>
          <w:rFonts w:ascii="宋体" w:hAnsi="宋体" w:hint="eastAsia"/>
          <w:color w:val="000000"/>
          <w:szCs w:val="21"/>
        </w:rPr>
        <w:t>视为验收通过。</w:t>
      </w:r>
    </w:p>
    <w:p w:rsidR="00192C7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192C7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192C78">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5. </w:t>
      </w:r>
      <w:r>
        <w:rPr>
          <w:rFonts w:ascii="宋体" w:hAnsi="宋体" w:hint="eastAsia"/>
          <w:b/>
          <w:bCs/>
          <w:color w:val="000000"/>
          <w:sz w:val="24"/>
        </w:rPr>
        <w:t>乙方的权利和义务</w:t>
      </w:r>
    </w:p>
    <w:p w:rsidR="00192C7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192C7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 xml:space="preserve">2 </w:t>
      </w:r>
      <w:r>
        <w:rPr>
          <w:rFonts w:ascii="宋体" w:hAnsi="宋体"/>
          <w:color w:val="000000"/>
          <w:szCs w:val="21"/>
        </w:rPr>
        <w:t>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192C78">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192C78">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192C78">
      <w:pPr>
        <w:numPr>
          <w:ilvl w:val="0"/>
          <w:numId w:val="13"/>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192C7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6.1 </w:t>
      </w:r>
      <w:r>
        <w:rPr>
          <w:rFonts w:ascii="宋体" w:hAnsi="宋体" w:hint="eastAsia"/>
          <w:color w:val="000000"/>
          <w:szCs w:val="21"/>
        </w:rPr>
        <w:t>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192C78">
      <w:pPr>
        <w:autoSpaceDE w:val="0"/>
        <w:autoSpaceDN w:val="0"/>
        <w:adjustRightInd w:val="0"/>
        <w:snapToGrid w:val="0"/>
        <w:spacing w:line="400" w:lineRule="exact"/>
        <w:ind w:firstLine="420" w:firstLineChars="200"/>
        <w:jc w:val="left"/>
      </w:pPr>
      <w:r>
        <w:rPr>
          <w:rFonts w:ascii="宋体" w:hAnsi="宋体" w:hint="eastAsia"/>
          <w:color w:val="000000"/>
          <w:szCs w:val="21"/>
        </w:rPr>
        <w:t xml:space="preserve">6.2 </w:t>
      </w:r>
      <w:r>
        <w:rPr>
          <w:rFonts w:ascii="宋体" w:hAnsi="宋体" w:hint="eastAsia"/>
          <w:color w:val="000000"/>
          <w:szCs w:val="21"/>
        </w:rPr>
        <w:t>甲乙双方按照合同约定顺序履行合同义务时，应当先履行一方未履行的，后履行一方有权拒绝其履行请求。先履行一方履行不符合约定的，后履行一方有权拒绝其相应的履行请求。</w:t>
      </w:r>
    </w:p>
    <w:p w:rsidR="00192C78">
      <w:pPr>
        <w:adjustRightInd w:val="0"/>
        <w:snapToGrid w:val="0"/>
        <w:spacing w:line="400" w:lineRule="exact"/>
        <w:jc w:val="left"/>
        <w:rPr>
          <w:rFonts w:ascii="宋体" w:hAnsi="宋体"/>
          <w:b/>
          <w:bCs/>
          <w:color w:val="000000"/>
        </w:rPr>
      </w:pPr>
      <w:r>
        <w:rPr>
          <w:rFonts w:ascii="宋体" w:hAnsi="宋体" w:hint="eastAsia"/>
          <w:b/>
          <w:bCs/>
          <w:color w:val="000000"/>
          <w:sz w:val="24"/>
        </w:rPr>
        <w:t xml:space="preserve">7. </w:t>
      </w:r>
      <w:r>
        <w:rPr>
          <w:rFonts w:ascii="宋体" w:hAnsi="宋体" w:hint="eastAsia"/>
          <w:b/>
          <w:bCs/>
          <w:color w:val="000000"/>
          <w:sz w:val="24"/>
        </w:rPr>
        <w:t>货物包装、运输、保险和交付要求</w:t>
      </w:r>
    </w:p>
    <w:p w:rsidR="00192C7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7.1 </w:t>
      </w:r>
      <w:r>
        <w:rPr>
          <w:rFonts w:ascii="宋体" w:hAnsi="宋体" w:hint="eastAsia"/>
          <w:color w:val="000000"/>
          <w:szCs w:val="21"/>
        </w:rPr>
        <w:t>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192C78">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7.2 </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192C78">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7.3 </w:t>
      </w:r>
      <w:r>
        <w:rPr>
          <w:rFonts w:ascii="宋体" w:hAnsi="宋体" w:hint="eastAsia"/>
          <w:color w:val="000000"/>
          <w:szCs w:val="21"/>
        </w:rPr>
        <w:t>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192C7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7.4 </w:t>
      </w:r>
      <w:r>
        <w:rPr>
          <w:rFonts w:ascii="宋体" w:hAnsi="宋体" w:hint="eastAsia"/>
          <w:color w:val="000000"/>
          <w:szCs w:val="21"/>
        </w:rPr>
        <w:t>除采购活动对商品包装、快递包装达成具体约定外，乙方提供产品及相关快递服务涉及到具体包装要求的，应不低于《商</w:t>
      </w:r>
      <w:r>
        <w:rPr>
          <w:rFonts w:ascii="宋体" w:hAnsi="宋体" w:hint="eastAsia"/>
          <w:color w:val="000000"/>
          <w:szCs w:val="21"/>
        </w:rPr>
        <w:t>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192C7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rsidR="00192C78">
      <w:pPr>
        <w:pStyle w:val="AONormal"/>
        <w:ind w:firstLine="420"/>
        <w:rPr>
          <w:sz w:val="21"/>
        </w:rPr>
      </w:pPr>
      <w:r>
        <w:rPr>
          <w:rFonts w:ascii="宋体" w:eastAsia="宋体" w:hAnsi="宋体" w:cs="Times New Roman" w:hint="eastAsia"/>
          <w:color w:val="000000"/>
          <w:kern w:val="2"/>
          <w:sz w:val="21"/>
        </w:rPr>
        <w:t xml:space="preserve">7.6 </w:t>
      </w:r>
      <w:r>
        <w:rPr>
          <w:rFonts w:ascii="宋体" w:eastAsia="宋体" w:hAnsi="宋体" w:cs="Times New Roman" w:hint="eastAsia"/>
          <w:color w:val="000000"/>
          <w:kern w:val="2"/>
          <w:sz w:val="21"/>
        </w:rPr>
        <w:t>如因包装、运输问题导致货物损毁、丢失或者品质下降，甲方有权要求降价、换货、拒收部分或整批货物，由此产生的费用和损失，均由乙方承担。</w:t>
      </w:r>
    </w:p>
    <w:p w:rsidR="00192C78">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192C78">
      <w:pPr>
        <w:pStyle w:val="PlainText"/>
        <w:adjustRightInd w:val="0"/>
        <w:snapToGrid w:val="0"/>
        <w:spacing w:line="400" w:lineRule="exact"/>
        <w:ind w:firstLine="420" w:firstLineChars="200"/>
        <w:jc w:val="left"/>
        <w:rPr>
          <w:rFonts w:hAnsi="宋体"/>
          <w:b/>
        </w:rPr>
      </w:pPr>
      <w:r>
        <w:rPr>
          <w:rFonts w:hAnsi="宋体" w:hint="eastAsia"/>
        </w:rPr>
        <w:t xml:space="preserve">8.1 </w:t>
      </w:r>
      <w:r>
        <w:rPr>
          <w:rFonts w:hAnsi="宋体" w:hint="eastAsia"/>
        </w:rPr>
        <w:t>质量标准</w:t>
      </w:r>
    </w:p>
    <w:p w:rsidR="00192C7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192C78">
      <w:pPr>
        <w:pStyle w:val="PlainText"/>
        <w:adjustRightInd w:val="0"/>
        <w:snapToGrid w:val="0"/>
        <w:spacing w:line="400" w:lineRule="exact"/>
        <w:ind w:firstLine="420" w:firstLineChars="200"/>
        <w:jc w:val="left"/>
        <w:rPr>
          <w:rFonts w:hAnsi="宋体"/>
        </w:rPr>
      </w:pPr>
      <w:r>
        <w:rPr>
          <w:rFonts w:hAnsi="宋体" w:hint="eastAsia"/>
        </w:rPr>
        <w:t>（</w:t>
      </w:r>
      <w:r>
        <w:rPr>
          <w:rFonts w:hAnsi="宋体" w:hint="eastAsia"/>
        </w:rPr>
        <w:t>2</w:t>
      </w:r>
      <w:r>
        <w:rPr>
          <w:rFonts w:hAnsi="宋体" w:hint="eastAsia"/>
        </w:rPr>
        <w:t>）采用中华人民共和国法定计量单位。</w:t>
      </w:r>
    </w:p>
    <w:p w:rsidR="00192C7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）乙方所提供的货物应符合国家有关安全、环保、卫生的规定。</w:t>
      </w:r>
    </w:p>
    <w:p w:rsidR="00192C7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）乙方应向甲方提交所提供货物的技术文件，包括相应的中文技术文件，如：产品目录、图纸、操作手册、使用说明、维护手册或服务指南等。上述文件应包装好随货物一同发运</w:t>
      </w:r>
      <w:r>
        <w:rPr>
          <w:rFonts w:ascii="宋体" w:hAnsi="宋体" w:hint="eastAsia"/>
          <w:szCs w:val="21"/>
        </w:rPr>
        <w:t>。</w:t>
      </w:r>
    </w:p>
    <w:p w:rsidR="00192C7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8.2 </w:t>
      </w:r>
      <w:r>
        <w:rPr>
          <w:rFonts w:ascii="宋体" w:hAnsi="宋体" w:hint="eastAsia"/>
          <w:szCs w:val="21"/>
        </w:rPr>
        <w:t>保证</w:t>
      </w:r>
    </w:p>
    <w:p w:rsidR="00192C7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rsidR="00192C7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）在质量保证期内所发现的缺陷，甲方应尽快以书面形式通知乙方。</w:t>
      </w:r>
    </w:p>
    <w:p w:rsidR="00192C7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192C7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）在质量保证期内，如果</w:t>
      </w:r>
      <w:r>
        <w:rPr>
          <w:rFonts w:ascii="宋体" w:hAnsi="宋体" w:hint="eastAsia"/>
          <w:szCs w:val="21"/>
        </w:rPr>
        <w:t>货物的质量或规格与合同不符，或证实货物是有缺陷的，包括潜在的缺陷或使用不符合要求的材料等，甲方可以根据本合同第</w:t>
      </w:r>
      <w:r>
        <w:rPr>
          <w:rFonts w:ascii="宋体" w:hAnsi="宋体" w:hint="eastAsia"/>
          <w:szCs w:val="21"/>
        </w:rPr>
        <w:t>1</w:t>
      </w:r>
      <w:r>
        <w:rPr>
          <w:rFonts w:ascii="宋体" w:hAnsi="宋体" w:hint="eastAsia"/>
          <w:color w:val="000000"/>
          <w:szCs w:val="21"/>
        </w:rPr>
        <w:t>5</w:t>
      </w:r>
      <w:r>
        <w:rPr>
          <w:rFonts w:ascii="宋体" w:hAnsi="宋体" w:hint="eastAsia"/>
          <w:szCs w:val="21"/>
        </w:rPr>
        <w:t>.1</w:t>
      </w:r>
      <w:r>
        <w:rPr>
          <w:rFonts w:ascii="宋体" w:hAnsi="宋体" w:hint="eastAsia"/>
          <w:szCs w:val="21"/>
        </w:rPr>
        <w:t>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192C78">
      <w:pPr>
        <w:adjustRightInd w:val="0"/>
        <w:snapToGrid w:val="0"/>
        <w:spacing w:line="400" w:lineRule="exact"/>
        <w:ind w:firstLine="420" w:firstLineChars="200"/>
        <w:jc w:val="left"/>
      </w:pPr>
      <w:r>
        <w:rPr>
          <w:rFonts w:ascii="宋体" w:hAnsi="宋体" w:hint="eastAsia"/>
          <w:szCs w:val="21"/>
        </w:rPr>
        <w:t>（</w:t>
      </w:r>
      <w:r>
        <w:rPr>
          <w:rFonts w:ascii="宋体" w:hAnsi="宋体" w:hint="eastAsia"/>
          <w:szCs w:val="21"/>
        </w:rPr>
        <w:t>5</w:t>
      </w:r>
      <w:r>
        <w:rPr>
          <w:rFonts w:ascii="宋体" w:hAnsi="宋体" w:hint="eastAsia"/>
          <w:szCs w:val="21"/>
        </w:rPr>
        <w:t>）乙方在约定的时间内未能弥补缺陷，甲方可采取必要的补救措施，但其风险和费用将由乙方承担，甲方根据合同约定对乙方行使的其他权利不受影响。</w:t>
      </w:r>
    </w:p>
    <w:p w:rsidR="00192C78">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192C7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9.1 </w:t>
      </w:r>
      <w:r>
        <w:rPr>
          <w:rFonts w:ascii="宋体" w:hAnsi="宋体" w:hint="eastAsia"/>
          <w:color w:val="000000"/>
          <w:szCs w:val="21"/>
        </w:rPr>
        <w:t>乙方保证对其出售的货物享有合法的权利。</w:t>
      </w:r>
    </w:p>
    <w:p w:rsidR="00192C7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192C7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9.3 </w:t>
      </w:r>
      <w:r>
        <w:rPr>
          <w:rFonts w:ascii="宋体" w:hAnsi="宋体" w:hint="eastAsia"/>
          <w:color w:val="000000"/>
          <w:szCs w:val="21"/>
        </w:rPr>
        <w:t>如甲方使用上述货物构成对第三人侵权的，则由乙方承担全部责任。</w:t>
      </w:r>
    </w:p>
    <w:p w:rsidR="00192C78">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10. </w:t>
      </w:r>
      <w:r>
        <w:rPr>
          <w:rFonts w:ascii="宋体" w:hAnsi="宋体" w:hint="eastAsia"/>
          <w:b/>
          <w:bCs/>
          <w:color w:val="000000"/>
          <w:sz w:val="24"/>
        </w:rPr>
        <w:t>知识产权保护</w:t>
      </w:r>
    </w:p>
    <w:p w:rsidR="00192C7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 xml:space="preserve">10.1 </w:t>
      </w:r>
      <w:r>
        <w:rPr>
          <w:rFonts w:ascii="宋体" w:hAnsi="宋体" w:hint="eastAsia"/>
          <w:color w:val="000000"/>
          <w:szCs w:val="21"/>
        </w:rPr>
        <w:t>乙方对其所销售的货物应当享有知识产权或经权利人合法授权，保证没有侵犯任</w:t>
      </w:r>
      <w:r>
        <w:rPr>
          <w:rFonts w:ascii="宋体" w:hAnsi="宋体" w:hint="eastAsia"/>
          <w:szCs w:val="21"/>
        </w:rPr>
        <w:t>何第三人的知识产权等权利。</w:t>
      </w:r>
      <w:bookmarkStart w:id="75"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5"/>
      <w:r>
        <w:rPr>
          <w:rFonts w:ascii="宋体" w:hAnsi="宋体" w:hint="eastAsia"/>
          <w:szCs w:val="21"/>
        </w:rPr>
        <w:t>。</w:t>
      </w:r>
    </w:p>
    <w:p w:rsidR="00192C78">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11. </w:t>
      </w:r>
      <w:r>
        <w:rPr>
          <w:rFonts w:ascii="宋体" w:hAnsi="宋体" w:hint="eastAsia"/>
          <w:b/>
          <w:bCs/>
          <w:sz w:val="24"/>
        </w:rPr>
        <w:t>保密义务</w:t>
      </w:r>
    </w:p>
    <w:p w:rsidR="00192C78">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 xml:space="preserve">11.1 </w:t>
      </w:r>
      <w:r>
        <w:rPr>
          <w:rFonts w:ascii="宋体" w:hAnsi="宋体" w:cs="宋体" w:hint="eastAsia"/>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rPr>
          <w:rFonts w:ascii="宋体" w:hAnsi="宋体" w:cs="宋体" w:hint="eastAsia"/>
          <w:szCs w:val="15"/>
        </w:rPr>
        <w:t>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rsidR="00192C78">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12. </w:t>
      </w:r>
      <w:r>
        <w:rPr>
          <w:rFonts w:ascii="宋体" w:hAnsi="宋体" w:hint="eastAsia"/>
          <w:b/>
          <w:bCs/>
          <w:sz w:val="24"/>
        </w:rPr>
        <w:t>合同价款支付</w:t>
      </w:r>
    </w:p>
    <w:p w:rsidR="00192C78">
      <w:pPr>
        <w:numPr>
          <w:ilvl w:val="1"/>
          <w:numId w:val="14"/>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192C78">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w:t>
      </w:r>
      <w:r>
        <w:rPr>
          <w:rFonts w:ascii="宋体" w:eastAsia="宋体" w:hAnsi="宋体" w:hint="eastAsia"/>
          <w:szCs w:val="21"/>
        </w:rPr>
        <w:t>10</w:t>
      </w:r>
      <w:r>
        <w:rPr>
          <w:rFonts w:ascii="宋体" w:eastAsia="宋体" w:hAnsi="宋体" w:hint="eastAsia"/>
          <w:szCs w:val="21"/>
        </w:rPr>
        <w:t>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hint="eastAsia"/>
          <w:szCs w:val="21"/>
        </w:rPr>
        <w:t>政府采购合同专用条款</w:t>
      </w:r>
      <w:r>
        <w:rPr>
          <w:rFonts w:ascii="宋体" w:eastAsia="宋体" w:hAnsi="宋体" w:hint="eastAsia"/>
          <w:szCs w:val="21"/>
        </w:rPr>
        <w:t>】中</w:t>
      </w:r>
      <w:r>
        <w:rPr>
          <w:rFonts w:ascii="宋体" w:hAnsi="宋体" w:hint="eastAsia"/>
          <w:szCs w:val="21"/>
        </w:rPr>
        <w:t>约</w:t>
      </w:r>
      <w:r>
        <w:rPr>
          <w:rFonts w:ascii="宋体" w:eastAsia="宋体" w:hAnsi="宋体" w:hint="eastAsia"/>
          <w:szCs w:val="21"/>
        </w:rPr>
        <w:t>定。</w:t>
      </w:r>
    </w:p>
    <w:p w:rsidR="00192C78">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192C78">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192C78">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13.2 </w:t>
      </w:r>
      <w:r>
        <w:rPr>
          <w:rFonts w:ascii="宋体" w:hAnsi="宋体" w:hint="eastAsia"/>
          <w:szCs w:val="21"/>
        </w:rPr>
        <w:t>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192C78">
      <w:pPr>
        <w:spacing w:line="400" w:lineRule="exact"/>
        <w:ind w:firstLine="420"/>
      </w:pPr>
      <w:r>
        <w:rPr>
          <w:rFonts w:ascii="宋体" w:hAnsi="宋体" w:hint="eastAsia"/>
          <w:szCs w:val="21"/>
        </w:rPr>
        <w:t xml:space="preserve">13.3 </w:t>
      </w:r>
      <w:r>
        <w:rPr>
          <w:rFonts w:ascii="宋体" w:hAnsi="宋体" w:hint="eastAsia"/>
          <w:szCs w:val="21"/>
        </w:rPr>
        <w:t>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192C78">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192C7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除项目不涉及或采购活动中明确约定无须承担外，乙方还应提供下列服务：</w:t>
      </w:r>
    </w:p>
    <w:p w:rsidR="00192C7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）货物的现场移动、安装、调试、启动监督及技术支持；</w:t>
      </w:r>
    </w:p>
    <w:p w:rsidR="00192C7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）提供货物组装和维修所需的专用工具和辅助材料；</w:t>
      </w:r>
    </w:p>
    <w:p w:rsidR="00192C7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192C7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）在制造商所在地或指定现场就货物的安装、启动、运营、维护、废弃处置等对甲方操作人员进行培训</w:t>
      </w:r>
      <w:r>
        <w:rPr>
          <w:rFonts w:ascii="宋体" w:hAnsi="宋体" w:cs="宋体" w:hint="eastAsia"/>
          <w:szCs w:val="15"/>
        </w:rPr>
        <w:t>；</w:t>
      </w:r>
    </w:p>
    <w:p w:rsidR="00192C78">
      <w:pPr>
        <w:pStyle w:val="AONormal"/>
        <w:ind w:firstLine="420"/>
        <w:rPr>
          <w:rFonts w:ascii="宋体" w:eastAsia="宋体" w:hAnsi="宋体" w:cs="宋体"/>
          <w:sz w:val="21"/>
        </w:rPr>
      </w:pPr>
      <w:r>
        <w:rPr>
          <w:rFonts w:ascii="宋体" w:eastAsia="宋体" w:hAnsi="宋体" w:cs="宋体" w:hint="eastAsia"/>
          <w:sz w:val="21"/>
        </w:rPr>
        <w:t>（</w:t>
      </w:r>
      <w:r>
        <w:rPr>
          <w:rFonts w:ascii="宋体" w:eastAsia="宋体" w:hAnsi="宋体" w:cs="宋体" w:hint="eastAsia"/>
          <w:sz w:val="21"/>
        </w:rPr>
        <w:t>5</w:t>
      </w:r>
      <w:r>
        <w:rPr>
          <w:rFonts w:ascii="宋体" w:eastAsia="宋体" w:hAnsi="宋体" w:cs="宋体" w:hint="eastAsia"/>
          <w:sz w:val="21"/>
        </w:rPr>
        <w:t>）依照法律、行政法规的规定或者按照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w:t>
      </w:r>
      <w:r>
        <w:rPr>
          <w:rFonts w:ascii="宋体" w:eastAsia="宋体" w:hAnsi="宋体" w:cs="宋体" w:hint="eastAsia"/>
          <w:sz w:val="21"/>
        </w:rPr>
        <w:t>的，乙方负有自行或者委托第三人对货物予以回收的义务；</w:t>
      </w:r>
    </w:p>
    <w:p w:rsidR="00192C7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b/>
          <w:szCs w:val="21"/>
        </w:rPr>
        <w:t>【政府采购合同专用条款】</w:t>
      </w:r>
      <w:r>
        <w:rPr>
          <w:rFonts w:ascii="宋体" w:hAnsi="宋体" w:hint="eastAsia"/>
          <w:szCs w:val="21"/>
        </w:rPr>
        <w:t>规定由乙方提供的其他服务。</w:t>
      </w:r>
    </w:p>
    <w:p w:rsidR="00192C7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14.2 </w:t>
      </w:r>
      <w:r>
        <w:rPr>
          <w:rFonts w:ascii="宋体" w:hAnsi="宋体" w:hint="eastAsia"/>
          <w:szCs w:val="21"/>
        </w:rPr>
        <w:t>乙方提供的售后服务的费用已包含在合同价款中，甲方不再另行支付。</w:t>
      </w:r>
    </w:p>
    <w:p w:rsidR="00192C78">
      <w:pPr>
        <w:adjustRightInd w:val="0"/>
        <w:snapToGrid w:val="0"/>
        <w:spacing w:line="400" w:lineRule="exact"/>
        <w:jc w:val="left"/>
        <w:rPr>
          <w:rFonts w:ascii="宋体" w:hAnsi="宋体"/>
          <w:b/>
          <w:bCs/>
        </w:rPr>
      </w:pPr>
      <w:r>
        <w:rPr>
          <w:rFonts w:ascii="宋体" w:hAnsi="宋体" w:hint="eastAsia"/>
          <w:b/>
          <w:bCs/>
          <w:sz w:val="24"/>
        </w:rPr>
        <w:t xml:space="preserve">15. </w:t>
      </w:r>
      <w:r>
        <w:rPr>
          <w:rFonts w:ascii="宋体" w:hAnsi="宋体" w:hint="eastAsia"/>
          <w:b/>
          <w:bCs/>
          <w:sz w:val="24"/>
        </w:rPr>
        <w:t>违约责任</w:t>
      </w:r>
    </w:p>
    <w:p w:rsidR="00192C78">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w:t>
      </w:r>
      <w:r>
        <w:rPr>
          <w:rFonts w:ascii="宋体" w:hAnsi="宋体" w:hint="eastAsia"/>
          <w:bCs/>
          <w:szCs w:val="21"/>
        </w:rPr>
        <w:t>质量瑕疵的违约责任</w:t>
      </w:r>
    </w:p>
    <w:p w:rsidR="00192C7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192C78">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 xml:space="preserve">15.2 </w:t>
      </w:r>
      <w:r>
        <w:rPr>
          <w:rFonts w:ascii="宋体" w:hAnsi="宋体" w:hint="eastAsia"/>
          <w:bCs/>
          <w:szCs w:val="21"/>
        </w:rPr>
        <w:t>迟延交货的违约责任</w:t>
      </w:r>
    </w:p>
    <w:p w:rsidR="00192C7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192C7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w:t>
      </w:r>
      <w:r>
        <w:rPr>
          <w:rFonts w:ascii="宋体" w:hAnsi="宋体" w:hint="eastAsia"/>
          <w:szCs w:val="21"/>
        </w:rPr>
        <w:t>补救措施。</w:t>
      </w:r>
    </w:p>
    <w:p w:rsidR="00192C7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15.3 </w:t>
      </w:r>
      <w:r>
        <w:rPr>
          <w:rFonts w:ascii="宋体" w:hAnsi="宋体" w:hint="eastAsia"/>
          <w:szCs w:val="21"/>
        </w:rPr>
        <w:t>迟延支付的违约责任</w:t>
      </w:r>
    </w:p>
    <w:p w:rsidR="00192C7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192C78">
      <w:pPr>
        <w:adjustRightInd w:val="0"/>
        <w:snapToGrid w:val="0"/>
        <w:spacing w:line="400" w:lineRule="exact"/>
        <w:ind w:firstLine="420" w:firstLineChars="200"/>
        <w:jc w:val="left"/>
        <w:rPr>
          <w:rFonts w:ascii="宋体" w:hAnsi="宋体"/>
          <w:szCs w:val="21"/>
        </w:rPr>
      </w:pPr>
      <w:r>
        <w:rPr>
          <w:rFonts w:ascii="宋体" w:hAnsi="宋体" w:hint="eastAsia"/>
          <w:bCs/>
          <w:szCs w:val="21"/>
        </w:rPr>
        <w:t>15.4</w:t>
      </w:r>
      <w:r>
        <w:rPr>
          <w:rFonts w:ascii="宋体" w:hAnsi="宋体" w:hint="eastAsia"/>
          <w:bCs/>
          <w:szCs w:val="21"/>
        </w:rPr>
        <w:t>其他违约责任根据项目实际需要按</w:t>
      </w:r>
      <w:r>
        <w:rPr>
          <w:rFonts w:ascii="宋体" w:hAnsi="宋体" w:hint="eastAsia"/>
          <w:b/>
          <w:bCs/>
          <w:szCs w:val="21"/>
        </w:rPr>
        <w:t>【政府采购合同专用条款】</w:t>
      </w:r>
      <w:r>
        <w:rPr>
          <w:rFonts w:ascii="宋体" w:hAnsi="宋体" w:hint="eastAsia"/>
          <w:szCs w:val="21"/>
        </w:rPr>
        <w:t>规定执行。</w:t>
      </w:r>
    </w:p>
    <w:p w:rsidR="00192C78">
      <w:pPr>
        <w:numPr>
          <w:ilvl w:val="0"/>
          <w:numId w:val="15"/>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192C78">
      <w:pPr>
        <w:adjustRightInd w:val="0"/>
        <w:snapToGrid w:val="0"/>
        <w:spacing w:line="400" w:lineRule="exact"/>
        <w:jc w:val="left"/>
        <w:rPr>
          <w:rFonts w:ascii="宋体" w:hAnsi="宋体"/>
          <w:szCs w:val="21"/>
        </w:rPr>
      </w:pPr>
      <w:r>
        <w:rPr>
          <w:rFonts w:ascii="宋体" w:hAnsi="宋体" w:hint="eastAsia"/>
          <w:szCs w:val="21"/>
        </w:rPr>
        <w:t xml:space="preserve">    16.1</w:t>
      </w:r>
      <w:r>
        <w:rPr>
          <w:rFonts w:ascii="宋体" w:hAnsi="宋体" w:hint="eastAsia"/>
          <w:szCs w:val="21"/>
        </w:rPr>
        <w:t>合同的变更</w:t>
      </w:r>
    </w:p>
    <w:p w:rsidR="00192C7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w:t>
      </w:r>
      <w:r>
        <w:rPr>
          <w:rFonts w:ascii="宋体" w:hAnsi="宋体" w:hint="eastAsia"/>
          <w:szCs w:val="21"/>
        </w:rPr>
        <w:t>10%</w:t>
      </w:r>
      <w:r>
        <w:rPr>
          <w:rFonts w:ascii="宋体" w:hAnsi="宋体" w:hint="eastAsia"/>
          <w:szCs w:val="21"/>
        </w:rPr>
        <w:t>的范围内追加与合同标的相同的货物，并就此与乙方协商一致后签订补充协议。</w:t>
      </w:r>
    </w:p>
    <w:p w:rsidR="00192C78">
      <w:pPr>
        <w:adjustRightInd w:val="0"/>
        <w:snapToGrid w:val="0"/>
        <w:spacing w:line="400" w:lineRule="exact"/>
        <w:ind w:firstLine="420" w:firstLineChars="200"/>
        <w:jc w:val="left"/>
        <w:rPr>
          <w:rFonts w:ascii="宋体" w:hAnsi="宋体"/>
          <w:szCs w:val="21"/>
        </w:rPr>
      </w:pPr>
      <w:r>
        <w:rPr>
          <w:rFonts w:ascii="宋体" w:hAnsi="宋体" w:hint="eastAsia"/>
          <w:szCs w:val="21"/>
        </w:rPr>
        <w:t>16.2</w:t>
      </w:r>
      <w:r>
        <w:rPr>
          <w:rFonts w:ascii="宋体" w:hAnsi="宋体" w:hint="eastAsia"/>
          <w:szCs w:val="21"/>
        </w:rPr>
        <w:t>合同的中止</w:t>
      </w:r>
    </w:p>
    <w:p w:rsidR="00192C7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）合同履行过程中因供应商就采购文件、采购过程或结果提起投诉的，甲方认为有必要的，可以中止合</w:t>
      </w:r>
      <w:r>
        <w:rPr>
          <w:rFonts w:ascii="宋体" w:hAnsi="宋体" w:hint="eastAsia"/>
          <w:szCs w:val="21"/>
        </w:rPr>
        <w:t>同的履行。</w:t>
      </w:r>
    </w:p>
    <w:p w:rsidR="00192C7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）合同履行过程中，如果乙方出现以下情形之一的：</w:t>
      </w:r>
      <w:r>
        <w:rPr>
          <w:rFonts w:ascii="宋体" w:hAnsi="宋体" w:hint="eastAsia"/>
          <w:szCs w:val="21"/>
        </w:rPr>
        <w:t>1</w:t>
      </w:r>
      <w:r>
        <w:rPr>
          <w:rFonts w:ascii="宋体" w:hAnsi="宋体" w:hint="eastAsia"/>
          <w:szCs w:val="21"/>
        </w:rPr>
        <w:t>．经营状况严重恶化；</w:t>
      </w:r>
      <w:r>
        <w:rPr>
          <w:rFonts w:ascii="宋体" w:hAnsi="宋体" w:hint="eastAsia"/>
          <w:szCs w:val="21"/>
        </w:rPr>
        <w:t>2</w:t>
      </w:r>
      <w:r>
        <w:rPr>
          <w:rFonts w:ascii="宋体" w:hAnsi="宋体" w:hint="eastAsia"/>
          <w:szCs w:val="21"/>
        </w:rPr>
        <w:t>．转移财产、抽逃资金，以逃避债务；</w:t>
      </w:r>
      <w:r>
        <w:rPr>
          <w:rFonts w:ascii="宋体" w:hAnsi="宋体" w:hint="eastAsia"/>
          <w:szCs w:val="21"/>
        </w:rPr>
        <w:t>3</w:t>
      </w:r>
      <w:r>
        <w:rPr>
          <w:rFonts w:ascii="宋体" w:hAnsi="宋体" w:hint="eastAsia"/>
          <w:szCs w:val="21"/>
        </w:rPr>
        <w:t>．丧失商业信誉；</w:t>
      </w:r>
      <w:r>
        <w:rPr>
          <w:rFonts w:ascii="宋体" w:hAnsi="宋体" w:hint="eastAsia"/>
          <w:szCs w:val="21"/>
        </w:rPr>
        <w:t>4</w:t>
      </w:r>
      <w:r>
        <w:rPr>
          <w:rFonts w:ascii="宋体" w:hAnsi="宋体" w:hint="eastAsia"/>
          <w:szCs w:val="21"/>
        </w:rPr>
        <w:t>．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192C78">
      <w:pPr>
        <w:pStyle w:val="AONormal"/>
        <w:ind w:firstLine="420"/>
        <w:jc w:val="both"/>
        <w:rPr>
          <w:sz w:val="21"/>
        </w:rPr>
      </w:pPr>
      <w:r>
        <w:rPr>
          <w:rFonts w:ascii="宋体" w:eastAsia="宋体" w:hAnsi="宋体" w:cs="宋体" w:hint="eastAsia"/>
          <w:sz w:val="21"/>
        </w:rPr>
        <w:t>（</w:t>
      </w:r>
      <w:r>
        <w:rPr>
          <w:rFonts w:ascii="宋体" w:eastAsia="宋体" w:hAnsi="宋体" w:cs="宋体" w:hint="eastAsia"/>
          <w:sz w:val="21"/>
        </w:rPr>
        <w:t>3</w:t>
      </w:r>
      <w:r>
        <w:rPr>
          <w:rFonts w:ascii="宋体" w:eastAsia="宋体" w:hAnsi="宋体" w:cs="宋体" w:hint="eastAsia"/>
          <w:sz w:val="21"/>
        </w:rPr>
        <w:t>）乙方分立、合并或者变更住所的，应当及时以书面形式告知甲方。乙</w:t>
      </w:r>
      <w:r>
        <w:rPr>
          <w:rFonts w:ascii="宋体" w:eastAsia="宋体" w:hAnsi="宋体" w:cs="宋体" w:hint="eastAsia"/>
          <w:sz w:val="21"/>
        </w:rPr>
        <w:t>方没有及时告知甲方，致使合同履行发生困难的，甲方可以中止合同履行并要求乙方承担由此给甲方造成的损失。</w:t>
      </w:r>
    </w:p>
    <w:p w:rsidR="00192C78">
      <w:pPr>
        <w:snapToGrid w:val="0"/>
        <w:spacing w:line="400" w:lineRule="exact"/>
        <w:ind w:firstLine="420" w:firstLineChars="200"/>
        <w:jc w:val="left"/>
      </w:pPr>
      <w:r>
        <w:rPr>
          <w:rFonts w:ascii="宋体" w:hAnsi="宋体" w:hint="eastAsia"/>
          <w:szCs w:val="21"/>
        </w:rPr>
        <w:t>（</w:t>
      </w:r>
      <w:r>
        <w:rPr>
          <w:rFonts w:ascii="宋体" w:hAnsi="宋体" w:hint="eastAsia"/>
          <w:szCs w:val="21"/>
        </w:rPr>
        <w:t>4</w:t>
      </w:r>
      <w:r>
        <w:rPr>
          <w:rFonts w:ascii="宋体" w:hAnsi="宋体" w:hint="eastAsia"/>
          <w:szCs w:val="21"/>
        </w:rPr>
        <w:t>）甲方不得以行政区划调整、政府换届、机构或者职能调整以及相关责任人更替为由中止合同。</w:t>
      </w:r>
    </w:p>
    <w:p w:rsidR="00192C78">
      <w:pPr>
        <w:adjustRightInd w:val="0"/>
        <w:snapToGrid w:val="0"/>
        <w:spacing w:line="400" w:lineRule="exact"/>
        <w:ind w:firstLine="420" w:firstLineChars="200"/>
        <w:jc w:val="left"/>
        <w:rPr>
          <w:rFonts w:ascii="宋体" w:hAnsi="宋体"/>
          <w:szCs w:val="21"/>
        </w:rPr>
      </w:pPr>
      <w:r>
        <w:rPr>
          <w:rFonts w:ascii="宋体" w:hAnsi="宋体" w:hint="eastAsia"/>
          <w:szCs w:val="21"/>
        </w:rPr>
        <w:t>16.3</w:t>
      </w:r>
      <w:r>
        <w:rPr>
          <w:rFonts w:ascii="宋体" w:hAnsi="宋体" w:hint="eastAsia"/>
          <w:szCs w:val="21"/>
        </w:rPr>
        <w:t>合同的终止</w:t>
      </w:r>
    </w:p>
    <w:p w:rsidR="00192C7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）合同因有效期限届满而终止；</w:t>
      </w:r>
    </w:p>
    <w:p w:rsidR="00192C78">
      <w:pPr>
        <w:snapToGrid w:val="0"/>
        <w:spacing w:line="400" w:lineRule="exact"/>
        <w:ind w:firstLine="420" w:firstLineChars="200"/>
        <w:rPr>
          <w:rFonts w:ascii="宋体" w:hAnsi="宋体" w:cs="宋体"/>
          <w:szCs w:val="21"/>
        </w:rPr>
      </w:pPr>
      <w:r>
        <w:rPr>
          <w:rFonts w:ascii="宋体" w:hAnsi="宋体" w:hint="eastAsia"/>
          <w:szCs w:val="21"/>
        </w:rPr>
        <w:t>（</w:t>
      </w:r>
      <w:r>
        <w:rPr>
          <w:rFonts w:ascii="宋体" w:hAnsi="宋体" w:hint="eastAsia"/>
          <w:szCs w:val="21"/>
        </w:rPr>
        <w:t>2</w:t>
      </w:r>
      <w:r>
        <w:rPr>
          <w:rFonts w:ascii="宋体" w:hAnsi="宋体" w:hint="eastAsia"/>
          <w:szCs w:val="21"/>
        </w:rPr>
        <w:t>）乙方未按合同约定履行，构成根本性违约的，甲方有权终止合同，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192C78">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192C78">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192C78">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17. </w:t>
      </w:r>
      <w:r>
        <w:rPr>
          <w:rFonts w:ascii="宋体" w:hAnsi="宋体" w:hint="eastAsia"/>
          <w:b/>
          <w:bCs/>
          <w:sz w:val="24"/>
        </w:rPr>
        <w:t>合同分包</w:t>
      </w:r>
    </w:p>
    <w:p w:rsidR="00192C7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17.1 </w:t>
      </w:r>
      <w:r>
        <w:rPr>
          <w:rFonts w:ascii="宋体" w:hAnsi="宋体" w:hint="eastAsia"/>
          <w:szCs w:val="21"/>
        </w:rPr>
        <w:t>乙方不得将合同转包给其他供应商。涉及合同分包的，乙方应根据采购文件和投标（响应）文件规定进行合同分包。</w:t>
      </w:r>
    </w:p>
    <w:p w:rsidR="00192C7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17.2 </w:t>
      </w:r>
      <w:r>
        <w:rPr>
          <w:rFonts w:ascii="宋体" w:hAnsi="宋体" w:hint="eastAsia"/>
          <w:szCs w:val="21"/>
        </w:rPr>
        <w:t>乙方执行政府采购政策向中小企业依法分包的，乙方应当按采购文件和投标（响应）文件签订分包意向协议，分包意向协议属于本合同组成部分。</w:t>
      </w:r>
    </w:p>
    <w:p w:rsidR="00192C78">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18. </w:t>
      </w:r>
      <w:r>
        <w:rPr>
          <w:rFonts w:ascii="宋体" w:hAnsi="宋体" w:hint="eastAsia"/>
          <w:b/>
          <w:bCs/>
          <w:sz w:val="24"/>
        </w:rPr>
        <w:t>不可抗力</w:t>
      </w:r>
    </w:p>
    <w:p w:rsidR="00192C7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18.1 </w:t>
      </w:r>
      <w:r>
        <w:rPr>
          <w:rFonts w:ascii="宋体" w:hAnsi="宋体" w:hint="eastAsia"/>
          <w:szCs w:val="21"/>
        </w:rPr>
        <w:t>不可抗力是指合同双方不能预见、不能避免且不能克服的客观</w:t>
      </w:r>
      <w:r>
        <w:rPr>
          <w:rFonts w:ascii="宋体" w:hAnsi="宋体" w:hint="eastAsia"/>
          <w:szCs w:val="21"/>
        </w:rPr>
        <w:t>情况。</w:t>
      </w:r>
    </w:p>
    <w:p w:rsidR="00192C7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18.2 </w:t>
      </w:r>
      <w:r>
        <w:rPr>
          <w:rFonts w:ascii="宋体" w:hAnsi="宋体" w:hint="eastAsia"/>
          <w:szCs w:val="21"/>
        </w:rPr>
        <w:t>任何一方对由于不可抗力造成的部分或全部不能履行合同不承担违约责任。但迟延履行后发生不可抗力的，不能免除责任。</w:t>
      </w:r>
    </w:p>
    <w:p w:rsidR="00192C7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18.3 </w:t>
      </w:r>
      <w:r>
        <w:rPr>
          <w:rFonts w:ascii="宋体" w:hAnsi="宋体" w:hint="eastAsia"/>
          <w:szCs w:val="21"/>
        </w:rPr>
        <w:t>遇有不可抗力的一方，应及时将事件情况以书面形式告知另一方，并在事件发生后及时向另一方提交合同不能履行或部分不能履行或需要延期履行的详细报告，以及证明不可抗力发生及其持续时间的证据。</w:t>
      </w:r>
    </w:p>
    <w:p w:rsidR="00192C78">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19. </w:t>
      </w:r>
      <w:r>
        <w:rPr>
          <w:rFonts w:ascii="宋体" w:hAnsi="宋体" w:hint="eastAsia"/>
          <w:b/>
          <w:bCs/>
          <w:sz w:val="24"/>
        </w:rPr>
        <w:t>解决争议的方法</w:t>
      </w:r>
    </w:p>
    <w:p w:rsidR="00192C78">
      <w:pPr>
        <w:pStyle w:val="AONormal"/>
        <w:ind w:firstLine="420"/>
        <w:jc w:val="both"/>
        <w:rPr>
          <w:rFonts w:ascii="宋体" w:eastAsia="宋体" w:hAnsi="宋体" w:cs="宋体"/>
          <w:sz w:val="21"/>
        </w:rPr>
      </w:pPr>
      <w:r>
        <w:rPr>
          <w:rFonts w:ascii="宋体" w:eastAsia="宋体" w:hAnsi="宋体" w:cs="宋体" w:hint="eastAsia"/>
          <w:sz w:val="21"/>
        </w:rPr>
        <w:t xml:space="preserve">19.1 </w:t>
      </w:r>
      <w:r>
        <w:rPr>
          <w:rFonts w:ascii="宋体" w:eastAsia="宋体" w:hAnsi="宋体" w:cs="宋体" w:hint="eastAsia"/>
          <w:sz w:val="21"/>
        </w:rPr>
        <w:t>因本合同及合同有关事项发生的争议，由甲乙双方友好协商解决。协商不成时，可以向有关组织申请调解。合同一方或双方不愿调解或调解不成的，可以通过仲裁或诉讼的方式解决</w:t>
      </w:r>
      <w:r>
        <w:rPr>
          <w:rFonts w:ascii="宋体" w:eastAsia="宋体" w:hAnsi="宋体" w:cs="宋体" w:hint="eastAsia"/>
          <w:sz w:val="21"/>
        </w:rPr>
        <w:t>争议。</w:t>
      </w:r>
    </w:p>
    <w:p w:rsidR="00192C78">
      <w:pPr>
        <w:pStyle w:val="AONormal"/>
        <w:ind w:firstLine="420"/>
        <w:jc w:val="both"/>
        <w:rPr>
          <w:rFonts w:ascii="宋体" w:eastAsia="宋体" w:hAnsi="宋体" w:cs="宋体"/>
          <w:sz w:val="21"/>
        </w:rPr>
      </w:pPr>
      <w:r>
        <w:rPr>
          <w:rFonts w:ascii="宋体" w:eastAsia="宋体" w:hAnsi="宋体" w:cs="宋体" w:hint="eastAsia"/>
          <w:sz w:val="21"/>
        </w:rPr>
        <w:t xml:space="preserve">19.2 </w:t>
      </w:r>
      <w:r>
        <w:rPr>
          <w:rFonts w:ascii="宋体" w:eastAsia="宋体" w:hAnsi="宋体" w:cs="宋体" w:hint="eastAsia"/>
          <w:sz w:val="21"/>
        </w:rPr>
        <w:t>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192C78">
      <w:pPr>
        <w:pStyle w:val="AONormal"/>
        <w:ind w:firstLine="420"/>
        <w:jc w:val="both"/>
        <w:rPr>
          <w:rFonts w:ascii="宋体" w:eastAsia="宋体" w:hAnsi="宋体" w:cs="宋体"/>
          <w:sz w:val="21"/>
        </w:rPr>
      </w:pPr>
      <w:r>
        <w:rPr>
          <w:rFonts w:ascii="宋体" w:eastAsia="宋体" w:hAnsi="宋体" w:cs="宋体" w:hint="eastAsia"/>
          <w:sz w:val="21"/>
        </w:rPr>
        <w:t xml:space="preserve">19.3 </w:t>
      </w:r>
      <w:r>
        <w:rPr>
          <w:rFonts w:ascii="宋体" w:eastAsia="宋体" w:hAnsi="宋体" w:cs="宋体" w:hint="eastAsia"/>
          <w:sz w:val="21"/>
        </w:rPr>
        <w:t>如甲乙双方有争议的事项不影响合同其他部分的履行，在争议解决期间，合同其他部分应当继续履行。</w:t>
      </w:r>
    </w:p>
    <w:p w:rsidR="00192C78">
      <w:pPr>
        <w:autoSpaceDE w:val="0"/>
        <w:autoSpaceDN w:val="0"/>
        <w:adjustRightInd w:val="0"/>
        <w:snapToGrid w:val="0"/>
        <w:spacing w:line="400" w:lineRule="exact"/>
        <w:jc w:val="left"/>
        <w:rPr>
          <w:rFonts w:ascii="宋体" w:hAnsi="宋体"/>
        </w:rPr>
      </w:pPr>
      <w:r>
        <w:rPr>
          <w:rFonts w:ascii="宋体" w:hAnsi="宋体" w:hint="eastAsia"/>
          <w:b/>
          <w:sz w:val="24"/>
        </w:rPr>
        <w:t xml:space="preserve">20. </w:t>
      </w:r>
      <w:r>
        <w:rPr>
          <w:rFonts w:ascii="宋体" w:hAnsi="宋体" w:hint="eastAsia"/>
          <w:b/>
          <w:sz w:val="24"/>
        </w:rPr>
        <w:t>政府采购政策</w:t>
      </w:r>
    </w:p>
    <w:p w:rsidR="00192C7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192C78">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 xml:space="preserve">0.2 </w:t>
      </w:r>
      <w:r>
        <w:rPr>
          <w:rFonts w:ascii="宋体" w:hAnsi="宋体" w:hint="eastAsia"/>
          <w:szCs w:val="21"/>
        </w:rPr>
        <w:t>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192C78">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rsidR="00192C78">
      <w:pPr>
        <w:autoSpaceDE w:val="0"/>
        <w:autoSpaceDN w:val="0"/>
        <w:adjustRightInd w:val="0"/>
        <w:snapToGrid w:val="0"/>
        <w:spacing w:line="400" w:lineRule="exact"/>
        <w:jc w:val="left"/>
        <w:rPr>
          <w:rFonts w:ascii="宋体" w:hAnsi="宋体"/>
          <w:b/>
        </w:rPr>
      </w:pPr>
      <w:r>
        <w:rPr>
          <w:rFonts w:ascii="宋体" w:hAnsi="宋体" w:hint="eastAsia"/>
          <w:b/>
          <w:sz w:val="24"/>
        </w:rPr>
        <w:t xml:space="preserve">21. </w:t>
      </w:r>
      <w:r>
        <w:rPr>
          <w:rFonts w:ascii="宋体" w:hAnsi="宋体" w:hint="eastAsia"/>
          <w:b/>
          <w:sz w:val="24"/>
        </w:rPr>
        <w:t>法律适用</w:t>
      </w:r>
    </w:p>
    <w:p w:rsidR="00192C78">
      <w:pPr>
        <w:pStyle w:val="AONormal"/>
        <w:ind w:firstLine="420"/>
        <w:jc w:val="both"/>
        <w:rPr>
          <w:rFonts w:ascii="宋体" w:eastAsia="宋体" w:hAnsi="宋体" w:cs="宋体"/>
          <w:sz w:val="21"/>
        </w:rPr>
      </w:pPr>
      <w:r>
        <w:rPr>
          <w:rFonts w:ascii="宋体" w:eastAsia="宋体" w:hAnsi="宋体" w:cs="宋体" w:hint="eastAsia"/>
          <w:sz w:val="21"/>
        </w:rPr>
        <w:t xml:space="preserve">21.1 </w:t>
      </w:r>
      <w:r>
        <w:rPr>
          <w:rFonts w:ascii="宋体" w:eastAsia="宋体" w:hAnsi="宋体" w:cs="宋体" w:hint="eastAsia"/>
          <w:sz w:val="21"/>
        </w:rPr>
        <w:t>本合同的订立、生效、解释、履行及与本合同有关的争议解决，均适用法律、行政法规。</w:t>
      </w:r>
    </w:p>
    <w:p w:rsidR="00192C78">
      <w:pPr>
        <w:pStyle w:val="AONormal"/>
        <w:ind w:firstLine="420"/>
        <w:jc w:val="both"/>
        <w:rPr>
          <w:rFonts w:ascii="宋体" w:eastAsia="宋体" w:hAnsi="宋体" w:cs="宋体"/>
          <w:sz w:val="21"/>
        </w:rPr>
      </w:pPr>
      <w:r>
        <w:rPr>
          <w:rFonts w:ascii="宋体" w:eastAsia="宋体" w:hAnsi="宋体" w:cs="宋体" w:hint="eastAsia"/>
          <w:sz w:val="21"/>
        </w:rPr>
        <w:t xml:space="preserve">21.2 </w:t>
      </w:r>
      <w:r>
        <w:rPr>
          <w:rFonts w:ascii="宋体" w:eastAsia="宋体" w:hAnsi="宋体" w:cs="宋体" w:hint="eastAsia"/>
          <w:sz w:val="21"/>
        </w:rPr>
        <w:t>本合同条款</w:t>
      </w:r>
      <w:r>
        <w:rPr>
          <w:rFonts w:ascii="宋体" w:eastAsia="宋体" w:hAnsi="宋体" w:cs="宋体" w:hint="eastAsia"/>
          <w:sz w:val="21"/>
        </w:rPr>
        <w:t>与法律、行政法规的强制性规定不一致的，双方当事人应按照法律、行政法规的强制性规定修改本合同的相关条款。</w:t>
      </w:r>
    </w:p>
    <w:p w:rsidR="00192C78">
      <w:pPr>
        <w:autoSpaceDE w:val="0"/>
        <w:autoSpaceDN w:val="0"/>
        <w:adjustRightInd w:val="0"/>
        <w:snapToGrid w:val="0"/>
        <w:spacing w:line="400" w:lineRule="exact"/>
        <w:jc w:val="left"/>
        <w:rPr>
          <w:rFonts w:ascii="宋体" w:hAnsi="宋体"/>
          <w:b/>
        </w:rPr>
      </w:pPr>
      <w:r>
        <w:rPr>
          <w:rFonts w:ascii="宋体" w:hAnsi="宋体" w:hint="eastAsia"/>
          <w:b/>
          <w:sz w:val="24"/>
        </w:rPr>
        <w:t xml:space="preserve">22. </w:t>
      </w:r>
      <w:r>
        <w:rPr>
          <w:rFonts w:ascii="宋体" w:hAnsi="宋体" w:hint="eastAsia"/>
          <w:b/>
          <w:sz w:val="24"/>
        </w:rPr>
        <w:t>通知</w:t>
      </w:r>
    </w:p>
    <w:p w:rsidR="00192C78">
      <w:pPr>
        <w:pStyle w:val="AONormal"/>
        <w:ind w:firstLine="420"/>
        <w:jc w:val="both"/>
        <w:rPr>
          <w:rFonts w:ascii="宋体" w:eastAsia="宋体" w:hAnsi="宋体" w:cs="宋体"/>
          <w:sz w:val="21"/>
        </w:rPr>
      </w:pPr>
      <w:r>
        <w:rPr>
          <w:rFonts w:ascii="宋体" w:eastAsia="宋体" w:hAnsi="宋体" w:cs="宋体" w:hint="eastAsia"/>
          <w:sz w:val="21"/>
        </w:rPr>
        <w:t xml:space="preserve">22.1 </w:t>
      </w:r>
      <w:r>
        <w:rPr>
          <w:rFonts w:ascii="宋体" w:eastAsia="宋体" w:hAnsi="宋体" w:cs="宋体" w:hint="eastAsia"/>
          <w:sz w:val="21"/>
        </w:rPr>
        <w:t>本合同任何一方向对方发出的通知、信件、数据电文等，应当发送至本合同第一部分《政府采购合同协议书》所约定的通讯地址、联系人、联系电话或电子邮箱。</w:t>
      </w:r>
    </w:p>
    <w:p w:rsidR="00192C78">
      <w:pPr>
        <w:pStyle w:val="AONormal"/>
        <w:ind w:firstLine="0" w:firstLineChars="0"/>
        <w:jc w:val="both"/>
        <w:rPr>
          <w:sz w:val="21"/>
        </w:rPr>
      </w:pPr>
      <w:r>
        <w:rPr>
          <w:rFonts w:ascii="宋体" w:eastAsia="宋体" w:hAnsi="宋体" w:cs="宋体" w:hint="eastAsia"/>
          <w:sz w:val="21"/>
        </w:rPr>
        <w:t xml:space="preserve">    22.2 </w:t>
      </w:r>
      <w:r>
        <w:rPr>
          <w:rFonts w:ascii="宋体" w:eastAsia="宋体" w:hAnsi="宋体" w:cs="宋体" w:hint="eastAsia"/>
          <w:sz w:val="21"/>
        </w:rPr>
        <w:t>一方当事人变更名称、住所、联系人、联系电话或电子邮箱等信息的，应当在变更后</w:t>
      </w:r>
      <w:r>
        <w:rPr>
          <w:rFonts w:ascii="宋体" w:eastAsia="宋体" w:hAnsi="宋体" w:cs="宋体" w:hint="eastAsia"/>
          <w:sz w:val="21"/>
        </w:rPr>
        <w:t>3</w:t>
      </w:r>
      <w:r>
        <w:rPr>
          <w:rFonts w:ascii="宋体" w:eastAsia="宋体" w:hAnsi="宋体" w:cs="宋体" w:hint="eastAsia"/>
          <w:sz w:val="21"/>
        </w:rPr>
        <w:t>日内及时书面通知对方，对方实际收到变更通知前的送达仍为有效送达。</w:t>
      </w:r>
    </w:p>
    <w:p w:rsidR="00192C78">
      <w:pPr>
        <w:adjustRightInd w:val="0"/>
        <w:snapToGrid w:val="0"/>
        <w:spacing w:line="400" w:lineRule="exact"/>
        <w:ind w:firstLine="420" w:firstLineChars="200"/>
        <w:jc w:val="left"/>
        <w:rPr>
          <w:rFonts w:ascii="宋体" w:hAnsi="宋体"/>
          <w:szCs w:val="21"/>
        </w:rPr>
      </w:pPr>
      <w:r>
        <w:rPr>
          <w:rFonts w:ascii="宋体" w:hAnsi="宋体" w:hint="eastAsia"/>
          <w:szCs w:val="21"/>
        </w:rPr>
        <w:t>22.3</w:t>
      </w:r>
      <w:r>
        <w:rPr>
          <w:rFonts w:ascii="宋体" w:hAnsi="宋体" w:hint="eastAsia"/>
          <w:szCs w:val="21"/>
        </w:rPr>
        <w:t>本合同一方给另一方的通知均应采用书面形式，传真或快递送到本合同中规定的对方的地址和办理签收手续。</w:t>
      </w:r>
    </w:p>
    <w:p w:rsidR="00192C78">
      <w:pPr>
        <w:adjustRightInd w:val="0"/>
        <w:snapToGrid w:val="0"/>
        <w:spacing w:line="400" w:lineRule="exact"/>
        <w:ind w:firstLine="420" w:firstLineChars="200"/>
        <w:jc w:val="left"/>
        <w:rPr>
          <w:rFonts w:ascii="宋体" w:hAnsi="宋体"/>
          <w:szCs w:val="21"/>
        </w:rPr>
      </w:pPr>
      <w:r>
        <w:rPr>
          <w:rFonts w:ascii="宋体" w:hAnsi="宋体" w:hint="eastAsia"/>
          <w:szCs w:val="21"/>
        </w:rPr>
        <w:t>22.4</w:t>
      </w:r>
      <w:r>
        <w:rPr>
          <w:rFonts w:ascii="宋体" w:hAnsi="宋体" w:hint="eastAsia"/>
          <w:szCs w:val="21"/>
        </w:rPr>
        <w:t>通知以送达之日或通知书中规定的生效之日起生效，两者中以较迟之日为准。</w:t>
      </w:r>
    </w:p>
    <w:p w:rsidR="00192C78">
      <w:pPr>
        <w:numPr>
          <w:ilvl w:val="0"/>
          <w:numId w:val="16"/>
        </w:numPr>
        <w:adjustRightInd w:val="0"/>
        <w:snapToGrid w:val="0"/>
        <w:spacing w:line="400" w:lineRule="exact"/>
        <w:jc w:val="left"/>
        <w:rPr>
          <w:rFonts w:ascii="宋体" w:hAnsi="宋体"/>
          <w:b/>
          <w:bCs/>
        </w:rPr>
      </w:pPr>
      <w:r>
        <w:rPr>
          <w:rFonts w:ascii="宋体" w:hAnsi="宋体" w:hint="eastAsia"/>
          <w:b/>
          <w:bCs/>
          <w:sz w:val="24"/>
        </w:rPr>
        <w:t>合同未尽事项</w:t>
      </w:r>
    </w:p>
    <w:p w:rsidR="00192C78">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w:t>
      </w:r>
      <w:r>
        <w:rPr>
          <w:rFonts w:ascii="宋体" w:hAnsi="宋体" w:hint="eastAsia"/>
          <w:bCs/>
          <w:szCs w:val="21"/>
        </w:rPr>
        <w:t>合同未尽事项见</w:t>
      </w:r>
      <w:r>
        <w:rPr>
          <w:rFonts w:ascii="宋体" w:hAnsi="宋体" w:hint="eastAsia"/>
          <w:b/>
          <w:szCs w:val="21"/>
        </w:rPr>
        <w:t>【政府采购合同专用条款】</w:t>
      </w:r>
      <w:r>
        <w:rPr>
          <w:rFonts w:ascii="宋体" w:hAnsi="宋体" w:hint="eastAsia"/>
          <w:bCs/>
          <w:szCs w:val="21"/>
        </w:rPr>
        <w:t>。</w:t>
      </w:r>
    </w:p>
    <w:p w:rsidR="00192C78">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w:t>
      </w:r>
      <w:r>
        <w:rPr>
          <w:rFonts w:ascii="宋体" w:hAnsi="宋体" w:hint="eastAsia"/>
          <w:bCs/>
          <w:szCs w:val="21"/>
        </w:rPr>
        <w:t>合同附件与合同正文具有同等的法律效力。</w:t>
      </w:r>
      <w:bookmarkStart w:id="76" w:name="_Toc20313"/>
    </w:p>
    <w:p w:rsidR="00192C78">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192C78">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w:t>
      </w:r>
      <w:r>
        <w:rPr>
          <w:rFonts w:ascii="黑体" w:hAnsi="华文中宋" w:hint="eastAsia"/>
          <w:b w:val="0"/>
          <w:bCs w:val="0"/>
          <w:sz w:val="28"/>
          <w:szCs w:val="28"/>
        </w:rPr>
        <w:t xml:space="preserve"> </w:t>
      </w:r>
      <w:r>
        <w:rPr>
          <w:rFonts w:ascii="黑体" w:hAnsi="华文中宋" w:hint="eastAsia"/>
          <w:b w:val="0"/>
          <w:bCs w:val="0"/>
          <w:sz w:val="28"/>
          <w:szCs w:val="28"/>
        </w:rPr>
        <w:t>政府采购合同专用条款</w:t>
      </w:r>
      <w:bookmarkEnd w:id="76"/>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192C78">
            <w:pPr>
              <w:adjustRightInd w:val="0"/>
              <w:snapToGrid w:val="0"/>
              <w:jc w:val="center"/>
              <w:rPr>
                <w:rFonts w:ascii="宋体" w:hAnsi="宋体"/>
                <w:szCs w:val="21"/>
              </w:rPr>
            </w:pPr>
            <w:r>
              <w:rPr>
                <w:rFonts w:ascii="宋体" w:hAnsi="宋体" w:hint="eastAsia"/>
                <w:szCs w:val="21"/>
              </w:rPr>
              <w:t>第二节</w:t>
            </w:r>
          </w:p>
          <w:p w:rsidR="00192C7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192C78">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192C78">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vAlign w:val="center"/>
          </w:tcPr>
          <w:p w:rsidR="00192C78">
            <w:pPr>
              <w:adjustRightInd w:val="0"/>
              <w:snapToGrid w:val="0"/>
              <w:jc w:val="center"/>
              <w:rPr>
                <w:rFonts w:ascii="宋体" w:hAnsi="宋体"/>
                <w:szCs w:val="21"/>
              </w:rPr>
            </w:pPr>
            <w:r>
              <w:rPr>
                <w:rFonts w:ascii="宋体" w:hAnsi="宋体" w:hint="eastAsia"/>
                <w:szCs w:val="21"/>
              </w:rPr>
              <w:t>第二节</w:t>
            </w:r>
          </w:p>
          <w:p w:rsidR="00192C7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7</w:t>
            </w:r>
            <w:r>
              <w:rPr>
                <w:rFonts w:ascii="宋体" w:hAnsi="宋体" w:hint="eastAsia"/>
                <w:szCs w:val="21"/>
              </w:rPr>
              <w:t>）项</w:t>
            </w:r>
          </w:p>
        </w:tc>
        <w:tc>
          <w:tcPr>
            <w:tcW w:w="1742" w:type="dxa"/>
            <w:vAlign w:val="center"/>
          </w:tcPr>
          <w:p w:rsidR="00192C78">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192C7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92C78">
            <w:pPr>
              <w:adjustRightInd w:val="0"/>
              <w:snapToGrid w:val="0"/>
              <w:jc w:val="center"/>
              <w:rPr>
                <w:rFonts w:ascii="宋体" w:hAnsi="宋体"/>
                <w:szCs w:val="21"/>
              </w:rPr>
            </w:pPr>
            <w:r>
              <w:rPr>
                <w:rFonts w:ascii="宋体" w:hAnsi="宋体" w:hint="eastAsia"/>
                <w:szCs w:val="21"/>
              </w:rPr>
              <w:t>第二节</w:t>
            </w:r>
          </w:p>
          <w:p w:rsidR="00192C7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4.4</w:t>
            </w:r>
            <w:r>
              <w:rPr>
                <w:rFonts w:ascii="宋体" w:hAnsi="宋体" w:hint="eastAsia"/>
                <w:szCs w:val="21"/>
              </w:rPr>
              <w:t>款</w:t>
            </w:r>
          </w:p>
        </w:tc>
        <w:tc>
          <w:tcPr>
            <w:tcW w:w="1742" w:type="dxa"/>
            <w:vAlign w:val="center"/>
          </w:tcPr>
          <w:p w:rsidR="00192C78">
            <w:pPr>
              <w:adjustRightInd w:val="0"/>
              <w:snapToGrid w:val="0"/>
              <w:jc w:val="left"/>
              <w:rPr>
                <w:rFonts w:ascii="宋体" w:hAnsi="宋体"/>
                <w:szCs w:val="21"/>
              </w:rPr>
            </w:pPr>
            <w:r>
              <w:rPr>
                <w:rFonts w:ascii="宋体" w:hAnsi="宋体" w:hint="eastAsia"/>
                <w:szCs w:val="21"/>
              </w:rPr>
              <w:t>履约验收中甲方提出异议或作出说明的期限</w:t>
            </w:r>
          </w:p>
        </w:tc>
        <w:tc>
          <w:tcPr>
            <w:tcW w:w="5170" w:type="dxa"/>
            <w:vAlign w:val="center"/>
          </w:tcPr>
          <w:p w:rsidR="00192C7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92C78">
            <w:pPr>
              <w:adjustRightInd w:val="0"/>
              <w:snapToGrid w:val="0"/>
              <w:jc w:val="center"/>
              <w:rPr>
                <w:rFonts w:ascii="宋体" w:hAnsi="宋体"/>
                <w:szCs w:val="21"/>
              </w:rPr>
            </w:pPr>
            <w:r>
              <w:rPr>
                <w:rFonts w:ascii="宋体" w:hAnsi="宋体" w:hint="eastAsia"/>
                <w:szCs w:val="21"/>
              </w:rPr>
              <w:t>第二节</w:t>
            </w:r>
          </w:p>
          <w:p w:rsidR="00192C7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4.6</w:t>
            </w:r>
            <w:r>
              <w:rPr>
                <w:rFonts w:ascii="宋体" w:hAnsi="宋体" w:hint="eastAsia"/>
                <w:szCs w:val="21"/>
              </w:rPr>
              <w:t>款</w:t>
            </w:r>
          </w:p>
        </w:tc>
        <w:tc>
          <w:tcPr>
            <w:tcW w:w="1742" w:type="dxa"/>
            <w:vAlign w:val="center"/>
          </w:tcPr>
          <w:p w:rsidR="00192C78">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192C7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92C78">
            <w:pPr>
              <w:adjustRightInd w:val="0"/>
              <w:snapToGrid w:val="0"/>
              <w:jc w:val="center"/>
              <w:rPr>
                <w:rFonts w:ascii="宋体" w:hAnsi="宋体"/>
                <w:szCs w:val="21"/>
              </w:rPr>
            </w:pPr>
            <w:r>
              <w:rPr>
                <w:rFonts w:ascii="宋体" w:hAnsi="宋体" w:hint="eastAsia"/>
                <w:szCs w:val="21"/>
              </w:rPr>
              <w:t>第二节</w:t>
            </w:r>
          </w:p>
          <w:p w:rsidR="00192C78">
            <w:pPr>
              <w:snapToGrid w:val="0"/>
              <w:jc w:val="center"/>
            </w:pPr>
            <w:r>
              <w:rPr>
                <w:rFonts w:ascii="宋体" w:hAnsi="宋体" w:hint="eastAsia"/>
                <w:szCs w:val="21"/>
              </w:rPr>
              <w:t>第</w:t>
            </w:r>
            <w:r>
              <w:rPr>
                <w:rFonts w:ascii="宋体" w:hAnsi="宋体" w:hint="eastAsia"/>
                <w:szCs w:val="21"/>
              </w:rPr>
              <w:t>5.4</w:t>
            </w:r>
            <w:r>
              <w:rPr>
                <w:rFonts w:ascii="宋体" w:hAnsi="宋体" w:hint="eastAsia"/>
                <w:szCs w:val="21"/>
              </w:rPr>
              <w:t>款</w:t>
            </w:r>
          </w:p>
        </w:tc>
        <w:tc>
          <w:tcPr>
            <w:tcW w:w="1742" w:type="dxa"/>
            <w:vAlign w:val="center"/>
          </w:tcPr>
          <w:p w:rsidR="00192C78">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192C7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92C78">
            <w:pPr>
              <w:adjustRightInd w:val="0"/>
              <w:snapToGrid w:val="0"/>
              <w:jc w:val="center"/>
              <w:rPr>
                <w:rFonts w:ascii="宋体" w:hAnsi="宋体"/>
                <w:szCs w:val="21"/>
              </w:rPr>
            </w:pPr>
            <w:r>
              <w:rPr>
                <w:rFonts w:ascii="宋体" w:hAnsi="宋体" w:hint="eastAsia"/>
                <w:szCs w:val="21"/>
              </w:rPr>
              <w:t>第二节</w:t>
            </w:r>
          </w:p>
          <w:p w:rsidR="00192C78">
            <w:pPr>
              <w:snapToGrid w:val="0"/>
              <w:jc w:val="center"/>
              <w:rPr>
                <w:rFonts w:ascii="宋体" w:hAnsi="宋体"/>
                <w:szCs w:val="21"/>
              </w:rPr>
            </w:pPr>
            <w:r>
              <w:rPr>
                <w:rFonts w:ascii="宋体" w:hAnsi="宋体" w:hint="eastAsia"/>
                <w:szCs w:val="21"/>
              </w:rPr>
              <w:t>第</w:t>
            </w:r>
            <w:r>
              <w:rPr>
                <w:rFonts w:ascii="宋体" w:hAnsi="宋体" w:hint="eastAsia"/>
                <w:szCs w:val="21"/>
              </w:rPr>
              <w:t>6.1</w:t>
            </w:r>
            <w:r>
              <w:rPr>
                <w:rFonts w:ascii="宋体" w:hAnsi="宋体" w:hint="eastAsia"/>
                <w:szCs w:val="21"/>
              </w:rPr>
              <w:t>款</w:t>
            </w:r>
          </w:p>
        </w:tc>
        <w:tc>
          <w:tcPr>
            <w:tcW w:w="1742" w:type="dxa"/>
            <w:vAlign w:val="center"/>
          </w:tcPr>
          <w:p w:rsidR="00192C78">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192C78">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vAlign w:val="center"/>
          </w:tcPr>
          <w:p w:rsidR="00192C78">
            <w:pPr>
              <w:adjustRightInd w:val="0"/>
              <w:snapToGrid w:val="0"/>
              <w:jc w:val="center"/>
              <w:rPr>
                <w:rFonts w:ascii="宋体" w:hAnsi="宋体"/>
                <w:szCs w:val="21"/>
              </w:rPr>
            </w:pPr>
            <w:r>
              <w:rPr>
                <w:rFonts w:ascii="宋体" w:hAnsi="宋体" w:hint="eastAsia"/>
                <w:szCs w:val="21"/>
              </w:rPr>
              <w:t>第二节</w:t>
            </w:r>
          </w:p>
          <w:p w:rsidR="00192C7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7.1</w:t>
            </w:r>
            <w:r>
              <w:rPr>
                <w:rFonts w:ascii="宋体" w:hAnsi="宋体" w:hint="eastAsia"/>
                <w:szCs w:val="21"/>
              </w:rPr>
              <w:t>款</w:t>
            </w:r>
          </w:p>
        </w:tc>
        <w:tc>
          <w:tcPr>
            <w:tcW w:w="1742" w:type="dxa"/>
            <w:vAlign w:val="center"/>
          </w:tcPr>
          <w:p w:rsidR="00192C78">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192C78"/>
        </w:tc>
      </w:tr>
      <w:tr>
        <w:tblPrEx>
          <w:tblW w:w="8519" w:type="dxa"/>
          <w:tblInd w:w="108" w:type="dxa"/>
          <w:tblLayout w:type="fixed"/>
          <w:tblLook w:val="04A0"/>
        </w:tblPrEx>
        <w:trPr>
          <w:trHeight w:val="667"/>
        </w:trPr>
        <w:tc>
          <w:tcPr>
            <w:tcW w:w="1607" w:type="dxa"/>
            <w:vMerge/>
            <w:vAlign w:val="center"/>
          </w:tcPr>
          <w:p w:rsidR="00192C78">
            <w:pPr>
              <w:adjustRightInd w:val="0"/>
              <w:snapToGrid w:val="0"/>
              <w:jc w:val="center"/>
              <w:rPr>
                <w:rFonts w:ascii="宋体" w:hAnsi="宋体"/>
                <w:szCs w:val="21"/>
              </w:rPr>
            </w:pPr>
          </w:p>
        </w:tc>
        <w:tc>
          <w:tcPr>
            <w:tcW w:w="1742" w:type="dxa"/>
            <w:vAlign w:val="center"/>
          </w:tcPr>
          <w:p w:rsidR="00192C78">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192C78"/>
        </w:tc>
      </w:tr>
      <w:tr>
        <w:tblPrEx>
          <w:tblW w:w="8519" w:type="dxa"/>
          <w:tblInd w:w="108" w:type="dxa"/>
          <w:tblLayout w:type="fixed"/>
          <w:tblLook w:val="04A0"/>
        </w:tblPrEx>
        <w:trPr>
          <w:trHeight w:val="772"/>
        </w:trPr>
        <w:tc>
          <w:tcPr>
            <w:tcW w:w="1607" w:type="dxa"/>
            <w:vAlign w:val="center"/>
          </w:tcPr>
          <w:p w:rsidR="00192C78">
            <w:pPr>
              <w:adjustRightInd w:val="0"/>
              <w:snapToGrid w:val="0"/>
              <w:jc w:val="center"/>
              <w:rPr>
                <w:rFonts w:ascii="宋体" w:hAnsi="宋体"/>
                <w:szCs w:val="21"/>
              </w:rPr>
            </w:pPr>
            <w:r>
              <w:rPr>
                <w:rFonts w:ascii="宋体" w:hAnsi="宋体" w:hint="eastAsia"/>
                <w:szCs w:val="21"/>
              </w:rPr>
              <w:t>第二节</w:t>
            </w:r>
          </w:p>
          <w:p w:rsidR="00192C7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7.2</w:t>
            </w:r>
            <w:r>
              <w:rPr>
                <w:rFonts w:ascii="宋体" w:hAnsi="宋体" w:hint="eastAsia"/>
                <w:szCs w:val="21"/>
              </w:rPr>
              <w:t>款</w:t>
            </w:r>
          </w:p>
        </w:tc>
        <w:tc>
          <w:tcPr>
            <w:tcW w:w="1742" w:type="dxa"/>
            <w:vAlign w:val="center"/>
          </w:tcPr>
          <w:p w:rsidR="00192C78">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192C78"/>
        </w:tc>
      </w:tr>
      <w:tr>
        <w:tblPrEx>
          <w:tblW w:w="8519" w:type="dxa"/>
          <w:tblInd w:w="108" w:type="dxa"/>
          <w:tblLayout w:type="fixed"/>
          <w:tblLook w:val="04A0"/>
        </w:tblPrEx>
        <w:trPr>
          <w:trHeight w:val="667"/>
        </w:trPr>
        <w:tc>
          <w:tcPr>
            <w:tcW w:w="1607" w:type="dxa"/>
            <w:vAlign w:val="center"/>
          </w:tcPr>
          <w:p w:rsidR="00192C78">
            <w:pPr>
              <w:adjustRightInd w:val="0"/>
              <w:snapToGrid w:val="0"/>
              <w:jc w:val="center"/>
              <w:rPr>
                <w:rFonts w:ascii="宋体" w:hAnsi="宋体"/>
                <w:szCs w:val="21"/>
              </w:rPr>
            </w:pPr>
            <w:r>
              <w:rPr>
                <w:rFonts w:ascii="宋体" w:hAnsi="宋体" w:hint="eastAsia"/>
                <w:szCs w:val="21"/>
              </w:rPr>
              <w:t>第二节</w:t>
            </w:r>
          </w:p>
          <w:p w:rsidR="00192C7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7.3</w:t>
            </w:r>
            <w:r>
              <w:rPr>
                <w:rFonts w:ascii="宋体" w:hAnsi="宋体" w:hint="eastAsia"/>
                <w:szCs w:val="21"/>
              </w:rPr>
              <w:t>款</w:t>
            </w:r>
          </w:p>
        </w:tc>
        <w:tc>
          <w:tcPr>
            <w:tcW w:w="1742" w:type="dxa"/>
            <w:vAlign w:val="center"/>
          </w:tcPr>
          <w:p w:rsidR="00192C78">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192C78"/>
        </w:tc>
      </w:tr>
      <w:tr>
        <w:tblPrEx>
          <w:tblW w:w="8519" w:type="dxa"/>
          <w:tblInd w:w="108" w:type="dxa"/>
          <w:tblLayout w:type="fixed"/>
          <w:tblLook w:val="04A0"/>
        </w:tblPrEx>
        <w:trPr>
          <w:trHeight w:val="736"/>
        </w:trPr>
        <w:tc>
          <w:tcPr>
            <w:tcW w:w="1607" w:type="dxa"/>
            <w:vAlign w:val="center"/>
          </w:tcPr>
          <w:p w:rsidR="00192C78">
            <w:pPr>
              <w:adjustRightInd w:val="0"/>
              <w:snapToGrid w:val="0"/>
              <w:jc w:val="center"/>
              <w:rPr>
                <w:rFonts w:ascii="宋体" w:hAnsi="宋体"/>
                <w:szCs w:val="21"/>
              </w:rPr>
            </w:pPr>
            <w:r>
              <w:rPr>
                <w:rFonts w:ascii="宋体" w:hAnsi="宋体" w:hint="eastAsia"/>
                <w:szCs w:val="21"/>
              </w:rPr>
              <w:t>第二节</w:t>
            </w:r>
          </w:p>
          <w:p w:rsidR="00192C7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1</w:t>
            </w:r>
            <w:r>
              <w:rPr>
                <w:rFonts w:ascii="宋体" w:hAnsi="宋体" w:hint="eastAsia"/>
                <w:szCs w:val="21"/>
              </w:rPr>
              <w:t>）项</w:t>
            </w:r>
          </w:p>
        </w:tc>
        <w:tc>
          <w:tcPr>
            <w:tcW w:w="1742" w:type="dxa"/>
            <w:vAlign w:val="center"/>
          </w:tcPr>
          <w:p w:rsidR="00192C78">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192C78">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92C78">
            <w:pPr>
              <w:adjustRightInd w:val="0"/>
              <w:snapToGrid w:val="0"/>
              <w:jc w:val="center"/>
              <w:rPr>
                <w:rFonts w:ascii="宋体" w:hAnsi="宋体"/>
                <w:szCs w:val="21"/>
              </w:rPr>
            </w:pPr>
            <w:r>
              <w:rPr>
                <w:rFonts w:ascii="宋体" w:hAnsi="宋体" w:hint="eastAsia"/>
                <w:szCs w:val="21"/>
              </w:rPr>
              <w:t>第二节</w:t>
            </w:r>
          </w:p>
          <w:p w:rsidR="00192C7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192C78">
            <w:pPr>
              <w:adjustRightInd w:val="0"/>
              <w:snapToGrid w:val="0"/>
              <w:jc w:val="left"/>
              <w:rPr>
                <w:rFonts w:ascii="宋体" w:hAnsi="宋体"/>
                <w:szCs w:val="21"/>
              </w:rPr>
            </w:pPr>
            <w:r>
              <w:rPr>
                <w:rFonts w:ascii="宋体" w:hAnsi="宋体" w:hint="eastAsia"/>
                <w:szCs w:val="21"/>
              </w:rPr>
              <w:t>货物质量缺陷</w:t>
            </w:r>
          </w:p>
          <w:p w:rsidR="00192C78">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192C7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92C78">
            <w:pPr>
              <w:snapToGrid w:val="0"/>
              <w:jc w:val="center"/>
              <w:rPr>
                <w:rFonts w:ascii="宋体" w:hAnsi="宋体" w:cs="宋体"/>
                <w:szCs w:val="21"/>
              </w:rPr>
            </w:pPr>
            <w:r>
              <w:rPr>
                <w:rFonts w:ascii="宋体" w:hAnsi="宋体" w:cs="宋体" w:hint="eastAsia"/>
                <w:szCs w:val="21"/>
              </w:rPr>
              <w:t>第二节</w:t>
            </w:r>
          </w:p>
          <w:p w:rsidR="00192C78">
            <w:pPr>
              <w:pStyle w:val="AONormal"/>
              <w:ind w:firstLine="0" w:firstLineChars="0"/>
              <w:jc w:val="center"/>
            </w:pPr>
            <w:r>
              <w:rPr>
                <w:rFonts w:ascii="宋体" w:eastAsia="宋体" w:hAnsi="宋体" w:cs="宋体" w:hint="eastAsia"/>
              </w:rPr>
              <w:t>第</w:t>
            </w:r>
            <w:r>
              <w:rPr>
                <w:rFonts w:ascii="宋体" w:eastAsia="宋体" w:hAnsi="宋体" w:cs="宋体" w:hint="eastAsia"/>
              </w:rPr>
              <w:t>11.1</w:t>
            </w:r>
            <w:r>
              <w:rPr>
                <w:rFonts w:ascii="宋体" w:eastAsia="宋体" w:hAnsi="宋体" w:cs="宋体" w:hint="eastAsia"/>
              </w:rPr>
              <w:t>款</w:t>
            </w:r>
          </w:p>
        </w:tc>
        <w:tc>
          <w:tcPr>
            <w:tcW w:w="1742" w:type="dxa"/>
            <w:vAlign w:val="center"/>
          </w:tcPr>
          <w:p w:rsidR="00192C78">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192C78">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192C78">
            <w:pPr>
              <w:adjustRightInd w:val="0"/>
              <w:snapToGrid w:val="0"/>
              <w:jc w:val="center"/>
              <w:rPr>
                <w:rFonts w:ascii="宋体" w:hAnsi="宋体"/>
                <w:szCs w:val="21"/>
              </w:rPr>
            </w:pPr>
            <w:r>
              <w:rPr>
                <w:rFonts w:ascii="宋体" w:hAnsi="宋体" w:hint="eastAsia"/>
                <w:szCs w:val="21"/>
              </w:rPr>
              <w:t>第二节</w:t>
            </w:r>
          </w:p>
          <w:p w:rsidR="00192C7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12.2</w:t>
            </w:r>
            <w:r>
              <w:rPr>
                <w:rFonts w:ascii="宋体" w:hAnsi="宋体" w:hint="eastAsia"/>
                <w:szCs w:val="21"/>
              </w:rPr>
              <w:t>款</w:t>
            </w:r>
          </w:p>
        </w:tc>
        <w:tc>
          <w:tcPr>
            <w:tcW w:w="1742" w:type="dxa"/>
            <w:vAlign w:val="center"/>
          </w:tcPr>
          <w:p w:rsidR="00192C78">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192C78">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192C78">
            <w:pPr>
              <w:adjustRightInd w:val="0"/>
              <w:snapToGrid w:val="0"/>
              <w:jc w:val="center"/>
              <w:rPr>
                <w:rFonts w:ascii="宋体" w:hAnsi="宋体"/>
                <w:szCs w:val="21"/>
              </w:rPr>
            </w:pPr>
            <w:r>
              <w:rPr>
                <w:rFonts w:ascii="宋体" w:hAnsi="宋体" w:hint="eastAsia"/>
                <w:szCs w:val="21"/>
              </w:rPr>
              <w:t>第二节</w:t>
            </w:r>
          </w:p>
          <w:p w:rsidR="00192C7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13.2</w:t>
            </w:r>
            <w:r>
              <w:rPr>
                <w:rFonts w:ascii="宋体" w:hAnsi="宋体" w:hint="eastAsia"/>
                <w:szCs w:val="21"/>
              </w:rPr>
              <w:t>款</w:t>
            </w:r>
          </w:p>
        </w:tc>
        <w:tc>
          <w:tcPr>
            <w:tcW w:w="1742" w:type="dxa"/>
            <w:vAlign w:val="center"/>
          </w:tcPr>
          <w:p w:rsidR="00192C78">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192C7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92C78">
            <w:pPr>
              <w:adjustRightInd w:val="0"/>
              <w:snapToGrid w:val="0"/>
              <w:jc w:val="center"/>
              <w:rPr>
                <w:rFonts w:ascii="宋体" w:hAnsi="宋体"/>
                <w:szCs w:val="21"/>
              </w:rPr>
            </w:pPr>
            <w:r>
              <w:rPr>
                <w:rFonts w:ascii="宋体" w:hAnsi="宋体" w:hint="eastAsia"/>
                <w:szCs w:val="21"/>
              </w:rPr>
              <w:t>第二节</w:t>
            </w:r>
          </w:p>
          <w:p w:rsidR="00192C7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13.3</w:t>
            </w:r>
            <w:r>
              <w:rPr>
                <w:rFonts w:ascii="宋体" w:hAnsi="宋体" w:hint="eastAsia"/>
                <w:szCs w:val="21"/>
              </w:rPr>
              <w:t>款</w:t>
            </w:r>
          </w:p>
        </w:tc>
        <w:tc>
          <w:tcPr>
            <w:tcW w:w="1742" w:type="dxa"/>
            <w:vAlign w:val="center"/>
          </w:tcPr>
          <w:p w:rsidR="00192C78">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192C78">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192C78">
            <w:pPr>
              <w:adjustRightInd w:val="0"/>
              <w:snapToGrid w:val="0"/>
              <w:jc w:val="center"/>
              <w:rPr>
                <w:rFonts w:ascii="宋体" w:hAnsi="宋体"/>
                <w:szCs w:val="21"/>
              </w:rPr>
            </w:pPr>
            <w:r>
              <w:rPr>
                <w:rFonts w:ascii="宋体" w:hAnsi="宋体" w:hint="eastAsia"/>
                <w:szCs w:val="21"/>
              </w:rPr>
              <w:t>第二节</w:t>
            </w:r>
          </w:p>
          <w:p w:rsidR="00192C7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192C78">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192C78">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192C78">
            <w:pPr>
              <w:adjustRightInd w:val="0"/>
              <w:snapToGrid w:val="0"/>
              <w:jc w:val="center"/>
              <w:rPr>
                <w:rFonts w:ascii="宋体" w:hAnsi="宋体"/>
                <w:szCs w:val="21"/>
              </w:rPr>
            </w:pPr>
            <w:r>
              <w:rPr>
                <w:rFonts w:ascii="宋体" w:hAnsi="宋体" w:hint="eastAsia"/>
                <w:szCs w:val="21"/>
              </w:rPr>
              <w:t>第二节</w:t>
            </w:r>
          </w:p>
          <w:p w:rsidR="00192C7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5</w:t>
            </w:r>
            <w:r>
              <w:rPr>
                <w:rFonts w:ascii="宋体" w:hAnsi="宋体" w:hint="eastAsia"/>
                <w:szCs w:val="21"/>
              </w:rPr>
              <w:t>）项</w:t>
            </w:r>
          </w:p>
        </w:tc>
        <w:tc>
          <w:tcPr>
            <w:tcW w:w="1742" w:type="dxa"/>
            <w:vAlign w:val="center"/>
          </w:tcPr>
          <w:p w:rsidR="00192C78">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192C7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92C78">
            <w:pPr>
              <w:adjustRightInd w:val="0"/>
              <w:snapToGrid w:val="0"/>
              <w:jc w:val="center"/>
              <w:rPr>
                <w:rFonts w:ascii="宋体" w:hAnsi="宋体"/>
                <w:szCs w:val="21"/>
              </w:rPr>
            </w:pPr>
            <w:r>
              <w:rPr>
                <w:rFonts w:ascii="宋体" w:hAnsi="宋体" w:hint="eastAsia"/>
                <w:szCs w:val="21"/>
              </w:rPr>
              <w:t>第二节</w:t>
            </w:r>
          </w:p>
          <w:p w:rsidR="00192C7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192C78">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192C7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92C78">
            <w:pPr>
              <w:adjustRightInd w:val="0"/>
              <w:snapToGrid w:val="0"/>
              <w:jc w:val="center"/>
              <w:rPr>
                <w:rFonts w:ascii="宋体" w:hAnsi="宋体"/>
                <w:szCs w:val="21"/>
              </w:rPr>
            </w:pPr>
            <w:r>
              <w:rPr>
                <w:rFonts w:ascii="宋体" w:hAnsi="宋体" w:hint="eastAsia"/>
                <w:szCs w:val="21"/>
              </w:rPr>
              <w:t>第二节</w:t>
            </w:r>
          </w:p>
          <w:p w:rsidR="00192C7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15.1</w:t>
            </w:r>
            <w:r>
              <w:rPr>
                <w:rFonts w:ascii="宋体" w:hAnsi="宋体" w:hint="eastAsia"/>
                <w:szCs w:val="21"/>
              </w:rPr>
              <w:t>款</w:t>
            </w:r>
          </w:p>
        </w:tc>
        <w:tc>
          <w:tcPr>
            <w:tcW w:w="1742" w:type="dxa"/>
            <w:vAlign w:val="center"/>
          </w:tcPr>
          <w:p w:rsidR="00192C78">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192C7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92C78">
            <w:pPr>
              <w:adjustRightInd w:val="0"/>
              <w:snapToGrid w:val="0"/>
              <w:jc w:val="center"/>
              <w:rPr>
                <w:rFonts w:ascii="宋体" w:hAnsi="宋体"/>
                <w:szCs w:val="21"/>
              </w:rPr>
            </w:pPr>
            <w:r>
              <w:rPr>
                <w:rFonts w:ascii="宋体" w:hAnsi="宋体" w:hint="eastAsia"/>
                <w:szCs w:val="21"/>
              </w:rPr>
              <w:t>第二节</w:t>
            </w:r>
          </w:p>
          <w:p w:rsidR="00192C7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15.2</w:t>
            </w:r>
            <w:r>
              <w:rPr>
                <w:rFonts w:ascii="宋体" w:hAnsi="宋体" w:hint="eastAsia"/>
                <w:szCs w:val="21"/>
              </w:rPr>
              <w:t>（</w:t>
            </w:r>
            <w:r>
              <w:rPr>
                <w:rFonts w:ascii="宋体" w:hAnsi="宋体" w:hint="eastAsia"/>
                <w:szCs w:val="21"/>
              </w:rPr>
              <w:t>2</w:t>
            </w:r>
            <w:r>
              <w:rPr>
                <w:rFonts w:ascii="宋体" w:hAnsi="宋体" w:hint="eastAsia"/>
                <w:szCs w:val="21"/>
              </w:rPr>
              <w:t>）项</w:t>
            </w:r>
          </w:p>
        </w:tc>
        <w:tc>
          <w:tcPr>
            <w:tcW w:w="1742" w:type="dxa"/>
            <w:vAlign w:val="center"/>
          </w:tcPr>
          <w:p w:rsidR="00192C78">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192C78">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vAlign w:val="center"/>
          </w:tcPr>
          <w:p w:rsidR="00192C78">
            <w:pPr>
              <w:adjustRightInd w:val="0"/>
              <w:snapToGrid w:val="0"/>
              <w:jc w:val="center"/>
              <w:rPr>
                <w:rFonts w:ascii="宋体" w:hAnsi="宋体"/>
                <w:szCs w:val="21"/>
              </w:rPr>
            </w:pPr>
            <w:r>
              <w:rPr>
                <w:rFonts w:ascii="宋体" w:hAnsi="宋体" w:hint="eastAsia"/>
                <w:szCs w:val="21"/>
              </w:rPr>
              <w:t>第二节</w:t>
            </w:r>
          </w:p>
          <w:p w:rsidR="00192C7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15.3</w:t>
            </w:r>
            <w:r>
              <w:rPr>
                <w:rFonts w:ascii="宋体" w:hAnsi="宋体" w:hint="eastAsia"/>
                <w:szCs w:val="21"/>
              </w:rPr>
              <w:t>款</w:t>
            </w:r>
          </w:p>
        </w:tc>
        <w:tc>
          <w:tcPr>
            <w:tcW w:w="1742" w:type="dxa"/>
            <w:vAlign w:val="center"/>
          </w:tcPr>
          <w:p w:rsidR="00192C78">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192C78">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192C78">
            <w:pPr>
              <w:adjustRightInd w:val="0"/>
              <w:snapToGrid w:val="0"/>
              <w:jc w:val="center"/>
              <w:rPr>
                <w:rFonts w:ascii="宋体" w:hAnsi="宋体"/>
                <w:szCs w:val="21"/>
              </w:rPr>
            </w:pPr>
            <w:r>
              <w:rPr>
                <w:rFonts w:ascii="宋体" w:hAnsi="宋体" w:hint="eastAsia"/>
                <w:szCs w:val="21"/>
              </w:rPr>
              <w:t>第二节</w:t>
            </w:r>
          </w:p>
          <w:p w:rsidR="00192C7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15.4</w:t>
            </w:r>
            <w:r>
              <w:rPr>
                <w:rFonts w:ascii="宋体" w:hAnsi="宋体" w:hint="eastAsia"/>
                <w:szCs w:val="21"/>
              </w:rPr>
              <w:t>款</w:t>
            </w:r>
          </w:p>
        </w:tc>
        <w:tc>
          <w:tcPr>
            <w:tcW w:w="1742" w:type="dxa"/>
            <w:tcBorders>
              <w:left w:val="single" w:sz="2" w:space="0" w:color="auto"/>
              <w:bottom w:val="single" w:sz="2" w:space="0" w:color="auto"/>
              <w:right w:val="single" w:sz="2" w:space="0" w:color="auto"/>
            </w:tcBorders>
            <w:vAlign w:val="center"/>
          </w:tcPr>
          <w:p w:rsidR="00192C78">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192C78">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192C78">
            <w:pPr>
              <w:adjustRightInd w:val="0"/>
              <w:snapToGrid w:val="0"/>
              <w:jc w:val="center"/>
              <w:rPr>
                <w:rFonts w:ascii="宋体" w:hAnsi="宋体"/>
                <w:szCs w:val="21"/>
              </w:rPr>
            </w:pPr>
            <w:r>
              <w:rPr>
                <w:rFonts w:ascii="宋体" w:hAnsi="宋体" w:hint="eastAsia"/>
                <w:szCs w:val="21"/>
              </w:rPr>
              <w:t>第二节</w:t>
            </w:r>
          </w:p>
          <w:p w:rsidR="00192C7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19.2</w:t>
            </w:r>
            <w:r>
              <w:rPr>
                <w:rFonts w:ascii="宋体" w:hAnsi="宋体" w:hint="eastAsia"/>
                <w:szCs w:val="21"/>
              </w:rPr>
              <w:t>款</w:t>
            </w:r>
          </w:p>
        </w:tc>
        <w:tc>
          <w:tcPr>
            <w:tcW w:w="1742" w:type="dxa"/>
            <w:tcBorders>
              <w:top w:val="single" w:sz="2" w:space="0" w:color="auto"/>
              <w:left w:val="single" w:sz="2" w:space="0" w:color="auto"/>
              <w:right w:val="single" w:sz="2" w:space="0" w:color="auto"/>
            </w:tcBorders>
            <w:vAlign w:val="center"/>
          </w:tcPr>
          <w:p w:rsidR="00192C78">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192C78">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192C78">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w:t>
            </w:r>
            <w:r>
              <w:rPr>
                <w:rFonts w:ascii="宋体" w:hAnsi="宋体" w:cs="宋体" w:hint="eastAsia"/>
                <w:iCs/>
                <w:szCs w:val="21"/>
              </w:rPr>
              <w:t>1</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192C78">
            <w:pPr>
              <w:adjustRightInd w:val="0"/>
              <w:snapToGrid w:val="0"/>
              <w:jc w:val="left"/>
              <w:rPr>
                <w:rFonts w:ascii="宋体" w:hAnsi="宋体"/>
                <w:szCs w:val="21"/>
                <w:u w:val="single"/>
              </w:rPr>
            </w:pPr>
            <w:r>
              <w:rPr>
                <w:rFonts w:ascii="宋体" w:hAnsi="宋体" w:cs="宋体" w:hint="eastAsia"/>
                <w:iCs/>
                <w:szCs w:val="21"/>
              </w:rPr>
              <w:t>（</w:t>
            </w:r>
            <w:r>
              <w:rPr>
                <w:rFonts w:ascii="宋体" w:hAnsi="宋体" w:cs="宋体" w:hint="eastAsia"/>
                <w:iCs/>
                <w:szCs w:val="21"/>
              </w:rPr>
              <w:t>2</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192C78">
            <w:pPr>
              <w:adjustRightInd w:val="0"/>
              <w:snapToGrid w:val="0"/>
              <w:jc w:val="center"/>
              <w:rPr>
                <w:rFonts w:ascii="宋体" w:hAnsi="宋体"/>
                <w:szCs w:val="21"/>
              </w:rPr>
            </w:pPr>
            <w:r>
              <w:rPr>
                <w:rFonts w:ascii="宋体" w:hAnsi="宋体" w:hint="eastAsia"/>
                <w:szCs w:val="21"/>
              </w:rPr>
              <w:t>第二节</w:t>
            </w:r>
          </w:p>
          <w:p w:rsidR="00192C7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23.1</w:t>
            </w:r>
            <w:r>
              <w:rPr>
                <w:rFonts w:ascii="宋体" w:hAnsi="宋体" w:hint="eastAsia"/>
                <w:szCs w:val="21"/>
              </w:rPr>
              <w:t>款</w:t>
            </w:r>
          </w:p>
        </w:tc>
        <w:tc>
          <w:tcPr>
            <w:tcW w:w="1742" w:type="dxa"/>
            <w:vAlign w:val="center"/>
          </w:tcPr>
          <w:p w:rsidR="00192C78">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192C78">
            <w:pPr>
              <w:adjustRightInd w:val="0"/>
              <w:snapToGrid w:val="0"/>
              <w:jc w:val="left"/>
              <w:rPr>
                <w:rFonts w:ascii="宋体" w:hAnsi="宋体"/>
                <w:szCs w:val="21"/>
              </w:rPr>
            </w:pPr>
          </w:p>
        </w:tc>
      </w:tr>
    </w:tbl>
    <w:p w:rsidR="00192C78"/>
    <w:p w:rsidR="00192C78">
      <w:pPr>
        <w:rPr>
          <w:b/>
          <w:bCs/>
          <w:sz w:val="44"/>
          <w:szCs w:val="44"/>
        </w:rPr>
      </w:pPr>
    </w:p>
    <w:p w:rsidR="00192C78"/>
    <w:p w:rsidR="00A77B3E"/>
    <w:p w:rsidR="00192C78">
      <w:pPr>
        <w:numPr>
          <w:ilvl w:val="0"/>
          <w:numId w:val="8"/>
        </w:numPr>
        <w:spacing w:line="360" w:lineRule="auto"/>
        <w:ind w:firstLine="3066" w:firstLineChars="1460"/>
        <w:jc w:val="left"/>
        <w:rPr>
          <w:b/>
          <w:bCs/>
          <w:szCs w:val="21"/>
        </w:rPr>
      </w:pPr>
      <w:bookmarkEnd w:id="70"/>
    </w:p>
    <w:sectPr>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altName w:val="FreeSerif"/>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altName w:val="微软雅黑"/>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20B0604020202020204"/>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2010600010101010101"/>
    <w:charset w:val="86"/>
    <w:family w:val="script"/>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000247B" w:usb2="00000009" w:usb3="00000000" w:csb0="000001FF" w:csb1="00000000"/>
  </w:font>
  <w:font w:name="华文中宋">
    <w:altName w:val="汉仪中宋简"/>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2BADC98"/>
    <w:multiLevelType w:val="singleLevel"/>
    <w:tmpl w:val="02BADC98"/>
    <w:lvl w:ilvl="0">
      <w:start w:val="1"/>
      <w:numFmt w:val="chineseCounting"/>
      <w:suff w:val="nothing"/>
      <w:lvlText w:val="（%1）"/>
      <w:lvlJc w:val="left"/>
      <w:pPr>
        <w:ind w:left="0" w:firstLine="420"/>
      </w:pPr>
      <w:rPr>
        <w:rFonts w:hint="eastAsia"/>
      </w:rPr>
    </w:lvl>
  </w:abstractNum>
  <w:abstractNum w:abstractNumId="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132D801A"/>
    <w:multiLevelType w:val="singleLevel"/>
    <w:tmpl w:val="132D801A"/>
    <w:lvl w:ilvl="0">
      <w:start w:val="1"/>
      <w:numFmt w:val="decimal"/>
      <w:suff w:val="nothing"/>
      <w:lvlText w:val="（%1）"/>
      <w:lvlJc w:val="left"/>
    </w:lvl>
  </w:abstractNum>
  <w:abstractNum w:abstractNumId="11">
    <w:nsid w:val="1BB937ED"/>
    <w:multiLevelType w:val="multilevel"/>
    <w:tmpl w:val="1BB937ED"/>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12">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4">
    <w:nsid w:val="53A08313"/>
    <w:multiLevelType w:val="singleLevel"/>
    <w:tmpl w:val="53A08313"/>
    <w:lvl w:ilvl="0">
      <w:start w:val="9"/>
      <w:numFmt w:val="chineseCounting"/>
      <w:suff w:val="space"/>
      <w:lvlText w:val="第%1章"/>
      <w:lvlJc w:val="left"/>
      <w:rPr>
        <w:rFonts w:hint="eastAsia"/>
      </w:rPr>
    </w:lvl>
  </w:abstractNum>
  <w:abstractNum w:abstractNumId="15">
    <w:nsid w:val="653E5AC9"/>
    <w:multiLevelType w:val="multilevel"/>
    <w:tmpl w:val="653E5AC9"/>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16">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9"/>
  </w:num>
  <w:num w:numId="4">
    <w:abstractNumId w:val="11"/>
  </w:num>
  <w:num w:numId="5">
    <w:abstractNumId w:val="10"/>
  </w:num>
  <w:num w:numId="6">
    <w:abstractNumId w:val="15"/>
  </w:num>
  <w:num w:numId="7">
    <w:abstractNumId w:val="8"/>
  </w:num>
  <w:num w:numId="8">
    <w:abstractNumId w:val="14"/>
  </w:num>
  <w:num w:numId="9">
    <w:abstractNumId w:val="16"/>
  </w:num>
  <w:num w:numId="10">
    <w:abstractNumId w:val="1"/>
  </w:num>
  <w:num w:numId="11">
    <w:abstractNumId w:val="5"/>
  </w:num>
  <w:num w:numId="12">
    <w:abstractNumId w:val="3"/>
  </w:num>
  <w:num w:numId="13">
    <w:abstractNumId w:val="2"/>
  </w:num>
  <w:num w:numId="14">
    <w:abstractNumId w:val="13"/>
  </w:num>
  <w:num w:numId="15">
    <w:abstractNumId w:val="0"/>
  </w:num>
  <w:num w:numId="16">
    <w:abstractNumId w:val="4"/>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2C78"/>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16EC7"/>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5FB"/>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ListParagraph2">
    <w:name w:val="List Paragraph2"/>
    <w:basedOn w:val="Normal"/>
    <w:qFormat/>
    <w:pPr>
      <w:ind w:firstLine="420" w:firstLineChars="200"/>
    </w:pPr>
    <w:rPr>
      <w:rFonts w:ascii="Calibri" w:hAnsi="Calibri"/>
      <w:sz w:val="3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