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河北省气候中心华北人影项目（河北）人工增减雨雪试验示范基地X波段雷达采购项目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河北省气候中心华北人影项目（河北）人工增减雨雪试验示范基地X波段雷达采购项目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合同签订后150天内交货，180天内完成安装调试并具备现场测试条件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保定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2026年07月24日 00:00:00</w:t>
      </w:r>
      <w:bookmarkEnd w:id="26"/>
      <w:r>
        <w:rPr>
          <w:rFonts w:ascii="宋体" w:hint="eastAsia"/>
          <w:szCs w:val="21"/>
          <w:highlight w:val="none"/>
        </w:rPr>
        <w:t>至</w:t>
      </w:r>
      <w:bookmarkStart w:id="27" w:name="项目公告_signUpLastTime"/>
      <w:r>
        <w:rPr>
          <w:rFonts w:ascii="宋体" w:hint="eastAsia"/>
          <w:szCs w:val="21"/>
          <w:highlight w:val="none"/>
        </w:rPr>
        <w:t>2026年07月31日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 xml:space="preserve">无 </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不允许（仅针对以下产品：移动式X波段双偏振多普勒天气雷达不允许代理商投标）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设有，核心产品为移动式X波段双偏振多普勒天气雷达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必须，以下产品需要提供至投标截止日仍有效的《气象专用技术装备使用许可证》：X波段双线偏振多普勒天气雷达（全固态）气象专用技术装备使用许可证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（1）标的：移动式X波段双偏振多普勒天气雷达，属于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378.000000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378.000000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销售合同必须包括移动式X波段双偏振多普勒雷达，每提供1份合同得1分，最多得5分。否则不得分。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针对本项目采购的移动式X波段双偏振多普勒雷达，承诺每提前10天交货的得0.5分，最多得1分。否则不得分。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针对移动式X波段双偏振多普勒雷达，每提供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针对移动式X波段双偏振多普勒雷达，测试报告应涵盖高低温工作试验测试、湿热试验测试、盐雾试验测试、霉菌试验测试、电场辐射敏感度测试等内容，每包含项得0.4分，最多得2分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0F42D0">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0F42D0">
      <w:pPr>
        <w:spacing w:line="360" w:lineRule="auto"/>
        <w:ind w:firstLine="420" w:firstLineChars="200"/>
        <w:rPr>
          <w:rFonts w:ascii="宋体" w:hAnsi="宋体"/>
          <w:szCs w:val="21"/>
        </w:rPr>
      </w:pPr>
      <w:r>
        <w:rPr>
          <w:rFonts w:ascii="宋体" w:hAnsi="宋体" w:hint="eastAsia"/>
          <w:szCs w:val="21"/>
        </w:rPr>
        <w:t>一、项目概况及总体要求</w:t>
      </w:r>
    </w:p>
    <w:p w:rsidR="000F42D0">
      <w:pPr>
        <w:spacing w:line="360" w:lineRule="auto"/>
        <w:ind w:firstLine="420" w:firstLineChars="200"/>
        <w:rPr>
          <w:rFonts w:ascii="宋体" w:hAnsi="宋体"/>
          <w:szCs w:val="21"/>
        </w:rPr>
      </w:pPr>
      <w:r>
        <w:rPr>
          <w:rFonts w:ascii="宋体" w:hAnsi="宋体" w:hint="eastAsia"/>
          <w:szCs w:val="21"/>
        </w:rPr>
        <w:t>（一）项目概况</w:t>
      </w:r>
    </w:p>
    <w:p w:rsidR="000F42D0">
      <w:pPr>
        <w:spacing w:line="360" w:lineRule="auto"/>
        <w:ind w:firstLine="420" w:firstLineChars="200"/>
      </w:pPr>
      <w:r>
        <w:rPr>
          <w:rFonts w:ascii="宋体" w:hAnsi="宋体" w:hint="eastAsia"/>
          <w:szCs w:val="21"/>
        </w:rPr>
        <w:t>本项目预算为</w:t>
      </w:r>
      <w:r>
        <w:rPr>
          <w:rFonts w:ascii="宋体" w:hAnsi="宋体" w:hint="eastAsia"/>
          <w:szCs w:val="21"/>
        </w:rPr>
        <w:t>378</w:t>
      </w:r>
      <w:r>
        <w:rPr>
          <w:rFonts w:ascii="宋体" w:hAnsi="宋体" w:hint="eastAsia"/>
          <w:szCs w:val="21"/>
        </w:rPr>
        <w:t>万元，采购移动式</w:t>
      </w:r>
      <w:r>
        <w:rPr>
          <w:rFonts w:ascii="宋体" w:hAnsi="宋体" w:hint="eastAsia"/>
          <w:szCs w:val="21"/>
        </w:rPr>
        <w:t>X</w:t>
      </w:r>
      <w:r>
        <w:rPr>
          <w:rFonts w:ascii="宋体" w:hAnsi="宋体" w:hint="eastAsia"/>
          <w:szCs w:val="21"/>
        </w:rPr>
        <w:t>波段双</w:t>
      </w:r>
      <w:r>
        <w:rPr>
          <w:rFonts w:ascii="宋体" w:hAnsi="宋体" w:hint="eastAsia"/>
          <w:szCs w:val="21"/>
        </w:rPr>
        <w:t>偏振多普勒雷达</w:t>
      </w:r>
      <w:r>
        <w:rPr>
          <w:rFonts w:ascii="宋体" w:hAnsi="宋体" w:hint="eastAsia"/>
          <w:szCs w:val="21"/>
        </w:rPr>
        <w:t>1</w:t>
      </w:r>
      <w:r>
        <w:rPr>
          <w:rFonts w:ascii="宋体" w:hAnsi="宋体" w:hint="eastAsia"/>
          <w:szCs w:val="21"/>
        </w:rPr>
        <w:t>部。</w:t>
      </w:r>
      <w:r>
        <w:rPr>
          <w:rFonts w:ascii="宋体" w:hAnsi="宋体" w:hint="eastAsia"/>
          <w:szCs w:val="21"/>
        </w:rPr>
        <w:t>X</w:t>
      </w:r>
      <w:r>
        <w:rPr>
          <w:rFonts w:ascii="宋体" w:hAnsi="宋体" w:hint="eastAsia"/>
          <w:szCs w:val="21"/>
        </w:rPr>
        <w:t>波段双</w:t>
      </w:r>
      <w:r>
        <w:rPr>
          <w:rFonts w:ascii="宋体" w:hAnsi="宋体" w:hint="eastAsia"/>
          <w:szCs w:val="21"/>
        </w:rPr>
        <w:t>偏振多普勒雷达</w:t>
      </w:r>
      <w:r>
        <w:rPr>
          <w:rFonts w:hint="eastAsia"/>
        </w:rPr>
        <w:t>以其特有的对小尺度天气系统的探测能力及其工作波长特性，在小区域降水、雹云、龙卷、气旋等小尺度强天气的识别、小尺度云系发展的监测方面有其独特的作用，可以更加细微地提供云、雨滴、冰雹等水凝物的微物理过程信息，广泛应用于暴雨和冰雹等灾害性天气过程监测、预警、人工影响天气作业指挥和效果评估、水库和城市管理、航空管理等，在云和降水的遥感遥测、短时天气预报、冰雹、暴雨、雷击等灾害性天气防治，以及开展应急现场气象保障和科学试验等任务。</w:t>
      </w:r>
    </w:p>
    <w:p w:rsidR="000F42D0">
      <w:pPr>
        <w:spacing w:line="360" w:lineRule="auto"/>
        <w:ind w:firstLine="420" w:firstLineChars="200"/>
        <w:rPr>
          <w:rFonts w:ascii="宋体" w:hAnsi="宋体"/>
          <w:szCs w:val="21"/>
        </w:rPr>
      </w:pPr>
      <w:r>
        <w:rPr>
          <w:rFonts w:ascii="宋体" w:hAnsi="宋体" w:hint="eastAsia"/>
          <w:szCs w:val="21"/>
        </w:rPr>
        <w:t>本项目</w:t>
      </w:r>
      <w:r>
        <w:rPr>
          <w:rFonts w:ascii="宋体" w:hAnsi="宋体"/>
          <w:szCs w:val="21"/>
        </w:rPr>
        <w:t>基于华北云系特点及人工影响天气作业基础条件</w:t>
      </w:r>
      <w:r>
        <w:rPr>
          <w:rFonts w:ascii="宋体" w:hAnsi="宋体" w:hint="eastAsia"/>
          <w:szCs w:val="21"/>
        </w:rPr>
        <w:t>和实际需求</w:t>
      </w:r>
      <w:r>
        <w:rPr>
          <w:rFonts w:ascii="宋体" w:hAnsi="宋体"/>
          <w:szCs w:val="21"/>
        </w:rPr>
        <w:t>，</w:t>
      </w:r>
      <w:r>
        <w:rPr>
          <w:rFonts w:ascii="宋体" w:hAnsi="宋体" w:hint="eastAsia"/>
          <w:szCs w:val="21"/>
        </w:rPr>
        <w:t>采购移动式</w:t>
      </w:r>
      <w:r>
        <w:rPr>
          <w:rFonts w:ascii="宋体" w:hAnsi="宋体" w:hint="eastAsia"/>
          <w:szCs w:val="21"/>
        </w:rPr>
        <w:t>X</w:t>
      </w:r>
      <w:r>
        <w:rPr>
          <w:rFonts w:ascii="宋体" w:hAnsi="宋体" w:hint="eastAsia"/>
          <w:szCs w:val="21"/>
        </w:rPr>
        <w:t>波段双</w:t>
      </w:r>
      <w:r>
        <w:rPr>
          <w:rFonts w:ascii="宋体" w:hAnsi="宋体" w:hint="eastAsia"/>
          <w:szCs w:val="21"/>
        </w:rPr>
        <w:t>偏振多普</w:t>
      </w:r>
      <w:r>
        <w:rPr>
          <w:rFonts w:ascii="宋体" w:hAnsi="宋体" w:hint="eastAsia"/>
          <w:szCs w:val="21"/>
        </w:rPr>
        <w:t>勒雷达</w:t>
      </w:r>
      <w:r>
        <w:rPr>
          <w:rFonts w:ascii="宋体" w:hAnsi="宋体" w:hint="eastAsia"/>
          <w:szCs w:val="21"/>
        </w:rPr>
        <w:t>1</w:t>
      </w:r>
      <w:r>
        <w:rPr>
          <w:rFonts w:ascii="宋体" w:hAnsi="宋体" w:hint="eastAsia"/>
          <w:szCs w:val="21"/>
        </w:rPr>
        <w:t>部，服务本省云物理观测和效果检验等。</w:t>
      </w:r>
    </w:p>
    <w:p w:rsidR="000F42D0">
      <w:pPr>
        <w:spacing w:line="360" w:lineRule="auto"/>
        <w:ind w:firstLine="420" w:firstLineChars="200"/>
        <w:rPr>
          <w:rFonts w:ascii="宋体" w:hAnsi="宋体"/>
          <w:szCs w:val="21"/>
        </w:rPr>
      </w:pPr>
      <w:r>
        <w:rPr>
          <w:rFonts w:ascii="宋体" w:hAnsi="宋体" w:hint="eastAsia"/>
          <w:szCs w:val="21"/>
        </w:rPr>
        <w:t>（二）总体要求</w:t>
      </w:r>
    </w:p>
    <w:p w:rsidR="000F42D0">
      <w:pPr>
        <w:spacing w:line="360" w:lineRule="auto"/>
        <w:ind w:firstLine="420" w:firstLineChars="200"/>
        <w:rPr>
          <w:rFonts w:ascii="宋体" w:hAnsi="宋体"/>
          <w:szCs w:val="21"/>
        </w:rPr>
      </w:pPr>
      <w:r>
        <w:rPr>
          <w:rFonts w:ascii="宋体" w:hAnsi="宋体" w:hint="eastAsia"/>
          <w:szCs w:val="21"/>
        </w:rPr>
        <w:t>面向人工增减雨雪、小尺度强天气的识别与人工干预、以及作业效果检验的业务需要，同时考虑</w:t>
      </w:r>
      <w:r>
        <w:rPr>
          <w:rFonts w:ascii="宋体" w:hAnsi="宋体" w:cs="Times New Roman" w:hint="eastAsia"/>
          <w:szCs w:val="21"/>
        </w:rPr>
        <w:t>机动部署、灵活补盲、快速应急的布局需求</w:t>
      </w:r>
      <w:r>
        <w:rPr>
          <w:rFonts w:ascii="宋体" w:hAnsi="宋体" w:hint="eastAsia"/>
          <w:szCs w:val="21"/>
        </w:rPr>
        <w:t>，采购移动式</w:t>
      </w:r>
      <w:r>
        <w:rPr>
          <w:rFonts w:ascii="宋体" w:hAnsi="宋体" w:hint="eastAsia"/>
          <w:szCs w:val="21"/>
        </w:rPr>
        <w:t>X</w:t>
      </w:r>
      <w:r>
        <w:rPr>
          <w:rFonts w:ascii="宋体" w:hAnsi="宋体" w:hint="eastAsia"/>
          <w:szCs w:val="21"/>
        </w:rPr>
        <w:t>波段双</w:t>
      </w:r>
      <w:r>
        <w:rPr>
          <w:rFonts w:ascii="宋体" w:hAnsi="宋体" w:hint="eastAsia"/>
          <w:szCs w:val="21"/>
        </w:rPr>
        <w:t>偏振多普勒雷达</w:t>
      </w:r>
      <w:r>
        <w:rPr>
          <w:rFonts w:ascii="宋体" w:hAnsi="宋体" w:hint="eastAsia"/>
          <w:szCs w:val="21"/>
        </w:rPr>
        <w:t>1</w:t>
      </w:r>
      <w:r>
        <w:rPr>
          <w:rFonts w:ascii="宋体" w:hAnsi="宋体" w:hint="eastAsia"/>
          <w:szCs w:val="21"/>
        </w:rPr>
        <w:t>部。</w:t>
      </w:r>
    </w:p>
    <w:p w:rsidR="000F42D0">
      <w:pPr>
        <w:spacing w:line="360" w:lineRule="auto"/>
        <w:ind w:firstLine="420" w:firstLineChars="200"/>
        <w:rPr>
          <w:rFonts w:ascii="宋体" w:hAnsi="宋体"/>
          <w:szCs w:val="21"/>
        </w:rPr>
      </w:pPr>
      <w:r>
        <w:rPr>
          <w:rFonts w:ascii="宋体" w:hAnsi="宋体" w:hint="eastAsia"/>
          <w:szCs w:val="21"/>
        </w:rPr>
        <w:t>（三）付款方式</w:t>
      </w:r>
    </w:p>
    <w:p w:rsidR="000F42D0">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支付方式：银行转账</w:t>
      </w:r>
    </w:p>
    <w:p w:rsidR="000F42D0">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货币单位：人民币</w:t>
      </w:r>
    </w:p>
    <w:p w:rsidR="000F42D0">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结算方式：</w:t>
      </w:r>
    </w:p>
    <w:p w:rsidR="000F42D0">
      <w:pPr>
        <w:spacing w:line="360" w:lineRule="auto"/>
        <w:ind w:firstLine="420" w:firstLineChars="200"/>
        <w:rPr>
          <w:rFonts w:ascii="宋体" w:hAnsi="宋体"/>
          <w:szCs w:val="21"/>
        </w:rPr>
      </w:pPr>
      <w:r>
        <w:rPr>
          <w:rFonts w:ascii="宋体" w:hAnsi="宋体"/>
          <w:szCs w:val="21"/>
        </w:rPr>
        <w:t>合同签订</w:t>
      </w:r>
      <w:r>
        <w:rPr>
          <w:rFonts w:ascii="宋体" w:hAnsi="宋体" w:hint="eastAsia"/>
          <w:szCs w:val="21"/>
        </w:rPr>
        <w:t>后</w:t>
      </w:r>
      <w:r>
        <w:rPr>
          <w:rFonts w:ascii="宋体" w:hAnsi="宋体"/>
          <w:szCs w:val="21"/>
        </w:rPr>
        <w:t>，乙方向甲方提供合同总金额</w:t>
      </w:r>
      <w:r>
        <w:rPr>
          <w:rFonts w:ascii="宋体" w:hAnsi="宋体"/>
          <w:szCs w:val="21"/>
        </w:rPr>
        <w:t>5%</w:t>
      </w:r>
      <w:r>
        <w:rPr>
          <w:rFonts w:ascii="宋体" w:hAnsi="宋体"/>
          <w:szCs w:val="21"/>
        </w:rPr>
        <w:t>的</w:t>
      </w:r>
      <w:r>
        <w:rPr>
          <w:rFonts w:ascii="宋体" w:hAnsi="宋体" w:hint="eastAsia"/>
          <w:szCs w:val="21"/>
        </w:rPr>
        <w:t>银行履约保函</w:t>
      </w:r>
      <w:r>
        <w:rPr>
          <w:rFonts w:ascii="宋体" w:hAnsi="宋体"/>
          <w:szCs w:val="21"/>
        </w:rPr>
        <w:t>，设备验收合格一年后，甲方将</w:t>
      </w:r>
      <w:r>
        <w:rPr>
          <w:rFonts w:ascii="宋体" w:hAnsi="宋体" w:hint="eastAsia"/>
          <w:szCs w:val="21"/>
        </w:rPr>
        <w:t>银行履约保函</w:t>
      </w:r>
      <w:r>
        <w:rPr>
          <w:rFonts w:ascii="宋体" w:hAnsi="宋体"/>
          <w:szCs w:val="21"/>
        </w:rPr>
        <w:t>退还乙方。</w:t>
      </w:r>
    </w:p>
    <w:p w:rsidR="000F42D0">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30</w:t>
      </w:r>
      <w:r>
        <w:rPr>
          <w:rFonts w:ascii="宋体" w:hAnsi="宋体" w:hint="eastAsia"/>
          <w:szCs w:val="21"/>
        </w:rPr>
        <w:t>日内支付合同金额的</w:t>
      </w:r>
      <w:r>
        <w:rPr>
          <w:rFonts w:ascii="宋体" w:hAnsi="宋体" w:hint="eastAsia"/>
          <w:szCs w:val="21"/>
        </w:rPr>
        <w:t>30%</w:t>
      </w:r>
      <w:r>
        <w:rPr>
          <w:rFonts w:ascii="宋体" w:hAnsi="宋体" w:hint="eastAsia"/>
          <w:szCs w:val="21"/>
        </w:rPr>
        <w:t>，用于</w:t>
      </w:r>
      <w:r>
        <w:rPr>
          <w:rFonts w:ascii="宋体" w:hAnsi="宋体"/>
          <w:szCs w:val="21"/>
        </w:rPr>
        <w:t>移动式</w:t>
      </w:r>
      <w:r>
        <w:rPr>
          <w:rFonts w:ascii="宋体" w:hAnsi="宋体"/>
          <w:szCs w:val="21"/>
        </w:rPr>
        <w:t>X</w:t>
      </w:r>
      <w:r>
        <w:rPr>
          <w:rFonts w:ascii="宋体" w:hAnsi="宋体"/>
          <w:szCs w:val="21"/>
        </w:rPr>
        <w:t>波段双</w:t>
      </w:r>
      <w:r>
        <w:rPr>
          <w:rFonts w:ascii="宋体" w:hAnsi="宋体"/>
          <w:szCs w:val="21"/>
        </w:rPr>
        <w:t>偏振多普勒雷达</w:t>
      </w:r>
      <w:r>
        <w:rPr>
          <w:rFonts w:ascii="宋体" w:hAnsi="宋体" w:hint="eastAsia"/>
          <w:szCs w:val="21"/>
        </w:rPr>
        <w:t>的生产；设备完成出厂验收后，</w:t>
      </w:r>
      <w:r>
        <w:rPr>
          <w:rFonts w:ascii="宋体" w:hAnsi="宋体"/>
          <w:szCs w:val="21"/>
        </w:rPr>
        <w:t>支</w:t>
      </w:r>
      <w:r>
        <w:rPr>
          <w:rFonts w:ascii="宋体" w:hAnsi="宋体"/>
          <w:szCs w:val="21"/>
        </w:rPr>
        <w:t>付</w:t>
      </w:r>
      <w:r>
        <w:rPr>
          <w:rFonts w:ascii="宋体" w:hAnsi="宋体" w:hint="eastAsia"/>
          <w:szCs w:val="21"/>
        </w:rPr>
        <w:t>合同金额的</w:t>
      </w:r>
      <w:r>
        <w:rPr>
          <w:rFonts w:ascii="宋体" w:hAnsi="宋体" w:hint="eastAsia"/>
          <w:szCs w:val="21"/>
        </w:rPr>
        <w:t>30%</w:t>
      </w:r>
      <w:r>
        <w:rPr>
          <w:rFonts w:ascii="宋体" w:hAnsi="宋体" w:hint="eastAsia"/>
          <w:szCs w:val="21"/>
        </w:rPr>
        <w:t>；设备到达现场，安装调试完毕，现场验收合格后，支付合同金额的</w:t>
      </w:r>
      <w:r>
        <w:rPr>
          <w:rFonts w:ascii="宋体" w:hAnsi="宋体" w:hint="eastAsia"/>
          <w:szCs w:val="21"/>
        </w:rPr>
        <w:t>30%</w:t>
      </w:r>
      <w:r>
        <w:rPr>
          <w:rFonts w:ascii="宋体" w:hAnsi="宋体" w:hint="eastAsia"/>
          <w:szCs w:val="21"/>
        </w:rPr>
        <w:t>；合同验收意见签署完成后支付合同金额的</w:t>
      </w:r>
      <w:r>
        <w:rPr>
          <w:rFonts w:ascii="宋体" w:hAnsi="宋体" w:hint="eastAsia"/>
          <w:szCs w:val="21"/>
        </w:rPr>
        <w:t>10%</w:t>
      </w:r>
      <w:r>
        <w:rPr>
          <w:rFonts w:ascii="宋体" w:hAnsi="宋体" w:hint="eastAsia"/>
          <w:szCs w:val="21"/>
        </w:rPr>
        <w:t>。</w:t>
      </w:r>
    </w:p>
    <w:p w:rsidR="000F42D0">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rsidR="000F42D0">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538"/>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rFonts w:hint="eastAsia"/>
                <w:sz w:val="20"/>
                <w:szCs w:val="20"/>
              </w:rPr>
              <w:t>移动式</w:t>
            </w:r>
            <w:r>
              <w:rPr>
                <w:rFonts w:hint="eastAsia"/>
                <w:sz w:val="20"/>
                <w:szCs w:val="20"/>
              </w:rPr>
              <w:t>X</w:t>
            </w:r>
            <w:r>
              <w:rPr>
                <w:rFonts w:hint="eastAsia"/>
                <w:sz w:val="20"/>
                <w:szCs w:val="20"/>
              </w:rPr>
              <w:t>波段双</w:t>
            </w:r>
            <w:r>
              <w:rPr>
                <w:rFonts w:hint="eastAsia"/>
                <w:sz w:val="20"/>
                <w:szCs w:val="20"/>
              </w:rPr>
              <w:t>偏振多普勒雷达</w:t>
            </w:r>
          </w:p>
        </w:tc>
        <w:tc>
          <w:tcPr>
            <w:tcW w:w="1068"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rFonts w:hint="eastAsia"/>
                <w:sz w:val="20"/>
                <w:szCs w:val="20"/>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rFonts w:hint="eastAsia"/>
                <w:sz w:val="20"/>
                <w:szCs w:val="20"/>
              </w:rPr>
              <w:t>1</w:t>
            </w:r>
            <w:r>
              <w:rPr>
                <w:rFonts w:hint="eastAsia"/>
                <w:sz w:val="20"/>
                <w:szCs w:val="20"/>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rFonts w:hint="eastAsia"/>
                <w:sz w:val="20"/>
                <w:szCs w:val="20"/>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r>
              <w:rPr>
                <w:rFonts w:hint="eastAsia"/>
                <w:sz w:val="20"/>
                <w:szCs w:val="20"/>
              </w:rPr>
              <w:t>保定</w:t>
            </w:r>
          </w:p>
        </w:tc>
        <w:tc>
          <w:tcPr>
            <w:tcW w:w="1074" w:type="dxa"/>
            <w:tcBorders>
              <w:top w:val="single" w:sz="4" w:space="0" w:color="000000"/>
              <w:left w:val="single" w:sz="4" w:space="0" w:color="000000"/>
              <w:bottom w:val="single" w:sz="4" w:space="0" w:color="000000"/>
              <w:right w:val="single" w:sz="4" w:space="0" w:color="000000"/>
            </w:tcBorders>
            <w:vAlign w:val="center"/>
          </w:tcPr>
          <w:p w:rsidR="000F42D0">
            <w:pPr>
              <w:jc w:val="center"/>
              <w:rPr>
                <w:sz w:val="20"/>
                <w:szCs w:val="20"/>
              </w:rPr>
            </w:pPr>
          </w:p>
        </w:tc>
      </w:tr>
    </w:tbl>
    <w:p w:rsidR="000F42D0">
      <w:pPr>
        <w:spacing w:line="360" w:lineRule="auto"/>
        <w:ind w:firstLine="420" w:firstLineChars="200"/>
        <w:rPr>
          <w:rFonts w:ascii="宋体" w:hAnsi="宋体"/>
          <w:szCs w:val="21"/>
        </w:rPr>
      </w:pPr>
      <w:r>
        <w:rPr>
          <w:rFonts w:ascii="宋体" w:hAnsi="宋体" w:hint="eastAsia"/>
          <w:szCs w:val="21"/>
        </w:rPr>
        <w:t>三、技术性能指标</w:t>
      </w:r>
    </w:p>
    <w:p w:rsidR="000F42D0">
      <w:pPr>
        <w:pStyle w:val="Caption"/>
      </w:pPr>
      <w:r>
        <w:t>移动式</w:t>
      </w:r>
      <w:r>
        <w:t>X</w:t>
      </w:r>
      <w:r>
        <w:t>波段双</w:t>
      </w:r>
      <w:r>
        <w:t>偏振多普勒天气雷达主要设备组成表</w:t>
      </w:r>
    </w:p>
    <w:tbl>
      <w:tblPr>
        <w:tblStyle w:val="TableNormal"/>
        <w:tblW w:w="46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
      <w:tblGrid>
        <w:gridCol w:w="1043"/>
        <w:gridCol w:w="1947"/>
        <w:gridCol w:w="1267"/>
        <w:gridCol w:w="4164"/>
      </w:tblGrid>
      <w:tr>
        <w:tblPrEx>
          <w:tblW w:w="46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Ex>
        <w:trPr>
          <w:jc w:val="center"/>
        </w:trPr>
        <w:tc>
          <w:tcPr>
            <w:tcW w:w="1044" w:type="dxa"/>
            <w:vAlign w:val="center"/>
          </w:tcPr>
          <w:p w:rsidR="000F42D0">
            <w:pPr>
              <w:jc w:val="center"/>
              <w:rPr>
                <w:b/>
                <w:sz w:val="20"/>
              </w:rPr>
            </w:pPr>
            <w:r>
              <w:rPr>
                <w:b/>
                <w:sz w:val="20"/>
              </w:rPr>
              <w:t>序号</w:t>
            </w:r>
          </w:p>
        </w:tc>
        <w:tc>
          <w:tcPr>
            <w:tcW w:w="1947" w:type="dxa"/>
            <w:vAlign w:val="center"/>
          </w:tcPr>
          <w:p w:rsidR="000F42D0">
            <w:pPr>
              <w:jc w:val="center"/>
              <w:rPr>
                <w:b/>
                <w:sz w:val="20"/>
              </w:rPr>
            </w:pPr>
            <w:r>
              <w:rPr>
                <w:b/>
                <w:sz w:val="20"/>
              </w:rPr>
              <w:t>名称</w:t>
            </w:r>
          </w:p>
        </w:tc>
        <w:tc>
          <w:tcPr>
            <w:tcW w:w="1267" w:type="dxa"/>
            <w:vAlign w:val="center"/>
          </w:tcPr>
          <w:p w:rsidR="000F42D0">
            <w:pPr>
              <w:jc w:val="center"/>
              <w:rPr>
                <w:b/>
                <w:sz w:val="20"/>
              </w:rPr>
            </w:pPr>
            <w:r>
              <w:rPr>
                <w:b/>
                <w:sz w:val="20"/>
              </w:rPr>
              <w:t>数量</w:t>
            </w:r>
          </w:p>
        </w:tc>
        <w:tc>
          <w:tcPr>
            <w:tcW w:w="4165" w:type="dxa"/>
            <w:vAlign w:val="center"/>
          </w:tcPr>
          <w:p w:rsidR="000F42D0">
            <w:pPr>
              <w:jc w:val="center"/>
              <w:rPr>
                <w:b/>
                <w:sz w:val="20"/>
              </w:rPr>
            </w:pPr>
            <w:r>
              <w:rPr>
                <w:b/>
                <w:sz w:val="20"/>
              </w:rPr>
              <w:t>备注</w:t>
            </w:r>
          </w:p>
        </w:tc>
      </w:tr>
      <w:tr>
        <w:tblPrEx>
          <w:tblW w:w="4677" w:type="pct"/>
          <w:jc w:val="center"/>
          <w:tblLayout w:type="fixed"/>
          <w:tblLook w:val="04A0"/>
        </w:tblPrEx>
        <w:trPr>
          <w:jc w:val="center"/>
        </w:trPr>
        <w:tc>
          <w:tcPr>
            <w:tcW w:w="1044" w:type="dxa"/>
            <w:shd w:val="clear" w:color="auto" w:fill="auto"/>
            <w:vAlign w:val="center"/>
          </w:tcPr>
          <w:p w:rsidR="000F42D0">
            <w:pPr>
              <w:rPr>
                <w:sz w:val="20"/>
              </w:rPr>
            </w:pPr>
            <w:r>
              <w:rPr>
                <w:sz w:val="20"/>
              </w:rPr>
              <w:t>1</w:t>
            </w:r>
          </w:p>
        </w:tc>
        <w:tc>
          <w:tcPr>
            <w:tcW w:w="1947" w:type="dxa"/>
            <w:shd w:val="clear" w:color="000000" w:fill="FFFFFF"/>
            <w:vAlign w:val="center"/>
          </w:tcPr>
          <w:p w:rsidR="000F42D0">
            <w:pPr>
              <w:rPr>
                <w:sz w:val="20"/>
              </w:rPr>
            </w:pPr>
            <w:r>
              <w:rPr>
                <w:sz w:val="20"/>
              </w:rPr>
              <w:t>雷达系统</w:t>
            </w:r>
          </w:p>
        </w:tc>
        <w:tc>
          <w:tcPr>
            <w:tcW w:w="1267" w:type="dxa"/>
            <w:shd w:val="clear" w:color="auto" w:fill="auto"/>
            <w:vAlign w:val="center"/>
          </w:tcPr>
          <w:p w:rsidR="000F42D0">
            <w:pPr>
              <w:rPr>
                <w:rFonts w:eastAsia="宋体"/>
                <w:sz w:val="20"/>
              </w:rPr>
            </w:pPr>
            <w:r>
              <w:rPr>
                <w:sz w:val="20"/>
              </w:rPr>
              <w:t>1</w:t>
            </w:r>
            <w:r>
              <w:rPr>
                <w:rFonts w:hint="eastAsia"/>
                <w:sz w:val="20"/>
              </w:rPr>
              <w:t>套</w:t>
            </w:r>
          </w:p>
        </w:tc>
        <w:tc>
          <w:tcPr>
            <w:tcW w:w="4165" w:type="dxa"/>
            <w:shd w:val="clear" w:color="000000" w:fill="FFFFFF"/>
            <w:vAlign w:val="center"/>
          </w:tcPr>
          <w:p w:rsidR="000F42D0">
            <w:pPr>
              <w:rPr>
                <w:sz w:val="20"/>
              </w:rPr>
            </w:pPr>
            <w:r>
              <w:rPr>
                <w:sz w:val="20"/>
              </w:rPr>
              <w:t>含雷达天线及馈线、发射机、接收系统、信号处理器等</w:t>
            </w:r>
          </w:p>
        </w:tc>
      </w:tr>
      <w:tr>
        <w:tblPrEx>
          <w:tblW w:w="4677" w:type="pct"/>
          <w:jc w:val="center"/>
          <w:tblLayout w:type="fixed"/>
          <w:tblLook w:val="04A0"/>
        </w:tblPrEx>
        <w:trPr>
          <w:jc w:val="center"/>
        </w:trPr>
        <w:tc>
          <w:tcPr>
            <w:tcW w:w="1044" w:type="dxa"/>
            <w:shd w:val="clear" w:color="auto" w:fill="auto"/>
            <w:vAlign w:val="center"/>
          </w:tcPr>
          <w:p w:rsidR="000F42D0">
            <w:pPr>
              <w:rPr>
                <w:sz w:val="20"/>
              </w:rPr>
            </w:pPr>
            <w:r>
              <w:rPr>
                <w:sz w:val="20"/>
              </w:rPr>
              <w:t>2</w:t>
            </w:r>
          </w:p>
        </w:tc>
        <w:tc>
          <w:tcPr>
            <w:tcW w:w="1947" w:type="dxa"/>
            <w:shd w:val="clear" w:color="000000" w:fill="FFFFFF"/>
            <w:vAlign w:val="center"/>
          </w:tcPr>
          <w:p w:rsidR="000F42D0">
            <w:pPr>
              <w:rPr>
                <w:sz w:val="20"/>
              </w:rPr>
            </w:pPr>
            <w:r>
              <w:rPr>
                <w:sz w:val="20"/>
              </w:rPr>
              <w:t>方舱</w:t>
            </w:r>
          </w:p>
        </w:tc>
        <w:tc>
          <w:tcPr>
            <w:tcW w:w="1267" w:type="dxa"/>
            <w:shd w:val="clear" w:color="auto" w:fill="auto"/>
            <w:vAlign w:val="center"/>
          </w:tcPr>
          <w:p w:rsidR="000F42D0">
            <w:pPr>
              <w:rPr>
                <w:sz w:val="20"/>
              </w:rPr>
            </w:pPr>
            <w:r>
              <w:rPr>
                <w:sz w:val="20"/>
              </w:rPr>
              <w:t>1</w:t>
            </w:r>
            <w:r>
              <w:rPr>
                <w:rFonts w:hint="eastAsia"/>
                <w:sz w:val="20"/>
              </w:rPr>
              <w:t>套</w:t>
            </w:r>
          </w:p>
        </w:tc>
        <w:tc>
          <w:tcPr>
            <w:tcW w:w="4165" w:type="dxa"/>
            <w:shd w:val="clear" w:color="000000" w:fill="FFFFFF"/>
            <w:vAlign w:val="center"/>
          </w:tcPr>
          <w:p w:rsidR="000F42D0">
            <w:pPr>
              <w:rPr>
                <w:sz w:val="20"/>
              </w:rPr>
            </w:pPr>
            <w:r>
              <w:rPr>
                <w:sz w:val="20"/>
              </w:rPr>
              <w:t>含运输</w:t>
            </w:r>
            <w:r>
              <w:rPr>
                <w:sz w:val="20"/>
              </w:rPr>
              <w:t>方舱及天线升降系统等</w:t>
            </w:r>
          </w:p>
        </w:tc>
      </w:tr>
      <w:tr>
        <w:tblPrEx>
          <w:tblW w:w="4677" w:type="pct"/>
          <w:jc w:val="center"/>
          <w:tblLayout w:type="fixed"/>
          <w:tblLook w:val="04A0"/>
        </w:tblPrEx>
        <w:trPr>
          <w:jc w:val="center"/>
        </w:trPr>
        <w:tc>
          <w:tcPr>
            <w:tcW w:w="1044" w:type="dxa"/>
            <w:shd w:val="clear" w:color="auto" w:fill="auto"/>
            <w:vAlign w:val="center"/>
          </w:tcPr>
          <w:p w:rsidR="000F42D0">
            <w:pPr>
              <w:rPr>
                <w:sz w:val="20"/>
              </w:rPr>
            </w:pPr>
            <w:r>
              <w:rPr>
                <w:sz w:val="20"/>
              </w:rPr>
              <w:t>3</w:t>
            </w:r>
          </w:p>
        </w:tc>
        <w:tc>
          <w:tcPr>
            <w:tcW w:w="1947" w:type="dxa"/>
            <w:shd w:val="clear" w:color="000000" w:fill="FFFFFF"/>
            <w:vAlign w:val="center"/>
          </w:tcPr>
          <w:p w:rsidR="000F42D0">
            <w:pPr>
              <w:rPr>
                <w:sz w:val="20"/>
              </w:rPr>
            </w:pPr>
            <w:r>
              <w:rPr>
                <w:sz w:val="20"/>
              </w:rPr>
              <w:t>附属设备</w:t>
            </w:r>
          </w:p>
        </w:tc>
        <w:tc>
          <w:tcPr>
            <w:tcW w:w="1267" w:type="dxa"/>
            <w:shd w:val="clear" w:color="auto" w:fill="auto"/>
            <w:vAlign w:val="center"/>
          </w:tcPr>
          <w:p w:rsidR="000F42D0">
            <w:pPr>
              <w:rPr>
                <w:sz w:val="20"/>
              </w:rPr>
            </w:pPr>
            <w:r>
              <w:rPr>
                <w:sz w:val="20"/>
              </w:rPr>
              <w:t>1</w:t>
            </w:r>
            <w:r>
              <w:rPr>
                <w:rFonts w:hint="eastAsia"/>
                <w:sz w:val="20"/>
              </w:rPr>
              <w:t>套</w:t>
            </w:r>
          </w:p>
        </w:tc>
        <w:tc>
          <w:tcPr>
            <w:tcW w:w="4165" w:type="dxa"/>
            <w:shd w:val="clear" w:color="000000" w:fill="FFFFFF"/>
            <w:vAlign w:val="center"/>
          </w:tcPr>
          <w:p w:rsidR="000F42D0">
            <w:pPr>
              <w:rPr>
                <w:sz w:val="20"/>
              </w:rPr>
            </w:pPr>
            <w:r>
              <w:rPr>
                <w:rFonts w:hint="eastAsia"/>
                <w:sz w:val="20"/>
              </w:rPr>
              <w:t>含</w:t>
            </w:r>
            <w:r>
              <w:rPr>
                <w:rFonts w:hint="eastAsia"/>
                <w:sz w:val="20"/>
              </w:rPr>
              <w:t>发电机、</w:t>
            </w:r>
            <w:r>
              <w:rPr>
                <w:rFonts w:hint="eastAsia"/>
                <w:sz w:val="20"/>
              </w:rPr>
              <w:t>UPS</w:t>
            </w:r>
            <w:r>
              <w:rPr>
                <w:rFonts w:hint="eastAsia"/>
                <w:sz w:val="20"/>
              </w:rPr>
              <w:t>供电、通信、防雷等</w:t>
            </w:r>
          </w:p>
        </w:tc>
      </w:tr>
    </w:tbl>
    <w:p w:rsidR="000F42D0">
      <w:pPr>
        <w:spacing w:line="360" w:lineRule="auto"/>
        <w:ind w:firstLine="420" w:firstLineChars="200"/>
        <w:rPr>
          <w:rFonts w:ascii="宋体" w:eastAsia="宋体" w:hAnsi="宋体"/>
          <w:szCs w:val="21"/>
        </w:rPr>
      </w:pPr>
    </w:p>
    <w:p w:rsidR="000F42D0">
      <w:pPr>
        <w:pStyle w:val="Caption"/>
      </w:pPr>
      <w:r>
        <w:t>移动式Ｘ</w:t>
      </w:r>
      <w:r>
        <w:t>波段双</w:t>
      </w:r>
      <w:r>
        <w:t>偏振多普勒雷达总体技术性能要求表</w:t>
      </w:r>
    </w:p>
    <w:p w:rsidR="000F42D0">
      <w:pPr>
        <w:jc w:val="center"/>
        <w:rPr>
          <w:rFonts w:ascii="Arial" w:eastAsia="黑体" w:hAnsi="Arial" w:cs="Arial"/>
          <w:sz w:val="20"/>
          <w:szCs w:val="20"/>
        </w:rPr>
      </w:pPr>
      <w:r>
        <w:rPr>
          <w:rFonts w:ascii="Arial" w:eastAsia="黑体" w:hAnsi="Arial" w:cs="Arial" w:hint="eastAsia"/>
          <w:sz w:val="20"/>
          <w:szCs w:val="20"/>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4"/>
        <w:gridCol w:w="2032"/>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0"/>
          <w:jc w:val="center"/>
        </w:trPr>
        <w:tc>
          <w:tcPr>
            <w:tcW w:w="3646" w:type="dxa"/>
            <w:gridSpan w:val="2"/>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5114"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全固态</w:t>
            </w:r>
            <w:r>
              <w:rPr>
                <w:rFonts w:hint="eastAsia"/>
                <w:sz w:val="20"/>
              </w:rPr>
              <w:t xml:space="preserve"> </w:t>
            </w:r>
            <w:r>
              <w:rPr>
                <w:rFonts w:hint="eastAsia"/>
                <w:sz w:val="20"/>
              </w:rPr>
              <w:t>双线偏振多普勒体制</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9.</w:t>
            </w:r>
            <w:r>
              <w:rPr>
                <w:rFonts w:hint="eastAsia"/>
                <w:sz w:val="20"/>
              </w:rPr>
              <w:t>3</w:t>
            </w:r>
            <w:r>
              <w:rPr>
                <w:rFonts w:hint="eastAsia"/>
                <w:sz w:val="20"/>
              </w:rPr>
              <w:t>～</w:t>
            </w:r>
            <w:r>
              <w:rPr>
                <w:rFonts w:hint="eastAsia"/>
                <w:sz w:val="20"/>
              </w:rPr>
              <w:t>9.5GHz</w:t>
            </w:r>
            <w:r>
              <w:rPr>
                <w:rFonts w:hint="eastAsia"/>
                <w:sz w:val="20"/>
              </w:rPr>
              <w:t>范围内，间隔</w:t>
            </w:r>
            <w:r>
              <w:rPr>
                <w:rFonts w:hint="eastAsia"/>
                <w:sz w:val="20"/>
              </w:rPr>
              <w:t>1M</w:t>
            </w:r>
            <w:r>
              <w:rPr>
                <w:rFonts w:hint="eastAsia"/>
                <w:sz w:val="20"/>
              </w:rPr>
              <w:t>可选</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15</w:t>
            </w:r>
            <w:r>
              <w:rPr>
                <w:rFonts w:hint="eastAsia"/>
                <w:sz w:val="20"/>
              </w:rPr>
              <w:t>年</w:t>
            </w:r>
          </w:p>
        </w:tc>
      </w:tr>
      <w:tr>
        <w:tblPrEx>
          <w:tblW w:w="8760" w:type="dxa"/>
          <w:jc w:val="center"/>
          <w:tblLayout w:type="fixed"/>
          <w:tblLook w:val="04A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多普勒工作方式</w:t>
            </w:r>
            <w:r>
              <w:rPr>
                <w:rFonts w:hint="eastAsia"/>
                <w:sz w:val="20"/>
              </w:rPr>
              <w:t>:</w:t>
            </w:r>
            <w:r>
              <w:rPr>
                <w:rFonts w:hint="eastAsia"/>
                <w:sz w:val="20"/>
              </w:rPr>
              <w:t>强度测量距离≥</w:t>
            </w:r>
            <w:r>
              <w:rPr>
                <w:rFonts w:hint="eastAsia"/>
                <w:sz w:val="20"/>
              </w:rPr>
              <w:t>240km</w:t>
            </w:r>
            <w:r>
              <w:rPr>
                <w:rFonts w:hint="eastAsia"/>
                <w:sz w:val="20"/>
              </w:rPr>
              <w:t>、速度测量距离≥</w:t>
            </w:r>
            <w:r>
              <w:rPr>
                <w:rFonts w:hint="eastAsia"/>
                <w:sz w:val="20"/>
              </w:rPr>
              <w:t>150km</w:t>
            </w:r>
            <w:r>
              <w:rPr>
                <w:rFonts w:hint="eastAsia"/>
                <w:sz w:val="20"/>
              </w:rPr>
              <w:t>、谱宽测量距离≥</w:t>
            </w:r>
            <w:r>
              <w:rPr>
                <w:rFonts w:hint="eastAsia"/>
                <w:sz w:val="20"/>
              </w:rPr>
              <w:t>150km</w:t>
            </w:r>
            <w:r>
              <w:rPr>
                <w:rFonts w:hint="eastAsia"/>
                <w:sz w:val="20"/>
              </w:rPr>
              <w:t>、偏振工作方式</w:t>
            </w:r>
            <w:r>
              <w:rPr>
                <w:rFonts w:hint="eastAsia"/>
                <w:sz w:val="20"/>
              </w:rPr>
              <w:t>:</w:t>
            </w:r>
            <w:r>
              <w:rPr>
                <w:rFonts w:hint="eastAsia"/>
                <w:sz w:val="20"/>
              </w:rPr>
              <w:t>测量距离≥</w:t>
            </w:r>
            <w:r>
              <w:rPr>
                <w:rFonts w:hint="eastAsia"/>
                <w:sz w:val="20"/>
              </w:rPr>
              <w:t>150km</w:t>
            </w:r>
            <w:r>
              <w:rPr>
                <w:rFonts w:hint="eastAsia"/>
                <w:sz w:val="20"/>
              </w:rPr>
              <w:t>。</w:t>
            </w:r>
          </w:p>
          <w:p w:rsidR="000F42D0">
            <w:pPr>
              <w:rPr>
                <w:sz w:val="20"/>
              </w:rPr>
            </w:pPr>
            <w:r>
              <w:rPr>
                <w:rFonts w:hint="eastAsia"/>
                <w:sz w:val="20"/>
              </w:rPr>
              <w:t>近距离盲区范围</w:t>
            </w:r>
            <w:r>
              <w:rPr>
                <w:rFonts w:hint="eastAsia"/>
                <w:sz w:val="20"/>
              </w:rPr>
              <w:t xml:space="preserve">  </w:t>
            </w:r>
            <w:r>
              <w:rPr>
                <w:rFonts w:hint="eastAsia"/>
                <w:sz w:val="20"/>
              </w:rPr>
              <w:t>≤</w:t>
            </w:r>
            <w:r>
              <w:rPr>
                <w:rFonts w:hint="eastAsia"/>
                <w:sz w:val="20"/>
              </w:rPr>
              <w:t>500m</w:t>
            </w:r>
          </w:p>
        </w:tc>
      </w:tr>
      <w:tr>
        <w:tblPrEx>
          <w:tblW w:w="8760" w:type="dxa"/>
          <w:jc w:val="center"/>
          <w:tblLayout w:type="fixed"/>
          <w:tblLook w:val="04A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500m</w:t>
            </w:r>
          </w:p>
        </w:tc>
      </w:tr>
      <w:tr>
        <w:tblPrEx>
          <w:tblW w:w="8760" w:type="dxa"/>
          <w:jc w:val="center"/>
          <w:tblLayout w:type="fixed"/>
          <w:tblLook w:val="04A0"/>
        </w:tblPrEx>
        <w:trPr>
          <w:trHeight w:val="90"/>
          <w:jc w:val="center"/>
        </w:trPr>
        <w:tc>
          <w:tcPr>
            <w:tcW w:w="1614" w:type="dxa"/>
            <w:vMerge w:val="restart"/>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分辨率</w:t>
            </w: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距离</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75m</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角度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w:t>
            </w:r>
            <w:r>
              <w:rPr>
                <w:rFonts w:hint="eastAsia"/>
                <w:sz w:val="20"/>
              </w:rPr>
              <w:t>°</w:t>
            </w:r>
          </w:p>
        </w:tc>
      </w:tr>
      <w:tr>
        <w:tblPrEx>
          <w:tblW w:w="8760" w:type="dxa"/>
          <w:jc w:val="center"/>
          <w:tblLayout w:type="fixed"/>
          <w:tblLook w:val="04A0"/>
        </w:tblPrEx>
        <w:trPr>
          <w:jc w:val="center"/>
        </w:trPr>
        <w:tc>
          <w:tcPr>
            <w:tcW w:w="1614"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测量范围</w:t>
            </w: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强度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-15</w:t>
            </w:r>
            <w:r>
              <w:rPr>
                <w:rFonts w:hint="eastAsia"/>
                <w:sz w:val="20"/>
              </w:rPr>
              <w:t>～</w:t>
            </w:r>
            <w:r>
              <w:rPr>
                <w:rFonts w:hint="eastAsia"/>
                <w:sz w:val="20"/>
              </w:rPr>
              <w:t>+80dBZ</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速度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48m/s</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谱宽</w:t>
            </w:r>
          </w:p>
        </w:tc>
        <w:tc>
          <w:tcPr>
            <w:tcW w:w="5114"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0</w:t>
            </w:r>
            <w:r>
              <w:rPr>
                <w:rFonts w:hint="eastAsia"/>
                <w:sz w:val="20"/>
              </w:rPr>
              <w:t>～</w:t>
            </w:r>
            <w:r>
              <w:rPr>
                <w:rFonts w:hint="eastAsia"/>
                <w:sz w:val="20"/>
              </w:rPr>
              <w:t>16m/s</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-7.9dB</w:t>
            </w:r>
            <w:r>
              <w:rPr>
                <w:rFonts w:hint="eastAsia"/>
                <w:sz w:val="20"/>
              </w:rPr>
              <w:t>～</w:t>
            </w:r>
            <w:r>
              <w:rPr>
                <w:rFonts w:hint="eastAsia"/>
                <w:sz w:val="20"/>
              </w:rPr>
              <w:t>+7.9dB</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-180</w:t>
            </w:r>
            <w:r>
              <w:rPr>
                <w:rFonts w:hint="eastAsia"/>
                <w:sz w:val="20"/>
              </w:rPr>
              <w:t>°～</w:t>
            </w:r>
            <w:r>
              <w:rPr>
                <w:rFonts w:hint="eastAsia"/>
                <w:sz w:val="20"/>
              </w:rPr>
              <w:t>+180</w:t>
            </w:r>
            <w:r>
              <w:rPr>
                <w:rFonts w:hint="eastAsia"/>
                <w:sz w:val="20"/>
              </w:rPr>
              <w:t>°</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-2</w:t>
            </w:r>
            <w:r>
              <w:rPr>
                <w:rFonts w:hint="eastAsia"/>
                <w:sz w:val="20"/>
              </w:rPr>
              <w:t>°</w:t>
            </w:r>
            <w:r>
              <w:rPr>
                <w:rFonts w:hint="eastAsia"/>
                <w:sz w:val="20"/>
              </w:rPr>
              <w:t>/km</w:t>
            </w:r>
            <w:r>
              <w:rPr>
                <w:rFonts w:hint="eastAsia"/>
                <w:sz w:val="20"/>
              </w:rPr>
              <w:t>～</w:t>
            </w:r>
            <w:r>
              <w:rPr>
                <w:rFonts w:hint="eastAsia"/>
                <w:sz w:val="20"/>
              </w:rPr>
              <w:t>+10</w:t>
            </w:r>
            <w:r>
              <w:rPr>
                <w:rFonts w:hint="eastAsia"/>
                <w:sz w:val="20"/>
              </w:rPr>
              <w:t>°</w:t>
            </w:r>
            <w:r>
              <w:rPr>
                <w:rFonts w:hint="eastAsia"/>
                <w:sz w:val="20"/>
              </w:rPr>
              <w:t>/km</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0</w:t>
            </w:r>
            <w:r>
              <w:rPr>
                <w:rFonts w:hint="eastAsia"/>
                <w:sz w:val="20"/>
              </w:rPr>
              <w:t>～</w:t>
            </w:r>
            <w:r>
              <w:rPr>
                <w:rFonts w:hint="eastAsia"/>
                <w:sz w:val="20"/>
              </w:rPr>
              <w:t>1</w:t>
            </w:r>
          </w:p>
        </w:tc>
      </w:tr>
      <w:tr>
        <w:tblPrEx>
          <w:tblW w:w="8760" w:type="dxa"/>
          <w:jc w:val="center"/>
          <w:tblLayout w:type="fixed"/>
          <w:tblLook w:val="04A0"/>
        </w:tblPrEx>
        <w:trPr>
          <w:jc w:val="center"/>
        </w:trPr>
        <w:tc>
          <w:tcPr>
            <w:tcW w:w="1614" w:type="dxa"/>
            <w:vMerge/>
            <w:tcBorders>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-35dB</w:t>
            </w:r>
            <w:r>
              <w:rPr>
                <w:rFonts w:hint="eastAsia"/>
                <w:sz w:val="20"/>
              </w:rPr>
              <w:t>～</w:t>
            </w:r>
            <w:r>
              <w:rPr>
                <w:rFonts w:hint="eastAsia"/>
                <w:sz w:val="20"/>
              </w:rPr>
              <w:t>6dB</w:t>
            </w:r>
            <w:r>
              <w:rPr>
                <w:rFonts w:hint="eastAsia"/>
                <w:sz w:val="20"/>
              </w:rPr>
              <w:t>（单发双收模式）</w:t>
            </w:r>
          </w:p>
        </w:tc>
      </w:tr>
      <w:tr>
        <w:tblPrEx>
          <w:tblW w:w="8760" w:type="dxa"/>
          <w:jc w:val="center"/>
          <w:tblLayout w:type="fixed"/>
          <w:tblLook w:val="04A0"/>
        </w:tblPrEx>
        <w:trPr>
          <w:jc w:val="center"/>
        </w:trPr>
        <w:tc>
          <w:tcPr>
            <w:tcW w:w="1614"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参数测</w:t>
            </w:r>
          </w:p>
          <w:p w:rsidR="000F42D0">
            <w:pPr>
              <w:rPr>
                <w:sz w:val="20"/>
              </w:rPr>
            </w:pPr>
            <w:r>
              <w:rPr>
                <w:rFonts w:hint="eastAsia"/>
                <w:sz w:val="20"/>
              </w:rPr>
              <w:t>量精度</w:t>
            </w:r>
          </w:p>
          <w:p w:rsidR="000F42D0">
            <w:pPr>
              <w:rPr>
                <w:sz w:val="20"/>
              </w:rPr>
            </w:pPr>
            <w:r>
              <w:rPr>
                <w:rFonts w:hint="eastAsia"/>
                <w:sz w:val="20"/>
              </w:rPr>
              <w:t>（标准差）</w:t>
            </w: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强度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1dB</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速度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1m/s</w:t>
            </w:r>
          </w:p>
        </w:tc>
      </w:tr>
      <w:tr>
        <w:tblPrEx>
          <w:tblW w:w="8760" w:type="dxa"/>
          <w:jc w:val="center"/>
          <w:tblLayout w:type="fixed"/>
          <w:tblLook w:val="04A0"/>
        </w:tblPrEx>
        <w:trPr>
          <w:trHeight w:val="361"/>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谱宽</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1m/s</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差分反射率</w:t>
            </w:r>
          </w:p>
        </w:tc>
        <w:tc>
          <w:tcPr>
            <w:tcW w:w="5114"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w:t>
            </w:r>
            <w:r>
              <w:rPr>
                <w:rFonts w:hint="eastAsia"/>
                <w:sz w:val="20"/>
              </w:rPr>
              <w:t>0.2dB</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w:t>
            </w:r>
            <w:r>
              <w:rPr>
                <w:rFonts w:hint="eastAsia"/>
                <w:sz w:val="20"/>
              </w:rPr>
              <w:t>°</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0.2</w:t>
            </w:r>
            <w:r>
              <w:rPr>
                <w:rFonts w:hint="eastAsia"/>
                <w:sz w:val="20"/>
              </w:rPr>
              <w:t>°</w:t>
            </w:r>
            <w:r>
              <w:rPr>
                <w:rFonts w:hint="eastAsia"/>
                <w:sz w:val="20"/>
              </w:rPr>
              <w:t>/km</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0.01</w:t>
            </w:r>
          </w:p>
        </w:tc>
      </w:tr>
      <w:tr>
        <w:tblPrEx>
          <w:tblW w:w="8760" w:type="dxa"/>
          <w:jc w:val="center"/>
          <w:tblLayout w:type="fixed"/>
          <w:tblLook w:val="04A0"/>
        </w:tblPrEx>
        <w:trPr>
          <w:trHeight w:val="740"/>
          <w:jc w:val="center"/>
        </w:trPr>
        <w:tc>
          <w:tcPr>
            <w:tcW w:w="364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可探测的最小反射率因子（</w:t>
            </w:r>
            <w:r>
              <w:rPr>
                <w:rFonts w:hint="eastAsia"/>
                <w:sz w:val="20"/>
              </w:rPr>
              <w:t>50km</w:t>
            </w:r>
            <w:r>
              <w:rPr>
                <w:rFonts w:hint="eastAsia"/>
                <w:sz w:val="20"/>
              </w:rPr>
              <w:t>处，</w:t>
            </w:r>
            <w:r>
              <w:rPr>
                <w:rFonts w:hint="eastAsia"/>
                <w:sz w:val="20"/>
              </w:rPr>
              <w:t>75m</w:t>
            </w:r>
            <w:r>
              <w:rPr>
                <w:rFonts w:hint="eastAsia"/>
                <w:sz w:val="20"/>
              </w:rPr>
              <w:t>分辨率，同</w:t>
            </w:r>
            <w:r>
              <w:rPr>
                <w:rFonts w:hint="eastAsia"/>
                <w:sz w:val="20"/>
              </w:rPr>
              <w:t>发同收</w:t>
            </w:r>
            <w:r>
              <w:rPr>
                <w:rFonts w:hint="eastAsia"/>
                <w:sz w:val="20"/>
              </w:rPr>
              <w:t>）</w:t>
            </w:r>
          </w:p>
        </w:tc>
        <w:tc>
          <w:tcPr>
            <w:tcW w:w="511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3dBZ</w:t>
            </w:r>
          </w:p>
        </w:tc>
      </w:tr>
      <w:tr>
        <w:tblPrEx>
          <w:tblW w:w="8760" w:type="dxa"/>
          <w:jc w:val="center"/>
          <w:tblLayout w:type="fixed"/>
          <w:tblLook w:val="04A0"/>
        </w:tblPrEx>
        <w:trPr>
          <w:trHeight w:val="40"/>
          <w:jc w:val="center"/>
        </w:trPr>
        <w:tc>
          <w:tcPr>
            <w:tcW w:w="364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系统相位噪声</w:t>
            </w:r>
          </w:p>
        </w:tc>
        <w:tc>
          <w:tcPr>
            <w:tcW w:w="511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0.1</w:t>
            </w:r>
            <w:r>
              <w:rPr>
                <w:rFonts w:hint="eastAsia"/>
                <w:sz w:val="20"/>
              </w:rPr>
              <w:t>°</w:t>
            </w:r>
          </w:p>
        </w:tc>
      </w:tr>
      <w:tr>
        <w:tblPrEx>
          <w:tblW w:w="8760" w:type="dxa"/>
          <w:jc w:val="center"/>
          <w:tblLayout w:type="fixed"/>
          <w:tblLook w:val="04A0"/>
        </w:tblPrEx>
        <w:trPr>
          <w:trHeight w:val="40"/>
          <w:jc w:val="center"/>
        </w:trPr>
        <w:tc>
          <w:tcPr>
            <w:tcW w:w="364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滤波前后功率比</w:t>
            </w:r>
          </w:p>
        </w:tc>
        <w:tc>
          <w:tcPr>
            <w:tcW w:w="511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55dB</w:t>
            </w:r>
          </w:p>
        </w:tc>
      </w:tr>
      <w:tr>
        <w:tblPrEx>
          <w:tblW w:w="8760" w:type="dxa"/>
          <w:jc w:val="center"/>
          <w:tblLayout w:type="fixed"/>
          <w:tblLook w:val="04A0"/>
        </w:tblPrEx>
        <w:trPr>
          <w:trHeight w:val="60"/>
          <w:jc w:val="center"/>
        </w:trPr>
        <w:tc>
          <w:tcPr>
            <w:tcW w:w="364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实际地物抑制能力</w:t>
            </w:r>
          </w:p>
        </w:tc>
        <w:tc>
          <w:tcPr>
            <w:tcW w:w="511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35dB</w:t>
            </w:r>
          </w:p>
        </w:tc>
      </w:tr>
      <w:tr>
        <w:tblPrEx>
          <w:tblW w:w="8760" w:type="dxa"/>
          <w:jc w:val="center"/>
          <w:tblLayout w:type="fixed"/>
          <w:tblLook w:val="04A0"/>
        </w:tblPrEx>
        <w:trPr>
          <w:trHeight w:val="243"/>
          <w:jc w:val="center"/>
        </w:trPr>
        <w:tc>
          <w:tcPr>
            <w:tcW w:w="364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占用带宽</w:t>
            </w:r>
          </w:p>
        </w:tc>
        <w:tc>
          <w:tcPr>
            <w:tcW w:w="511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30MHz</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滤波前回波强度、滤波后回波强度、径向速度、速度谱宽、差分反射率、差分传播相移、差分传播相移率、相关系数、信噪比，退偏振比</w:t>
            </w:r>
          </w:p>
        </w:tc>
      </w:tr>
      <w:tr>
        <w:tblPrEx>
          <w:tblW w:w="8760" w:type="dxa"/>
          <w:jc w:val="center"/>
          <w:tblLayout w:type="fixed"/>
          <w:tblLook w:val="04A0"/>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单相</w:t>
            </w:r>
            <w:r>
              <w:rPr>
                <w:rFonts w:hint="eastAsia"/>
                <w:sz w:val="20"/>
              </w:rPr>
              <w:t>AC220V</w:t>
            </w:r>
            <w:r>
              <w:rPr>
                <w:rFonts w:hint="eastAsia"/>
                <w:sz w:val="20"/>
              </w:rPr>
              <w:t>±</w:t>
            </w:r>
            <w:r>
              <w:rPr>
                <w:rFonts w:hint="eastAsia"/>
                <w:sz w:val="20"/>
              </w:rPr>
              <w:t>10%</w:t>
            </w:r>
            <w:r>
              <w:rPr>
                <w:rFonts w:hint="eastAsia"/>
                <w:sz w:val="20"/>
              </w:rPr>
              <w:t>或三相</w:t>
            </w:r>
            <w:r>
              <w:rPr>
                <w:rFonts w:hint="eastAsia"/>
                <w:sz w:val="20"/>
              </w:rPr>
              <w:t>AC380V</w:t>
            </w:r>
            <w:r>
              <w:rPr>
                <w:rFonts w:hint="eastAsia"/>
                <w:sz w:val="20"/>
              </w:rPr>
              <w:t>±</w:t>
            </w:r>
            <w:r>
              <w:rPr>
                <w:rFonts w:hint="eastAsia"/>
                <w:sz w:val="20"/>
              </w:rPr>
              <w:t>10%</w:t>
            </w:r>
            <w:r>
              <w:rPr>
                <w:rFonts w:hint="eastAsia"/>
                <w:sz w:val="20"/>
              </w:rPr>
              <w:t>，</w:t>
            </w:r>
            <w:r>
              <w:rPr>
                <w:rFonts w:hint="eastAsia"/>
                <w:sz w:val="20"/>
              </w:rPr>
              <w:t>50Hz</w:t>
            </w:r>
            <w:r>
              <w:rPr>
                <w:rFonts w:hint="eastAsia"/>
                <w:sz w:val="20"/>
              </w:rPr>
              <w:t>±</w:t>
            </w:r>
            <w:r>
              <w:rPr>
                <w:rFonts w:hint="eastAsia"/>
                <w:sz w:val="20"/>
              </w:rPr>
              <w:t>5%</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1200kg</w:t>
            </w:r>
            <w:r>
              <w:rPr>
                <w:rFonts w:hint="eastAsia"/>
                <w:sz w:val="20"/>
              </w:rPr>
              <w:t>（不含天线罩）</w:t>
            </w:r>
          </w:p>
        </w:tc>
      </w:tr>
      <w:tr>
        <w:tblPrEx>
          <w:tblW w:w="8760" w:type="dxa"/>
          <w:jc w:val="center"/>
          <w:tblLayout w:type="fixed"/>
          <w:tblLook w:val="04A0"/>
        </w:tblPrEx>
        <w:trPr>
          <w:jc w:val="center"/>
        </w:trPr>
        <w:tc>
          <w:tcPr>
            <w:tcW w:w="1614" w:type="dxa"/>
            <w:vMerge w:val="restart"/>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环境要求</w:t>
            </w: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0</w:t>
            </w:r>
            <w:r>
              <w:rPr>
                <w:rFonts w:hint="eastAsia"/>
                <w:sz w:val="20"/>
              </w:rPr>
              <w:t>～</w:t>
            </w:r>
            <w:r>
              <w:rPr>
                <w:rFonts w:hint="eastAsia"/>
                <w:sz w:val="20"/>
              </w:rPr>
              <w:t>+40</w:t>
            </w:r>
            <w:r>
              <w:rPr>
                <w:rFonts w:hint="eastAsia"/>
                <w:sz w:val="20"/>
              </w:rPr>
              <w:t>℃</w:t>
            </w:r>
          </w:p>
        </w:tc>
      </w:tr>
      <w:tr>
        <w:tblPrEx>
          <w:tblW w:w="8760" w:type="dxa"/>
          <w:jc w:val="center"/>
          <w:tblLayout w:type="fixed"/>
          <w:tblLook w:val="04A0"/>
        </w:tblPrEx>
        <w:trPr>
          <w:jc w:val="center"/>
        </w:trPr>
        <w:tc>
          <w:tcPr>
            <w:tcW w:w="1614" w:type="dxa"/>
            <w:vMerge/>
            <w:tcBorders>
              <w:left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-40</w:t>
            </w:r>
            <w:r>
              <w:rPr>
                <w:rFonts w:hint="eastAsia"/>
                <w:sz w:val="20"/>
              </w:rPr>
              <w:t>～</w:t>
            </w:r>
            <w:r>
              <w:rPr>
                <w:rFonts w:hint="eastAsia"/>
                <w:sz w:val="20"/>
              </w:rPr>
              <w:t>+60</w:t>
            </w:r>
            <w:r>
              <w:rPr>
                <w:rFonts w:hint="eastAsia"/>
                <w:sz w:val="20"/>
              </w:rPr>
              <w:t>℃</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90%</w:t>
            </w:r>
            <w:r>
              <w:rPr>
                <w:rFonts w:hint="eastAsia"/>
                <w:sz w:val="20"/>
              </w:rPr>
              <w:t>（</w:t>
            </w:r>
            <w:r>
              <w:rPr>
                <w:rFonts w:hint="eastAsia"/>
                <w:sz w:val="20"/>
              </w:rPr>
              <w:t>+30</w:t>
            </w:r>
            <w:r>
              <w:rPr>
                <w:rFonts w:hint="eastAsia"/>
                <w:sz w:val="20"/>
              </w:rPr>
              <w:t>℃）</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海拔≤</w:t>
            </w:r>
            <w:r>
              <w:rPr>
                <w:rFonts w:hint="eastAsia"/>
                <w:sz w:val="20"/>
              </w:rPr>
              <w:t>5000m</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符合国家有关部门规定，且满足野外运输要求</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抗干扰</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电源干扰、电磁干扰、无线电频率干扰</w:t>
            </w:r>
          </w:p>
        </w:tc>
      </w:tr>
      <w:tr>
        <w:tblPrEx>
          <w:tblW w:w="8760" w:type="dxa"/>
          <w:jc w:val="center"/>
          <w:tblLayout w:type="fixed"/>
          <w:tblLook w:val="04A0"/>
        </w:tblPrEx>
        <w:trPr>
          <w:jc w:val="center"/>
        </w:trPr>
        <w:tc>
          <w:tcPr>
            <w:tcW w:w="1614"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2032"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其它</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防水、防霉、防盐雾</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3000W</w:t>
            </w:r>
          </w:p>
        </w:tc>
      </w:tr>
      <w:tr>
        <w:tblPrEx>
          <w:tblW w:w="8760" w:type="dxa"/>
          <w:jc w:val="center"/>
          <w:tblLayout w:type="fixed"/>
          <w:tblLook w:val="04A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平均严重故障间隔时间（</w:t>
            </w:r>
            <w:r>
              <w:rPr>
                <w:rFonts w:hint="eastAsia"/>
                <w:sz w:val="20"/>
              </w:rPr>
              <w:t>MTBCF</w:t>
            </w:r>
            <w:r>
              <w:rPr>
                <w:rFonts w:hint="eastAsia"/>
                <w:sz w:val="20"/>
              </w:rPr>
              <w:t>）</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5000h</w:t>
            </w:r>
          </w:p>
        </w:tc>
      </w:tr>
      <w:tr>
        <w:tblPrEx>
          <w:tblW w:w="8760" w:type="dxa"/>
          <w:jc w:val="center"/>
          <w:tblLayout w:type="fixed"/>
          <w:tblLook w:val="04A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固定架设</w:t>
            </w:r>
          </w:p>
        </w:tc>
      </w:tr>
      <w:tr>
        <w:tblPrEx>
          <w:tblW w:w="8760" w:type="dxa"/>
          <w:jc w:val="center"/>
          <w:tblLayout w:type="fixed"/>
          <w:tblLook w:val="04A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5min</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雷达微波漏能功率密度应符合</w:t>
            </w:r>
            <w:r>
              <w:rPr>
                <w:rFonts w:hint="eastAsia"/>
                <w:sz w:val="20"/>
              </w:rPr>
              <w:t>GJB5313-2004</w:t>
            </w:r>
            <w:r>
              <w:rPr>
                <w:rFonts w:hint="eastAsia"/>
                <w:sz w:val="20"/>
              </w:rPr>
              <w:t>的要求。</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微波泄漏部位、机械转动部位、危险电压部位等应有清晰、醒目的安全警示标记。</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互换性</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雷达备份零件、部件、组件和功能单元均能在现场更换，无需调整而正常工作。</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雷达具有市电滤波和防电磁干扰的能力，设置静电屏蔽、电磁屏蔽，模拟地线、数字地线和安全地线严格分开，避雷地线要单独接地。</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安全性</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雷达电源线</w:t>
            </w:r>
            <w:r>
              <w:rPr>
                <w:rFonts w:hint="eastAsia"/>
                <w:sz w:val="20"/>
              </w:rPr>
              <w:t>输入端应加装</w:t>
            </w:r>
            <w:r>
              <w:rPr>
                <w:rFonts w:hint="eastAsia"/>
                <w:sz w:val="20"/>
              </w:rPr>
              <w:t>防雷滤波器，室外电缆一</w:t>
            </w:r>
            <w:r>
              <w:rPr>
                <w:rFonts w:hint="eastAsia"/>
                <w:sz w:val="20"/>
              </w:rPr>
              <w:t>律采用屏蔽电缆或光缆。</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绝缘性</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雷达各初级电源与大地间绝缘电阻应大于</w:t>
            </w:r>
            <w:r>
              <w:rPr>
                <w:rFonts w:hint="eastAsia"/>
                <w:sz w:val="20"/>
              </w:rPr>
              <w:t>1M</w:t>
            </w:r>
            <w:r>
              <w:rPr>
                <w:rFonts w:hint="eastAsia"/>
                <w:sz w:val="20"/>
              </w:rPr>
              <w:t>Ω。</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雷达整体形象应协调一致。外表面应无凹痕、碰伤、裂痕和变形等缺陷；</w:t>
            </w:r>
            <w:r>
              <w:rPr>
                <w:rFonts w:hint="eastAsia"/>
                <w:sz w:val="20"/>
              </w:rPr>
              <w:t>镀</w:t>
            </w:r>
            <w:r>
              <w:rPr>
                <w:rFonts w:hint="eastAsia"/>
                <w:sz w:val="20"/>
              </w:rPr>
              <w:t>涂层</w:t>
            </w:r>
            <w:r>
              <w:rPr>
                <w:rFonts w:hint="eastAsia"/>
                <w:sz w:val="20"/>
              </w:rPr>
              <w:t>不</w:t>
            </w:r>
            <w:r>
              <w:rPr>
                <w:rFonts w:hint="eastAsia"/>
                <w:sz w:val="20"/>
              </w:rPr>
              <w:t>起泡、龟裂和脱落；金属零件无锈蚀、毛刺及其它机械损伤。</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机箱、机箱、插件和线缆等应有统一的编号和标记，符合国家标准。</w:t>
            </w:r>
          </w:p>
          <w:p w:rsidR="000F42D0">
            <w:pPr>
              <w:rPr>
                <w:sz w:val="20"/>
              </w:rPr>
            </w:pPr>
            <w:r>
              <w:rPr>
                <w:rFonts w:hint="eastAsia"/>
                <w:sz w:val="20"/>
              </w:rPr>
              <w:t>印制板、主要元器件等应在相应位置印有与电路图中项目代号相符的标记。</w:t>
            </w:r>
          </w:p>
          <w:p w:rsidR="000F42D0">
            <w:pPr>
              <w:rPr>
                <w:sz w:val="20"/>
              </w:rPr>
            </w:pPr>
            <w:r>
              <w:rPr>
                <w:rFonts w:hint="eastAsia"/>
                <w:sz w:val="20"/>
              </w:rPr>
              <w:t>标记的文字、字母和符号应完整、规范、清晰和牢固，且便于识读。</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发射机和接收机的噪音应低于</w:t>
            </w:r>
            <w:r>
              <w:rPr>
                <w:rFonts w:hint="eastAsia"/>
                <w:sz w:val="20"/>
              </w:rPr>
              <w:t>85dB</w:t>
            </w:r>
            <w:r>
              <w:rPr>
                <w:rFonts w:hint="eastAsia"/>
                <w:sz w:val="20"/>
              </w:rPr>
              <w:t>。</w:t>
            </w:r>
          </w:p>
        </w:tc>
      </w:tr>
      <w:tr>
        <w:tblPrEx>
          <w:tblW w:w="8760" w:type="dxa"/>
          <w:jc w:val="center"/>
          <w:tblLayout w:type="fixed"/>
          <w:tblLook w:val="04A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雷达的名称、型号（代号）；出厂编号；出厂年月；制造</w:t>
            </w:r>
            <w:r>
              <w:rPr>
                <w:rFonts w:hint="eastAsia"/>
                <w:sz w:val="20"/>
              </w:rPr>
              <w:t>厂商标。</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天线技术性能指标表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23"/>
        <w:gridCol w:w="4394"/>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2"/>
          <w:jc w:val="center"/>
        </w:trPr>
        <w:tc>
          <w:tcPr>
            <w:tcW w:w="3823"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4394"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217" w:type="dxa"/>
          <w:jc w:val="center"/>
          <w:tblLayout w:type="fixed"/>
          <w:tblLook w:val="04A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圆形旋转抛物面反射体天线，喇叭中心馈电</w:t>
            </w:r>
          </w:p>
        </w:tc>
      </w:tr>
      <w:tr>
        <w:tblPrEx>
          <w:tblW w:w="8217" w:type="dxa"/>
          <w:jc w:val="center"/>
          <w:tblLayout w:type="fixed"/>
          <w:tblLook w:val="04A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9.</w:t>
            </w:r>
            <w:r>
              <w:rPr>
                <w:rFonts w:hint="eastAsia"/>
                <w:sz w:val="20"/>
              </w:rPr>
              <w:t>3</w:t>
            </w:r>
            <w:r>
              <w:rPr>
                <w:rFonts w:hint="eastAsia"/>
                <w:sz w:val="20"/>
              </w:rPr>
              <w:t>～</w:t>
            </w:r>
            <w:r>
              <w:rPr>
                <w:rFonts w:hint="eastAsia"/>
                <w:sz w:val="20"/>
              </w:rPr>
              <w:t>9.5GHz</w:t>
            </w:r>
          </w:p>
        </w:tc>
      </w:tr>
      <w:tr>
        <w:tblPrEx>
          <w:tblW w:w="8217" w:type="dxa"/>
          <w:jc w:val="center"/>
          <w:tblLayout w:type="fixed"/>
          <w:tblLook w:val="04A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线性水平、垂直极化</w:t>
            </w:r>
          </w:p>
        </w:tc>
      </w:tr>
      <w:tr>
        <w:tblPrEx>
          <w:tblW w:w="8217" w:type="dxa"/>
          <w:jc w:val="center"/>
          <w:tblLayout w:type="fixed"/>
          <w:tblLook w:val="04A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2.4</w:t>
            </w:r>
            <w:r>
              <w:rPr>
                <w:rFonts w:hint="eastAsia"/>
                <w:sz w:val="20"/>
              </w:rPr>
              <w:t>～</w:t>
            </w:r>
            <w:r>
              <w:rPr>
                <w:rFonts w:hint="eastAsia"/>
                <w:sz w:val="20"/>
              </w:rPr>
              <w:t>2.424m</w:t>
            </w:r>
          </w:p>
        </w:tc>
      </w:tr>
      <w:tr>
        <w:tblPrEx>
          <w:tblW w:w="8217" w:type="dxa"/>
          <w:jc w:val="center"/>
          <w:tblLayout w:type="fixed"/>
          <w:tblLook w:val="04A0"/>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水平和垂直波束宽度（</w:t>
            </w:r>
            <w:r>
              <w:rPr>
                <w:rFonts w:hint="eastAsia"/>
                <w:sz w:val="20"/>
              </w:rPr>
              <w:t>3dB</w:t>
            </w:r>
            <w:r>
              <w:rPr>
                <w:rFonts w:hint="eastAsia"/>
                <w:sz w:val="20"/>
              </w:rPr>
              <w:t>）</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1.0</w:t>
            </w:r>
            <w:r>
              <w:rPr>
                <w:rFonts w:hint="eastAsia"/>
                <w:sz w:val="20"/>
              </w:rPr>
              <w:t>°（含天线罩）</w:t>
            </w:r>
          </w:p>
        </w:tc>
      </w:tr>
      <w:tr>
        <w:tblPrEx>
          <w:tblW w:w="8217" w:type="dxa"/>
          <w:jc w:val="center"/>
          <w:tblLayout w:type="fixed"/>
          <w:tblLook w:val="04A0"/>
        </w:tblPrEx>
        <w:trPr>
          <w:trHeight w:val="206"/>
          <w:jc w:val="center"/>
        </w:trPr>
        <w:tc>
          <w:tcPr>
            <w:tcW w:w="3823" w:type="dxa"/>
            <w:vMerge/>
            <w:tcBorders>
              <w:left w:val="single" w:sz="4" w:space="0" w:color="auto"/>
              <w:bottom w:val="single" w:sz="4" w:space="0" w:color="auto"/>
              <w:right w:val="single" w:sz="4" w:space="0" w:color="auto"/>
            </w:tcBorders>
            <w:vAlign w:val="center"/>
          </w:tcPr>
          <w:p w:rsidR="000F42D0">
            <w:pP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1.0</w:t>
            </w:r>
            <w:r>
              <w:rPr>
                <w:rFonts w:hint="eastAsia"/>
                <w:sz w:val="20"/>
              </w:rPr>
              <w:t>°（不含天线罩）</w:t>
            </w:r>
          </w:p>
        </w:tc>
      </w:tr>
      <w:tr>
        <w:tblPrEx>
          <w:tblW w:w="8217" w:type="dxa"/>
          <w:jc w:val="center"/>
          <w:tblLayout w:type="fixed"/>
          <w:tblLook w:val="04A0"/>
        </w:tblPrEx>
        <w:trPr>
          <w:trHeight w:val="410"/>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双极化波束宽度差异（</w:t>
            </w:r>
            <w:r>
              <w:rPr>
                <w:rFonts w:hint="eastAsia"/>
                <w:sz w:val="20"/>
              </w:rPr>
              <w:t>3dB</w:t>
            </w:r>
            <w:r>
              <w:rPr>
                <w:rFonts w:hint="eastAsia"/>
                <w:sz w:val="20"/>
              </w:rPr>
              <w: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w:t>
            </w:r>
            <w:r>
              <w:rPr>
                <w:rFonts w:hint="eastAsia"/>
                <w:sz w:val="20"/>
              </w:rPr>
              <w:t>0.05</w:t>
            </w:r>
            <w:r>
              <w:rPr>
                <w:rFonts w:hint="eastAsia"/>
                <w:sz w:val="20"/>
              </w:rPr>
              <w:t>°</w:t>
            </w:r>
          </w:p>
        </w:tc>
      </w:tr>
      <w:tr>
        <w:tblPrEx>
          <w:tblW w:w="8217" w:type="dxa"/>
          <w:jc w:val="center"/>
          <w:tblLayout w:type="fixed"/>
          <w:tblLook w:val="04A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增益（水平和垂直）</w:t>
            </w:r>
          </w:p>
        </w:tc>
        <w:tc>
          <w:tcPr>
            <w:tcW w:w="439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43.4dB</w:t>
            </w:r>
            <w:r>
              <w:rPr>
                <w:rFonts w:hint="eastAsia"/>
                <w:sz w:val="20"/>
              </w:rPr>
              <w:t>（含天线罩）</w:t>
            </w:r>
          </w:p>
        </w:tc>
      </w:tr>
      <w:tr>
        <w:tblPrEx>
          <w:tblW w:w="8217" w:type="dxa"/>
          <w:jc w:val="center"/>
          <w:tblLayout w:type="fixed"/>
          <w:tblLook w:val="04A0"/>
        </w:tblPrEx>
        <w:trPr>
          <w:trHeight w:val="191"/>
          <w:jc w:val="center"/>
        </w:trPr>
        <w:tc>
          <w:tcPr>
            <w:tcW w:w="3823" w:type="dxa"/>
            <w:vMerge/>
            <w:tcBorders>
              <w:left w:val="single" w:sz="4" w:space="0" w:color="auto"/>
              <w:right w:val="single" w:sz="4" w:space="0" w:color="auto"/>
            </w:tcBorders>
            <w:vAlign w:val="center"/>
          </w:tcPr>
          <w:p w:rsidR="000F42D0">
            <w:pPr>
              <w:rPr>
                <w:sz w:val="20"/>
              </w:rPr>
            </w:pPr>
          </w:p>
        </w:tc>
        <w:tc>
          <w:tcPr>
            <w:tcW w:w="4394"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44dB</w:t>
            </w:r>
            <w:r>
              <w:rPr>
                <w:rFonts w:hint="eastAsia"/>
                <w:sz w:val="20"/>
              </w:rPr>
              <w:t>（不含天线罩）</w:t>
            </w:r>
          </w:p>
        </w:tc>
      </w:tr>
      <w:tr>
        <w:tblPrEx>
          <w:tblW w:w="8217" w:type="dxa"/>
          <w:jc w:val="center"/>
          <w:tblLayout w:type="fixed"/>
          <w:tblLook w:val="04A0"/>
        </w:tblPrEx>
        <w:trPr>
          <w:trHeight w:val="178"/>
          <w:jc w:val="center"/>
        </w:trPr>
        <w:tc>
          <w:tcPr>
            <w:tcW w:w="3823" w:type="dxa"/>
            <w:tcBorders>
              <w:top w:val="single" w:sz="4" w:space="0" w:color="auto"/>
              <w:left w:val="single" w:sz="4" w:space="0" w:color="auto"/>
              <w:right w:val="single" w:sz="4" w:space="0" w:color="auto"/>
            </w:tcBorders>
            <w:vAlign w:val="center"/>
          </w:tcPr>
          <w:p w:rsidR="000F42D0">
            <w:pPr>
              <w:rPr>
                <w:sz w:val="20"/>
              </w:rPr>
            </w:pPr>
            <w:r>
              <w:rPr>
                <w:rFonts w:hint="eastAsia"/>
                <w:sz w:val="20"/>
              </w:rPr>
              <w:t>双极化天线增益差（</w:t>
            </w:r>
            <w:r>
              <w:rPr>
                <w:rFonts w:hint="eastAsia"/>
                <w:sz w:val="20"/>
              </w:rPr>
              <w:t>H</w:t>
            </w:r>
            <w:r>
              <w:rPr>
                <w:rFonts w:hint="eastAsia"/>
                <w:sz w:val="20"/>
              </w:rPr>
              <w:t>面和</w:t>
            </w:r>
            <w:r>
              <w:rPr>
                <w:rFonts w:hint="eastAsia"/>
                <w:sz w:val="20"/>
              </w:rPr>
              <w:t>E</w:t>
            </w:r>
            <w:r>
              <w:rPr>
                <w:rFonts w:hint="eastAsia"/>
                <w:sz w:val="20"/>
              </w:rPr>
              <w:t>面）</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0.3dB</w:t>
            </w:r>
          </w:p>
        </w:tc>
      </w:tr>
      <w:tr>
        <w:tblPrEx>
          <w:tblW w:w="8217" w:type="dxa"/>
          <w:jc w:val="center"/>
          <w:tblLayout w:type="fixed"/>
          <w:tblLook w:val="04A0"/>
        </w:tblPrEx>
        <w:trPr>
          <w:trHeight w:val="192"/>
          <w:jc w:val="center"/>
        </w:trPr>
        <w:tc>
          <w:tcPr>
            <w:tcW w:w="3823" w:type="dxa"/>
            <w:vMerge w:val="restart"/>
            <w:tcBorders>
              <w:top w:val="single" w:sz="4" w:space="0" w:color="auto"/>
              <w:left w:val="single" w:sz="4" w:space="0" w:color="auto"/>
              <w:right w:val="single" w:sz="4" w:space="0" w:color="auto"/>
            </w:tcBorders>
            <w:shd w:val="clear" w:color="auto" w:fill="auto"/>
            <w:vAlign w:val="center"/>
          </w:tcPr>
          <w:p w:rsidR="000F42D0">
            <w:pPr>
              <w:rPr>
                <w:sz w:val="20"/>
              </w:rPr>
            </w:pPr>
            <w:r>
              <w:rPr>
                <w:rFonts w:hint="eastAsia"/>
                <w:sz w:val="20"/>
              </w:rPr>
              <w:t>#</w:t>
            </w:r>
            <w:r>
              <w:rPr>
                <w:rFonts w:hint="eastAsia"/>
                <w:sz w:val="20"/>
              </w:rPr>
              <w:t>最大副瓣电平</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w:t>
            </w:r>
            <w:r>
              <w:rPr>
                <w:rFonts w:hint="eastAsia"/>
                <w:sz w:val="20"/>
              </w:rPr>
              <w:t>-26dB</w:t>
            </w:r>
            <w:r>
              <w:rPr>
                <w:rFonts w:hint="eastAsia"/>
                <w:sz w:val="20"/>
              </w:rPr>
              <w:t>（含天线罩）</w:t>
            </w:r>
          </w:p>
        </w:tc>
      </w:tr>
      <w:tr>
        <w:tblPrEx>
          <w:tblW w:w="8217" w:type="dxa"/>
          <w:jc w:val="center"/>
          <w:tblLayout w:type="fixed"/>
          <w:tblLook w:val="04A0"/>
        </w:tblPrEx>
        <w:trPr>
          <w:trHeight w:val="191"/>
          <w:jc w:val="center"/>
        </w:trPr>
        <w:tc>
          <w:tcPr>
            <w:tcW w:w="3823" w:type="dxa"/>
            <w:vMerge/>
            <w:tcBorders>
              <w:left w:val="single" w:sz="4" w:space="0" w:color="auto"/>
              <w:bottom w:val="single" w:sz="4" w:space="0" w:color="auto"/>
              <w:right w:val="single" w:sz="4" w:space="0" w:color="auto"/>
            </w:tcBorders>
            <w:shd w:val="clear" w:color="auto" w:fill="auto"/>
            <w:vAlign w:val="center"/>
          </w:tcPr>
          <w:p w:rsidR="000F42D0">
            <w:pPr>
              <w:rPr>
                <w:sz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F42D0">
            <w:pPr>
              <w:rPr>
                <w:sz w:val="20"/>
              </w:rPr>
            </w:pPr>
            <w:r>
              <w:rPr>
                <w:rFonts w:hint="eastAsia"/>
                <w:sz w:val="20"/>
              </w:rPr>
              <w:t>≤</w:t>
            </w:r>
            <w:r>
              <w:rPr>
                <w:rFonts w:hint="eastAsia"/>
                <w:sz w:val="20"/>
              </w:rPr>
              <w:t>-29dB</w:t>
            </w:r>
            <w:r>
              <w:rPr>
                <w:rFonts w:hint="eastAsia"/>
                <w:sz w:val="20"/>
              </w:rPr>
              <w:t>（不含天线罩）</w:t>
            </w:r>
          </w:p>
        </w:tc>
      </w:tr>
      <w:tr>
        <w:tblPrEx>
          <w:tblW w:w="8217" w:type="dxa"/>
          <w:jc w:val="center"/>
          <w:tblLayout w:type="fixed"/>
          <w:tblLook w:val="04A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交叉极化隔离度</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35dB</w:t>
            </w:r>
            <w:r>
              <w:rPr>
                <w:rFonts w:hint="eastAsia"/>
                <w:sz w:val="20"/>
              </w:rPr>
              <w:t>（含天线罩）</w:t>
            </w:r>
          </w:p>
        </w:tc>
      </w:tr>
      <w:tr>
        <w:tblPrEx>
          <w:tblW w:w="8217" w:type="dxa"/>
          <w:jc w:val="center"/>
          <w:tblLayout w:type="fixed"/>
          <w:tblLook w:val="04A0"/>
        </w:tblPrEx>
        <w:trPr>
          <w:trHeight w:val="191"/>
          <w:jc w:val="center"/>
        </w:trPr>
        <w:tc>
          <w:tcPr>
            <w:tcW w:w="3823" w:type="dxa"/>
            <w:vMerge/>
            <w:tcBorders>
              <w:left w:val="single" w:sz="4" w:space="0" w:color="auto"/>
              <w:bottom w:val="single" w:sz="4" w:space="0" w:color="auto"/>
              <w:right w:val="single" w:sz="4" w:space="0" w:color="auto"/>
            </w:tcBorders>
            <w:vAlign w:val="center"/>
          </w:tcPr>
          <w:p w:rsidR="000F42D0">
            <w:pP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35dB</w:t>
            </w:r>
            <w:r>
              <w:rPr>
                <w:rFonts w:hint="eastAsia"/>
                <w:sz w:val="20"/>
              </w:rPr>
              <w:t>（不含天线罩）</w:t>
            </w:r>
          </w:p>
        </w:tc>
      </w:tr>
      <w:tr>
        <w:tblPrEx>
          <w:tblW w:w="8217" w:type="dxa"/>
          <w:jc w:val="center"/>
          <w:tblLayout w:type="fixed"/>
          <w:tblLook w:val="04A0"/>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30</w:t>
            </w:r>
            <w:r>
              <w:rPr>
                <w:rFonts w:hint="eastAsia"/>
                <w:sz w:val="20"/>
              </w:rPr>
              <w:t>″</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馈线技术性能指标表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3"/>
        <w:gridCol w:w="3544"/>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0"/>
          <w:jc w:val="center"/>
        </w:trPr>
        <w:tc>
          <w:tcPr>
            <w:tcW w:w="4673"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3544"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217" w:type="dxa"/>
          <w:jc w:val="center"/>
          <w:tblLayout w:type="fixed"/>
          <w:tblLook w:val="04A0"/>
        </w:tblPrEx>
        <w:trPr>
          <w:trHeight w:val="328"/>
          <w:jc w:val="center"/>
        </w:trPr>
        <w:tc>
          <w:tcPr>
            <w:tcW w:w="467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收发支路损耗差异（双发双收）</w:t>
            </w:r>
          </w:p>
        </w:tc>
        <w:tc>
          <w:tcPr>
            <w:tcW w:w="354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0.4dB</w:t>
            </w:r>
          </w:p>
        </w:tc>
      </w:tr>
      <w:tr>
        <w:tblPrEx>
          <w:tblW w:w="8217" w:type="dxa"/>
          <w:jc w:val="center"/>
          <w:tblLayout w:type="fixed"/>
          <w:tblLook w:val="04A0"/>
        </w:tblPrEx>
        <w:trPr>
          <w:trHeight w:val="85"/>
          <w:jc w:val="center"/>
        </w:trPr>
        <w:tc>
          <w:tcPr>
            <w:tcW w:w="4673"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驻波比</w:t>
            </w:r>
          </w:p>
        </w:tc>
        <w:tc>
          <w:tcPr>
            <w:tcW w:w="3544"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1.5:1</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伺服转台技术性能指标表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1"/>
        <w:gridCol w:w="1225"/>
        <w:gridCol w:w="4841"/>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3376" w:type="dxa"/>
            <w:gridSpan w:val="2"/>
            <w:tcBorders>
              <w:top w:val="single" w:sz="4" w:space="0" w:color="auto"/>
              <w:left w:val="single" w:sz="4" w:space="0" w:color="auto"/>
              <w:right w:val="single" w:sz="4" w:space="0" w:color="auto"/>
            </w:tcBorders>
          </w:tcPr>
          <w:p w:rsidR="000F42D0">
            <w:pPr>
              <w:jc w:val="center"/>
              <w:rPr>
                <w:b/>
                <w:bCs/>
                <w:sz w:val="20"/>
              </w:rPr>
            </w:pPr>
            <w:r>
              <w:rPr>
                <w:rFonts w:hint="eastAsia"/>
                <w:b/>
                <w:bCs/>
                <w:sz w:val="20"/>
              </w:rPr>
              <w:t>项目</w:t>
            </w:r>
          </w:p>
        </w:tc>
        <w:tc>
          <w:tcPr>
            <w:tcW w:w="4841" w:type="dxa"/>
            <w:tcBorders>
              <w:top w:val="single" w:sz="4" w:space="0" w:color="auto"/>
              <w:left w:val="single" w:sz="4" w:space="0" w:color="auto"/>
              <w:bottom w:val="single" w:sz="4" w:space="0" w:color="auto"/>
              <w:right w:val="single" w:sz="4" w:space="0" w:color="auto"/>
            </w:tcBorders>
          </w:tcPr>
          <w:p w:rsidR="000F42D0">
            <w:pPr>
              <w:jc w:val="center"/>
              <w:rPr>
                <w:b/>
                <w:bCs/>
                <w:sz w:val="20"/>
              </w:rPr>
            </w:pPr>
            <w:r>
              <w:rPr>
                <w:rFonts w:hint="eastAsia"/>
                <w:b/>
                <w:bCs/>
                <w:sz w:val="20"/>
              </w:rPr>
              <w:t>性能指标</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平面位置扫描、距离高度扫描、体积扫描、扇形扫描、定点扫描、任意指向扫描</w:t>
            </w:r>
          </w:p>
        </w:tc>
      </w:tr>
      <w:tr>
        <w:tblPrEx>
          <w:tblW w:w="8217" w:type="dxa"/>
          <w:jc w:val="center"/>
          <w:tblLayout w:type="fixed"/>
          <w:tblLook w:val="04A0"/>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0</w:t>
            </w:r>
            <w:r>
              <w:rPr>
                <w:rFonts w:hint="eastAsia"/>
                <w:sz w:val="20"/>
              </w:rPr>
              <w:t>～</w:t>
            </w:r>
            <w:r>
              <w:rPr>
                <w:rFonts w:hint="eastAsia"/>
                <w:sz w:val="20"/>
              </w:rPr>
              <w:t>360</w:t>
            </w:r>
            <w:r>
              <w:rPr>
                <w:rFonts w:hint="eastAsia"/>
                <w:sz w:val="20"/>
              </w:rPr>
              <w:t>°连续扫描</w:t>
            </w:r>
          </w:p>
        </w:tc>
      </w:tr>
      <w:tr>
        <w:tblPrEx>
          <w:tblW w:w="8217" w:type="dxa"/>
          <w:jc w:val="center"/>
          <w:tblLayout w:type="fixed"/>
          <w:tblLook w:val="04A0"/>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122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-2</w:t>
            </w:r>
            <w:r>
              <w:rPr>
                <w:rFonts w:hint="eastAsia"/>
                <w:sz w:val="20"/>
              </w:rPr>
              <w:t>～</w:t>
            </w:r>
            <w:r>
              <w:rPr>
                <w:rFonts w:hint="eastAsia"/>
                <w:sz w:val="20"/>
              </w:rPr>
              <w:t>+180</w:t>
            </w:r>
            <w:r>
              <w:rPr>
                <w:rFonts w:hint="eastAsia"/>
                <w:sz w:val="20"/>
              </w:rPr>
              <w:t>°往返扫描</w:t>
            </w:r>
          </w:p>
        </w:tc>
      </w:tr>
      <w:tr>
        <w:tblPrEx>
          <w:tblW w:w="8217" w:type="dxa"/>
          <w:jc w:val="center"/>
          <w:tblLayout w:type="fixed"/>
          <w:tblLook w:val="04A0"/>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天线扫描速度</w:t>
            </w:r>
          </w:p>
        </w:tc>
        <w:tc>
          <w:tcPr>
            <w:tcW w:w="1225" w:type="dxa"/>
            <w:tcBorders>
              <w:top w:val="single" w:sz="4" w:space="0" w:color="auto"/>
              <w:left w:val="single" w:sz="4" w:space="0" w:color="auto"/>
              <w:right w:val="single" w:sz="4" w:space="0" w:color="auto"/>
            </w:tcBorders>
            <w:vAlign w:val="center"/>
          </w:tcPr>
          <w:p w:rsidR="000F42D0">
            <w:pPr>
              <w:rPr>
                <w:sz w:val="20"/>
              </w:rPr>
            </w:pPr>
            <w:r>
              <w:rPr>
                <w:rFonts w:hint="eastAsia"/>
                <w:sz w:val="20"/>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w:t>
            </w:r>
            <w:r>
              <w:rPr>
                <w:rFonts w:hint="eastAsia"/>
                <w:sz w:val="20"/>
              </w:rPr>
              <w:t>°</w:t>
            </w:r>
            <w:r>
              <w:rPr>
                <w:rFonts w:hint="eastAsia"/>
                <w:sz w:val="20"/>
              </w:rPr>
              <w:t>/s</w:t>
            </w:r>
            <w:r>
              <w:rPr>
                <w:rFonts w:hint="eastAsia"/>
                <w:sz w:val="20"/>
              </w:rPr>
              <w:t>，</w:t>
            </w:r>
          </w:p>
          <w:p w:rsidR="000F42D0">
            <w:pPr>
              <w:rPr>
                <w:sz w:val="20"/>
              </w:rPr>
            </w:pPr>
            <w:r>
              <w:rPr>
                <w:rFonts w:hint="eastAsia"/>
                <w:sz w:val="20"/>
              </w:rPr>
              <w:t>≥</w:t>
            </w:r>
            <w:r>
              <w:rPr>
                <w:rFonts w:hint="eastAsia"/>
                <w:sz w:val="20"/>
              </w:rPr>
              <w:t>6</w:t>
            </w:r>
            <w:r>
              <w:rPr>
                <w:rFonts w:hint="eastAsia"/>
                <w:sz w:val="20"/>
              </w:rPr>
              <w:t>°</w:t>
            </w:r>
            <w:r>
              <w:rPr>
                <w:rFonts w:hint="eastAsia"/>
                <w:sz w:val="20"/>
              </w:rPr>
              <w:t>/s</w:t>
            </w:r>
            <w:r>
              <w:rPr>
                <w:rFonts w:hint="eastAsia"/>
                <w:sz w:val="20"/>
              </w:rPr>
              <w:t>误差≤</w:t>
            </w:r>
            <w:r>
              <w:rPr>
                <w:rFonts w:hint="eastAsia"/>
                <w:sz w:val="20"/>
              </w:rPr>
              <w:t>5%</w:t>
            </w:r>
          </w:p>
        </w:tc>
      </w:tr>
      <w:tr>
        <w:tblPrEx>
          <w:tblW w:w="8217" w:type="dxa"/>
          <w:jc w:val="center"/>
          <w:tblLayout w:type="fixed"/>
          <w:tblLook w:val="04A0"/>
        </w:tblPrEx>
        <w:trPr>
          <w:trHeight w:val="315"/>
          <w:jc w:val="center"/>
        </w:trPr>
        <w:tc>
          <w:tcPr>
            <w:tcW w:w="2151" w:type="dxa"/>
            <w:vMerge/>
            <w:tcBorders>
              <w:left w:val="single" w:sz="4" w:space="0" w:color="auto"/>
              <w:bottom w:val="single" w:sz="4" w:space="0" w:color="auto"/>
              <w:right w:val="single" w:sz="4" w:space="0" w:color="auto"/>
            </w:tcBorders>
            <w:vAlign w:val="center"/>
          </w:tcPr>
          <w:p w:rsidR="000F42D0">
            <w:pPr>
              <w:rPr>
                <w:sz w:val="20"/>
              </w:rPr>
            </w:pPr>
          </w:p>
        </w:tc>
        <w:tc>
          <w:tcPr>
            <w:tcW w:w="1225" w:type="dxa"/>
            <w:tcBorders>
              <w:left w:val="single" w:sz="4" w:space="0" w:color="auto"/>
              <w:bottom w:val="single" w:sz="4" w:space="0" w:color="auto"/>
              <w:right w:val="single" w:sz="4" w:space="0" w:color="auto"/>
            </w:tcBorders>
            <w:vAlign w:val="center"/>
          </w:tcPr>
          <w:p w:rsidR="000F42D0">
            <w:pPr>
              <w:rPr>
                <w:sz w:val="20"/>
              </w:rPr>
            </w:pPr>
            <w:r>
              <w:rPr>
                <w:rFonts w:hint="eastAsia"/>
                <w:sz w:val="20"/>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w:t>
            </w:r>
            <w:r>
              <w:rPr>
                <w:rFonts w:hint="eastAsia"/>
                <w:sz w:val="20"/>
              </w:rPr>
              <w:t>°</w:t>
            </w:r>
            <w:r>
              <w:rPr>
                <w:rFonts w:hint="eastAsia"/>
                <w:sz w:val="20"/>
              </w:rPr>
              <w:t>/s</w:t>
            </w:r>
            <w:r>
              <w:rPr>
                <w:rFonts w:hint="eastAsia"/>
                <w:sz w:val="20"/>
              </w:rPr>
              <w:t>，</w:t>
            </w:r>
          </w:p>
          <w:p w:rsidR="000F42D0">
            <w:pPr>
              <w:rPr>
                <w:sz w:val="20"/>
              </w:rPr>
            </w:pPr>
            <w:r>
              <w:rPr>
                <w:rFonts w:hint="eastAsia"/>
                <w:sz w:val="20"/>
              </w:rPr>
              <w:t>≥</w:t>
            </w:r>
            <w:r>
              <w:rPr>
                <w:rFonts w:hint="eastAsia"/>
                <w:sz w:val="20"/>
              </w:rPr>
              <w:t>6</w:t>
            </w:r>
            <w:r>
              <w:rPr>
                <w:rFonts w:hint="eastAsia"/>
                <w:sz w:val="20"/>
              </w:rPr>
              <w:t>°</w:t>
            </w:r>
            <w:r>
              <w:rPr>
                <w:rFonts w:hint="eastAsia"/>
                <w:sz w:val="20"/>
              </w:rPr>
              <w:t>/s</w:t>
            </w:r>
            <w:r>
              <w:rPr>
                <w:rFonts w:hint="eastAsia"/>
                <w:sz w:val="20"/>
              </w:rPr>
              <w:t>误差≤</w:t>
            </w:r>
            <w:r>
              <w:rPr>
                <w:rFonts w:hint="eastAsia"/>
                <w:sz w:val="20"/>
              </w:rPr>
              <w:t>5%</w:t>
            </w:r>
          </w:p>
        </w:tc>
      </w:tr>
      <w:tr>
        <w:tblPrEx>
          <w:tblW w:w="8217" w:type="dxa"/>
          <w:jc w:val="center"/>
          <w:tblLayout w:type="fixed"/>
          <w:tblLook w:val="04A0"/>
        </w:tblPrEx>
        <w:trPr>
          <w:trHeight w:val="315"/>
          <w:jc w:val="center"/>
        </w:trPr>
        <w:tc>
          <w:tcPr>
            <w:tcW w:w="2151" w:type="dxa"/>
            <w:vMerge w:val="restart"/>
            <w:tcBorders>
              <w:left w:val="single" w:sz="4" w:space="0" w:color="auto"/>
              <w:right w:val="single" w:sz="4" w:space="0" w:color="auto"/>
            </w:tcBorders>
            <w:vAlign w:val="center"/>
          </w:tcPr>
          <w:p w:rsidR="000F42D0">
            <w:pPr>
              <w:rPr>
                <w:sz w:val="20"/>
              </w:rPr>
            </w:pPr>
            <w:r>
              <w:rPr>
                <w:rFonts w:hint="eastAsia"/>
                <w:sz w:val="20"/>
              </w:rPr>
              <w:t>天线扫描加速度</w:t>
            </w:r>
          </w:p>
        </w:tc>
        <w:tc>
          <w:tcPr>
            <w:tcW w:w="1225" w:type="dxa"/>
            <w:tcBorders>
              <w:left w:val="single" w:sz="4" w:space="0" w:color="auto"/>
              <w:bottom w:val="single" w:sz="4" w:space="0" w:color="auto"/>
              <w:right w:val="single" w:sz="4" w:space="0" w:color="auto"/>
            </w:tcBorders>
            <w:vAlign w:val="center"/>
          </w:tcPr>
          <w:p w:rsidR="000F42D0">
            <w:pPr>
              <w:rPr>
                <w:sz w:val="20"/>
              </w:rPr>
            </w:pPr>
            <w:r>
              <w:rPr>
                <w:rFonts w:hint="eastAsia"/>
                <w:sz w:val="20"/>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w:t>
            </w:r>
            <w:r>
              <w:rPr>
                <w:rFonts w:hint="eastAsia"/>
                <w:sz w:val="20"/>
              </w:rPr>
              <w:t>°</w:t>
            </w:r>
            <w:r>
              <w:rPr>
                <w:rFonts w:hint="eastAsia"/>
                <w:sz w:val="20"/>
              </w:rPr>
              <w:t>/s2</w:t>
            </w:r>
          </w:p>
        </w:tc>
      </w:tr>
      <w:tr>
        <w:tblPrEx>
          <w:tblW w:w="8217" w:type="dxa"/>
          <w:jc w:val="center"/>
          <w:tblLayout w:type="fixed"/>
          <w:tblLook w:val="04A0"/>
        </w:tblPrEx>
        <w:trPr>
          <w:trHeight w:val="315"/>
          <w:jc w:val="center"/>
        </w:trPr>
        <w:tc>
          <w:tcPr>
            <w:tcW w:w="2151" w:type="dxa"/>
            <w:vMerge/>
            <w:tcBorders>
              <w:left w:val="single" w:sz="4" w:space="0" w:color="auto"/>
              <w:bottom w:val="single" w:sz="4" w:space="0" w:color="auto"/>
              <w:right w:val="single" w:sz="4" w:space="0" w:color="auto"/>
            </w:tcBorders>
            <w:vAlign w:val="center"/>
          </w:tcPr>
          <w:p w:rsidR="000F42D0">
            <w:pPr>
              <w:rPr>
                <w:sz w:val="20"/>
              </w:rPr>
            </w:pPr>
          </w:p>
        </w:tc>
        <w:tc>
          <w:tcPr>
            <w:tcW w:w="1225" w:type="dxa"/>
            <w:tcBorders>
              <w:left w:val="single" w:sz="4" w:space="0" w:color="auto"/>
              <w:bottom w:val="single" w:sz="4" w:space="0" w:color="auto"/>
              <w:right w:val="single" w:sz="4" w:space="0" w:color="auto"/>
            </w:tcBorders>
            <w:vAlign w:val="center"/>
          </w:tcPr>
          <w:p w:rsidR="000F42D0">
            <w:pPr>
              <w:rPr>
                <w:sz w:val="20"/>
              </w:rPr>
            </w:pPr>
            <w:r>
              <w:rPr>
                <w:rFonts w:hint="eastAsia"/>
                <w:sz w:val="20"/>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w:t>
            </w:r>
            <w:r>
              <w:rPr>
                <w:rFonts w:hint="eastAsia"/>
                <w:sz w:val="20"/>
              </w:rPr>
              <w:t>°</w:t>
            </w:r>
            <w:r>
              <w:rPr>
                <w:rFonts w:hint="eastAsia"/>
                <w:sz w:val="20"/>
              </w:rPr>
              <w:t>/s2</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预置全自动、人工干预自动</w:t>
            </w:r>
            <w:r>
              <w:rPr>
                <w:rFonts w:hint="eastAsia"/>
                <w:sz w:val="20"/>
              </w:rPr>
              <w:t>/</w:t>
            </w:r>
            <w:r>
              <w:rPr>
                <w:rFonts w:hint="eastAsia"/>
                <w:sz w:val="20"/>
              </w:rPr>
              <w:t>手动控制</w:t>
            </w:r>
          </w:p>
        </w:tc>
      </w:tr>
      <w:tr>
        <w:tblPrEx>
          <w:tblW w:w="8217" w:type="dxa"/>
          <w:jc w:val="center"/>
          <w:tblLayout w:type="fixed"/>
          <w:tblLook w:val="04A0"/>
        </w:tblPrEx>
        <w:trPr>
          <w:trHeight w:val="490"/>
          <w:jc w:val="center"/>
        </w:trPr>
        <w:tc>
          <w:tcPr>
            <w:tcW w:w="337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波束指向误差（方位和俯仰）</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0.05</w:t>
            </w:r>
            <w:r>
              <w:rPr>
                <w:rFonts w:hint="eastAsia"/>
                <w:sz w:val="20"/>
              </w:rPr>
              <w:t>°之间</w:t>
            </w:r>
          </w:p>
        </w:tc>
      </w:tr>
      <w:tr>
        <w:tblPrEx>
          <w:tblW w:w="8217" w:type="dxa"/>
          <w:jc w:val="center"/>
          <w:tblLayout w:type="fixed"/>
          <w:tblLook w:val="04A0"/>
        </w:tblPrEx>
        <w:trPr>
          <w:trHeight w:val="450"/>
          <w:jc w:val="center"/>
        </w:trPr>
        <w:tc>
          <w:tcPr>
            <w:tcW w:w="337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天线控制精度（方位和俯仰）</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0.05</w:t>
            </w:r>
            <w:r>
              <w:rPr>
                <w:rFonts w:hint="eastAsia"/>
                <w:sz w:val="20"/>
              </w:rPr>
              <w:t>°之间</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16</w:t>
            </w:r>
            <w:r>
              <w:rPr>
                <w:rFonts w:hint="eastAsia"/>
                <w:sz w:val="20"/>
              </w:rPr>
              <w:t>位</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16</w:t>
            </w:r>
            <w:r>
              <w:rPr>
                <w:rFonts w:hint="eastAsia"/>
                <w:sz w:val="20"/>
              </w:rPr>
              <w:t>位</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角码传输延迟</w:t>
            </w:r>
            <w:r>
              <w:rPr>
                <w:rFonts w:hint="eastAsia"/>
                <w:sz w:val="20"/>
              </w:rPr>
              <w:t>时间</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5ms</w:t>
            </w:r>
          </w:p>
        </w:tc>
      </w:tr>
      <w:tr>
        <w:tblPrEx>
          <w:tblW w:w="8217" w:type="dxa"/>
          <w:jc w:val="center"/>
          <w:tblLayout w:type="fixed"/>
          <w:tblLook w:val="04A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天线在方位、俯仰机构上应有电气、机械安全设施，以保护天线在工作与运输过程中的安全。方位、俯仰控制应有保护电路；天线在俯仰角最低和最高处应有机械安全开关，保证天线</w:t>
            </w:r>
            <w:r>
              <w:rPr>
                <w:rFonts w:hint="eastAsia"/>
                <w:sz w:val="20"/>
              </w:rPr>
              <w:t>上仰不超过</w:t>
            </w:r>
            <w:r>
              <w:rPr>
                <w:rFonts w:hint="eastAsia"/>
                <w:sz w:val="20"/>
              </w:rPr>
              <w:t>最高限位，下俯不低于最低限位；天线在方位和俯仰角上均应有机械锁定机构，防止天线在运输和架设过程中发生晃动。具有俯仰电源、方位电源故障监测等</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发射机技术性能指标表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8"/>
        <w:gridCol w:w="1628"/>
        <w:gridCol w:w="4961"/>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41"/>
          <w:jc w:val="center"/>
        </w:trPr>
        <w:tc>
          <w:tcPr>
            <w:tcW w:w="3256" w:type="dxa"/>
            <w:gridSpan w:val="2"/>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4961"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全固态功率合成</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寿命</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全寿命周期</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rsidR="000F42D0" w:rsidRPr="008A79BC">
            <w:pPr>
              <w:rPr>
                <w:sz w:val="20"/>
                <w:highlight w:val="yellow"/>
              </w:rPr>
            </w:pPr>
            <w:r w:rsidRPr="008A79BC">
              <w:rPr>
                <w:rFonts w:hint="eastAsia"/>
                <w:sz w:val="20"/>
                <w:highlight w:val="yellow"/>
              </w:rPr>
              <w:t>9.</w:t>
            </w:r>
            <w:r w:rsidRPr="008A79BC" w:rsidR="008A79BC">
              <w:rPr>
                <w:rFonts w:hint="eastAsia"/>
                <w:sz w:val="20"/>
                <w:highlight w:val="yellow"/>
              </w:rPr>
              <w:t>3</w:t>
            </w:r>
            <w:r w:rsidRPr="008A79BC">
              <w:rPr>
                <w:rFonts w:hint="eastAsia"/>
                <w:sz w:val="20"/>
                <w:highlight w:val="yellow"/>
              </w:rPr>
              <w:t>～</w:t>
            </w:r>
            <w:r w:rsidRPr="008A79BC">
              <w:rPr>
                <w:rFonts w:hint="eastAsia"/>
                <w:sz w:val="20"/>
                <w:highlight w:val="yellow"/>
              </w:rPr>
              <w:t>9.5GHz</w:t>
            </w:r>
          </w:p>
        </w:tc>
      </w:tr>
      <w:tr>
        <w:tblPrEx>
          <w:tblW w:w="8217" w:type="dxa"/>
          <w:jc w:val="center"/>
          <w:tblLayout w:type="fixed"/>
          <w:tblLook w:val="04A0"/>
        </w:tblPrEx>
        <w:trPr>
          <w:trHeight w:val="317"/>
          <w:jc w:val="center"/>
        </w:trPr>
        <w:tc>
          <w:tcPr>
            <w:tcW w:w="325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脉冲峰值功率（总功率）</w:t>
            </w:r>
          </w:p>
        </w:tc>
        <w:tc>
          <w:tcPr>
            <w:tcW w:w="4961"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100</w:t>
            </w:r>
            <w:r>
              <w:rPr>
                <w:rFonts w:hint="eastAsia"/>
                <w:sz w:val="20"/>
              </w:rPr>
              <w:t>0W</w:t>
            </w:r>
          </w:p>
        </w:tc>
      </w:tr>
      <w:tr>
        <w:tblPrEx>
          <w:tblW w:w="8217" w:type="dxa"/>
          <w:jc w:val="center"/>
          <w:tblLayout w:type="fixed"/>
          <w:tblLook w:val="04A0"/>
        </w:tblPrEx>
        <w:trPr>
          <w:trHeight w:val="317"/>
          <w:jc w:val="center"/>
        </w:trPr>
        <w:tc>
          <w:tcPr>
            <w:tcW w:w="3256" w:type="dxa"/>
            <w:gridSpan w:val="2"/>
            <w:tcBorders>
              <w:top w:val="single" w:sz="4" w:space="0" w:color="auto"/>
              <w:left w:val="single" w:sz="4" w:space="0" w:color="auto"/>
              <w:right w:val="single" w:sz="4" w:space="0" w:color="auto"/>
            </w:tcBorders>
            <w:vAlign w:val="center"/>
          </w:tcPr>
          <w:p w:rsidR="000F42D0">
            <w:pPr>
              <w:rPr>
                <w:sz w:val="20"/>
              </w:rPr>
            </w:pPr>
            <w:r>
              <w:rPr>
                <w:rFonts w:hint="eastAsia"/>
                <w:sz w:val="20"/>
              </w:rPr>
              <w:t>机内外峰值功率最大偏差</w:t>
            </w:r>
          </w:p>
        </w:tc>
        <w:tc>
          <w:tcPr>
            <w:tcW w:w="4961"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0.2dB</w:t>
            </w:r>
            <w:r>
              <w:rPr>
                <w:rFonts w:hint="eastAsia"/>
                <w:sz w:val="20"/>
              </w:rPr>
              <w:t>之间</w:t>
            </w:r>
          </w:p>
        </w:tc>
      </w:tr>
      <w:tr>
        <w:tblPrEx>
          <w:tblW w:w="8217" w:type="dxa"/>
          <w:jc w:val="center"/>
          <w:tblLayout w:type="fixed"/>
          <w:tblLook w:val="04A0"/>
        </w:tblPrEx>
        <w:trPr>
          <w:trHeight w:val="355"/>
          <w:jc w:val="center"/>
        </w:trPr>
        <w:tc>
          <w:tcPr>
            <w:tcW w:w="1628"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峰值功率波动</w:t>
            </w:r>
          </w:p>
        </w:tc>
        <w:tc>
          <w:tcPr>
            <w:tcW w:w="1628" w:type="dxa"/>
            <w:tcBorders>
              <w:top w:val="single" w:sz="4" w:space="0" w:color="auto"/>
              <w:left w:val="single" w:sz="4" w:space="0" w:color="auto"/>
              <w:right w:val="single" w:sz="4" w:space="0" w:color="auto"/>
            </w:tcBorders>
            <w:vAlign w:val="center"/>
          </w:tcPr>
          <w:p w:rsidR="000F42D0">
            <w:pPr>
              <w:rPr>
                <w:sz w:val="20"/>
              </w:rPr>
            </w:pPr>
            <w:r>
              <w:rPr>
                <w:rFonts w:hint="eastAsia"/>
                <w:sz w:val="20"/>
              </w:rPr>
              <w:t>机外</w:t>
            </w:r>
          </w:p>
        </w:tc>
        <w:tc>
          <w:tcPr>
            <w:tcW w:w="4961"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0.3dB</w:t>
            </w:r>
          </w:p>
        </w:tc>
      </w:tr>
      <w:tr>
        <w:tblPrEx>
          <w:tblW w:w="8217" w:type="dxa"/>
          <w:jc w:val="center"/>
          <w:tblLayout w:type="fixed"/>
          <w:tblLook w:val="04A0"/>
        </w:tblPrEx>
        <w:trPr>
          <w:trHeight w:val="355"/>
          <w:jc w:val="center"/>
        </w:trPr>
        <w:tc>
          <w:tcPr>
            <w:tcW w:w="1628" w:type="dxa"/>
            <w:vMerge/>
            <w:tcBorders>
              <w:left w:val="single" w:sz="4" w:space="0" w:color="auto"/>
              <w:right w:val="single" w:sz="4" w:space="0" w:color="auto"/>
            </w:tcBorders>
            <w:vAlign w:val="center"/>
          </w:tcPr>
          <w:p w:rsidR="000F42D0">
            <w:pPr>
              <w:rPr>
                <w:sz w:val="20"/>
              </w:rPr>
            </w:pPr>
          </w:p>
        </w:tc>
        <w:tc>
          <w:tcPr>
            <w:tcW w:w="1628" w:type="dxa"/>
            <w:tcBorders>
              <w:top w:val="single" w:sz="4" w:space="0" w:color="auto"/>
              <w:left w:val="single" w:sz="4" w:space="0" w:color="auto"/>
              <w:right w:val="single" w:sz="4" w:space="0" w:color="auto"/>
            </w:tcBorders>
            <w:vAlign w:val="center"/>
          </w:tcPr>
          <w:p w:rsidR="000F42D0">
            <w:pPr>
              <w:rPr>
                <w:sz w:val="20"/>
              </w:rPr>
            </w:pPr>
            <w:r>
              <w:rPr>
                <w:rFonts w:hint="eastAsia"/>
                <w:sz w:val="20"/>
              </w:rPr>
              <w:t>机内</w:t>
            </w:r>
          </w:p>
        </w:tc>
        <w:tc>
          <w:tcPr>
            <w:tcW w:w="4961" w:type="dxa"/>
            <w:tcBorders>
              <w:left w:val="single" w:sz="4" w:space="0" w:color="auto"/>
              <w:right w:val="single" w:sz="4" w:space="0" w:color="auto"/>
            </w:tcBorders>
            <w:vAlign w:val="center"/>
          </w:tcPr>
          <w:p w:rsidR="000F42D0">
            <w:pPr>
              <w:rPr>
                <w:sz w:val="20"/>
              </w:rPr>
            </w:pPr>
            <w:r>
              <w:rPr>
                <w:rFonts w:hint="eastAsia"/>
                <w:sz w:val="20"/>
              </w:rPr>
              <w:t>≤</w:t>
            </w:r>
            <w:r>
              <w:rPr>
                <w:rFonts w:hint="eastAsia"/>
                <w:sz w:val="20"/>
              </w:rPr>
              <w:t>0.4dB</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500Hz</w:t>
            </w:r>
            <w:r>
              <w:rPr>
                <w:rFonts w:hint="eastAsia"/>
                <w:sz w:val="20"/>
              </w:rPr>
              <w:t>～</w:t>
            </w:r>
            <w:r>
              <w:rPr>
                <w:rFonts w:hint="eastAsia"/>
                <w:sz w:val="20"/>
              </w:rPr>
              <w:t>3000Hz</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0.5</w:t>
            </w:r>
            <w:r>
              <w:rPr>
                <w:rFonts w:hint="eastAsia"/>
                <w:sz w:val="20"/>
              </w:rPr>
              <w:t>±</w:t>
            </w:r>
            <w:r>
              <w:rPr>
                <w:rFonts w:hint="eastAsia"/>
                <w:sz w:val="20"/>
              </w:rPr>
              <w:t>0.05</w:t>
            </w:r>
            <w:r>
              <w:rPr>
                <w:rFonts w:hint="eastAsia"/>
                <w:sz w:val="20"/>
              </w:rPr>
              <w:t>μ</w:t>
            </w:r>
            <w:r>
              <w:rPr>
                <w:rFonts w:hint="eastAsia"/>
                <w:sz w:val="20"/>
              </w:rPr>
              <w:t>s</w:t>
            </w:r>
            <w:r>
              <w:rPr>
                <w:rFonts w:hint="eastAsia"/>
                <w:sz w:val="20"/>
              </w:rPr>
              <w:t>，</w:t>
            </w:r>
            <w:r>
              <w:rPr>
                <w:rFonts w:hint="eastAsia"/>
                <w:sz w:val="20"/>
              </w:rPr>
              <w:t>1.0</w:t>
            </w:r>
            <w:r>
              <w:rPr>
                <w:rFonts w:hint="eastAsia"/>
                <w:sz w:val="20"/>
              </w:rPr>
              <w:t>±</w:t>
            </w:r>
            <w:r>
              <w:rPr>
                <w:rFonts w:hint="eastAsia"/>
                <w:sz w:val="20"/>
              </w:rPr>
              <w:t>0.10</w:t>
            </w:r>
            <w:r>
              <w:rPr>
                <w:rFonts w:hint="eastAsia"/>
                <w:sz w:val="20"/>
              </w:rPr>
              <w:t>μ</w:t>
            </w:r>
            <w:r>
              <w:rPr>
                <w:rFonts w:hint="eastAsia"/>
                <w:sz w:val="20"/>
              </w:rPr>
              <w:t>s</w:t>
            </w:r>
            <w:r>
              <w:rPr>
                <w:rFonts w:hint="eastAsia"/>
                <w:sz w:val="20"/>
              </w:rPr>
              <w:t>，</w:t>
            </w:r>
            <w:r>
              <w:rPr>
                <w:rFonts w:hint="eastAsia"/>
                <w:sz w:val="20"/>
              </w:rPr>
              <w:t>0.5</w:t>
            </w:r>
            <w:r>
              <w:rPr>
                <w:rFonts w:hint="eastAsia"/>
                <w:sz w:val="20"/>
              </w:rPr>
              <w:t>～</w:t>
            </w:r>
            <w:r>
              <w:rPr>
                <w:rFonts w:hint="eastAsia"/>
                <w:sz w:val="20"/>
              </w:rPr>
              <w:t>200</w:t>
            </w:r>
            <w:r>
              <w:rPr>
                <w:rFonts w:hint="eastAsia"/>
                <w:sz w:val="20"/>
              </w:rPr>
              <w:t>μ</w:t>
            </w:r>
            <w:r>
              <w:rPr>
                <w:rFonts w:hint="eastAsia"/>
                <w:sz w:val="20"/>
              </w:rPr>
              <w:t>s</w:t>
            </w:r>
            <w:r>
              <w:rPr>
                <w:rFonts w:hint="eastAsia"/>
                <w:sz w:val="20"/>
              </w:rPr>
              <w:t>（可选）</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200ns</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顶降</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w:t>
            </w:r>
          </w:p>
        </w:tc>
      </w:tr>
      <w:tr>
        <w:tblPrEx>
          <w:tblW w:w="8217" w:type="dxa"/>
          <w:jc w:val="center"/>
          <w:tblLayout w:type="fixed"/>
          <w:tblLook w:val="04A0"/>
        </w:tblPrEx>
        <w:trPr>
          <w:trHeight w:val="175"/>
          <w:jc w:val="center"/>
        </w:trPr>
        <w:tc>
          <w:tcPr>
            <w:tcW w:w="1628"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谱宽特性</w:t>
            </w:r>
          </w:p>
          <w:p w:rsidR="000F42D0">
            <w:pPr>
              <w:rPr>
                <w:sz w:val="20"/>
              </w:rPr>
            </w:pPr>
            <w:r>
              <w:rPr>
                <w:rFonts w:hint="eastAsia"/>
                <w:sz w:val="20"/>
              </w:rPr>
              <w:t>（</w:t>
            </w:r>
            <w:r>
              <w:rPr>
                <w:rFonts w:hint="eastAsia"/>
                <w:sz w:val="20"/>
              </w:rPr>
              <w:t>-40dB</w:t>
            </w:r>
            <w:r>
              <w:rPr>
                <w:rFonts w:hint="eastAsia"/>
                <w:sz w:val="20"/>
              </w:rPr>
              <w:t>处）</w:t>
            </w:r>
          </w:p>
        </w:tc>
        <w:tc>
          <w:tcPr>
            <w:tcW w:w="1628"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左频偏</w:t>
            </w:r>
          </w:p>
        </w:tc>
        <w:tc>
          <w:tcPr>
            <w:tcW w:w="4961" w:type="dxa"/>
            <w:tcBorders>
              <w:top w:val="single" w:sz="4" w:space="0" w:color="auto"/>
              <w:left w:val="single" w:sz="4" w:space="0" w:color="auto"/>
              <w:right w:val="single" w:sz="4" w:space="0" w:color="auto"/>
            </w:tcBorders>
            <w:vAlign w:val="center"/>
          </w:tcPr>
          <w:p w:rsidR="000F42D0">
            <w:pPr>
              <w:rPr>
                <w:sz w:val="20"/>
              </w:rPr>
            </w:pPr>
            <w:r>
              <w:rPr>
                <w:rFonts w:hint="eastAsia"/>
                <w:sz w:val="20"/>
              </w:rPr>
              <w:t>≥</w:t>
            </w:r>
            <w:r>
              <w:rPr>
                <w:rFonts w:hint="eastAsia"/>
                <w:sz w:val="20"/>
              </w:rPr>
              <w:t>-15.0MHz</w:t>
            </w:r>
          </w:p>
        </w:tc>
      </w:tr>
      <w:tr>
        <w:tblPrEx>
          <w:tblW w:w="8217" w:type="dxa"/>
          <w:jc w:val="center"/>
          <w:tblLayout w:type="fixed"/>
          <w:tblLook w:val="04A0"/>
        </w:tblPrEx>
        <w:trPr>
          <w:trHeight w:val="175"/>
          <w:jc w:val="center"/>
        </w:trPr>
        <w:tc>
          <w:tcPr>
            <w:tcW w:w="1628" w:type="dxa"/>
            <w:vMerge/>
            <w:tcBorders>
              <w:left w:val="single" w:sz="4" w:space="0" w:color="auto"/>
              <w:bottom w:val="single" w:sz="4" w:space="0" w:color="auto"/>
              <w:right w:val="single" w:sz="4" w:space="0" w:color="auto"/>
            </w:tcBorders>
            <w:vAlign w:val="center"/>
          </w:tcPr>
          <w:p w:rsidR="000F42D0">
            <w:pPr>
              <w:rPr>
                <w:sz w:val="20"/>
              </w:rPr>
            </w:pPr>
          </w:p>
        </w:tc>
        <w:tc>
          <w:tcPr>
            <w:tcW w:w="1628"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右频偏</w:t>
            </w:r>
          </w:p>
        </w:tc>
        <w:tc>
          <w:tcPr>
            <w:tcW w:w="4961" w:type="dxa"/>
            <w:tcBorders>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15.0MHz</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50dB</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10dB</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40dB</w:t>
            </w:r>
          </w:p>
        </w:tc>
      </w:tr>
      <w:tr>
        <w:tblPrEx>
          <w:tblW w:w="8217" w:type="dxa"/>
          <w:jc w:val="center"/>
          <w:tblLayout w:type="fixed"/>
          <w:tblLook w:val="04A0"/>
        </w:tblPrEx>
        <w:trPr>
          <w:jc w:val="center"/>
        </w:trPr>
        <w:tc>
          <w:tcPr>
            <w:tcW w:w="3256"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发生过占空比、过脉宽、发生过温、过流等情况时可报警并实现自保；输出功率低时输出报警信号。</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接收机技术性能指标表</w:t>
      </w:r>
    </w:p>
    <w:tbl>
      <w:tblPr>
        <w:tblStyle w:val="TableNormal"/>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322"/>
        <w:gridCol w:w="1478"/>
        <w:gridCol w:w="4475"/>
      </w:tblGrid>
      <w:tr>
        <w:tblPrEx>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4"/>
          <w:jc w:val="center"/>
        </w:trPr>
        <w:tc>
          <w:tcPr>
            <w:tcW w:w="3600" w:type="dxa"/>
            <w:gridSpan w:val="3"/>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sidRPr="008A79BC">
              <w:rPr>
                <w:rFonts w:hint="eastAsia"/>
                <w:sz w:val="20"/>
                <w:highlight w:val="yellow"/>
              </w:rPr>
              <w:t>9.</w:t>
            </w:r>
            <w:r w:rsidRPr="008A79BC" w:rsidR="008A79BC">
              <w:rPr>
                <w:rFonts w:hint="eastAsia"/>
                <w:sz w:val="20"/>
                <w:highlight w:val="yellow"/>
              </w:rPr>
              <w:t>3</w:t>
            </w:r>
            <w:r w:rsidRPr="008A79BC">
              <w:rPr>
                <w:rFonts w:hint="eastAsia"/>
                <w:sz w:val="20"/>
                <w:highlight w:val="yellow"/>
              </w:rPr>
              <w:t>～</w:t>
            </w:r>
            <w:r w:rsidRPr="008A79BC">
              <w:rPr>
                <w:rFonts w:hint="eastAsia"/>
                <w:sz w:val="20"/>
                <w:highlight w:val="yellow"/>
              </w:rPr>
              <w:t>9.5GHz</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40MHz</w:t>
            </w:r>
          </w:p>
        </w:tc>
      </w:tr>
      <w:tr>
        <w:tblPrEx>
          <w:tblW w:w="8075" w:type="dxa"/>
          <w:jc w:val="center"/>
          <w:tblLayout w:type="fixed"/>
          <w:tblLook w:val="04A0"/>
        </w:tblPrEx>
        <w:trPr>
          <w:trHeight w:val="175"/>
          <w:jc w:val="center"/>
        </w:trPr>
        <w:tc>
          <w:tcPr>
            <w:tcW w:w="1800" w:type="dxa"/>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0.5</w:t>
            </w:r>
            <w:r>
              <w:rPr>
                <w:rFonts w:hint="eastAsia"/>
                <w:sz w:val="20"/>
              </w:rPr>
              <w:t>μ</w:t>
            </w:r>
            <w:r>
              <w:rPr>
                <w:rFonts w:hint="eastAsia"/>
                <w:sz w:val="20"/>
              </w:rPr>
              <w:t>s</w:t>
            </w:r>
          </w:p>
        </w:tc>
        <w:tc>
          <w:tcPr>
            <w:tcW w:w="4475" w:type="dxa"/>
            <w:tcBorders>
              <w:top w:val="single" w:sz="4" w:space="0" w:color="auto"/>
              <w:left w:val="single" w:sz="4" w:space="0" w:color="auto"/>
              <w:right w:val="single" w:sz="4" w:space="0" w:color="auto"/>
            </w:tcBorders>
            <w:vAlign w:val="center"/>
          </w:tcPr>
          <w:p w:rsidR="000F42D0">
            <w:pPr>
              <w:rPr>
                <w:sz w:val="20"/>
              </w:rPr>
            </w:pPr>
            <w:r>
              <w:rPr>
                <w:rFonts w:hint="eastAsia"/>
                <w:sz w:val="20"/>
              </w:rPr>
              <w:t>2.00</w:t>
            </w:r>
            <w:r>
              <w:rPr>
                <w:rFonts w:hint="eastAsia"/>
                <w:sz w:val="20"/>
              </w:rPr>
              <w:t>±</w:t>
            </w:r>
            <w:r>
              <w:rPr>
                <w:rFonts w:hint="eastAsia"/>
                <w:sz w:val="20"/>
              </w:rPr>
              <w:t>0.10MHz</w:t>
            </w:r>
          </w:p>
        </w:tc>
      </w:tr>
      <w:tr>
        <w:tblPrEx>
          <w:tblW w:w="8075" w:type="dxa"/>
          <w:jc w:val="center"/>
          <w:tblLayout w:type="fixed"/>
          <w:tblLook w:val="04A0"/>
        </w:tblPrEx>
        <w:trPr>
          <w:trHeight w:val="175"/>
          <w:jc w:val="center"/>
        </w:trPr>
        <w:tc>
          <w:tcPr>
            <w:tcW w:w="1800" w:type="dxa"/>
            <w:vMerge/>
            <w:tcBorders>
              <w:left w:val="single" w:sz="4" w:space="0" w:color="auto"/>
              <w:bottom w:val="single" w:sz="4" w:space="0" w:color="auto"/>
              <w:right w:val="single" w:sz="4" w:space="0" w:color="auto"/>
            </w:tcBorders>
            <w:vAlign w:val="center"/>
          </w:tcPr>
          <w:p w:rsidR="000F42D0">
            <w:pPr>
              <w:rPr>
                <w:sz w:val="20"/>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1.0</w:t>
            </w:r>
            <w:r>
              <w:rPr>
                <w:rFonts w:hint="eastAsia"/>
                <w:sz w:val="20"/>
              </w:rPr>
              <w:t>μ</w:t>
            </w:r>
            <w:r>
              <w:rPr>
                <w:rFonts w:hint="eastAsia"/>
                <w:sz w:val="20"/>
              </w:rPr>
              <w:t>s</w:t>
            </w:r>
          </w:p>
        </w:tc>
        <w:tc>
          <w:tcPr>
            <w:tcW w:w="4475" w:type="dxa"/>
            <w:tcBorders>
              <w:left w:val="single" w:sz="4" w:space="0" w:color="auto"/>
              <w:bottom w:val="single" w:sz="4" w:space="0" w:color="auto"/>
              <w:right w:val="single" w:sz="4" w:space="0" w:color="auto"/>
            </w:tcBorders>
            <w:vAlign w:val="center"/>
          </w:tcPr>
          <w:p w:rsidR="000F42D0">
            <w:pPr>
              <w:rPr>
                <w:sz w:val="20"/>
              </w:rPr>
            </w:pPr>
            <w:r>
              <w:rPr>
                <w:rFonts w:hint="eastAsia"/>
                <w:sz w:val="20"/>
              </w:rPr>
              <w:t>1.00</w:t>
            </w:r>
            <w:r>
              <w:rPr>
                <w:rFonts w:hint="eastAsia"/>
                <w:sz w:val="20"/>
              </w:rPr>
              <w:t>±</w:t>
            </w:r>
            <w:r>
              <w:rPr>
                <w:rFonts w:hint="eastAsia"/>
                <w:sz w:val="20"/>
              </w:rPr>
              <w:t>0.10MHz</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噪声系数</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3dB</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0.3dB</w:t>
            </w:r>
            <w:r>
              <w:rPr>
                <w:rFonts w:hint="eastAsia"/>
                <w:sz w:val="20"/>
              </w:rPr>
              <w:t>范围内</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0.2dB</w:t>
            </w:r>
            <w:r>
              <w:rPr>
                <w:rFonts w:hint="eastAsia"/>
                <w:sz w:val="20"/>
              </w:rPr>
              <w:t>范围内</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95dB</w:t>
            </w:r>
          </w:p>
        </w:tc>
      </w:tr>
      <w:tr>
        <w:tblPrEx>
          <w:tblW w:w="8075" w:type="dxa"/>
          <w:jc w:val="center"/>
          <w:tblLayout w:type="fixed"/>
          <w:tblLook w:val="04A0"/>
        </w:tblPrEx>
        <w:trPr>
          <w:trHeight w:val="175"/>
          <w:jc w:val="center"/>
        </w:trPr>
        <w:tc>
          <w:tcPr>
            <w:tcW w:w="3600" w:type="dxa"/>
            <w:gridSpan w:val="3"/>
            <w:vMerge w:val="restart"/>
            <w:tcBorders>
              <w:top w:val="single" w:sz="4" w:space="0" w:color="auto"/>
              <w:left w:val="single" w:sz="4" w:space="0" w:color="auto"/>
              <w:right w:val="single" w:sz="4" w:space="0" w:color="auto"/>
            </w:tcBorders>
            <w:vAlign w:val="center"/>
          </w:tcPr>
          <w:p w:rsidR="000F42D0">
            <w:pPr>
              <w:rPr>
                <w:sz w:val="20"/>
              </w:rPr>
            </w:pPr>
            <w:r>
              <w:rPr>
                <w:rFonts w:hint="eastAsia"/>
                <w:sz w:val="20"/>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-107dBm</w:t>
            </w:r>
            <w:r>
              <w:rPr>
                <w:rFonts w:hint="eastAsia"/>
                <w:sz w:val="20"/>
              </w:rPr>
              <w:t>（带宽</w:t>
            </w:r>
            <w:r>
              <w:rPr>
                <w:rFonts w:hint="eastAsia"/>
                <w:sz w:val="20"/>
              </w:rPr>
              <w:t>2MHz</w:t>
            </w:r>
            <w:r>
              <w:rPr>
                <w:rFonts w:hint="eastAsia"/>
                <w:sz w:val="20"/>
              </w:rPr>
              <w:t>）</w:t>
            </w:r>
          </w:p>
        </w:tc>
      </w:tr>
      <w:tr>
        <w:tblPrEx>
          <w:tblW w:w="8075" w:type="dxa"/>
          <w:jc w:val="center"/>
          <w:tblLayout w:type="fixed"/>
          <w:tblLook w:val="04A0"/>
        </w:tblPrEx>
        <w:trPr>
          <w:trHeight w:val="175"/>
          <w:jc w:val="center"/>
        </w:trPr>
        <w:tc>
          <w:tcPr>
            <w:tcW w:w="3600" w:type="dxa"/>
            <w:gridSpan w:val="3"/>
            <w:vMerge/>
            <w:tcBorders>
              <w:left w:val="single" w:sz="4" w:space="0" w:color="auto"/>
              <w:bottom w:val="single" w:sz="4" w:space="0" w:color="auto"/>
              <w:right w:val="single" w:sz="4" w:space="0" w:color="auto"/>
            </w:tcBorders>
            <w:vAlign w:val="center"/>
          </w:tcPr>
          <w:p w:rsidR="000F42D0">
            <w:pPr>
              <w:rPr>
                <w:sz w:val="20"/>
              </w:rPr>
            </w:pP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-110dBm</w:t>
            </w:r>
            <w:r>
              <w:rPr>
                <w:rFonts w:hint="eastAsia"/>
                <w:sz w:val="20"/>
              </w:rPr>
              <w:t>（带宽</w:t>
            </w:r>
            <w:r>
              <w:rPr>
                <w:rFonts w:hint="eastAsia"/>
                <w:sz w:val="20"/>
              </w:rPr>
              <w:t>1MHz</w:t>
            </w:r>
            <w:r>
              <w:rPr>
                <w:rFonts w:hint="eastAsia"/>
                <w:sz w:val="20"/>
              </w:rPr>
              <w:t>）</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-60dBc</w:t>
            </w:r>
          </w:p>
        </w:tc>
      </w:tr>
      <w:tr>
        <w:tblPrEx>
          <w:tblW w:w="8075" w:type="dxa"/>
          <w:jc w:val="center"/>
          <w:tblLayout w:type="fixed"/>
          <w:tblLook w:val="04A0"/>
        </w:tblPrEx>
        <w:trPr>
          <w:trHeight w:val="357"/>
          <w:jc w:val="center"/>
        </w:trPr>
        <w:tc>
          <w:tcPr>
            <w:tcW w:w="2122" w:type="dxa"/>
            <w:gridSpan w:val="2"/>
            <w:vMerge w:val="restart"/>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@1KHz</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 xml:space="preserve">-110dBc/Hz </w:t>
            </w:r>
          </w:p>
        </w:tc>
      </w:tr>
      <w:tr>
        <w:tblPrEx>
          <w:tblW w:w="8075" w:type="dxa"/>
          <w:jc w:val="center"/>
          <w:tblLayout w:type="fixed"/>
          <w:tblLook w:val="04A0"/>
        </w:tblPrEx>
        <w:trPr>
          <w:trHeight w:val="418"/>
          <w:jc w:val="center"/>
        </w:trPr>
        <w:tc>
          <w:tcPr>
            <w:tcW w:w="2122" w:type="dxa"/>
            <w:gridSpan w:val="2"/>
            <w:vMerge/>
            <w:tcBorders>
              <w:top w:val="single" w:sz="4" w:space="0" w:color="auto"/>
              <w:left w:val="single" w:sz="4" w:space="0" w:color="auto"/>
              <w:bottom w:val="single" w:sz="4" w:space="0" w:color="auto"/>
              <w:right w:val="single" w:sz="4" w:space="0" w:color="auto"/>
            </w:tcBorders>
            <w:vAlign w:val="center"/>
          </w:tcPr>
          <w:p w:rsidR="000F42D0">
            <w:pP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@10KHz</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 xml:space="preserve">-115dBc/Hz </w:t>
            </w:r>
          </w:p>
        </w:tc>
      </w:tr>
      <w:tr>
        <w:tblPrEx>
          <w:tblW w:w="8075" w:type="dxa"/>
          <w:jc w:val="center"/>
          <w:tblLayout w:type="fixed"/>
          <w:tblLook w:val="04A0"/>
        </w:tblPrEx>
        <w:trPr>
          <w:trHeight w:val="418"/>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频率源晶振</w:t>
            </w:r>
            <w:r>
              <w:rPr>
                <w:rFonts w:hint="eastAsia"/>
                <w:sz w:val="20"/>
              </w:rPr>
              <w:t>短期</w:t>
            </w:r>
            <w:r>
              <w:rPr>
                <w:rFonts w:hint="eastAsia"/>
                <w:sz w:val="20"/>
              </w:rPr>
              <w:t>(1ms)</w:t>
            </w:r>
            <w:r>
              <w:rPr>
                <w:rFonts w:hint="eastAsia"/>
                <w:sz w:val="20"/>
              </w:rPr>
              <w:t>稳定度</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10-11</w:t>
            </w:r>
          </w:p>
        </w:tc>
      </w:tr>
      <w:tr>
        <w:tblPrEx>
          <w:tblW w:w="8075" w:type="dxa"/>
          <w:jc w:val="center"/>
          <w:tblLayout w:type="fixed"/>
          <w:tblLook w:val="04A0"/>
        </w:tblPrEx>
        <w:trPr>
          <w:trHeight w:val="418"/>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60dB</w:t>
            </w:r>
          </w:p>
        </w:tc>
      </w:tr>
      <w:tr>
        <w:tblPrEx>
          <w:tblW w:w="8075" w:type="dxa"/>
          <w:jc w:val="center"/>
          <w:tblLayout w:type="fixed"/>
          <w:tblLook w:val="04A0"/>
        </w:tblPrEx>
        <w:trPr>
          <w:trHeight w:val="418"/>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60dB</w:t>
            </w:r>
          </w:p>
        </w:tc>
      </w:tr>
      <w:tr>
        <w:tblPrEx>
          <w:tblW w:w="8075" w:type="dxa"/>
          <w:jc w:val="center"/>
          <w:tblLayout w:type="fixed"/>
          <w:tblLook w:val="04A0"/>
        </w:tblPrEx>
        <w:trPr>
          <w:trHeight w:val="418"/>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温度波动范围（采用恒温接收机）</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2</w:t>
            </w:r>
            <w:r>
              <w:rPr>
                <w:rFonts w:hint="eastAsia"/>
                <w:sz w:val="20"/>
              </w:rPr>
              <w:t>℃范围内（工作温度）。当环境温度为</w:t>
            </w:r>
            <w:r>
              <w:rPr>
                <w:rFonts w:hint="eastAsia"/>
                <w:sz w:val="20"/>
              </w:rPr>
              <w:t>0</w:t>
            </w:r>
            <w:r>
              <w:rPr>
                <w:rFonts w:hint="eastAsia"/>
                <w:sz w:val="20"/>
              </w:rPr>
              <w:t>度或</w:t>
            </w:r>
            <w:r>
              <w:rPr>
                <w:rFonts w:hint="eastAsia"/>
                <w:sz w:val="20"/>
              </w:rPr>
              <w:t>+40</w:t>
            </w:r>
            <w:r>
              <w:rPr>
                <w:rFonts w:hint="eastAsia"/>
                <w:sz w:val="20"/>
              </w:rPr>
              <w:t>度，达到恒定温度的时间不超过</w:t>
            </w:r>
            <w:r>
              <w:rPr>
                <w:rFonts w:hint="eastAsia"/>
                <w:sz w:val="20"/>
              </w:rPr>
              <w:t>10min</w:t>
            </w:r>
            <w:r>
              <w:rPr>
                <w:rFonts w:hint="eastAsia"/>
                <w:sz w:val="20"/>
              </w:rPr>
              <w:t>；当环境温度为</w:t>
            </w:r>
            <w:r>
              <w:rPr>
                <w:rFonts w:hint="eastAsia"/>
                <w:sz w:val="20"/>
              </w:rPr>
              <w:t>-30</w:t>
            </w:r>
            <w:r>
              <w:rPr>
                <w:rFonts w:hint="eastAsia"/>
                <w:sz w:val="20"/>
              </w:rPr>
              <w:t>度或</w:t>
            </w:r>
            <w:r>
              <w:rPr>
                <w:rFonts w:hint="eastAsia"/>
                <w:sz w:val="20"/>
              </w:rPr>
              <w:t>+50</w:t>
            </w:r>
            <w:r>
              <w:rPr>
                <w:rFonts w:hint="eastAsia"/>
                <w:sz w:val="20"/>
              </w:rPr>
              <w:t>度，达到恒定温度的时间不超过</w:t>
            </w:r>
            <w:r>
              <w:rPr>
                <w:rFonts w:hint="eastAsia"/>
                <w:sz w:val="20"/>
              </w:rPr>
              <w:t>30min</w:t>
            </w:r>
            <w:r>
              <w:rPr>
                <w:rFonts w:hint="eastAsia"/>
                <w:sz w:val="20"/>
              </w:rPr>
              <w:t>。</w:t>
            </w:r>
          </w:p>
        </w:tc>
      </w:tr>
      <w:tr>
        <w:tblPrEx>
          <w:tblW w:w="8075" w:type="dxa"/>
          <w:jc w:val="center"/>
          <w:tblLayout w:type="fixed"/>
          <w:tblLook w:val="04A0"/>
        </w:tblPrEx>
        <w:trPr>
          <w:jc w:val="center"/>
        </w:trPr>
        <w:tc>
          <w:tcPr>
            <w:tcW w:w="3600" w:type="dxa"/>
            <w:gridSpan w:val="3"/>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发生本振故障、激励故障、时钟故障、</w:t>
            </w:r>
            <w:r>
              <w:rPr>
                <w:rFonts w:hint="eastAsia"/>
                <w:sz w:val="20"/>
              </w:rPr>
              <w:t>RFD</w:t>
            </w:r>
            <w:r>
              <w:rPr>
                <w:rFonts w:hint="eastAsia"/>
                <w:sz w:val="20"/>
              </w:rPr>
              <w:t>测量误差超限、噪声系数超限、地杂物抑制超限、双</w:t>
            </w:r>
            <w:r>
              <w:rPr>
                <w:rFonts w:hint="eastAsia"/>
                <w:sz w:val="20"/>
              </w:rPr>
              <w:t>通道幅相一致性</w:t>
            </w:r>
            <w:r>
              <w:rPr>
                <w:rFonts w:hint="eastAsia"/>
                <w:sz w:val="20"/>
              </w:rPr>
              <w:t>超限等情况时可报警。</w:t>
            </w:r>
            <w:r>
              <w:rPr>
                <w:rFonts w:hint="eastAsia"/>
                <w:sz w:val="20"/>
              </w:rPr>
              <w:t xml:space="preserve"> </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数字中频单元技术性能指标表</w:t>
      </w:r>
    </w:p>
    <w:tbl>
      <w:tblPr>
        <w:tblStyle w:val="TableNormal"/>
        <w:tblpPr w:leftFromText="180" w:rightFromText="180" w:vertAnchor="text" w:horzAnchor="page" w:tblpX="1867" w:tblpY="553"/>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00"/>
        <w:gridCol w:w="4759"/>
      </w:tblGrid>
      <w:tr>
        <w:tblPrEx>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4"/>
        </w:trPr>
        <w:tc>
          <w:tcPr>
            <w:tcW w:w="3600" w:type="dxa"/>
            <w:tcBorders>
              <w:top w:val="single" w:sz="4" w:space="0" w:color="auto"/>
              <w:left w:val="single" w:sz="4" w:space="0" w:color="auto"/>
              <w:right w:val="single" w:sz="4" w:space="0" w:color="auto"/>
            </w:tcBorders>
            <w:vAlign w:val="center"/>
          </w:tcPr>
          <w:p w:rsidR="000F42D0">
            <w:pPr>
              <w:jc w:val="center"/>
              <w:rPr>
                <w:b/>
                <w:bCs/>
                <w:sz w:val="20"/>
              </w:rPr>
            </w:pPr>
            <w:r>
              <w:rPr>
                <w:rFonts w:hint="eastAsia"/>
                <w:b/>
                <w:bCs/>
                <w:sz w:val="20"/>
              </w:rPr>
              <w:t>项目</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jc w:val="center"/>
              <w:rPr>
                <w:b/>
                <w:bCs/>
                <w:sz w:val="20"/>
              </w:rPr>
            </w:pPr>
            <w:r>
              <w:rPr>
                <w:rFonts w:hint="eastAsia"/>
                <w:b/>
                <w:bCs/>
                <w:sz w:val="20"/>
              </w:rPr>
              <w:t>性能指标</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参考时钟</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800MHz</w:t>
            </w:r>
            <w:r>
              <w:rPr>
                <w:rFonts w:hint="eastAsia"/>
                <w:sz w:val="20"/>
              </w:rPr>
              <w:t>，</w:t>
            </w:r>
            <w:r>
              <w:rPr>
                <w:rFonts w:hint="eastAsia"/>
                <w:sz w:val="20"/>
              </w:rPr>
              <w:t>3</w:t>
            </w:r>
            <w:r>
              <w:rPr>
                <w:rFonts w:hint="eastAsia"/>
                <w:sz w:val="20"/>
              </w:rPr>
              <w:t>±</w:t>
            </w:r>
            <w:r>
              <w:rPr>
                <w:rFonts w:hint="eastAsia"/>
                <w:sz w:val="20"/>
              </w:rPr>
              <w:t>1dBm</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输出中频激励信号</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30MHz</w:t>
            </w:r>
            <w:r>
              <w:rPr>
                <w:rFonts w:hint="eastAsia"/>
                <w:sz w:val="20"/>
              </w:rPr>
              <w:t>～</w:t>
            </w:r>
            <w:r>
              <w:rPr>
                <w:rFonts w:hint="eastAsia"/>
                <w:sz w:val="20"/>
              </w:rPr>
              <w:t>70MHz</w:t>
            </w:r>
            <w:r>
              <w:rPr>
                <w:rFonts w:hint="eastAsia"/>
                <w:sz w:val="20"/>
              </w:rPr>
              <w:t>，</w:t>
            </w:r>
            <w:r>
              <w:rPr>
                <w:rFonts w:hint="eastAsia"/>
                <w:sz w:val="20"/>
              </w:rPr>
              <w:t>0</w:t>
            </w:r>
            <w:r>
              <w:rPr>
                <w:rFonts w:hint="eastAsia"/>
                <w:sz w:val="20"/>
              </w:rPr>
              <w:t>±</w:t>
            </w:r>
            <w:r>
              <w:rPr>
                <w:rFonts w:hint="eastAsia"/>
                <w:sz w:val="20"/>
              </w:rPr>
              <w:t>5dBm</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输入中频信号</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30MHz</w:t>
            </w:r>
            <w:r>
              <w:rPr>
                <w:rFonts w:hint="eastAsia"/>
                <w:sz w:val="20"/>
              </w:rPr>
              <w:t>～</w:t>
            </w:r>
            <w:r>
              <w:rPr>
                <w:rFonts w:hint="eastAsia"/>
                <w:sz w:val="20"/>
              </w:rPr>
              <w:t>70MHz</w:t>
            </w:r>
            <w:r>
              <w:rPr>
                <w:rFonts w:hint="eastAsia"/>
                <w:sz w:val="20"/>
              </w:rPr>
              <w:t>，≤</w:t>
            </w:r>
            <w:r>
              <w:rPr>
                <w:rFonts w:hint="eastAsia"/>
                <w:sz w:val="20"/>
              </w:rPr>
              <w:t>+15dBm</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脉冲压缩主副瓣比</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50dB</w:t>
            </w:r>
            <w:r>
              <w:rPr>
                <w:rFonts w:hint="eastAsia"/>
                <w:sz w:val="20"/>
              </w:rPr>
              <w:t>（脉压比≥</w:t>
            </w:r>
            <w:r>
              <w:rPr>
                <w:rFonts w:hint="eastAsia"/>
                <w:sz w:val="20"/>
              </w:rPr>
              <w:t>100</w:t>
            </w:r>
            <w:r>
              <w:rPr>
                <w:rFonts w:hint="eastAsia"/>
                <w:sz w:val="20"/>
              </w:rPr>
              <w:t>）</w:t>
            </w:r>
          </w:p>
          <w:p w:rsidR="000F42D0">
            <w:pPr>
              <w:rPr>
                <w:sz w:val="20"/>
              </w:rPr>
            </w:pPr>
            <w:r>
              <w:rPr>
                <w:rFonts w:hint="eastAsia"/>
                <w:sz w:val="20"/>
              </w:rPr>
              <w:t>≥</w:t>
            </w:r>
            <w:r>
              <w:rPr>
                <w:rFonts w:hint="eastAsia"/>
                <w:sz w:val="20"/>
              </w:rPr>
              <w:t>45dB</w:t>
            </w:r>
            <w:r>
              <w:rPr>
                <w:rFonts w:hint="eastAsia"/>
                <w:sz w:val="20"/>
              </w:rPr>
              <w:t>（脉压比＜</w:t>
            </w:r>
            <w:r>
              <w:rPr>
                <w:rFonts w:hint="eastAsia"/>
                <w:sz w:val="20"/>
              </w:rPr>
              <w:t>100</w:t>
            </w:r>
            <w:r>
              <w:rPr>
                <w:rFonts w:hint="eastAsia"/>
                <w:sz w:val="20"/>
              </w:rPr>
              <w:t>）</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75m</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w:t>
            </w:r>
            <w:r>
              <w:rPr>
                <w:rFonts w:hint="eastAsia"/>
                <w:sz w:val="20"/>
              </w:rPr>
              <w:t>2000</w:t>
            </w:r>
            <w:r>
              <w:rPr>
                <w:rFonts w:hint="eastAsia"/>
                <w:sz w:val="20"/>
              </w:rPr>
              <w:t>个</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一</w:t>
            </w:r>
            <w:r>
              <w:rPr>
                <w:rFonts w:hint="eastAsia"/>
                <w:sz w:val="20"/>
              </w:rPr>
              <w:t>阶相关</w:t>
            </w:r>
            <w:r>
              <w:rPr>
                <w:rFonts w:hint="eastAsia"/>
                <w:sz w:val="20"/>
              </w:rPr>
              <w:t>或多</w:t>
            </w:r>
            <w:r>
              <w:rPr>
                <w:rFonts w:hint="eastAsia"/>
                <w:sz w:val="20"/>
              </w:rPr>
              <w:t>阶相关</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16</w:t>
            </w:r>
            <w:r>
              <w:rPr>
                <w:rFonts w:hint="eastAsia"/>
                <w:sz w:val="20"/>
              </w:rPr>
              <w:t>、</w:t>
            </w:r>
            <w:r>
              <w:rPr>
                <w:rFonts w:hint="eastAsia"/>
                <w:sz w:val="20"/>
              </w:rPr>
              <w:t>32</w:t>
            </w:r>
            <w:r>
              <w:rPr>
                <w:rFonts w:hint="eastAsia"/>
                <w:sz w:val="20"/>
              </w:rPr>
              <w:t>、</w:t>
            </w:r>
            <w:r>
              <w:rPr>
                <w:rFonts w:hint="eastAsia"/>
                <w:sz w:val="20"/>
              </w:rPr>
              <w:t>64</w:t>
            </w:r>
            <w:r>
              <w:rPr>
                <w:rFonts w:hint="eastAsia"/>
                <w:sz w:val="20"/>
              </w:rPr>
              <w:t>、</w:t>
            </w:r>
            <w:r>
              <w:rPr>
                <w:rFonts w:hint="eastAsia"/>
                <w:sz w:val="20"/>
              </w:rPr>
              <w:t>128</w:t>
            </w:r>
            <w:r>
              <w:rPr>
                <w:rFonts w:hint="eastAsia"/>
                <w:sz w:val="20"/>
              </w:rPr>
              <w:t>、</w:t>
            </w:r>
            <w:r>
              <w:rPr>
                <w:rFonts w:hint="eastAsia"/>
                <w:sz w:val="20"/>
              </w:rPr>
              <w:t>256</w:t>
            </w:r>
            <w:r>
              <w:rPr>
                <w:rFonts w:hint="eastAsia"/>
                <w:sz w:val="20"/>
              </w:rPr>
              <w:t>等可选</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同一发射周期内最大支持</w:t>
            </w:r>
            <w:r>
              <w:rPr>
                <w:rFonts w:hint="eastAsia"/>
                <w:sz w:val="20"/>
              </w:rPr>
              <w:t>3</w:t>
            </w:r>
            <w:r>
              <w:rPr>
                <w:rFonts w:hint="eastAsia"/>
                <w:sz w:val="20"/>
              </w:rPr>
              <w:t>种脉冲宽度拼接补盲，可选脉冲宽度支持</w:t>
            </w:r>
            <w:r>
              <w:rPr>
                <w:rFonts w:hint="eastAsia"/>
                <w:sz w:val="20"/>
              </w:rPr>
              <w:t>0.5</w:t>
            </w:r>
            <w:r>
              <w:rPr>
                <w:rFonts w:hint="eastAsia"/>
                <w:sz w:val="20"/>
              </w:rPr>
              <w:t>μ</w:t>
            </w:r>
            <w:r>
              <w:rPr>
                <w:rFonts w:hint="eastAsia"/>
                <w:sz w:val="20"/>
              </w:rPr>
              <w:t>s</w:t>
            </w:r>
            <w:r>
              <w:rPr>
                <w:rFonts w:hint="eastAsia"/>
                <w:sz w:val="20"/>
              </w:rPr>
              <w:t>～</w:t>
            </w:r>
            <w:r>
              <w:rPr>
                <w:rFonts w:hint="eastAsia"/>
                <w:sz w:val="20"/>
              </w:rPr>
              <w:t>200</w:t>
            </w:r>
            <w:r>
              <w:rPr>
                <w:rFonts w:hint="eastAsia"/>
                <w:sz w:val="20"/>
              </w:rPr>
              <w:t>μ</w:t>
            </w:r>
            <w:r>
              <w:rPr>
                <w:rFonts w:hint="eastAsia"/>
                <w:sz w:val="20"/>
              </w:rPr>
              <w:t>s</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相位编码或其它等效方法</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双重频或其它等效方法</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IQ</w:t>
            </w:r>
            <w:r>
              <w:rPr>
                <w:rFonts w:hint="eastAsia"/>
                <w:sz w:val="20"/>
              </w:rPr>
              <w:t>数据、数据丢包、参数输出等故障</w:t>
            </w:r>
          </w:p>
        </w:tc>
      </w:tr>
      <w:tr>
        <w:tblPrEx>
          <w:tblW w:w="8359" w:type="dxa"/>
          <w:tblLayout w:type="fixed"/>
          <w:tblLook w:val="04A0"/>
        </w:tblPrEx>
        <w:tc>
          <w:tcPr>
            <w:tcW w:w="3600"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其它</w:t>
            </w:r>
          </w:p>
        </w:tc>
        <w:tc>
          <w:tcPr>
            <w:tcW w:w="4759"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具有与信号带宽相匹配的数字下变频滤波处理和</w:t>
            </w:r>
            <w:r>
              <w:rPr>
                <w:rFonts w:hint="eastAsia"/>
                <w:sz w:val="20"/>
              </w:rPr>
              <w:t>NLFM</w:t>
            </w:r>
            <w:r>
              <w:rPr>
                <w:rFonts w:hint="eastAsia"/>
                <w:sz w:val="20"/>
              </w:rPr>
              <w:t>信号的脉冲压缩运算能力</w:t>
            </w:r>
          </w:p>
        </w:tc>
      </w:tr>
    </w:tbl>
    <w:p w:rsidR="000F42D0">
      <w:pPr>
        <w:jc w:val="center"/>
        <w:rPr>
          <w:rFonts w:ascii="Arial" w:eastAsia="黑体" w:hAnsi="Arial" w:cs="Arial"/>
          <w:sz w:val="20"/>
          <w:szCs w:val="20"/>
        </w:rPr>
      </w:pPr>
    </w:p>
    <w:p w:rsidR="000F42D0">
      <w:pPr>
        <w:jc w:val="center"/>
        <w:rPr>
          <w:rFonts w:ascii="Arial" w:eastAsia="黑体" w:hAnsi="Arial" w:cs="Arial"/>
          <w:sz w:val="20"/>
          <w:szCs w:val="20"/>
        </w:rPr>
      </w:pPr>
    </w:p>
    <w:p w:rsidR="000F42D0">
      <w:pPr>
        <w:jc w:val="center"/>
        <w:rPr>
          <w:rFonts w:ascii="Arial" w:eastAsia="黑体" w:hAnsi="Arial" w:cs="Arial"/>
          <w:sz w:val="20"/>
          <w:szCs w:val="20"/>
        </w:rPr>
      </w:pPr>
      <w:r>
        <w:rPr>
          <w:rFonts w:ascii="Arial" w:eastAsia="黑体" w:hAnsi="Arial" w:cs="Arial" w:hint="eastAsia"/>
          <w:sz w:val="20"/>
          <w:szCs w:val="20"/>
        </w:rPr>
        <w:t>信号处理算法</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3"/>
        <w:gridCol w:w="2307"/>
        <w:gridCol w:w="593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0"/>
          <w:jc w:val="center"/>
        </w:trPr>
        <w:tc>
          <w:tcPr>
            <w:tcW w:w="424" w:type="pct"/>
            <w:shd w:val="clear" w:color="auto" w:fill="auto"/>
            <w:noWrap/>
            <w:vAlign w:val="center"/>
          </w:tcPr>
          <w:p w:rsidR="000F42D0">
            <w:pPr>
              <w:jc w:val="center"/>
              <w:rPr>
                <w:b/>
                <w:bCs/>
                <w:sz w:val="20"/>
              </w:rPr>
            </w:pPr>
            <w:r>
              <w:rPr>
                <w:rFonts w:hint="eastAsia"/>
                <w:b/>
                <w:bCs/>
                <w:sz w:val="20"/>
              </w:rPr>
              <w:t>序号</w:t>
            </w:r>
          </w:p>
        </w:tc>
        <w:tc>
          <w:tcPr>
            <w:tcW w:w="4576" w:type="pct"/>
            <w:gridSpan w:val="2"/>
            <w:shd w:val="clear" w:color="auto" w:fill="auto"/>
            <w:noWrap/>
            <w:vAlign w:val="center"/>
          </w:tcPr>
          <w:p w:rsidR="000F42D0">
            <w:pPr>
              <w:jc w:val="center"/>
              <w:rPr>
                <w:b/>
                <w:bCs/>
                <w:sz w:val="20"/>
              </w:rPr>
            </w:pPr>
            <w:r>
              <w:rPr>
                <w:rFonts w:hint="eastAsia"/>
                <w:b/>
                <w:bCs/>
                <w:sz w:val="20"/>
              </w:rPr>
              <w:t>算法名称</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w:t>
            </w:r>
          </w:p>
        </w:tc>
        <w:tc>
          <w:tcPr>
            <w:tcW w:w="1281" w:type="pct"/>
            <w:vMerge w:val="restart"/>
            <w:shd w:val="clear" w:color="auto" w:fill="auto"/>
            <w:noWrap/>
            <w:vAlign w:val="center"/>
          </w:tcPr>
          <w:p w:rsidR="000F42D0">
            <w:pPr>
              <w:rPr>
                <w:sz w:val="20"/>
              </w:rPr>
            </w:pPr>
            <w:r>
              <w:rPr>
                <w:rFonts w:hint="eastAsia"/>
                <w:sz w:val="20"/>
              </w:rPr>
              <w:t>杂波抑制（采用先动态</w:t>
            </w:r>
            <w:r>
              <w:rPr>
                <w:rFonts w:hint="eastAsia"/>
                <w:sz w:val="20"/>
              </w:rPr>
              <w:t>识别再</w:t>
            </w:r>
            <w:r>
              <w:rPr>
                <w:rFonts w:hint="eastAsia"/>
                <w:sz w:val="20"/>
              </w:rPr>
              <w:t>进行自适应频域滤波的方法进行杂波过滤）</w:t>
            </w:r>
          </w:p>
        </w:tc>
        <w:tc>
          <w:tcPr>
            <w:tcW w:w="3294" w:type="pct"/>
            <w:shd w:val="clear" w:color="auto" w:fill="auto"/>
            <w:noWrap/>
            <w:vAlign w:val="center"/>
          </w:tcPr>
          <w:p w:rsidR="000F42D0">
            <w:pPr>
              <w:rPr>
                <w:sz w:val="20"/>
              </w:rPr>
            </w:pPr>
            <w:r>
              <w:rPr>
                <w:rFonts w:hint="eastAsia"/>
                <w:sz w:val="20"/>
              </w:rPr>
              <w:t>电磁干扰识别</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2</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电磁干扰抑制</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3</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风电干扰识别</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4</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风电干扰抑制</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5</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地杂波识别</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6</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地杂波抑制</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7</w:t>
            </w:r>
          </w:p>
        </w:tc>
        <w:tc>
          <w:tcPr>
            <w:tcW w:w="1281" w:type="pct"/>
            <w:vMerge w:val="restart"/>
            <w:shd w:val="clear" w:color="auto" w:fill="auto"/>
            <w:noWrap/>
            <w:vAlign w:val="center"/>
          </w:tcPr>
          <w:p w:rsidR="000F42D0">
            <w:pPr>
              <w:rPr>
                <w:sz w:val="20"/>
              </w:rPr>
            </w:pPr>
            <w:r>
              <w:rPr>
                <w:rFonts w:hint="eastAsia"/>
                <w:sz w:val="20"/>
              </w:rPr>
              <w:t>距离</w:t>
            </w:r>
            <w:r>
              <w:rPr>
                <w:rFonts w:hint="eastAsia"/>
                <w:sz w:val="20"/>
              </w:rPr>
              <w:t>/</w:t>
            </w:r>
            <w:r>
              <w:rPr>
                <w:rFonts w:hint="eastAsia"/>
                <w:sz w:val="20"/>
              </w:rPr>
              <w:t>速度退模糊</w:t>
            </w:r>
          </w:p>
        </w:tc>
        <w:tc>
          <w:tcPr>
            <w:tcW w:w="3294" w:type="pct"/>
            <w:shd w:val="clear" w:color="auto" w:fill="auto"/>
            <w:noWrap/>
            <w:vAlign w:val="center"/>
          </w:tcPr>
          <w:p w:rsidR="000F42D0">
            <w:pPr>
              <w:rPr>
                <w:sz w:val="20"/>
              </w:rPr>
            </w:pPr>
            <w:r>
              <w:rPr>
                <w:rFonts w:hint="eastAsia"/>
                <w:sz w:val="20"/>
              </w:rPr>
              <w:t>双重频（</w:t>
            </w:r>
            <w:r>
              <w:rPr>
                <w:rFonts w:hint="eastAsia"/>
                <w:sz w:val="20"/>
              </w:rPr>
              <w:t>DPRF</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8</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参差重频（</w:t>
            </w:r>
            <w:r>
              <w:rPr>
                <w:rFonts w:hint="eastAsia"/>
                <w:sz w:val="20"/>
              </w:rPr>
              <w:t>SPRT</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9</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随机相位调制</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10</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系统相位编码</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11</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批处理</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12</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分层处理</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13</w:t>
            </w:r>
          </w:p>
        </w:tc>
        <w:tc>
          <w:tcPr>
            <w:tcW w:w="1281" w:type="pct"/>
            <w:vMerge w:val="restart"/>
            <w:shd w:val="clear" w:color="auto" w:fill="auto"/>
            <w:noWrap/>
            <w:vAlign w:val="center"/>
          </w:tcPr>
          <w:p w:rsidR="000F42D0">
            <w:pPr>
              <w:rPr>
                <w:sz w:val="20"/>
              </w:rPr>
            </w:pPr>
            <w:r>
              <w:rPr>
                <w:rFonts w:hint="eastAsia"/>
                <w:sz w:val="20"/>
              </w:rPr>
              <w:t>参数估计</w:t>
            </w:r>
          </w:p>
        </w:tc>
        <w:tc>
          <w:tcPr>
            <w:tcW w:w="3294" w:type="pct"/>
            <w:shd w:val="clear" w:color="auto" w:fill="auto"/>
            <w:noWrap/>
            <w:vAlign w:val="center"/>
          </w:tcPr>
          <w:p w:rsidR="000F42D0">
            <w:pPr>
              <w:rPr>
                <w:sz w:val="20"/>
              </w:rPr>
            </w:pPr>
            <w:r>
              <w:rPr>
                <w:rFonts w:hint="eastAsia"/>
                <w:sz w:val="20"/>
              </w:rPr>
              <w:t>常规估计（反射率因子、径向速度、速度谱宽、差分反射率、差分传播相移、相关系数）</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14</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频域估计（反射率因子、径向速度、速度谱宽、差分反射率、差分传播相移、相关系数）</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15</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多</w:t>
            </w:r>
            <w:r>
              <w:rPr>
                <w:rFonts w:hint="eastAsia"/>
                <w:sz w:val="20"/>
              </w:rPr>
              <w:t>阶相关</w:t>
            </w:r>
            <w:r>
              <w:rPr>
                <w:rFonts w:hint="eastAsia"/>
                <w:sz w:val="20"/>
              </w:rPr>
              <w:t>估计（反射率因子、径向速度、速度谱宽、差分反射率、差分传播相移、相关系数）</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16</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线性规划估计、最小二乘估计等多种方式（差分传播相移率）</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17</w:t>
            </w:r>
          </w:p>
        </w:tc>
        <w:tc>
          <w:tcPr>
            <w:tcW w:w="1281" w:type="pct"/>
            <w:vMerge w:val="restart"/>
            <w:shd w:val="clear" w:color="auto" w:fill="auto"/>
            <w:noWrap/>
            <w:vAlign w:val="center"/>
          </w:tcPr>
          <w:p w:rsidR="000F42D0">
            <w:pPr>
              <w:rPr>
                <w:sz w:val="20"/>
              </w:rPr>
            </w:pPr>
            <w:r>
              <w:rPr>
                <w:rFonts w:hint="eastAsia"/>
                <w:sz w:val="20"/>
              </w:rPr>
              <w:t>门限设置</w:t>
            </w:r>
          </w:p>
        </w:tc>
        <w:tc>
          <w:tcPr>
            <w:tcW w:w="3294" w:type="pct"/>
            <w:shd w:val="clear" w:color="auto" w:fill="auto"/>
            <w:noWrap/>
            <w:vAlign w:val="center"/>
          </w:tcPr>
          <w:p w:rsidR="000F42D0">
            <w:pPr>
              <w:rPr>
                <w:sz w:val="20"/>
              </w:rPr>
            </w:pPr>
            <w:r>
              <w:rPr>
                <w:rFonts w:hint="eastAsia"/>
                <w:sz w:val="20"/>
              </w:rPr>
              <w:t>信号质量指数（</w:t>
            </w:r>
            <w:r>
              <w:rPr>
                <w:rFonts w:hint="eastAsia"/>
                <w:sz w:val="20"/>
              </w:rPr>
              <w:t>SQI</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18</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天气信号强度指数（</w:t>
            </w:r>
            <w:r>
              <w:rPr>
                <w:rFonts w:hint="eastAsia"/>
                <w:sz w:val="20"/>
              </w:rPr>
              <w:t>SIG</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19</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杂波订正指数（</w:t>
            </w:r>
            <w:r>
              <w:rPr>
                <w:rFonts w:hint="eastAsia"/>
                <w:sz w:val="20"/>
              </w:rPr>
              <w:t>CCOR</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20</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杂信比</w:t>
            </w:r>
            <w:r>
              <w:rPr>
                <w:rFonts w:hint="eastAsia"/>
                <w:sz w:val="20"/>
              </w:rPr>
              <w:t>（</w:t>
            </w:r>
            <w:r>
              <w:rPr>
                <w:rFonts w:hint="eastAsia"/>
                <w:sz w:val="20"/>
              </w:rPr>
              <w:t>CSR</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21</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信噪比（</w:t>
            </w:r>
            <w:r>
              <w:rPr>
                <w:rFonts w:hint="eastAsia"/>
                <w:sz w:val="20"/>
              </w:rPr>
              <w:t>LOG</w:t>
            </w:r>
            <w:r>
              <w:rPr>
                <w:rFonts w:hint="eastAsia"/>
                <w:sz w:val="20"/>
              </w:rPr>
              <w:t>）</w:t>
            </w:r>
          </w:p>
        </w:tc>
      </w:tr>
      <w:tr>
        <w:tblPrEx>
          <w:tblW w:w="5000" w:type="pct"/>
          <w:jc w:val="center"/>
          <w:tblLayout w:type="fixed"/>
          <w:tblLook w:val="04A0"/>
        </w:tblPrEx>
        <w:trPr>
          <w:trHeight w:val="280"/>
          <w:jc w:val="center"/>
        </w:trPr>
        <w:tc>
          <w:tcPr>
            <w:tcW w:w="424" w:type="pct"/>
            <w:shd w:val="clear" w:color="auto" w:fill="auto"/>
            <w:noWrap/>
            <w:vAlign w:val="center"/>
          </w:tcPr>
          <w:p w:rsidR="000F42D0">
            <w:pPr>
              <w:rPr>
                <w:sz w:val="20"/>
              </w:rPr>
            </w:pPr>
            <w:r>
              <w:rPr>
                <w:rFonts w:hint="eastAsia"/>
                <w:sz w:val="20"/>
              </w:rPr>
              <w:t>22</w:t>
            </w:r>
          </w:p>
        </w:tc>
        <w:tc>
          <w:tcPr>
            <w:tcW w:w="1281" w:type="pct"/>
            <w:vMerge/>
            <w:vAlign w:val="center"/>
          </w:tcPr>
          <w:p w:rsidR="000F42D0">
            <w:pPr>
              <w:rPr>
                <w:sz w:val="20"/>
              </w:rPr>
            </w:pPr>
          </w:p>
        </w:tc>
        <w:tc>
          <w:tcPr>
            <w:tcW w:w="3294" w:type="pct"/>
            <w:shd w:val="clear" w:color="auto" w:fill="auto"/>
            <w:noWrap/>
            <w:vAlign w:val="center"/>
          </w:tcPr>
          <w:p w:rsidR="000F42D0">
            <w:pPr>
              <w:rPr>
                <w:sz w:val="20"/>
              </w:rPr>
            </w:pPr>
            <w:r>
              <w:rPr>
                <w:rFonts w:hint="eastAsia"/>
                <w:sz w:val="20"/>
              </w:rPr>
              <w:t>偏振量信噪比（</w:t>
            </w:r>
            <w:r>
              <w:rPr>
                <w:rFonts w:hint="eastAsia"/>
                <w:sz w:val="20"/>
              </w:rPr>
              <w:t>DPLOG</w:t>
            </w:r>
            <w:r>
              <w:rPr>
                <w:rFonts w:hint="eastAsia"/>
                <w:sz w:val="20"/>
              </w:rPr>
              <w:t>）</w:t>
            </w:r>
          </w:p>
        </w:tc>
      </w:tr>
    </w:tbl>
    <w:p w:rsidR="000F42D0">
      <w:pPr>
        <w:jc w:val="center"/>
        <w:rPr>
          <w:rFonts w:ascii="Arial" w:eastAsia="黑体" w:hAnsi="Arial" w:cs="Arial"/>
          <w:sz w:val="20"/>
          <w:szCs w:val="20"/>
        </w:rPr>
      </w:pPr>
      <w:bookmarkStart w:id="60" w:name="_Hlk529347860"/>
    </w:p>
    <w:p w:rsidR="000F42D0">
      <w:pPr>
        <w:jc w:val="center"/>
        <w:rPr>
          <w:rFonts w:ascii="Arial" w:eastAsia="黑体" w:hAnsi="Arial" w:cs="Arial"/>
          <w:sz w:val="20"/>
          <w:szCs w:val="20"/>
        </w:rPr>
      </w:pPr>
      <w:r>
        <w:rPr>
          <w:rFonts w:ascii="Arial" w:eastAsia="黑体" w:hAnsi="Arial" w:cs="Arial" w:hint="eastAsia"/>
          <w:sz w:val="20"/>
          <w:szCs w:val="20"/>
        </w:rPr>
        <w:t>雷达终端配置</w:t>
      </w:r>
    </w:p>
    <w:tbl>
      <w:tblPr>
        <w:tblStyle w:val="TableNormal"/>
        <w:tblW w:w="7919" w:type="dxa"/>
        <w:jc w:val="center"/>
        <w:tblLook w:val="04A0"/>
      </w:tblPr>
      <w:tblGrid>
        <w:gridCol w:w="861"/>
        <w:gridCol w:w="1859"/>
        <w:gridCol w:w="5199"/>
      </w:tblGrid>
      <w:tr>
        <w:tblPrEx>
          <w:tblW w:w="7919" w:type="dxa"/>
          <w:jc w:val="center"/>
          <w:tblLook w:val="04A0"/>
        </w:tblPrEx>
        <w:trPr>
          <w:trHeight w:val="339"/>
          <w:jc w:val="center"/>
        </w:trPr>
        <w:tc>
          <w:tcPr>
            <w:tcW w:w="861" w:type="dxa"/>
            <w:tcBorders>
              <w:top w:val="single" w:sz="4" w:space="0" w:color="auto"/>
              <w:left w:val="single" w:sz="4" w:space="0" w:color="auto"/>
              <w:bottom w:val="single" w:sz="4" w:space="0" w:color="auto"/>
              <w:right w:val="nil"/>
            </w:tcBorders>
            <w:vAlign w:val="center"/>
          </w:tcPr>
          <w:p w:rsidR="000F42D0">
            <w:pPr>
              <w:jc w:val="center"/>
              <w:rPr>
                <w:b/>
                <w:bCs/>
                <w:sz w:val="20"/>
              </w:rPr>
            </w:pPr>
            <w:r>
              <w:rPr>
                <w:rFonts w:hint="eastAsia"/>
                <w:b/>
                <w:bCs/>
                <w:sz w:val="20"/>
              </w:rPr>
              <w:t>序号</w:t>
            </w:r>
          </w:p>
        </w:tc>
        <w:tc>
          <w:tcPr>
            <w:tcW w:w="1859" w:type="dxa"/>
            <w:tcBorders>
              <w:top w:val="single" w:sz="4" w:space="0" w:color="auto"/>
              <w:left w:val="single" w:sz="4" w:space="0" w:color="auto"/>
              <w:bottom w:val="single" w:sz="4" w:space="0" w:color="auto"/>
              <w:right w:val="nil"/>
            </w:tcBorders>
            <w:shd w:val="clear" w:color="auto" w:fill="auto"/>
            <w:noWrap/>
            <w:vAlign w:val="center"/>
          </w:tcPr>
          <w:p w:rsidR="000F42D0">
            <w:pPr>
              <w:jc w:val="center"/>
              <w:rPr>
                <w:b/>
                <w:bCs/>
                <w:sz w:val="20"/>
              </w:rPr>
            </w:pPr>
            <w:r>
              <w:rPr>
                <w:rFonts w:hint="eastAsia"/>
                <w:b/>
                <w:bCs/>
                <w:sz w:val="20"/>
              </w:rPr>
              <w:t>项目</w:t>
            </w:r>
          </w:p>
        </w:tc>
        <w:tc>
          <w:tcPr>
            <w:tcW w:w="51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42D0">
            <w:pPr>
              <w:jc w:val="center"/>
              <w:rPr>
                <w:b/>
                <w:bCs/>
                <w:sz w:val="20"/>
              </w:rPr>
            </w:pPr>
            <w:r>
              <w:rPr>
                <w:rFonts w:hint="eastAsia"/>
                <w:b/>
                <w:bCs/>
                <w:sz w:val="20"/>
              </w:rPr>
              <w:t>性能指标</w:t>
            </w:r>
          </w:p>
        </w:tc>
      </w:tr>
      <w:tr>
        <w:tblPrEx>
          <w:tblW w:w="7919" w:type="dxa"/>
          <w:jc w:val="center"/>
          <w:tblLook w:val="04A0"/>
        </w:tblPrEx>
        <w:trPr>
          <w:trHeight w:val="339"/>
          <w:jc w:val="center"/>
        </w:trPr>
        <w:tc>
          <w:tcPr>
            <w:tcW w:w="861" w:type="dxa"/>
            <w:tcBorders>
              <w:top w:val="nil"/>
              <w:left w:val="single" w:sz="4" w:space="0" w:color="auto"/>
              <w:bottom w:val="single" w:sz="4" w:space="0" w:color="auto"/>
              <w:right w:val="nil"/>
            </w:tcBorders>
            <w:vAlign w:val="center"/>
          </w:tcPr>
          <w:p w:rsidR="000F42D0">
            <w:pPr>
              <w:rPr>
                <w:sz w:val="20"/>
              </w:rPr>
            </w:pPr>
            <w:r>
              <w:rPr>
                <w:rFonts w:hint="eastAsia"/>
                <w:sz w:val="20"/>
              </w:rPr>
              <w:t>1</w:t>
            </w:r>
          </w:p>
        </w:tc>
        <w:tc>
          <w:tcPr>
            <w:tcW w:w="1859" w:type="dxa"/>
            <w:tcBorders>
              <w:top w:val="nil"/>
              <w:left w:val="single" w:sz="4" w:space="0" w:color="auto"/>
              <w:bottom w:val="single" w:sz="4" w:space="0" w:color="auto"/>
              <w:right w:val="nil"/>
            </w:tcBorders>
            <w:shd w:val="clear" w:color="auto" w:fill="auto"/>
            <w:noWrap/>
            <w:vAlign w:val="center"/>
          </w:tcPr>
          <w:p w:rsidR="000F42D0">
            <w:pPr>
              <w:rPr>
                <w:sz w:val="20"/>
              </w:rPr>
            </w:pPr>
            <w:r>
              <w:rPr>
                <w:rFonts w:hint="eastAsia"/>
                <w:sz w:val="20"/>
              </w:rPr>
              <w:t>CPU</w:t>
            </w:r>
          </w:p>
        </w:tc>
        <w:tc>
          <w:tcPr>
            <w:tcW w:w="5199" w:type="dxa"/>
            <w:tcBorders>
              <w:top w:val="nil"/>
              <w:left w:val="single" w:sz="4" w:space="0" w:color="auto"/>
              <w:bottom w:val="single" w:sz="4" w:space="0" w:color="auto"/>
              <w:right w:val="single" w:sz="4" w:space="0" w:color="auto"/>
            </w:tcBorders>
            <w:shd w:val="clear" w:color="auto" w:fill="auto"/>
            <w:noWrap/>
            <w:vAlign w:val="center"/>
          </w:tcPr>
          <w:p w:rsidR="000F42D0">
            <w:pPr>
              <w:rPr>
                <w:sz w:val="20"/>
              </w:rPr>
            </w:pPr>
            <w:r>
              <w:rPr>
                <w:rFonts w:hint="eastAsia"/>
                <w:sz w:val="20"/>
              </w:rPr>
              <w:t>不少于</w:t>
            </w:r>
            <w:r>
              <w:rPr>
                <w:rFonts w:hint="eastAsia"/>
                <w:sz w:val="20"/>
              </w:rPr>
              <w:t>8</w:t>
            </w:r>
            <w:r>
              <w:rPr>
                <w:rFonts w:hint="eastAsia"/>
                <w:sz w:val="20"/>
              </w:rPr>
              <w:t>核</w:t>
            </w:r>
            <w:r>
              <w:rPr>
                <w:rFonts w:hint="eastAsia"/>
                <w:sz w:val="20"/>
              </w:rPr>
              <w:t>16</w:t>
            </w:r>
            <w:r>
              <w:rPr>
                <w:rFonts w:hint="eastAsia"/>
                <w:sz w:val="20"/>
              </w:rPr>
              <w:t>线程，频率不低于</w:t>
            </w:r>
            <w:r>
              <w:rPr>
                <w:rFonts w:hint="eastAsia"/>
                <w:sz w:val="20"/>
              </w:rPr>
              <w:t>2.8GHz</w:t>
            </w:r>
          </w:p>
        </w:tc>
      </w:tr>
      <w:tr>
        <w:tblPrEx>
          <w:tblW w:w="7919" w:type="dxa"/>
          <w:jc w:val="center"/>
          <w:tblLook w:val="04A0"/>
        </w:tblPrEx>
        <w:trPr>
          <w:trHeight w:val="339"/>
          <w:jc w:val="center"/>
        </w:trPr>
        <w:tc>
          <w:tcPr>
            <w:tcW w:w="861" w:type="dxa"/>
            <w:tcBorders>
              <w:top w:val="nil"/>
              <w:left w:val="single" w:sz="4" w:space="0" w:color="auto"/>
              <w:bottom w:val="single" w:sz="4" w:space="0" w:color="auto"/>
              <w:right w:val="nil"/>
            </w:tcBorders>
            <w:vAlign w:val="center"/>
          </w:tcPr>
          <w:p w:rsidR="000F42D0">
            <w:pPr>
              <w:rPr>
                <w:sz w:val="20"/>
              </w:rPr>
            </w:pPr>
            <w:r>
              <w:rPr>
                <w:rFonts w:hint="eastAsia"/>
                <w:sz w:val="20"/>
              </w:rPr>
              <w:t>2</w:t>
            </w:r>
          </w:p>
        </w:tc>
        <w:tc>
          <w:tcPr>
            <w:tcW w:w="1859" w:type="dxa"/>
            <w:tcBorders>
              <w:top w:val="nil"/>
              <w:left w:val="single" w:sz="4" w:space="0" w:color="auto"/>
              <w:bottom w:val="single" w:sz="4" w:space="0" w:color="auto"/>
              <w:right w:val="nil"/>
            </w:tcBorders>
            <w:shd w:val="clear" w:color="auto" w:fill="auto"/>
            <w:noWrap/>
            <w:vAlign w:val="center"/>
          </w:tcPr>
          <w:p w:rsidR="000F42D0">
            <w:pPr>
              <w:rPr>
                <w:sz w:val="20"/>
              </w:rPr>
            </w:pPr>
            <w:r>
              <w:rPr>
                <w:rFonts w:hint="eastAsia"/>
                <w:sz w:val="20"/>
              </w:rPr>
              <w:t>内存</w:t>
            </w:r>
          </w:p>
        </w:tc>
        <w:tc>
          <w:tcPr>
            <w:tcW w:w="5199" w:type="dxa"/>
            <w:tcBorders>
              <w:top w:val="nil"/>
              <w:left w:val="single" w:sz="4" w:space="0" w:color="auto"/>
              <w:bottom w:val="single" w:sz="4" w:space="0" w:color="auto"/>
              <w:right w:val="single" w:sz="4" w:space="0" w:color="auto"/>
            </w:tcBorders>
            <w:shd w:val="clear" w:color="auto" w:fill="auto"/>
            <w:noWrap/>
            <w:vAlign w:val="center"/>
          </w:tcPr>
          <w:p w:rsidR="000F42D0">
            <w:pPr>
              <w:rPr>
                <w:sz w:val="20"/>
              </w:rPr>
            </w:pPr>
            <w:r>
              <w:rPr>
                <w:rFonts w:hint="eastAsia"/>
                <w:sz w:val="20"/>
              </w:rPr>
              <w:t>不低于</w:t>
            </w:r>
            <w:r>
              <w:rPr>
                <w:rFonts w:hint="eastAsia"/>
                <w:sz w:val="20"/>
              </w:rPr>
              <w:t>16GB</w:t>
            </w:r>
            <w:r>
              <w:rPr>
                <w:rFonts w:hint="eastAsia"/>
                <w:sz w:val="20"/>
              </w:rPr>
              <w:t>，不低于</w:t>
            </w:r>
            <w:r>
              <w:rPr>
                <w:rFonts w:hint="eastAsia"/>
                <w:sz w:val="20"/>
              </w:rPr>
              <w:t>DDR4</w:t>
            </w:r>
          </w:p>
        </w:tc>
      </w:tr>
      <w:tr>
        <w:tblPrEx>
          <w:tblW w:w="7919" w:type="dxa"/>
          <w:jc w:val="center"/>
          <w:tblLook w:val="04A0"/>
        </w:tblPrEx>
        <w:trPr>
          <w:trHeight w:val="339"/>
          <w:jc w:val="center"/>
        </w:trPr>
        <w:tc>
          <w:tcPr>
            <w:tcW w:w="861" w:type="dxa"/>
            <w:tcBorders>
              <w:top w:val="single" w:sz="4" w:space="0" w:color="auto"/>
              <w:left w:val="single" w:sz="4" w:space="0" w:color="auto"/>
              <w:bottom w:val="single" w:sz="4" w:space="0" w:color="auto"/>
              <w:right w:val="single" w:sz="4" w:space="0" w:color="auto"/>
            </w:tcBorders>
            <w:vAlign w:val="center"/>
          </w:tcPr>
          <w:p w:rsidR="000F42D0">
            <w:pPr>
              <w:rPr>
                <w:sz w:val="20"/>
              </w:rPr>
            </w:pPr>
            <w:r>
              <w:rPr>
                <w:rFonts w:hint="eastAsia"/>
                <w:sz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42D0">
            <w:pPr>
              <w:rPr>
                <w:sz w:val="20"/>
              </w:rPr>
            </w:pPr>
            <w:r>
              <w:rPr>
                <w:rFonts w:hint="eastAsia"/>
                <w:sz w:val="20"/>
              </w:rPr>
              <w:t>固态硬盘</w:t>
            </w:r>
          </w:p>
        </w:tc>
        <w:tc>
          <w:tcPr>
            <w:tcW w:w="51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42D0">
            <w:pPr>
              <w:rPr>
                <w:sz w:val="20"/>
              </w:rPr>
            </w:pPr>
            <w:r>
              <w:rPr>
                <w:rFonts w:hint="eastAsia"/>
                <w:sz w:val="20"/>
              </w:rPr>
              <w:t>NVME</w:t>
            </w:r>
            <w:r>
              <w:rPr>
                <w:rFonts w:hint="eastAsia"/>
                <w:sz w:val="20"/>
              </w:rPr>
              <w:t>协议，不低于</w:t>
            </w:r>
            <w:r>
              <w:rPr>
                <w:rFonts w:hint="eastAsia"/>
                <w:sz w:val="20"/>
              </w:rPr>
              <w:t>4TB</w:t>
            </w:r>
          </w:p>
        </w:tc>
      </w:tr>
      <w:tr>
        <w:tblPrEx>
          <w:tblW w:w="7919" w:type="dxa"/>
          <w:jc w:val="center"/>
          <w:tblLook w:val="04A0"/>
        </w:tblPrEx>
        <w:trPr>
          <w:trHeight w:val="351"/>
          <w:jc w:val="center"/>
        </w:trPr>
        <w:tc>
          <w:tcPr>
            <w:tcW w:w="861" w:type="dxa"/>
            <w:tcBorders>
              <w:top w:val="single" w:sz="4" w:space="0" w:color="auto"/>
              <w:left w:val="single" w:sz="4" w:space="0" w:color="auto"/>
              <w:bottom w:val="single" w:sz="4" w:space="0" w:color="auto"/>
              <w:right w:val="nil"/>
            </w:tcBorders>
            <w:vAlign w:val="center"/>
          </w:tcPr>
          <w:p w:rsidR="000F42D0">
            <w:pPr>
              <w:rPr>
                <w:sz w:val="20"/>
              </w:rPr>
            </w:pPr>
            <w:r>
              <w:rPr>
                <w:rFonts w:hint="eastAsia"/>
                <w:sz w:val="20"/>
              </w:rPr>
              <w:t>4</w:t>
            </w:r>
          </w:p>
        </w:tc>
        <w:tc>
          <w:tcPr>
            <w:tcW w:w="1859" w:type="dxa"/>
            <w:tcBorders>
              <w:top w:val="single" w:sz="4" w:space="0" w:color="auto"/>
              <w:left w:val="single" w:sz="4" w:space="0" w:color="auto"/>
              <w:bottom w:val="single" w:sz="4" w:space="0" w:color="auto"/>
              <w:right w:val="nil"/>
            </w:tcBorders>
            <w:shd w:val="clear" w:color="auto" w:fill="auto"/>
            <w:noWrap/>
            <w:vAlign w:val="center"/>
          </w:tcPr>
          <w:p w:rsidR="000F42D0">
            <w:pPr>
              <w:rPr>
                <w:sz w:val="20"/>
              </w:rPr>
            </w:pPr>
            <w:r>
              <w:rPr>
                <w:rFonts w:hint="eastAsia"/>
                <w:sz w:val="20"/>
              </w:rPr>
              <w:t>操作系统</w:t>
            </w:r>
          </w:p>
        </w:tc>
        <w:tc>
          <w:tcPr>
            <w:tcW w:w="51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42D0">
            <w:pPr>
              <w:rPr>
                <w:sz w:val="20"/>
              </w:rPr>
            </w:pPr>
            <w:r>
              <w:rPr>
                <w:rFonts w:hint="eastAsia"/>
                <w:sz w:val="20"/>
              </w:rPr>
              <w:t>国产信创系统</w:t>
            </w:r>
          </w:p>
        </w:tc>
      </w:tr>
      <w:bookmarkEnd w:id="60"/>
    </w:tbl>
    <w:p w:rsidR="000F42D0">
      <w:pPr>
        <w:jc w:val="center"/>
        <w:rPr>
          <w:rFonts w:eastAsia="方正小标宋简体"/>
          <w:sz w:val="28"/>
          <w:szCs w:val="28"/>
        </w:rPr>
      </w:pPr>
    </w:p>
    <w:p w:rsidR="000F42D0">
      <w:pPr>
        <w:jc w:val="center"/>
        <w:rPr>
          <w:rFonts w:ascii="Arial" w:eastAsia="黑体" w:hAnsi="Arial" w:cs="Arial"/>
          <w:sz w:val="20"/>
          <w:szCs w:val="20"/>
        </w:rPr>
      </w:pPr>
      <w:r>
        <w:rPr>
          <w:rFonts w:ascii="Arial" w:eastAsia="黑体" w:hAnsi="Arial" w:cs="Arial" w:hint="eastAsia"/>
          <w:sz w:val="20"/>
          <w:szCs w:val="20"/>
        </w:rPr>
        <w:t>质控算法列表</w:t>
      </w:r>
    </w:p>
    <w:tbl>
      <w:tblPr>
        <w:tblStyle w:val="TableNormal"/>
        <w:tblW w:w="8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6"/>
        <w:gridCol w:w="2526"/>
        <w:gridCol w:w="5017"/>
      </w:tblGrid>
      <w:tr>
        <w:tblPrEx>
          <w:tblW w:w="8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20"/>
          <w:jc w:val="center"/>
        </w:trPr>
        <w:tc>
          <w:tcPr>
            <w:tcW w:w="696" w:type="dxa"/>
            <w:vAlign w:val="center"/>
          </w:tcPr>
          <w:p w:rsidR="000F42D0">
            <w:pPr>
              <w:jc w:val="center"/>
              <w:rPr>
                <w:b/>
                <w:bCs/>
                <w:sz w:val="20"/>
              </w:rPr>
            </w:pPr>
            <w:r>
              <w:rPr>
                <w:rFonts w:hint="eastAsia"/>
                <w:b/>
                <w:bCs/>
                <w:sz w:val="20"/>
              </w:rPr>
              <w:t>序号</w:t>
            </w:r>
          </w:p>
        </w:tc>
        <w:tc>
          <w:tcPr>
            <w:tcW w:w="2526" w:type="dxa"/>
            <w:noWrap/>
            <w:vAlign w:val="center"/>
          </w:tcPr>
          <w:p w:rsidR="000F42D0">
            <w:pPr>
              <w:jc w:val="center"/>
              <w:rPr>
                <w:b/>
                <w:bCs/>
                <w:sz w:val="20"/>
              </w:rPr>
            </w:pPr>
            <w:r>
              <w:rPr>
                <w:rFonts w:hint="eastAsia"/>
                <w:b/>
                <w:bCs/>
                <w:sz w:val="20"/>
              </w:rPr>
              <w:t>算法名称</w:t>
            </w:r>
          </w:p>
        </w:tc>
        <w:tc>
          <w:tcPr>
            <w:tcW w:w="5017" w:type="dxa"/>
            <w:vAlign w:val="center"/>
          </w:tcPr>
          <w:p w:rsidR="000F42D0">
            <w:pPr>
              <w:jc w:val="center"/>
              <w:rPr>
                <w:b/>
                <w:bCs/>
                <w:sz w:val="20"/>
              </w:rPr>
            </w:pPr>
            <w:r>
              <w:rPr>
                <w:rFonts w:hint="eastAsia"/>
                <w:b/>
                <w:bCs/>
                <w:sz w:val="20"/>
              </w:rPr>
              <w:t>指标要求</w:t>
            </w:r>
          </w:p>
        </w:tc>
      </w:tr>
      <w:tr>
        <w:tblPrEx>
          <w:tblW w:w="8239" w:type="dxa"/>
          <w:jc w:val="center"/>
          <w:tblLayout w:type="fixed"/>
          <w:tblLook w:val="04A0"/>
        </w:tblPrEx>
        <w:trPr>
          <w:trHeight w:val="271"/>
          <w:jc w:val="center"/>
        </w:trPr>
        <w:tc>
          <w:tcPr>
            <w:tcW w:w="696" w:type="dxa"/>
            <w:vAlign w:val="center"/>
          </w:tcPr>
          <w:p w:rsidR="000F42D0">
            <w:pPr>
              <w:rPr>
                <w:sz w:val="20"/>
              </w:rPr>
            </w:pPr>
            <w:r>
              <w:rPr>
                <w:rFonts w:hint="eastAsia"/>
                <w:sz w:val="20"/>
              </w:rPr>
              <w:t>1</w:t>
            </w:r>
          </w:p>
        </w:tc>
        <w:tc>
          <w:tcPr>
            <w:tcW w:w="2526" w:type="dxa"/>
            <w:noWrap/>
            <w:vAlign w:val="center"/>
          </w:tcPr>
          <w:p w:rsidR="000F42D0">
            <w:pPr>
              <w:rPr>
                <w:sz w:val="20"/>
              </w:rPr>
            </w:pPr>
            <w:r>
              <w:rPr>
                <w:rFonts w:hint="eastAsia"/>
                <w:sz w:val="20"/>
              </w:rPr>
              <w:t>反射率因子衰减订正</w:t>
            </w:r>
          </w:p>
        </w:tc>
        <w:tc>
          <w:tcPr>
            <w:tcW w:w="5017" w:type="dxa"/>
            <w:vAlign w:val="center"/>
          </w:tcPr>
          <w:p w:rsidR="000F42D0">
            <w:pPr>
              <w:rPr>
                <w:sz w:val="20"/>
              </w:rPr>
            </w:pPr>
            <w:r>
              <w:rPr>
                <w:rFonts w:hint="eastAsia"/>
                <w:sz w:val="20"/>
              </w:rPr>
              <w:t>衰减订正后，与相邻</w:t>
            </w:r>
            <w:r>
              <w:rPr>
                <w:rFonts w:hint="eastAsia"/>
                <w:sz w:val="20"/>
              </w:rPr>
              <w:t>S</w:t>
            </w:r>
            <w:r>
              <w:rPr>
                <w:rFonts w:hint="eastAsia"/>
                <w:sz w:val="20"/>
              </w:rPr>
              <w:t>波段雷达相比平均偏差≤</w:t>
            </w:r>
            <w:r>
              <w:rPr>
                <w:rFonts w:hint="eastAsia"/>
                <w:sz w:val="20"/>
              </w:rPr>
              <w:t>3.0dB</w:t>
            </w:r>
          </w:p>
        </w:tc>
      </w:tr>
      <w:tr>
        <w:tblPrEx>
          <w:tblW w:w="8239" w:type="dxa"/>
          <w:jc w:val="center"/>
          <w:tblLayout w:type="fixed"/>
          <w:tblLook w:val="04A0"/>
        </w:tblPrEx>
        <w:trPr>
          <w:trHeight w:val="271"/>
          <w:jc w:val="center"/>
        </w:trPr>
        <w:tc>
          <w:tcPr>
            <w:tcW w:w="696" w:type="dxa"/>
            <w:vAlign w:val="center"/>
          </w:tcPr>
          <w:p w:rsidR="000F42D0">
            <w:pPr>
              <w:rPr>
                <w:sz w:val="20"/>
              </w:rPr>
            </w:pPr>
            <w:r>
              <w:rPr>
                <w:rFonts w:hint="eastAsia"/>
                <w:sz w:val="20"/>
              </w:rPr>
              <w:t>2</w:t>
            </w:r>
          </w:p>
        </w:tc>
        <w:tc>
          <w:tcPr>
            <w:tcW w:w="2526" w:type="dxa"/>
            <w:noWrap/>
            <w:vAlign w:val="center"/>
          </w:tcPr>
          <w:p w:rsidR="000F42D0">
            <w:pPr>
              <w:rPr>
                <w:sz w:val="20"/>
              </w:rPr>
            </w:pPr>
            <w:r>
              <w:rPr>
                <w:rFonts w:hint="eastAsia"/>
                <w:sz w:val="20"/>
              </w:rPr>
              <w:t>差分反射率衰减订正</w:t>
            </w:r>
          </w:p>
        </w:tc>
        <w:tc>
          <w:tcPr>
            <w:tcW w:w="5017" w:type="dxa"/>
            <w:vAlign w:val="center"/>
          </w:tcPr>
          <w:p w:rsidR="000F42D0">
            <w:pPr>
              <w:rPr>
                <w:sz w:val="20"/>
              </w:rPr>
            </w:pPr>
            <w:r>
              <w:rPr>
                <w:rFonts w:hint="eastAsia"/>
                <w:sz w:val="20"/>
              </w:rPr>
              <w:t>衰减订正后，与相邻</w:t>
            </w:r>
            <w:r>
              <w:rPr>
                <w:rFonts w:hint="eastAsia"/>
                <w:sz w:val="20"/>
              </w:rPr>
              <w:t>S</w:t>
            </w:r>
            <w:r>
              <w:rPr>
                <w:rFonts w:hint="eastAsia"/>
                <w:sz w:val="20"/>
              </w:rPr>
              <w:t>波段雷达相比平均偏差≤</w:t>
            </w:r>
            <w:r>
              <w:rPr>
                <w:rFonts w:hint="eastAsia"/>
                <w:sz w:val="20"/>
              </w:rPr>
              <w:t>0.6dB</w:t>
            </w:r>
          </w:p>
        </w:tc>
      </w:tr>
      <w:tr>
        <w:tblPrEx>
          <w:tblW w:w="8239" w:type="dxa"/>
          <w:jc w:val="center"/>
          <w:tblLayout w:type="fixed"/>
          <w:tblLook w:val="04A0"/>
        </w:tblPrEx>
        <w:trPr>
          <w:trHeight w:val="271"/>
          <w:jc w:val="center"/>
        </w:trPr>
        <w:tc>
          <w:tcPr>
            <w:tcW w:w="696" w:type="dxa"/>
            <w:vAlign w:val="center"/>
          </w:tcPr>
          <w:p w:rsidR="000F42D0">
            <w:pPr>
              <w:rPr>
                <w:sz w:val="20"/>
              </w:rPr>
            </w:pPr>
            <w:r>
              <w:rPr>
                <w:rFonts w:hint="eastAsia"/>
                <w:sz w:val="20"/>
              </w:rPr>
              <w:t>3</w:t>
            </w:r>
          </w:p>
        </w:tc>
        <w:tc>
          <w:tcPr>
            <w:tcW w:w="2526" w:type="dxa"/>
            <w:noWrap/>
            <w:vAlign w:val="center"/>
          </w:tcPr>
          <w:p w:rsidR="000F42D0">
            <w:pPr>
              <w:rPr>
                <w:sz w:val="20"/>
              </w:rPr>
            </w:pPr>
            <w:r>
              <w:rPr>
                <w:rFonts w:hint="eastAsia"/>
                <w:sz w:val="20"/>
              </w:rPr>
              <w:t>地物杂波消除</w:t>
            </w:r>
          </w:p>
        </w:tc>
        <w:tc>
          <w:tcPr>
            <w:tcW w:w="5017" w:type="dxa"/>
            <w:vAlign w:val="center"/>
          </w:tcPr>
          <w:p w:rsidR="000F42D0">
            <w:pPr>
              <w:rPr>
                <w:sz w:val="20"/>
              </w:rPr>
            </w:pPr>
            <w:r>
              <w:rPr>
                <w:rFonts w:hint="eastAsia"/>
                <w:sz w:val="20"/>
              </w:rPr>
              <w:t>非降水回波识别准确率≥</w:t>
            </w:r>
            <w:r>
              <w:rPr>
                <w:rFonts w:hint="eastAsia"/>
                <w:sz w:val="20"/>
              </w:rPr>
              <w:t>88%</w:t>
            </w:r>
            <w:r>
              <w:rPr>
                <w:rFonts w:hint="eastAsia"/>
                <w:sz w:val="20"/>
              </w:rPr>
              <w:t>，且降水回波误判率≤</w:t>
            </w:r>
            <w:r>
              <w:rPr>
                <w:rFonts w:hint="eastAsia"/>
                <w:sz w:val="20"/>
              </w:rPr>
              <w:t>5%</w:t>
            </w:r>
          </w:p>
        </w:tc>
      </w:tr>
      <w:tr>
        <w:tblPrEx>
          <w:tblW w:w="8239" w:type="dxa"/>
          <w:jc w:val="center"/>
          <w:tblLayout w:type="fixed"/>
          <w:tblLook w:val="04A0"/>
        </w:tblPrEx>
        <w:trPr>
          <w:trHeight w:val="271"/>
          <w:jc w:val="center"/>
        </w:trPr>
        <w:tc>
          <w:tcPr>
            <w:tcW w:w="696" w:type="dxa"/>
            <w:vAlign w:val="center"/>
          </w:tcPr>
          <w:p w:rsidR="000F42D0">
            <w:pPr>
              <w:rPr>
                <w:sz w:val="20"/>
              </w:rPr>
            </w:pPr>
            <w:r>
              <w:rPr>
                <w:rFonts w:hint="eastAsia"/>
                <w:sz w:val="20"/>
              </w:rPr>
              <w:t>4</w:t>
            </w:r>
          </w:p>
        </w:tc>
        <w:tc>
          <w:tcPr>
            <w:tcW w:w="2526" w:type="dxa"/>
            <w:noWrap/>
            <w:vAlign w:val="center"/>
          </w:tcPr>
          <w:p w:rsidR="000F42D0">
            <w:pPr>
              <w:rPr>
                <w:sz w:val="20"/>
              </w:rPr>
            </w:pPr>
            <w:r>
              <w:rPr>
                <w:rFonts w:hint="eastAsia"/>
                <w:sz w:val="20"/>
              </w:rPr>
              <w:t>径向干扰消除</w:t>
            </w:r>
          </w:p>
        </w:tc>
        <w:tc>
          <w:tcPr>
            <w:tcW w:w="5017" w:type="dxa"/>
            <w:vAlign w:val="center"/>
          </w:tcPr>
          <w:p w:rsidR="000F42D0">
            <w:pPr>
              <w:rPr>
                <w:sz w:val="20"/>
              </w:rPr>
            </w:pPr>
            <w:r>
              <w:rPr>
                <w:rFonts w:hint="eastAsia"/>
                <w:sz w:val="20"/>
              </w:rPr>
              <w:t>径向干扰识别准确率≥</w:t>
            </w:r>
            <w:r>
              <w:rPr>
                <w:rFonts w:hint="eastAsia"/>
                <w:sz w:val="20"/>
              </w:rPr>
              <w:t>90%</w:t>
            </w:r>
            <w:r>
              <w:rPr>
                <w:rFonts w:hint="eastAsia"/>
                <w:sz w:val="20"/>
              </w:rPr>
              <w:t>，且降水回波误判率≤</w:t>
            </w:r>
            <w:r>
              <w:rPr>
                <w:rFonts w:hint="eastAsia"/>
                <w:sz w:val="20"/>
              </w:rPr>
              <w:t>5%</w:t>
            </w:r>
          </w:p>
        </w:tc>
      </w:tr>
      <w:tr>
        <w:tblPrEx>
          <w:tblW w:w="8239" w:type="dxa"/>
          <w:jc w:val="center"/>
          <w:tblLayout w:type="fixed"/>
          <w:tblLook w:val="04A0"/>
        </w:tblPrEx>
        <w:trPr>
          <w:trHeight w:val="287"/>
          <w:jc w:val="center"/>
        </w:trPr>
        <w:tc>
          <w:tcPr>
            <w:tcW w:w="696" w:type="dxa"/>
            <w:vAlign w:val="center"/>
          </w:tcPr>
          <w:p w:rsidR="000F42D0">
            <w:pPr>
              <w:rPr>
                <w:sz w:val="20"/>
              </w:rPr>
            </w:pPr>
            <w:r>
              <w:rPr>
                <w:rFonts w:hint="eastAsia"/>
                <w:sz w:val="20"/>
              </w:rPr>
              <w:t>5</w:t>
            </w:r>
          </w:p>
        </w:tc>
        <w:tc>
          <w:tcPr>
            <w:tcW w:w="2526" w:type="dxa"/>
            <w:noWrap/>
            <w:vAlign w:val="center"/>
          </w:tcPr>
          <w:p w:rsidR="000F42D0">
            <w:pPr>
              <w:rPr>
                <w:sz w:val="20"/>
              </w:rPr>
            </w:pPr>
            <w:r>
              <w:rPr>
                <w:rFonts w:hint="eastAsia"/>
                <w:sz w:val="20"/>
              </w:rPr>
              <w:t>晴空回波消除</w:t>
            </w:r>
          </w:p>
        </w:tc>
        <w:tc>
          <w:tcPr>
            <w:tcW w:w="5017" w:type="dxa"/>
            <w:vAlign w:val="center"/>
          </w:tcPr>
          <w:p w:rsidR="000F42D0">
            <w:pPr>
              <w:rPr>
                <w:sz w:val="20"/>
              </w:rPr>
            </w:pPr>
            <w:r>
              <w:rPr>
                <w:rFonts w:hint="eastAsia"/>
                <w:sz w:val="20"/>
              </w:rPr>
              <w:t>非降水回波识别准确率≥</w:t>
            </w:r>
            <w:r>
              <w:rPr>
                <w:rFonts w:hint="eastAsia"/>
                <w:sz w:val="20"/>
              </w:rPr>
              <w:t>88%</w:t>
            </w:r>
            <w:r>
              <w:rPr>
                <w:rFonts w:hint="eastAsia"/>
                <w:sz w:val="20"/>
              </w:rPr>
              <w:t>，且降水回波误判率≤</w:t>
            </w:r>
            <w:r>
              <w:rPr>
                <w:rFonts w:hint="eastAsia"/>
                <w:sz w:val="20"/>
              </w:rPr>
              <w:t>5%</w:t>
            </w:r>
          </w:p>
        </w:tc>
      </w:tr>
    </w:tbl>
    <w:p w:rsidR="000F42D0">
      <w:pPr>
        <w:snapToGrid w:val="0"/>
        <w:spacing w:line="360" w:lineRule="auto"/>
        <w:jc w:val="center"/>
        <w:rPr>
          <w:rFonts w:eastAsia="方正小标宋简体"/>
          <w:sz w:val="28"/>
          <w:szCs w:val="28"/>
        </w:rPr>
      </w:pPr>
    </w:p>
    <w:p w:rsidR="000F42D0">
      <w:pPr>
        <w:jc w:val="center"/>
        <w:rPr>
          <w:rFonts w:ascii="Arial" w:eastAsia="黑体" w:hAnsi="Arial" w:cs="Arial"/>
          <w:sz w:val="20"/>
          <w:szCs w:val="20"/>
        </w:rPr>
      </w:pPr>
      <w:r>
        <w:rPr>
          <w:rFonts w:ascii="Arial" w:eastAsia="黑体" w:hAnsi="Arial" w:cs="Arial" w:hint="eastAsia"/>
          <w:sz w:val="20"/>
          <w:szCs w:val="20"/>
        </w:rPr>
        <w:t>基本产品列表</w:t>
      </w:r>
    </w:p>
    <w:tbl>
      <w:tblPr>
        <w:tblStyle w:val="13"/>
        <w:tblW w:w="6946" w:type="dxa"/>
        <w:jc w:val="center"/>
        <w:tblLayout w:type="fixed"/>
        <w:tblLook w:val="04A0"/>
      </w:tblPr>
      <w:tblGrid>
        <w:gridCol w:w="2228"/>
        <w:gridCol w:w="2875"/>
        <w:gridCol w:w="1843"/>
      </w:tblGrid>
      <w:tr>
        <w:tblPrEx>
          <w:tblW w:w="6946" w:type="dxa"/>
          <w:jc w:val="center"/>
          <w:tblLayout w:type="fixed"/>
          <w:tblLook w:val="04A0"/>
        </w:tblPrEx>
        <w:trPr>
          <w:cantSplit/>
          <w:jc w:val="center"/>
        </w:trPr>
        <w:tc>
          <w:tcPr>
            <w:tcW w:w="2228" w:type="dxa"/>
            <w:vAlign w:val="center"/>
          </w:tcPr>
          <w:p w:rsidR="000F42D0">
            <w:pPr>
              <w:jc w:val="center"/>
              <w:rPr>
                <w:b/>
                <w:bCs/>
                <w:sz w:val="20"/>
              </w:rPr>
            </w:pPr>
            <w:bookmarkStart w:id="61" w:name="_Toc374091462"/>
            <w:bookmarkStart w:id="62" w:name="_Toc28194"/>
            <w:r>
              <w:rPr>
                <w:rFonts w:hint="eastAsia"/>
                <w:b/>
                <w:bCs/>
                <w:sz w:val="20"/>
              </w:rPr>
              <w:t>类别</w:t>
            </w:r>
          </w:p>
        </w:tc>
        <w:tc>
          <w:tcPr>
            <w:tcW w:w="2875" w:type="dxa"/>
            <w:vAlign w:val="center"/>
          </w:tcPr>
          <w:p w:rsidR="000F42D0">
            <w:pPr>
              <w:jc w:val="center"/>
              <w:rPr>
                <w:b/>
                <w:bCs/>
                <w:sz w:val="20"/>
              </w:rPr>
            </w:pPr>
            <w:r>
              <w:rPr>
                <w:rFonts w:hint="eastAsia"/>
                <w:b/>
                <w:bCs/>
                <w:sz w:val="20"/>
              </w:rPr>
              <w:t>产品名称</w:t>
            </w:r>
          </w:p>
        </w:tc>
        <w:tc>
          <w:tcPr>
            <w:tcW w:w="1843" w:type="dxa"/>
            <w:vAlign w:val="center"/>
          </w:tcPr>
          <w:p w:rsidR="000F42D0">
            <w:pPr>
              <w:jc w:val="center"/>
              <w:rPr>
                <w:b/>
                <w:bCs/>
                <w:sz w:val="20"/>
              </w:rPr>
            </w:pPr>
            <w:r>
              <w:rPr>
                <w:rFonts w:hint="eastAsia"/>
                <w:b/>
                <w:bCs/>
                <w:sz w:val="20"/>
              </w:rPr>
              <w:t>产品标识</w:t>
            </w:r>
          </w:p>
        </w:tc>
      </w:tr>
      <w:tr>
        <w:tblPrEx>
          <w:tblW w:w="6946" w:type="dxa"/>
          <w:jc w:val="center"/>
          <w:tblLayout w:type="fixed"/>
          <w:tblLook w:val="04A0"/>
        </w:tblPrEx>
        <w:trPr>
          <w:cantSplit/>
          <w:jc w:val="center"/>
        </w:trPr>
        <w:tc>
          <w:tcPr>
            <w:tcW w:w="2228" w:type="dxa"/>
            <w:vMerge w:val="restart"/>
            <w:vAlign w:val="center"/>
          </w:tcPr>
          <w:p w:rsidR="000F42D0">
            <w:pPr>
              <w:rPr>
                <w:sz w:val="20"/>
              </w:rPr>
            </w:pPr>
            <w:r>
              <w:rPr>
                <w:rFonts w:hint="eastAsia"/>
                <w:sz w:val="20"/>
              </w:rPr>
              <w:t>基础量</w:t>
            </w:r>
          </w:p>
          <w:p w:rsidR="000F42D0">
            <w:pPr>
              <w:rPr>
                <w:sz w:val="20"/>
              </w:rPr>
            </w:pPr>
            <w:r>
              <w:rPr>
                <w:rFonts w:hint="eastAsia"/>
                <w:sz w:val="20"/>
              </w:rPr>
              <w:t>（</w:t>
            </w:r>
            <w:r>
              <w:rPr>
                <w:rFonts w:hint="eastAsia"/>
                <w:sz w:val="20"/>
              </w:rPr>
              <w:t>10</w:t>
            </w:r>
            <w:r>
              <w:rPr>
                <w:rFonts w:hint="eastAsia"/>
                <w:sz w:val="20"/>
              </w:rPr>
              <w:t>种）</w:t>
            </w:r>
          </w:p>
        </w:tc>
        <w:tc>
          <w:tcPr>
            <w:tcW w:w="2875" w:type="dxa"/>
            <w:vAlign w:val="center"/>
          </w:tcPr>
          <w:p w:rsidR="000F42D0">
            <w:pPr>
              <w:rPr>
                <w:sz w:val="20"/>
              </w:rPr>
            </w:pPr>
            <w:r>
              <w:rPr>
                <w:rFonts w:hint="eastAsia"/>
                <w:sz w:val="20"/>
              </w:rPr>
              <w:t>滤波前反射率</w:t>
            </w:r>
          </w:p>
        </w:tc>
        <w:tc>
          <w:tcPr>
            <w:tcW w:w="1843" w:type="dxa"/>
            <w:vAlign w:val="center"/>
          </w:tcPr>
          <w:p w:rsidR="000F42D0">
            <w:pPr>
              <w:rPr>
                <w:sz w:val="20"/>
              </w:rPr>
            </w:pPr>
            <w:r>
              <w:rPr>
                <w:rFonts w:hint="eastAsia"/>
                <w:sz w:val="20"/>
              </w:rPr>
              <w:t>TR</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滤波后反射率</w:t>
            </w:r>
          </w:p>
        </w:tc>
        <w:tc>
          <w:tcPr>
            <w:tcW w:w="1843" w:type="dxa"/>
            <w:vAlign w:val="center"/>
          </w:tcPr>
          <w:p w:rsidR="000F42D0">
            <w:pPr>
              <w:rPr>
                <w:sz w:val="20"/>
              </w:rPr>
            </w:pPr>
            <w:r>
              <w:rPr>
                <w:rFonts w:hint="eastAsia"/>
                <w:sz w:val="20"/>
              </w:rPr>
              <w:t>R</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径向速度</w:t>
            </w:r>
          </w:p>
        </w:tc>
        <w:tc>
          <w:tcPr>
            <w:tcW w:w="1843" w:type="dxa"/>
            <w:vAlign w:val="center"/>
          </w:tcPr>
          <w:p w:rsidR="000F42D0">
            <w:pPr>
              <w:rPr>
                <w:sz w:val="20"/>
              </w:rPr>
            </w:pPr>
            <w:r>
              <w:rPr>
                <w:rFonts w:hint="eastAsia"/>
                <w:sz w:val="20"/>
              </w:rPr>
              <w:t>V</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速度谱宽</w:t>
            </w:r>
          </w:p>
        </w:tc>
        <w:tc>
          <w:tcPr>
            <w:tcW w:w="1843" w:type="dxa"/>
            <w:vAlign w:val="center"/>
          </w:tcPr>
          <w:p w:rsidR="000F42D0">
            <w:pPr>
              <w:rPr>
                <w:sz w:val="20"/>
              </w:rPr>
            </w:pPr>
            <w:r>
              <w:rPr>
                <w:rFonts w:hint="eastAsia"/>
                <w:sz w:val="20"/>
              </w:rPr>
              <w:t>SW</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差分反射率</w:t>
            </w:r>
          </w:p>
        </w:tc>
        <w:tc>
          <w:tcPr>
            <w:tcW w:w="1843" w:type="dxa"/>
            <w:vAlign w:val="center"/>
          </w:tcPr>
          <w:p w:rsidR="000F42D0">
            <w:pPr>
              <w:rPr>
                <w:sz w:val="20"/>
              </w:rPr>
            </w:pPr>
            <w:r>
              <w:rPr>
                <w:rFonts w:hint="eastAsia"/>
                <w:sz w:val="20"/>
              </w:rPr>
              <w:t>ZDR</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差分传播相移</w:t>
            </w:r>
          </w:p>
        </w:tc>
        <w:tc>
          <w:tcPr>
            <w:tcW w:w="1843" w:type="dxa"/>
            <w:vAlign w:val="center"/>
          </w:tcPr>
          <w:p w:rsidR="000F42D0">
            <w:pPr>
              <w:rPr>
                <w:sz w:val="20"/>
              </w:rPr>
            </w:pPr>
            <w:r>
              <w:rPr>
                <w:rFonts w:hint="eastAsia"/>
                <w:sz w:val="20"/>
              </w:rPr>
              <w:t>PDP</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差分传播相移率</w:t>
            </w:r>
          </w:p>
        </w:tc>
        <w:tc>
          <w:tcPr>
            <w:tcW w:w="1843" w:type="dxa"/>
            <w:vAlign w:val="center"/>
          </w:tcPr>
          <w:p w:rsidR="000F42D0">
            <w:pPr>
              <w:rPr>
                <w:sz w:val="20"/>
              </w:rPr>
            </w:pPr>
            <w:r>
              <w:rPr>
                <w:rFonts w:hint="eastAsia"/>
                <w:sz w:val="20"/>
              </w:rPr>
              <w:t>KDP</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相关系数</w:t>
            </w:r>
          </w:p>
        </w:tc>
        <w:tc>
          <w:tcPr>
            <w:tcW w:w="1843" w:type="dxa"/>
            <w:vAlign w:val="center"/>
          </w:tcPr>
          <w:p w:rsidR="000F42D0">
            <w:pPr>
              <w:rPr>
                <w:sz w:val="20"/>
              </w:rPr>
            </w:pPr>
            <w:r>
              <w:rPr>
                <w:rFonts w:hint="eastAsia"/>
                <w:sz w:val="20"/>
              </w:rPr>
              <w:t>CC</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水平通道信噪比</w:t>
            </w:r>
          </w:p>
        </w:tc>
        <w:tc>
          <w:tcPr>
            <w:tcW w:w="1843" w:type="dxa"/>
            <w:vAlign w:val="center"/>
          </w:tcPr>
          <w:p w:rsidR="000F42D0">
            <w:pPr>
              <w:rPr>
                <w:sz w:val="20"/>
              </w:rPr>
            </w:pPr>
            <w:r>
              <w:rPr>
                <w:rFonts w:hint="eastAsia"/>
                <w:sz w:val="20"/>
              </w:rPr>
              <w:t>SNRH</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垂直通道信噪比</w:t>
            </w:r>
          </w:p>
        </w:tc>
        <w:tc>
          <w:tcPr>
            <w:tcW w:w="1843" w:type="dxa"/>
            <w:vAlign w:val="center"/>
          </w:tcPr>
          <w:p w:rsidR="000F42D0">
            <w:pPr>
              <w:rPr>
                <w:sz w:val="20"/>
              </w:rPr>
            </w:pPr>
            <w:r>
              <w:rPr>
                <w:rFonts w:hint="eastAsia"/>
                <w:sz w:val="20"/>
              </w:rPr>
              <w:t>SNRV</w:t>
            </w:r>
          </w:p>
        </w:tc>
      </w:tr>
      <w:tr>
        <w:tblPrEx>
          <w:tblW w:w="6946" w:type="dxa"/>
          <w:jc w:val="center"/>
          <w:tblLayout w:type="fixed"/>
          <w:tblLook w:val="04A0"/>
        </w:tblPrEx>
        <w:trPr>
          <w:cantSplit/>
          <w:jc w:val="center"/>
        </w:trPr>
        <w:tc>
          <w:tcPr>
            <w:tcW w:w="2228" w:type="dxa"/>
            <w:vMerge w:val="restart"/>
            <w:vAlign w:val="center"/>
          </w:tcPr>
          <w:p w:rsidR="000F42D0">
            <w:pPr>
              <w:rPr>
                <w:sz w:val="20"/>
              </w:rPr>
            </w:pPr>
            <w:r>
              <w:rPr>
                <w:rFonts w:hint="eastAsia"/>
                <w:sz w:val="20"/>
              </w:rPr>
              <w:t>物理量</w:t>
            </w:r>
          </w:p>
          <w:p w:rsidR="000F42D0">
            <w:pPr>
              <w:rPr>
                <w:sz w:val="20"/>
              </w:rPr>
            </w:pPr>
            <w:r>
              <w:rPr>
                <w:rFonts w:hint="eastAsia"/>
                <w:sz w:val="20"/>
              </w:rPr>
              <w:t>（</w:t>
            </w:r>
            <w:r>
              <w:rPr>
                <w:rFonts w:hint="eastAsia"/>
                <w:sz w:val="20"/>
              </w:rPr>
              <w:t>10</w:t>
            </w:r>
            <w:r>
              <w:rPr>
                <w:rFonts w:hint="eastAsia"/>
                <w:sz w:val="20"/>
              </w:rPr>
              <w:t>种）</w:t>
            </w:r>
          </w:p>
        </w:tc>
        <w:tc>
          <w:tcPr>
            <w:tcW w:w="2875" w:type="dxa"/>
            <w:vAlign w:val="center"/>
          </w:tcPr>
          <w:p w:rsidR="000F42D0">
            <w:pPr>
              <w:rPr>
                <w:sz w:val="20"/>
              </w:rPr>
            </w:pPr>
            <w:r>
              <w:rPr>
                <w:rFonts w:hint="eastAsia"/>
                <w:sz w:val="20"/>
              </w:rPr>
              <w:t>组合反射率</w:t>
            </w:r>
          </w:p>
        </w:tc>
        <w:tc>
          <w:tcPr>
            <w:tcW w:w="1843" w:type="dxa"/>
            <w:vAlign w:val="center"/>
          </w:tcPr>
          <w:p w:rsidR="000F42D0">
            <w:pPr>
              <w:rPr>
                <w:sz w:val="20"/>
              </w:rPr>
            </w:pPr>
            <w:r>
              <w:rPr>
                <w:rFonts w:hint="eastAsia"/>
                <w:sz w:val="20"/>
              </w:rPr>
              <w:t>CR</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垂直积分液态水</w:t>
            </w:r>
          </w:p>
        </w:tc>
        <w:tc>
          <w:tcPr>
            <w:tcW w:w="1843" w:type="dxa"/>
            <w:vAlign w:val="center"/>
          </w:tcPr>
          <w:p w:rsidR="000F42D0">
            <w:pPr>
              <w:rPr>
                <w:sz w:val="20"/>
              </w:rPr>
            </w:pPr>
            <w:r>
              <w:rPr>
                <w:rFonts w:hint="eastAsia"/>
                <w:sz w:val="20"/>
              </w:rPr>
              <w:t>VIL</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回波顶高</w:t>
            </w:r>
          </w:p>
        </w:tc>
        <w:tc>
          <w:tcPr>
            <w:tcW w:w="1843" w:type="dxa"/>
            <w:vAlign w:val="bottom"/>
          </w:tcPr>
          <w:p w:rsidR="000F42D0">
            <w:pPr>
              <w:rPr>
                <w:sz w:val="20"/>
              </w:rPr>
            </w:pPr>
            <w:r>
              <w:rPr>
                <w:rFonts w:hint="eastAsia"/>
                <w:sz w:val="20"/>
              </w:rPr>
              <w:t>ET</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反射率等高平面位置显示</w:t>
            </w:r>
          </w:p>
        </w:tc>
        <w:tc>
          <w:tcPr>
            <w:tcW w:w="1843" w:type="dxa"/>
            <w:vAlign w:val="bottom"/>
          </w:tcPr>
          <w:p w:rsidR="000F42D0">
            <w:pPr>
              <w:rPr>
                <w:sz w:val="20"/>
              </w:rPr>
            </w:pPr>
            <w:r>
              <w:rPr>
                <w:rFonts w:hint="eastAsia"/>
                <w:sz w:val="20"/>
              </w:rPr>
              <w:t>CAP</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速度方位显示</w:t>
            </w:r>
          </w:p>
        </w:tc>
        <w:tc>
          <w:tcPr>
            <w:tcW w:w="1843" w:type="dxa"/>
            <w:vAlign w:val="bottom"/>
          </w:tcPr>
          <w:p w:rsidR="000F42D0">
            <w:pPr>
              <w:rPr>
                <w:sz w:val="20"/>
              </w:rPr>
            </w:pPr>
            <w:r>
              <w:rPr>
                <w:rFonts w:hint="eastAsia"/>
                <w:sz w:val="20"/>
              </w:rPr>
              <w:t>VAD</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速度方位显示风廓线</w:t>
            </w:r>
          </w:p>
        </w:tc>
        <w:tc>
          <w:tcPr>
            <w:tcW w:w="1843" w:type="dxa"/>
            <w:vAlign w:val="center"/>
          </w:tcPr>
          <w:p w:rsidR="000F42D0">
            <w:pPr>
              <w:rPr>
                <w:sz w:val="20"/>
              </w:rPr>
            </w:pPr>
            <w:r>
              <w:rPr>
                <w:rFonts w:hint="eastAsia"/>
                <w:sz w:val="20"/>
              </w:rPr>
              <w:t>VWP</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1</w:t>
            </w:r>
            <w:r>
              <w:rPr>
                <w:rFonts w:hint="eastAsia"/>
                <w:sz w:val="20"/>
              </w:rPr>
              <w:t>小时累积降水量</w:t>
            </w:r>
          </w:p>
        </w:tc>
        <w:tc>
          <w:tcPr>
            <w:tcW w:w="1843" w:type="dxa"/>
            <w:vAlign w:val="center"/>
          </w:tcPr>
          <w:p w:rsidR="000F42D0">
            <w:pPr>
              <w:rPr>
                <w:sz w:val="20"/>
              </w:rPr>
            </w:pPr>
            <w:r>
              <w:rPr>
                <w:rFonts w:hint="eastAsia"/>
                <w:sz w:val="20"/>
              </w:rPr>
              <w:t>1HP</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2</w:t>
            </w:r>
            <w:r>
              <w:rPr>
                <w:rFonts w:hint="eastAsia"/>
                <w:sz w:val="20"/>
              </w:rPr>
              <w:t>小时累积降水量</w:t>
            </w:r>
          </w:p>
        </w:tc>
        <w:tc>
          <w:tcPr>
            <w:tcW w:w="1843" w:type="dxa"/>
            <w:vAlign w:val="center"/>
          </w:tcPr>
          <w:p w:rsidR="000F42D0">
            <w:pPr>
              <w:rPr>
                <w:sz w:val="20"/>
              </w:rPr>
            </w:pPr>
            <w:r>
              <w:rPr>
                <w:rFonts w:hint="eastAsia"/>
                <w:sz w:val="20"/>
              </w:rPr>
              <w:t>2HP</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N</w:t>
            </w:r>
            <w:r>
              <w:rPr>
                <w:rFonts w:hint="eastAsia"/>
                <w:sz w:val="20"/>
              </w:rPr>
              <w:t>小时累积降水量</w:t>
            </w:r>
          </w:p>
        </w:tc>
        <w:tc>
          <w:tcPr>
            <w:tcW w:w="1843" w:type="dxa"/>
            <w:vAlign w:val="center"/>
          </w:tcPr>
          <w:p w:rsidR="000F42D0">
            <w:pPr>
              <w:rPr>
                <w:sz w:val="20"/>
              </w:rPr>
            </w:pPr>
            <w:r>
              <w:rPr>
                <w:rFonts w:hint="eastAsia"/>
                <w:sz w:val="20"/>
              </w:rPr>
              <w:t>NHP</w:t>
            </w:r>
          </w:p>
        </w:tc>
      </w:tr>
      <w:tr>
        <w:tblPrEx>
          <w:tblW w:w="6946" w:type="dxa"/>
          <w:jc w:val="center"/>
          <w:tblLayout w:type="fixed"/>
          <w:tblLook w:val="04A0"/>
        </w:tblPrEx>
        <w:trPr>
          <w:cantSplit/>
          <w:trHeight w:val="274"/>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风暴质心高度</w:t>
            </w:r>
          </w:p>
        </w:tc>
        <w:tc>
          <w:tcPr>
            <w:tcW w:w="1843" w:type="dxa"/>
            <w:vAlign w:val="center"/>
          </w:tcPr>
          <w:p w:rsidR="000F42D0">
            <w:pPr>
              <w:rPr>
                <w:sz w:val="20"/>
              </w:rPr>
            </w:pPr>
            <w:r>
              <w:rPr>
                <w:rFonts w:hint="eastAsia"/>
                <w:sz w:val="20"/>
              </w:rPr>
              <w:t>RCH</w:t>
            </w:r>
          </w:p>
        </w:tc>
      </w:tr>
      <w:tr>
        <w:tblPrEx>
          <w:tblW w:w="6946" w:type="dxa"/>
          <w:jc w:val="center"/>
          <w:tblLayout w:type="fixed"/>
          <w:tblLook w:val="04A0"/>
        </w:tblPrEx>
        <w:trPr>
          <w:cantSplit/>
          <w:jc w:val="center"/>
        </w:trPr>
        <w:tc>
          <w:tcPr>
            <w:tcW w:w="2228" w:type="dxa"/>
            <w:vMerge w:val="restart"/>
            <w:vAlign w:val="center"/>
          </w:tcPr>
          <w:p w:rsidR="000F42D0">
            <w:pPr>
              <w:rPr>
                <w:sz w:val="20"/>
              </w:rPr>
            </w:pPr>
            <w:r>
              <w:rPr>
                <w:rFonts w:hint="eastAsia"/>
                <w:sz w:val="20"/>
              </w:rPr>
              <w:t>识别产品</w:t>
            </w:r>
          </w:p>
          <w:p w:rsidR="000F42D0">
            <w:pPr>
              <w:rPr>
                <w:sz w:val="20"/>
              </w:rPr>
            </w:pPr>
            <w:r>
              <w:rPr>
                <w:rFonts w:hint="eastAsia"/>
                <w:sz w:val="20"/>
              </w:rPr>
              <w:t>（</w:t>
            </w:r>
            <w:r>
              <w:rPr>
                <w:rFonts w:hint="eastAsia"/>
                <w:sz w:val="20"/>
              </w:rPr>
              <w:t>6</w:t>
            </w:r>
            <w:r>
              <w:rPr>
                <w:rFonts w:hint="eastAsia"/>
                <w:sz w:val="20"/>
              </w:rPr>
              <w:t>种）</w:t>
            </w:r>
          </w:p>
        </w:tc>
        <w:tc>
          <w:tcPr>
            <w:tcW w:w="2875" w:type="dxa"/>
            <w:vAlign w:val="center"/>
          </w:tcPr>
          <w:p w:rsidR="000F42D0">
            <w:pPr>
              <w:rPr>
                <w:sz w:val="20"/>
              </w:rPr>
            </w:pPr>
            <w:r>
              <w:rPr>
                <w:rFonts w:hint="eastAsia"/>
                <w:sz w:val="20"/>
              </w:rPr>
              <w:t>冰雹指数</w:t>
            </w:r>
          </w:p>
        </w:tc>
        <w:tc>
          <w:tcPr>
            <w:tcW w:w="1843" w:type="dxa"/>
            <w:vAlign w:val="center"/>
          </w:tcPr>
          <w:p w:rsidR="000F42D0">
            <w:pPr>
              <w:rPr>
                <w:sz w:val="20"/>
              </w:rPr>
            </w:pPr>
            <w:r>
              <w:rPr>
                <w:rFonts w:hint="eastAsia"/>
                <w:sz w:val="20"/>
              </w:rPr>
              <w:t>HI</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风暴追踪信息</w:t>
            </w:r>
          </w:p>
        </w:tc>
        <w:tc>
          <w:tcPr>
            <w:tcW w:w="1843" w:type="dxa"/>
            <w:vAlign w:val="center"/>
          </w:tcPr>
          <w:p w:rsidR="000F42D0">
            <w:pPr>
              <w:rPr>
                <w:sz w:val="20"/>
              </w:rPr>
            </w:pPr>
            <w:r>
              <w:rPr>
                <w:rFonts w:hint="eastAsia"/>
                <w:sz w:val="20"/>
              </w:rPr>
              <w:t>STI</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中气旋</w:t>
            </w:r>
          </w:p>
        </w:tc>
        <w:tc>
          <w:tcPr>
            <w:tcW w:w="1843" w:type="dxa"/>
            <w:vAlign w:val="center"/>
          </w:tcPr>
          <w:p w:rsidR="000F42D0">
            <w:pPr>
              <w:rPr>
                <w:sz w:val="20"/>
              </w:rPr>
            </w:pPr>
            <w:r>
              <w:rPr>
                <w:rFonts w:hint="eastAsia"/>
                <w:sz w:val="20"/>
              </w:rPr>
              <w:t>M</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水凝物分类</w:t>
            </w:r>
          </w:p>
        </w:tc>
        <w:tc>
          <w:tcPr>
            <w:tcW w:w="1843" w:type="dxa"/>
            <w:vAlign w:val="bottom"/>
          </w:tcPr>
          <w:p w:rsidR="000F42D0">
            <w:pPr>
              <w:rPr>
                <w:sz w:val="20"/>
              </w:rPr>
            </w:pPr>
            <w:r>
              <w:rPr>
                <w:rFonts w:hint="eastAsia"/>
                <w:sz w:val="20"/>
              </w:rPr>
              <w:t>HCL</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雷暴大风</w:t>
            </w:r>
          </w:p>
        </w:tc>
        <w:tc>
          <w:tcPr>
            <w:tcW w:w="1843" w:type="dxa"/>
            <w:vAlign w:val="center"/>
          </w:tcPr>
          <w:p w:rsidR="000F42D0">
            <w:pPr>
              <w:rPr>
                <w:sz w:val="20"/>
              </w:rPr>
            </w:pPr>
            <w:r>
              <w:rPr>
                <w:rFonts w:hint="eastAsia"/>
                <w:sz w:val="20"/>
              </w:rPr>
              <w:t>TD</w:t>
            </w:r>
          </w:p>
        </w:tc>
      </w:tr>
      <w:tr>
        <w:tblPrEx>
          <w:tblW w:w="6946" w:type="dxa"/>
          <w:jc w:val="center"/>
          <w:tblLayout w:type="fixed"/>
          <w:tblLook w:val="04A0"/>
        </w:tblPrEx>
        <w:trPr>
          <w:cantSplit/>
          <w:jc w:val="center"/>
        </w:trPr>
        <w:tc>
          <w:tcPr>
            <w:tcW w:w="2228" w:type="dxa"/>
            <w:vMerge/>
            <w:vAlign w:val="center"/>
          </w:tcPr>
          <w:p w:rsidR="000F42D0">
            <w:pPr>
              <w:rPr>
                <w:sz w:val="20"/>
              </w:rPr>
            </w:pPr>
          </w:p>
        </w:tc>
        <w:tc>
          <w:tcPr>
            <w:tcW w:w="2875" w:type="dxa"/>
            <w:vAlign w:val="center"/>
          </w:tcPr>
          <w:p w:rsidR="000F42D0">
            <w:pPr>
              <w:rPr>
                <w:sz w:val="20"/>
              </w:rPr>
            </w:pPr>
            <w:r>
              <w:rPr>
                <w:rFonts w:hint="eastAsia"/>
                <w:sz w:val="20"/>
              </w:rPr>
              <w:t>短时强降水</w:t>
            </w:r>
          </w:p>
        </w:tc>
        <w:tc>
          <w:tcPr>
            <w:tcW w:w="1843" w:type="dxa"/>
            <w:vAlign w:val="bottom"/>
          </w:tcPr>
          <w:p w:rsidR="000F42D0">
            <w:pPr>
              <w:rPr>
                <w:sz w:val="20"/>
              </w:rPr>
            </w:pPr>
            <w:r>
              <w:rPr>
                <w:rFonts w:hint="eastAsia"/>
                <w:sz w:val="20"/>
              </w:rPr>
              <w:t>HR</w:t>
            </w:r>
          </w:p>
        </w:tc>
      </w:tr>
      <w:bookmarkEnd w:id="61"/>
      <w:bookmarkEnd w:id="62"/>
    </w:tbl>
    <w:p w:rsidR="000F42D0">
      <w:pPr>
        <w:ind w:firstLine="420" w:firstLineChars="200"/>
        <w:outlineLvl w:val="2"/>
        <w:rPr>
          <w:rFonts w:ascii="仿宋_GB2312" w:eastAsia="仿宋_GB2312" w:hAnsi="仿宋_GB2312" w:cs="仿宋_GB2312"/>
        </w:rPr>
      </w:pPr>
    </w:p>
    <w:p w:rsidR="000F42D0">
      <w:pPr>
        <w:spacing w:line="360" w:lineRule="auto"/>
        <w:ind w:firstLine="420" w:firstLineChars="200"/>
        <w:rPr>
          <w:rFonts w:ascii="宋体" w:hAnsi="宋体"/>
          <w:b/>
          <w:bCs/>
          <w:szCs w:val="21"/>
        </w:rPr>
      </w:pPr>
      <w:r>
        <w:rPr>
          <w:rFonts w:ascii="宋体" w:hAnsi="宋体" w:hint="eastAsia"/>
          <w:b/>
          <w:bCs/>
          <w:szCs w:val="21"/>
        </w:rPr>
        <w:t>软件功能要求</w:t>
      </w:r>
      <w:r>
        <w:rPr>
          <w:rFonts w:ascii="宋体" w:hAnsi="宋体" w:hint="eastAsia"/>
          <w:b/>
          <w:bCs/>
          <w:szCs w:val="21"/>
        </w:rPr>
        <w:t>：</w:t>
      </w:r>
    </w:p>
    <w:p w:rsidR="000F42D0">
      <w:pPr>
        <w:spacing w:line="360" w:lineRule="auto"/>
        <w:ind w:firstLine="420" w:firstLineChars="200"/>
        <w:rPr>
          <w:rFonts w:ascii="宋体" w:hAnsi="宋体"/>
          <w:szCs w:val="21"/>
        </w:rPr>
      </w:pPr>
      <w:bookmarkStart w:id="63" w:name="_Toc24693"/>
      <w:bookmarkStart w:id="64" w:name="_Toc374091465"/>
      <w:r>
        <w:rPr>
          <w:rFonts w:ascii="宋体" w:hAnsi="宋体" w:hint="eastAsia"/>
          <w:szCs w:val="21"/>
        </w:rPr>
        <w:t>1</w:t>
      </w:r>
      <w:r>
        <w:rPr>
          <w:rFonts w:ascii="宋体" w:hAnsi="宋体" w:hint="eastAsia"/>
          <w:szCs w:val="21"/>
        </w:rPr>
        <w:t>）产品显示：平面位置产品、距离高度产品、等高</w:t>
      </w:r>
      <w:r>
        <w:rPr>
          <w:rFonts w:ascii="宋体" w:hAnsi="宋体" w:hint="eastAsia"/>
          <w:szCs w:val="21"/>
        </w:rPr>
        <w:t>面位置</w:t>
      </w:r>
      <w:r>
        <w:rPr>
          <w:rFonts w:ascii="宋体" w:hAnsi="宋体" w:hint="eastAsia"/>
          <w:szCs w:val="21"/>
        </w:rPr>
        <w:t>产品、二次产品等显示功能。</w:t>
      </w:r>
    </w:p>
    <w:p w:rsidR="000F42D0">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）分屏显示：二分屏、四分屏等分屏显示功能、支持光标联动信息显示。</w:t>
      </w:r>
    </w:p>
    <w:p w:rsidR="000F42D0">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）垂直剖面：基本产品任意垂直剖面显示功能，支持折线剖面，可同时显示多个产品，支持缩放、拖曳及保存图像。</w:t>
      </w:r>
    </w:p>
    <w:p w:rsidR="000F42D0">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）图形缩放、拖曳：产品图像可放大缩小，拖曳移动。</w:t>
      </w:r>
    </w:p>
    <w:p w:rsidR="000F42D0">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）图像保存：产品图像可保存为图片格式。</w:t>
      </w:r>
    </w:p>
    <w:p w:rsidR="000F42D0">
      <w:pPr>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）动态展示：支持产品时序播放、</w:t>
      </w:r>
      <w:r>
        <w:rPr>
          <w:rFonts w:ascii="宋体" w:hAnsi="宋体" w:hint="eastAsia"/>
          <w:szCs w:val="21"/>
        </w:rPr>
        <w:t>动图制作</w:t>
      </w:r>
      <w:r>
        <w:rPr>
          <w:rFonts w:ascii="宋体" w:hAnsi="宋体" w:hint="eastAsia"/>
          <w:szCs w:val="21"/>
        </w:rPr>
        <w:t>。</w:t>
      </w:r>
    </w:p>
    <w:p w:rsidR="000F42D0">
      <w:pPr>
        <w:spacing w:line="360" w:lineRule="auto"/>
        <w:ind w:firstLine="420" w:firstLineChars="200"/>
        <w:rPr>
          <w:rFonts w:ascii="宋体" w:hAnsi="宋体"/>
          <w:szCs w:val="21"/>
        </w:rPr>
      </w:pPr>
      <w:r>
        <w:rPr>
          <w:rFonts w:ascii="宋体" w:hAnsi="宋体" w:hint="eastAsia"/>
          <w:szCs w:val="21"/>
        </w:rPr>
        <w:t>7</w:t>
      </w:r>
      <w:r>
        <w:rPr>
          <w:rFonts w:ascii="宋体" w:hAnsi="宋体" w:hint="eastAsia"/>
          <w:szCs w:val="21"/>
        </w:rPr>
        <w:t>）地图加载：产品显示可加载离线地图文件，同时应支持</w:t>
      </w:r>
      <w:r>
        <w:rPr>
          <w:rFonts w:ascii="宋体" w:hAnsi="宋体" w:hint="eastAsia"/>
          <w:szCs w:val="21"/>
        </w:rPr>
        <w:t>API</w:t>
      </w:r>
      <w:r>
        <w:rPr>
          <w:rFonts w:ascii="宋体" w:hAnsi="宋体" w:hint="eastAsia"/>
          <w:szCs w:val="21"/>
        </w:rPr>
        <w:t>接口获取在线瓦片地图。</w:t>
      </w:r>
    </w:p>
    <w:p w:rsidR="000F42D0">
      <w:pPr>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）测距功能：产品显示界面可测量两点间距离、折线距离。</w:t>
      </w:r>
    </w:p>
    <w:p w:rsidR="000F42D0">
      <w:pPr>
        <w:spacing w:line="360" w:lineRule="auto"/>
        <w:ind w:firstLine="420" w:firstLineChars="200"/>
        <w:rPr>
          <w:rFonts w:ascii="宋体" w:hAnsi="宋体"/>
          <w:szCs w:val="21"/>
        </w:rPr>
      </w:pPr>
      <w:r>
        <w:rPr>
          <w:rFonts w:ascii="宋体" w:hAnsi="宋体" w:hint="eastAsia"/>
          <w:szCs w:val="21"/>
        </w:rPr>
        <w:t>9</w:t>
      </w:r>
      <w:r>
        <w:rPr>
          <w:rFonts w:ascii="宋体" w:hAnsi="宋体" w:hint="eastAsia"/>
          <w:szCs w:val="21"/>
        </w:rPr>
        <w:t>）游标引导：游标所在点的经纬度、方位、距离、高度、产品数值、地理位置等信息显示。</w:t>
      </w:r>
    </w:p>
    <w:p w:rsidR="000F42D0">
      <w:pPr>
        <w:spacing w:line="360" w:lineRule="auto"/>
        <w:ind w:firstLine="420" w:firstLineChars="200"/>
        <w:rPr>
          <w:rFonts w:ascii="宋体" w:hAnsi="宋体"/>
          <w:szCs w:val="21"/>
        </w:rPr>
      </w:pPr>
      <w:r>
        <w:rPr>
          <w:rFonts w:ascii="宋体" w:hAnsi="宋体" w:hint="eastAsia"/>
          <w:szCs w:val="21"/>
        </w:rPr>
        <w:t>10</w:t>
      </w:r>
      <w:r>
        <w:rPr>
          <w:rFonts w:ascii="宋体" w:hAnsi="宋体" w:hint="eastAsia"/>
          <w:szCs w:val="21"/>
        </w:rPr>
        <w:t>）阈值过滤：显示阈值范围内数据，过滤超限数据；可单一范围显隐；可调整产品透明度。</w:t>
      </w:r>
    </w:p>
    <w:p w:rsidR="000F42D0">
      <w:pPr>
        <w:spacing w:line="360" w:lineRule="auto"/>
        <w:ind w:firstLine="420" w:firstLineChars="200"/>
        <w:rPr>
          <w:rFonts w:ascii="宋体" w:hAnsi="宋体"/>
          <w:szCs w:val="21"/>
        </w:rPr>
      </w:pPr>
      <w:r>
        <w:rPr>
          <w:rFonts w:ascii="宋体" w:hAnsi="宋体" w:hint="eastAsia"/>
          <w:szCs w:val="21"/>
        </w:rPr>
        <w:t>11</w:t>
      </w:r>
      <w:r>
        <w:rPr>
          <w:rFonts w:ascii="宋体" w:hAnsi="宋体" w:hint="eastAsia"/>
          <w:szCs w:val="21"/>
        </w:rPr>
        <w:t>）自动刷新：可启停的自动显示最新产品数据。</w:t>
      </w:r>
    </w:p>
    <w:p w:rsidR="000F42D0">
      <w:pPr>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rPr>
        <w:t>）状态监控：包</w:t>
      </w:r>
      <w:r>
        <w:rPr>
          <w:rFonts w:ascii="宋体" w:hAnsi="宋体" w:hint="eastAsia"/>
          <w:szCs w:val="21"/>
        </w:rPr>
        <w:t>括数据接收、产品制作、产品传输状态监控。</w:t>
      </w:r>
    </w:p>
    <w:p w:rsidR="000F42D0">
      <w:pPr>
        <w:spacing w:line="360" w:lineRule="auto"/>
        <w:ind w:firstLine="420" w:firstLineChars="200"/>
        <w:rPr>
          <w:rFonts w:ascii="宋体" w:hAnsi="宋体"/>
          <w:szCs w:val="21"/>
        </w:rPr>
      </w:pPr>
      <w:r>
        <w:rPr>
          <w:rFonts w:ascii="宋体" w:hAnsi="宋体" w:hint="eastAsia"/>
          <w:szCs w:val="21"/>
        </w:rPr>
        <w:t>13</w:t>
      </w:r>
      <w:r>
        <w:rPr>
          <w:rFonts w:ascii="宋体" w:hAnsi="宋体" w:hint="eastAsia"/>
          <w:szCs w:val="21"/>
        </w:rPr>
        <w:t>）数据归档：本地或异地产品数据归档，支持定时清理。</w:t>
      </w:r>
    </w:p>
    <w:p w:rsidR="000F42D0">
      <w:pPr>
        <w:spacing w:line="360" w:lineRule="auto"/>
        <w:ind w:firstLine="420" w:firstLineChars="200"/>
        <w:rPr>
          <w:rFonts w:ascii="宋体" w:hAnsi="宋体"/>
          <w:szCs w:val="21"/>
        </w:rPr>
      </w:pPr>
      <w:r>
        <w:rPr>
          <w:rFonts w:ascii="宋体" w:hAnsi="宋体" w:hint="eastAsia"/>
          <w:szCs w:val="21"/>
        </w:rPr>
        <w:t>14</w:t>
      </w:r>
      <w:r>
        <w:rPr>
          <w:rFonts w:ascii="宋体" w:hAnsi="宋体" w:hint="eastAsia"/>
          <w:szCs w:val="21"/>
        </w:rPr>
        <w:t>）数据上传：产品数据多节点上传，支持恢复网络后自动补传、手动补传。</w:t>
      </w:r>
    </w:p>
    <w:p w:rsidR="000F42D0">
      <w:pPr>
        <w:spacing w:line="360" w:lineRule="auto"/>
        <w:ind w:firstLine="420" w:firstLineChars="200"/>
        <w:rPr>
          <w:rFonts w:ascii="宋体" w:hAnsi="宋体"/>
          <w:szCs w:val="21"/>
        </w:rPr>
      </w:pPr>
      <w:r>
        <w:rPr>
          <w:rFonts w:ascii="宋体" w:hAnsi="宋体" w:hint="eastAsia"/>
          <w:szCs w:val="21"/>
        </w:rPr>
        <w:t>15</w:t>
      </w:r>
      <w:r>
        <w:rPr>
          <w:rFonts w:ascii="宋体" w:hAnsi="宋体" w:hint="eastAsia"/>
          <w:szCs w:val="21"/>
        </w:rPr>
        <w:t>）算法参数：算法参数可本地化调整。</w:t>
      </w:r>
    </w:p>
    <w:p w:rsidR="000F42D0">
      <w:pPr>
        <w:spacing w:line="360" w:lineRule="auto"/>
        <w:ind w:firstLine="420" w:firstLineChars="200"/>
        <w:rPr>
          <w:rFonts w:ascii="宋体" w:hAnsi="宋体"/>
          <w:szCs w:val="21"/>
        </w:rPr>
      </w:pPr>
      <w:r>
        <w:rPr>
          <w:rFonts w:ascii="宋体" w:hAnsi="宋体" w:hint="eastAsia"/>
          <w:szCs w:val="21"/>
        </w:rPr>
        <w:t>16</w:t>
      </w:r>
      <w:r>
        <w:rPr>
          <w:rFonts w:ascii="宋体" w:hAnsi="宋体" w:hint="eastAsia"/>
          <w:szCs w:val="21"/>
        </w:rPr>
        <w:t>）算法接口：支持外部算法接入，使用统一数据接口调用。</w:t>
      </w:r>
    </w:p>
    <w:p w:rsidR="000F42D0">
      <w:pPr>
        <w:spacing w:line="360" w:lineRule="auto"/>
        <w:ind w:firstLine="420" w:firstLineChars="200"/>
        <w:rPr>
          <w:rFonts w:ascii="宋体" w:hAnsi="宋体"/>
          <w:szCs w:val="21"/>
        </w:rPr>
      </w:pPr>
      <w:r>
        <w:rPr>
          <w:rFonts w:ascii="宋体" w:hAnsi="宋体" w:hint="eastAsia"/>
          <w:szCs w:val="21"/>
        </w:rPr>
        <w:t>17</w:t>
      </w:r>
      <w:r>
        <w:rPr>
          <w:rFonts w:ascii="宋体" w:hAnsi="宋体" w:hint="eastAsia"/>
          <w:szCs w:val="21"/>
        </w:rPr>
        <w:t>）系统日志：包括软件运行日志、数据接收日志、产品生成日志、数据上传日志等。</w:t>
      </w:r>
    </w:p>
    <w:p w:rsidR="000F42D0">
      <w:pPr>
        <w:spacing w:line="360" w:lineRule="auto"/>
        <w:ind w:firstLine="420" w:firstLineChars="200"/>
        <w:rPr>
          <w:rFonts w:ascii="宋体" w:hAnsi="宋体"/>
          <w:szCs w:val="21"/>
        </w:rPr>
      </w:pPr>
      <w:r>
        <w:rPr>
          <w:rFonts w:ascii="宋体" w:hAnsi="宋体" w:hint="eastAsia"/>
          <w:szCs w:val="21"/>
        </w:rPr>
        <w:t>18</w:t>
      </w:r>
      <w:r>
        <w:rPr>
          <w:rFonts w:ascii="宋体" w:hAnsi="宋体" w:hint="eastAsia"/>
          <w:szCs w:val="21"/>
        </w:rPr>
        <w:t>）多用户并发：每个产品生成终端应至少能够满足</w:t>
      </w:r>
      <w:r>
        <w:rPr>
          <w:rFonts w:ascii="宋体" w:hAnsi="宋体" w:hint="eastAsia"/>
          <w:szCs w:val="21"/>
        </w:rPr>
        <w:t>30</w:t>
      </w:r>
      <w:r>
        <w:rPr>
          <w:rFonts w:ascii="宋体" w:hAnsi="宋体" w:hint="eastAsia"/>
          <w:szCs w:val="21"/>
        </w:rPr>
        <w:t>位用户同时访问。</w:t>
      </w:r>
    </w:p>
    <w:p w:rsidR="000F42D0">
      <w:pPr>
        <w:spacing w:line="360" w:lineRule="auto"/>
        <w:ind w:firstLine="420" w:firstLineChars="200"/>
        <w:rPr>
          <w:rFonts w:ascii="宋体" w:hAnsi="宋体"/>
          <w:szCs w:val="21"/>
        </w:rPr>
      </w:pPr>
      <w:r>
        <w:rPr>
          <w:rFonts w:ascii="宋体" w:hAnsi="宋体" w:hint="eastAsia"/>
          <w:szCs w:val="21"/>
        </w:rPr>
        <w:t>19</w:t>
      </w:r>
      <w:r>
        <w:rPr>
          <w:rFonts w:ascii="宋体" w:hAnsi="宋体" w:hint="eastAsia"/>
          <w:szCs w:val="21"/>
        </w:rPr>
        <w:t>）数据库接口：可从外部接口获取雷达数据作为数据源。</w:t>
      </w:r>
    </w:p>
    <w:p w:rsidR="000F42D0">
      <w:pPr>
        <w:spacing w:line="360" w:lineRule="auto"/>
        <w:ind w:firstLine="420" w:firstLineChars="200"/>
        <w:rPr>
          <w:rFonts w:ascii="宋体" w:hAnsi="宋体"/>
          <w:szCs w:val="21"/>
        </w:rPr>
      </w:pPr>
      <w:r>
        <w:rPr>
          <w:rFonts w:ascii="宋体" w:hAnsi="宋体" w:hint="eastAsia"/>
          <w:szCs w:val="21"/>
        </w:rPr>
        <w:t>20</w:t>
      </w:r>
      <w:r>
        <w:rPr>
          <w:rFonts w:ascii="宋体" w:hAnsi="宋体" w:hint="eastAsia"/>
          <w:szCs w:val="21"/>
        </w:rPr>
        <w:t>）快捷操作：可通过键盘进行时间切换</w:t>
      </w:r>
      <w:r>
        <w:rPr>
          <w:rFonts w:ascii="宋体" w:hAnsi="宋体" w:hint="eastAsia"/>
          <w:szCs w:val="21"/>
        </w:rPr>
        <w:t>、仰角层切换等快捷操作。</w:t>
      </w:r>
    </w:p>
    <w:p w:rsidR="000F42D0">
      <w:pPr>
        <w:spacing w:line="360" w:lineRule="auto"/>
        <w:ind w:firstLine="420" w:firstLineChars="200"/>
        <w:rPr>
          <w:rFonts w:ascii="宋体" w:hAnsi="宋体"/>
          <w:szCs w:val="21"/>
        </w:rPr>
      </w:pPr>
      <w:r>
        <w:rPr>
          <w:rFonts w:ascii="宋体" w:hAnsi="宋体" w:hint="eastAsia"/>
          <w:szCs w:val="21"/>
        </w:rPr>
        <w:t>21</w:t>
      </w:r>
      <w:r>
        <w:rPr>
          <w:rFonts w:ascii="宋体" w:hAnsi="宋体" w:hint="eastAsia"/>
          <w:szCs w:val="21"/>
        </w:rPr>
        <w:t>）关注点标记：设定不同类型的关注点，可设置备注信息并保存；可单选、多选、分类选择叠加在产品上进行显示；可设定关注点预警范围。支持关注</w:t>
      </w:r>
      <w:r>
        <w:rPr>
          <w:rFonts w:ascii="宋体" w:hAnsi="宋体" w:hint="eastAsia"/>
          <w:szCs w:val="21"/>
        </w:rPr>
        <w:t>点信息</w:t>
      </w:r>
      <w:r>
        <w:rPr>
          <w:rFonts w:ascii="宋体" w:hAnsi="宋体" w:hint="eastAsia"/>
          <w:szCs w:val="21"/>
        </w:rPr>
        <w:t>导入导出。</w:t>
      </w:r>
    </w:p>
    <w:p w:rsidR="000F42D0">
      <w:pPr>
        <w:spacing w:line="360" w:lineRule="auto"/>
        <w:ind w:firstLine="420" w:firstLineChars="200"/>
        <w:rPr>
          <w:rFonts w:ascii="宋体" w:hAnsi="宋体"/>
          <w:szCs w:val="21"/>
        </w:rPr>
      </w:pPr>
    </w:p>
    <w:p w:rsidR="000F42D0">
      <w:pPr>
        <w:spacing w:line="360" w:lineRule="auto"/>
        <w:ind w:firstLine="420" w:firstLineChars="200"/>
        <w:rPr>
          <w:rFonts w:ascii="宋体" w:hAnsi="宋体"/>
          <w:b/>
          <w:bCs/>
          <w:szCs w:val="21"/>
        </w:rPr>
      </w:pPr>
      <w:r>
        <w:rPr>
          <w:rFonts w:ascii="宋体" w:hAnsi="宋体" w:hint="eastAsia"/>
          <w:b/>
          <w:bCs/>
          <w:szCs w:val="21"/>
        </w:rPr>
        <w:t>产品终端要求</w:t>
      </w:r>
      <w:bookmarkEnd w:id="63"/>
      <w:bookmarkEnd w:id="64"/>
      <w:r>
        <w:rPr>
          <w:rFonts w:ascii="宋体" w:hAnsi="宋体" w:hint="eastAsia"/>
          <w:b/>
          <w:bCs/>
          <w:szCs w:val="21"/>
        </w:rPr>
        <w:t>：</w:t>
      </w:r>
    </w:p>
    <w:p w:rsidR="000F42D0">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）用户</w:t>
      </w:r>
      <w:r>
        <w:rPr>
          <w:rFonts w:ascii="宋体" w:hAnsi="宋体" w:hint="eastAsia"/>
          <w:szCs w:val="21"/>
        </w:rPr>
        <w:t>端至少</w:t>
      </w:r>
      <w:r>
        <w:rPr>
          <w:rFonts w:ascii="宋体" w:hAnsi="宋体" w:hint="eastAsia"/>
          <w:szCs w:val="21"/>
        </w:rPr>
        <w:t>配置</w:t>
      </w:r>
      <w:r>
        <w:rPr>
          <w:rFonts w:ascii="宋体" w:hAnsi="宋体" w:hint="eastAsia"/>
          <w:szCs w:val="21"/>
        </w:rPr>
        <w:t>2</w:t>
      </w:r>
      <w:r>
        <w:rPr>
          <w:rFonts w:ascii="宋体" w:hAnsi="宋体" w:hint="eastAsia"/>
          <w:szCs w:val="21"/>
        </w:rPr>
        <w:t>台产品终端，负责产品制作及数据归档。</w:t>
      </w:r>
    </w:p>
    <w:p w:rsidR="000F42D0">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）应支持</w:t>
      </w:r>
      <w:r>
        <w:rPr>
          <w:rFonts w:ascii="宋体" w:hAnsi="宋体" w:hint="eastAsia"/>
          <w:szCs w:val="21"/>
        </w:rPr>
        <w:t>国产信创</w:t>
      </w:r>
      <w:r>
        <w:rPr>
          <w:rFonts w:ascii="宋体" w:hAnsi="宋体" w:hint="eastAsia"/>
          <w:szCs w:val="21"/>
        </w:rPr>
        <w:t>系统。</w:t>
      </w:r>
    </w:p>
    <w:p w:rsidR="000F42D0">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）产品终端数据处理能力应满足产品制作整体耗时小于雷达最短</w:t>
      </w:r>
      <w:r>
        <w:rPr>
          <w:rFonts w:ascii="宋体" w:hAnsi="宋体" w:hint="eastAsia"/>
          <w:szCs w:val="21"/>
        </w:rPr>
        <w:t>体扫用</w:t>
      </w:r>
      <w:r>
        <w:rPr>
          <w:rFonts w:ascii="宋体" w:hAnsi="宋体" w:hint="eastAsia"/>
          <w:szCs w:val="21"/>
        </w:rPr>
        <w:t>时，避免造成数据积压。</w:t>
      </w:r>
    </w:p>
    <w:p w:rsidR="000F42D0">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）产品终端能存储不少于</w:t>
      </w:r>
      <w:r>
        <w:rPr>
          <w:rFonts w:ascii="宋体" w:hAnsi="宋体" w:hint="eastAsia"/>
          <w:szCs w:val="21"/>
        </w:rPr>
        <w:t>1</w:t>
      </w:r>
      <w:r>
        <w:rPr>
          <w:rFonts w:ascii="宋体" w:hAnsi="宋体" w:hint="eastAsia"/>
          <w:szCs w:val="21"/>
        </w:rPr>
        <w:t>年的</w:t>
      </w:r>
      <w:r>
        <w:rPr>
          <w:rFonts w:ascii="宋体" w:hAnsi="宋体" w:hint="eastAsia"/>
          <w:szCs w:val="21"/>
        </w:rPr>
        <w:t>基数据及</w:t>
      </w:r>
      <w:r>
        <w:rPr>
          <w:rFonts w:ascii="宋体" w:hAnsi="宋体" w:hint="eastAsia"/>
          <w:szCs w:val="21"/>
        </w:rPr>
        <w:t>3</w:t>
      </w:r>
      <w:r>
        <w:rPr>
          <w:rFonts w:ascii="宋体" w:hAnsi="宋体" w:hint="eastAsia"/>
          <w:szCs w:val="21"/>
        </w:rPr>
        <w:t>个月</w:t>
      </w:r>
      <w:r>
        <w:rPr>
          <w:rFonts w:ascii="宋体" w:hAnsi="宋体" w:hint="eastAsia"/>
          <w:szCs w:val="21"/>
        </w:rPr>
        <w:t>的雷达产品。</w:t>
      </w:r>
    </w:p>
    <w:p w:rsidR="000F42D0">
      <w:pPr>
        <w:spacing w:line="360" w:lineRule="auto"/>
        <w:ind w:firstLine="420" w:firstLineChars="200"/>
        <w:rPr>
          <w:rFonts w:ascii="宋体" w:hAnsi="宋体"/>
          <w:szCs w:val="21"/>
        </w:rPr>
      </w:pPr>
    </w:p>
    <w:p w:rsidR="000F42D0">
      <w:pPr>
        <w:spacing w:line="360" w:lineRule="auto"/>
        <w:ind w:firstLine="420" w:firstLineChars="200"/>
        <w:rPr>
          <w:rFonts w:ascii="宋体" w:hAnsi="宋体"/>
          <w:szCs w:val="21"/>
        </w:rPr>
      </w:pPr>
      <w:r>
        <w:rPr>
          <w:rFonts w:ascii="宋体" w:hAnsi="宋体" w:hint="eastAsia"/>
          <w:szCs w:val="21"/>
        </w:rPr>
        <w:t>四、检验考核要求</w:t>
      </w:r>
    </w:p>
    <w:p w:rsidR="000F42D0">
      <w:pPr>
        <w:spacing w:line="360" w:lineRule="auto"/>
        <w:ind w:firstLine="420" w:firstLineChars="200"/>
        <w:rPr>
          <w:rFonts w:ascii="宋体" w:hAnsi="宋体"/>
          <w:szCs w:val="21"/>
        </w:rPr>
      </w:pPr>
      <w:r>
        <w:rPr>
          <w:rFonts w:ascii="宋体" w:hAnsi="宋体" w:hint="eastAsia"/>
          <w:szCs w:val="21"/>
        </w:rPr>
        <w:t>（一）质量标准</w:t>
      </w:r>
    </w:p>
    <w:p w:rsidR="000F42D0">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rsidR="000F42D0">
      <w:pPr>
        <w:spacing w:line="360" w:lineRule="auto"/>
        <w:ind w:firstLine="420" w:firstLineChars="200"/>
        <w:rPr>
          <w:rFonts w:ascii="宋体" w:hAnsi="宋体"/>
          <w:szCs w:val="21"/>
        </w:rPr>
      </w:pPr>
      <w:r>
        <w:rPr>
          <w:rFonts w:ascii="宋体" w:hAnsi="宋体" w:hint="eastAsia"/>
          <w:szCs w:val="21"/>
        </w:rPr>
        <w:t>（二）验收组织</w:t>
      </w:r>
    </w:p>
    <w:p w:rsidR="000F42D0">
      <w:pPr>
        <w:widowControl/>
        <w:spacing w:line="360" w:lineRule="auto"/>
        <w:ind w:firstLine="420" w:firstLineChars="200"/>
        <w:rPr>
          <w:rFonts w:ascii="宋体" w:hAnsi="宋体"/>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0F42D0">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w:t>
      </w:r>
      <w:r>
        <w:rPr>
          <w:rFonts w:ascii="宋体" w:eastAsia="宋体" w:hAnsi="宋体" w:cs="Times New Roman" w:hint="eastAsia"/>
          <w:szCs w:val="21"/>
          <w:lang w:bidi="ar"/>
        </w:rPr>
        <w:t>试，提交全套资质文件、技术资料、校准及检测报告。采购人派员参与验收，验收合格并签署出厂验收报告后方可发货，未通过出厂验收严禁出厂。</w:t>
      </w:r>
    </w:p>
    <w:p w:rsidR="000F42D0">
      <w:pPr>
        <w:widowControl/>
        <w:spacing w:line="360" w:lineRule="auto"/>
        <w:ind w:firstLine="420" w:firstLineChars="200"/>
        <w:rPr>
          <w:rFonts w:ascii="宋体" w:hAnsi="宋体"/>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0F42D0">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rsidR="000F42D0">
      <w:pPr>
        <w:widowControl/>
        <w:spacing w:line="360" w:lineRule="auto"/>
        <w:ind w:firstLine="420" w:firstLineChars="200"/>
        <w:rPr>
          <w:rFonts w:ascii="宋体" w:hAnsi="宋体"/>
          <w:szCs w:val="21"/>
        </w:rPr>
      </w:pPr>
      <w:r>
        <w:rPr>
          <w:rFonts w:ascii="宋体" w:eastAsia="宋体" w:hAnsi="宋体" w:cs="Times New Roman" w:hint="eastAsia"/>
          <w:szCs w:val="21"/>
        </w:rPr>
        <w:t>3.</w:t>
      </w:r>
      <w:r>
        <w:rPr>
          <w:rFonts w:ascii="宋体" w:eastAsia="宋体" w:hAnsi="宋体" w:cs="Times New Roman" w:hint="eastAsia"/>
          <w:szCs w:val="21"/>
        </w:rPr>
        <w:t>试运行验收</w:t>
      </w:r>
    </w:p>
    <w:p w:rsidR="000F42D0">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地面观测设备现场调试合格后进入试运行期，试运行周期不少于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天。试运行期间设备应连续稳定运行，无重大故障停机，观测数据完整率、运行稳定性、产品精度均满足气象业务运行要求。中标人做好运行值守、故障处置、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0F42D0">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0F42D0">
      <w:pPr>
        <w:widowControl/>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合同验收</w:t>
      </w:r>
    </w:p>
    <w:p w:rsidR="000F42D0">
      <w:pPr>
        <w:spacing w:line="360" w:lineRule="auto"/>
        <w:ind w:firstLine="420" w:firstLineChars="200"/>
        <w:rPr>
          <w:rFonts w:ascii="宋体" w:hAnsi="宋体"/>
          <w:szCs w:val="21"/>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等全部合同内容，对照技术参数、行业标准及业务应用要求综合评审，全部满足要求后签署最终验收证书，正式交付投入业务运行，进入质保</w:t>
      </w:r>
      <w:r>
        <w:rPr>
          <w:rFonts w:ascii="宋体" w:eastAsia="宋体" w:hAnsi="宋体" w:cs="Times New Roman" w:hint="eastAsia"/>
          <w:szCs w:val="21"/>
          <w:lang w:bidi="ar"/>
        </w:rPr>
        <w:t>期。若最终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0F42D0">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0F42D0">
      <w:pPr>
        <w:spacing w:line="360" w:lineRule="auto"/>
        <w:ind w:firstLine="420" w:firstLineChars="200"/>
        <w:rPr>
          <w:rFonts w:ascii="宋体" w:hAnsi="宋体"/>
          <w:szCs w:val="21"/>
        </w:rPr>
      </w:pPr>
      <w:r>
        <w:rPr>
          <w:rFonts w:ascii="宋体" w:hAnsi="宋体" w:hint="eastAsia"/>
          <w:szCs w:val="21"/>
        </w:rPr>
        <w:t>（一）技术服务</w:t>
      </w:r>
    </w:p>
    <w:p w:rsidR="000F42D0">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设备安装建设规范、设备工作原理、设备部件结构组成、设备操作手册、设备运行维护手册、设备软件使用手册、相关产品算法说明文档等。</w:t>
      </w:r>
    </w:p>
    <w:p w:rsidR="000F42D0">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w:t>
      </w:r>
      <w:r>
        <w:rPr>
          <w:rFonts w:ascii="宋体" w:hAnsi="宋体" w:hint="eastAsia"/>
          <w:szCs w:val="21"/>
        </w:rPr>
        <w:t>全面。</w:t>
      </w:r>
    </w:p>
    <w:p w:rsidR="000F42D0">
      <w:pPr>
        <w:widowControl/>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中标人需提供详细培训方案，包括设备使用、日常维护、观测原理及产品应用等理论培训及现场培训，培训时间及地点双方协商确定，确保使用方参训人员熟练掌握设备操作、日常维护及业务应用技能。</w:t>
      </w:r>
    </w:p>
    <w:p w:rsidR="000F42D0">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采购人有重大活动或应急保障时，可要求中标人提供现场保障服务。</w:t>
      </w:r>
    </w:p>
    <w:p w:rsidR="000F42D0">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中标人协助采购人完成本项目设备安装站点的无线电电磁环境检测及电磁兼容性分析工作，确保站点选址符合《无线电管理条例》及相关技术标准要求。</w:t>
      </w:r>
    </w:p>
    <w:p w:rsidR="000F42D0">
      <w:pPr>
        <w:spacing w:line="360" w:lineRule="auto"/>
        <w:ind w:firstLine="420" w:firstLineChars="200"/>
        <w:rPr>
          <w:rFonts w:ascii="宋体" w:hAnsi="宋体"/>
          <w:szCs w:val="21"/>
        </w:rPr>
      </w:pPr>
      <w:r>
        <w:rPr>
          <w:rFonts w:ascii="宋体" w:hAnsi="宋体" w:hint="eastAsia"/>
          <w:szCs w:val="21"/>
        </w:rPr>
        <w:t>（二）质保期服务</w:t>
      </w:r>
    </w:p>
    <w:p w:rsidR="000F42D0">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保修期：</w:t>
      </w:r>
      <w:r w:rsidRPr="00260F54">
        <w:rPr>
          <w:rFonts w:ascii="宋体" w:hAnsi="宋体" w:hint="eastAsia"/>
          <w:szCs w:val="21"/>
          <w:highlight w:val="yellow"/>
        </w:rPr>
        <w:t>设备通过最终合同验收后计算，设备质保期至少为</w:t>
      </w:r>
      <w:r w:rsidRPr="00260F54">
        <w:rPr>
          <w:rFonts w:ascii="宋体" w:hAnsi="宋体" w:hint="eastAsia"/>
          <w:szCs w:val="21"/>
          <w:highlight w:val="yellow"/>
        </w:rPr>
        <w:t>8</w:t>
      </w:r>
      <w:r w:rsidRPr="00260F54">
        <w:rPr>
          <w:rFonts w:ascii="宋体" w:hAnsi="宋体" w:hint="eastAsia"/>
          <w:szCs w:val="21"/>
          <w:highlight w:val="yellow"/>
        </w:rPr>
        <w:t>年*</w:t>
      </w:r>
      <w:r>
        <w:rPr>
          <w:rFonts w:ascii="宋体" w:hAnsi="宋体" w:hint="eastAsia"/>
          <w:szCs w:val="21"/>
        </w:rPr>
        <w:t>，质保期内因设备设计、质量出现问题，</w:t>
      </w:r>
      <w:r>
        <w:rPr>
          <w:rFonts w:ascii="宋体" w:hAnsi="宋体" w:hint="eastAsia"/>
          <w:szCs w:val="21"/>
        </w:rPr>
        <w:t>均由中标人即时无偿解决</w:t>
      </w:r>
      <w:r>
        <w:rPr>
          <w:rFonts w:ascii="宋体" w:hAnsi="宋体" w:hint="eastAsia"/>
          <w:szCs w:val="21"/>
        </w:rPr>
        <w:t>(</w:t>
      </w:r>
      <w:r>
        <w:rPr>
          <w:rFonts w:ascii="宋体" w:hAnsi="宋体" w:hint="eastAsia"/>
          <w:szCs w:val="21"/>
        </w:rPr>
        <w:t>包括更换器件</w:t>
      </w:r>
      <w:r>
        <w:rPr>
          <w:rFonts w:ascii="宋体" w:hAnsi="宋体" w:hint="eastAsia"/>
          <w:szCs w:val="21"/>
        </w:rPr>
        <w:t>)</w:t>
      </w:r>
      <w:r>
        <w:rPr>
          <w:rFonts w:ascii="宋体" w:hAnsi="宋体" w:hint="eastAsia"/>
          <w:szCs w:val="21"/>
        </w:rPr>
        <w:t>，如因自身故障致设备停用时间累计超过</w:t>
      </w:r>
      <w:r>
        <w:rPr>
          <w:rFonts w:ascii="宋体" w:hAnsi="宋体" w:hint="eastAsia"/>
          <w:szCs w:val="21"/>
        </w:rPr>
        <w:t>20</w:t>
      </w:r>
      <w:r>
        <w:rPr>
          <w:rFonts w:ascii="宋体" w:hAnsi="宋体" w:hint="eastAsia"/>
          <w:szCs w:val="21"/>
        </w:rPr>
        <w:t>天时，则质保期在状态恢复正常时重新计算。质保期内，经中标人累计</w:t>
      </w:r>
      <w:r>
        <w:rPr>
          <w:rFonts w:ascii="宋体" w:hAnsi="宋体" w:hint="eastAsia"/>
          <w:szCs w:val="21"/>
        </w:rPr>
        <w:t>5</w:t>
      </w:r>
      <w:r>
        <w:rPr>
          <w:rFonts w:ascii="宋体" w:hAnsi="宋体" w:hint="eastAsia"/>
          <w:szCs w:val="21"/>
        </w:rPr>
        <w:t>次维修仍无法正常使用或达不到相关质量标准的，视作设备存在严重质量问题，应支付赔偿金并退还已付全部款项。</w:t>
      </w:r>
    </w:p>
    <w:p w:rsidR="000F42D0">
      <w:pPr>
        <w:widowControl/>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质保期内中标人应对投标产品每年提供</w:t>
      </w:r>
      <w:r>
        <w:rPr>
          <w:rFonts w:ascii="宋体" w:hAnsi="宋体" w:hint="eastAsia"/>
          <w:szCs w:val="21"/>
        </w:rPr>
        <w:t>2</w:t>
      </w:r>
      <w:r>
        <w:rPr>
          <w:rFonts w:ascii="宋体" w:hAnsi="宋体" w:hint="eastAsia"/>
          <w:szCs w:val="21"/>
        </w:rPr>
        <w:t>次巡检服务及定标服务，具体时间及地点根据设备安装地点双方协商确定。质保期内为免费用户提供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0F42D0">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在质保期满之前，要对设备进行一次整体全面的维护和检查；</w:t>
      </w:r>
    </w:p>
    <w:p w:rsidR="000F42D0">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无论是保质期内还是质保期外发现的技术、质量问题，及时予以解决，要做到在接到设备故障通知后</w:t>
      </w:r>
      <w:r>
        <w:rPr>
          <w:rFonts w:ascii="宋体" w:hAnsi="宋体" w:hint="eastAsia"/>
          <w:szCs w:val="21"/>
        </w:rPr>
        <w:t>4</w:t>
      </w:r>
      <w:r>
        <w:rPr>
          <w:rFonts w:ascii="宋体" w:hAnsi="宋体" w:hint="eastAsia"/>
          <w:szCs w:val="21"/>
        </w:rPr>
        <w:t>小时内做出响应，及时提供维修配件，</w:t>
      </w:r>
      <w:r>
        <w:rPr>
          <w:rFonts w:ascii="宋体" w:hAnsi="宋体" w:hint="eastAsia"/>
          <w:szCs w:val="21"/>
        </w:rPr>
        <w:t>2</w:t>
      </w:r>
      <w:r>
        <w:rPr>
          <w:rFonts w:ascii="宋体" w:hAnsi="宋体" w:hint="eastAsia"/>
          <w:szCs w:val="21"/>
        </w:rPr>
        <w:t>个工作日内工程师到达用户现场进行维修服务，未尽事宜协商解决；</w:t>
      </w:r>
    </w:p>
    <w:p w:rsidR="000F42D0">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需要提供设备使用手册，并进行必要的理论和实操培训，包含日常操作和故障排查等内容。</w:t>
      </w:r>
    </w:p>
    <w:p w:rsidR="000F42D0">
      <w:pPr>
        <w:spacing w:line="360" w:lineRule="auto"/>
        <w:ind w:firstLine="420" w:firstLineChars="200"/>
        <w:rPr>
          <w:rFonts w:ascii="宋体" w:hAnsi="宋体"/>
          <w:szCs w:val="21"/>
        </w:rPr>
      </w:pPr>
      <w:r>
        <w:rPr>
          <w:rFonts w:ascii="宋体" w:eastAsia="宋体" w:hAnsi="宋体" w:cs="Times New Roman" w:hint="eastAsia"/>
          <w:szCs w:val="21"/>
        </w:rPr>
        <w:t>6</w:t>
      </w:r>
      <w:r>
        <w:rPr>
          <w:rFonts w:ascii="宋体" w:hAnsi="宋体" w:hint="eastAsia"/>
          <w:szCs w:val="21"/>
        </w:rPr>
        <w:t>.</w:t>
      </w:r>
      <w:r>
        <w:rPr>
          <w:rFonts w:ascii="宋体" w:hAnsi="宋体" w:hint="eastAsia"/>
          <w:szCs w:val="21"/>
        </w:rPr>
        <w:t>提供投标产品软件免费升级服务，</w:t>
      </w:r>
      <w:r>
        <w:rPr>
          <w:rFonts w:ascii="宋体" w:eastAsia="宋体" w:hAnsi="宋体" w:cs="Times New Roman" w:hint="eastAsia"/>
          <w:szCs w:val="21"/>
        </w:rPr>
        <w:t>所提供观测设备观测数据能接入采购人现有气象数据平台。</w:t>
      </w:r>
    </w:p>
    <w:p w:rsidR="000F42D0">
      <w:pPr>
        <w:spacing w:line="360" w:lineRule="auto"/>
        <w:ind w:firstLine="420" w:firstLineChars="200"/>
        <w:rPr>
          <w:rFonts w:ascii="宋体" w:hAnsi="宋体"/>
          <w:szCs w:val="21"/>
        </w:rPr>
      </w:pPr>
      <w:r>
        <w:rPr>
          <w:rFonts w:ascii="宋体" w:hAnsi="宋体" w:hint="eastAsia"/>
          <w:szCs w:val="21"/>
        </w:rPr>
        <w:t>（三）培训要求</w:t>
      </w:r>
    </w:p>
    <w:p w:rsidR="000F42D0">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w:t>
      </w:r>
      <w:r>
        <w:rPr>
          <w:rFonts w:ascii="宋体" w:hAnsi="宋体" w:hint="eastAsia"/>
          <w:szCs w:val="21"/>
        </w:rPr>
        <w:t>除、软件使用和系统管理的能力；熟练掌握所负责业务的质量控制、质量保证方法和措施；掌握本项目进一步升级、应用所需的知识和技能。书面承诺每种设备的培训讲师具有中级以上职称或从事该设备技术工作至少</w:t>
      </w:r>
      <w:r>
        <w:rPr>
          <w:rFonts w:ascii="宋体" w:hAnsi="宋体" w:hint="eastAsia"/>
          <w:szCs w:val="21"/>
        </w:rPr>
        <w:t>2</w:t>
      </w:r>
      <w:r>
        <w:rPr>
          <w:rFonts w:ascii="宋体" w:hAnsi="宋体" w:hint="eastAsia"/>
          <w:szCs w:val="21"/>
        </w:rPr>
        <w:t>年；</w:t>
      </w:r>
    </w:p>
    <w:p w:rsidR="000F42D0">
      <w:pPr>
        <w:spacing w:line="360" w:lineRule="auto"/>
        <w:ind w:firstLine="420" w:firstLineChars="200"/>
        <w:rPr>
          <w:rFonts w:ascii="宋体" w:hAnsi="宋体" w:cs="宋体"/>
          <w:szCs w:val="21"/>
        </w:rPr>
      </w:pPr>
      <w:r>
        <w:rPr>
          <w:rFonts w:ascii="宋体" w:hAnsi="宋体" w:hint="eastAsia"/>
          <w:szCs w:val="21"/>
        </w:rPr>
        <w:t>设备供应商对每套投标产品提供至少</w:t>
      </w:r>
      <w:r>
        <w:rPr>
          <w:rFonts w:ascii="宋体" w:hAnsi="宋体" w:hint="eastAsia"/>
          <w:szCs w:val="21"/>
        </w:rPr>
        <w:t>5</w:t>
      </w:r>
      <w:r>
        <w:rPr>
          <w:rFonts w:ascii="宋体" w:hAnsi="宋体" w:hint="eastAsia"/>
          <w:szCs w:val="21"/>
        </w:rPr>
        <w:t>次技术培训，培训人数不少于</w:t>
      </w:r>
      <w:r>
        <w:rPr>
          <w:rFonts w:ascii="宋体" w:hAnsi="宋体" w:hint="eastAsia"/>
          <w:szCs w:val="21"/>
        </w:rPr>
        <w:t>20</w:t>
      </w:r>
      <w:r>
        <w:rPr>
          <w:rFonts w:ascii="宋体" w:hAnsi="宋体" w:hint="eastAsia"/>
          <w:szCs w:val="21"/>
        </w:rPr>
        <w:t>人。培训内容包括设备安装、使用、日常维护、观测原理及产品应用，培训时间及地点双方协商确定。</w:t>
      </w:r>
    </w:p>
    <w:p w:rsidR="000F42D0">
      <w:pPr>
        <w:spacing w:line="360" w:lineRule="auto"/>
        <w:rPr>
          <w:rFonts w:ascii="宋体" w:eastAsia="宋体" w:hAnsi="宋体" w:cs="Times New Roman"/>
          <w:szCs w:val="21"/>
        </w:rPr>
      </w:pPr>
    </w:p>
    <w:p w:rsidR="000F42D0">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0F42D0">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1"/>
        <w:gridCol w:w="1347"/>
        <w:gridCol w:w="641"/>
        <w:gridCol w:w="891"/>
        <w:gridCol w:w="1017"/>
        <w:gridCol w:w="3895"/>
        <w:gridCol w:w="37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5" w:name="货物一览表_index"/>
            <w:r>
              <w:rPr>
                <w:rFonts w:asciiTheme="minorEastAsia" w:eastAsiaTheme="minorEastAsia" w:hAnsiTheme="minorEastAsia" w:cstheme="minorEastAsia" w:hint="eastAsia"/>
                <w:kern w:val="0"/>
                <w:szCs w:val="21"/>
              </w:rPr>
              <w:t>序号</w:t>
            </w:r>
            <w:bookmarkEnd w:id="65"/>
          </w:p>
        </w:tc>
        <w:tc>
          <w:tcPr>
            <w:tcW w:w="1135" w:type="dxa"/>
          </w:tcPr>
          <w:p>
            <w:pPr>
              <w:autoSpaceDE w:val="0"/>
              <w:jc w:val="center"/>
              <w:rPr>
                <w:rFonts w:asciiTheme="minorEastAsia" w:hAnsiTheme="minorEastAsia" w:cstheme="minorEastAsia"/>
                <w:kern w:val="0"/>
                <w:szCs w:val="21"/>
              </w:rPr>
            </w:pPr>
            <w:bookmarkStart w:id="66" w:name="货物一览表_goodsName"/>
            <w:r>
              <w:rPr>
                <w:rFonts w:asciiTheme="minorEastAsia" w:eastAsiaTheme="minorEastAsia" w:hAnsiTheme="minorEastAsia" w:cstheme="minorEastAsia" w:hint="eastAsia"/>
                <w:kern w:val="0"/>
                <w:szCs w:val="21"/>
              </w:rPr>
              <w:t>设备名称</w:t>
            </w:r>
            <w:bookmarkEnd w:id="66"/>
          </w:p>
        </w:tc>
        <w:tc>
          <w:tcPr>
            <w:tcW w:w="965" w:type="dxa"/>
          </w:tcPr>
          <w:p>
            <w:pPr>
              <w:autoSpaceDE w:val="0"/>
              <w:jc w:val="center"/>
              <w:rPr>
                <w:rFonts w:asciiTheme="minorEastAsia" w:hAnsiTheme="minorEastAsia" w:cstheme="minorEastAsia"/>
                <w:kern w:val="0"/>
                <w:szCs w:val="21"/>
              </w:rPr>
            </w:pPr>
            <w:bookmarkStart w:id="67" w:name="货物一览表_nums"/>
            <w:r>
              <w:rPr>
                <w:rFonts w:asciiTheme="minorEastAsia" w:eastAsiaTheme="minorEastAsia" w:hAnsiTheme="minorEastAsia" w:cstheme="minorEastAsia" w:hint="eastAsia"/>
                <w:kern w:val="0"/>
                <w:szCs w:val="21"/>
              </w:rPr>
              <w:t>采购数量</w:t>
            </w:r>
            <w:bookmarkEnd w:id="67"/>
          </w:p>
        </w:tc>
        <w:tc>
          <w:tcPr>
            <w:tcW w:w="1062" w:type="dxa"/>
          </w:tcPr>
          <w:p>
            <w:pPr>
              <w:autoSpaceDE w:val="0"/>
              <w:jc w:val="center"/>
              <w:rPr>
                <w:rFonts w:asciiTheme="minorEastAsia" w:hAnsiTheme="minorEastAsia" w:cstheme="minorEastAsia"/>
                <w:kern w:val="0"/>
                <w:szCs w:val="21"/>
              </w:rPr>
            </w:pPr>
            <w:bookmarkStart w:id="68" w:name="货物一览表_units"/>
            <w:r>
              <w:rPr>
                <w:rFonts w:asciiTheme="minorEastAsia" w:eastAsiaTheme="minorEastAsia" w:hAnsiTheme="minorEastAsia" w:cstheme="minorEastAsia" w:hint="eastAsia"/>
                <w:kern w:val="0"/>
                <w:szCs w:val="21"/>
              </w:rPr>
              <w:t>计量单位</w:t>
            </w:r>
            <w:bookmarkEnd w:id="68"/>
          </w:p>
        </w:tc>
        <w:tc>
          <w:tcPr>
            <w:tcW w:w="1220" w:type="dxa"/>
          </w:tcPr>
          <w:p>
            <w:pPr>
              <w:autoSpaceDE w:val="0"/>
              <w:jc w:val="center"/>
              <w:rPr>
                <w:rFonts w:asciiTheme="minorEastAsia" w:hAnsiTheme="minorEastAsia" w:cstheme="minorEastAsia"/>
                <w:kern w:val="0"/>
                <w:szCs w:val="21"/>
              </w:rPr>
            </w:pPr>
            <w:bookmarkStart w:id="69" w:name="货物一览表_procurementBudget"/>
            <w:r>
              <w:rPr>
                <w:rFonts w:asciiTheme="minorEastAsia" w:eastAsiaTheme="minorEastAsia" w:hAnsiTheme="minorEastAsia" w:cstheme="minorEastAsia" w:hint="eastAsia"/>
                <w:kern w:val="0"/>
                <w:szCs w:val="21"/>
              </w:rPr>
              <w:t>采购预算（元）</w:t>
            </w:r>
            <w:bookmarkEnd w:id="69"/>
          </w:p>
        </w:tc>
        <w:tc>
          <w:tcPr>
            <w:tcW w:w="1329" w:type="dxa"/>
          </w:tcPr>
          <w:p>
            <w:pPr>
              <w:autoSpaceDE w:val="0"/>
              <w:jc w:val="center"/>
              <w:rPr>
                <w:rFonts w:asciiTheme="minorEastAsia" w:hAnsiTheme="minorEastAsia" w:cstheme="minorEastAsia" w:hint="eastAsia"/>
                <w:kern w:val="0"/>
                <w:szCs w:val="21"/>
              </w:rPr>
            </w:pPr>
            <w:bookmarkStart w:id="7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1" w:name="货物一览表_remark"/>
            <w:r>
              <w:rPr>
                <w:rFonts w:asciiTheme="minorEastAsia" w:eastAsiaTheme="minorEastAsia" w:hAnsiTheme="minorEastAsia" w:cstheme="minorEastAsia" w:hint="eastAsia"/>
                <w:kern w:val="0"/>
                <w:szCs w:val="21"/>
              </w:rPr>
              <w:t>备注</w:t>
            </w:r>
            <w:bookmarkEnd w:id="7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X波段双线偏振多普勒天气雷达（移动式）</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3,780,000.00</w:t>
            </w:r>
          </w:p>
        </w:tc>
        <w:tc>
          <w:tcPr/>
          <w:p>
            <w:pPr>
              <w:autoSpaceDE w:val="0"/>
              <w:jc w:val="center"/>
              <w:rPr>
                <w:rFonts w:asciiTheme="minorEastAsia" w:hAnsiTheme="minorEastAsia" w:cstheme="minorEastAsia" w:hint="eastAsia"/>
                <w:kern w:val="0"/>
                <w:szCs w:val="21"/>
              </w:rPr>
            </w:pPr>
            <w:r>
              <w:t>合同签订后150天内交货，180天内完成安装调试并具备现场测试条件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3,780,000.00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4"/>
        <w:gridCol w:w="1850"/>
        <w:gridCol w:w="1875"/>
        <w:gridCol w:w="544"/>
        <w:gridCol w:w="1240"/>
        <w:gridCol w:w="1034"/>
        <w:gridCol w:w="892"/>
        <w:gridCol w:w="5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气候中心(001015012)</w:t>
            </w:r>
          </w:p>
        </w:tc>
        <w:tc>
          <w:tcPr/>
          <w:p>
            <w:r>
              <w:t>X波段双线偏振多普勒天气雷达（移动式）</w:t>
            </w:r>
          </w:p>
        </w:tc>
        <w:tc>
          <w:tcPr/>
          <w:p>
            <w:r>
              <w:t>1</w:t>
            </w:r>
          </w:p>
        </w:tc>
        <w:tc>
          <w:tcPr/>
          <w:p>
            <w:r>
              <w:t>3780000.00</w:t>
            </w:r>
          </w:p>
        </w:tc>
        <w:tc>
          <w:tcPr/>
          <w:p>
            <w:r>
              <w:t xml:space="preserve">3780000.00  </w:t>
            </w:r>
          </w:p>
        </w:tc>
        <w:tc>
          <w:tcPr/>
          <w:p/>
        </w:tc>
        <w:tc>
          <w:tcPr/>
          <w:p/>
        </w:tc>
      </w:tr>
    </w:tbl>
    <w:p w:rsidR="00A77B3E"/>
    <w:p>
      <w:pPr>
        <w:spacing w:line="360" w:lineRule="auto"/>
        <w:rPr>
          <w:rFonts w:ascii="宋体" w:hAnsi="宋体"/>
          <w:szCs w:val="21"/>
        </w:rPr>
      </w:pPr>
      <w:bookmarkEnd w:id="7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3"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lang w:val="en-US" w:eastAsia="zh-CN"/>
              </w:rPr>
              <w:t>对于以下投标的货物，</w:t>
            </w:r>
            <w:r>
              <w:rPr>
                <w:rFonts w:ascii="宋体" w:hAnsi="宋体" w:cs="微软雅黑" w:hint="eastAsia"/>
                <w:b/>
                <w:color w:val="0000FF"/>
                <w:kern w:val="0"/>
                <w:sz w:val="18"/>
                <w:szCs w:val="18"/>
              </w:rPr>
              <w:t>需要提供至投标截止日仍有效的《气象专用技术装备使用许可证》：X波段双线偏振多普勒天气雷达（全固态）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第七章“技术服务和质保期服务要求”</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cs="微软雅黑" w:hint="eastAsia"/>
                <w:b/>
                <w:color w:val="0000FF"/>
                <w:kern w:val="0"/>
                <w:sz w:val="18"/>
                <w:szCs w:val="18"/>
              </w:rPr>
              <w:t>设备供应商提供自验收合格后8年的质保服务，需提供加盖公章的设备质保承诺函原件（格式自拟）。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41810">
      <w:pPr>
        <w:numPr>
          <w:ilvl w:val="0"/>
          <w:numId w:val="4"/>
        </w:numPr>
        <w:spacing w:line="360" w:lineRule="auto"/>
        <w:ind w:firstLine="3066" w:firstLineChars="1460"/>
        <w:jc w:val="left"/>
        <w:rPr>
          <w:b/>
          <w:bCs/>
          <w:szCs w:val="21"/>
        </w:rPr>
      </w:pPr>
      <w:bookmarkStart w:id="74" w:name="采购公告合同部分_ZBGGHT"/>
      <w:r>
        <w:rPr>
          <w:rFonts w:hint="eastAsia"/>
          <w:b/>
          <w:bCs/>
          <w:szCs w:val="21"/>
        </w:rPr>
        <w:t xml:space="preserve"> </w:t>
      </w:r>
      <w:r>
        <w:rPr>
          <w:rFonts w:hint="eastAsia"/>
          <w:b/>
          <w:bCs/>
          <w:szCs w:val="21"/>
        </w:rPr>
        <w:t>采购合同</w:t>
      </w:r>
    </w:p>
    <w:p w:rsidR="00E41810">
      <w:pPr>
        <w:spacing w:line="360" w:lineRule="auto"/>
        <w:ind w:left="1680" w:firstLine="420"/>
        <w:jc w:val="left"/>
        <w:rPr>
          <w:b/>
          <w:bCs/>
          <w:szCs w:val="21"/>
        </w:rPr>
      </w:pPr>
      <w:r>
        <w:rPr>
          <w:rFonts w:hint="eastAsia"/>
          <w:b/>
          <w:bCs/>
          <w:szCs w:val="21"/>
        </w:rPr>
        <w:t>必须明确合同金额支付条件及支付比例</w:t>
      </w:r>
    </w:p>
    <w:p w:rsidR="00E41810">
      <w:pPr>
        <w:pStyle w:val="BodyText"/>
        <w:spacing w:after="0"/>
        <w:jc w:val="center"/>
        <w:rPr>
          <w:rFonts w:ascii="宋体" w:hAnsi="宋体" w:cs="宋体" w:hint="eastAsia"/>
          <w:b/>
          <w:bCs/>
          <w:spacing w:val="-20"/>
          <w:kern w:val="44"/>
          <w:sz w:val="48"/>
          <w:szCs w:val="48"/>
        </w:rPr>
      </w:pPr>
      <w:r>
        <w:rPr>
          <w:b/>
          <w:bCs/>
          <w:szCs w:val="21"/>
        </w:rPr>
        <w:br w:type="page"/>
      </w:r>
      <w:bookmarkStart w:id="75" w:name="_Toc3995"/>
    </w:p>
    <w:p w:rsidR="00E41810">
      <w:pPr>
        <w:pStyle w:val="BodyText"/>
        <w:spacing w:after="0"/>
        <w:jc w:val="center"/>
        <w:rPr>
          <w:rFonts w:ascii="宋体" w:hAnsi="宋体" w:cs="宋体" w:hint="eastAsia"/>
          <w:b/>
          <w:bCs/>
          <w:spacing w:val="-20"/>
          <w:kern w:val="44"/>
          <w:sz w:val="48"/>
          <w:szCs w:val="48"/>
        </w:rPr>
      </w:pPr>
    </w:p>
    <w:p w:rsidR="00E41810">
      <w:pPr>
        <w:pStyle w:val="BodyText"/>
        <w:spacing w:after="0"/>
        <w:jc w:val="center"/>
        <w:rPr>
          <w:rFonts w:ascii="宋体" w:hAnsi="宋体" w:cs="宋体" w:hint="eastAsia"/>
          <w:b/>
          <w:bCs/>
          <w:spacing w:val="-20"/>
          <w:kern w:val="44"/>
          <w:sz w:val="48"/>
          <w:szCs w:val="48"/>
        </w:rPr>
      </w:pPr>
    </w:p>
    <w:p w:rsidR="00E41810">
      <w:pPr>
        <w:pStyle w:val="BodyText"/>
        <w:spacing w:after="0"/>
        <w:jc w:val="center"/>
        <w:rPr>
          <w:rFonts w:ascii="宋体" w:hAnsi="宋体" w:cs="宋体" w:hint="eastAsia"/>
          <w:b/>
          <w:bCs/>
          <w:spacing w:val="-20"/>
          <w:kern w:val="44"/>
          <w:sz w:val="48"/>
          <w:szCs w:val="48"/>
        </w:rPr>
      </w:pPr>
    </w:p>
    <w:p w:rsidR="00E41810">
      <w:pPr>
        <w:pStyle w:val="BodyText"/>
        <w:spacing w:after="0"/>
        <w:jc w:val="center"/>
        <w:rPr>
          <w:rFonts w:ascii="宋体" w:hAnsi="宋体" w:cs="宋体" w:hint="eastAsia"/>
          <w:b/>
          <w:bCs/>
          <w:spacing w:val="-20"/>
          <w:kern w:val="44"/>
          <w:sz w:val="48"/>
          <w:szCs w:val="48"/>
        </w:rPr>
      </w:pPr>
    </w:p>
    <w:p w:rsidR="00E41810">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E41810">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E41810">
      <w:pPr>
        <w:rPr>
          <w:rFonts w:ascii="宋体" w:hAnsi="宋体" w:cs="宋体" w:hint="eastAsia"/>
          <w:b/>
          <w:bCs/>
          <w:spacing w:val="-20"/>
          <w:kern w:val="44"/>
          <w:sz w:val="40"/>
          <w:szCs w:val="40"/>
        </w:rPr>
      </w:pPr>
    </w:p>
    <w:p w:rsidR="00E41810">
      <w:pPr>
        <w:rPr>
          <w:rFonts w:ascii="宋体" w:hAnsi="宋体" w:cs="宋体" w:hint="eastAsia"/>
          <w:b/>
          <w:bCs/>
          <w:spacing w:val="-20"/>
          <w:kern w:val="44"/>
          <w:sz w:val="40"/>
          <w:szCs w:val="40"/>
        </w:rPr>
      </w:pPr>
    </w:p>
    <w:p w:rsidR="00E41810">
      <w:pPr>
        <w:rPr>
          <w:rFonts w:ascii="宋体" w:hAnsi="宋体" w:cs="宋体" w:hint="eastAsia"/>
          <w:b/>
          <w:bCs/>
          <w:spacing w:val="-20"/>
          <w:kern w:val="44"/>
          <w:sz w:val="40"/>
          <w:szCs w:val="40"/>
        </w:rPr>
      </w:pPr>
    </w:p>
    <w:p w:rsidR="00E4181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E4181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E4181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4181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E4181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41810"/>
    <w:p w:rsidR="00E41810">
      <w:pPr>
        <w:rPr>
          <w:rFonts w:eastAsia="黑体"/>
          <w:sz w:val="44"/>
          <w:szCs w:val="44"/>
        </w:rPr>
      </w:pPr>
      <w:r>
        <w:rPr>
          <w:rFonts w:eastAsia="黑体"/>
          <w:sz w:val="44"/>
          <w:szCs w:val="44"/>
        </w:rPr>
        <w:br w:type="page"/>
      </w:r>
    </w:p>
    <w:p w:rsidR="00E41810">
      <w:pPr>
        <w:rPr>
          <w:rFonts w:eastAsia="黑体"/>
          <w:sz w:val="44"/>
          <w:szCs w:val="44"/>
        </w:rPr>
      </w:pPr>
    </w:p>
    <w:p w:rsidR="00E41810">
      <w:pPr>
        <w:rPr>
          <w:rFonts w:eastAsia="黑体"/>
          <w:sz w:val="44"/>
          <w:szCs w:val="44"/>
        </w:rPr>
      </w:pPr>
    </w:p>
    <w:p w:rsidR="00E4181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E41810">
      <w:pPr>
        <w:ind w:firstLine="640" w:firstLineChars="200"/>
        <w:rPr>
          <w:rFonts w:ascii="仿宋_GB2312" w:eastAsia="仿宋_GB2312" w:hAnsi="仿宋_GB2312" w:cs="仿宋_GB2312" w:hint="eastAsia"/>
          <w:sz w:val="32"/>
          <w:szCs w:val="32"/>
        </w:rPr>
      </w:pPr>
    </w:p>
    <w:p w:rsidR="00E41810">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E4181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E41810">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E41810">
      <w:pPr>
        <w:rPr>
          <w:rFonts w:eastAsia="黑体"/>
          <w:sz w:val="44"/>
          <w:szCs w:val="44"/>
        </w:rPr>
        <w:sectPr>
          <w:pgSz w:w="11906" w:h="16838"/>
          <w:pgMar w:top="1440" w:right="1800" w:bottom="1440" w:left="1800" w:header="851" w:footer="992" w:gutter="0"/>
          <w:cols w:space="425"/>
          <w:docGrid w:type="lines" w:linePitch="312"/>
        </w:sectPr>
      </w:pPr>
    </w:p>
    <w:p w:rsidR="00E41810">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6" w:name="_Toc22209"/>
      <w:bookmarkEnd w:id="75"/>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6"/>
    </w:p>
    <w:p w:rsidR="00E41810">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E41810">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E41810">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E41810">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41810">
      <w:pPr>
        <w:spacing w:line="400" w:lineRule="exact"/>
      </w:pPr>
    </w:p>
    <w:p w:rsidR="00E41810">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E41810">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E41810">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E41810">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E41810">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E41810">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E41810">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E41810">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E4181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E4181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4181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E4181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E4181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E4181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4181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E4181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E41810">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E41810">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E41810">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E41810">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41810">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41810">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41810">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4181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E41810">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E4181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E41810">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E4181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E41810">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E4181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E41810">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E4181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E4181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E41810">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E41810">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E4181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E4181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E41810">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4181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41810">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4181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E4181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4181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41810">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41810">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E41810">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E4181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E41810">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41810">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E41810">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E41810">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E41810">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E41810">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E41810">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E41810">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E41810">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E41810">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E41810">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0D77E2" w:rsidRPr="001E04E9" w:rsidP="000D77E2">
      <w:pPr>
        <w:spacing w:line="360" w:lineRule="auto"/>
        <w:ind w:firstLine="420" w:firstLineChars="200"/>
        <w:rPr>
          <w:rFonts w:ascii="宋体" w:hAnsi="宋体" w:hint="eastAsia"/>
          <w:szCs w:val="21"/>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Pr="000D77E2">
        <w:rPr>
          <w:rFonts w:ascii="宋体" w:hAnsi="宋体" w:hint="eastAsia"/>
          <w:szCs w:val="21"/>
          <w:u w:val="single"/>
        </w:rPr>
        <w:t>合同签订后30日内支付合同金额的30%，用于</w:t>
      </w:r>
      <w:r w:rsidRPr="000D77E2">
        <w:rPr>
          <w:rFonts w:ascii="宋体" w:hAnsi="宋体"/>
          <w:szCs w:val="21"/>
          <w:u w:val="single"/>
        </w:rPr>
        <w:t>移动式X</w:t>
      </w:r>
      <w:r w:rsidRPr="000D77E2">
        <w:rPr>
          <w:rFonts w:ascii="宋体" w:hAnsi="宋体"/>
          <w:szCs w:val="21"/>
          <w:u w:val="single"/>
        </w:rPr>
        <w:t>波段双</w:t>
      </w:r>
      <w:r w:rsidRPr="000D77E2">
        <w:rPr>
          <w:rFonts w:ascii="宋体" w:hAnsi="宋体"/>
          <w:szCs w:val="21"/>
          <w:u w:val="single"/>
        </w:rPr>
        <w:t>偏振多普勒雷达</w:t>
      </w:r>
      <w:r w:rsidRPr="000D77E2">
        <w:rPr>
          <w:rFonts w:ascii="宋体" w:hAnsi="宋体" w:hint="eastAsia"/>
          <w:szCs w:val="21"/>
          <w:u w:val="single"/>
        </w:rPr>
        <w:t>的生产；设备完成出厂验收后，</w:t>
      </w:r>
      <w:r w:rsidRPr="000D77E2">
        <w:rPr>
          <w:rFonts w:ascii="宋体" w:hAnsi="宋体"/>
          <w:szCs w:val="21"/>
          <w:u w:val="single"/>
        </w:rPr>
        <w:t>支付</w:t>
      </w:r>
      <w:r w:rsidRPr="000D77E2">
        <w:rPr>
          <w:rFonts w:ascii="宋体" w:hAnsi="宋体" w:hint="eastAsia"/>
          <w:szCs w:val="21"/>
          <w:u w:val="single"/>
        </w:rPr>
        <w:t>合同金额的30%；设备到达现场，安装调试完毕，现场验收合格后，支付合同金额的30%；合同验收意见签署完成后支付合同金额的10%。</w:t>
      </w:r>
    </w:p>
    <w:p w:rsidR="00E41810">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E41810">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E41810">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E4181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E41810">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E41810">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0D77E2" w:rsidP="000D77E2">
      <w:pPr>
        <w:spacing w:line="360" w:lineRule="auto"/>
        <w:ind w:firstLine="420" w:firstLineChars="200"/>
        <w:rPr>
          <w:rFonts w:ascii="宋体" w:hAnsi="宋体" w:hint="eastAsia"/>
          <w:szCs w:val="21"/>
        </w:rPr>
      </w:pPr>
      <w:r>
        <w:rPr>
          <w:rFonts w:ascii="宋体" w:hAnsi="宋体" w:cs="宋体" w:hint="eastAsia"/>
          <w:bCs/>
        </w:rPr>
        <w:t xml:space="preserve">  </w:t>
      </w:r>
      <w:r>
        <w:rPr>
          <w:rFonts w:ascii="宋体" w:eastAsia="宋体" w:hAnsi="宋体" w:cs="宋体" w:hint="eastAsia"/>
        </w:rPr>
        <w:t xml:space="preserve">  收取履约保证金形式：</w:t>
      </w:r>
      <w:r>
        <w:rPr>
          <w:rFonts w:ascii="宋体" w:eastAsia="宋体" w:hAnsi="宋体" w:cs="宋体" w:hint="eastAsia"/>
          <w:bCs/>
          <w:u w:val="single"/>
        </w:rPr>
        <w:t xml:space="preserve">   </w:t>
      </w:r>
      <w:r w:rsidRPr="000D77E2">
        <w:rPr>
          <w:rFonts w:ascii="宋体" w:hAnsi="宋体"/>
          <w:szCs w:val="21"/>
          <w:u w:val="single"/>
        </w:rPr>
        <w:t>合同签订</w:t>
      </w:r>
      <w:r w:rsidRPr="000D77E2">
        <w:rPr>
          <w:rFonts w:ascii="宋体" w:hAnsi="宋体" w:hint="eastAsia"/>
          <w:szCs w:val="21"/>
          <w:u w:val="single"/>
        </w:rPr>
        <w:t>后</w:t>
      </w:r>
      <w:r w:rsidRPr="000D77E2">
        <w:rPr>
          <w:rFonts w:ascii="宋体" w:hAnsi="宋体"/>
          <w:szCs w:val="21"/>
          <w:u w:val="single"/>
        </w:rPr>
        <w:t>，乙方向甲方提供合同总金额5%的</w:t>
      </w:r>
      <w:r w:rsidRPr="000D77E2">
        <w:rPr>
          <w:rFonts w:ascii="宋体" w:hAnsi="宋体" w:hint="eastAsia"/>
          <w:szCs w:val="21"/>
          <w:u w:val="single"/>
        </w:rPr>
        <w:t>银行履约保函</w:t>
      </w:r>
      <w:r w:rsidRPr="000D77E2">
        <w:rPr>
          <w:rFonts w:ascii="宋体" w:hAnsi="宋体"/>
          <w:szCs w:val="21"/>
          <w:u w:val="single"/>
        </w:rPr>
        <w:t>，设备验收合格一年后，甲方将</w:t>
      </w:r>
      <w:r w:rsidRPr="000D77E2">
        <w:rPr>
          <w:rFonts w:ascii="宋体" w:hAnsi="宋体" w:hint="eastAsia"/>
          <w:szCs w:val="21"/>
          <w:u w:val="single"/>
        </w:rPr>
        <w:t>银行履约保函</w:t>
      </w:r>
      <w:r w:rsidRPr="000D77E2">
        <w:rPr>
          <w:rFonts w:ascii="宋体" w:hAnsi="宋体"/>
          <w:szCs w:val="21"/>
          <w:u w:val="single"/>
        </w:rPr>
        <w:t>退还乙方。</w:t>
      </w:r>
    </w:p>
    <w:p w:rsidR="00E4181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sidRPr="000D77E2">
        <w:rPr>
          <w:rFonts w:ascii="宋体" w:eastAsia="宋体" w:hAnsi="宋体" w:cs="宋体" w:hint="eastAsia"/>
          <w:bCs/>
          <w:sz w:val="21"/>
          <w:u w:val="single"/>
        </w:rPr>
        <w:t xml:space="preserve"> </w:t>
      </w:r>
      <w:r w:rsidRPr="000D77E2" w:rsidR="000D77E2">
        <w:rPr>
          <w:rFonts w:ascii="宋体" w:hAnsi="宋体"/>
          <w:u w:val="single"/>
        </w:rPr>
        <w:t>合同总金额</w:t>
      </w:r>
      <w:r w:rsidRPr="000D77E2" w:rsidR="000D77E2">
        <w:rPr>
          <w:rFonts w:ascii="宋体" w:hAnsi="宋体"/>
          <w:u w:val="single"/>
        </w:rPr>
        <w:t>5%</w:t>
      </w:r>
      <w:r w:rsidRPr="000D77E2">
        <w:rPr>
          <w:rFonts w:ascii="宋体" w:eastAsia="宋体" w:hAnsi="宋体" w:cs="宋体" w:hint="eastAsia"/>
          <w:bCs/>
          <w:sz w:val="21"/>
          <w:u w:val="single"/>
        </w:rPr>
        <w:t xml:space="preserve"> </w:t>
      </w:r>
      <w:r>
        <w:rPr>
          <w:rFonts w:ascii="宋体" w:eastAsia="宋体" w:hAnsi="宋体" w:cs="宋体" w:hint="eastAsia"/>
          <w:bCs/>
          <w:sz w:val="21"/>
          <w:u w:val="single"/>
        </w:rPr>
        <w:t xml:space="preserve">         </w:t>
      </w:r>
    </w:p>
    <w:p w:rsidR="00E41810">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E41810">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E41810">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E41810">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E41810">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E41810">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E4181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41810">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E4181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E41810">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E41810">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E41810">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E4181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E4181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E4181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E41810">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E4181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E41810">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E41810">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E4181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E41810">
      <w:r>
        <w:rPr>
          <w:rFonts w:hint="eastAsia"/>
        </w:rPr>
        <w:br w:type="page"/>
      </w:r>
    </w:p>
    <w:p w:rsidR="00E4181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4181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4181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法定代表人</w:t>
            </w:r>
          </w:p>
          <w:p w:rsidR="00E4181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法定代表人</w:t>
            </w:r>
          </w:p>
          <w:p w:rsidR="00E4181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181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4181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E4181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E41810">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7" w:name="_Toc27624"/>
      <w:r>
        <w:rPr>
          <w:rFonts w:ascii="黑体" w:hAnsi="黑体" w:hint="eastAsia"/>
          <w:b w:val="0"/>
          <w:bCs w:val="0"/>
          <w:sz w:val="28"/>
          <w:szCs w:val="28"/>
        </w:rPr>
        <w:t>第二节 政府采购合同通用条款</w:t>
      </w:r>
      <w:bookmarkEnd w:id="77"/>
    </w:p>
    <w:p w:rsidR="00E41810">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E41810">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E41810">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E4181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E4181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E4181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E4181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E4181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E41810">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E41810">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E41810">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E4181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E41810">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E4181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E41810">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E41810">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E41810">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E41810">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E41810">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E4181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E4181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E41810">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E41810">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E41810">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41810">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E41810">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E41810">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E4181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E4181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8"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8"/>
      <w:r>
        <w:rPr>
          <w:rFonts w:ascii="宋体" w:hAnsi="宋体" w:hint="eastAsia"/>
          <w:szCs w:val="21"/>
        </w:rPr>
        <w:t>。</w:t>
      </w:r>
    </w:p>
    <w:p w:rsidR="00E4181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E41810">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E4181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E41810">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E4181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E41810">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41810">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E41810">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E4181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E41810">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E41810">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E41810">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E41810">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E41810">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E41810">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E41810">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E41810">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E41810">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E41810">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E4181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E4181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E4181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E41810">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E4181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E4181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E41810">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E41810">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E4181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E41810">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E4181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E41810">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E41810">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E41810">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9" w:name="_Toc20313"/>
    </w:p>
    <w:p w:rsidR="00E41810">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E41810">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snapToGrid w:val="0"/>
              <w:jc w:val="center"/>
            </w:pPr>
            <w:r>
              <w:rPr>
                <w:rFonts w:ascii="宋体" w:hAnsi="宋体" w:hint="eastAsia"/>
                <w:szCs w:val="21"/>
              </w:rPr>
              <w:t>第5.4款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snapToGrid w:val="0"/>
              <w:jc w:val="center"/>
              <w:rPr>
                <w:rFonts w:ascii="宋体" w:hAnsi="宋体" w:hint="eastAsia"/>
                <w:szCs w:val="21"/>
              </w:rPr>
            </w:pPr>
            <w:r>
              <w:rPr>
                <w:rFonts w:ascii="宋体" w:hAnsi="宋体" w:hint="eastAsia"/>
                <w:szCs w:val="21"/>
              </w:rPr>
              <w:t>第6.1款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E41810"/>
        </w:tc>
      </w:tr>
      <w:tr>
        <w:tblPrEx>
          <w:tblW w:w="8519" w:type="dxa"/>
          <w:tblInd w:w="108" w:type="dxa"/>
          <w:tblLayout w:type="fixed"/>
          <w:tblLook w:val="04A0"/>
        </w:tblPrEx>
        <w:trPr>
          <w:trHeight w:val="667"/>
        </w:trPr>
        <w:tc>
          <w:tcPr>
            <w:tcW w:w="1607" w:type="dxa"/>
            <w:vMerge/>
            <w:vAlign w:val="center"/>
          </w:tcPr>
          <w:p w:rsidR="00E41810">
            <w:pPr>
              <w:adjustRightInd w:val="0"/>
              <w:snapToGrid w:val="0"/>
              <w:jc w:val="center"/>
              <w:rPr>
                <w:rFonts w:ascii="宋体" w:hAnsi="宋体" w:hint="eastAsia"/>
                <w:szCs w:val="21"/>
              </w:rPr>
            </w:pP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E41810"/>
        </w:tc>
      </w:tr>
      <w:tr>
        <w:tblPrEx>
          <w:tblW w:w="8519" w:type="dxa"/>
          <w:tblInd w:w="108" w:type="dxa"/>
          <w:tblLayout w:type="fixed"/>
          <w:tblLook w:val="04A0"/>
        </w:tblPrEx>
        <w:trPr>
          <w:trHeight w:val="772"/>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E41810"/>
        </w:tc>
      </w:tr>
      <w:tr>
        <w:tblPrEx>
          <w:tblW w:w="8519" w:type="dxa"/>
          <w:tblInd w:w="108" w:type="dxa"/>
          <w:tblLayout w:type="fixed"/>
          <w:tblLook w:val="04A0"/>
        </w:tblPrEx>
        <w:trPr>
          <w:trHeight w:val="667"/>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E41810"/>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E41810">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货物质量缺陷</w:t>
            </w:r>
          </w:p>
          <w:p w:rsidR="00E41810">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snapToGrid w:val="0"/>
              <w:jc w:val="center"/>
              <w:rPr>
                <w:rFonts w:ascii="宋体" w:hAnsi="宋体" w:cs="宋体" w:hint="eastAsia"/>
                <w:szCs w:val="21"/>
              </w:rPr>
            </w:pPr>
            <w:r>
              <w:rPr>
                <w:rFonts w:ascii="宋体" w:hAnsi="宋体" w:cs="宋体" w:hint="eastAsia"/>
                <w:szCs w:val="21"/>
              </w:rPr>
              <w:t>第二节</w:t>
            </w:r>
          </w:p>
          <w:p w:rsidR="00E41810">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E41810">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E4181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E4181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E4181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E41810">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E4181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E41810">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E41810">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E41810">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E41810">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E41810">
            <w:pPr>
              <w:adjustRightInd w:val="0"/>
              <w:snapToGrid w:val="0"/>
              <w:jc w:val="center"/>
              <w:rPr>
                <w:rFonts w:ascii="宋体" w:hAnsi="宋体" w:hint="eastAsia"/>
                <w:szCs w:val="21"/>
              </w:rPr>
            </w:pPr>
            <w:r>
              <w:rPr>
                <w:rFonts w:ascii="宋体" w:hAnsi="宋体" w:hint="eastAsia"/>
                <w:szCs w:val="21"/>
              </w:rPr>
              <w:t>第二节</w:t>
            </w:r>
          </w:p>
          <w:p w:rsidR="00E41810">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E41810">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E41810">
            <w:pPr>
              <w:adjustRightInd w:val="0"/>
              <w:snapToGrid w:val="0"/>
              <w:jc w:val="left"/>
              <w:rPr>
                <w:rFonts w:ascii="宋体" w:hAnsi="宋体" w:hint="eastAsia"/>
                <w:szCs w:val="21"/>
              </w:rPr>
            </w:pPr>
          </w:p>
        </w:tc>
      </w:tr>
    </w:tbl>
    <w:p w:rsidR="00E41810"/>
    <w:p w:rsidR="00E41810">
      <w:pPr>
        <w:rPr>
          <w:b/>
          <w:bCs/>
          <w:sz w:val="44"/>
          <w:szCs w:val="44"/>
        </w:rPr>
      </w:pPr>
    </w:p>
    <w:p w:rsidR="00E41810"/>
    <w:p w:rsidR="00A77B3E"/>
    <w:p>
      <w:pPr>
        <w:spacing w:line="360" w:lineRule="auto"/>
        <w:ind w:firstLine="3066" w:firstLineChars="1460"/>
        <w:jc w:val="left"/>
        <w:rPr>
          <w:b/>
          <w:bCs/>
          <w:szCs w:val="21"/>
          <w:highlight w:val="none"/>
        </w:rPr>
      </w:pPr>
      <w:bookmarkEnd w:id="74"/>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variable"/>
    <w:sig w:usb0="A00002BF" w:usb1="184F6CFA" w:usb2="00000012" w:usb3="00000000" w:csb0="00040001"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D77E2"/>
    <w:rsid w:val="000E022A"/>
    <w:rsid w:val="000E6D58"/>
    <w:rsid w:val="000E7D35"/>
    <w:rsid w:val="000E7D37"/>
    <w:rsid w:val="000F1BC9"/>
    <w:rsid w:val="000F42D0"/>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04E9"/>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0F5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A79BC"/>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1810"/>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unhideWhenUsed/>
    <w:qFormat/>
    <w:pPr>
      <w:jc w:val="center"/>
    </w:pPr>
    <w:rPr>
      <w:rFonts w:ascii="Arial" w:eastAsia="黑体" w:hAnsi="Arial" w:cs="Arial"/>
      <w:sz w:val="20"/>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