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甘肃省人影作业人雨弹（第一批）</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甘肃省人影作业人雨弹（第一批）</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合同签订后30天内完成交货验收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2026年05月29日 00:00:00</w:t>
      </w:r>
      <w:bookmarkEnd w:id="26"/>
      <w:r>
        <w:rPr>
          <w:rFonts w:ascii="宋体" w:hint="eastAsia"/>
          <w:szCs w:val="21"/>
          <w:highlight w:val="none"/>
        </w:rPr>
        <w:t>至</w:t>
      </w:r>
      <w:bookmarkStart w:id="27" w:name="项目公告_signUpLastTime"/>
      <w:r>
        <w:rPr>
          <w:rFonts w:ascii="宋体" w:hint="eastAsia"/>
          <w:szCs w:val="21"/>
          <w:highlight w:val="none"/>
        </w:rPr>
        <w:t>2026年06月05日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2026年06月23日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0931-2402980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甘肃省兰州市榆中县和平镇和平大道7号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（1）标的：人雨弹，属于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366.540000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366.540000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8"/>
        <w:gridCol w:w="292"/>
        <w:gridCol w:w="1203"/>
        <w:gridCol w:w="292"/>
        <w:gridCol w:w="70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采用低价优先法计算，公式：投标人得分=评标基准价/评标价×30</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(4)</w:t>
            </w:r>
          </w:p>
        </w:tc>
        <w:tc>
          <w:tcPr/>
          <w:p>
            <w:r>
              <w:t>评审标准：</w:t>
            </w:r>
          </w:p>
          <w:p>
            <w:r>
              <w:t xml:space="preserve">1、投标人提供具有有效内的军方颁发的“装备承制单位资格证书”得2分，否则不得分； </w:t>
              <w:cr/>
              <w:t>2、提供生产厂家的武器装备质量体系认证证书，得2分。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安全稳定性（客观分）</w:t>
            </w:r>
          </w:p>
        </w:tc>
        <w:tc>
          <w:tcPr/>
          <w:p>
            <w:r>
              <w:t>勾选打分</w:t>
            </w:r>
            <w:r>
              <w:t>(3)</w:t>
            </w:r>
          </w:p>
        </w:tc>
        <w:tc>
          <w:tcPr/>
          <w:p>
            <w:r>
              <w:t>评审标准：</w:t>
            </w:r>
          </w:p>
          <w:p>
            <w:r>
              <w:t>提供近三年（2024年1月1日至投标截止日）投标产品质量稳定无安全事故证明，得3分。</w:t>
            </w:r>
          </w:p>
          <w:p>
            <w:r>
              <w:t>评审标准说明：</w:t>
            </w:r>
          </w:p>
          <w:p>
            <w:r>
              <w:t>须提供相关证明复印件，并加盖公章。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(6)</w:t>
            </w:r>
          </w:p>
        </w:tc>
        <w:tc>
          <w:tcPr/>
          <w:p>
            <w:r>
              <w:t>评审标准：</w:t>
            </w:r>
          </w:p>
          <w:p>
            <w:r>
              <w:t>销售合同必须包括“37mm人工防雹高炮弹”，每提供1份合同得1分，最多得6分。否则不得分。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用户满意度证明（客观分）</w:t>
            </w:r>
          </w:p>
        </w:tc>
        <w:tc>
          <w:tcPr/>
          <w:p>
            <w:r>
              <w:t>勾选打分</w:t>
            </w:r>
            <w:r>
              <w:t>(2)</w:t>
            </w:r>
          </w:p>
        </w:tc>
        <w:tc>
          <w:tcPr/>
          <w:p>
            <w:r>
              <w:t>评审标准：</w:t>
            </w:r>
          </w:p>
          <w:p>
            <w:r>
              <w:t>针对人工防雹增雨弹，每提供1份用户满意度证明材料得1分，最多得2分。否则不得分。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7</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8</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交货期保证（客观分）</w:t>
            </w:r>
          </w:p>
        </w:tc>
        <w:tc>
          <w:tcPr/>
          <w:p>
            <w:r>
              <w:t>勾选打分</w:t>
            </w:r>
            <w:r>
              <w:t>(1)</w:t>
            </w:r>
          </w:p>
        </w:tc>
        <w:tc>
          <w:tcPr/>
          <w:p>
            <w:r>
              <w:t>评审标准：</w:t>
            </w:r>
          </w:p>
          <w:p>
            <w:r>
              <w:t>针对本项目采购的人影作业用人雨弹，承诺每提前3天交货的得1分，最多得1分。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10</w:t>
            </w:r>
          </w:p>
        </w:tc>
        <w:tc>
          <w:tcPr>
            <w:vMerge w:val="restart"/>
          </w:tcPr>
          <w:p>
            <w:r>
              <w:t>技术部分</w:t>
            </w:r>
          </w:p>
        </w:tc>
        <w:tc>
          <w:tcPr/>
          <w:p>
            <w:r>
              <w:t>废旧故障处理承诺（客观分）</w:t>
            </w:r>
          </w:p>
        </w:tc>
        <w:tc>
          <w:tcPr/>
          <w:p>
            <w:r>
              <w:t>勾选打分</w:t>
            </w:r>
            <w:r>
              <w:t>(3)</w:t>
            </w:r>
          </w:p>
        </w:tc>
        <w:tc>
          <w:tcPr/>
          <w:p>
            <w:r>
              <w:t>评审标准：</w:t>
            </w:r>
          </w:p>
          <w:p>
            <w:r>
              <w:t>每提供一项承诺得1分，最高得3分</w:t>
            </w:r>
          </w:p>
          <w:p>
            <w:r>
              <w:t>评审标准说明：</w:t>
            </w:r>
          </w:p>
          <w:p>
            <w:r>
              <w:t>1.承诺能够每2年（无废旧故障弹产生年份除外）进行一次废旧故障弹药回收（此费用包含总价中）。</w:t>
              <w:cr/>
              <w:t>2.承诺由弹药生产厂家负责废旧弹药的全省运输回收事宜，不得指定回收地点和方式。</w:t>
              <w:cr/>
              <w:t>3.承诺除免费回收之外，特殊情况下，有能力按要求进行废旧故障弹药的有偿回收。</w:t>
            </w:r>
          </w:p>
          <w:p/>
        </w:tc>
      </w:tr>
      <w:tr>
        <w:tblPrEx>
          <w:tblW w:w="5000" w:type="pct"/>
          <w:tblCellMar>
            <w:left w:w="108" w:type="dxa"/>
            <w:right w:w="108" w:type="dxa"/>
          </w:tblCellMar>
        </w:tblPrEx>
        <w:tc>
          <w:tcPr/>
          <w:p>
            <w:r>
              <w:t>11</w:t>
            </w:r>
          </w:p>
        </w:tc>
        <w:tc>
          <w:tcPr>
            <w:vMerge/>
          </w:tcPr>
          <w:p>
            <w:r>
              <w:t>技术部分</w:t>
            </w:r>
          </w:p>
        </w:tc>
        <w:tc>
          <w:tcPr/>
          <w:p>
            <w:r>
              <w:t>投标产品技术性能（客观分</w:t>
            </w:r>
          </w:p>
        </w:tc>
        <w:tc>
          <w:tcPr/>
          <w:p>
            <w:r>
              <w:t>区间打分</w:t>
            </w:r>
            <w:r>
              <w:t>(27)</w:t>
            </w:r>
          </w:p>
        </w:tc>
        <w:tc>
          <w:tcPr/>
          <w:p>
            <w:r>
              <w:t>评审标准：</w:t>
            </w:r>
          </w:p>
          <w:p>
            <w:r>
              <w:t xml:space="preserve"> 招标文件第七章技术性能指标中，标注#的重要指标共10项，每满足1项得1.5分，未标注#的指标（除单发炮弹弹丸最大破片分级和炮弹引信瞎火率两项指标外）共10项，每满足1项得1.2分，共27分。</w:t>
            </w:r>
          </w:p>
          <w:p>
            <w:r>
              <w:t>评审标准说明：</w:t>
            </w:r>
          </w:p>
          <w:p>
            <w:r>
              <w:t>需提供技术文档。响应且满足招标文件第七章详细技术性能指标要求的重要指标需提供加盖投标人公章的证明材料。</w:t>
            </w:r>
          </w:p>
          <w:p/>
        </w:tc>
      </w:tr>
      <w:tr>
        <w:tblPrEx>
          <w:tblW w:w="5000" w:type="pct"/>
          <w:tblCellMar>
            <w:left w:w="108" w:type="dxa"/>
            <w:right w:w="108" w:type="dxa"/>
          </w:tblCellMar>
        </w:tblPrEx>
        <w:tc>
          <w:tcPr/>
          <w:p>
            <w:r>
              <w:t>12</w:t>
            </w:r>
          </w:p>
        </w:tc>
        <w:tc>
          <w:tcPr>
            <w:vMerge/>
          </w:tcPr>
          <w:p>
            <w:r>
              <w:t>技术部分</w:t>
            </w:r>
          </w:p>
        </w:tc>
        <w:tc>
          <w:tcPr/>
          <w:p>
            <w:r>
              <w:t>单发炮弹弹丸最大破片要求（客观分）</w:t>
            </w:r>
          </w:p>
        </w:tc>
        <w:tc>
          <w:tcPr/>
          <w:p>
            <w:r>
              <w:t>区间打分</w:t>
            </w:r>
            <w:r>
              <w:t>(10)</w:t>
            </w:r>
          </w:p>
        </w:tc>
        <w:tc>
          <w:tcPr/>
          <w:p>
            <w:r>
              <w:t>评审标准：</w:t>
            </w:r>
          </w:p>
          <w:p>
            <w:r>
              <w:t>1.单发炮弹弹丸最大破片达到A级得5分，达到B级得2分，达到C级得1分。</w:t>
              <w:cr/>
              <w:t>2.炮弹引信瞎火率达到A级得5分，达到B级得2分，达到C级得1分。</w:t>
            </w:r>
          </w:p>
          <w:p>
            <w:r>
              <w:t>评审标准说明：</w:t>
            </w:r>
          </w:p>
          <w:p>
            <w:r>
              <w:t>提供加盖投标人公章的证明材料。</w:t>
            </w:r>
          </w:p>
          <w:p/>
        </w:tc>
      </w:tr>
      <w:tr>
        <w:tblPrEx>
          <w:tblW w:w="5000" w:type="pct"/>
          <w:tblCellMar>
            <w:left w:w="108" w:type="dxa"/>
            <w:right w:w="108" w:type="dxa"/>
          </w:tblCellMar>
        </w:tblPrEx>
        <w:tc>
          <w:tcPr/>
          <w:p>
            <w:r>
              <w:t>13</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cr/>
            </w:r>
          </w:p>
          <w:p/>
        </w:tc>
      </w:tr>
      <w:tr>
        <w:tblPrEx>
          <w:tblW w:w="5000" w:type="pct"/>
          <w:tblCellMar>
            <w:left w:w="108" w:type="dxa"/>
            <w:right w:w="108" w:type="dxa"/>
          </w:tblCellMar>
        </w:tblPrEx>
        <w:tc>
          <w:tcPr/>
          <w:p>
            <w:r>
              <w:t>14</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r>
          </w:p>
          <w:p/>
        </w:tc>
      </w:tr>
    </w:tbl>
    <w:p w:rsidR="00A77B3E">
      <w:r>
        <w:t xml:space="preserve">      </w:t>
      </w:r>
    </w:p>
    <w:p w:rsidR="00A77B3E"/>
    <w:p w:rsidR="00A77B3E">
      <w:bookmarkEnd w:id="58"/>
    </w:p>
    <w:p>
      <w:pPr>
        <w:keepNext w:val="0"/>
        <w:keepLines w:val="0"/>
        <w:pageBreakBefore w:val="0"/>
        <w:kinsoku/>
        <w:wordWrap/>
        <w:overflowPunct/>
        <w:topLinePunct w:val="0"/>
        <w:autoSpaceDE/>
        <w:autoSpaceDN/>
        <w:bidi w:val="0"/>
        <w:adjustRightInd/>
        <w:snapToGrid/>
        <w:spacing w:before="156" w:beforeLines="50" w:line="560" w:lineRule="exact"/>
        <w:textAlignment w:val="auto"/>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宋体" w:hAnsi="宋体" w:hint="eastAsia"/>
          <w:szCs w:val="21"/>
        </w:rPr>
      </w:pPr>
      <w:r>
        <w:rPr>
          <w:rFonts w:ascii="宋体" w:hAnsi="宋体" w:hint="eastAsia"/>
          <w:szCs w:val="21"/>
        </w:rPr>
        <w:t>一、项目概况及总体要求</w:t>
      </w:r>
    </w:p>
    <w:p>
      <w:pPr>
        <w:keepNext w:val="0"/>
        <w:keepLines w:val="0"/>
        <w:pageBreakBefore w:val="0"/>
        <w:kinsoku/>
        <w:wordWrap/>
        <w:overflowPunct/>
        <w:topLinePunct w:val="0"/>
        <w:autoSpaceDE/>
        <w:autoSpaceDN/>
        <w:bidi w:val="0"/>
        <w:adjustRightInd/>
        <w:snapToGrid/>
        <w:spacing w:line="560" w:lineRule="exact"/>
        <w:ind w:firstLine="315" w:firstLineChars="150"/>
        <w:jc w:val="both"/>
        <w:textAlignment w:val="auto"/>
        <w:rPr>
          <w:rFonts w:ascii="宋体" w:hAnsi="宋体"/>
          <w:szCs w:val="21"/>
        </w:rPr>
      </w:pPr>
      <w:r>
        <w:rPr>
          <w:rFonts w:ascii="宋体" w:hAnsi="宋体" w:hint="eastAsia"/>
          <w:szCs w:val="21"/>
        </w:rPr>
        <w:t>本项目所招产品为我省人工增雨防雹用37mm人工防雹增雨弹，根据中国气象局关于人工影响天气作业的安全管理要求，本项目所招产品必须完全满足1、弹药符合气象行业标准《增雨防雹高炮系统技术要求》（QX/T 358-2016）中对弹药的标准要求。2、产品能够正常使用国家局物联网系统相关操作。</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宋体" w:hAnsi="宋体" w:hint="eastAsia"/>
          <w:szCs w:val="21"/>
        </w:rPr>
      </w:pPr>
      <w:r>
        <w:rPr>
          <w:rFonts w:ascii="宋体" w:hAnsi="宋体" w:hint="eastAsia"/>
          <w:szCs w:val="21"/>
        </w:rPr>
        <w:t>二、设备需求一览表（见第七章 采购需求 附表）</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宋体" w:hAnsi="宋体" w:hint="eastAsia"/>
          <w:szCs w:val="21"/>
        </w:rPr>
      </w:pPr>
      <w:r>
        <w:rPr>
          <w:rFonts w:ascii="宋体" w:hAnsi="宋体" w:hint="eastAsia"/>
          <w:szCs w:val="21"/>
        </w:rPr>
        <w:t>三、技术性能指标</w:t>
      </w:r>
    </w:p>
    <w:p>
      <w:pPr>
        <w:pStyle w:val="ListParagraph"/>
        <w:keepNext w:val="0"/>
        <w:keepLines w:val="0"/>
        <w:pageBreakBefore w:val="0"/>
        <w:numPr>
          <w:ilvl w:val="0"/>
          <w:numId w:val="0"/>
        </w:numPr>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1.</w:t>
      </w:r>
      <w:r>
        <w:rPr>
          <w:rFonts w:asciiTheme="minorEastAsia" w:eastAsiaTheme="minorEastAsia" w:hAnsiTheme="minorEastAsia" w:cstheme="minorEastAsia" w:hint="eastAsia"/>
          <w:sz w:val="21"/>
          <w:szCs w:val="21"/>
        </w:rPr>
        <w:t>全弹外观、尺寸应满足被考核产品的技术要求。</w:t>
      </w:r>
    </w:p>
    <w:p>
      <w:pPr>
        <w:keepNext w:val="0"/>
        <w:keepLines w:val="0"/>
        <w:pageBreakBefore w:val="0"/>
        <w:kinsoku/>
        <w:wordWrap/>
        <w:overflowPunct/>
        <w:topLinePunct w:val="0"/>
        <w:autoSpaceDE/>
        <w:autoSpaceDN/>
        <w:bidi w:val="0"/>
        <w:adjustRightInd/>
        <w:snapToGrid/>
        <w:spacing w:line="560" w:lineRule="exact"/>
        <w:ind w:firstLine="630" w:firstLineChars="3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尺寸(弹径×弹长)37mm×(382～386)mm</w:t>
      </w:r>
    </w:p>
    <w:p>
      <w:pPr>
        <w:keepNext w:val="0"/>
        <w:keepLines w:val="0"/>
        <w:pageBreakBefore w:val="0"/>
        <w:kinsoku/>
        <w:wordWrap/>
        <w:overflowPunct/>
        <w:topLinePunct w:val="0"/>
        <w:autoSpaceDE/>
        <w:autoSpaceDN/>
        <w:bidi w:val="0"/>
        <w:adjustRightInd/>
        <w:snapToGrid/>
        <w:spacing w:line="560" w:lineRule="exact"/>
        <w:ind w:firstLine="630" w:firstLineChars="3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质量：1178±6</w:t>
      </w:r>
      <w:r>
        <w:rPr>
          <w:rFonts w:asciiTheme="minorEastAsia" w:eastAsiaTheme="minorEastAsia" w:hAnsiTheme="minorEastAsia" w:cstheme="minorEastAsia" w:hint="eastAsia"/>
          <w:color w:val="FF0000"/>
          <w:sz w:val="21"/>
          <w:szCs w:val="21"/>
        </w:rPr>
        <w:t xml:space="preserve"> </w:t>
      </w:r>
      <w:r>
        <w:rPr>
          <w:rFonts w:asciiTheme="minorEastAsia" w:eastAsiaTheme="minorEastAsia" w:hAnsiTheme="minorEastAsia" w:cstheme="minorEastAsia" w:hint="eastAsia"/>
          <w:sz w:val="21"/>
          <w:szCs w:val="21"/>
        </w:rPr>
        <w:t>g</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2.炮弹的标识应清晰可辨，外表面应清洁、完好。</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3.炮弹的有效作用高度应为 3000 m～</w:t>
      </w:r>
      <w:r>
        <w:rPr>
          <w:rFonts w:asciiTheme="minorEastAsia" w:hAnsiTheme="minorEastAsia" w:cstheme="minorEastAsia" w:hint="eastAsia"/>
          <w:sz w:val="21"/>
          <w:szCs w:val="21"/>
          <w:lang w:val="en-US" w:eastAsia="zh-CN"/>
        </w:rPr>
        <w:t>80</w:t>
      </w:r>
      <w:r>
        <w:rPr>
          <w:rFonts w:asciiTheme="minorEastAsia" w:eastAsiaTheme="minorEastAsia" w:hAnsiTheme="minorEastAsia" w:cstheme="minorEastAsia" w:hint="eastAsia"/>
          <w:sz w:val="21"/>
          <w:szCs w:val="21"/>
        </w:rPr>
        <w:t>00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4.炮弹最大射高（射角为 85°时）：应不小于 6700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5</w:t>
      </w:r>
      <w:r>
        <w:rPr>
          <w:rFonts w:asciiTheme="minorEastAsia" w:eastAsiaTheme="minorEastAsia" w:hAnsiTheme="minorEastAsia" w:cstheme="minorEastAsia" w:hint="eastAsia"/>
          <w:sz w:val="21"/>
          <w:szCs w:val="21"/>
        </w:rPr>
        <w:t>.初速：≥930m/s</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6</w:t>
      </w:r>
      <w:r>
        <w:rPr>
          <w:rFonts w:asciiTheme="minorEastAsia" w:eastAsiaTheme="minorEastAsia" w:hAnsiTheme="minorEastAsia" w:cstheme="minorEastAsia" w:hint="eastAsia"/>
          <w:sz w:val="21"/>
          <w:szCs w:val="21"/>
        </w:rPr>
        <w:t>.平均膛压：≤274Mpa</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7</w:t>
      </w:r>
      <w:r>
        <w:rPr>
          <w:rFonts w:asciiTheme="minorEastAsia" w:eastAsiaTheme="minorEastAsia" w:hAnsiTheme="minorEastAsia" w:cstheme="minorEastAsia" w:hint="eastAsia"/>
          <w:sz w:val="21"/>
          <w:szCs w:val="21"/>
        </w:rPr>
        <w:t>.引信类型：隔爆型引信</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8</w:t>
      </w:r>
      <w:r>
        <w:rPr>
          <w:rFonts w:asciiTheme="minorEastAsia" w:eastAsiaTheme="minorEastAsia" w:hAnsiTheme="minorEastAsia" w:cstheme="minorEastAsia" w:hint="eastAsia"/>
          <w:sz w:val="21"/>
          <w:szCs w:val="21"/>
        </w:rPr>
        <w:t>.碘化银含量：1g</w:t>
      </w:r>
    </w:p>
    <w:p>
      <w:pPr>
        <w:pStyle w:val="BodyTextFirstIndent"/>
        <w:keepNext w:val="0"/>
        <w:keepLines w:val="0"/>
        <w:pageBreakBefore w:val="0"/>
        <w:kinsoku/>
        <w:wordWrap/>
        <w:overflowPunct/>
        <w:topLinePunct w:val="0"/>
        <w:autoSpaceDE/>
        <w:autoSpaceDN/>
        <w:bidi w:val="0"/>
        <w:adjustRightInd/>
        <w:snapToGrid/>
        <w:spacing w:line="560" w:lineRule="exact"/>
        <w:ind w:left="420" w:firstLine="0" w:leftChars="200" w:firstLineChars="0"/>
        <w:jc w:val="both"/>
        <w:textAlignment w:val="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val="en-US" w:eastAsia="zh-CN"/>
        </w:rPr>
        <w:t>9</w:t>
      </w:r>
      <w:r>
        <w:rPr>
          <w:rFonts w:asciiTheme="minorEastAsia" w:eastAsiaTheme="minorEastAsia" w:hAnsiTheme="minorEastAsia" w:cstheme="minorEastAsia" w:hint="eastAsia"/>
          <w:sz w:val="21"/>
          <w:szCs w:val="21"/>
        </w:rPr>
        <w:t>.使用环境温度：-20℃-+50℃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0</w:t>
      </w:r>
      <w:r>
        <w:rPr>
          <w:rFonts w:asciiTheme="minorEastAsia" w:eastAsiaTheme="minorEastAsia" w:hAnsiTheme="minorEastAsia" w:cstheme="minorEastAsia" w:hint="eastAsia"/>
          <w:sz w:val="21"/>
          <w:szCs w:val="21"/>
        </w:rPr>
        <w:t>. 单发炮弹弹丸最大破片分三级：</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A 级应小于等于 5 g；</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B 级应小于等于 10 g；</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C 级应小于等于 14 g。</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1</w:t>
      </w:r>
      <w:r>
        <w:rPr>
          <w:rFonts w:asciiTheme="minorEastAsia" w:eastAsiaTheme="minorEastAsia" w:hAnsiTheme="minorEastAsia" w:cstheme="minorEastAsia" w:hint="eastAsia"/>
          <w:sz w:val="21"/>
          <w:szCs w:val="21"/>
        </w:rPr>
        <w:t>. 炮弹引信瞎火率为：</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A 级小于等于 1/10000；</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B 级小于等于 1/1000；</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C 级小于等于 3/1000。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2</w:t>
      </w:r>
      <w:r>
        <w:rPr>
          <w:rFonts w:asciiTheme="minorEastAsia" w:eastAsiaTheme="minorEastAsia" w:hAnsiTheme="minorEastAsia" w:cstheme="minorEastAsia" w:hint="eastAsia"/>
          <w:sz w:val="21"/>
          <w:szCs w:val="21"/>
        </w:rPr>
        <w:t>. 炮弹应具有冗余保险，应至少包括两个独立保险件，其中每一个都应能防止引信意外解除保险，启动这至少两个保险件的激励应从不同的环境获得。</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3</w:t>
      </w:r>
      <w:r>
        <w:rPr>
          <w:rFonts w:asciiTheme="minorEastAsia" w:eastAsiaTheme="minorEastAsia" w:hAnsiTheme="minorEastAsia" w:cstheme="minorEastAsia" w:hint="eastAsia"/>
          <w:sz w:val="21"/>
          <w:szCs w:val="21"/>
        </w:rPr>
        <w:t>. 炮弹应采用具有延期解除保险功能的隔爆型引信。</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4</w:t>
      </w:r>
      <w:r>
        <w:rPr>
          <w:rFonts w:asciiTheme="minorEastAsia" w:eastAsiaTheme="minorEastAsia" w:hAnsiTheme="minorEastAsia" w:cstheme="minorEastAsia" w:hint="eastAsia"/>
          <w:sz w:val="21"/>
          <w:szCs w:val="21"/>
        </w:rPr>
        <w:t>. 炮弹引信的无损落高应不小于 1.5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15</w:t>
      </w:r>
      <w:r>
        <w:rPr>
          <w:rFonts w:asciiTheme="minorEastAsia" w:eastAsiaTheme="minorEastAsia" w:hAnsiTheme="minorEastAsia" w:cstheme="minorEastAsia" w:hint="eastAsia"/>
          <w:sz w:val="21"/>
          <w:szCs w:val="21"/>
        </w:rPr>
        <w:t>. 带包装的全弹安全落高应不小于</w:t>
      </w:r>
      <w:r>
        <w:rPr>
          <w:rFonts w:asciiTheme="minorEastAsia" w:hAnsiTheme="minorEastAsia" w:cstheme="minorEastAsia" w:hint="eastAsia"/>
          <w:sz w:val="21"/>
          <w:szCs w:val="21"/>
          <w:lang w:val="en-US" w:eastAsia="zh-CN"/>
        </w:rPr>
        <w:t xml:space="preserve">4.5 </w:t>
      </w:r>
      <w:r>
        <w:rPr>
          <w:rFonts w:asciiTheme="minorEastAsia" w:eastAsiaTheme="minorEastAsia" w:hAnsiTheme="minorEastAsia" w:cstheme="minorEastAsia" w:hint="eastAsia"/>
          <w:sz w:val="21"/>
          <w:szCs w:val="21"/>
        </w:rPr>
        <w:t>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16</w:t>
      </w:r>
      <w:r>
        <w:rPr>
          <w:rFonts w:asciiTheme="minorEastAsia" w:eastAsiaTheme="minorEastAsia" w:hAnsiTheme="minorEastAsia" w:cstheme="minorEastAsia" w:hint="eastAsia"/>
          <w:sz w:val="21"/>
          <w:szCs w:val="21"/>
        </w:rPr>
        <w:t>. 炮弹的催化剂成核率（试验室内，-10℃）应大于或等于10</w:t>
      </w:r>
      <w:r>
        <w:rPr>
          <w:rFonts w:asciiTheme="minorEastAsia" w:eastAsiaTheme="minorEastAsia" w:hAnsiTheme="minorEastAsia" w:cstheme="minorEastAsia" w:hint="eastAsia"/>
          <w:sz w:val="21"/>
          <w:szCs w:val="21"/>
          <w:vertAlign w:val="superscript"/>
        </w:rPr>
        <w:t>11</w:t>
      </w:r>
      <w:r>
        <w:rPr>
          <w:rFonts w:asciiTheme="minorEastAsia" w:eastAsiaTheme="minorEastAsia" w:hAnsiTheme="minorEastAsia" w:cstheme="minorEastAsia" w:hint="eastAsia"/>
          <w:sz w:val="21"/>
          <w:szCs w:val="21"/>
        </w:rPr>
        <w:t>个每克</w:t>
      </w:r>
      <w:r>
        <w:rPr>
          <w:rFonts w:ascii="宋体" w:eastAsia="宋体" w:hAnsi="Times New Roman" w:cs="Times New Roman" w:hint="eastAsia"/>
          <w:kern w:val="0"/>
          <w:szCs w:val="21"/>
        </w:rPr>
        <w:t>碘化银</w:t>
      </w:r>
      <w:r>
        <w:rPr>
          <w:rFonts w:asciiTheme="minorEastAsia" w:eastAsiaTheme="minorEastAsia" w:hAnsiTheme="minorEastAsia" w:cstheme="minorEastAsia" w:hint="eastAsia"/>
          <w:sz w:val="21"/>
          <w:szCs w:val="21"/>
        </w:rPr>
        <w:t>。</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17</w:t>
      </w:r>
      <w:r>
        <w:rPr>
          <w:rFonts w:asciiTheme="minorEastAsia" w:eastAsiaTheme="minorEastAsia" w:hAnsiTheme="minorEastAsia" w:cstheme="minorEastAsia" w:hint="eastAsia"/>
          <w:sz w:val="21"/>
          <w:szCs w:val="21"/>
        </w:rPr>
        <w:t>. 炮弹适用海拔高度范围应不小于4500m。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18</w:t>
      </w:r>
      <w:r>
        <w:rPr>
          <w:rFonts w:asciiTheme="minorEastAsia" w:eastAsiaTheme="minorEastAsia" w:hAnsiTheme="minorEastAsia" w:cstheme="minorEastAsia" w:hint="eastAsia"/>
          <w:sz w:val="21"/>
          <w:szCs w:val="21"/>
        </w:rPr>
        <w:t>. 炮弹适用温度范围应为-20℃～50℃。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b/>
          <w:bCs/>
          <w:szCs w:val="21"/>
        </w:rPr>
      </w:pPr>
      <w:r>
        <w:rPr>
          <w:rFonts w:asciiTheme="minorEastAsia" w:hAnsiTheme="minorEastAsia" w:cstheme="minorEastAsia" w:hint="eastAsia"/>
          <w:sz w:val="21"/>
          <w:szCs w:val="21"/>
          <w:lang w:val="en-US" w:eastAsia="zh-CN"/>
        </w:rPr>
        <w:t>19</w:t>
      </w:r>
      <w:r>
        <w:rPr>
          <w:rFonts w:asciiTheme="minorEastAsia" w:eastAsiaTheme="minorEastAsia" w:hAnsiTheme="minorEastAsia" w:cstheme="minorEastAsia" w:hint="eastAsia"/>
          <w:sz w:val="21"/>
          <w:szCs w:val="21"/>
        </w:rPr>
        <w:t>. 炮弹使用有效期限应不小于 5 年。</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2</w:t>
      </w:r>
      <w:r>
        <w:rPr>
          <w:rFonts w:asciiTheme="minorEastAsia" w:hAnsiTheme="minorEastAsia" w:cstheme="minorEastAsia" w:hint="eastAsia"/>
          <w:sz w:val="21"/>
          <w:szCs w:val="21"/>
          <w:lang w:val="en-US" w:eastAsia="zh-CN"/>
        </w:rPr>
        <w:t>0</w:t>
      </w:r>
      <w:r>
        <w:rPr>
          <w:rFonts w:asciiTheme="minorEastAsia" w:eastAsiaTheme="minorEastAsia" w:hAnsiTheme="minorEastAsia" w:cstheme="minorEastAsia" w:hint="eastAsia"/>
          <w:sz w:val="21"/>
          <w:szCs w:val="21"/>
        </w:rPr>
        <w:t>. 炮弹应具有符合规定的条维码标识。</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lang w:val="en-US" w:eastAsia="zh-CN"/>
        </w:rPr>
        <w:t>21</w:t>
      </w:r>
      <w:r>
        <w:rPr>
          <w:rFonts w:ascii="宋体" w:eastAsia="宋体" w:hAnsi="Times New Roman" w:cs="Times New Roman" w:hint="eastAsia"/>
          <w:kern w:val="0"/>
          <w:szCs w:val="21"/>
        </w:rPr>
        <w:t>.全弹在高温、低温、常温下连发不应出现：</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hint="eastAsia"/>
          <w:kern w:val="0"/>
          <w:szCs w:val="21"/>
        </w:rPr>
        <w:t>——药筒破裂</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hint="eastAsia"/>
          <w:kern w:val="0"/>
          <w:szCs w:val="21"/>
        </w:rPr>
        <w:t>——连发异常</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rPr>
        <w:t>2</w:t>
      </w:r>
      <w:r>
        <w:rPr>
          <w:rFonts w:ascii="宋体" w:eastAsia="宋体" w:hAnsi="Times New Roman" w:cs="Times New Roman" w:hint="eastAsia"/>
          <w:kern w:val="0"/>
          <w:szCs w:val="21"/>
          <w:lang w:val="en-US" w:eastAsia="zh-CN"/>
        </w:rPr>
        <w:t>2</w:t>
      </w:r>
      <w:r>
        <w:rPr>
          <w:rFonts w:ascii="宋体" w:eastAsia="宋体" w:hAnsi="Times New Roman" w:cs="Times New Roman" w:hint="eastAsia"/>
          <w:kern w:val="0"/>
          <w:szCs w:val="21"/>
        </w:rPr>
        <w:t>.全弹储存经高、低温环境变化后，不应出现：</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hint="eastAsia"/>
          <w:kern w:val="0"/>
          <w:szCs w:val="21"/>
        </w:rPr>
        <w:t>——弹丸在膛内、炮口爆炸</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hint="eastAsia"/>
          <w:kern w:val="0"/>
          <w:szCs w:val="21"/>
        </w:rPr>
        <w:t>——引信瞎火</w:t>
      </w:r>
    </w:p>
    <w:p>
      <w:pPr>
        <w:spacing w:line="360" w:lineRule="auto"/>
        <w:ind w:firstLine="420" w:firstLineChars="200"/>
        <w:jc w:val="both"/>
        <w:rPr>
          <w:rFonts w:ascii="宋体" w:eastAsia="宋体" w:hAnsi="Times New Roman" w:cs="Times New Roman"/>
          <w:kern w:val="0"/>
          <w:szCs w:val="21"/>
        </w:rPr>
      </w:pPr>
      <w:r>
        <w:rPr>
          <w:rFonts w:ascii="宋体" w:eastAsia="宋体" w:hAnsi="Times New Roman" w:cs="Times New Roman" w:hint="eastAsia"/>
          <w:kern w:val="0"/>
          <w:szCs w:val="21"/>
        </w:rPr>
        <w:t>——弹丸爆炸不完全</w:t>
      </w:r>
    </w:p>
    <w:p>
      <w:pPr>
        <w:spacing w:line="360" w:lineRule="auto"/>
        <w:ind w:firstLine="420" w:firstLineChars="200"/>
        <w:jc w:val="both"/>
        <w:rPr>
          <w:rFonts w:asciiTheme="minorEastAsia" w:hAnsiTheme="minorEastAsia" w:cstheme="minorEastAsia" w:hint="eastAsia"/>
          <w:szCs w:val="21"/>
        </w:rPr>
      </w:pPr>
      <w:r>
        <w:rPr>
          <w:rFonts w:ascii="宋体" w:eastAsia="宋体" w:hAnsi="Times New Roman" w:cs="Times New Roman" w:hint="eastAsia"/>
          <w:kern w:val="0"/>
          <w:szCs w:val="21"/>
        </w:rPr>
        <w:t>——引信自毁时间超差</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宋体" w:hAnsi="宋体" w:hint="eastAsia"/>
          <w:szCs w:val="21"/>
        </w:rPr>
      </w:pPr>
      <w:r>
        <w:rPr>
          <w:rFonts w:ascii="宋体" w:hAnsi="宋体" w:hint="eastAsia"/>
          <w:szCs w:val="21"/>
          <w:lang w:eastAsia="zh-CN"/>
        </w:rPr>
        <w:t>四、</w:t>
      </w:r>
      <w:r>
        <w:rPr>
          <w:rFonts w:ascii="宋体" w:hAnsi="宋体" w:hint="eastAsia"/>
          <w:szCs w:val="21"/>
        </w:rPr>
        <w:t>技术服务和质保期服务要求</w:t>
      </w:r>
    </w:p>
    <w:p>
      <w:pPr>
        <w:keepNext w:val="0"/>
        <w:keepLines w:val="0"/>
        <w:pageBreakBefore w:val="0"/>
        <w:tabs>
          <w:tab w:val="center" w:pos="4394"/>
        </w:tabs>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b/>
          <w:szCs w:val="21"/>
        </w:rPr>
      </w:pPr>
      <w:r>
        <w:rPr>
          <w:rFonts w:asciiTheme="minorEastAsia" w:hAnsiTheme="minorEastAsia" w:cstheme="minorEastAsia" w:hint="eastAsia"/>
          <w:bCs/>
          <w:sz w:val="21"/>
          <w:szCs w:val="21"/>
          <w:lang w:val="en-US" w:eastAsia="zh-CN"/>
        </w:rPr>
        <w:t>1.检验考核要求</w:t>
      </w:r>
      <w:r>
        <w:rPr>
          <w:rFonts w:asciiTheme="minorEastAsia" w:eastAsiaTheme="minorEastAsia" w:hAnsiTheme="minorEastAsia" w:cstheme="minorEastAsia" w:hint="eastAsia"/>
          <w:b/>
          <w:sz w:val="21"/>
          <w:szCs w:val="21"/>
        </w:rPr>
        <w:tab/>
      </w:r>
    </w:p>
    <w:p>
      <w:pPr>
        <w:keepNext w:val="0"/>
        <w:keepLines w:val="0"/>
        <w:pageBreakBefore w:val="0"/>
        <w:kinsoku/>
        <w:wordWrap/>
        <w:overflowPunct/>
        <w:topLinePunct w:val="0"/>
        <w:autoSpaceDE/>
        <w:autoSpaceDN/>
        <w:bidi w:val="0"/>
        <w:adjustRightInd/>
        <w:snapToGrid/>
        <w:spacing w:line="560" w:lineRule="exact"/>
        <w:ind w:left="672" w:hanging="246" w:leftChars="203" w:hangingChars="117"/>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1</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标识</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炮弹和弹药箱的包装标识应符合《人工影响天气作业装备与弹药标识编码技术规范》（气减函〔2016〕10 号）的要求。</w:t>
      </w:r>
    </w:p>
    <w:p>
      <w:pPr>
        <w:keepNext w:val="0"/>
        <w:keepLines w:val="0"/>
        <w:pageBreakBefore w:val="0"/>
        <w:kinsoku/>
        <w:wordWrap/>
        <w:overflowPunct/>
        <w:topLinePunct w:val="0"/>
        <w:autoSpaceDE/>
        <w:autoSpaceDN/>
        <w:bidi w:val="0"/>
        <w:adjustRightInd/>
        <w:snapToGrid/>
        <w:spacing w:line="560" w:lineRule="exact"/>
        <w:ind w:left="672" w:hanging="246" w:leftChars="203" w:hangingChars="117"/>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2</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包装</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炮弹应按危险品包装规范或者其他相关规定进行包装。</w:t>
      </w:r>
    </w:p>
    <w:p>
      <w:pPr>
        <w:keepNext w:val="0"/>
        <w:keepLines w:val="0"/>
        <w:pageBreakBefore w:val="0"/>
        <w:numPr>
          <w:ilvl w:val="0"/>
          <w:numId w:val="4"/>
        </w:numPr>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出厂验收</w:t>
      </w:r>
    </w:p>
    <w:p>
      <w:pPr>
        <w:keepNext w:val="0"/>
        <w:keepLines w:val="0"/>
        <w:pageBreakBefore w:val="0"/>
        <w:kinsoku/>
        <w:wordWrap/>
        <w:overflowPunct/>
        <w:topLinePunct w:val="0"/>
        <w:autoSpaceDE/>
        <w:autoSpaceDN/>
        <w:bidi w:val="0"/>
        <w:adjustRightInd/>
        <w:snapToGrid/>
        <w:spacing w:line="560" w:lineRule="exact"/>
        <w:ind w:left="672" w:hanging="246" w:leftChars="203" w:hangingChars="117"/>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产品出厂前由国务院气象主管机构指定单位进行组织验收。中标供应商需配合并具体实</w:t>
      </w:r>
    </w:p>
    <w:p>
      <w:pPr>
        <w:keepNext w:val="0"/>
        <w:keepLines w:val="0"/>
        <w:pageBreakBefore w:val="0"/>
        <w:kinsoku/>
        <w:wordWrap/>
        <w:overflowPunct/>
        <w:topLinePunct w:val="0"/>
        <w:autoSpaceDE/>
        <w:autoSpaceDN/>
        <w:bidi w:val="0"/>
        <w:adjustRightInd/>
        <w:snapToGrid/>
        <w:spacing w:line="560" w:lineRule="exact"/>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施。</w:t>
      </w:r>
    </w:p>
    <w:p>
      <w:pPr>
        <w:keepNext w:val="0"/>
        <w:keepLines w:val="0"/>
        <w:pageBreakBefore w:val="0"/>
        <w:numPr>
          <w:ilvl w:val="0"/>
          <w:numId w:val="4"/>
        </w:numPr>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运输</w:t>
      </w:r>
    </w:p>
    <w:p>
      <w:pPr>
        <w:keepNext w:val="0"/>
        <w:keepLines w:val="0"/>
        <w:pageBreakBefore w:val="0"/>
        <w:kinsoku/>
        <w:wordWrap/>
        <w:overflowPunct/>
        <w:topLinePunct w:val="0"/>
        <w:autoSpaceDE/>
        <w:autoSpaceDN/>
        <w:bidi w:val="0"/>
        <w:adjustRightInd/>
        <w:snapToGrid/>
        <w:spacing w:line="560" w:lineRule="exact"/>
        <w:ind w:left="672" w:hanging="246" w:leftChars="203" w:hangingChars="117"/>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出厂验收合格后，中标供应商负责将产品运输到用户指定的地点，运输过程应当遵守国</w:t>
      </w:r>
    </w:p>
    <w:p>
      <w:pPr>
        <w:keepNext w:val="0"/>
        <w:keepLines w:val="0"/>
        <w:pageBreakBefore w:val="0"/>
        <w:kinsoku/>
        <w:wordWrap/>
        <w:overflowPunct/>
        <w:topLinePunct w:val="0"/>
        <w:autoSpaceDE/>
        <w:autoSpaceDN/>
        <w:bidi w:val="0"/>
        <w:adjustRightInd/>
        <w:snapToGrid/>
        <w:spacing w:line="560" w:lineRule="exact"/>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家有关武器装备、爆炸物品管理的法律、法规。运输费根据实际产生由采购方与中标供应商签订运输合同并另行承担运输费用。</w:t>
      </w:r>
    </w:p>
    <w:p>
      <w:pPr>
        <w:keepNext w:val="0"/>
        <w:keepLines w:val="0"/>
        <w:pageBreakBefore w:val="0"/>
        <w:numPr>
          <w:ilvl w:val="0"/>
          <w:numId w:val="4"/>
        </w:numPr>
        <w:kinsoku/>
        <w:wordWrap/>
        <w:overflowPunct/>
        <w:topLinePunct w:val="0"/>
        <w:autoSpaceDE/>
        <w:autoSpaceDN/>
        <w:bidi w:val="0"/>
        <w:adjustRightInd/>
        <w:snapToGrid/>
        <w:spacing w:line="560" w:lineRule="exact"/>
        <w:ind w:left="0" w:firstLine="420" w:leftChars="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到货验收</w:t>
      </w:r>
    </w:p>
    <w:p>
      <w:pPr>
        <w:keepNext w:val="0"/>
        <w:keepLines w:val="0"/>
        <w:pageBreakBefore w:val="0"/>
        <w:numPr>
          <w:ilvl w:val="0"/>
          <w:numId w:val="0"/>
        </w:numPr>
        <w:kinsoku/>
        <w:wordWrap/>
        <w:overflowPunct/>
        <w:topLinePunct w:val="0"/>
        <w:autoSpaceDE/>
        <w:autoSpaceDN/>
        <w:bidi w:val="0"/>
        <w:adjustRightInd/>
        <w:snapToGrid/>
        <w:spacing w:line="560" w:lineRule="exact"/>
        <w:ind w:left="181" w:firstLine="210" w:leftChars="86" w:firstLineChars="100"/>
        <w:jc w:val="both"/>
        <w:textAlignment w:val="auto"/>
        <w:rPr>
          <w:rFonts w:asciiTheme="minorEastAsia" w:hAnsiTheme="minorEastAsia" w:cstheme="minorEastAsia" w:hint="default"/>
          <w:szCs w:val="21"/>
        </w:rPr>
      </w:pPr>
      <w:r>
        <w:rPr>
          <w:rFonts w:asciiTheme="minorEastAsia" w:eastAsiaTheme="minorEastAsia" w:hAnsiTheme="minorEastAsia" w:cstheme="minorEastAsia" w:hint="eastAsia"/>
          <w:sz w:val="21"/>
          <w:szCs w:val="21"/>
        </w:rPr>
        <w:t>到货后用户检查包装并核对货物品类、数量以及完好性。未通过验收的货物，将不予接受。</w:t>
      </w:r>
    </w:p>
    <w:p>
      <w:pPr>
        <w:keepNext w:val="0"/>
        <w:keepLines w:val="0"/>
        <w:pageBreakBefore w:val="0"/>
        <w:kinsoku/>
        <w:wordWrap/>
        <w:overflowPunct/>
        <w:topLinePunct w:val="0"/>
        <w:autoSpaceDE/>
        <w:autoSpaceDN/>
        <w:bidi w:val="0"/>
        <w:adjustRightInd/>
        <w:snapToGrid/>
        <w:spacing w:line="560" w:lineRule="exact"/>
        <w:ind w:left="672" w:hanging="246" w:leftChars="203" w:hangingChars="117"/>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2</w:t>
      </w:r>
      <w:r>
        <w:rPr>
          <w:rFonts w:asciiTheme="minorEastAsia" w:eastAsiaTheme="minorEastAsia" w:hAnsiTheme="minorEastAsia" w:cstheme="minorEastAsia" w:hint="eastAsia"/>
          <w:sz w:val="21"/>
          <w:szCs w:val="21"/>
          <w:lang w:val="en-US" w:eastAsia="zh-CN"/>
        </w:rPr>
        <w:t>.</w:t>
      </w:r>
      <w:r>
        <w:rPr>
          <w:rFonts w:asciiTheme="minorEastAsia" w:eastAsiaTheme="minorEastAsia" w:hAnsiTheme="minorEastAsia" w:cstheme="minorEastAsia" w:hint="eastAsia"/>
          <w:sz w:val="21"/>
          <w:szCs w:val="21"/>
        </w:rPr>
        <w:t>保修、售后服务</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1</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中标人设备售后质量保证期为出厂验收后5年，保修期内因设备设计、质量（包含但不限于哑弹、爆炸后碎片过大等）出现问题，所造成的直接或间接损失由中标供应商负责，并由中标供应商免费更换合格品；如因操作不当或不可抗拒的原因产生的问题，由中标人提供技术服务，如需收费，只收取成本费和差旅费。</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2</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因产品质量原因造成人员伤亡等事故时，中标供应商应迅速赶赴现场，协助当地有关部门分析事故原因，承担应有的责任，并将产品质量原因分析报告报国务院气象主管机构。</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outlineLvl w:val="1"/>
        <w:rPr>
          <w:rFonts w:asciiTheme="minorEastAsia" w:hAnsiTheme="minorEastAsia" w:cstheme="minorEastAsia" w:hint="eastAsia"/>
          <w:b/>
          <w:bCs/>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3</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能够</w:t>
      </w:r>
      <w:r>
        <w:rPr>
          <w:rFonts w:asciiTheme="minorEastAsia" w:eastAsiaTheme="minorEastAsia" w:hAnsiTheme="minorEastAsia" w:cstheme="minorEastAsia" w:hint="eastAsia"/>
          <w:color w:val="000000" w:themeColor="text1"/>
          <w:sz w:val="21"/>
          <w:szCs w:val="21"/>
        </w:rPr>
        <w:t>每2年</w:t>
      </w:r>
      <w:r>
        <w:rPr>
          <w:rFonts w:asciiTheme="minorEastAsia" w:eastAsiaTheme="minorEastAsia" w:hAnsiTheme="minorEastAsia" w:cstheme="minorEastAsia" w:hint="eastAsia"/>
          <w:sz w:val="21"/>
          <w:szCs w:val="21"/>
        </w:rPr>
        <w:t>（无废旧故障弹产生年份除外）进行一次免费废旧故障弹药回收；由弹药生产厂家负责废旧弹药的全省运输回收事宜，不得指定回收地点和方式；</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4</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中标人应提供保修期内外的技术服务流程，技术服务内容。</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5</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在保修期内，当设备或软件遭到损坏或出现故障时，要在采购人报修之时起24小时内做出响应，并在48小时内到达现场，开展维修维护工作，视情况双方协商设备恢复正常运行时限。</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w:t>
      </w:r>
      <w:r>
        <w:rPr>
          <w:rFonts w:asciiTheme="minorEastAsia" w:hAnsiTheme="minorEastAsia" w:cstheme="minorEastAsia" w:hint="eastAsia"/>
          <w:sz w:val="21"/>
          <w:szCs w:val="21"/>
          <w:lang w:val="en-US" w:eastAsia="zh-CN"/>
        </w:rPr>
        <w:t>6</w:t>
      </w:r>
      <w:r>
        <w:rPr>
          <w:rFonts w:ascii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保修期过后，中标人仍有义务提供技术服务（包括提供设备维护、备件等）。中标人应提供指定专人和专有联系方式，保证信息联系顺畅，为采购人提供方便。</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售后服务具体要求如下：</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①</w:t>
      </w:r>
      <w:r>
        <w:rPr>
          <w:rFonts w:asciiTheme="minorEastAsia" w:eastAsiaTheme="minorEastAsia" w:hAnsiTheme="minorEastAsia" w:cstheme="minorEastAsia" w:hint="eastAsia"/>
          <w:sz w:val="21"/>
          <w:szCs w:val="21"/>
        </w:rPr>
        <w:t>中标单位须在售后服务过程中建立不同的工程组，有序</w:t>
      </w:r>
      <w:r>
        <w:rPr>
          <w:rFonts w:asciiTheme="minorEastAsia" w:hAnsiTheme="minorEastAsia" w:cstheme="minorEastAsia" w:hint="eastAsia"/>
          <w:sz w:val="21"/>
          <w:szCs w:val="21"/>
          <w:lang w:val="en-US" w:eastAsia="zh-CN"/>
        </w:rPr>
        <w:t>地</w:t>
      </w:r>
      <w:r>
        <w:rPr>
          <w:rFonts w:asciiTheme="minorEastAsia" w:eastAsiaTheme="minorEastAsia" w:hAnsiTheme="minorEastAsia" w:cstheme="minorEastAsia" w:hint="eastAsia"/>
          <w:sz w:val="21"/>
          <w:szCs w:val="21"/>
        </w:rPr>
        <w:t>投入到项目之中，并在每个环节均实施质量控制，有售后服务文档记录，保证实施过程中所有的细节均有案可查，做到实施过程可</w:t>
      </w:r>
      <w:r>
        <w:rPr>
          <w:rFonts w:asciiTheme="minorEastAsia" w:hAnsiTheme="minorEastAsia" w:cstheme="minorEastAsia" w:hint="eastAsia"/>
          <w:sz w:val="21"/>
          <w:szCs w:val="21"/>
          <w:lang w:val="en-US" w:eastAsia="zh-CN"/>
        </w:rPr>
        <w:t>追溯</w:t>
      </w:r>
      <w:r>
        <w:rPr>
          <w:rFonts w:asciiTheme="minorEastAsia" w:eastAsiaTheme="minorEastAsia" w:hAnsiTheme="minorEastAsia" w:cstheme="minorEastAsia" w:hint="eastAsia"/>
          <w:sz w:val="21"/>
          <w:szCs w:val="21"/>
        </w:rPr>
        <w:t>；</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②</w:t>
      </w:r>
      <w:r>
        <w:rPr>
          <w:rFonts w:asciiTheme="minorEastAsia" w:eastAsiaTheme="minorEastAsia" w:hAnsiTheme="minorEastAsia" w:cstheme="minorEastAsia" w:hint="eastAsia"/>
          <w:sz w:val="21"/>
          <w:szCs w:val="21"/>
        </w:rPr>
        <w:t xml:space="preserve">中标单位应制定项目回访制度，检查设备运行状况，解决使用者遇到的问题，对项目的实施提供参考意见和建议； </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eastAsia="zh-CN"/>
        </w:rPr>
        <w:t>③</w:t>
      </w:r>
      <w:r>
        <w:rPr>
          <w:rFonts w:asciiTheme="minorEastAsia" w:eastAsiaTheme="minorEastAsia" w:hAnsiTheme="minorEastAsia" w:cstheme="minorEastAsia" w:hint="eastAsia"/>
          <w:sz w:val="21"/>
          <w:szCs w:val="21"/>
        </w:rPr>
        <w:t>当设备出现故障，需要到现场进行抢修处理时，将安排进行应</w:t>
      </w:r>
      <w:r>
        <w:rPr>
          <w:rFonts w:asciiTheme="minorEastAsia" w:eastAsiaTheme="minorEastAsia" w:hAnsiTheme="minorEastAsia" w:cstheme="minorEastAsia" w:hint="eastAsia"/>
          <w:sz w:val="21"/>
          <w:szCs w:val="21"/>
        </w:rPr>
        <w:t>急抢修，彻底解决排除故障。</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3.</w:t>
      </w:r>
      <w:r>
        <w:rPr>
          <w:rFonts w:asciiTheme="minorEastAsia" w:eastAsiaTheme="minorEastAsia" w:hAnsiTheme="minorEastAsia" w:cstheme="minorEastAsia" w:hint="eastAsia"/>
          <w:sz w:val="21"/>
          <w:szCs w:val="21"/>
        </w:rPr>
        <w:t>技术培训</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中标人应免费提供每个用户单位8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4.</w:t>
      </w:r>
      <w:r>
        <w:rPr>
          <w:rFonts w:asciiTheme="minorEastAsia" w:eastAsiaTheme="minorEastAsia" w:hAnsiTheme="minorEastAsia" w:cstheme="minorEastAsia" w:hint="eastAsia"/>
          <w:sz w:val="21"/>
          <w:szCs w:val="21"/>
        </w:rPr>
        <w:t>技术支持</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中标供应商提供免费热线服务电话、保障服务货物收发联系部门及人员的名称和联系方式。炮弹的更换、过期弹的回收及销毁工作按照采购单位要求在约定时间内完成。</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5.</w:t>
      </w:r>
      <w:r>
        <w:rPr>
          <w:rFonts w:asciiTheme="minorEastAsia" w:eastAsiaTheme="minorEastAsia" w:hAnsiTheme="minorEastAsia" w:cstheme="minorEastAsia" w:hint="eastAsia"/>
          <w:sz w:val="21"/>
          <w:szCs w:val="21"/>
        </w:rPr>
        <w:t>技术资料</w:t>
      </w:r>
    </w:p>
    <w:p>
      <w:pPr>
        <w:keepNext w:val="0"/>
        <w:keepLines w:val="0"/>
        <w:pageBreakBefore w:val="0"/>
        <w:kinsoku/>
        <w:wordWrap/>
        <w:overflowPunct/>
        <w:topLinePunct w:val="0"/>
        <w:autoSpaceDE/>
        <w:autoSpaceDN/>
        <w:bidi w:val="0"/>
        <w:adjustRightInd/>
        <w:snapToGrid/>
        <w:spacing w:line="560" w:lineRule="exact"/>
        <w:ind w:firstLine="420" w:firstLineChars="200"/>
        <w:jc w:val="both"/>
        <w:textAlignment w:val="auto"/>
        <w:rPr>
          <w:rFonts w:ascii="宋体" w:eastAsia="宋体" w:hAnsi="宋体" w:cs="Times New Roman"/>
          <w:szCs w:val="21"/>
        </w:rPr>
      </w:pPr>
      <w:r>
        <w:rPr>
          <w:rFonts w:asciiTheme="minorEastAsia" w:eastAsiaTheme="minorEastAsia" w:hAnsiTheme="minorEastAsia" w:cstheme="minorEastAsia" w:hint="eastAsia"/>
          <w:sz w:val="21"/>
          <w:szCs w:val="21"/>
        </w:rPr>
        <w:t>提供完整的技术资料，包括：危险品生产、存储、运输、使用等安全保障手册；产品验收标准（含产品合格证验收清单等）；使用说明书及合同中要求的其他文件资料。</w:t>
      </w:r>
    </w:p>
    <w:p>
      <w:pPr>
        <w:keepNext w:val="0"/>
        <w:keepLines w:val="0"/>
        <w:pageBreakBefore w:val="0"/>
        <w:kinsoku/>
        <w:wordWrap/>
        <w:overflowPunct/>
        <w:topLinePunct w:val="0"/>
        <w:autoSpaceDE/>
        <w:autoSpaceDN/>
        <w:bidi w:val="0"/>
        <w:adjustRightInd/>
        <w:snapToGrid/>
        <w:spacing w:line="560" w:lineRule="exact"/>
        <w:jc w:val="both"/>
        <w:textAlignment w:val="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1255"/>
        <w:gridCol w:w="1050"/>
        <w:gridCol w:w="1460"/>
        <w:gridCol w:w="1665"/>
        <w:gridCol w:w="187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12300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3,665,400.00</w:t>
            </w:r>
          </w:p>
        </w:tc>
        <w:tc>
          <w:tcPr/>
          <w:p>
            <w:pPr>
              <w:autoSpaceDE w:val="0"/>
              <w:jc w:val="center"/>
              <w:rPr>
                <w:rFonts w:asciiTheme="minorEastAsia" w:hAnsiTheme="minorEastAsia" w:cstheme="minorEastAsia" w:hint="eastAsia"/>
                <w:kern w:val="0"/>
                <w:szCs w:val="21"/>
              </w:rPr>
            </w:pPr>
            <w:r>
              <w:t>合同签订后30天内</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3,665,400.00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9"/>
        <w:gridCol w:w="1598"/>
        <w:gridCol w:w="1017"/>
        <w:gridCol w:w="607"/>
        <w:gridCol w:w="1183"/>
        <w:gridCol w:w="986"/>
        <w:gridCol w:w="1183"/>
        <w:gridCol w:w="142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人影办(001056007)</w:t>
            </w:r>
          </w:p>
        </w:tc>
        <w:tc>
          <w:tcPr/>
          <w:p>
            <w:r>
              <w:t>增雨防雹弹</w:t>
            </w:r>
          </w:p>
        </w:tc>
        <w:tc>
          <w:tcPr/>
          <w:p>
            <w:r>
              <w:t>12300</w:t>
            </w:r>
          </w:p>
        </w:tc>
        <w:tc>
          <w:tcPr/>
          <w:p>
            <w:r>
              <w:t>3665400.00</w:t>
            </w:r>
          </w:p>
        </w:tc>
        <w:tc>
          <w:tcPr/>
          <w:p>
            <w:r>
              <w:t xml:space="preserve">3665400.00  </w:t>
            </w:r>
          </w:p>
        </w:tc>
        <w:tc>
          <w:tcPr/>
          <w:p>
            <w:r>
              <w:t>甲方指定地点</w:t>
            </w:r>
          </w:p>
        </w:tc>
        <w:tc>
          <w:tcPr/>
          <w:p>
            <w:r>
              <w:t>刘莹13270856286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keepNext w:val="0"/>
        <w:keepLines w:val="0"/>
        <w:pageBreakBefore w:val="0"/>
        <w:kinsoku/>
        <w:wordWrap/>
        <w:overflowPunct/>
        <w:topLinePunct w:val="0"/>
        <w:autoSpaceDE/>
        <w:autoSpaceDN/>
        <w:bidi w:val="0"/>
        <w:adjustRightInd/>
        <w:snapToGrid/>
        <w:spacing w:before="156" w:beforeLines="50" w:line="560" w:lineRule="exact"/>
        <w:textAlignment w:val="auto"/>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64F29" w:rsidP="00945C48">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664F29">
      <w:pPr>
        <w:spacing w:line="360" w:lineRule="auto"/>
        <w:ind w:left="1680" w:firstLine="420"/>
        <w:jc w:val="left"/>
        <w:rPr>
          <w:b/>
          <w:bCs/>
          <w:szCs w:val="21"/>
        </w:rPr>
      </w:pPr>
      <w:r>
        <w:rPr>
          <w:rFonts w:hint="eastAsia"/>
          <w:b/>
          <w:bCs/>
          <w:szCs w:val="21"/>
        </w:rPr>
        <w:t>必须明确合同金额支付条件及支付比例</w:t>
      </w:r>
    </w:p>
    <w:p w:rsidR="00664F29">
      <w:pPr>
        <w:pStyle w:val="BodyText"/>
        <w:spacing w:after="0"/>
        <w:jc w:val="center"/>
        <w:rPr>
          <w:rFonts w:ascii="宋体" w:hAnsi="宋体" w:cs="宋体"/>
          <w:b/>
          <w:bCs/>
          <w:spacing w:val="-20"/>
          <w:kern w:val="44"/>
          <w:sz w:val="48"/>
          <w:szCs w:val="48"/>
        </w:rPr>
      </w:pPr>
      <w:r>
        <w:rPr>
          <w:b/>
          <w:bCs/>
          <w:szCs w:val="21"/>
        </w:rPr>
        <w:br w:type="page"/>
      </w:r>
      <w:bookmarkStart w:id="70" w:name="_Toc3995"/>
    </w:p>
    <w:p w:rsidR="00664F29">
      <w:pPr>
        <w:pStyle w:val="BodyText"/>
        <w:spacing w:after="0"/>
        <w:jc w:val="center"/>
        <w:rPr>
          <w:rFonts w:ascii="宋体" w:hAnsi="宋体" w:cs="宋体"/>
          <w:b/>
          <w:bCs/>
          <w:spacing w:val="-20"/>
          <w:kern w:val="44"/>
          <w:sz w:val="48"/>
          <w:szCs w:val="48"/>
        </w:rPr>
      </w:pPr>
    </w:p>
    <w:p w:rsidR="00664F29">
      <w:pPr>
        <w:pStyle w:val="BodyText"/>
        <w:spacing w:after="0"/>
        <w:jc w:val="center"/>
        <w:rPr>
          <w:rFonts w:ascii="宋体" w:hAnsi="宋体" w:cs="宋体"/>
          <w:b/>
          <w:bCs/>
          <w:spacing w:val="-20"/>
          <w:kern w:val="44"/>
          <w:sz w:val="48"/>
          <w:szCs w:val="48"/>
        </w:rPr>
      </w:pPr>
    </w:p>
    <w:p w:rsidR="00664F29">
      <w:pPr>
        <w:pStyle w:val="BodyText"/>
        <w:spacing w:after="0"/>
        <w:jc w:val="center"/>
        <w:rPr>
          <w:rFonts w:ascii="宋体" w:hAnsi="宋体" w:cs="宋体"/>
          <w:b/>
          <w:bCs/>
          <w:spacing w:val="-20"/>
          <w:kern w:val="44"/>
          <w:sz w:val="48"/>
          <w:szCs w:val="48"/>
        </w:rPr>
      </w:pPr>
    </w:p>
    <w:p w:rsidR="00664F29">
      <w:pPr>
        <w:pStyle w:val="BodyText"/>
        <w:spacing w:after="0"/>
        <w:jc w:val="center"/>
        <w:rPr>
          <w:rFonts w:ascii="宋体" w:hAnsi="宋体" w:cs="宋体"/>
          <w:b/>
          <w:bCs/>
          <w:spacing w:val="-20"/>
          <w:kern w:val="44"/>
          <w:sz w:val="48"/>
          <w:szCs w:val="48"/>
        </w:rPr>
      </w:pPr>
    </w:p>
    <w:p w:rsidR="00664F2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664F2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664F29">
      <w:pPr>
        <w:rPr>
          <w:rFonts w:ascii="宋体" w:hAnsi="宋体" w:cs="宋体"/>
          <w:b/>
          <w:bCs/>
          <w:spacing w:val="-20"/>
          <w:kern w:val="44"/>
          <w:sz w:val="40"/>
          <w:szCs w:val="40"/>
        </w:rPr>
      </w:pPr>
    </w:p>
    <w:p w:rsidR="00664F29">
      <w:pPr>
        <w:rPr>
          <w:rFonts w:ascii="宋体" w:hAnsi="宋体" w:cs="宋体"/>
          <w:b/>
          <w:bCs/>
          <w:spacing w:val="-20"/>
          <w:kern w:val="44"/>
          <w:sz w:val="40"/>
          <w:szCs w:val="40"/>
        </w:rPr>
      </w:pPr>
    </w:p>
    <w:p w:rsidR="00664F29">
      <w:pPr>
        <w:rPr>
          <w:rFonts w:ascii="宋体" w:hAnsi="宋体" w:cs="宋体"/>
          <w:b/>
          <w:bCs/>
          <w:spacing w:val="-20"/>
          <w:kern w:val="44"/>
          <w:sz w:val="40"/>
          <w:szCs w:val="40"/>
        </w:rPr>
      </w:pPr>
    </w:p>
    <w:p w:rsidR="00664F29">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664F2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664F29">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664F29">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664F29">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664F29"/>
    <w:p w:rsidR="00664F29">
      <w:pPr>
        <w:rPr>
          <w:rFonts w:eastAsia="黑体"/>
          <w:sz w:val="44"/>
          <w:szCs w:val="44"/>
        </w:rPr>
      </w:pPr>
      <w:r>
        <w:rPr>
          <w:rFonts w:eastAsia="黑体"/>
          <w:sz w:val="44"/>
          <w:szCs w:val="44"/>
        </w:rPr>
        <w:br w:type="page"/>
      </w:r>
    </w:p>
    <w:p w:rsidR="00664F29">
      <w:pPr>
        <w:rPr>
          <w:rFonts w:eastAsia="黑体"/>
          <w:sz w:val="44"/>
          <w:szCs w:val="44"/>
        </w:rPr>
      </w:pPr>
    </w:p>
    <w:p w:rsidR="00664F29">
      <w:pPr>
        <w:rPr>
          <w:rFonts w:eastAsia="黑体"/>
          <w:sz w:val="44"/>
          <w:szCs w:val="44"/>
        </w:rPr>
      </w:pPr>
    </w:p>
    <w:p w:rsidR="00664F29">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664F29">
      <w:pPr>
        <w:ind w:firstLine="640" w:firstLineChars="200"/>
        <w:rPr>
          <w:rFonts w:ascii="仿宋_GB2312" w:eastAsia="仿宋_GB2312" w:hAnsi="仿宋_GB2312" w:cs="仿宋_GB2312"/>
          <w:sz w:val="32"/>
          <w:szCs w:val="32"/>
        </w:rPr>
      </w:pPr>
    </w:p>
    <w:p w:rsidR="00664F2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664F29">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664F2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664F29">
      <w:pPr>
        <w:rPr>
          <w:rFonts w:eastAsia="黑体"/>
          <w:sz w:val="44"/>
          <w:szCs w:val="44"/>
        </w:rPr>
        <w:sectPr>
          <w:pgSz w:w="11906" w:h="16838"/>
          <w:pgMar w:top="1440" w:right="1800" w:bottom="1440" w:left="1800" w:header="851" w:footer="992" w:gutter="0"/>
          <w:cols w:space="425"/>
          <w:docGrid w:type="lines" w:linePitch="312"/>
        </w:sectPr>
      </w:pPr>
    </w:p>
    <w:p w:rsidR="00664F29">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664F29">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664F2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664F2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64F29">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64F29">
      <w:pPr>
        <w:spacing w:line="400" w:lineRule="exact"/>
      </w:pPr>
    </w:p>
    <w:p w:rsidR="00664F2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664F29">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664F29">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664F2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664F29">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664F29">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664F29">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664F29">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664F29">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664F2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64F2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664F2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664F2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664F2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64F2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664F2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664F29">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664F29">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664F29">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664F29">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64F29">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64F29">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64F29">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64F29">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64F2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664F2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664F2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664F2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664F29">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664F29">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664F29">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664F29">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664F2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664F29">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664F29">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664F2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664F2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664F29">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664F2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64F2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64F2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664F2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664F2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64F2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64F29">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664F29">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664F2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64F29">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64F2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664F29">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664F2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64F2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664F2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64F2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664F2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664F29">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664F29">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664F29">
      <w:pPr>
        <w:adjustRightInd w:val="0"/>
        <w:snapToGrid w:val="0"/>
        <w:spacing w:line="400" w:lineRule="exact"/>
        <w:ind w:firstLine="630" w:firstLineChars="300"/>
        <w:rPr>
          <w:rFonts w:ascii="宋体" w:hAnsi="宋体"/>
          <w:szCs w:val="21"/>
          <w:u w:val="single"/>
        </w:rPr>
      </w:pPr>
      <w:r>
        <w:rPr>
          <w:rFonts w:ascii="Wingdings" w:hAnsi="Wingdings" w:hint="eastAsia"/>
          <w:szCs w:val="21"/>
        </w:rPr>
        <w:t>√</w:t>
      </w:r>
      <w:r w:rsidR="004230CC">
        <w:rPr>
          <w:rFonts w:ascii="宋体" w:hAnsi="宋体" w:hint="eastAsia"/>
          <w:szCs w:val="21"/>
        </w:rPr>
        <w:t>全额付款：</w:t>
      </w:r>
      <w:r w:rsidR="004230CC">
        <w:rPr>
          <w:rFonts w:ascii="宋体" w:hAnsi="宋体" w:hint="eastAsia"/>
          <w:szCs w:val="21"/>
          <w:u w:val="single"/>
        </w:rPr>
        <w:t xml:space="preserve">     </w:t>
      </w:r>
      <w:r w:rsidR="004230CC">
        <w:rPr>
          <w:rFonts w:ascii="宋体" w:hAnsi="宋体" w:hint="eastAsia"/>
          <w:szCs w:val="21"/>
          <w:u w:val="single"/>
        </w:rPr>
        <w:t>（应明确一次性支付合同款项的条件）</w:t>
      </w:r>
      <w:r w:rsidR="004230CC">
        <w:rPr>
          <w:rFonts w:ascii="宋体" w:hAnsi="宋体" w:hint="eastAsia"/>
          <w:szCs w:val="21"/>
          <w:u w:val="single"/>
        </w:rPr>
        <w:t xml:space="preserve">                    </w:t>
      </w:r>
    </w:p>
    <w:p w:rsidR="00664F29">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664F2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664F29">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664F29" w:rsidP="00945C4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664F2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664F29">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664F29">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664F29">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664F2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664F29">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664F29">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664F29">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664F29">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664F2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664F2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664F29">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64F2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664F2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664F2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664F29">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664F2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664F2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664F2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664F29">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664F29">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664F29">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664F29" w:rsidP="00945C4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664F29">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664F29">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664F29">
      <w:r>
        <w:rPr>
          <w:rFonts w:hint="eastAsia"/>
        </w:rPr>
        <w:br w:type="page"/>
      </w:r>
    </w:p>
    <w:p w:rsidR="00664F29">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664F29">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664F29">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法定代表人</w:t>
            </w:r>
          </w:p>
          <w:p w:rsidR="00664F29">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法定代表人</w:t>
            </w:r>
          </w:p>
          <w:p w:rsidR="00664F2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64F29">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664F29">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664F29">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664F29">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664F29">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664F2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664F2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664F2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664F2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664F2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664F2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664F2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664F29">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664F29">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664F29">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664F2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664F29">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664F2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664F29">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664F29">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664F29">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664F29">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664F29">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664F2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664F2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664F29">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664F29">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664F29">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664F29">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664F29">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664F29">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664F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664F2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664F2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664F29">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664F2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664F29">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664F29">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664F29">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664F29">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664F29">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664F29">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664F29">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664F29">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664F29">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664F29">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664F29">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664F29">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664F29">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664F29">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664F29">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664F29">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664F29">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664F2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664F2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664F2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664F29">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664F2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664F29">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664F29">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664F29">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664F29">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664F29">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664F29">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664F29">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664F29">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664F29">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664F29">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664F29">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664F29"/>
        </w:tc>
      </w:tr>
      <w:tr>
        <w:tblPrEx>
          <w:tblW w:w="8519" w:type="dxa"/>
          <w:tblInd w:w="108" w:type="dxa"/>
          <w:tblLayout w:type="fixed"/>
          <w:tblLook w:val="04A0"/>
        </w:tblPrEx>
        <w:trPr>
          <w:trHeight w:val="667"/>
        </w:trPr>
        <w:tc>
          <w:tcPr>
            <w:tcW w:w="1607" w:type="dxa"/>
            <w:vMerge/>
            <w:vAlign w:val="center"/>
          </w:tcPr>
          <w:p w:rsidR="00664F29">
            <w:pPr>
              <w:adjustRightInd w:val="0"/>
              <w:snapToGrid w:val="0"/>
              <w:jc w:val="center"/>
              <w:rPr>
                <w:rFonts w:ascii="宋体" w:hAnsi="宋体"/>
                <w:szCs w:val="21"/>
              </w:rPr>
            </w:pPr>
          </w:p>
        </w:tc>
        <w:tc>
          <w:tcPr>
            <w:tcW w:w="1742" w:type="dxa"/>
            <w:vAlign w:val="center"/>
          </w:tcPr>
          <w:p w:rsidR="00664F29">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664F29"/>
        </w:tc>
      </w:tr>
      <w:tr>
        <w:tblPrEx>
          <w:tblW w:w="8519" w:type="dxa"/>
          <w:tblInd w:w="108" w:type="dxa"/>
          <w:tblLayout w:type="fixed"/>
          <w:tblLook w:val="04A0"/>
        </w:tblPrEx>
        <w:trPr>
          <w:trHeight w:val="772"/>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664F29"/>
        </w:tc>
      </w:tr>
      <w:tr>
        <w:tblPrEx>
          <w:tblW w:w="8519" w:type="dxa"/>
          <w:tblInd w:w="108" w:type="dxa"/>
          <w:tblLayout w:type="fixed"/>
          <w:tblLook w:val="04A0"/>
        </w:tblPrEx>
        <w:trPr>
          <w:trHeight w:val="667"/>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664F29"/>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664F29">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货物质量缺陷</w:t>
            </w:r>
          </w:p>
          <w:p w:rsidR="00664F29">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snapToGrid w:val="0"/>
              <w:jc w:val="center"/>
              <w:rPr>
                <w:rFonts w:ascii="宋体" w:hAnsi="宋体" w:cs="宋体"/>
                <w:szCs w:val="21"/>
              </w:rPr>
            </w:pPr>
            <w:r>
              <w:rPr>
                <w:rFonts w:ascii="宋体" w:hAnsi="宋体" w:cs="宋体" w:hint="eastAsia"/>
                <w:szCs w:val="21"/>
              </w:rPr>
              <w:t>第二节</w:t>
            </w:r>
          </w:p>
          <w:p w:rsidR="00664F29">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664F29">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664F2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664F29">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664F29">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664F29">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664F29">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664F29">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664F2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664F2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664F29">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664F29">
            <w:pPr>
              <w:adjustRightInd w:val="0"/>
              <w:snapToGrid w:val="0"/>
              <w:jc w:val="center"/>
              <w:rPr>
                <w:rFonts w:ascii="宋体" w:hAnsi="宋体"/>
                <w:szCs w:val="21"/>
              </w:rPr>
            </w:pPr>
            <w:r>
              <w:rPr>
                <w:rFonts w:ascii="宋体" w:hAnsi="宋体" w:hint="eastAsia"/>
                <w:szCs w:val="21"/>
              </w:rPr>
              <w:t>第二节</w:t>
            </w:r>
          </w:p>
          <w:p w:rsidR="00664F2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664F29">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664F29">
            <w:pPr>
              <w:adjustRightInd w:val="0"/>
              <w:snapToGrid w:val="0"/>
              <w:jc w:val="left"/>
              <w:rPr>
                <w:rFonts w:ascii="宋体" w:hAnsi="宋体"/>
                <w:szCs w:val="21"/>
              </w:rPr>
            </w:pPr>
          </w:p>
        </w:tc>
      </w:tr>
    </w:tbl>
    <w:p w:rsidR="00664F29"/>
    <w:p w:rsidR="00664F29">
      <w:pPr>
        <w:rPr>
          <w:b/>
          <w:bCs/>
          <w:sz w:val="44"/>
          <w:szCs w:val="44"/>
        </w:rPr>
      </w:pPr>
    </w:p>
    <w:p w:rsidR="00664F29"/>
    <w:p w:rsidR="00A77B3E"/>
    <w:p w:rsidR="00664F29" w:rsidP="00945C48">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A445131"/>
    <w:multiLevelType w:val="singleLevel"/>
    <w:tmpl w:val="DA445131"/>
    <w:lvl w:ilvl="0">
      <w:start w:val="3"/>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2"/>
  </w:num>
  <w:num w:numId="5">
    <w:abstractNumId w:val="12"/>
  </w:num>
  <w:num w:numId="6">
    <w:abstractNumId w:val="13"/>
  </w:num>
  <w:num w:numId="7">
    <w:abstractNumId w:val="1"/>
  </w:num>
  <w:num w:numId="8">
    <w:abstractNumId w:val="6"/>
  </w:num>
  <w:num w:numId="9">
    <w:abstractNumId w:val="4"/>
  </w:num>
  <w:num w:numId="10">
    <w:abstractNumId w:val="3"/>
  </w:num>
  <w:num w:numId="11">
    <w:abstractNumId w:val="11"/>
  </w:num>
  <w:num w:numId="12">
    <w:abstractNumId w:val="0"/>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0CC"/>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4F29"/>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5C48"/>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
    <w:name w:val="Body Text First Indent"/>
    <w:basedOn w:val="BodyText"/>
    <w:uiPriority w:val="99"/>
    <w:unhideWhenUsed/>
    <w:qFormat/>
    <w:pPr>
      <w:widowControl w:val="0"/>
      <w:ind w:firstLine="420" w:firstLineChars="100"/>
      <w:jc w:val="both"/>
    </w:pPr>
    <w:rPr>
      <w:rFonts w:ascii="Times New Roman" w:eastAsia="宋体" w:hAnsi="Times New Roman" w:cstheme="minorBidi"/>
      <w:color w:val="auto"/>
      <w:kern w:val="2"/>
      <w:szCs w:val="22"/>
      <w:lang w:val="en-US"/>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