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GNSS加密水汽观测站升级改造</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ZQCD-25259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中国气象局武汉暴雨研究所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GNSS加密水汽观测站升级改造</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ZQCD-25259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湖北</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2025年08月29日 00:00:00</w:t>
      </w:r>
      <w:bookmarkEnd w:id="26"/>
      <w:r>
        <w:rPr>
          <w:rFonts w:ascii="宋体" w:hint="eastAsia"/>
          <w:szCs w:val="21"/>
          <w:highlight w:val="none"/>
        </w:rPr>
        <w:t>至</w:t>
      </w:r>
      <w:bookmarkStart w:id="27" w:name="项目公告_signUpLastTime"/>
      <w:r>
        <w:rPr>
          <w:rFonts w:ascii="宋体" w:hint="eastAsia"/>
          <w:szCs w:val="21"/>
          <w:highlight w:val="none"/>
        </w:rPr>
        <w:t>2025年09月05日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2025年09月19日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中国气象局武汉暴雨研究所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张文刚</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027-81804913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湖北省武汉市东湖新技术开发区金融港二路6号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中国气象局武汉暴雨研究所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允许（仅针对以下产品：所有产品允许代理商投标）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设有，核心产品为GNSS水汽站升级改造</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标的：GNSS加密水汽观测站升级改造，属于工业行业；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154.200000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154.200000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投标人具有 ISO9000系列或GJB9001B质量管理体系认证，得2分。否则不得分。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(4)</w:t>
            </w:r>
          </w:p>
        </w:tc>
        <w:tc>
          <w:tcPr/>
          <w:p>
            <w:r>
              <w:t>评审标准：</w:t>
            </w:r>
          </w:p>
          <w:p>
            <w:r>
              <w:t>投标人提供的销售合同必须包括GNSS水汽站，每提供1份合同得1分，最多得4分。否则不得分。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投标人应提供该项评审标准中要求的培训承诺及方案。具体标准评分如下：</w:t>
              <w:cr/>
              <w:t>一档：未同时提供承诺和培训方案；</w:t>
              <w:cr/>
              <w:t>二档：同时提供承诺和培训方案，但培训方案不完整，培训内容针对性不强；</w:t>
              <w:cr/>
              <w:t>三档：同时提供承诺和培训方案，培训方案完整，培训内容有一定针对性，基本满足采购文件需求；</w:t>
              <w:cr/>
              <w:t>四档：同时提供承诺和培训方案，培训方案完整，培训内容突出、针对性强，完全满足采购文件需求。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设备备案支持方案（主观分）</w:t>
            </w:r>
          </w:p>
        </w:tc>
        <w:tc>
          <w:tcPr/>
          <w:p>
            <w:r>
              <w:t>勾选打分</w:t>
            </w:r>
            <w:r>
              <w:t>(5)</w:t>
            </w:r>
          </w:p>
        </w:tc>
        <w:tc>
          <w:tcPr/>
          <w:p>
            <w:r>
              <w:t>评审标准：</w:t>
            </w:r>
          </w:p>
          <w:p>
            <w:r>
              <w:t>针对GNSS加密水汽观测站设备建设、运维与备案需求，提供升级后设备能在自然资源厅备案的技术实施方案：</w:t>
              <w:cr/>
              <w:t>一档0分</w:t>
              <w:cr/>
              <w:t>二档1分</w:t>
              <w:cr/>
              <w:t>三档3分</w:t>
              <w:cr/>
              <w:t>四档5分</w:t>
            </w:r>
          </w:p>
          <w:p>
            <w:r>
              <w:t>评审标准说明：</w:t>
            </w:r>
          </w:p>
          <w:p>
            <w:r>
              <w:t>根据投标人提供的技术方案和能证明投标产品及实施方案符合备案的完整性进行评分，具体评分标准如下：</w:t>
              <w:cr/>
              <w:t>一档：未提供设备备案支持方案；</w:t>
              <w:cr/>
              <w:t>二档：设备备案支持方案能按照招标文件的要求进行响应，方案结构不清晰，缺乏系统性。</w:t>
              <w:cr/>
              <w:t>三档：设备备案支持能满足采购文件要求，未提供项目备案的资质文件。</w:t>
              <w:cr/>
              <w:t>四档：设备备案支持能按照招标文件的要求进行响应，方案详细具体，针对性强，与项目实际情况相契合，提供项目备案的资质文件</w:t>
              <w:cr/>
              <w:t>注：提供的备案资质文件需加盖投标人公章。</w:t>
            </w:r>
          </w:p>
          <w:p/>
        </w:tc>
      </w:tr>
      <w:tr>
        <w:tblPrEx>
          <w:tblW w:w="5000" w:type="pct"/>
          <w:tblCellMar>
            <w:left w:w="108" w:type="dxa"/>
            <w:right w:w="108" w:type="dxa"/>
          </w:tblCellMar>
        </w:tblPrEx>
        <w:tc>
          <w:tcPr/>
          <w:p>
            <w:r>
              <w:t>8</w:t>
            </w:r>
          </w:p>
        </w:tc>
        <w:tc>
          <w:tcPr>
            <w:vMerge/>
          </w:tcPr>
          <w:p>
            <w:r>
              <w:t>服务部分</w:t>
            </w:r>
          </w:p>
        </w:tc>
        <w:tc>
          <w:tcPr/>
          <w:p>
            <w:r>
              <w:t>交货期保证（客观分）</w:t>
            </w:r>
          </w:p>
        </w:tc>
        <w:tc>
          <w:tcPr/>
          <w:p>
            <w:r>
              <w:t>勾选打分</w:t>
            </w:r>
            <w:r>
              <w:t>(3)</w:t>
            </w:r>
          </w:p>
        </w:tc>
        <w:tc>
          <w:tcPr/>
          <w:p>
            <w:r>
              <w:t>评审标准：</w:t>
            </w:r>
          </w:p>
          <w:p>
            <w:r>
              <w:t>针对本项目采购的GNSS水汽站，承诺每提前5天交货的得1分，最多得3分。否则不得分。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(4)</w:t>
            </w:r>
          </w:p>
        </w:tc>
        <w:tc>
          <w:tcPr/>
          <w:p>
            <w:r>
              <w:t>评审标准：</w:t>
            </w:r>
          </w:p>
          <w:p>
            <w:r>
              <w:t xml:space="preserve">1、投标人为本项目拟派的服务团队中项目经理应具有3年以上相关工作经验的得2分； </w:t>
              <w:cr/>
              <w:t>2、除项目经理外至少1人具有2年及以上相关工作经验的，得2分；为本项目派出的技术人员至少1人具有1年及以上相关工作经验的，得1分；其他不得分。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tcPr>
          <w:p>
            <w:r>
              <w:t>服务部分</w:t>
            </w:r>
          </w:p>
        </w:tc>
        <w:tc>
          <w:tcPr/>
          <w:p>
            <w:r>
              <w:t>产品质量保证能力（客观分）</w:t>
            </w:r>
          </w:p>
        </w:tc>
        <w:tc>
          <w:tcPr/>
          <w:p>
            <w:r>
              <w:t>勾选打分</w:t>
            </w:r>
            <w:r>
              <w:t>(3)</w:t>
            </w:r>
          </w:p>
        </w:tc>
        <w:tc>
          <w:tcPr/>
          <w:p>
            <w:r>
              <w:t>评审标准：</w:t>
            </w:r>
          </w:p>
          <w:p>
            <w:r>
              <w:t>提供投标产品用户评价为满意的满意度证明，每提供一份得1分，最多得3分，否则不得分。</w:t>
            </w:r>
          </w:p>
          <w:p>
            <w:r>
              <w:t>评审标准说明：</w:t>
            </w:r>
          </w:p>
          <w:p>
            <w:r>
              <w:t>针对该投标产品，提供用户在投标截止日前三年内出具的，涵盖稳定运行、实际应用情况等内容且用户评价为正面或满意的用户证明（含用户单位联系人、联系方式），并加盖投标人公章。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11</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(1)</w:t>
            </w:r>
          </w:p>
        </w:tc>
        <w:tc>
          <w:tcPr/>
          <w:p>
            <w:r>
              <w:t>评审标准：</w:t>
            </w:r>
          </w:p>
          <w:p>
            <w:r>
              <w:t>针对GNSS加密水汽观测站设备，测试报告应涵盖设备对周围环境反射信号的抗干扰性等内容，最多得1分。</w:t>
            </w:r>
          </w:p>
          <w:p>
            <w:r>
              <w:t>评审标准说明：</w:t>
            </w:r>
          </w:p>
          <w:p>
            <w:r>
              <w:t>针对该项评审标准中所指标的物，提供第三方检测机构出具的，有该项评审标准所规定的内容且判定结果为符合的环境适应性测试报告，并加盖投标人公章。</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hint="eastAsia"/>
          <w:szCs w:val="21"/>
        </w:rPr>
      </w:pPr>
      <w:r>
        <w:rPr>
          <w:rFonts w:ascii="宋体" w:hAnsi="宋体" w:hint="eastAsia"/>
          <w:szCs w:val="21"/>
        </w:rPr>
        <w:t>一、项目概况及总体要求</w:t>
      </w:r>
    </w:p>
    <w:p>
      <w:pPr>
        <w:spacing w:line="360" w:lineRule="auto"/>
        <w:ind w:firstLine="420" w:firstLineChars="200"/>
        <w:rPr>
          <w:rFonts w:ascii="宋体" w:hAnsi="宋体" w:hint="default"/>
          <w:szCs w:val="21"/>
        </w:rPr>
      </w:pPr>
      <w:r>
        <w:rPr>
          <w:rFonts w:ascii="宋体" w:hAnsi="宋体" w:hint="eastAsia"/>
          <w:szCs w:val="21"/>
          <w:lang w:val="en-US" w:eastAsia="zh-CN"/>
        </w:rPr>
        <w:t>1.1.</w:t>
      </w:r>
      <w:r>
        <w:rPr>
          <w:rFonts w:ascii="宋体" w:hAnsi="宋体" w:hint="default"/>
          <w:szCs w:val="21"/>
          <w:lang w:val="en-US" w:eastAsia="zh-CN"/>
        </w:rPr>
        <w:t>项目概况</w:t>
      </w:r>
    </w:p>
    <w:p>
      <w:pPr>
        <w:spacing w:line="360" w:lineRule="auto"/>
        <w:ind w:firstLine="420" w:firstLineChars="200"/>
        <w:rPr>
          <w:rFonts w:ascii="宋体" w:hAnsi="宋体" w:hint="default"/>
          <w:szCs w:val="21"/>
        </w:rPr>
      </w:pPr>
      <w:r>
        <w:rPr>
          <w:rFonts w:ascii="宋体" w:hAnsi="宋体" w:hint="default"/>
          <w:szCs w:val="21"/>
          <w:lang w:val="en-US" w:eastAsia="zh-CN"/>
        </w:rPr>
        <w:t>项目隶属于202</w:t>
      </w:r>
      <w:r>
        <w:rPr>
          <w:rFonts w:ascii="宋体" w:hAnsi="宋体" w:hint="eastAsia"/>
          <w:szCs w:val="21"/>
          <w:lang w:val="en-US" w:eastAsia="zh-CN"/>
        </w:rPr>
        <w:t>5</w:t>
      </w:r>
      <w:r>
        <w:rPr>
          <w:rFonts w:ascii="宋体" w:hAnsi="宋体" w:hint="default"/>
          <w:szCs w:val="21"/>
          <w:lang w:val="en-US" w:eastAsia="zh-CN"/>
        </w:rPr>
        <w:t>年度财政部中央级科研院所改善科研条件专项《高空风和水汽廓线观测设备升级》，该项目建设主要包括对中国气象局武汉暴雨研究所12个GNSS加密水汽观测站进行设备软硬件技术升级，实现单北斗数据接收和反演，提升设备安全性能，提高GNSS数据传输稳定及产品种类及交互性能。主要包括：（1）GNSS接收机及天线升级。改造后实现GNSS接收机的国产化以及单北斗信号接收功能，提高数据的稳定性和安全性。设备升级的同时解决基站周边高层建筑物、高大植被等带来的GNSS遮挡问题，同时兼顾站点设备对未来卫星系统的兼容性。（2）供电系统及通信模块升级。通过对供电系统升级改造，避免在长时间光照不足的情况下，电池储能不足导致的主机设备损坏，将通讯模块升级为4G网络可提高数据传输质量。（3）控制中心软件升级改造。在对GNSS站点硬件升级改造的基础上，为最大限度的发挥升级后设备的新功能（如：实现网络RTK服务、控制测量、监测的全应用的解决方案），需要对控制中心的软件进行升级改造，将现在的Spider软件升级为Spider 7.81+SBC 7.81，数据库升级为SQL Server 2019。（4）其它功能升级。其它功能单元和器件，如馈线避雷器、SD卡、室外机柜、电缆等，更换为性能更稳定、质量更好的新款，以达到更好效果，升级数据产品显示模块，增加更多产品和交互选项。（5）GNSS站网数据收集与解算系统建设。完成对12个GNSS加密水汽观测站数据的收集，并开展实时解算，观测与解算数据直接上传指定服务器。</w:t>
      </w:r>
    </w:p>
    <w:p>
      <w:pPr>
        <w:spacing w:line="360" w:lineRule="auto"/>
        <w:ind w:firstLine="420" w:firstLineChars="200"/>
        <w:rPr>
          <w:rFonts w:ascii="宋体" w:hAnsi="宋体" w:hint="default"/>
          <w:szCs w:val="21"/>
        </w:rPr>
      </w:pPr>
      <w:r>
        <w:rPr>
          <w:rFonts w:ascii="宋体" w:hAnsi="宋体" w:hint="eastAsia"/>
          <w:szCs w:val="21"/>
          <w:lang w:val="en-US" w:eastAsia="zh-CN"/>
        </w:rPr>
        <w:t>1.</w:t>
      </w:r>
      <w:r>
        <w:rPr>
          <w:rFonts w:ascii="宋体" w:hAnsi="宋体" w:hint="default"/>
          <w:szCs w:val="21"/>
          <w:lang w:val="en-US" w:eastAsia="zh-CN"/>
        </w:rPr>
        <w:t>2.总体要求</w:t>
      </w:r>
    </w:p>
    <w:p>
      <w:pPr>
        <w:spacing w:line="360" w:lineRule="auto"/>
        <w:ind w:firstLine="420" w:firstLineChars="200"/>
        <w:rPr>
          <w:rFonts w:ascii="宋体" w:hAnsi="宋体" w:hint="default"/>
          <w:szCs w:val="21"/>
        </w:rPr>
      </w:pPr>
      <w:r>
        <w:rPr>
          <w:rFonts w:ascii="宋体" w:hAnsi="宋体" w:hint="default"/>
          <w:szCs w:val="21"/>
          <w:lang w:val="en-US" w:eastAsia="zh-CN"/>
        </w:rPr>
        <w:t>（1）投标人提供的设备与软件必须满足标书提出的功能和规格描述。</w:t>
      </w:r>
    </w:p>
    <w:p>
      <w:pPr>
        <w:spacing w:line="360" w:lineRule="auto"/>
        <w:ind w:firstLine="420" w:firstLineChars="200"/>
        <w:rPr>
          <w:rFonts w:ascii="宋体" w:hAnsi="宋体" w:hint="default"/>
          <w:szCs w:val="21"/>
        </w:rPr>
      </w:pPr>
      <w:r>
        <w:rPr>
          <w:rFonts w:ascii="宋体" w:hAnsi="宋体" w:hint="default"/>
          <w:szCs w:val="21"/>
          <w:lang w:val="en-US" w:eastAsia="zh-CN"/>
        </w:rPr>
        <w:t>（2）投标人提供的系统软、硬件的性能应达到或超过招标书所列技术指标。投标人在响应建议中必须就有关技术指标列出具体数值，否则将视为不符合技术性能需求。</w:t>
      </w:r>
    </w:p>
    <w:p>
      <w:pPr>
        <w:spacing w:line="360" w:lineRule="auto"/>
        <w:ind w:firstLine="420" w:firstLineChars="200"/>
        <w:rPr>
          <w:rFonts w:ascii="宋体" w:hAnsi="宋体" w:hint="default"/>
          <w:szCs w:val="21"/>
        </w:rPr>
      </w:pPr>
      <w:r>
        <w:rPr>
          <w:rFonts w:ascii="宋体" w:hAnsi="宋体" w:hint="default"/>
          <w:szCs w:val="21"/>
          <w:lang w:val="en-US" w:eastAsia="zh-CN"/>
        </w:rPr>
        <w:t>（3）投标人的设备报价表应尽量具体详细，报价表中要明确设备厂家、型号和价格等。</w:t>
      </w:r>
    </w:p>
    <w:p>
      <w:pPr>
        <w:spacing w:line="360" w:lineRule="auto"/>
        <w:ind w:firstLine="420" w:firstLineChars="200"/>
        <w:rPr>
          <w:rFonts w:ascii="宋体" w:hAnsi="宋体" w:hint="default"/>
          <w:szCs w:val="21"/>
        </w:rPr>
      </w:pPr>
      <w:r>
        <w:rPr>
          <w:rFonts w:ascii="宋体" w:hAnsi="宋体" w:hint="default"/>
          <w:szCs w:val="21"/>
          <w:lang w:val="en-US" w:eastAsia="zh-CN"/>
        </w:rPr>
        <w:t>（4）所列性能指标要求只是最低标准，还需要考察性能高低和方案（包括技术和售后服务）优劣以及设备价格，择性价比最优者选用。</w:t>
      </w:r>
    </w:p>
    <w:p>
      <w:pPr>
        <w:spacing w:line="360" w:lineRule="auto"/>
        <w:ind w:firstLine="420" w:firstLineChars="200"/>
        <w:rPr>
          <w:rFonts w:ascii="宋体" w:hAnsi="宋体" w:hint="default"/>
          <w:szCs w:val="21"/>
        </w:rPr>
      </w:pPr>
      <w:r>
        <w:rPr>
          <w:rFonts w:ascii="宋体" w:hAnsi="宋体" w:hint="default"/>
          <w:szCs w:val="21"/>
          <w:lang w:val="en-US" w:eastAsia="zh-CN"/>
        </w:rPr>
        <w:t>（5）供货商提供的设备的性能指标，按照投标时厂家公开公布的实际性能指标参数如实填写，填写“将来支持或未来支持等不确切的性能指标参数”，即为不支持；若发现弄虚作假，即废标，并追究投标人和生产厂家递交虚假资料的法律责任。</w:t>
      </w:r>
    </w:p>
    <w:p>
      <w:pPr>
        <w:spacing w:line="360" w:lineRule="auto"/>
        <w:ind w:firstLine="420" w:firstLineChars="200"/>
        <w:rPr>
          <w:rFonts w:ascii="宋体" w:hAnsi="宋体" w:hint="eastAsia"/>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hint="eastAsia"/>
          <w:szCs w:val="21"/>
        </w:rPr>
      </w:pPr>
      <w:r>
        <w:rPr>
          <w:rFonts w:ascii="宋体" w:hAnsi="宋体" w:hint="eastAsia"/>
          <w:szCs w:val="21"/>
        </w:rPr>
        <w:t>三、技术性能指标</w:t>
      </w:r>
    </w:p>
    <w:tbl>
      <w:tblPr>
        <w:tblStyle w:val="TableNormal"/>
        <w:tblW w:w="8567" w:type="dxa"/>
        <w:tblInd w:w="113" w:type="dxa"/>
        <w:tblCellMar>
          <w:top w:w="0" w:type="dxa"/>
          <w:left w:w="108" w:type="dxa"/>
          <w:bottom w:w="0" w:type="dxa"/>
          <w:right w:w="108" w:type="dxa"/>
        </w:tblCellMar>
      </w:tblPr>
      <w:tblGrid>
        <w:gridCol w:w="527"/>
        <w:gridCol w:w="510"/>
        <w:gridCol w:w="7530"/>
      </w:tblGrid>
      <w:tr>
        <w:tblPrEx>
          <w:tblW w:w="8567" w:type="dxa"/>
          <w:tblInd w:w="113" w:type="dxa"/>
          <w:tblCellMar>
            <w:top w:w="0" w:type="dxa"/>
            <w:left w:w="108" w:type="dxa"/>
            <w:bottom w:w="0" w:type="dxa"/>
            <w:right w:w="108" w:type="dxa"/>
          </w:tblCellMar>
        </w:tblPrEx>
        <w:trPr>
          <w:trHeight w:val="307"/>
        </w:trPr>
        <w:tc>
          <w:tcPr>
            <w:tcW w:w="527" w:type="dxa"/>
            <w:tcBorders>
              <w:top w:val="single" w:sz="4" w:space="0" w:color="auto"/>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标注</w:t>
            </w:r>
          </w:p>
        </w:tc>
        <w:tc>
          <w:tcPr>
            <w:tcW w:w="510" w:type="dxa"/>
            <w:tcBorders>
              <w:top w:val="single" w:sz="4" w:space="0" w:color="auto"/>
              <w:left w:val="nil"/>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序号</w:t>
            </w:r>
          </w:p>
        </w:tc>
        <w:tc>
          <w:tcPr>
            <w:tcW w:w="7530" w:type="dxa"/>
            <w:tcBorders>
              <w:top w:val="single" w:sz="4" w:space="0" w:color="auto"/>
              <w:left w:val="nil"/>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技术规格及配置</w:t>
            </w:r>
          </w:p>
        </w:tc>
      </w:tr>
      <w:tr>
        <w:tblPrEx>
          <w:tblW w:w="8567" w:type="dxa"/>
          <w:tblInd w:w="113" w:type="dxa"/>
          <w:tblCellMar>
            <w:top w:w="0" w:type="dxa"/>
            <w:left w:w="108" w:type="dxa"/>
            <w:bottom w:w="0" w:type="dxa"/>
            <w:right w:w="108" w:type="dxa"/>
          </w:tblCellMar>
        </w:tblPrEx>
        <w:trPr>
          <w:trHeight w:val="555"/>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1</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北斗信号：B1I，B1C，B2A，B2B，B2I，B3I</w:t>
            </w:r>
          </w:p>
        </w:tc>
      </w:tr>
      <w:tr>
        <w:tblPrEx>
          <w:tblW w:w="8567" w:type="dxa"/>
          <w:tblInd w:w="113" w:type="dxa"/>
          <w:tblCellMar>
            <w:top w:w="0" w:type="dxa"/>
            <w:left w:w="108" w:type="dxa"/>
            <w:bottom w:w="0" w:type="dxa"/>
            <w:right w:w="108" w:type="dxa"/>
          </w:tblCellMar>
        </w:tblPrEx>
        <w:trPr>
          <w:trHeight w:val="555"/>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2</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通信协议：接收机太网接口应支持TCP Client、TCP Server、Ntrip server、Ntrip Caster、NTRIP Source，支持VPN、SNMP、内网穿透、FTP等多种类型的通讯支持。</w:t>
            </w:r>
          </w:p>
        </w:tc>
      </w:tr>
      <w:tr>
        <w:tblPrEx>
          <w:tblW w:w="8567" w:type="dxa"/>
          <w:tblInd w:w="113" w:type="dxa"/>
          <w:tblCellMar>
            <w:top w:w="0" w:type="dxa"/>
            <w:left w:w="108" w:type="dxa"/>
            <w:bottom w:w="0" w:type="dxa"/>
            <w:right w:w="108" w:type="dxa"/>
          </w:tblCellMar>
        </w:tblPrEx>
        <w:trPr>
          <w:trHeight w:val="545"/>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3</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网络安全：接收机默认端口关闭，采用HTTPS加密连接（可用户自定义端口），SSL证书，接入管理和端口拦截、防火墙白名单、黑名单等多种方式确保安全访问。</w:t>
            </w:r>
          </w:p>
        </w:tc>
      </w:tr>
      <w:tr>
        <w:tblPrEx>
          <w:tblW w:w="8567" w:type="dxa"/>
          <w:tblInd w:w="113" w:type="dxa"/>
          <w:tblCellMar>
            <w:top w:w="0" w:type="dxa"/>
            <w:left w:w="108" w:type="dxa"/>
            <w:bottom w:w="0" w:type="dxa"/>
            <w:right w:w="108" w:type="dxa"/>
          </w:tblCellMar>
        </w:tblPrEx>
        <w:trPr>
          <w:trHeight w:val="555"/>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4</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防水防尘：同时符合IP68防护等级，在相对湿度100%、冷凝的环境下能够长期连续正常工作，且可以临时性浸入水下1米而不损坏仪器。</w:t>
            </w:r>
          </w:p>
        </w:tc>
      </w:tr>
      <w:tr>
        <w:tblPrEx>
          <w:tblW w:w="8567" w:type="dxa"/>
          <w:tblInd w:w="113" w:type="dxa"/>
          <w:tblCellMar>
            <w:top w:w="0" w:type="dxa"/>
            <w:left w:w="108" w:type="dxa"/>
            <w:bottom w:w="0" w:type="dxa"/>
            <w:right w:w="108" w:type="dxa"/>
          </w:tblCellMar>
        </w:tblPrEx>
        <w:trPr>
          <w:trHeight w:val="555"/>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5</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用户界面：开关与4个按键以及显示屏4个LED指示灯， 蓝牙、差分传输、数据记录、电源指示灯，具备可视化的液晶面板及按键，方便现场设置接收机IP地址、站名、天线类型等参数</w:t>
            </w:r>
          </w:p>
        </w:tc>
      </w:tr>
      <w:tr>
        <w:tblPrEx>
          <w:tblW w:w="8567" w:type="dxa"/>
          <w:tblInd w:w="113" w:type="dxa"/>
          <w:tblCellMar>
            <w:top w:w="0" w:type="dxa"/>
            <w:left w:w="108" w:type="dxa"/>
            <w:bottom w:w="0" w:type="dxa"/>
            <w:right w:w="108" w:type="dxa"/>
          </w:tblCellMar>
        </w:tblPrEx>
        <w:trPr>
          <w:trHeight w:val="32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6</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 xml:space="preserve">观测值：1408通道 </w:t>
            </w:r>
          </w:p>
        </w:tc>
      </w:tr>
      <w:tr>
        <w:tblPrEx>
          <w:tblW w:w="8567" w:type="dxa"/>
          <w:tblInd w:w="113" w:type="dxa"/>
          <w:tblCellMar>
            <w:top w:w="0" w:type="dxa"/>
            <w:left w:w="108" w:type="dxa"/>
            <w:bottom w:w="0" w:type="dxa"/>
            <w:right w:w="108" w:type="dxa"/>
          </w:tblCellMar>
        </w:tblPrEx>
        <w:trPr>
          <w:trHeight w:val="27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7</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数据存储：内置32G数据存储，支持TF card / USB Flash Drive / SSD扩展</w:t>
            </w:r>
          </w:p>
        </w:tc>
      </w:tr>
      <w:tr>
        <w:tblPrEx>
          <w:tblW w:w="8567" w:type="dxa"/>
          <w:tblInd w:w="113" w:type="dxa"/>
          <w:tblCellMar>
            <w:top w:w="0" w:type="dxa"/>
            <w:left w:w="108" w:type="dxa"/>
            <w:bottom w:w="0" w:type="dxa"/>
            <w:right w:w="108" w:type="dxa"/>
          </w:tblCellMar>
        </w:tblPrEx>
        <w:trPr>
          <w:trHeight w:val="555"/>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8</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采样率及初始化可靠性：接收机应可设置不同的数据采样率，最高采样率必须不低于20Hz，可达到50HZ，初始化可靠性：置信度＞99.9%。</w:t>
            </w:r>
          </w:p>
        </w:tc>
      </w:tr>
      <w:tr>
        <w:tblPrEx>
          <w:tblW w:w="8567" w:type="dxa"/>
          <w:tblInd w:w="113" w:type="dxa"/>
          <w:tblCellMar>
            <w:top w:w="0" w:type="dxa"/>
            <w:left w:w="108" w:type="dxa"/>
            <w:bottom w:w="0" w:type="dxa"/>
            <w:right w:w="108" w:type="dxa"/>
          </w:tblCellMar>
        </w:tblPrEx>
        <w:trPr>
          <w:trHeight w:val="535"/>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9</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具备极为丰富的通信端口：接收机具备独立的USB、2个RS232串口、3个COM口、1pps、Event、SIM、Tfcard、RJ45、GNSS、OSC。</w:t>
            </w:r>
          </w:p>
        </w:tc>
      </w:tr>
      <w:tr>
        <w:tblPrEx>
          <w:tblW w:w="8567" w:type="dxa"/>
          <w:tblInd w:w="113" w:type="dxa"/>
          <w:tblCellMar>
            <w:top w:w="0" w:type="dxa"/>
            <w:left w:w="108" w:type="dxa"/>
            <w:bottom w:w="0" w:type="dxa"/>
            <w:right w:w="108" w:type="dxa"/>
          </w:tblCellMar>
        </w:tblPrEx>
        <w:trPr>
          <w:trHeight w:val="555"/>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10</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通信端口及模块：可以外接原子钟频标接口，通讯模块：内置4G通讯模块，无需外置设备可以直接接入GPRS网络。</w:t>
            </w:r>
          </w:p>
        </w:tc>
      </w:tr>
      <w:tr>
        <w:tblPrEx>
          <w:tblW w:w="8567" w:type="dxa"/>
          <w:tblInd w:w="113" w:type="dxa"/>
          <w:tblCellMar>
            <w:top w:w="0" w:type="dxa"/>
            <w:left w:w="108" w:type="dxa"/>
            <w:bottom w:w="0" w:type="dxa"/>
            <w:right w:w="108" w:type="dxa"/>
          </w:tblCellMar>
        </w:tblPrEx>
        <w:trPr>
          <w:trHeight w:val="27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11</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接收机配置：内置Liunx程序，稳定的系统内核和数据输出程序。</w:t>
            </w:r>
          </w:p>
        </w:tc>
      </w:tr>
      <w:tr>
        <w:tblPrEx>
          <w:tblW w:w="8567" w:type="dxa"/>
          <w:tblInd w:w="113" w:type="dxa"/>
          <w:tblCellMar>
            <w:top w:w="0" w:type="dxa"/>
            <w:left w:w="108" w:type="dxa"/>
            <w:bottom w:w="0" w:type="dxa"/>
            <w:right w:w="108" w:type="dxa"/>
          </w:tblCellMar>
        </w:tblPrEx>
        <w:trPr>
          <w:trHeight w:val="32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12</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静态精度：测量精度满足平面: 2.5 mm+1 ppm / 高程: 5mm+1ppm；</w:t>
            </w:r>
          </w:p>
        </w:tc>
      </w:tr>
      <w:tr>
        <w:tblPrEx>
          <w:tblW w:w="8567" w:type="dxa"/>
          <w:tblInd w:w="113" w:type="dxa"/>
          <w:tblCellMar>
            <w:top w:w="0" w:type="dxa"/>
            <w:left w:w="108" w:type="dxa"/>
            <w:bottom w:w="0" w:type="dxa"/>
            <w:right w:w="108" w:type="dxa"/>
          </w:tblCellMar>
        </w:tblPrEx>
        <w:trPr>
          <w:trHeight w:val="802"/>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left"/>
              <w:rPr>
                <w:rFonts w:ascii="Times New Roman" w:hAnsi="Times New Roman" w:cs="Times New Roman" w:hint="default"/>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13</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数据传输：通过TCP/IP、Ntrip、UDP等多种传输协议；传输端口：Rthernet、串口、Wifi，内置4G模块，实时数据流支持RTCM 2.3, 3.0, 3.2, CMR, CMR+, DGPS, BINEX,RAW, NMEA 0183 V 2.20 和专用格式的数据传输。</w:t>
            </w:r>
          </w:p>
        </w:tc>
      </w:tr>
      <w:tr>
        <w:tblPrEx>
          <w:tblW w:w="8567" w:type="dxa"/>
          <w:tblInd w:w="113" w:type="dxa"/>
          <w:tblCellMar>
            <w:top w:w="0" w:type="dxa"/>
            <w:left w:w="108" w:type="dxa"/>
            <w:bottom w:w="0" w:type="dxa"/>
            <w:right w:w="108" w:type="dxa"/>
          </w:tblCellMar>
        </w:tblPrEx>
        <w:trPr>
          <w:trHeight w:val="27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left"/>
              <w:rPr>
                <w:rFonts w:ascii="Times New Roman" w:hAnsi="Times New Roman" w:cs="Times New Roman" w:hint="default"/>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14</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工作温度：-45 ℃到 +65℃的环境下能长期连续正常工作。</w:t>
            </w:r>
          </w:p>
        </w:tc>
      </w:tr>
      <w:tr>
        <w:tblPrEx>
          <w:tblW w:w="8567" w:type="dxa"/>
          <w:tblInd w:w="113" w:type="dxa"/>
          <w:tblCellMar>
            <w:top w:w="0" w:type="dxa"/>
            <w:left w:w="108" w:type="dxa"/>
            <w:bottom w:w="0" w:type="dxa"/>
            <w:right w:w="108" w:type="dxa"/>
          </w:tblCellMar>
        </w:tblPrEx>
        <w:trPr>
          <w:trHeight w:val="545"/>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left"/>
              <w:rPr>
                <w:rFonts w:ascii="Times New Roman" w:hAnsi="Times New Roman" w:cs="Times New Roman" w:hint="default"/>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15</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电源：支持至少支持两种独立的电源供电，外接电源、内置锂离子电池，在外接供电中断的情况下，可以实现连续工作时长15小时以上。</w:t>
            </w:r>
          </w:p>
        </w:tc>
      </w:tr>
      <w:tr>
        <w:tblPrEx>
          <w:tblW w:w="8567" w:type="dxa"/>
          <w:tblInd w:w="113" w:type="dxa"/>
          <w:tblCellMar>
            <w:top w:w="0" w:type="dxa"/>
            <w:left w:w="108" w:type="dxa"/>
            <w:bottom w:w="0" w:type="dxa"/>
            <w:right w:w="108" w:type="dxa"/>
          </w:tblCellMar>
        </w:tblPrEx>
        <w:trPr>
          <w:trHeight w:val="535"/>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left"/>
              <w:rPr>
                <w:rFonts w:ascii="Times New Roman" w:hAnsi="Times New Roman" w:cs="Times New Roman" w:hint="default"/>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16</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故障自动恢复：接收机工作出现异常时能自动提醒；发生断电时，接收机能保存激活的数据记录时段；当接收机从断电中恢复后，可自动继续断电前的操作。</w:t>
            </w:r>
          </w:p>
        </w:tc>
      </w:tr>
      <w:tr>
        <w:tblPrEx>
          <w:tblW w:w="8567" w:type="dxa"/>
          <w:tblInd w:w="113" w:type="dxa"/>
          <w:tblCellMar>
            <w:top w:w="0" w:type="dxa"/>
            <w:left w:w="108" w:type="dxa"/>
            <w:bottom w:w="0" w:type="dxa"/>
            <w:right w:w="108" w:type="dxa"/>
          </w:tblCellMar>
        </w:tblPrEx>
        <w:trPr>
          <w:trHeight w:val="27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left"/>
              <w:rPr>
                <w:rFonts w:ascii="Times New Roman" w:hAnsi="Times New Roman" w:cs="Times New Roman" w:hint="default"/>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17</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接收机支持远程固件升级，在指定的时间自动安装且不影响配置，减少中断时间。</w:t>
            </w:r>
          </w:p>
        </w:tc>
      </w:tr>
      <w:tr>
        <w:tblPrEx>
          <w:tblW w:w="8567" w:type="dxa"/>
          <w:tblInd w:w="113" w:type="dxa"/>
          <w:tblCellMar>
            <w:top w:w="0" w:type="dxa"/>
            <w:left w:w="108" w:type="dxa"/>
            <w:bottom w:w="0" w:type="dxa"/>
            <w:right w:w="108" w:type="dxa"/>
          </w:tblCellMar>
        </w:tblPrEx>
        <w:trPr>
          <w:trHeight w:val="32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18</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天线阻抗:50欧姆</w:t>
            </w:r>
          </w:p>
        </w:tc>
      </w:tr>
      <w:tr>
        <w:tblPrEx>
          <w:tblW w:w="8567" w:type="dxa"/>
          <w:tblInd w:w="113" w:type="dxa"/>
          <w:tblCellMar>
            <w:top w:w="0" w:type="dxa"/>
            <w:left w:w="108" w:type="dxa"/>
            <w:bottom w:w="0" w:type="dxa"/>
            <w:right w:w="108" w:type="dxa"/>
          </w:tblCellMar>
        </w:tblPrEx>
        <w:trPr>
          <w:trHeight w:val="32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19</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天线极化：右旋圆极化</w:t>
            </w:r>
          </w:p>
        </w:tc>
      </w:tr>
      <w:tr>
        <w:tblPrEx>
          <w:tblW w:w="8567" w:type="dxa"/>
          <w:tblInd w:w="113" w:type="dxa"/>
          <w:tblCellMar>
            <w:top w:w="0" w:type="dxa"/>
            <w:left w:w="108" w:type="dxa"/>
            <w:bottom w:w="0" w:type="dxa"/>
            <w:right w:w="108" w:type="dxa"/>
          </w:tblCellMar>
        </w:tblPrEx>
        <w:trPr>
          <w:trHeight w:val="32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20</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天线最高增益：7dBi</w:t>
            </w:r>
          </w:p>
        </w:tc>
      </w:tr>
      <w:tr>
        <w:tblPrEx>
          <w:tblW w:w="8567" w:type="dxa"/>
          <w:tblInd w:w="113" w:type="dxa"/>
          <w:tblCellMar>
            <w:top w:w="0" w:type="dxa"/>
            <w:left w:w="108" w:type="dxa"/>
            <w:bottom w:w="0" w:type="dxa"/>
            <w:right w:w="108" w:type="dxa"/>
          </w:tblCellMar>
        </w:tblPrEx>
        <w:trPr>
          <w:trHeight w:val="32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21</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天线相位中心误差：±1mm</w:t>
            </w:r>
          </w:p>
        </w:tc>
      </w:tr>
      <w:tr>
        <w:tblPrEx>
          <w:tblW w:w="8567" w:type="dxa"/>
          <w:tblInd w:w="113" w:type="dxa"/>
          <w:tblCellMar>
            <w:top w:w="0" w:type="dxa"/>
            <w:left w:w="108" w:type="dxa"/>
            <w:bottom w:w="0" w:type="dxa"/>
            <w:right w:w="108" w:type="dxa"/>
          </w:tblCellMar>
        </w:tblPrEx>
        <w:trPr>
          <w:trHeight w:val="32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22</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天线轴比：≤3dB</w:t>
            </w:r>
          </w:p>
        </w:tc>
      </w:tr>
      <w:tr>
        <w:tblPrEx>
          <w:tblW w:w="8567" w:type="dxa"/>
          <w:tblInd w:w="113" w:type="dxa"/>
          <w:tblCellMar>
            <w:top w:w="0" w:type="dxa"/>
            <w:left w:w="108" w:type="dxa"/>
            <w:bottom w:w="0" w:type="dxa"/>
            <w:right w:w="108" w:type="dxa"/>
          </w:tblCellMar>
        </w:tblPrEx>
        <w:trPr>
          <w:trHeight w:val="32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23</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天线增益：50±2dB</w:t>
            </w:r>
          </w:p>
        </w:tc>
      </w:tr>
      <w:tr>
        <w:tblPrEx>
          <w:tblW w:w="8567" w:type="dxa"/>
          <w:tblInd w:w="113" w:type="dxa"/>
          <w:tblCellMar>
            <w:top w:w="0" w:type="dxa"/>
            <w:left w:w="108" w:type="dxa"/>
            <w:bottom w:w="0" w:type="dxa"/>
            <w:right w:w="108" w:type="dxa"/>
          </w:tblCellMar>
        </w:tblPrEx>
        <w:trPr>
          <w:trHeight w:val="32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24</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天线噪声系数≤2dB</w:t>
            </w:r>
          </w:p>
        </w:tc>
      </w:tr>
      <w:tr>
        <w:tblPrEx>
          <w:tblW w:w="8567" w:type="dxa"/>
          <w:tblInd w:w="113" w:type="dxa"/>
          <w:tblCellMar>
            <w:top w:w="0" w:type="dxa"/>
            <w:left w:w="108" w:type="dxa"/>
            <w:bottom w:w="0" w:type="dxa"/>
            <w:right w:w="108" w:type="dxa"/>
          </w:tblCellMar>
        </w:tblPrEx>
        <w:trPr>
          <w:trHeight w:val="32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25</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天线差分传出延迟≤5ns</w:t>
            </w:r>
          </w:p>
        </w:tc>
      </w:tr>
      <w:tr>
        <w:tblPrEx>
          <w:tblW w:w="8567" w:type="dxa"/>
          <w:tblInd w:w="113" w:type="dxa"/>
          <w:tblCellMar>
            <w:top w:w="0" w:type="dxa"/>
            <w:left w:w="108" w:type="dxa"/>
            <w:bottom w:w="0" w:type="dxa"/>
            <w:right w:w="108" w:type="dxa"/>
          </w:tblCellMar>
        </w:tblPrEx>
        <w:trPr>
          <w:trHeight w:val="32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26</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天线尺寸：φ379*312</w:t>
            </w:r>
          </w:p>
        </w:tc>
      </w:tr>
      <w:tr>
        <w:tblPrEx>
          <w:tblW w:w="8567" w:type="dxa"/>
          <w:tblInd w:w="113" w:type="dxa"/>
          <w:tblCellMar>
            <w:top w:w="0" w:type="dxa"/>
            <w:left w:w="108" w:type="dxa"/>
            <w:bottom w:w="0" w:type="dxa"/>
            <w:right w:w="108" w:type="dxa"/>
          </w:tblCellMar>
        </w:tblPrEx>
        <w:trPr>
          <w:trHeight w:val="32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27</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天线重量：9.3kg</w:t>
            </w:r>
          </w:p>
        </w:tc>
      </w:tr>
      <w:tr>
        <w:tblPrEx>
          <w:tblW w:w="8567" w:type="dxa"/>
          <w:tblInd w:w="113" w:type="dxa"/>
          <w:tblCellMar>
            <w:top w:w="0" w:type="dxa"/>
            <w:left w:w="108" w:type="dxa"/>
            <w:bottom w:w="0" w:type="dxa"/>
            <w:right w:w="108" w:type="dxa"/>
          </w:tblCellMar>
        </w:tblPrEx>
        <w:trPr>
          <w:trHeight w:val="545"/>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28</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软件采用C/S分布式管理结构设计，胜任大型网络，基于Microsoft .NET和SQL数据库服务，支持后台运行、数据库备份及开机自启动；</w:t>
            </w:r>
          </w:p>
        </w:tc>
      </w:tr>
      <w:tr>
        <w:tblPrEx>
          <w:tblW w:w="8567" w:type="dxa"/>
          <w:tblInd w:w="113" w:type="dxa"/>
          <w:tblCellMar>
            <w:top w:w="0" w:type="dxa"/>
            <w:left w:w="108" w:type="dxa"/>
            <w:bottom w:w="0" w:type="dxa"/>
            <w:right w:w="108" w:type="dxa"/>
          </w:tblCellMar>
        </w:tblPrEx>
        <w:trPr>
          <w:trHeight w:val="584"/>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29</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软件具有先进的解算内核，能实现自动实现基线的动态和静态解算，网络CORS的整周模糊度建模，为RTK用户提供MAX，IMAX、VRS、FKP多种网络RTK技术；</w:t>
            </w:r>
          </w:p>
        </w:tc>
      </w:tr>
      <w:tr>
        <w:tblPrEx>
          <w:tblW w:w="8567" w:type="dxa"/>
          <w:tblInd w:w="113" w:type="dxa"/>
          <w:tblCellMar>
            <w:top w:w="0" w:type="dxa"/>
            <w:left w:w="108" w:type="dxa"/>
            <w:bottom w:w="0" w:type="dxa"/>
            <w:right w:w="108" w:type="dxa"/>
          </w:tblCellMar>
        </w:tblPrEx>
        <w:trPr>
          <w:trHeight w:val="535"/>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30</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具有完善的数据质量分析功能，自动进行北斗数据的质量分析，包括多路径、信噪比、周跳、数据完整率，并生成详细的站点评估报告；</w:t>
            </w:r>
          </w:p>
        </w:tc>
      </w:tr>
      <w:tr>
        <w:tblPrEx>
          <w:tblW w:w="8567" w:type="dxa"/>
          <w:tblInd w:w="113" w:type="dxa"/>
          <w:tblCellMar>
            <w:top w:w="0" w:type="dxa"/>
            <w:left w:w="108" w:type="dxa"/>
            <w:bottom w:w="0" w:type="dxa"/>
            <w:right w:w="108" w:type="dxa"/>
          </w:tblCellMar>
        </w:tblPrEx>
        <w:trPr>
          <w:trHeight w:val="802"/>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31</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软件应在电离层活动剧烈时，仍然能够进行精确的网络建模，并为流动站提供高精度的网络RTK服务，流动站的网络RTK日可用性应不小于95%，同时，软件还应支持电离层状态指数、建模残差的计算，并以图形、量化的方式显示。投标时须提供软件截图证明满足此项参数要求；</w:t>
            </w:r>
          </w:p>
        </w:tc>
      </w:tr>
      <w:tr>
        <w:tblPrEx>
          <w:tblW w:w="8567" w:type="dxa"/>
          <w:tblInd w:w="113" w:type="dxa"/>
          <w:tblCellMar>
            <w:top w:w="0" w:type="dxa"/>
            <w:left w:w="108" w:type="dxa"/>
            <w:bottom w:w="0" w:type="dxa"/>
            <w:right w:w="108" w:type="dxa"/>
          </w:tblCellMar>
        </w:tblPrEx>
        <w:trPr>
          <w:trHeight w:val="32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32</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软件支持多星多频和单北斗的单基线动态、静态解算和网络解算。</w:t>
            </w:r>
          </w:p>
        </w:tc>
      </w:tr>
      <w:tr>
        <w:tblPrEx>
          <w:tblW w:w="8567" w:type="dxa"/>
          <w:tblInd w:w="113" w:type="dxa"/>
          <w:tblCellMar>
            <w:top w:w="0" w:type="dxa"/>
            <w:left w:w="108" w:type="dxa"/>
            <w:bottom w:w="0" w:type="dxa"/>
            <w:right w:w="108" w:type="dxa"/>
          </w:tblCellMar>
        </w:tblPrEx>
        <w:trPr>
          <w:trHeight w:val="555"/>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33</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最新的数据输出和实时数据流输出支持最新的卫星跟踪频段：GPS L1c，伽利略E6，北斗三号星座B1C、B2a、B2b，QZSS L1C；</w:t>
            </w:r>
          </w:p>
        </w:tc>
      </w:tr>
      <w:tr>
        <w:tblPrEx>
          <w:tblW w:w="8567" w:type="dxa"/>
          <w:tblInd w:w="113" w:type="dxa"/>
          <w:tblCellMar>
            <w:top w:w="0" w:type="dxa"/>
            <w:left w:w="108" w:type="dxa"/>
            <w:bottom w:w="0" w:type="dxa"/>
            <w:right w:w="108" w:type="dxa"/>
          </w:tblCellMar>
        </w:tblPrEx>
        <w:trPr>
          <w:trHeight w:val="32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34</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软件架构设计合理，在无需重新配置的情况下，采用原有软件架构，支持可持续升级；</w:t>
            </w:r>
          </w:p>
        </w:tc>
      </w:tr>
      <w:tr>
        <w:tblPrEx>
          <w:tblW w:w="8567" w:type="dxa"/>
          <w:tblInd w:w="113" w:type="dxa"/>
          <w:tblCellMar>
            <w:top w:w="0" w:type="dxa"/>
            <w:left w:w="108" w:type="dxa"/>
            <w:bottom w:w="0" w:type="dxa"/>
            <w:right w:w="108" w:type="dxa"/>
          </w:tblCellMar>
        </w:tblPrEx>
        <w:trPr>
          <w:trHeight w:val="812"/>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35</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具有极好的兼容性，支持第三方参考站设备的接入管理，且站点许可证对接入的参考站设备型号不限，并可为第三方流动设备提供网络RTK、RTK及DGPS等差分服务；投标时须提供软件截图证明满足此项参数要求；</w:t>
            </w:r>
          </w:p>
        </w:tc>
      </w:tr>
      <w:tr>
        <w:tblPrEx>
          <w:tblW w:w="8567" w:type="dxa"/>
          <w:tblInd w:w="113" w:type="dxa"/>
          <w:tblCellMar>
            <w:top w:w="0" w:type="dxa"/>
            <w:left w:w="108" w:type="dxa"/>
            <w:bottom w:w="0" w:type="dxa"/>
            <w:right w:w="108" w:type="dxa"/>
          </w:tblCellMar>
        </w:tblPrEx>
        <w:trPr>
          <w:trHeight w:val="535"/>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36</w:t>
            </w:r>
          </w:p>
        </w:tc>
        <w:tc>
          <w:tcPr>
            <w:tcW w:w="7530" w:type="dxa"/>
            <w:tcBorders>
              <w:top w:val="nil"/>
              <w:left w:val="nil"/>
              <w:bottom w:val="nil"/>
              <w:right w:val="nil"/>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软件应具备一定的容错能力，即自动监控所有软件服务的运行状态，自动剔除有问题的基准站，重新构网解算而不需中断数据服务。投标时须提供软件截图证明满足此项参数要求；</w:t>
            </w:r>
          </w:p>
        </w:tc>
      </w:tr>
      <w:tr>
        <w:tblPrEx>
          <w:tblW w:w="8567" w:type="dxa"/>
          <w:tblInd w:w="113" w:type="dxa"/>
          <w:tblCellMar>
            <w:top w:w="0" w:type="dxa"/>
            <w:left w:w="108" w:type="dxa"/>
            <w:bottom w:w="0" w:type="dxa"/>
            <w:right w:w="108" w:type="dxa"/>
          </w:tblCellMar>
        </w:tblPrEx>
        <w:trPr>
          <w:trHeight w:val="812"/>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37</w:t>
            </w:r>
          </w:p>
        </w:tc>
        <w:tc>
          <w:tcPr>
            <w:tcW w:w="7530" w:type="dxa"/>
            <w:tcBorders>
              <w:top w:val="nil"/>
              <w:left w:val="nil"/>
              <w:bottom w:val="nil"/>
              <w:right w:val="nil"/>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软件应具备基准站位移高精度实时监控功能，即软件能够实时解算基准站精确坐标（误差应小于1厘米），并与已有精确坐标进行比较，在三维偏差超过限差时自动报警，从而确保基准站空间基准的可靠性。投标时须提供软件截图证明满足此项参数要求；</w:t>
            </w:r>
          </w:p>
        </w:tc>
      </w:tr>
      <w:tr>
        <w:tblPrEx>
          <w:tblW w:w="8567" w:type="dxa"/>
          <w:tblInd w:w="113" w:type="dxa"/>
          <w:tblCellMar>
            <w:top w:w="0" w:type="dxa"/>
            <w:left w:w="108" w:type="dxa"/>
            <w:bottom w:w="0" w:type="dxa"/>
            <w:right w:w="108" w:type="dxa"/>
          </w:tblCellMar>
        </w:tblPrEx>
        <w:trPr>
          <w:trHeight w:val="545"/>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left"/>
              <w:rPr>
                <w:rFonts w:ascii="Times New Roman" w:hAnsi="Times New Roman" w:cs="Times New Roman" w:hint="default"/>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38</w:t>
            </w:r>
          </w:p>
        </w:tc>
        <w:tc>
          <w:tcPr>
            <w:tcW w:w="7530" w:type="dxa"/>
            <w:tcBorders>
              <w:top w:val="single" w:sz="4" w:space="0" w:color="auto"/>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可以为流动设备提供包括RTCM2.X、RTCM3.X、CMR、CMR+在内的多种格式的差分数据，软件还具有高级的智能切换技术，提供无缝的实时差分数据服务；</w:t>
            </w:r>
          </w:p>
        </w:tc>
      </w:tr>
      <w:tr>
        <w:tblPrEx>
          <w:tblW w:w="8567" w:type="dxa"/>
          <w:tblInd w:w="113" w:type="dxa"/>
          <w:tblCellMar>
            <w:top w:w="0" w:type="dxa"/>
            <w:left w:w="108" w:type="dxa"/>
            <w:bottom w:w="0" w:type="dxa"/>
            <w:right w:w="108" w:type="dxa"/>
          </w:tblCellMar>
        </w:tblPrEx>
        <w:trPr>
          <w:trHeight w:val="535"/>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left"/>
              <w:rPr>
                <w:rFonts w:ascii="Times New Roman" w:hAnsi="Times New Roman" w:cs="Times New Roman" w:hint="default"/>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39</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具有的用户管理模块，统一用户数据库，对同时在线用户数量没有限制，可限制用户使用区域、使用时间等，并可在线查看用户状态；</w:t>
            </w:r>
          </w:p>
        </w:tc>
      </w:tr>
      <w:tr>
        <w:tblPrEx>
          <w:tblW w:w="8567" w:type="dxa"/>
          <w:tblInd w:w="113" w:type="dxa"/>
          <w:tblCellMar>
            <w:top w:w="0" w:type="dxa"/>
            <w:left w:w="108" w:type="dxa"/>
            <w:bottom w:w="0" w:type="dxa"/>
            <w:right w:w="108" w:type="dxa"/>
          </w:tblCellMar>
        </w:tblPrEx>
        <w:trPr>
          <w:trHeight w:val="535"/>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40</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支持从互联网下载精密星历文件并支持使用精密星历用于网络解算，提高整网解算精度；投标时须提供软件截图证明满足此项参数要求；</w:t>
            </w:r>
          </w:p>
        </w:tc>
      </w:tr>
      <w:tr>
        <w:tblPrEx>
          <w:tblW w:w="8567" w:type="dxa"/>
          <w:tblInd w:w="113" w:type="dxa"/>
          <w:tblCellMar>
            <w:top w:w="0" w:type="dxa"/>
            <w:left w:w="108" w:type="dxa"/>
            <w:bottom w:w="0" w:type="dxa"/>
            <w:right w:w="108" w:type="dxa"/>
          </w:tblCellMar>
        </w:tblPrEx>
        <w:trPr>
          <w:trHeight w:val="535"/>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left"/>
              <w:rPr>
                <w:rFonts w:ascii="Times New Roman" w:hAnsi="Times New Roman" w:cs="Times New Roman" w:hint="default"/>
                <w:kern w:val="0"/>
                <w:sz w:val="22"/>
              </w:rPr>
            </w:pP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41</w:t>
            </w:r>
          </w:p>
        </w:tc>
        <w:tc>
          <w:tcPr>
            <w:tcW w:w="7530" w:type="dxa"/>
            <w:tcBorders>
              <w:top w:val="nil"/>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支持将基准站回传的实时数据流存储成指定采样率、指定数据格式、指定时间段的静态数据文件，并允许批量为多个或所有基准站一次性配置统一的文件参数及存储路径；</w:t>
            </w:r>
          </w:p>
        </w:tc>
      </w:tr>
      <w:tr>
        <w:tblPrEx>
          <w:tblW w:w="8567" w:type="dxa"/>
          <w:tblInd w:w="113" w:type="dxa"/>
          <w:tblCellMar>
            <w:top w:w="0" w:type="dxa"/>
            <w:left w:w="108" w:type="dxa"/>
            <w:bottom w:w="0" w:type="dxa"/>
            <w:right w:w="108" w:type="dxa"/>
          </w:tblCellMar>
        </w:tblPrEx>
        <w:trPr>
          <w:trHeight w:val="32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42</w:t>
            </w:r>
          </w:p>
        </w:tc>
        <w:tc>
          <w:tcPr>
            <w:tcW w:w="7530" w:type="dxa"/>
            <w:tcBorders>
              <w:top w:val="nil"/>
              <w:left w:val="nil"/>
              <w:bottom w:val="nil"/>
              <w:right w:val="nil"/>
            </w:tcBorders>
            <w:shd w:val="clear" w:color="auto" w:fill="auto"/>
            <w:noWrap/>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基准站网控制软件应符合GB/T22081-2008 国家信息安全要求，不得向流动站用户发送基准站坐标；</w:t>
            </w:r>
          </w:p>
        </w:tc>
      </w:tr>
      <w:tr>
        <w:tblPrEx>
          <w:tblW w:w="8567" w:type="dxa"/>
          <w:tblInd w:w="113" w:type="dxa"/>
          <w:tblCellMar>
            <w:top w:w="0" w:type="dxa"/>
            <w:left w:w="108" w:type="dxa"/>
            <w:bottom w:w="0" w:type="dxa"/>
            <w:right w:w="108" w:type="dxa"/>
          </w:tblCellMar>
        </w:tblPrEx>
        <w:trPr>
          <w:trHeight w:val="327"/>
        </w:trPr>
        <w:tc>
          <w:tcPr>
            <w:tcW w:w="527" w:type="dxa"/>
            <w:tcBorders>
              <w:top w:val="nil"/>
              <w:left w:val="single" w:sz="4" w:space="0" w:color="auto"/>
              <w:bottom w:val="single" w:sz="4" w:space="0" w:color="auto"/>
              <w:right w:val="single" w:sz="4" w:space="0" w:color="auto"/>
            </w:tcBorders>
            <w:shd w:val="clear" w:color="auto" w:fill="auto"/>
            <w:noWrap/>
            <w:vAlign w:val="center"/>
          </w:tcPr>
          <w:p>
            <w:pPr>
              <w:widowControl/>
              <w:jc w:val="center"/>
              <w:rPr>
                <w:rFonts w:ascii="Times New Roman" w:hAnsi="Times New Roman" w:cs="Times New Roman" w:hint="default"/>
                <w:b/>
                <w:bCs/>
                <w:kern w:val="0"/>
                <w:sz w:val="22"/>
              </w:rPr>
            </w:pPr>
            <w:r>
              <w:rPr>
                <w:rFonts w:ascii="Times New Roman" w:hAnsi="Times New Roman" w:eastAsiaTheme="minorEastAsia" w:cs="Times New Roman" w:hint="default"/>
                <w:b/>
                <w:bCs/>
                <w:kern w:val="0"/>
                <w:sz w:val="22"/>
                <w:szCs w:val="22"/>
              </w:rPr>
              <w:t>#</w:t>
            </w:r>
          </w:p>
        </w:tc>
        <w:tc>
          <w:tcPr>
            <w:tcW w:w="510" w:type="dxa"/>
            <w:tcBorders>
              <w:top w:val="nil"/>
              <w:left w:val="nil"/>
              <w:bottom w:val="single" w:sz="4" w:space="0" w:color="auto"/>
              <w:right w:val="single" w:sz="4" w:space="0" w:color="auto"/>
            </w:tcBorders>
            <w:shd w:val="clear" w:color="auto" w:fill="auto"/>
            <w:vAlign w:val="center"/>
          </w:tcPr>
          <w:p>
            <w:pPr>
              <w:widowControl/>
              <w:jc w:val="center"/>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43</w:t>
            </w:r>
          </w:p>
        </w:tc>
        <w:tc>
          <w:tcPr>
            <w:tcW w:w="7530" w:type="dxa"/>
            <w:tcBorders>
              <w:top w:val="single" w:sz="4" w:space="0" w:color="auto"/>
              <w:left w:val="nil"/>
              <w:bottom w:val="single" w:sz="4" w:space="0" w:color="auto"/>
              <w:right w:val="single" w:sz="4" w:space="0" w:color="auto"/>
            </w:tcBorders>
            <w:shd w:val="clear" w:color="auto" w:fill="auto"/>
            <w:vAlign w:val="center"/>
          </w:tcPr>
          <w:p>
            <w:pPr>
              <w:widowControl/>
              <w:jc w:val="left"/>
              <w:rPr>
                <w:rFonts w:ascii="Times New Roman" w:hAnsi="Times New Roman" w:cs="Times New Roman" w:hint="default"/>
                <w:kern w:val="0"/>
                <w:sz w:val="22"/>
              </w:rPr>
            </w:pPr>
            <w:r>
              <w:rPr>
                <w:rFonts w:ascii="Times New Roman" w:hAnsi="Times New Roman" w:eastAsiaTheme="minorEastAsia" w:cs="Times New Roman" w:hint="default"/>
                <w:kern w:val="0"/>
                <w:sz w:val="22"/>
                <w:szCs w:val="22"/>
              </w:rPr>
              <w:t>传感器数据支持，能直接解析出设备连接的气象传感器和倾斜传感器数据并生成指定的文件。</w:t>
            </w:r>
          </w:p>
        </w:tc>
      </w:tr>
    </w:tbl>
    <w:p>
      <w:pPr>
        <w:spacing w:line="360" w:lineRule="auto"/>
        <w:ind w:firstLine="420" w:firstLineChars="200"/>
        <w:rPr>
          <w:rFonts w:ascii="宋体" w:hAnsi="宋体" w:hint="eastAsia"/>
          <w:szCs w:val="21"/>
        </w:rPr>
      </w:pPr>
      <w:r>
        <w:rPr>
          <w:rFonts w:ascii="宋体" w:hAnsi="宋体" w:hint="eastAsia"/>
          <w:szCs w:val="21"/>
        </w:rPr>
        <w:t>四、检验考核要求</w:t>
      </w:r>
    </w:p>
    <w:p>
      <w:pPr>
        <w:widowControl/>
        <w:ind w:firstLine="440" w:firstLineChars="200"/>
        <w:jc w:val="left"/>
        <w:rPr>
          <w:rFonts w:ascii="Times New Roman" w:hAnsi="Times New Roman" w:cs="Times New Roman" w:hint="eastAsia"/>
          <w:kern w:val="0"/>
          <w:sz w:val="22"/>
        </w:rPr>
      </w:pPr>
      <w:r>
        <w:rPr>
          <w:rFonts w:ascii="Times New Roman" w:hAnsi="Times New Roman" w:eastAsiaTheme="minorEastAsia" w:cs="Times New Roman" w:hint="eastAsia"/>
          <w:kern w:val="0"/>
          <w:sz w:val="22"/>
          <w:szCs w:val="22"/>
        </w:rPr>
        <w:t>（1）探测要素主要包括GNSS导航文件、GNSS观测文件。后期通过数据的解算和反演可得出区域内大气可降水量。</w:t>
      </w:r>
    </w:p>
    <w:p>
      <w:pPr>
        <w:widowControl/>
        <w:ind w:firstLine="440" w:firstLineChars="200"/>
        <w:jc w:val="left"/>
        <w:rPr>
          <w:rFonts w:ascii="Times New Roman" w:hAnsi="Times New Roman" w:cs="Times New Roman" w:hint="eastAsia"/>
          <w:kern w:val="0"/>
          <w:sz w:val="22"/>
        </w:rPr>
      </w:pPr>
      <w:r>
        <w:rPr>
          <w:rFonts w:ascii="Times New Roman" w:hAnsi="Times New Roman" w:eastAsiaTheme="minorEastAsia" w:cs="Times New Roman" w:hint="eastAsia"/>
          <w:kern w:val="0"/>
          <w:sz w:val="22"/>
          <w:szCs w:val="22"/>
        </w:rPr>
        <w:t>（2）GNSS接收机频点为BDS系统B1I、B2I、B1C、B2a、B2b、B3I。</w:t>
      </w:r>
    </w:p>
    <w:p>
      <w:pPr>
        <w:widowControl/>
        <w:ind w:firstLine="440" w:firstLineChars="200"/>
        <w:jc w:val="left"/>
        <w:rPr>
          <w:rFonts w:ascii="Times New Roman" w:hAnsi="Times New Roman" w:cs="Times New Roman" w:hint="eastAsia"/>
          <w:kern w:val="0"/>
          <w:sz w:val="22"/>
        </w:rPr>
      </w:pPr>
      <w:r>
        <w:rPr>
          <w:rFonts w:ascii="Times New Roman" w:hAnsi="Times New Roman" w:eastAsiaTheme="minorEastAsia" w:cs="Times New Roman" w:hint="eastAsia"/>
          <w:kern w:val="0"/>
          <w:sz w:val="22"/>
          <w:szCs w:val="22"/>
        </w:rPr>
        <w:t>（3）测距码≤10cm，载波相位≤0.01周。</w:t>
      </w:r>
    </w:p>
    <w:p>
      <w:pPr>
        <w:widowControl/>
        <w:ind w:firstLine="440" w:firstLineChars="200"/>
        <w:jc w:val="left"/>
        <w:rPr>
          <w:rFonts w:ascii="Times New Roman" w:hAnsi="Times New Roman" w:cs="Times New Roman" w:hint="eastAsia"/>
          <w:kern w:val="0"/>
          <w:sz w:val="22"/>
        </w:rPr>
      </w:pPr>
      <w:r>
        <w:rPr>
          <w:rFonts w:ascii="Times New Roman" w:hAnsi="Times New Roman" w:eastAsiaTheme="minorEastAsia" w:cs="Times New Roman" w:hint="eastAsia"/>
          <w:kern w:val="0"/>
          <w:sz w:val="22"/>
          <w:szCs w:val="22"/>
        </w:rPr>
        <w:t>（4）GNSS天线具有国际大地测量权威机构（NGS 或 Geo++）认证的天线绝对相位中心改正模型。</w:t>
      </w:r>
    </w:p>
    <w:p>
      <w:pPr>
        <w:widowControl/>
        <w:ind w:firstLine="440" w:firstLineChars="200"/>
        <w:jc w:val="left"/>
        <w:rPr>
          <w:rFonts w:ascii="Times New Roman" w:hAnsi="Times New Roman" w:cs="Times New Roman" w:hint="eastAsia"/>
          <w:kern w:val="0"/>
          <w:sz w:val="22"/>
        </w:rPr>
      </w:pPr>
      <w:r>
        <w:rPr>
          <w:rFonts w:ascii="Times New Roman" w:hAnsi="Times New Roman" w:eastAsiaTheme="minorEastAsia" w:cs="Times New Roman" w:hint="eastAsia"/>
          <w:kern w:val="0"/>
          <w:sz w:val="22"/>
          <w:szCs w:val="22"/>
        </w:rPr>
        <w:t>（5）扼流圈天线相位中心偏差：＜2mm。</w:t>
      </w:r>
    </w:p>
    <w:p>
      <w:pPr>
        <w:widowControl/>
        <w:ind w:firstLine="440" w:firstLineChars="200"/>
        <w:jc w:val="left"/>
        <w:rPr>
          <w:rFonts w:ascii="Times New Roman" w:hAnsi="Times New Roman" w:cs="Times New Roman" w:hint="eastAsia"/>
          <w:kern w:val="0"/>
          <w:sz w:val="22"/>
        </w:rPr>
      </w:pPr>
      <w:r>
        <w:rPr>
          <w:rFonts w:ascii="Times New Roman" w:hAnsi="Times New Roman" w:eastAsiaTheme="minorEastAsia" w:cs="Times New Roman" w:hint="eastAsia"/>
          <w:kern w:val="0"/>
          <w:sz w:val="22"/>
          <w:szCs w:val="22"/>
        </w:rPr>
        <w:t>（6）相位中心稳定度：天线的相位中心稳定度须＜1.0mm。</w:t>
      </w:r>
    </w:p>
    <w:p>
      <w:pPr>
        <w:widowControl/>
        <w:ind w:firstLine="440" w:firstLineChars="200"/>
        <w:jc w:val="left"/>
        <w:rPr>
          <w:rFonts w:ascii="Times New Roman" w:hAnsi="Times New Roman" w:cs="Times New Roman" w:hint="eastAsia"/>
          <w:kern w:val="0"/>
          <w:sz w:val="22"/>
        </w:rPr>
      </w:pPr>
      <w:r>
        <w:rPr>
          <w:rFonts w:ascii="Times New Roman" w:hAnsi="Times New Roman" w:eastAsiaTheme="minorEastAsia" w:cs="Times New Roman" w:hint="eastAsia"/>
          <w:kern w:val="0"/>
          <w:sz w:val="22"/>
          <w:szCs w:val="22"/>
        </w:rPr>
        <w:t>（7）接收天线低噪声放大器的增益：≥50dB。</w:t>
      </w:r>
    </w:p>
    <w:p>
      <w:pPr>
        <w:widowControl/>
        <w:ind w:firstLine="440" w:firstLineChars="200"/>
        <w:jc w:val="left"/>
        <w:rPr>
          <w:rFonts w:ascii="Times New Roman" w:hAnsi="Times New Roman" w:cs="Times New Roman" w:hint="eastAsia"/>
          <w:kern w:val="0"/>
          <w:sz w:val="22"/>
        </w:rPr>
      </w:pPr>
      <w:r>
        <w:rPr>
          <w:rFonts w:ascii="Times New Roman" w:hAnsi="Times New Roman" w:eastAsiaTheme="minorEastAsia" w:cs="Times New Roman" w:hint="eastAsia"/>
          <w:kern w:val="0"/>
          <w:sz w:val="22"/>
          <w:szCs w:val="22"/>
        </w:rPr>
        <w:t>（8）数据存储：自内置存储≥256G，存储数据溢出时具有自动覆盖、循环存储功能，同时数据下载时，仍能进行卫星连续跟踪。</w:t>
      </w:r>
    </w:p>
    <w:p>
      <w:pPr>
        <w:widowControl/>
        <w:ind w:firstLine="440" w:firstLineChars="200"/>
        <w:jc w:val="left"/>
        <w:rPr>
          <w:rFonts w:ascii="Times New Roman" w:hAnsi="Times New Roman" w:cs="Times New Roman" w:hint="default"/>
          <w:kern w:val="0"/>
          <w:sz w:val="22"/>
          <w:highlight w:val="yellow"/>
        </w:rPr>
      </w:pPr>
      <w:r>
        <w:rPr>
          <w:rFonts w:ascii="Times New Roman" w:hAnsi="Times New Roman" w:eastAsiaTheme="minorEastAsia" w:cs="Times New Roman" w:hint="eastAsia"/>
          <w:kern w:val="0"/>
          <w:sz w:val="22"/>
          <w:szCs w:val="22"/>
        </w:rPr>
        <w:t>（9）数据传输采用4G传输，全年设备连通率在98%以上，数据传输速度不小于3M。</w:t>
      </w:r>
    </w:p>
    <w:p>
      <w:pPr>
        <w:spacing w:line="360" w:lineRule="auto"/>
        <w:ind w:firstLine="420" w:firstLineChars="200"/>
        <w:rPr>
          <w:rFonts w:ascii="宋体" w:hAnsi="宋体" w:hint="eastAsia"/>
          <w:szCs w:val="21"/>
        </w:rPr>
      </w:pPr>
      <w:r>
        <w:rPr>
          <w:rFonts w:ascii="宋体" w:hAnsi="宋体" w:hint="eastAsia"/>
          <w:szCs w:val="21"/>
        </w:rPr>
        <w:t>五、技术服务和质保期服务要求</w:t>
      </w:r>
    </w:p>
    <w:p>
      <w:pPr>
        <w:spacing w:line="360" w:lineRule="auto"/>
        <w:ind w:firstLine="420" w:firstLineChars="200"/>
        <w:rPr>
          <w:rFonts w:ascii="宋体" w:hAnsi="宋体" w:hint="default"/>
          <w:szCs w:val="21"/>
        </w:rPr>
      </w:pPr>
      <w:r>
        <w:rPr>
          <w:rFonts w:ascii="宋体" w:hAnsi="宋体" w:hint="eastAsia"/>
          <w:szCs w:val="21"/>
          <w:lang w:val="en-US" w:eastAsia="zh-CN"/>
        </w:rPr>
        <w:t>5.1.技术资料</w:t>
      </w:r>
    </w:p>
    <w:p>
      <w:pPr>
        <w:spacing w:line="360" w:lineRule="auto"/>
        <w:ind w:firstLine="420" w:firstLineChars="200"/>
        <w:rPr>
          <w:rFonts w:ascii="宋体" w:hAnsi="宋体" w:hint="eastAsia"/>
          <w:szCs w:val="21"/>
        </w:rPr>
      </w:pPr>
      <w:r>
        <w:rPr>
          <w:rFonts w:ascii="宋体" w:hAnsi="宋体" w:hint="eastAsia"/>
          <w:szCs w:val="21"/>
          <w:lang w:val="en-US" w:eastAsia="zh-CN"/>
        </w:rPr>
        <w:t>中标方交货时需随机提供详细技术文档，包括但不限于：</w:t>
      </w:r>
      <w:r>
        <w:rPr>
          <w:rFonts w:ascii="宋体" w:hAnsi="宋体" w:hint="eastAsia"/>
          <w:szCs w:val="21"/>
          <w:highlight w:val="yellow"/>
          <w:lang w:val="en-US" w:eastAsia="zh-CN"/>
        </w:rPr>
        <w:t>设备环境适应性测试报告、</w:t>
      </w:r>
      <w:r>
        <w:rPr>
          <w:rFonts w:ascii="宋体" w:hAnsi="宋体" w:hint="eastAsia"/>
          <w:szCs w:val="21"/>
          <w:lang w:val="en-US" w:eastAsia="zh-CN"/>
        </w:rPr>
        <w:t>设备安装建设规范、设备工作原理、设备部件结构组成等。</w:t>
      </w:r>
    </w:p>
    <w:p>
      <w:pPr>
        <w:spacing w:line="360" w:lineRule="auto"/>
        <w:ind w:firstLine="420" w:firstLineChars="200"/>
        <w:rPr>
          <w:rFonts w:ascii="宋体" w:hAnsi="宋体" w:hint="default"/>
          <w:szCs w:val="21"/>
        </w:rPr>
      </w:pPr>
      <w:r>
        <w:rPr>
          <w:rFonts w:ascii="宋体" w:hAnsi="宋体" w:hint="eastAsia"/>
          <w:szCs w:val="21"/>
          <w:lang w:val="en-US" w:eastAsia="zh-CN"/>
        </w:rPr>
        <w:t>5.2.售后服务</w:t>
      </w:r>
    </w:p>
    <w:p>
      <w:pPr>
        <w:spacing w:line="360" w:lineRule="auto"/>
        <w:ind w:firstLine="420" w:firstLineChars="200"/>
        <w:rPr>
          <w:rFonts w:ascii="宋体" w:hAnsi="宋体" w:hint="eastAsia"/>
          <w:szCs w:val="21"/>
        </w:rPr>
      </w:pPr>
      <w:r>
        <w:rPr>
          <w:rFonts w:ascii="宋体" w:hAnsi="宋体" w:hint="eastAsia"/>
          <w:szCs w:val="21"/>
          <w:lang w:val="en-US" w:eastAsia="zh-CN"/>
        </w:rPr>
        <w:t>中标方需提供详细售后服务方案，包括设备售后服务组织机构、人员组成、技术支持文档等。</w:t>
      </w:r>
      <w:r>
        <w:rPr>
          <w:rFonts w:ascii="宋体" w:hAnsi="宋体" w:hint="eastAsia"/>
          <w:szCs w:val="21"/>
          <w:highlight w:val="yellow"/>
          <w:lang w:val="en-US" w:eastAsia="zh-CN"/>
        </w:rPr>
        <w:t>中标方应负责完成GNSS加密水汽观测站在</w:t>
      </w:r>
      <w:r>
        <w:rPr>
          <w:rFonts w:ascii="宋体" w:hAnsi="宋体" w:hint="eastAsia"/>
          <w:szCs w:val="21"/>
          <w:highlight w:val="yellow"/>
          <w:lang w:val="en-US" w:eastAsia="zh-CN"/>
        </w:rPr>
        <w:t>自然资源厅的站点备案报告。</w:t>
      </w:r>
    </w:p>
    <w:p>
      <w:pPr>
        <w:spacing w:line="360" w:lineRule="auto"/>
        <w:ind w:firstLine="420" w:firstLineChars="200"/>
        <w:rPr>
          <w:rFonts w:ascii="宋体" w:hAnsi="宋体" w:hint="default"/>
          <w:szCs w:val="21"/>
        </w:rPr>
      </w:pPr>
      <w:r>
        <w:rPr>
          <w:rFonts w:ascii="宋体" w:hAnsi="宋体" w:hint="eastAsia"/>
          <w:szCs w:val="21"/>
          <w:lang w:val="en-US" w:eastAsia="zh-CN"/>
        </w:rPr>
        <w:t>5.3.服务团队</w:t>
      </w:r>
    </w:p>
    <w:p>
      <w:pPr>
        <w:spacing w:line="360" w:lineRule="auto"/>
        <w:ind w:firstLine="420" w:firstLineChars="200"/>
        <w:rPr>
          <w:rFonts w:ascii="宋体" w:hAnsi="宋体" w:hint="default"/>
          <w:szCs w:val="21"/>
        </w:rPr>
      </w:pPr>
      <w:r>
        <w:rPr>
          <w:rFonts w:ascii="宋体" w:hAnsi="宋体" w:hint="eastAsia"/>
          <w:szCs w:val="21"/>
          <w:lang w:val="en-US" w:eastAsia="zh-CN"/>
        </w:rPr>
        <w:t>中标方为本项目设立专业团队，负责项目中全部设备的安装、调试、故障排除和质保期内的其他相关工作。其中中标方应确保团队的稳定性和专业性，项目经理应具有必要的项目管理经验。</w:t>
      </w:r>
    </w:p>
    <w:p>
      <w:pPr>
        <w:spacing w:line="360" w:lineRule="auto"/>
        <w:ind w:firstLine="420" w:firstLineChars="200"/>
        <w:rPr>
          <w:rFonts w:ascii="宋体" w:hAnsi="宋体" w:hint="default"/>
          <w:szCs w:val="21"/>
        </w:rPr>
      </w:pPr>
      <w:r>
        <w:rPr>
          <w:rFonts w:ascii="宋体" w:hAnsi="宋体" w:hint="eastAsia"/>
          <w:szCs w:val="21"/>
          <w:lang w:val="en-US" w:eastAsia="zh-CN"/>
        </w:rPr>
        <w:t>5.4.技术培训</w:t>
      </w:r>
    </w:p>
    <w:p>
      <w:pPr>
        <w:spacing w:line="360" w:lineRule="auto"/>
        <w:ind w:firstLine="420" w:firstLineChars="200"/>
        <w:rPr>
          <w:rFonts w:ascii="宋体" w:hAnsi="宋体" w:hint="eastAsia"/>
          <w:szCs w:val="21"/>
        </w:rPr>
      </w:pPr>
      <w:r>
        <w:rPr>
          <w:rFonts w:ascii="宋体" w:hAnsi="宋体" w:hint="eastAsia"/>
          <w:szCs w:val="21"/>
          <w:lang w:val="en-US" w:eastAsia="zh-CN"/>
        </w:rPr>
        <w:t>中标方对投标产品提供至少2次技术培训，培训内容包括设备使用、日常维护、观测原理及产品应用，培训时间、地点及方式由双方协商确定。</w:t>
      </w:r>
    </w:p>
    <w:p>
      <w:pPr>
        <w:spacing w:line="360" w:lineRule="auto"/>
        <w:ind w:firstLine="420" w:firstLineChars="200"/>
        <w:rPr>
          <w:rFonts w:ascii="宋体" w:hAnsi="宋体" w:hint="eastAsia"/>
          <w:szCs w:val="21"/>
        </w:rPr>
      </w:pPr>
      <w:r>
        <w:rPr>
          <w:rFonts w:ascii="宋体" w:hAnsi="宋体" w:hint="eastAsia"/>
          <w:szCs w:val="21"/>
          <w:lang w:val="en-US" w:eastAsia="zh-CN"/>
        </w:rPr>
        <w:t>5.5.质保期服务</w:t>
      </w:r>
    </w:p>
    <w:p>
      <w:pPr>
        <w:spacing w:line="360" w:lineRule="auto"/>
        <w:ind w:firstLine="420" w:firstLineChars="200"/>
        <w:rPr>
          <w:rFonts w:ascii="宋体" w:hAnsi="宋体" w:hint="default"/>
          <w:szCs w:val="21"/>
        </w:rPr>
      </w:pPr>
      <w:r>
        <w:rPr>
          <w:rFonts w:ascii="宋体" w:hAnsi="宋体" w:hint="eastAsia"/>
          <w:szCs w:val="21"/>
          <w:lang w:val="en-US" w:eastAsia="zh-CN"/>
        </w:rPr>
        <w:t>中标方按照业务运行规范要求执行，确保设备可稳定运行，主要工作包括：汛前巡检、年维护等巡检巡查工作，以及关键器件及系统故障的维修等，设备整机质保8年。</w:t>
      </w: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72"/>
        <w:gridCol w:w="1442"/>
        <w:gridCol w:w="1084"/>
        <w:gridCol w:w="1496"/>
        <w:gridCol w:w="1706"/>
        <w:gridCol w:w="1113"/>
        <w:gridCol w:w="81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GNSS水汽站升级改造</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1,542,000.00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1,542,000.00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60"/>
        <w:gridCol w:w="2352"/>
        <w:gridCol w:w="1231"/>
        <w:gridCol w:w="560"/>
        <w:gridCol w:w="1277"/>
        <w:gridCol w:w="1064"/>
        <w:gridCol w:w="918"/>
        <w:gridCol w:w="56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中国气象局武汉暴雨研究所</w:t>
            </w:r>
          </w:p>
        </w:tc>
        <w:tc>
          <w:tcPr/>
          <w:p>
            <w:r>
              <w:t>GNSS水汽站升级改造</w:t>
            </w:r>
          </w:p>
        </w:tc>
        <w:tc>
          <w:tcPr/>
          <w:p>
            <w:r>
              <w:t>1</w:t>
            </w:r>
          </w:p>
        </w:tc>
        <w:tc>
          <w:tcPr/>
          <w:p>
            <w:r>
              <w:t>1542000.00</w:t>
            </w:r>
          </w:p>
        </w:tc>
        <w:tc>
          <w:tcPr/>
          <w:p>
            <w:r>
              <w:t xml:space="preserve">1542000.00  </w:t>
            </w:r>
          </w:p>
        </w:tc>
        <w:tc>
          <w:tcP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385FFF">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385FFF">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C27AA3">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385FFF">
            <w:pPr>
              <w:rPr>
                <w:sz w:val="18"/>
                <w:szCs w:val="18"/>
              </w:rPr>
            </w:pPr>
            <w:r>
              <w:rPr>
                <w:rFonts w:hint="eastAsia"/>
                <w:sz w:val="18"/>
                <w:szCs w:val="18"/>
              </w:rPr>
              <w:t>序号</w:t>
            </w:r>
          </w:p>
        </w:tc>
        <w:tc>
          <w:tcPr>
            <w:tcW w:w="898" w:type="dxa"/>
            <w:vAlign w:val="center"/>
          </w:tcPr>
          <w:p w:rsidR="00385FFF">
            <w:pPr>
              <w:jc w:val="center"/>
              <w:rPr>
                <w:sz w:val="18"/>
                <w:szCs w:val="18"/>
              </w:rPr>
            </w:pPr>
            <w:r>
              <w:rPr>
                <w:rFonts w:hint="eastAsia"/>
                <w:sz w:val="18"/>
                <w:szCs w:val="18"/>
              </w:rPr>
              <w:t>对应</w:t>
            </w:r>
          </w:p>
          <w:p w:rsidR="00385FFF">
            <w:pPr>
              <w:jc w:val="center"/>
              <w:rPr>
                <w:sz w:val="18"/>
                <w:szCs w:val="18"/>
              </w:rPr>
            </w:pPr>
            <w:r>
              <w:rPr>
                <w:rFonts w:hint="eastAsia"/>
                <w:sz w:val="18"/>
                <w:szCs w:val="18"/>
              </w:rPr>
              <w:t>条款号</w:t>
            </w:r>
          </w:p>
        </w:tc>
        <w:tc>
          <w:tcPr>
            <w:tcW w:w="7347" w:type="dxa"/>
            <w:vAlign w:val="center"/>
          </w:tcPr>
          <w:p w:rsidR="00385FFF">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C27AA3">
        <w:tblPrEx>
          <w:tblW w:w="8789" w:type="dxa"/>
          <w:tblLayout w:type="fixed"/>
          <w:tblLook w:val="04A0"/>
        </w:tblPrEx>
        <w:trPr>
          <w:cantSplit/>
        </w:trPr>
        <w:tc>
          <w:tcPr>
            <w:tcW w:w="8789" w:type="dxa"/>
            <w:gridSpan w:val="3"/>
            <w:vAlign w:val="center"/>
          </w:tcPr>
          <w:p w:rsidR="00385FFF">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C27AA3">
        <w:tblPrEx>
          <w:tblW w:w="8789" w:type="dxa"/>
          <w:tblLayout w:type="fixed"/>
          <w:tblLook w:val="04A0"/>
        </w:tblPrEx>
        <w:trPr>
          <w:cantSplit/>
        </w:trPr>
        <w:tc>
          <w:tcPr>
            <w:tcW w:w="544" w:type="dxa"/>
            <w:vAlign w:val="center"/>
          </w:tcPr>
          <w:p w:rsidR="00385FFF">
            <w:pPr>
              <w:numPr>
                <w:ilvl w:val="0"/>
                <w:numId w:val="13"/>
              </w:numPr>
              <w:rPr>
                <w:rFonts w:ascii="宋体" w:hAnsi="宋体"/>
                <w:sz w:val="18"/>
                <w:szCs w:val="18"/>
              </w:rPr>
            </w:pPr>
          </w:p>
        </w:tc>
        <w:tc>
          <w:tcPr>
            <w:tcW w:w="898" w:type="dxa"/>
            <w:vAlign w:val="center"/>
          </w:tcPr>
          <w:p w:rsidR="00385FFF">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385FFF">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C27AA3">
        <w:tblPrEx>
          <w:tblW w:w="8789" w:type="dxa"/>
          <w:tblLayout w:type="fixed"/>
          <w:tblLook w:val="04A0"/>
        </w:tblPrEx>
        <w:trPr>
          <w:cantSplit/>
        </w:trPr>
        <w:tc>
          <w:tcPr>
            <w:tcW w:w="8789" w:type="dxa"/>
            <w:gridSpan w:val="3"/>
            <w:vAlign w:val="center"/>
          </w:tcPr>
          <w:p w:rsidR="00385FFF">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C27AA3">
        <w:tblPrEx>
          <w:tblW w:w="8789" w:type="dxa"/>
          <w:tblLayout w:type="fixed"/>
          <w:tblLook w:val="04A0"/>
        </w:tblPrEx>
        <w:trPr>
          <w:cantSplit/>
        </w:trPr>
        <w:tc>
          <w:tcPr>
            <w:tcW w:w="544" w:type="dxa"/>
            <w:vAlign w:val="center"/>
          </w:tcPr>
          <w:p w:rsidR="00385FFF">
            <w:pPr>
              <w:numPr>
                <w:ilvl w:val="0"/>
                <w:numId w:val="13"/>
              </w:numPr>
              <w:rPr>
                <w:rFonts w:ascii="宋体" w:hAnsi="宋体"/>
                <w:sz w:val="18"/>
                <w:szCs w:val="18"/>
              </w:rPr>
            </w:pPr>
          </w:p>
        </w:tc>
        <w:tc>
          <w:tcPr>
            <w:tcW w:w="898" w:type="dxa"/>
            <w:vAlign w:val="center"/>
          </w:tcPr>
          <w:p w:rsidR="00385FFF">
            <w:pPr>
              <w:jc w:val="center"/>
              <w:rPr>
                <w:rFonts w:ascii="宋体" w:hAnsi="宋体"/>
                <w:sz w:val="18"/>
                <w:szCs w:val="18"/>
              </w:rPr>
            </w:pPr>
            <w:r>
              <w:rPr>
                <w:rFonts w:ascii="宋体" w:hAnsi="宋体"/>
                <w:sz w:val="18"/>
                <w:szCs w:val="18"/>
              </w:rPr>
              <w:t>……</w:t>
            </w:r>
          </w:p>
        </w:tc>
        <w:tc>
          <w:tcPr>
            <w:tcW w:w="7347" w:type="dxa"/>
            <w:vAlign w:val="center"/>
          </w:tcPr>
          <w:p w:rsidR="00385FFF">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385FFF">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385FFF">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合同签订后10个工作日内支付合同款的80%，完成核心产品交货后10个工作日内支付合同款的20%</w:t>
      </w:r>
      <w:r>
        <w:rPr>
          <w:rFonts w:ascii="宋体" w:hAnsi="宋体" w:hint="eastAsia"/>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69"/>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5FFF"/>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