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w:t>
      </w:r>
      <w:r>
        <w:rPr>
          <w:rFonts w:ascii="宋体" w:hAnsi="宋体" w:cs="微软雅黑" w:hint="eastAsia"/>
          <w:b/>
          <w:kern w:val="0"/>
          <w:szCs w:val="21"/>
          <w:highlight w:val="none"/>
        </w:rPr>
        <w:t>202</w:t>
      </w:r>
      <w:r>
        <w:rPr>
          <w:rFonts w:ascii="宋体" w:hAnsi="宋体" w:cs="微软雅黑"/>
          <w:b/>
          <w:kern w:val="0"/>
          <w:szCs w:val="21"/>
          <w:highlight w:val="none"/>
        </w:rPr>
        <w:t>6</w:t>
      </w:r>
      <w:r>
        <w:rPr>
          <w:rFonts w:ascii="宋体" w:hAnsi="宋体" w:cs="微软雅黑" w:hint="eastAsia"/>
          <w:b/>
          <w:kern w:val="0"/>
          <w:szCs w:val="21"/>
          <w:highlight w:val="none"/>
        </w:rPr>
        <w:t>0</w:t>
      </w:r>
      <w:r>
        <w:rPr>
          <w:rFonts w:ascii="宋体" w:hAnsi="宋体" w:cs="微软雅黑"/>
          <w:b/>
          <w:kern w:val="0"/>
          <w:szCs w:val="21"/>
          <w:highlight w:val="none"/>
        </w:rPr>
        <w:t>2</w:t>
      </w:r>
      <w:r>
        <w:rPr>
          <w:rFonts w:ascii="宋体" w:hAnsi="宋体" w:cs="微软雅黑" w:hint="eastAsia"/>
          <w:b/>
          <w:kern w:val="0"/>
          <w:szCs w:val="21"/>
          <w:highlight w:val="none"/>
        </w:rPr>
        <w:t>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（范本，非软件开发服务类适用）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气象装备保障技术服务</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ZQCD-26190</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2026年08月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中所述服务及相关货物的招标投标。本项目属性确定为服务类（不含软件开发）采购。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所述所有服务内容、货物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kern w:val="0"/>
        </w:rPr>
        <w:t>1.3.9</w:t>
      </w:r>
      <w:r>
        <w:rPr>
          <w:rFonts w:hint="eastAsia"/>
        </w:rPr>
        <w:t>如投标人授权代表不是法定代表人，须在投标函中具有法定代表人的授权，否则投标将被拒绝。</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1.4.2投标人获得本项目采购合同后，在本项目实施过程中应保持服务团队人员特别是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5.6条有关进口产品投标要求的，投标将被拒绝。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第五章投标人须知专用部分5.6条</w:t>
      </w:r>
      <w:r>
        <w:rPr>
          <w:rFonts w:hint="eastAsia"/>
        </w:rPr>
        <w:t>有关代理商投标要求，以及进口产品代理商未按</w:t>
      </w:r>
      <w:r>
        <w:rPr>
          <w:rFonts w:hint="eastAsia"/>
          <w:b/>
        </w:rPr>
        <w:t>第五章投标人须知专用部分5.7条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宋体" w:hAnsi="宋体" w:hint="eastAsia"/>
          <w:szCs w:val="21"/>
        </w:rPr>
        <w:t>⑨</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微软雅黑" w:eastAsia="微软雅黑" w:hAnsi="微软雅黑" w:hint="eastAsia"/>
          <w:szCs w:val="21"/>
        </w:rPr>
        <w:t>⑩</w:t>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第五章投标人须知专用部分5.12条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第五章投标人须知专用部分5.12条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hint="eastAsia"/>
          <w:b/>
          <w:bCs/>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1.17.3投标人要按分项报价表的内容填写单价（包括服务清单、方式、费用，货物报价及品牌、型号、产地、装箱、包装、包装物料、运输和保险费用等）、总价及其他事项。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中国气象局政府采购网（网址：http：//cmagp.cmaidp.cma.cn/portalweb），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以投标截止日为基准日，近一年内任何</w:t>
      </w:r>
      <w:r>
        <w:t>完税凭证或税务部门出具的税收减免证明</w:t>
      </w:r>
      <w:r>
        <w:rPr>
          <w:rFonts w:hint="eastAsia"/>
        </w:rPr>
        <w:t>，</w:t>
      </w:r>
      <w:r>
        <w:t>③</w:t>
      </w:r>
      <w:r>
        <w:rPr>
          <w:rFonts w:hint="eastAsia"/>
        </w:rPr>
        <w:t>以投标截止日为基准日，</w:t>
      </w:r>
      <w:r>
        <w:t>近</w:t>
      </w:r>
      <w:r>
        <w:rPr>
          <w:rFonts w:hint="eastAsia"/>
        </w:rPr>
        <w:t>一年内任何一期的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5.12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（4）根据1.26.8条修正后的分项报价表总价金额小于单独密封的开标一览表总价金额；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单独密封的开标一览表总价金额，评标委员会按1.27条规定的程序要求其对单价进行调整，并使其分项报价表总价金额等于单独密封的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（2）投标报价低于通过符合性审查的次低报价供应商投标报价50%的，即：投标报价 &lt;</w:t>
      </w:r>
      <w:r>
        <w:rPr>
          <w:highlight w:val="none"/>
        </w:rPr>
        <w:t xml:space="preserve"> </w:t>
      </w:r>
      <w:r>
        <w:rPr>
          <w:rFonts w:hint="eastAsia"/>
          <w:highlight w:val="none"/>
        </w:rPr>
        <w:t>通过符合性审查的次低报价供应商投标报价</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rFonts w:ascii="宋体" w:hAnsi="宋体" w:hint="eastAsia"/>
          <w:szCs w:val="21"/>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服务标准及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）服务标准及质量、投标产品的技术性能及质量。包括对招标文件应答情况，服务标准、质量、产品技术规格有无偏离，产品的性能、标准，产品的先进性、可靠性、稳定性及质量保证等；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spacing w:line="360" w:lineRule="auto"/>
        <w:ind w:firstLine="420" w:firstLineChars="200"/>
        <w:rPr>
          <w:rFonts w:ascii="宋体" w:hAnsi="宋体"/>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spacing w:line="360" w:lineRule="auto"/>
        <w:ind w:firstLine="420" w:firstLineChars="200"/>
        <w:rPr>
          <w:rFonts w:ascii="宋体" w:hAnsi="宋体"/>
        </w:rPr>
      </w:pPr>
    </w:p>
    <w:p>
      <w:pPr>
        <w:spacing w:line="360" w:lineRule="auto"/>
        <w:ind w:firstLine="420" w:firstLineChars="200"/>
        <w:jc w:val="center"/>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6.开标一览表或投标文件中未注明出处的优惠金额可由采购人按用户利益最大化原则分摊到主要服务费用中，折算后的价格作为可能的追加采购服务的计费依据。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0" w:name="_Hlt509739007"/>
      <w:bookmarkEnd w:id="10"/>
      <w:r>
        <w:rPr>
          <w:rFonts w:ascii="宋体" w:eastAsia="宋体" w:hAnsi="宋体" w:cs="Times New Roman" w:hint="eastAsia"/>
          <w:b/>
          <w:kern w:val="2"/>
          <w:sz w:val="21"/>
          <w:szCs w:val="21"/>
          <w:highlight w:val="none"/>
          <w:lang w:val="en-US" w:eastAsia="zh-CN" w:bidi="ar-SA"/>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2.10.8</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1" w:name="_Toc86202647"/>
      <w:r>
        <w:rPr>
          <w:rFonts w:ascii="宋体" w:eastAsia="宋体" w:hAnsi="宋体" w:cs="Times New Roman" w:hint="eastAsia"/>
          <w:b/>
          <w:kern w:val="2"/>
          <w:sz w:val="21"/>
          <w:szCs w:val="21"/>
          <w:highlight w:val="none"/>
          <w:lang w:val="en-US" w:eastAsia="zh-CN" w:bidi="ar-SA"/>
        </w:rPr>
        <w:t>2.10.9中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w:t>
      </w:r>
      <w:r>
        <w:rPr>
          <w:rFonts w:ascii="华文楷体" w:eastAsia="华文楷体" w:hAnsi="华文楷体" w:cs="仿宋_GB2312"/>
          <w:szCs w:val="21"/>
          <w:highlight w:val="none"/>
        </w:rPr>
        <w:t>名称（</w:t>
      </w:r>
      <w:r>
        <w:rPr>
          <w:rFonts w:ascii="华文楷体" w:eastAsia="华文楷体" w:hAnsi="华文楷体" w:cs="仿宋_GB2312" w:hint="eastAsia"/>
          <w:szCs w:val="21"/>
          <w:highlight w:val="none"/>
        </w:rPr>
        <w:t>电子签章</w:t>
      </w:r>
      <w:r>
        <w:rPr>
          <w:rFonts w:ascii="华文楷体" w:eastAsia="华文楷体" w:hAnsi="华文楷体" w:cs="仿宋_GB2312"/>
          <w:szCs w:val="21"/>
          <w:highlight w:val="none"/>
        </w:rPr>
        <w:t>）：</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b/>
          <w:szCs w:val="21"/>
          <w:highlight w:val="none"/>
        </w:rPr>
      </w:pP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2.10.10</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2.10.12其他资格证明文件</w:t>
      </w:r>
    </w:p>
    <w:p>
      <w:pPr>
        <w:adjustRightInd w:val="0"/>
        <w:snapToGrid w:val="0"/>
        <w:spacing w:line="360" w:lineRule="auto"/>
        <w:ind w:firstLine="412" w:firstLineChars="196"/>
        <w:rPr>
          <w:rFonts w:ascii="Times New Roman" w:eastAsia="宋体" w:hAnsi="Times New Roman" w:cs="Times New Roman"/>
          <w:szCs w:val="20"/>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2.12述标委托书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照第五章投标人须知专用部分5.12条规定应提交的各种商务文件。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eastAsia="宋体" w:hAnsi="宋体" w:cs="Times New Roman" w:hint="eastAsia"/>
          <w:b/>
          <w:szCs w:val="20"/>
        </w:rPr>
        <w:t>响应人自行编写的商务文件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End w:id="7"/>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2.16分项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说明：1、采购内容不含货物购置的不提供表二。表一、二总价之和应等于开标一览表投标总价。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ind w:firstLine="420"/>
        <w:outlineLvl w:val="3"/>
        <w:rPr>
          <w:rFonts w:ascii="宋体" w:hAnsi="宋体"/>
          <w:b/>
          <w:szCs w:val="21"/>
        </w:rPr>
      </w:pP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2.17服务团队人员基本情况表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pStyle w:val="PlainText"/>
        <w:spacing w:line="360" w:lineRule="auto"/>
        <w:rPr>
          <w:rFonts w:ascii="华文楷体" w:eastAsia="华文楷体" w:hAnsi="华文楷体"/>
        </w:rPr>
      </w:pPr>
      <w:r>
        <w:rPr>
          <w:rFonts w:ascii="华文楷体" w:eastAsia="华文楷体" w:hAnsi="华文楷体" w:cs="Times New Roman" w:hint="eastAsia"/>
        </w:rPr>
        <w:t>项目名称：</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项目编号：</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包号：</w:t>
      </w:r>
      <w:r>
        <w:rPr>
          <w:rFonts w:ascii="华文楷体" w:eastAsia="华文楷体" w:hAnsi="华文楷体" w:cs="Times New Roman" w:hint="eastAsia"/>
          <w:u w:val="single"/>
        </w:rPr>
        <w:t xml:space="preserve">    </w:t>
      </w:r>
      <w:r>
        <w:rPr>
          <w:rFonts w:ascii="华文楷体" w:eastAsia="华文楷体" w:hAnsi="华文楷体" w:cs="Times New Roman" w:hint="eastAsi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2.18技术要求偏离表</w:t>
      </w:r>
    </w:p>
    <w:p>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bl>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示例：如某应答内容在投标人自行编制的技术文件10-13页，则填列“投标人自行编制的技术文件10-13页”。</w:t>
      </w:r>
    </w:p>
    <w:p>
      <w:pPr>
        <w:tabs>
          <w:tab w:val="left" w:pos="1260"/>
        </w:tabs>
        <w:adjustRightInd w:val="0"/>
        <w:snapToGrid w:val="0"/>
        <w:spacing w:line="360" w:lineRule="auto"/>
        <w:ind w:firstLine="420" w:firstLineChars="200"/>
        <w:rPr>
          <w:rFonts w:ascii="华文楷体" w:eastAsia="华文楷体" w:hAnsi="华文楷体" w:cs="Times New Roman"/>
          <w:szCs w:val="21"/>
        </w:rPr>
      </w:pP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2.20投标人项目实施和售后服务方案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hAnsi="宋体" w:hint="eastAsia"/>
          <w:b/>
          <w:szCs w:val="21"/>
        </w:rPr>
        <w:t>21其他技术文件</w:t>
      </w:r>
    </w:p>
    <w:p>
      <w:pPr>
        <w:tabs>
          <w:tab w:val="left" w:pos="1573"/>
        </w:tabs>
        <w:adjustRightInd w:val="0"/>
        <w:snapToGrid w:val="0"/>
        <w:spacing w:line="360" w:lineRule="auto"/>
        <w:ind w:firstLine="412" w:firstLineChars="196"/>
        <w:jc w:val="left"/>
        <w:outlineLvl w:val="9"/>
        <w:rPr>
          <w:rFonts w:ascii="宋体" w:hAnsi="宋体" w:hint="eastAsia"/>
        </w:rPr>
      </w:pPr>
      <w:r>
        <w:rPr>
          <w:rFonts w:ascii="宋体" w:eastAsia="宋体" w:hAnsi="宋体" w:cs="Times New Roman" w:hint="eastAsia"/>
          <w:szCs w:val="20"/>
        </w:rPr>
        <w:t>按</w:t>
      </w:r>
      <w:r>
        <w:rPr>
          <w:rFonts w:ascii="宋体" w:hAnsi="宋体" w:hint="eastAsia"/>
        </w:rPr>
        <w:t>照第五章投标人须知专用部分5.12条规定应提交的各种技术文件。如招标文件第七章采购需求等章节中有专门格式要求，按专门格式编写。如无专门格式要求，由投标人自拟格式编写。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22投标人自行编写的技术文件。</w:t>
      </w:r>
    </w:p>
    <w:p>
      <w:pPr>
        <w:adjustRightInd w:val="0"/>
        <w:snapToGrid w:val="0"/>
        <w:spacing w:line="360" w:lineRule="auto"/>
        <w:ind w:firstLine="412" w:firstLineChars="196"/>
        <w:rPr>
          <w:rFonts w:ascii="宋体" w:hAnsi="宋体"/>
        </w:rPr>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5.6条有关进口产品投标要求的，投标将被拒绝。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第五章投标人须知专用部分5.6条</w:t>
            </w:r>
            <w:r>
              <w:rPr>
                <w:rFonts w:hint="eastAsia"/>
                <w:sz w:val="18"/>
                <w:szCs w:val="18"/>
              </w:rPr>
              <w:t>有关代理商投标要求，以及进口产品代理商未按</w:t>
            </w:r>
            <w:r>
              <w:rPr>
                <w:rFonts w:hint="eastAsia"/>
                <w:b/>
                <w:sz w:val="18"/>
                <w:szCs w:val="18"/>
              </w:rPr>
              <w:t>第五章投标人须知专用部分5.7条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bCs/>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（如本次采购内容不包括货物，或者投标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hint="eastAsia"/>
                <w:bCs/>
                <w:sz w:val="18"/>
                <w:szCs w:val="18"/>
              </w:rPr>
              <w:t>；</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第五章投标人须知专用部分5.12条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rPr>
                <w:sz w:val="18"/>
                <w:szCs w:val="18"/>
              </w:rPr>
            </w:pPr>
            <w:r>
              <w:rPr>
                <w:rFonts w:hint="eastAsia"/>
                <w:sz w:val="18"/>
                <w:szCs w:val="18"/>
              </w:rPr>
              <w:t>投标人未提交全以下技术文件（特别说明除外）：1、开标一览表；2、分项报价表；3、服务团队人员基本情况表（如未要求组成专门的服务团队的，不提供）；4、技术要求偏离表；4、按照第五章投标人须知专用部分5.12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center"/>
        <w:outlineLvl w:val="9"/>
        <w:rPr>
          <w:b/>
          <w:sz w:val="48"/>
          <w:szCs w:val="36"/>
        </w:rPr>
      </w:pPr>
    </w:p>
    <w:p>
      <w:pPr>
        <w:spacing w:line="360" w:lineRule="auto"/>
        <w:jc w:val="center"/>
        <w:outlineLvl w:val="0"/>
        <w:rPr>
          <w:rFonts w:ascii="宋体" w:hAnsi="宋体"/>
          <w:b/>
          <w:sz w:val="48"/>
          <w:szCs w:val="36"/>
          <w:highlight w:val="none"/>
        </w:rPr>
      </w:pPr>
      <w:r>
        <w:rPr>
          <w:b/>
          <w:sz w:val="48"/>
          <w:szCs w:val="36"/>
          <w:highlight w:val="none"/>
        </w:rPr>
        <w:br w:type="page"/>
      </w: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461" w:firstLineChars="1172"/>
        <w:jc w:val="left"/>
        <w:rPr>
          <w:b/>
          <w:bCs/>
          <w:szCs w:val="21"/>
          <w:highlight w:val="none"/>
        </w:rPr>
      </w:pPr>
      <w:r>
        <w:rPr>
          <w:rFonts w:hint="eastAsia"/>
          <w:b/>
          <w:bCs/>
          <w:szCs w:val="21"/>
          <w:highlight w:val="none"/>
        </w:rPr>
        <w:t>第四章  投标邀请书</w:t>
      </w:r>
    </w:p>
    <w:p>
      <w:pPr>
        <w:adjustRightInd w:val="0"/>
        <w:snapToGrid w:val="0"/>
        <w:spacing w:line="360" w:lineRule="auto"/>
        <w:ind w:firstLine="2461" w:firstLineChars="1172"/>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461" w:firstLineChars="1172"/>
        <w:jc w:val="left"/>
        <w:rPr>
          <w:b/>
          <w:bCs/>
          <w:szCs w:val="21"/>
          <w:highlight w:val="none"/>
        </w:rPr>
      </w:pPr>
      <w:r>
        <w:rPr>
          <w:rFonts w:hint="eastAsia"/>
          <w:b/>
          <w:szCs w:val="21"/>
          <w:highlight w:val="none"/>
        </w:rPr>
        <w:t>第七章  采购需求</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中国气象局上海气象装备保障中心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气象装备保障技术服务</w:t>
      </w:r>
      <w:bookmarkEnd w:id="21"/>
      <w:r>
        <w:rPr>
          <w:rFonts w:ascii="宋体" w:hAnsi="宋体" w:cs="宋体" w:hint="eastAsia"/>
          <w:b/>
          <w:bCs/>
          <w:szCs w:val="21"/>
          <w:highlight w:val="none"/>
        </w:rPr>
        <w:t>。</w:t>
      </w:r>
    </w:p>
    <w:p>
      <w:pPr>
        <w:spacing w:line="360" w:lineRule="auto"/>
        <w:ind w:firstLine="420" w:firstLineChars="200"/>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ZQCD-26190</w:t>
      </w:r>
      <w:bookmarkEnd w:id="22"/>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自合同签订之日至乙方完成本合同约定全部服务内容为止。</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上海市</w:t>
      </w:r>
      <w:bookmarkEnd w:id="25"/>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2026年08月28日 00:00:00</w:t>
      </w:r>
      <w:bookmarkEnd w:id="26"/>
      <w:r>
        <w:rPr>
          <w:rFonts w:ascii="宋体" w:hint="eastAsia"/>
          <w:szCs w:val="21"/>
          <w:highlight w:val="none"/>
        </w:rPr>
        <w:t>至</w:t>
      </w:r>
      <w:bookmarkStart w:id="27" w:name="项目公告_signUpLastTime"/>
      <w:r>
        <w:rPr>
          <w:rFonts w:ascii="宋体" w:hint="eastAsia"/>
          <w:szCs w:val="21"/>
          <w:highlight w:val="none"/>
        </w:rPr>
        <w:t>2026年09月04日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w:t>
      </w:r>
      <w:r>
        <w:rPr>
          <w:rFonts w:ascii="宋体" w:eastAsia="宋体" w:hAnsi="宋体" w:cs="Times New Roman" w:hint="eastAsia"/>
          <w:b/>
          <w:bCs/>
          <w:i w:val="0"/>
          <w:iCs w:val="0"/>
          <w:caps w:val="0"/>
          <w:spacing w:val="0"/>
          <w:sz w:val="21"/>
          <w:szCs w:val="21"/>
          <w:shd w:val="clear" w:color="auto" w:fill="auto"/>
        </w:rPr>
        <w:t>投标截止时间、投标方式及开标时间</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w:t>
      </w:r>
      <w:r>
        <w:rPr>
          <w:rFonts w:ascii="宋体" w:eastAsia="宋体" w:hAnsi="Times New Roman" w:cs="Times New Roman" w:hint="eastAsia"/>
          <w:b w:val="0"/>
          <w:bCs w:val="0"/>
          <w:i w:val="0"/>
          <w:iCs w:val="0"/>
          <w:caps w:val="0"/>
          <w:spacing w:val="0"/>
          <w:sz w:val="21"/>
          <w:szCs w:val="21"/>
          <w:shd w:val="clear" w:color="auto" w:fill="auto"/>
        </w:rPr>
        <w:t>投标</w:t>
      </w:r>
      <w:r>
        <w:rPr>
          <w:rFonts w:ascii="宋体" w:eastAsia="宋体" w:hAnsi="Times New Roman" w:cs="Times New Roman" w:hint="eastAsia"/>
          <w:b w:val="0"/>
          <w:bCs w:val="0"/>
          <w:i w:val="0"/>
          <w:iCs w:val="0"/>
          <w:caps w:val="0"/>
          <w:spacing w:val="0"/>
          <w:sz w:val="21"/>
          <w:szCs w:val="21"/>
          <w:shd w:val="clear" w:color="auto" w:fill="auto"/>
          <w:lang w:val="en-US" w:eastAsia="zh-CN"/>
        </w:rPr>
        <w:t>文件提交</w:t>
      </w:r>
      <w:r>
        <w:rPr>
          <w:rFonts w:ascii="宋体" w:eastAsia="宋体" w:hAnsi="Times New Roman" w:cs="Times New Roman" w:hint="eastAsia"/>
          <w:b w:val="0"/>
          <w:bCs w:val="0"/>
          <w:i w:val="0"/>
          <w:iCs w:val="0"/>
          <w:caps w:val="0"/>
          <w:spacing w:val="0"/>
          <w:sz w:val="21"/>
          <w:szCs w:val="21"/>
          <w:shd w:val="clear" w:color="auto" w:fill="auto"/>
        </w:rPr>
        <w:t>截止时间及开标时间</w:t>
      </w:r>
      <w:r>
        <w:rPr>
          <w:rFonts w:ascii="宋体" w:hint="eastAsia"/>
          <w:szCs w:val="21"/>
          <w:highlight w:val="none"/>
        </w:rPr>
        <w:t>：</w:t>
      </w:r>
      <w:bookmarkStart w:id="28" w:name="项目公告_openBidTime"/>
      <w:r>
        <w:rPr>
          <w:rFonts w:ascii="宋体" w:hAnsi="宋体" w:hint="eastAsia"/>
          <w:bCs/>
          <w:szCs w:val="21"/>
          <w:highlight w:val="none"/>
        </w:rPr>
        <w:t>2026年09月18日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adjustRightInd/>
        <w:snapToGrid/>
        <w:spacing w:line="360" w:lineRule="auto"/>
        <w:ind w:firstLine="420" w:firstLineChars="200"/>
        <w:jc w:val="both"/>
        <w:rPr>
          <w:rFonts w:ascii="宋体" w:hAnsi="宋体"/>
          <w:bCs/>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北京市海淀区中关村南大街46号中国气象局北区8号楼4层404会议室（科技大楼前草坪西侧），届时投标人的法定代表人或其授权的投标人授权代表无需到场参加。</w:t>
      </w:r>
      <w:bookmarkEnd w:id="29"/>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本项目相关信息均在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陈小超</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中国气象局上海气象装备保障中心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杨栋晖</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021-62267080</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上海市长宁区延安西路503号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adjustRightInd w:val="0"/>
        <w:snapToGrid w:val="0"/>
        <w:spacing w:line="360" w:lineRule="auto"/>
        <w:jc w:val="center"/>
        <w:outlineLvl w:val="1"/>
        <w:rPr>
          <w:b/>
          <w:bCs/>
          <w:sz w:val="30"/>
          <w:szCs w:val="30"/>
          <w:highlight w:val="none"/>
        </w:rPr>
      </w:pPr>
      <w:r>
        <w:rPr>
          <w:b/>
          <w:bCs/>
          <w:szCs w:val="21"/>
          <w:highlight w:val="none"/>
        </w:rPr>
        <w:br w:type="page"/>
      </w:r>
      <w:bookmarkStart w:id="37"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8" w:name="采购人2_recorderOrgName"/>
            <w:r>
              <w:rPr>
                <w:rFonts w:ascii="宋体" w:eastAsia="宋体" w:hAnsi="宋体" w:cs="微软雅黑" w:hint="eastAsia"/>
                <w:kern w:val="0"/>
                <w:szCs w:val="21"/>
                <w:highlight w:val="none"/>
              </w:rPr>
              <w:t>中国气象局上海气象装备保障中心</w:t>
            </w:r>
            <w:bookmarkEnd w:id="38"/>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0" w:name="联合体投标_jointFlagText"/>
            <w:r>
              <w:rPr>
                <w:rFonts w:ascii="宋体" w:eastAsia="宋体" w:hAnsi="宋体" w:cs="微软雅黑" w:hint="eastAsia"/>
                <w:kern w:val="0"/>
                <w:szCs w:val="21"/>
                <w:highlight w:val="none"/>
              </w:rPr>
              <w:t>不允许</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1" w:name="服务团队_isMakeSpecializedServiceFlagText"/>
            <w:r>
              <w:rPr>
                <w:rFonts w:ascii="宋体" w:eastAsia="宋体" w:hAnsi="宋体" w:cs="微软雅黑" w:hint="eastAsia"/>
                <w:kern w:val="0"/>
                <w:szCs w:val="21"/>
                <w:highlight w:val="none"/>
              </w:rPr>
              <w:t>需要，组成不少于 8 人的服务团队，具体要求详见第七章采购需求。</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2" w:name="驻场服务_residentServiceFlagText"/>
            <w:r>
              <w:rPr>
                <w:rFonts w:ascii="宋体" w:eastAsia="宋体" w:hAnsi="宋体" w:cs="微软雅黑" w:hint="eastAsia"/>
                <w:kern w:val="0"/>
                <w:szCs w:val="21"/>
                <w:highlight w:val="none"/>
              </w:rPr>
              <w:t>是，驻场服务人员不少于 4 人，其相关要求详见第七章采购需求。</w:t>
            </w:r>
            <w:bookmarkEnd w:id="42"/>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3" w:name="选择是否为货物_includingGoodsFlagText"/>
            <w:r>
              <w:rPr>
                <w:rFonts w:ascii="宋体" w:eastAsia="宋体" w:hAnsi="宋体" w:cs="微软雅黑" w:hint="eastAsia"/>
                <w:kern w:val="0"/>
                <w:szCs w:val="21"/>
                <w:highlight w:val="none"/>
              </w:rPr>
              <w:t>否</w:t>
            </w:r>
            <w:bookmarkEnd w:id="43"/>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4" w:name="进口产品_agentMaterials"/>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5.8</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5" w:name="行业_smeIndustryClassification"/>
            <w:r>
              <w:rPr>
                <w:rFonts w:ascii="宋体" w:hAnsi="宋体" w:cs="微软雅黑" w:hint="eastAsia"/>
                <w:kern w:val="0"/>
                <w:szCs w:val="21"/>
                <w:highlight w:val="none"/>
              </w:rPr>
              <w:t>（1）标的：    ，属于  其他  行业；</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5.9</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6" w:name="中小企业_minorEnterprisesFlagText"/>
            <w:r>
              <w:rPr>
                <w:rFonts w:ascii="Wingdings 2" w:hAnsi="Wingdings 2" w:cs="微软雅黑" w:hint="eastAsia"/>
                <w:kern w:val="0"/>
                <w:szCs w:val="21"/>
                <w:highlight w:val="none"/>
                <w:lang w:eastAsia="zh-CN"/>
              </w:rPr>
              <w:t>否</w:t>
            </w:r>
            <w:bookmarkEnd w:id="46"/>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7" w:name="代理服务费_agentAmountText"/>
            <w:r>
              <w:rPr>
                <w:rFonts w:ascii="宋体" w:eastAsia="宋体" w:hAnsi="宋体" w:cs="微软雅黑" w:hint="eastAsia"/>
                <w:kern w:val="0"/>
                <w:szCs w:val="21"/>
                <w:highlight w:val="none"/>
              </w:rPr>
              <w:t>是，代理服务费：5.9万元。</w:t>
            </w:r>
            <w:bookmarkEnd w:id="47"/>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11</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48" w:name="答疑会_answeringQuestionFlagText"/>
            <w:r>
              <w:rPr>
                <w:rFonts w:ascii="宋体" w:hAnsi="宋体" w:cs="微软雅黑" w:hint="eastAsia"/>
                <w:kern w:val="0"/>
                <w:szCs w:val="21"/>
                <w:highlight w:val="none"/>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5.13</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49" w:name="标保证金_bailFlagText"/>
            <w:r>
              <w:rPr>
                <w:rFonts w:asciiTheme="minorEastAsia" w:eastAsiaTheme="minorEastAsia" w:hAnsiTheme="minorEastAsia" w:cstheme="minorEastAsia" w:hint="eastAsia"/>
                <w:kern w:val="0"/>
                <w:szCs w:val="21"/>
                <w:highlight w:val="none"/>
              </w:rPr>
              <w:t>否</w:t>
            </w:r>
            <w:bookmarkEnd w:id="49"/>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r>
              <w:rPr>
                <w:rFonts w:ascii="宋体" w:hAnsi="宋体" w:cs="微软雅黑" w:hint="eastAsia"/>
                <w:kern w:val="0"/>
                <w:szCs w:val="21"/>
                <w:highlight w:val="none"/>
              </w:rPr>
              <w:t xml:space="preserve"> </w:t>
            </w:r>
            <w:bookmarkStart w:id="50" w:name="预算金额_budgetAmount"/>
            <w:r>
              <w:rPr>
                <w:rFonts w:ascii="宋体" w:hAnsi="宋体" w:cs="微软雅黑" w:hint="eastAsia"/>
                <w:kern w:val="0"/>
                <w:szCs w:val="21"/>
                <w:highlight w:val="none"/>
              </w:rPr>
              <w:t>768.600000</w:t>
            </w:r>
            <w:bookmarkEnd w:id="50"/>
            <w:r>
              <w:rPr>
                <w:rFonts w:ascii="宋体" w:hAnsi="宋体" w:cs="微软雅黑" w:hint="eastAsia"/>
                <w:kern w:val="0"/>
                <w:szCs w:val="21"/>
                <w:highlight w:val="none"/>
              </w:rPr>
              <w:t>万元</w:t>
            </w:r>
            <w:bookmarkStart w:id="51" w:name="预算明细_packMoneyDetail"/>
            <w:r>
              <w:rPr>
                <w:rFonts w:hint="eastAsia"/>
                <w:szCs w:val="21"/>
                <w:highlight w:val="none"/>
              </w:rPr>
              <w:t>,包 1 采购预算(或最高限价)为人民币 768.600000 万元</w:t>
            </w:r>
            <w:bookmarkEnd w:id="51"/>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3" w:name="投标有效期_bidExpirationDate"/>
            <w:r>
              <w:rPr>
                <w:rFonts w:ascii="宋体" w:hAnsi="宋体" w:cs="微软雅黑" w:hint="eastAsia"/>
                <w:kern w:val="0"/>
                <w:szCs w:val="21"/>
                <w:highlight w:val="none"/>
              </w:rPr>
              <w:t>120日历天</w:t>
            </w:r>
            <w:bookmarkEnd w:id="53"/>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5.17</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4" w:name="进行述标_describeStandardFlagText"/>
            <w:r>
              <w:rPr>
                <w:rFonts w:ascii="宋体" w:eastAsia="宋体" w:hAnsi="宋体" w:cs="微软雅黑" w:hint="eastAsia"/>
                <w:kern w:val="0"/>
                <w:szCs w:val="21"/>
                <w:highlight w:val="none"/>
              </w:rPr>
              <w:t>否</w:t>
            </w:r>
            <w:bookmarkEnd w:id="54"/>
            <w:bookmarkStart w:id="55" w:name="_GoBack"/>
            <w:bookmarkEnd w:id="55"/>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shd w:val="clear" w:color="auto" w:fill="auto"/>
            <w:noWrap w:val="0"/>
            <w:vAlign w:val="center"/>
          </w:tcPr>
          <w:p>
            <w:pPr>
              <w:rPr>
                <w:rFonts w:ascii="宋体" w:hAnsi="宋体" w:hint="eastAsia"/>
                <w:szCs w:val="21"/>
                <w:highlight w:val="none"/>
              </w:rPr>
            </w:pPr>
            <w:bookmarkStart w:id="56" w:name="其他事项_ottherReemarks"/>
            <w:r>
              <w:rPr>
                <w:rFonts w:ascii="宋体" w:hAnsi="宋体" w:eastAsiaTheme="minorEastAsia" w:cstheme="minorBidi" w:hint="eastAsia"/>
                <w:kern w:val="2"/>
                <w:sz w:val="21"/>
                <w:szCs w:val="21"/>
                <w:highlight w:val="none"/>
                <w:lang w:val="en-US" w:eastAsia="zh-CN" w:bidi="ar-SA"/>
              </w:rPr>
              <w:t>根据本项目实际情况，招标文件1.27.3第1项至第3项启动异常低价投标审查的数值标准为65%。</w:t>
            </w:r>
            <w:bookmarkEnd w:id="56"/>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309" w:firstLineChars="147"/>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309" w:firstLineChars="147"/>
        <w:rPr>
          <w:rFonts w:ascii="宋体" w:hAnsi="宋体"/>
          <w:b/>
          <w:bCs/>
          <w:szCs w:val="21"/>
          <w:highlight w:val="none"/>
        </w:rPr>
      </w:pPr>
      <w:r>
        <w:rPr>
          <w:rFonts w:ascii="宋体" w:hAnsi="宋体" w:hint="eastAsia"/>
          <w:b/>
          <w:bCs/>
          <w:szCs w:val="21"/>
          <w:highlight w:val="none"/>
        </w:rPr>
        <w:t>二、评分标准：</w:t>
      </w:r>
    </w:p>
    <w:p>
      <w:pPr>
        <w:spacing w:line="360" w:lineRule="auto"/>
        <w:ind w:firstLine="315" w:firstLineChars="15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67"/>
        <w:gridCol w:w="274"/>
        <w:gridCol w:w="914"/>
        <w:gridCol w:w="274"/>
        <w:gridCol w:w="737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(20)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(2)</w:t>
            </w:r>
          </w:p>
        </w:tc>
        <w:tc>
          <w:tcPr/>
          <w:p>
            <w:r>
              <w:t>评审标准：</w:t>
            </w:r>
          </w:p>
          <w:p>
            <w:r>
              <w:t>投标人具有 ISO9001或同等质量管理体系认证的得2分。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区间打分</w:t>
            </w:r>
            <w:r>
              <w:t>(8)</w:t>
            </w:r>
          </w:p>
        </w:tc>
        <w:tc>
          <w:tcPr/>
          <w:p>
            <w:r>
              <w:t>评审标准：</w:t>
            </w:r>
          </w:p>
          <w:p>
            <w:r>
              <w:t xml:space="preserve">提供含有以下内容的相关合同，具体内容如下： </w:t>
              <w:cr/>
              <w:t>1. 含有人工影响天气增雨防雹火箭弹/炮弹/焰条测试或类似测试服务内容的合同，提供1份得1分，最高得2分；</w:t>
              <w:cr/>
              <w:t>2. 含有人工影响天气使用许可证审查/人影新装备测试或类似服务内容的合同，提供1份得1分，最高2分；</w:t>
              <w:cr/>
              <w:t>3. 含有气象高空探测装备测试或类似测试服务内容的合同，提供1份得1分，最高2分；</w:t>
              <w:cr/>
              <w:t>4. 含有气象高空探测装备/能见度/土壤水分检测/辐射检定实验室检测设备维护或类似检测设备维护服务内容的合同，提供1份得1分，最高2分。</w:t>
              <w:cr/>
              <w:t>注：同一合同含有以上多个内容的，可重复计算。</w:t>
            </w:r>
          </w:p>
          <w:p>
            <w:r>
              <w:t>评审标准说明：</w:t>
            </w:r>
          </w:p>
          <w:p>
            <w:r>
              <w:t>1、需提供投标人的相关服务合同（必须包括合同首页、金额页、标的页、签字盖章页）复印件并加盖投标人公章。</w:t>
              <w:cr/>
              <w:t>2、合同签署日期为投标截止日前三年内。如合同无签署日期无效。</w:t>
              <w:cr/>
              <w:t>3、合同标的必须包括与本项目类似的服务内容。</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用户满意度证明（客观分）</w:t>
            </w:r>
          </w:p>
        </w:tc>
        <w:tc>
          <w:tcPr/>
          <w:p>
            <w:r>
              <w:t>勾选打分</w:t>
            </w:r>
            <w:r>
              <w:t>(6)</w:t>
            </w:r>
          </w:p>
        </w:tc>
        <w:tc>
          <w:tcPr/>
          <w:p>
            <w:r>
              <w:t>评审标准：</w:t>
            </w:r>
          </w:p>
          <w:p>
            <w:r>
              <w:t>每提供 1份用户满意度证明得2分，最多得6分。</w:t>
            </w:r>
          </w:p>
          <w:p>
            <w:r>
              <w:t>评审标准说明：</w:t>
            </w:r>
          </w:p>
          <w:p>
            <w:r>
              <w:t>投标人提供投标截止日前三年内用户出具的与本项目类似的服务项目评价良好的证明文件（包括用户单位联系人、联系方式），并加盖投标人公章。</w:t>
            </w:r>
          </w:p>
          <w:p/>
        </w:tc>
      </w:tr>
      <w:tr>
        <w:tblPrEx>
          <w:tblW w:w="5000" w:type="pct"/>
          <w:tblCellMar>
            <w:left w:w="108" w:type="dxa"/>
            <w:right w:w="108" w:type="dxa"/>
          </w:tblCellMar>
        </w:tblPrEx>
        <w:tc>
          <w:tcPr/>
          <w:p>
            <w:r>
              <w:t>5</w:t>
            </w:r>
          </w:p>
        </w:tc>
        <w:tc>
          <w:tcPr>
            <w:vMerge/>
          </w:tcPr>
          <w:p>
            <w:r>
              <w:t>服务部分</w:t>
            </w:r>
          </w:p>
        </w:tc>
        <w:tc>
          <w:tcPr/>
          <w:p>
            <w:r>
              <w:t>服务团队（客观分）</w:t>
            </w:r>
          </w:p>
        </w:tc>
        <w:tc>
          <w:tcPr/>
          <w:p>
            <w:r>
              <w:t>区间打分</w:t>
            </w:r>
            <w:r>
              <w:t>(10)</w:t>
            </w:r>
          </w:p>
        </w:tc>
        <w:tc>
          <w:tcPr/>
          <w:p>
            <w:r>
              <w:t>评审标准：</w:t>
            </w:r>
          </w:p>
          <w:p>
            <w:r>
              <w:t>投标人应组成本项目服务团队，团队组织结构清晰，应设服务团队负责人（项目经理），人员专业背景齐全。具体如下：</w:t>
              <w:cr/>
              <w:t xml:space="preserve">1、应组成不少于8人的服务团队，驻场人员4人及以上，得2分，否则不得分； </w:t>
              <w:cr/>
              <w:t>2、服务团队负责人（项目经理）有同类项目工作经验5年及以上，得3分；</w:t>
              <w:cr/>
              <w:t xml:space="preserve">3、除服务团队负责人（项目经理）之外，服务团队其他成员应有2年及以上同类项目工作经验，每有1名得1分，最多得5分。 </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6</w:t>
            </w:r>
          </w:p>
        </w:tc>
        <w:tc>
          <w:tcPr>
            <w:vMerge/>
          </w:tcPr>
          <w:p>
            <w:r>
              <w:t>服务部分</w:t>
            </w:r>
          </w:p>
        </w:tc>
        <w:tc>
          <w:tcPr/>
          <w:p>
            <w:r>
              <w:t>质量保障与实施方案（主观分）</w:t>
            </w:r>
          </w:p>
        </w:tc>
        <w:tc>
          <w:tcPr/>
          <w:p>
            <w:r>
              <w:t>勾选打分</w:t>
            </w:r>
            <w:r>
              <w:t>(4)</w:t>
            </w:r>
          </w:p>
        </w:tc>
        <w:tc>
          <w:tcPr/>
          <w:p>
            <w:r>
              <w:t>评审标准：</w:t>
            </w:r>
          </w:p>
          <w:p>
            <w:r>
              <w:t>一档0分</w:t>
              <w:cr/>
              <w:t>二档1分</w:t>
              <w:cr/>
              <w:t>三档2分</w:t>
              <w:cr/>
              <w:t>四档4分</w:t>
            </w:r>
          </w:p>
          <w:p>
            <w:r>
              <w:t>评审标准说明：</w:t>
            </w:r>
          </w:p>
          <w:p>
            <w:r>
              <w:t>提供质量保障与实施方案，提出合理的项目全过程质量保证措施，过程检查有明确依据，质量保证工作量化。</w:t>
              <w:cr/>
              <w:t>一档：未提供方案；</w:t>
              <w:cr/>
              <w:t>二档：方案不完整，无针对性，合理性、可行性差；</w:t>
              <w:cr/>
              <w:t>三档：方案内容较完整，但详细程度一般，进度控制保证措施针对性、合理性、可行性一般。</w:t>
              <w:cr/>
              <w:t>四档：方案内容完整详实，项目组织机构清晰，进度控制保证措施针对性强，切实可行。</w:t>
            </w:r>
          </w:p>
          <w:p/>
        </w:tc>
      </w:tr>
      <w:tr>
        <w:tblPrEx>
          <w:tblW w:w="5000" w:type="pct"/>
          <w:tblCellMar>
            <w:left w:w="108" w:type="dxa"/>
            <w:right w:w="108" w:type="dxa"/>
          </w:tblCellMar>
        </w:tblPrEx>
        <w:tc>
          <w:tcPr/>
          <w:p>
            <w:r>
              <w:t>7</w:t>
            </w:r>
          </w:p>
        </w:tc>
        <w:tc>
          <w:tcPr>
            <w:vMerge/>
          </w:tcPr>
          <w:p>
            <w:r>
              <w:t>服务部分</w:t>
            </w:r>
          </w:p>
        </w:tc>
        <w:tc>
          <w:tcPr/>
          <w:p>
            <w:r>
              <w:t>项目需求分析</w:t>
            </w:r>
          </w:p>
        </w:tc>
        <w:tc>
          <w:tcPr/>
          <w:p>
            <w:r>
              <w:t>勾选打分</w:t>
            </w:r>
            <w:r>
              <w:t>(4)</w:t>
            </w:r>
          </w:p>
        </w:tc>
        <w:tc>
          <w:tcPr/>
          <w:p>
            <w:r>
              <w:t>评审标准：</w:t>
            </w:r>
          </w:p>
          <w:p>
            <w:r>
              <w:t>一档0分</w:t>
              <w:cr/>
              <w:t>二档1分</w:t>
              <w:cr/>
              <w:t>三档2分</w:t>
              <w:cr/>
              <w:t>四档4分</w:t>
            </w:r>
          </w:p>
          <w:p>
            <w:r>
              <w:t>评审标准说明：</w:t>
            </w:r>
          </w:p>
          <w:p>
            <w:r>
              <w:t>根据投标人提供项目需求分析材料进行评分。具体评分标准如下：</w:t>
              <w:cr/>
              <w:t>一档：未提供分析报告。</w:t>
              <w:cr/>
              <w:t>二档：对项目范围和内容及用户总体需求理解有一定偏差，描述简单。</w:t>
              <w:cr/>
              <w:t>三档：对项目范围和内容及用户总体需求分析无偏差，但描述简单、不清晰。</w:t>
              <w:cr/>
              <w:t>四档：对项目范围和内容及用户总体需求分析无偏差，描述详实、清晰。</w:t>
            </w:r>
          </w:p>
          <w:p/>
        </w:tc>
      </w:tr>
      <w:tr>
        <w:tblPrEx>
          <w:tblW w:w="5000" w:type="pct"/>
          <w:tblCellMar>
            <w:left w:w="108" w:type="dxa"/>
            <w:right w:w="108" w:type="dxa"/>
          </w:tblCellMar>
        </w:tblPrEx>
        <w:tc>
          <w:tcPr/>
          <w:p>
            <w:r>
              <w:t>8</w:t>
            </w:r>
          </w:p>
        </w:tc>
        <w:tc>
          <w:tcPr>
            <w:vMerge/>
          </w:tcPr>
          <w:p>
            <w:r>
              <w:t>服务部分</w:t>
            </w:r>
          </w:p>
        </w:tc>
        <w:tc>
          <w:tcPr/>
          <w:p>
            <w:r>
              <w:t>总体服务方案</w:t>
            </w:r>
          </w:p>
        </w:tc>
        <w:tc>
          <w:tcPr/>
          <w:p>
            <w:r>
              <w:t>勾选打分</w:t>
            </w:r>
            <w:r>
              <w:t>(6)</w:t>
            </w:r>
          </w:p>
        </w:tc>
        <w:tc>
          <w:tcPr/>
          <w:p>
            <w:r>
              <w:t>评审标准：</w:t>
            </w:r>
          </w:p>
          <w:p>
            <w:r>
              <w:t>一档0分</w:t>
              <w:cr/>
              <w:t>二档1分</w:t>
              <w:cr/>
              <w:t>三档3分</w:t>
              <w:cr/>
              <w:t>四档6分</w:t>
            </w:r>
          </w:p>
          <w:p>
            <w:r>
              <w:t>评审标准说明：</w:t>
            </w:r>
          </w:p>
          <w:p>
            <w:r>
              <w:t>根据投标人提供总体服务方案进行评分。具体评分标准如下：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9</w:t>
            </w:r>
          </w:p>
        </w:tc>
        <w:tc>
          <w:tcPr>
            <w:vMerge/>
          </w:tcPr>
          <w:p>
            <w:r>
              <w:t>服务部分</w:t>
            </w:r>
          </w:p>
        </w:tc>
        <w:tc>
          <w:tcPr/>
          <w:p>
            <w:r>
              <w:t>具体服务方案（主观分）</w:t>
            </w:r>
          </w:p>
        </w:tc>
        <w:tc>
          <w:tcPr/>
          <w:p>
            <w:r>
              <w:t>区间打分</w:t>
            </w:r>
            <w:r>
              <w:t>(18)</w:t>
            </w:r>
          </w:p>
        </w:tc>
        <w:tc>
          <w:tcPr/>
          <w:p>
            <w:r>
              <w:t>评审标准：</w:t>
            </w:r>
          </w:p>
          <w:p>
            <w:r>
              <w:t>针对以下每项服务内容提交具体服务方案：</w:t>
              <w:cr/>
              <w:t>1.人工影响天气增雨防雹火箭弹、炮弹、焰条、焰弹测试服务方案</w:t>
              <w:cr/>
              <w:t>2.人工影响天气使用许可证审查及人影新装备测试服务方案</w:t>
              <w:cr/>
              <w:t>3.探空仪、能见度、土壤水分检测实验室检测设备维护服务方案</w:t>
              <w:cr/>
              <w:t>以上每项服务内容：</w:t>
              <w:cr/>
              <w:t>一档0分</w:t>
              <w:cr/>
              <w:t>二档1分</w:t>
              <w:cr/>
              <w:t>三档3分</w:t>
              <w:cr/>
              <w:t>四档6分</w:t>
              <w:cr/>
              <w:t>以上共计3项服务内容，满分18分。</w:t>
            </w:r>
          </w:p>
          <w:p>
            <w:r>
              <w:t>评审标准说明：</w:t>
            </w:r>
          </w:p>
          <w:p>
            <w:r>
              <w:t>根据投标人提供具体服务方案进行评分。具体评分标准如下：</w:t>
              <w:cr/>
              <w:t>一档：未提供方案。</w:t>
              <w:cr/>
              <w:t>二档：方案不完整，无针对性。</w:t>
              <w:cr/>
              <w:t>二档：方案简单，基本合理，针对性一般，基本满足招标文件要求。</w:t>
              <w:cr/>
              <w:t>四档：方案详细具体合理，针对性强，完全满足招标文件要求。</w:t>
            </w:r>
          </w:p>
          <w:p/>
        </w:tc>
      </w:tr>
      <w:tr>
        <w:tblPrEx>
          <w:tblW w:w="5000" w:type="pct"/>
          <w:tblCellMar>
            <w:left w:w="108" w:type="dxa"/>
            <w:right w:w="108" w:type="dxa"/>
          </w:tblCellMar>
        </w:tblPrEx>
        <w:tc>
          <w:tcPr/>
          <w:p>
            <w:r>
              <w:t>10</w:t>
            </w:r>
          </w:p>
        </w:tc>
        <w:tc>
          <w:tcPr>
            <w:vMerge/>
          </w:tcPr>
          <w:p>
            <w:r>
              <w:t>服务部分</w:t>
            </w:r>
          </w:p>
        </w:tc>
        <w:tc>
          <w:tcPr/>
          <w:p>
            <w:r>
              <w:t>具体服务指标（客观分）</w:t>
            </w:r>
          </w:p>
        </w:tc>
        <w:tc>
          <w:tcPr/>
          <w:p>
            <w:r>
              <w:t>区间打分</w:t>
            </w:r>
            <w:r>
              <w:t>(18)</w:t>
            </w:r>
          </w:p>
        </w:tc>
        <w:tc>
          <w:tcPr/>
          <w:p>
            <w:r>
              <w:t>评审标准：</w:t>
            </w:r>
          </w:p>
          <w:p>
            <w:r>
              <w:t>具备相关气象要素测试能力：</w:t>
              <w:cr/>
              <w:t>包含温度、湿度、气压、风向、风速、能见度等，每提供一项得3分，最高得18分。</w:t>
            </w:r>
          </w:p>
          <w:p>
            <w:r>
              <w:t>评审标准说明：</w:t>
            </w:r>
          </w:p>
          <w:p>
            <w:r>
              <w:t>需提供第三方出具证明材料，并加盖投标人公章。</w:t>
            </w:r>
          </w:p>
          <w:p/>
        </w:tc>
      </w:tr>
      <w:tr>
        <w:tblPrEx>
          <w:tblW w:w="5000" w:type="pct"/>
          <w:tblCellMar>
            <w:left w:w="108" w:type="dxa"/>
            <w:right w:w="108" w:type="dxa"/>
          </w:tblCellMar>
        </w:tblPrEx>
        <w:tc>
          <w:tcPr/>
          <w:p>
            <w:r>
              <w:t>11</w:t>
            </w:r>
          </w:p>
        </w:tc>
        <w:tc>
          <w:tcPr>
            <w:vMerge/>
          </w:tcPr>
          <w:p>
            <w:r>
              <w:t>服务部分</w:t>
            </w:r>
          </w:p>
        </w:tc>
        <w:tc>
          <w:tcPr/>
          <w:p>
            <w:r>
              <w:t>针对本项目的合理化建议（主观分）</w:t>
            </w:r>
          </w:p>
        </w:tc>
        <w:tc>
          <w:tcPr/>
          <w:p>
            <w:r>
              <w:t>勾选打分</w:t>
            </w:r>
            <w:r>
              <w:t>(2)</w:t>
            </w:r>
          </w:p>
        </w:tc>
        <w:tc>
          <w:tcPr/>
          <w:p>
            <w:r>
              <w:t>评审标准：</w:t>
            </w:r>
          </w:p>
          <w:p>
            <w:r>
              <w:t>每提供一条合理化建议得1分，满分2分。</w:t>
            </w:r>
          </w:p>
          <w:p>
            <w:r>
              <w:t>评审标准说明：</w:t>
            </w:r>
          </w:p>
          <w:p>
            <w:r>
              <w:t>对采购人的采购要求、服务要求、质量要求、管理要求有深刻认识，对项目特点的认识了解非常全面，深入理解项目的难点与关键点，并有针对性地为项目提出相关的建议，且建议合理、可行、完整。由评标委员会进行评判，符合项目实际需要可采纳于后续工作中的（不包含响应方案中已描述的建议和意见）。</w:t>
            </w:r>
          </w:p>
          <w:p/>
        </w:tc>
      </w:tr>
      <w:tr>
        <w:tblPrEx>
          <w:tblW w:w="5000" w:type="pct"/>
          <w:tblCellMar>
            <w:left w:w="108" w:type="dxa"/>
            <w:right w:w="108" w:type="dxa"/>
          </w:tblCellMar>
        </w:tblPrEx>
        <w:tc>
          <w:tcPr/>
          <w:p>
            <w:r>
              <w:t>12</w:t>
            </w:r>
          </w:p>
        </w:tc>
        <w:tc>
          <w:tcPr>
            <w:vMerge/>
          </w:tcPr>
          <w:p>
            <w:r>
              <w:t>服务部分</w:t>
            </w:r>
          </w:p>
        </w:tc>
        <w:tc>
          <w:tcPr/>
          <w:p>
            <w:r>
              <w:t>风险管理方案（主观分）</w:t>
            </w:r>
          </w:p>
        </w:tc>
        <w:tc>
          <w:tcPr/>
          <w:p>
            <w:r>
              <w:t>勾选打分</w:t>
            </w:r>
            <w:r>
              <w:t>(2)</w:t>
            </w:r>
          </w:p>
        </w:tc>
        <w:tc>
          <w:tcPr/>
          <w:p>
            <w:r>
              <w:t>评审标准：</w:t>
            </w:r>
          </w:p>
          <w:p>
            <w:r>
              <w:t>一档0分</w:t>
              <w:cr/>
              <w:t>二档0.5分</w:t>
              <w:cr/>
              <w:t>三档1分</w:t>
              <w:cr/>
              <w:t>四档2分</w:t>
            </w:r>
          </w:p>
          <w:p>
            <w:r>
              <w:t>评审标准说明：</w:t>
            </w:r>
          </w:p>
          <w:p>
            <w:r>
              <w:t>针对项目实施过程中，因国家政策、实施环境、重大技术等发生变化可能带来的项目实施风险，拟定风险管控方案。</w:t>
              <w:cr/>
              <w:t>一档：未提供方案。</w:t>
              <w:cr/>
              <w:t>二档：方案简单，无针对性。</w:t>
              <w:cr/>
              <w:t>三档：方案内容不全，详细程度一般，措施针对性可行性一般。</w:t>
              <w:cr/>
              <w:t>四档：方案内容全面、详细合理、措施针对性强，切实可行。</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7"/>
    </w:p>
    <w:p>
      <w:pPr>
        <w:spacing w:before="156" w:beforeLines="50" w:line="360" w:lineRule="auto"/>
        <w:jc w:val="center"/>
        <w:outlineLvl w:val="1"/>
        <w:rPr>
          <w:rFonts w:hint="eastAsia"/>
          <w:b/>
          <w:color w:val="auto"/>
          <w:sz w:val="30"/>
          <w:szCs w:val="20"/>
          <w:highlight w:val="none"/>
        </w:rPr>
      </w:pPr>
      <w:r>
        <w:rPr>
          <w:bCs/>
          <w:szCs w:val="21"/>
          <w:highlight w:val="none"/>
        </w:rPr>
        <w:br w:type="page"/>
      </w:r>
      <w:bookmarkStart w:id="58" w:name="插入_采购需求书"/>
      <w:r>
        <w:rPr>
          <w:rFonts w:ascii="Times New Roman" w:eastAsia="宋体" w:hAnsi="Times New Roman" w:cs="Times New Roman" w:hint="eastAsia"/>
          <w:b/>
          <w:color w:val="auto"/>
          <w:sz w:val="30"/>
          <w:szCs w:val="20"/>
          <w:highlight w:val="none"/>
        </w:rPr>
        <w:t>第七章  采购需求</w:t>
      </w:r>
    </w:p>
    <w:p>
      <w:pPr>
        <w:jc w:val="left"/>
        <w:rPr>
          <w:rFonts w:ascii="Times New Roman" w:eastAsia="宋体" w:hAnsi="Times New Roman" w:cs="Times New Roman"/>
          <w:b/>
          <w:color w:val="auto"/>
          <w:szCs w:val="20"/>
          <w:highlight w:val="none"/>
        </w:rPr>
      </w:pPr>
    </w:p>
    <w:p>
      <w:pPr>
        <w:spacing w:before="236" w:line="221" w:lineRule="auto"/>
        <w:ind w:left="509"/>
        <w:outlineLvl w:val="0"/>
        <w:rPr>
          <w:rFonts w:ascii="Times New Roman" w:eastAsia="宋体" w:hAnsi="Times New Roman" w:cs="Times New Roman"/>
          <w:b/>
          <w:bCs/>
          <w:color w:val="auto"/>
          <w:spacing w:val="-4"/>
          <w:szCs w:val="20"/>
          <w:highlight w:val="none"/>
        </w:rPr>
      </w:pPr>
      <w:r>
        <w:rPr>
          <w:rFonts w:ascii="Times New Roman" w:eastAsia="宋体" w:hAnsi="Times New Roman" w:cs="Times New Roman"/>
          <w:b/>
          <w:bCs/>
          <w:color w:val="auto"/>
          <w:spacing w:val="-4"/>
          <w:szCs w:val="20"/>
          <w:highlight w:val="none"/>
        </w:rPr>
        <w:t xml:space="preserve">7.1 </w:t>
      </w:r>
      <w:r>
        <w:rPr>
          <w:rFonts w:ascii="Times New Roman" w:eastAsia="宋体" w:hAnsi="Times New Roman" w:cs="Times New Roman" w:hint="eastAsia"/>
          <w:b/>
          <w:bCs/>
          <w:color w:val="auto"/>
          <w:spacing w:val="-4"/>
          <w:szCs w:val="20"/>
          <w:highlight w:val="none"/>
        </w:rPr>
        <w:t>项目背景</w:t>
      </w:r>
    </w:p>
    <w:p>
      <w:pPr>
        <w:spacing w:before="117" w:line="360" w:lineRule="auto"/>
        <w:ind w:firstLine="420" w:firstLineChars="200"/>
        <w:rPr>
          <w:rFonts w:ascii="Times New Roman" w:eastAsia="宋体" w:hAnsi="Times New Roman" w:cs="Times New Roman" w:hint="eastAsia"/>
          <w:color w:val="auto"/>
          <w:szCs w:val="20"/>
          <w:highlight w:val="none"/>
        </w:rPr>
      </w:pPr>
      <w:r>
        <w:rPr>
          <w:rFonts w:ascii="Times New Roman" w:eastAsia="宋体" w:hAnsi="Times New Roman" w:cs="Times New Roman" w:hint="eastAsia"/>
          <w:color w:val="auto"/>
          <w:spacing w:val="-3"/>
          <w:szCs w:val="20"/>
          <w:highlight w:val="none"/>
        </w:rPr>
        <w:t>中国气象局上海气象装备保障中心承担气象部门气象装备技术保障工作，根据业务需</w:t>
      </w:r>
      <w:r>
        <w:rPr>
          <w:rFonts w:ascii="Times New Roman" w:eastAsia="宋体" w:hAnsi="Times New Roman" w:cs="Times New Roman" w:hint="eastAsia"/>
          <w:color w:val="auto"/>
          <w:spacing w:val="-2"/>
          <w:szCs w:val="20"/>
          <w:highlight w:val="none"/>
        </w:rPr>
        <w:t>要</w:t>
      </w:r>
      <w:r>
        <w:rPr>
          <w:rFonts w:ascii="Times New Roman" w:eastAsia="宋体" w:hAnsi="Times New Roman" w:cs="Times New Roman" w:hint="eastAsia"/>
          <w:color w:val="auto"/>
          <w:szCs w:val="20"/>
          <w:highlight w:val="none"/>
        </w:rPr>
        <w:t>将</w:t>
      </w:r>
      <w:r>
        <w:rPr>
          <w:rFonts w:ascii="Times New Roman" w:eastAsia="宋体" w:hAnsi="Times New Roman" w:cs="Times New Roman" w:hint="eastAsia"/>
          <w:color w:val="auto"/>
          <w:spacing w:val="-1"/>
          <w:szCs w:val="20"/>
          <w:highlight w:val="none"/>
        </w:rPr>
        <w:t>部分</w:t>
      </w:r>
      <w:r>
        <w:rPr>
          <w:rFonts w:ascii="Times New Roman" w:eastAsia="宋体" w:hAnsi="Times New Roman" w:cs="Times New Roman" w:hint="eastAsia"/>
          <w:color w:val="auto"/>
          <w:szCs w:val="20"/>
          <w:highlight w:val="none"/>
        </w:rPr>
        <w:t>常规性业务工作进行社会化服务外包，外包的业务工作将在</w:t>
      </w:r>
      <w:r>
        <w:rPr>
          <w:rFonts w:ascii="Times New Roman" w:eastAsia="宋体" w:hAnsi="Times New Roman" w:cs="Times New Roman" w:hint="eastAsia"/>
          <w:color w:val="auto"/>
          <w:spacing w:val="-3"/>
          <w:szCs w:val="20"/>
          <w:highlight w:val="none"/>
        </w:rPr>
        <w:t>中国气象局上海气象装备保障中心的</w:t>
      </w:r>
      <w:r>
        <w:rPr>
          <w:rFonts w:ascii="Times New Roman" w:eastAsia="宋体" w:hAnsi="Times New Roman" w:cs="Times New Roman" w:hint="eastAsia"/>
          <w:color w:val="auto"/>
          <w:spacing w:val="-1"/>
          <w:szCs w:val="20"/>
          <w:highlight w:val="none"/>
        </w:rPr>
        <w:t>监督管理下进</w:t>
      </w:r>
      <w:r>
        <w:rPr>
          <w:rFonts w:ascii="Times New Roman" w:eastAsia="宋体" w:hAnsi="Times New Roman" w:cs="Times New Roman" w:hint="eastAsia"/>
          <w:color w:val="auto"/>
          <w:szCs w:val="20"/>
          <w:highlight w:val="none"/>
        </w:rPr>
        <w:t>行。</w:t>
      </w:r>
    </w:p>
    <w:p>
      <w:pPr>
        <w:snapToGrid w:val="0"/>
        <w:spacing w:line="360" w:lineRule="auto"/>
        <w:ind w:firstLine="420" w:firstLineChars="200"/>
        <w:jc w:val="left"/>
        <w:rPr>
          <w:rFonts w:ascii="Times New Roman" w:eastAsia="宋体" w:hAnsi="Times New Roman" w:cs="Times New Roman" w:hint="eastAsia"/>
          <w:color w:val="auto"/>
          <w:szCs w:val="20"/>
          <w:highlight w:val="none"/>
        </w:rPr>
      </w:pPr>
      <w:r>
        <w:rPr>
          <w:rFonts w:ascii="Times New Roman" w:eastAsia="宋体" w:hAnsi="Times New Roman" w:cs="Times New Roman" w:hint="eastAsia"/>
          <w:color w:val="auto"/>
          <w:szCs w:val="20"/>
          <w:highlight w:val="none"/>
        </w:rPr>
        <w:t>本项目包含了人影弹药及作业装备保障技术服务和探测装备运行保障技术服务，采购预算分别为313.6万元和 455.0万元，共计768.6万元。</w:t>
      </w:r>
    </w:p>
    <w:p>
      <w:pPr>
        <w:spacing w:before="236" w:line="221" w:lineRule="auto"/>
        <w:ind w:left="509"/>
        <w:outlineLvl w:val="0"/>
        <w:rPr>
          <w:rFonts w:ascii="Times New Roman" w:eastAsia="宋体" w:hAnsi="Times New Roman" w:cs="Times New Roman"/>
          <w:b/>
          <w:bCs/>
          <w:color w:val="auto"/>
          <w:spacing w:val="-4"/>
          <w:szCs w:val="21"/>
          <w:highlight w:val="none"/>
        </w:rPr>
      </w:pPr>
      <w:r>
        <w:rPr>
          <w:rFonts w:ascii="Times New Roman" w:eastAsia="宋体" w:hAnsi="Times New Roman" w:cs="Times New Roman" w:hint="eastAsia"/>
          <w:b/>
          <w:bCs/>
          <w:color w:val="auto"/>
          <w:spacing w:val="-4"/>
          <w:szCs w:val="21"/>
          <w:highlight w:val="none"/>
        </w:rPr>
        <w:t>7</w:t>
      </w:r>
      <w:r>
        <w:rPr>
          <w:rFonts w:ascii="Times New Roman" w:eastAsia="宋体" w:hAnsi="Times New Roman" w:cs="Times New Roman"/>
          <w:b/>
          <w:bCs/>
          <w:color w:val="auto"/>
          <w:spacing w:val="-4"/>
          <w:szCs w:val="21"/>
          <w:highlight w:val="none"/>
        </w:rPr>
        <w:t>.2 技术服务内容及要求</w:t>
      </w:r>
    </w:p>
    <w:p>
      <w:pPr>
        <w:spacing w:before="217" w:line="220" w:lineRule="auto"/>
        <w:ind w:left="512"/>
        <w:rPr>
          <w:rFonts w:ascii="宋体" w:eastAsia="宋体" w:hAnsi="宋体" w:cs="宋体" w:hint="eastAsia"/>
          <w:color w:val="auto"/>
          <w:szCs w:val="21"/>
          <w:highlight w:val="none"/>
        </w:rPr>
      </w:pPr>
      <w:r>
        <w:rPr>
          <w:rFonts w:ascii="Times New Roman" w:eastAsia="宋体" w:hAnsi="Times New Roman" w:cs="Times New Roman" w:hint="eastAsia"/>
          <w:color w:val="auto"/>
          <w:spacing w:val="-1"/>
          <w:szCs w:val="21"/>
          <w:highlight w:val="none"/>
        </w:rPr>
        <w:t>7</w:t>
      </w:r>
      <w:r>
        <w:rPr>
          <w:rFonts w:ascii="Times New Roman" w:eastAsia="Times New Roman" w:hAnsi="Times New Roman" w:cs="Times New Roman"/>
          <w:color w:val="auto"/>
          <w:spacing w:val="-1"/>
          <w:szCs w:val="21"/>
          <w:highlight w:val="none"/>
        </w:rPr>
        <w:t xml:space="preserve">.2.1  </w:t>
      </w:r>
      <w:r>
        <w:rPr>
          <w:rFonts w:ascii="宋体" w:eastAsia="宋体" w:hAnsi="宋体" w:cs="宋体"/>
          <w:color w:val="auto"/>
          <w:spacing w:val="-1"/>
          <w:szCs w:val="21"/>
          <w:highlight w:val="none"/>
        </w:rPr>
        <w:t>人影弹</w:t>
      </w:r>
      <w:r>
        <w:rPr>
          <w:rFonts w:ascii="宋体" w:eastAsia="宋体" w:hAnsi="宋体" w:cs="宋体"/>
          <w:color w:val="auto"/>
          <w:szCs w:val="21"/>
          <w:highlight w:val="none"/>
        </w:rPr>
        <w:t>药及作业装备保障技术服务</w:t>
      </w:r>
    </w:p>
    <w:tbl>
      <w:tblPr>
        <w:tblStyle w:val="TableNormal"/>
        <w:tblW w:w="7520" w:type="dxa"/>
        <w:tblInd w:w="62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
      <w:tblGrid>
        <w:gridCol w:w="772"/>
        <w:gridCol w:w="1895"/>
        <w:gridCol w:w="4853"/>
      </w:tblGrid>
      <w:tr>
        <w:tblPrEx>
          <w:tblW w:w="7520" w:type="dxa"/>
          <w:tblInd w:w="62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Ex>
        <w:trPr>
          <w:trHeight w:val="321"/>
        </w:trPr>
        <w:tc>
          <w:tcPr>
            <w:tcW w:w="772" w:type="dxa"/>
          </w:tcPr>
          <w:p>
            <w:pPr>
              <w:spacing w:before="68" w:line="221" w:lineRule="auto"/>
              <w:ind w:left="207"/>
              <w:rPr>
                <w:rFonts w:ascii="宋体" w:eastAsia="宋体" w:hAnsi="宋体" w:cs="宋体" w:hint="eastAsia"/>
                <w:color w:val="auto"/>
                <w:sz w:val="18"/>
                <w:szCs w:val="18"/>
                <w:highlight w:val="none"/>
              </w:rPr>
            </w:pPr>
            <w:r>
              <w:rPr>
                <w:rFonts w:ascii="宋体" w:eastAsia="宋体" w:hAnsi="宋体" w:cs="宋体"/>
                <w:color w:val="auto"/>
                <w:spacing w:val="-1"/>
                <w:sz w:val="18"/>
                <w:szCs w:val="18"/>
                <w:highlight w:val="none"/>
              </w:rPr>
              <w:t>序号</w:t>
            </w:r>
          </w:p>
        </w:tc>
        <w:tc>
          <w:tcPr>
            <w:tcW w:w="1895" w:type="dxa"/>
          </w:tcPr>
          <w:p>
            <w:pPr>
              <w:spacing w:before="68" w:line="220" w:lineRule="auto"/>
              <w:ind w:left="771"/>
              <w:rPr>
                <w:rFonts w:ascii="宋体" w:eastAsia="宋体" w:hAnsi="宋体" w:cs="宋体" w:hint="eastAsia"/>
                <w:color w:val="auto"/>
                <w:sz w:val="18"/>
                <w:szCs w:val="18"/>
                <w:highlight w:val="none"/>
              </w:rPr>
            </w:pPr>
            <w:r>
              <w:rPr>
                <w:rFonts w:ascii="宋体" w:eastAsia="宋体" w:hAnsi="宋体" w:cs="宋体"/>
                <w:color w:val="auto"/>
                <w:spacing w:val="-2"/>
                <w:sz w:val="18"/>
                <w:szCs w:val="18"/>
                <w:highlight w:val="none"/>
              </w:rPr>
              <w:t>项目</w:t>
            </w:r>
          </w:p>
        </w:tc>
        <w:tc>
          <w:tcPr>
            <w:tcW w:w="4853" w:type="dxa"/>
          </w:tcPr>
          <w:p>
            <w:pPr>
              <w:spacing w:before="67" w:line="220" w:lineRule="auto"/>
              <w:ind w:left="2067"/>
              <w:rPr>
                <w:rFonts w:ascii="宋体" w:eastAsia="宋体" w:hAnsi="宋体" w:cs="宋体" w:hint="eastAsia"/>
                <w:color w:val="auto"/>
                <w:sz w:val="18"/>
                <w:szCs w:val="18"/>
                <w:highlight w:val="none"/>
              </w:rPr>
            </w:pPr>
            <w:r>
              <w:rPr>
                <w:rFonts w:ascii="宋体" w:eastAsia="宋体" w:hAnsi="宋体" w:cs="宋体"/>
                <w:color w:val="auto"/>
                <w:spacing w:val="-2"/>
                <w:sz w:val="18"/>
                <w:szCs w:val="18"/>
                <w:highlight w:val="none"/>
              </w:rPr>
              <w:t>技术</w:t>
            </w:r>
            <w:r>
              <w:rPr>
                <w:rFonts w:ascii="宋体" w:eastAsia="宋体" w:hAnsi="宋体" w:cs="宋体"/>
                <w:color w:val="auto"/>
                <w:spacing w:val="-1"/>
                <w:sz w:val="18"/>
                <w:szCs w:val="18"/>
                <w:highlight w:val="none"/>
              </w:rPr>
              <w:t>要求</w:t>
            </w:r>
          </w:p>
        </w:tc>
      </w:tr>
      <w:tr>
        <w:tblPrEx>
          <w:tblW w:w="7520" w:type="dxa"/>
          <w:tblInd w:w="627" w:type="dxa"/>
          <w:tblLayout w:type="fixed"/>
          <w:tblCellMar>
            <w:top w:w="0" w:type="dxa"/>
            <w:left w:w="0" w:type="dxa"/>
            <w:bottom w:w="0" w:type="dxa"/>
            <w:right w:w="0" w:type="dxa"/>
          </w:tblCellMar>
        </w:tblPrEx>
        <w:trPr>
          <w:trHeight w:val="316"/>
        </w:trPr>
        <w:tc>
          <w:tcPr>
            <w:tcW w:w="7520" w:type="dxa"/>
            <w:gridSpan w:val="3"/>
          </w:tcPr>
          <w:p>
            <w:pPr>
              <w:spacing w:before="63" w:line="219" w:lineRule="auto"/>
              <w:ind w:left="117"/>
              <w:rPr>
                <w:rFonts w:ascii="宋体" w:eastAsia="宋体" w:hAnsi="宋体" w:cs="宋体" w:hint="eastAsia"/>
                <w:b/>
                <w:bCs/>
                <w:color w:val="auto"/>
                <w:sz w:val="18"/>
                <w:szCs w:val="18"/>
                <w:highlight w:val="none"/>
              </w:rPr>
            </w:pPr>
            <w:r>
              <w:rPr>
                <w:rFonts w:ascii="宋体" w:eastAsia="宋体" w:hAnsi="宋体" w:cs="宋体"/>
                <w:b/>
                <w:bCs/>
                <w:color w:val="auto"/>
                <w:spacing w:val="1"/>
                <w:sz w:val="18"/>
                <w:szCs w:val="18"/>
                <w:highlight w:val="none"/>
              </w:rPr>
              <w:t>一、</w:t>
            </w:r>
            <w:r>
              <w:rPr>
                <w:rFonts w:ascii="宋体" w:eastAsia="宋体" w:hAnsi="宋体" w:cs="宋体" w:hint="eastAsia"/>
                <w:b/>
                <w:bCs/>
                <w:color w:val="auto"/>
                <w:spacing w:val="1"/>
                <w:sz w:val="18"/>
                <w:szCs w:val="18"/>
                <w:highlight w:val="none"/>
              </w:rPr>
              <w:t>人影弹药及作业装备出厂验收</w:t>
            </w:r>
          </w:p>
        </w:tc>
      </w:tr>
      <w:tr>
        <w:tblPrEx>
          <w:tblW w:w="7520" w:type="dxa"/>
          <w:tblInd w:w="627" w:type="dxa"/>
          <w:tblLayout w:type="fixed"/>
          <w:tblCellMar>
            <w:top w:w="0" w:type="dxa"/>
            <w:left w:w="0" w:type="dxa"/>
            <w:bottom w:w="0" w:type="dxa"/>
            <w:right w:w="0" w:type="dxa"/>
          </w:tblCellMar>
        </w:tblPrEx>
        <w:trPr>
          <w:trHeight w:val="2821"/>
        </w:trPr>
        <w:tc>
          <w:tcPr>
            <w:tcW w:w="772" w:type="dxa"/>
            <w:vAlign w:val="center"/>
          </w:tcPr>
          <w:p>
            <w:pPr>
              <w:spacing w:line="270" w:lineRule="auto"/>
              <w:jc w:val="center"/>
              <w:rPr>
                <w:rFonts w:ascii="Arial" w:eastAsia="宋体" w:hAnsi="Times New Roman" w:cs="Times New Roman"/>
                <w:color w:val="auto"/>
                <w:szCs w:val="20"/>
                <w:highlight w:val="none"/>
              </w:rPr>
            </w:pPr>
          </w:p>
          <w:p>
            <w:pPr>
              <w:spacing w:before="58" w:line="185" w:lineRule="auto"/>
              <w:ind w:left="358"/>
              <w:jc w:val="center"/>
              <w:rPr>
                <w:rFonts w:ascii="宋体" w:eastAsia="宋体" w:hAnsi="宋体" w:cs="宋体" w:hint="eastAsia"/>
                <w:color w:val="auto"/>
                <w:sz w:val="18"/>
                <w:szCs w:val="18"/>
                <w:highlight w:val="none"/>
              </w:rPr>
            </w:pPr>
            <w:r>
              <w:rPr>
                <w:rFonts w:ascii="宋体" w:eastAsia="宋体" w:hAnsi="宋体" w:cs="宋体"/>
                <w:color w:val="auto"/>
                <w:sz w:val="18"/>
                <w:szCs w:val="18"/>
                <w:highlight w:val="none"/>
              </w:rPr>
              <w:t>1</w:t>
            </w:r>
          </w:p>
        </w:tc>
        <w:tc>
          <w:tcPr>
            <w:tcW w:w="1895" w:type="dxa"/>
            <w:vAlign w:val="center"/>
          </w:tcPr>
          <w:p>
            <w:pPr>
              <w:spacing w:line="244" w:lineRule="auto"/>
              <w:jc w:val="center"/>
              <w:rPr>
                <w:rFonts w:ascii="Arial" w:eastAsia="宋体" w:hAnsi="Times New Roman" w:cs="Times New Roman"/>
                <w:color w:val="auto"/>
                <w:szCs w:val="20"/>
                <w:highlight w:val="none"/>
              </w:rPr>
            </w:pPr>
          </w:p>
          <w:p>
            <w:pPr>
              <w:spacing w:before="59" w:line="331" w:lineRule="auto"/>
              <w:ind w:left="111" w:right="108"/>
              <w:jc w:val="center"/>
              <w:rPr>
                <w:rFonts w:ascii="宋体" w:eastAsia="宋体" w:hAnsi="宋体" w:cs="宋体" w:hint="eastAsia"/>
                <w:color w:val="auto"/>
                <w:sz w:val="18"/>
                <w:szCs w:val="18"/>
                <w:highlight w:val="none"/>
              </w:rPr>
            </w:pPr>
            <w:r>
              <w:rPr>
                <w:rFonts w:ascii="宋体" w:eastAsia="宋体" w:hAnsi="宋体" w:cs="宋体"/>
                <w:color w:val="auto"/>
                <w:spacing w:val="9"/>
                <w:sz w:val="18"/>
                <w:szCs w:val="18"/>
                <w:highlight w:val="none"/>
              </w:rPr>
              <w:t>人</w:t>
            </w:r>
            <w:r>
              <w:rPr>
                <w:rFonts w:ascii="宋体" w:eastAsia="宋体" w:hAnsi="宋体" w:cs="宋体"/>
                <w:color w:val="auto"/>
                <w:spacing w:val="5"/>
                <w:sz w:val="18"/>
                <w:szCs w:val="18"/>
                <w:highlight w:val="none"/>
              </w:rPr>
              <w:t>工增雨防雹火箭弹</w:t>
            </w:r>
            <w:r>
              <w:rPr>
                <w:rFonts w:ascii="宋体" w:eastAsia="宋体" w:hAnsi="宋体" w:cs="宋体" w:hint="eastAsia"/>
                <w:b/>
                <w:bCs/>
                <w:color w:val="auto"/>
                <w:spacing w:val="1"/>
                <w:sz w:val="18"/>
                <w:szCs w:val="18"/>
                <w:highlight w:val="none"/>
              </w:rPr>
              <w:t>出厂测试验收</w:t>
            </w:r>
          </w:p>
        </w:tc>
        <w:tc>
          <w:tcPr>
            <w:tcW w:w="4853" w:type="dxa"/>
          </w:tcPr>
          <w:p>
            <w:pPr>
              <w:spacing w:before="98" w:line="269" w:lineRule="auto"/>
              <w:ind w:left="0" w:right="0" w:firstLine="255"/>
              <w:rPr>
                <w:rFonts w:ascii="宋体" w:eastAsia="宋体" w:hAnsi="宋体" w:cs="宋体" w:hint="eastAsia"/>
                <w:color w:val="auto"/>
                <w:sz w:val="18"/>
                <w:szCs w:val="18"/>
                <w:highlight w:val="none"/>
              </w:rPr>
            </w:pPr>
            <w:r>
              <w:rPr>
                <w:rFonts w:ascii="宋体" w:eastAsia="宋体" w:hAnsi="宋体" w:cs="宋体"/>
                <w:color w:val="auto"/>
                <w:spacing w:val="-2"/>
                <w:sz w:val="18"/>
                <w:szCs w:val="18"/>
                <w:highlight w:val="none"/>
              </w:rPr>
              <w:t>1、严格按照《</w:t>
            </w:r>
            <w:r>
              <w:rPr>
                <w:rFonts w:ascii="宋体" w:eastAsia="宋体" w:hAnsi="宋体" w:cs="宋体" w:hint="eastAsia"/>
                <w:color w:val="auto"/>
                <w:spacing w:val="-2"/>
                <w:sz w:val="18"/>
                <w:szCs w:val="18"/>
                <w:highlight w:val="none"/>
              </w:rPr>
              <w:t>人工影响天气用火箭弹验收通用规范</w:t>
            </w:r>
            <w:r>
              <w:rPr>
                <w:rFonts w:ascii="宋体" w:eastAsia="宋体" w:hAnsi="宋体" w:cs="宋体"/>
                <w:color w:val="auto"/>
                <w:spacing w:val="-2"/>
                <w:sz w:val="18"/>
                <w:szCs w:val="18"/>
                <w:highlight w:val="none"/>
              </w:rPr>
              <w:t>》要求</w:t>
            </w:r>
            <w:r>
              <w:rPr>
                <w:rFonts w:ascii="宋体" w:eastAsia="宋体" w:hAnsi="宋体" w:cs="宋体" w:hint="eastAsia"/>
                <w:color w:val="auto"/>
                <w:spacing w:val="-2"/>
                <w:sz w:val="18"/>
                <w:szCs w:val="18"/>
                <w:highlight w:val="none"/>
              </w:rPr>
              <w:t>，对</w:t>
            </w:r>
            <w:r>
              <w:rPr>
                <w:rFonts w:ascii="宋体" w:eastAsia="宋体" w:hAnsi="宋体" w:cs="宋体"/>
                <w:color w:val="auto"/>
                <w:spacing w:val="9"/>
                <w:sz w:val="18"/>
                <w:szCs w:val="18"/>
                <w:highlight w:val="none"/>
              </w:rPr>
              <w:t>人</w:t>
            </w:r>
            <w:r>
              <w:rPr>
                <w:rFonts w:ascii="宋体" w:eastAsia="宋体" w:hAnsi="宋体" w:cs="宋体"/>
                <w:color w:val="auto"/>
                <w:spacing w:val="5"/>
                <w:sz w:val="18"/>
                <w:szCs w:val="18"/>
                <w:highlight w:val="none"/>
              </w:rPr>
              <w:t>工增雨防雹火箭弹</w:t>
            </w:r>
            <w:r>
              <w:rPr>
                <w:rFonts w:ascii="宋体" w:eastAsia="宋体" w:hAnsi="宋体" w:cs="宋体" w:hint="eastAsia"/>
                <w:color w:val="auto"/>
                <w:spacing w:val="5"/>
                <w:sz w:val="18"/>
                <w:szCs w:val="18"/>
                <w:highlight w:val="none"/>
              </w:rPr>
              <w:t>分批次</w:t>
            </w:r>
            <w:r>
              <w:rPr>
                <w:rFonts w:ascii="宋体" w:eastAsia="宋体" w:hAnsi="宋体" w:cs="宋体"/>
                <w:color w:val="auto"/>
                <w:spacing w:val="-2"/>
                <w:sz w:val="18"/>
                <w:szCs w:val="18"/>
                <w:highlight w:val="none"/>
              </w:rPr>
              <w:t>进</w:t>
            </w:r>
            <w:r>
              <w:rPr>
                <w:rFonts w:ascii="宋体" w:eastAsia="宋体" w:hAnsi="宋体" w:cs="宋体"/>
                <w:color w:val="auto"/>
                <w:spacing w:val="-4"/>
                <w:sz w:val="18"/>
                <w:szCs w:val="18"/>
                <w:highlight w:val="none"/>
              </w:rPr>
              <w:t>行</w:t>
            </w:r>
            <w:r>
              <w:rPr>
                <w:rFonts w:ascii="宋体" w:eastAsia="宋体" w:hAnsi="宋体" w:cs="宋体" w:hint="eastAsia"/>
                <w:color w:val="auto"/>
                <w:spacing w:val="-4"/>
                <w:sz w:val="18"/>
                <w:szCs w:val="18"/>
                <w:highlight w:val="none"/>
              </w:rPr>
              <w:t>驻场</w:t>
            </w:r>
            <w:r>
              <w:rPr>
                <w:rFonts w:ascii="宋体" w:eastAsia="宋体" w:hAnsi="宋体" w:cs="宋体"/>
                <w:color w:val="auto"/>
                <w:spacing w:val="-2"/>
                <w:sz w:val="18"/>
                <w:szCs w:val="18"/>
                <w:highlight w:val="none"/>
              </w:rPr>
              <w:t>抽样</w:t>
            </w:r>
            <w:r>
              <w:rPr>
                <w:rFonts w:ascii="宋体" w:eastAsia="宋体" w:hAnsi="宋体" w:cs="宋体" w:hint="eastAsia"/>
                <w:color w:val="auto"/>
                <w:spacing w:val="-2"/>
                <w:sz w:val="18"/>
                <w:szCs w:val="18"/>
                <w:highlight w:val="none"/>
              </w:rPr>
              <w:t>测试</w:t>
            </w:r>
            <w:r>
              <w:rPr>
                <w:rFonts w:ascii="宋体" w:eastAsia="宋体" w:hAnsi="宋体" w:cs="宋体"/>
                <w:color w:val="auto"/>
                <w:spacing w:val="-2"/>
                <w:sz w:val="18"/>
                <w:szCs w:val="18"/>
                <w:highlight w:val="none"/>
              </w:rPr>
              <w:t>验收。</w:t>
            </w:r>
          </w:p>
          <w:p>
            <w:pPr>
              <w:spacing w:before="98" w:line="269" w:lineRule="auto"/>
              <w:ind w:left="0" w:right="0" w:firstLine="255"/>
              <w:rPr>
                <w:rFonts w:ascii="宋体" w:eastAsia="宋体" w:hAnsi="宋体" w:cs="宋体" w:hint="eastAsia"/>
                <w:color w:val="auto"/>
                <w:sz w:val="18"/>
                <w:szCs w:val="18"/>
                <w:highlight w:val="none"/>
              </w:rPr>
            </w:pPr>
            <w:r>
              <w:rPr>
                <w:rFonts w:ascii="宋体" w:eastAsia="宋体" w:hAnsi="宋体" w:cs="宋体" w:hint="eastAsia"/>
                <w:color w:val="auto"/>
                <w:spacing w:val="-6"/>
                <w:sz w:val="18"/>
                <w:szCs w:val="18"/>
                <w:highlight w:val="none"/>
              </w:rPr>
              <w:t>2</w:t>
            </w:r>
            <w:r>
              <w:rPr>
                <w:rFonts w:ascii="宋体" w:eastAsia="宋体" w:hAnsi="宋体" w:cs="宋体"/>
                <w:color w:val="auto"/>
                <w:spacing w:val="-6"/>
                <w:sz w:val="18"/>
                <w:szCs w:val="18"/>
                <w:highlight w:val="none"/>
              </w:rPr>
              <w:t>、</w:t>
            </w:r>
            <w:r>
              <w:rPr>
                <w:rFonts w:ascii="宋体" w:eastAsia="宋体" w:hAnsi="宋体" w:cs="宋体"/>
                <w:color w:val="auto"/>
                <w:spacing w:val="-3"/>
                <w:sz w:val="18"/>
                <w:szCs w:val="18"/>
                <w:highlight w:val="none"/>
              </w:rPr>
              <w:t>熟悉</w:t>
            </w:r>
            <w:r>
              <w:rPr>
                <w:rFonts w:ascii="宋体" w:eastAsia="宋体" w:hAnsi="宋体" w:cs="宋体" w:hint="eastAsia"/>
                <w:color w:val="auto"/>
                <w:spacing w:val="-3"/>
                <w:sz w:val="18"/>
                <w:szCs w:val="18"/>
                <w:highlight w:val="none"/>
              </w:rPr>
              <w:t>各类人工增雨防雹火箭</w:t>
            </w:r>
            <w:r>
              <w:rPr>
                <w:rFonts w:ascii="宋体" w:eastAsia="宋体" w:hAnsi="宋体" w:cs="宋体"/>
                <w:color w:val="auto"/>
                <w:spacing w:val="-3"/>
                <w:sz w:val="18"/>
                <w:szCs w:val="18"/>
                <w:highlight w:val="none"/>
              </w:rPr>
              <w:t>的产品原理、结构及性能、</w:t>
            </w:r>
            <w:r>
              <w:rPr>
                <w:rFonts w:ascii="宋体" w:eastAsia="宋体" w:hAnsi="宋体" w:cs="宋体"/>
                <w:color w:val="auto"/>
                <w:spacing w:val="2"/>
                <w:sz w:val="18"/>
                <w:szCs w:val="18"/>
                <w:highlight w:val="none"/>
              </w:rPr>
              <w:t>技术参数、验收规范、抽样规则、判定规则等，及时</w:t>
            </w:r>
            <w:r>
              <w:rPr>
                <w:rFonts w:ascii="宋体" w:eastAsia="宋体" w:hAnsi="宋体" w:cs="宋体"/>
                <w:color w:val="auto"/>
                <w:spacing w:val="1"/>
                <w:sz w:val="18"/>
                <w:szCs w:val="18"/>
                <w:highlight w:val="none"/>
              </w:rPr>
              <w:t>完</w:t>
            </w:r>
            <w:r>
              <w:rPr>
                <w:rFonts w:ascii="宋体" w:eastAsia="宋体" w:hAnsi="宋体" w:cs="宋体"/>
                <w:color w:val="auto"/>
                <w:spacing w:val="-4"/>
                <w:sz w:val="18"/>
                <w:szCs w:val="18"/>
                <w:highlight w:val="none"/>
              </w:rPr>
              <w:t>成</w:t>
            </w:r>
            <w:r>
              <w:rPr>
                <w:rFonts w:ascii="宋体" w:eastAsia="宋体" w:hAnsi="宋体" w:cs="宋体"/>
                <w:color w:val="auto"/>
                <w:spacing w:val="-3"/>
                <w:sz w:val="18"/>
                <w:szCs w:val="18"/>
                <w:highlight w:val="none"/>
              </w:rPr>
              <w:t>各</w:t>
            </w:r>
            <w:r>
              <w:rPr>
                <w:rFonts w:ascii="宋体" w:eastAsia="宋体" w:hAnsi="宋体" w:cs="宋体"/>
                <w:color w:val="auto"/>
                <w:spacing w:val="-2"/>
                <w:sz w:val="18"/>
                <w:szCs w:val="18"/>
                <w:highlight w:val="none"/>
              </w:rPr>
              <w:t>人影企业提交的验收工作。</w:t>
            </w:r>
          </w:p>
          <w:p>
            <w:pPr>
              <w:spacing w:before="98" w:line="269" w:lineRule="auto"/>
              <w:ind w:left="0" w:right="0" w:firstLine="255"/>
              <w:rPr>
                <w:rFonts w:ascii="宋体" w:eastAsia="宋体" w:hAnsi="宋体" w:cs="宋体" w:hint="eastAsia"/>
                <w:color w:val="auto"/>
                <w:sz w:val="18"/>
                <w:szCs w:val="18"/>
                <w:highlight w:val="none"/>
              </w:rPr>
            </w:pPr>
            <w:r>
              <w:rPr>
                <w:rFonts w:ascii="宋体" w:eastAsia="宋体" w:hAnsi="宋体" w:cs="宋体" w:hint="eastAsia"/>
                <w:color w:val="auto"/>
                <w:spacing w:val="-7"/>
                <w:sz w:val="18"/>
                <w:szCs w:val="18"/>
                <w:highlight w:val="none"/>
              </w:rPr>
              <w:t>3</w:t>
            </w:r>
            <w:r>
              <w:rPr>
                <w:rFonts w:ascii="宋体" w:eastAsia="宋体" w:hAnsi="宋体" w:cs="宋体"/>
                <w:color w:val="auto"/>
                <w:spacing w:val="-7"/>
                <w:sz w:val="18"/>
                <w:szCs w:val="18"/>
                <w:highlight w:val="none"/>
              </w:rPr>
              <w:t>、完成不少于150000发的出厂测试验收，形成验收</w:t>
            </w:r>
            <w:r>
              <w:rPr>
                <w:rFonts w:ascii="宋体" w:eastAsia="宋体" w:hAnsi="宋体" w:cs="宋体"/>
                <w:color w:val="auto"/>
                <w:spacing w:val="-2"/>
                <w:sz w:val="18"/>
                <w:szCs w:val="18"/>
                <w:highlight w:val="none"/>
              </w:rPr>
              <w:t>报告</w:t>
            </w:r>
            <w:r>
              <w:rPr>
                <w:rFonts w:ascii="宋体" w:eastAsia="宋体" w:hAnsi="宋体" w:cs="宋体" w:hint="eastAsia"/>
                <w:color w:val="auto"/>
                <w:spacing w:val="-1"/>
                <w:sz w:val="18"/>
                <w:szCs w:val="18"/>
                <w:highlight w:val="none"/>
              </w:rPr>
              <w:t>，并按要求及时报送。</w:t>
            </w:r>
          </w:p>
        </w:tc>
      </w:tr>
      <w:tr>
        <w:tblPrEx>
          <w:tblW w:w="7520" w:type="dxa"/>
          <w:tblInd w:w="627" w:type="dxa"/>
          <w:tblLayout w:type="fixed"/>
          <w:tblCellMar>
            <w:top w:w="0" w:type="dxa"/>
            <w:left w:w="0" w:type="dxa"/>
            <w:bottom w:w="0" w:type="dxa"/>
            <w:right w:w="0" w:type="dxa"/>
          </w:tblCellMar>
        </w:tblPrEx>
        <w:trPr>
          <w:trHeight w:val="3117"/>
        </w:trPr>
        <w:tc>
          <w:tcPr>
            <w:tcW w:w="772" w:type="dxa"/>
            <w:vAlign w:val="center"/>
          </w:tcPr>
          <w:p>
            <w:pPr>
              <w:spacing w:before="59" w:line="184" w:lineRule="auto"/>
              <w:ind w:left="347"/>
              <w:rPr>
                <w:rFonts w:ascii="宋体" w:eastAsia="宋体" w:hAnsi="宋体" w:cs="宋体" w:hint="eastAsia"/>
                <w:color w:val="auto"/>
                <w:sz w:val="18"/>
                <w:szCs w:val="18"/>
                <w:highlight w:val="none"/>
              </w:rPr>
            </w:pPr>
            <w:r>
              <w:rPr>
                <w:rFonts w:ascii="宋体" w:eastAsia="宋体" w:hAnsi="宋体" w:cs="宋体"/>
                <w:color w:val="auto"/>
                <w:sz w:val="18"/>
                <w:szCs w:val="18"/>
                <w:highlight w:val="none"/>
              </w:rPr>
              <w:t>2</w:t>
            </w:r>
          </w:p>
        </w:tc>
        <w:tc>
          <w:tcPr>
            <w:tcW w:w="1895" w:type="dxa"/>
            <w:vAlign w:val="center"/>
          </w:tcPr>
          <w:p>
            <w:pPr>
              <w:spacing w:before="59" w:line="331" w:lineRule="auto"/>
              <w:ind w:left="680" w:right="137" w:hanging="539"/>
              <w:jc w:val="center"/>
              <w:rPr>
                <w:rFonts w:ascii="宋体" w:eastAsia="宋体" w:hAnsi="宋体" w:cs="宋体" w:hint="eastAsia"/>
                <w:color w:val="auto"/>
                <w:sz w:val="18"/>
                <w:szCs w:val="18"/>
                <w:highlight w:val="none"/>
              </w:rPr>
            </w:pPr>
            <w:r>
              <w:rPr>
                <w:rFonts w:ascii="宋体" w:eastAsia="宋体" w:hAnsi="宋体" w:cs="宋体"/>
                <w:color w:val="auto"/>
                <w:spacing w:val="-1"/>
                <w:sz w:val="18"/>
                <w:szCs w:val="18"/>
                <w:highlight w:val="none"/>
              </w:rPr>
              <w:t>人工增雨防雹炮弹</w:t>
            </w:r>
            <w:r>
              <w:rPr>
                <w:rFonts w:ascii="宋体" w:eastAsia="宋体" w:hAnsi="宋体" w:cs="宋体" w:hint="eastAsia"/>
                <w:b/>
                <w:bCs/>
                <w:color w:val="auto"/>
                <w:spacing w:val="1"/>
                <w:sz w:val="18"/>
                <w:szCs w:val="18"/>
                <w:highlight w:val="none"/>
              </w:rPr>
              <w:t>出厂测试验收</w:t>
            </w:r>
          </w:p>
        </w:tc>
        <w:tc>
          <w:tcPr>
            <w:tcW w:w="4853" w:type="dxa"/>
          </w:tcPr>
          <w:p>
            <w:pPr>
              <w:spacing w:before="98" w:line="269" w:lineRule="auto"/>
              <w:ind w:left="0" w:right="0" w:firstLine="360" w:firstLineChars="200"/>
              <w:rPr>
                <w:rFonts w:ascii="宋体" w:eastAsia="宋体" w:hAnsi="宋体" w:cs="宋体" w:hint="eastAsia"/>
                <w:color w:val="auto"/>
                <w:sz w:val="18"/>
                <w:szCs w:val="18"/>
                <w:highlight w:val="none"/>
              </w:rPr>
            </w:pPr>
            <w:r>
              <w:rPr>
                <w:rFonts w:ascii="宋体" w:eastAsia="宋体" w:hAnsi="宋体" w:cs="宋体"/>
                <w:color w:val="auto"/>
                <w:spacing w:val="1"/>
                <w:sz w:val="18"/>
                <w:szCs w:val="18"/>
                <w:highlight w:val="none"/>
              </w:rPr>
              <w:t>1、严格按照《37</w:t>
            </w:r>
            <w:r>
              <w:rPr>
                <w:rFonts w:ascii="宋体" w:eastAsia="宋体" w:hAnsi="宋体" w:cs="宋体"/>
                <w:color w:val="auto"/>
                <w:sz w:val="18"/>
                <w:szCs w:val="18"/>
                <w:highlight w:val="none"/>
              </w:rPr>
              <w:t>mm</w:t>
            </w:r>
            <w:r>
              <w:rPr>
                <w:rFonts w:ascii="宋体" w:eastAsia="宋体" w:hAnsi="宋体" w:cs="宋体"/>
                <w:color w:val="auto"/>
                <w:spacing w:val="1"/>
                <w:sz w:val="18"/>
                <w:szCs w:val="18"/>
                <w:highlight w:val="none"/>
              </w:rPr>
              <w:t>人工增雨防雹</w:t>
            </w:r>
            <w:r>
              <w:rPr>
                <w:rFonts w:ascii="宋体" w:eastAsia="宋体" w:hAnsi="宋体" w:cs="宋体"/>
                <w:color w:val="auto"/>
                <w:sz w:val="18"/>
                <w:szCs w:val="18"/>
                <w:highlight w:val="none"/>
              </w:rPr>
              <w:t>弹引信制造与验收规</w:t>
            </w:r>
            <w:r>
              <w:rPr>
                <w:rFonts w:ascii="宋体" w:eastAsia="宋体" w:hAnsi="宋体" w:cs="宋体"/>
                <w:color w:val="auto"/>
                <w:spacing w:val="2"/>
                <w:sz w:val="18"/>
                <w:szCs w:val="18"/>
                <w:highlight w:val="none"/>
              </w:rPr>
              <w:t>范》、《37</w:t>
            </w:r>
            <w:r>
              <w:rPr>
                <w:rFonts w:ascii="宋体" w:eastAsia="宋体" w:hAnsi="宋体" w:cs="宋体"/>
                <w:color w:val="auto"/>
                <w:sz w:val="18"/>
                <w:szCs w:val="18"/>
                <w:highlight w:val="none"/>
              </w:rPr>
              <w:t>mm</w:t>
            </w:r>
            <w:r>
              <w:rPr>
                <w:rFonts w:ascii="宋体" w:eastAsia="宋体" w:hAnsi="宋体" w:cs="宋体"/>
                <w:color w:val="auto"/>
                <w:spacing w:val="2"/>
                <w:sz w:val="18"/>
                <w:szCs w:val="18"/>
                <w:highlight w:val="none"/>
              </w:rPr>
              <w:t>人工</w:t>
            </w:r>
            <w:r>
              <w:rPr>
                <w:rFonts w:ascii="宋体" w:eastAsia="宋体" w:hAnsi="宋体" w:cs="宋体"/>
                <w:color w:val="auto"/>
                <w:spacing w:val="1"/>
                <w:sz w:val="18"/>
                <w:szCs w:val="18"/>
                <w:highlight w:val="none"/>
              </w:rPr>
              <w:t>增雨防雹弹制造与验收规范》</w:t>
            </w:r>
            <w:r>
              <w:rPr>
                <w:rFonts w:ascii="宋体" w:eastAsia="宋体" w:hAnsi="宋体" w:cs="宋体" w:hint="eastAsia"/>
                <w:color w:val="auto"/>
                <w:spacing w:val="1"/>
                <w:sz w:val="18"/>
                <w:szCs w:val="18"/>
                <w:highlight w:val="none"/>
              </w:rPr>
              <w:t>要求，对人工增雨防雹炮弹分批次进行驻场抽样测试验收。</w:t>
            </w:r>
          </w:p>
          <w:p>
            <w:pPr>
              <w:spacing w:before="98" w:line="269" w:lineRule="auto"/>
              <w:ind w:left="0" w:right="0" w:firstLine="360" w:firstLineChars="200"/>
              <w:rPr>
                <w:rFonts w:ascii="宋体" w:eastAsia="宋体" w:hAnsi="宋体" w:cs="宋体" w:hint="eastAsia"/>
                <w:color w:val="auto"/>
                <w:sz w:val="18"/>
                <w:szCs w:val="18"/>
                <w:highlight w:val="none"/>
              </w:rPr>
            </w:pPr>
            <w:r>
              <w:rPr>
                <w:rFonts w:ascii="宋体" w:eastAsia="宋体" w:hAnsi="宋体" w:cs="宋体" w:hint="eastAsia"/>
                <w:color w:val="auto"/>
                <w:spacing w:val="-6"/>
                <w:sz w:val="18"/>
                <w:szCs w:val="18"/>
                <w:highlight w:val="none"/>
              </w:rPr>
              <w:t>2</w:t>
            </w:r>
            <w:r>
              <w:rPr>
                <w:rFonts w:ascii="宋体" w:eastAsia="宋体" w:hAnsi="宋体" w:cs="宋体"/>
                <w:color w:val="auto"/>
                <w:spacing w:val="-6"/>
                <w:sz w:val="18"/>
                <w:szCs w:val="18"/>
                <w:highlight w:val="none"/>
              </w:rPr>
              <w:t>、</w:t>
            </w:r>
            <w:r>
              <w:rPr>
                <w:rFonts w:ascii="宋体" w:eastAsia="宋体" w:hAnsi="宋体" w:cs="宋体"/>
                <w:color w:val="auto"/>
                <w:spacing w:val="-3"/>
                <w:sz w:val="18"/>
                <w:szCs w:val="18"/>
                <w:highlight w:val="none"/>
              </w:rPr>
              <w:t>熟悉</w:t>
            </w:r>
            <w:r>
              <w:rPr>
                <w:rFonts w:ascii="宋体" w:eastAsia="宋体" w:hAnsi="宋体" w:cs="宋体" w:hint="eastAsia"/>
                <w:color w:val="auto"/>
                <w:spacing w:val="-3"/>
                <w:sz w:val="18"/>
                <w:szCs w:val="18"/>
                <w:highlight w:val="none"/>
              </w:rPr>
              <w:t>各类人工增雨防雹炮弹</w:t>
            </w:r>
            <w:r>
              <w:rPr>
                <w:rFonts w:ascii="宋体" w:eastAsia="宋体" w:hAnsi="宋体" w:cs="宋体"/>
                <w:color w:val="auto"/>
                <w:spacing w:val="-3"/>
                <w:sz w:val="18"/>
                <w:szCs w:val="18"/>
                <w:highlight w:val="none"/>
              </w:rPr>
              <w:t>的产品原理、结构及性能、</w:t>
            </w:r>
            <w:r>
              <w:rPr>
                <w:rFonts w:ascii="宋体" w:eastAsia="宋体" w:hAnsi="宋体" w:cs="宋体"/>
                <w:color w:val="auto"/>
                <w:spacing w:val="-10"/>
                <w:sz w:val="18"/>
                <w:szCs w:val="18"/>
                <w:highlight w:val="none"/>
              </w:rPr>
              <w:t>技术</w:t>
            </w:r>
            <w:r>
              <w:rPr>
                <w:rFonts w:ascii="宋体" w:eastAsia="宋体" w:hAnsi="宋体" w:cs="宋体"/>
                <w:color w:val="auto"/>
                <w:spacing w:val="-5"/>
                <w:sz w:val="18"/>
                <w:szCs w:val="18"/>
                <w:highlight w:val="none"/>
              </w:rPr>
              <w:t>参数、验收规范、抽样规则、判定规则等，及时完成各</w:t>
            </w:r>
            <w:r>
              <w:rPr>
                <w:rFonts w:ascii="宋体" w:eastAsia="宋体" w:hAnsi="宋体" w:cs="宋体"/>
                <w:color w:val="auto"/>
                <w:spacing w:val="-4"/>
                <w:sz w:val="18"/>
                <w:szCs w:val="18"/>
                <w:highlight w:val="none"/>
              </w:rPr>
              <w:t>人影企</w:t>
            </w:r>
            <w:r>
              <w:rPr>
                <w:rFonts w:ascii="宋体" w:eastAsia="宋体" w:hAnsi="宋体" w:cs="宋体"/>
                <w:color w:val="auto"/>
                <w:spacing w:val="-3"/>
                <w:sz w:val="18"/>
                <w:szCs w:val="18"/>
                <w:highlight w:val="none"/>
              </w:rPr>
              <w:t>业</w:t>
            </w:r>
            <w:r>
              <w:rPr>
                <w:rFonts w:ascii="宋体" w:eastAsia="宋体" w:hAnsi="宋体" w:cs="宋体"/>
                <w:color w:val="auto"/>
                <w:spacing w:val="-2"/>
                <w:sz w:val="18"/>
                <w:szCs w:val="18"/>
                <w:highlight w:val="none"/>
              </w:rPr>
              <w:t>提交的验收工作。</w:t>
            </w:r>
          </w:p>
          <w:p>
            <w:pPr>
              <w:spacing w:before="98" w:line="269" w:lineRule="auto"/>
              <w:ind w:left="0" w:right="0" w:firstLine="360" w:firstLineChars="200"/>
              <w:rPr>
                <w:rFonts w:ascii="宋体" w:eastAsia="宋体" w:hAnsi="宋体" w:cs="宋体" w:hint="eastAsia"/>
                <w:color w:val="auto"/>
                <w:sz w:val="18"/>
                <w:szCs w:val="18"/>
                <w:highlight w:val="none"/>
              </w:rPr>
            </w:pPr>
            <w:r>
              <w:rPr>
                <w:rFonts w:ascii="宋体" w:eastAsia="宋体" w:hAnsi="宋体" w:cs="宋体" w:hint="eastAsia"/>
                <w:color w:val="auto"/>
                <w:spacing w:val="1"/>
                <w:sz w:val="18"/>
                <w:szCs w:val="18"/>
                <w:highlight w:val="none"/>
              </w:rPr>
              <w:t>3、完成不少于400000枚的出厂测试验收，形成验收报告，并按要求及时报送。</w:t>
            </w:r>
          </w:p>
        </w:tc>
      </w:tr>
      <w:tr>
        <w:tblPrEx>
          <w:tblW w:w="7520" w:type="dxa"/>
          <w:tblInd w:w="627" w:type="dxa"/>
          <w:tblLayout w:type="fixed"/>
          <w:tblCellMar>
            <w:top w:w="0" w:type="dxa"/>
            <w:left w:w="0" w:type="dxa"/>
            <w:bottom w:w="0" w:type="dxa"/>
            <w:right w:w="0" w:type="dxa"/>
          </w:tblCellMar>
        </w:tblPrEx>
        <w:trPr>
          <w:trHeight w:val="321"/>
        </w:trPr>
        <w:tc>
          <w:tcPr>
            <w:tcW w:w="772" w:type="dxa"/>
            <w:vAlign w:val="center"/>
          </w:tcPr>
          <w:p>
            <w:pPr>
              <w:spacing w:before="98" w:line="183" w:lineRule="auto"/>
              <w:ind w:left="348"/>
              <w:rPr>
                <w:rFonts w:ascii="宋体" w:eastAsia="宋体" w:hAnsi="宋体" w:cs="宋体" w:hint="eastAsia"/>
                <w:color w:val="auto"/>
                <w:sz w:val="18"/>
                <w:szCs w:val="18"/>
                <w:highlight w:val="none"/>
              </w:rPr>
            </w:pPr>
            <w:r>
              <w:rPr>
                <w:rFonts w:ascii="宋体" w:eastAsia="宋体" w:hAnsi="宋体" w:cs="宋体"/>
                <w:color w:val="auto"/>
                <w:sz w:val="18"/>
                <w:szCs w:val="18"/>
                <w:highlight w:val="none"/>
              </w:rPr>
              <w:t>3</w:t>
            </w:r>
          </w:p>
        </w:tc>
        <w:tc>
          <w:tcPr>
            <w:tcW w:w="1895" w:type="dxa"/>
            <w:vAlign w:val="center"/>
          </w:tcPr>
          <w:p>
            <w:pPr>
              <w:spacing w:before="68" w:line="220" w:lineRule="auto"/>
              <w:ind w:left="141"/>
              <w:rPr>
                <w:rFonts w:ascii="宋体" w:eastAsia="宋体" w:hAnsi="宋体" w:cs="宋体" w:hint="eastAsia"/>
                <w:color w:val="auto"/>
                <w:sz w:val="18"/>
                <w:szCs w:val="18"/>
                <w:highlight w:val="none"/>
              </w:rPr>
            </w:pPr>
            <w:r>
              <w:rPr>
                <w:rFonts w:ascii="宋体" w:eastAsia="宋体" w:hAnsi="宋体" w:cs="宋体"/>
                <w:color w:val="auto"/>
                <w:spacing w:val="-1"/>
                <w:sz w:val="18"/>
                <w:szCs w:val="18"/>
                <w:highlight w:val="none"/>
              </w:rPr>
              <w:t>人工增雨焰条</w:t>
            </w:r>
            <w:r>
              <w:rPr>
                <w:rFonts w:ascii="宋体" w:eastAsia="宋体" w:hAnsi="宋体" w:cs="宋体" w:hint="eastAsia"/>
                <w:b/>
                <w:bCs/>
                <w:color w:val="auto"/>
                <w:spacing w:val="1"/>
                <w:sz w:val="18"/>
                <w:szCs w:val="18"/>
                <w:highlight w:val="none"/>
              </w:rPr>
              <w:t>出厂测试验收</w:t>
            </w:r>
          </w:p>
        </w:tc>
        <w:tc>
          <w:tcPr>
            <w:tcW w:w="4853" w:type="dxa"/>
          </w:tcPr>
          <w:p>
            <w:pPr>
              <w:spacing w:before="98" w:line="269" w:lineRule="auto"/>
              <w:ind w:left="110" w:right="110" w:firstLine="4"/>
              <w:rPr>
                <w:rFonts w:ascii="宋体" w:eastAsia="宋体" w:hAnsi="宋体" w:cs="宋体" w:hint="eastAsia"/>
                <w:color w:val="auto"/>
                <w:sz w:val="18"/>
                <w:szCs w:val="18"/>
                <w:highlight w:val="none"/>
              </w:rPr>
            </w:pPr>
            <w:r>
              <w:rPr>
                <w:rFonts w:ascii="仿宋" w:eastAsia="仿宋" w:hAnsi="仿宋" w:cs="仿宋"/>
                <w:color w:val="auto"/>
                <w:spacing w:val="-12"/>
                <w:sz w:val="18"/>
                <w:szCs w:val="18"/>
                <w:highlight w:val="none"/>
              </w:rPr>
              <w:t>1</w:t>
            </w:r>
            <w:r>
              <w:rPr>
                <w:rFonts w:ascii="仿宋" w:eastAsia="仿宋" w:hAnsi="仿宋" w:cs="仿宋"/>
                <w:color w:val="auto"/>
                <w:spacing w:val="-7"/>
                <w:sz w:val="18"/>
                <w:szCs w:val="18"/>
                <w:highlight w:val="none"/>
              </w:rPr>
              <w:t>、</w:t>
            </w:r>
            <w:r>
              <w:rPr>
                <w:rFonts w:ascii="宋体" w:eastAsia="宋体" w:hAnsi="宋体" w:cs="宋体"/>
                <w:color w:val="auto"/>
                <w:spacing w:val="-7"/>
                <w:sz w:val="18"/>
                <w:szCs w:val="18"/>
                <w:highlight w:val="none"/>
              </w:rPr>
              <w:t>根据各企业产品标准、GB2828.1中相关抽样规定，</w:t>
            </w:r>
            <w:r>
              <w:rPr>
                <w:rFonts w:ascii="宋体" w:eastAsia="宋体" w:hAnsi="宋体" w:cs="宋体" w:hint="eastAsia"/>
                <w:color w:val="auto"/>
                <w:spacing w:val="-7"/>
                <w:sz w:val="18"/>
                <w:szCs w:val="18"/>
                <w:highlight w:val="none"/>
              </w:rPr>
              <w:t>对</w:t>
            </w:r>
            <w:r>
              <w:rPr>
                <w:rFonts w:ascii="宋体" w:eastAsia="宋体" w:hAnsi="宋体" w:cs="宋体" w:hint="eastAsia"/>
                <w:color w:val="auto"/>
                <w:spacing w:val="-3"/>
                <w:sz w:val="18"/>
                <w:szCs w:val="18"/>
                <w:highlight w:val="none"/>
              </w:rPr>
              <w:t>人工增雨焰条</w:t>
            </w:r>
            <w:r>
              <w:rPr>
                <w:rFonts w:ascii="宋体" w:eastAsia="宋体" w:hAnsi="宋体" w:cs="宋体"/>
                <w:color w:val="auto"/>
                <w:spacing w:val="-4"/>
                <w:sz w:val="18"/>
                <w:szCs w:val="18"/>
                <w:highlight w:val="none"/>
              </w:rPr>
              <w:t>分批</w:t>
            </w:r>
            <w:r>
              <w:rPr>
                <w:rFonts w:ascii="宋体" w:eastAsia="宋体" w:hAnsi="宋体" w:cs="宋体"/>
                <w:color w:val="auto"/>
                <w:spacing w:val="-3"/>
                <w:sz w:val="18"/>
                <w:szCs w:val="18"/>
                <w:highlight w:val="none"/>
              </w:rPr>
              <w:t>次</w:t>
            </w:r>
            <w:r>
              <w:rPr>
                <w:rFonts w:ascii="宋体" w:eastAsia="宋体" w:hAnsi="宋体" w:cs="宋体"/>
                <w:color w:val="auto"/>
                <w:spacing w:val="-2"/>
                <w:sz w:val="18"/>
                <w:szCs w:val="18"/>
                <w:highlight w:val="none"/>
              </w:rPr>
              <w:t>进行</w:t>
            </w:r>
            <w:r>
              <w:rPr>
                <w:rFonts w:ascii="宋体" w:eastAsia="宋体" w:hAnsi="宋体" w:cs="宋体" w:hint="eastAsia"/>
                <w:color w:val="auto"/>
                <w:spacing w:val="-2"/>
                <w:sz w:val="18"/>
                <w:szCs w:val="18"/>
                <w:highlight w:val="none"/>
              </w:rPr>
              <w:t>驻场</w:t>
            </w:r>
            <w:r>
              <w:rPr>
                <w:rFonts w:ascii="宋体" w:eastAsia="宋体" w:hAnsi="宋体" w:cs="宋体"/>
                <w:color w:val="auto"/>
                <w:spacing w:val="-2"/>
                <w:sz w:val="18"/>
                <w:szCs w:val="18"/>
                <w:highlight w:val="none"/>
              </w:rPr>
              <w:t>抽样验收测试。</w:t>
            </w:r>
          </w:p>
          <w:p>
            <w:pPr>
              <w:spacing w:before="98" w:line="269" w:lineRule="auto"/>
              <w:ind w:left="110" w:right="110" w:firstLine="4"/>
              <w:rPr>
                <w:rFonts w:ascii="宋体" w:eastAsia="宋体" w:hAnsi="宋体" w:cs="宋体" w:hint="eastAsia"/>
                <w:color w:val="auto"/>
                <w:sz w:val="18"/>
                <w:szCs w:val="18"/>
                <w:highlight w:val="none"/>
              </w:rPr>
            </w:pPr>
            <w:r>
              <w:rPr>
                <w:rFonts w:ascii="仿宋" w:eastAsia="仿宋" w:hAnsi="仿宋" w:cs="仿宋"/>
                <w:color w:val="auto"/>
                <w:spacing w:val="-6"/>
                <w:sz w:val="18"/>
                <w:szCs w:val="18"/>
                <w:highlight w:val="none"/>
              </w:rPr>
              <w:t>2、</w:t>
            </w:r>
            <w:r>
              <w:rPr>
                <w:rFonts w:ascii="宋体" w:eastAsia="宋体" w:hAnsi="宋体" w:cs="宋体"/>
                <w:color w:val="auto"/>
                <w:spacing w:val="-3"/>
                <w:sz w:val="18"/>
                <w:szCs w:val="18"/>
                <w:highlight w:val="none"/>
              </w:rPr>
              <w:t>熟悉</w:t>
            </w:r>
            <w:r>
              <w:rPr>
                <w:rFonts w:ascii="宋体" w:eastAsia="宋体" w:hAnsi="宋体" w:cs="宋体" w:hint="eastAsia"/>
                <w:color w:val="auto"/>
                <w:spacing w:val="-3"/>
                <w:sz w:val="18"/>
                <w:szCs w:val="18"/>
                <w:highlight w:val="none"/>
              </w:rPr>
              <w:t>各类人工增雨焰条</w:t>
            </w:r>
            <w:r>
              <w:rPr>
                <w:rFonts w:ascii="宋体" w:eastAsia="宋体" w:hAnsi="宋体" w:cs="宋体"/>
                <w:color w:val="auto"/>
                <w:spacing w:val="-3"/>
                <w:sz w:val="18"/>
                <w:szCs w:val="18"/>
                <w:highlight w:val="none"/>
              </w:rPr>
              <w:t>的产品原理、结构及性能、</w:t>
            </w:r>
            <w:r>
              <w:rPr>
                <w:rFonts w:ascii="宋体" w:eastAsia="宋体" w:hAnsi="宋体" w:cs="宋体"/>
                <w:color w:val="auto"/>
                <w:spacing w:val="-10"/>
                <w:sz w:val="18"/>
                <w:szCs w:val="18"/>
                <w:highlight w:val="none"/>
              </w:rPr>
              <w:t>技术</w:t>
            </w:r>
            <w:r>
              <w:rPr>
                <w:rFonts w:ascii="宋体" w:eastAsia="宋体" w:hAnsi="宋体" w:cs="宋体"/>
                <w:color w:val="auto"/>
                <w:spacing w:val="-6"/>
                <w:sz w:val="18"/>
                <w:szCs w:val="18"/>
                <w:highlight w:val="none"/>
              </w:rPr>
              <w:t>参</w:t>
            </w:r>
            <w:r>
              <w:rPr>
                <w:rFonts w:ascii="宋体" w:eastAsia="宋体" w:hAnsi="宋体" w:cs="宋体"/>
                <w:color w:val="auto"/>
                <w:spacing w:val="-5"/>
                <w:sz w:val="18"/>
                <w:szCs w:val="18"/>
                <w:highlight w:val="none"/>
              </w:rPr>
              <w:t>数、验收规范、抽样规则、判定规则等，及时完成各</w:t>
            </w:r>
            <w:r>
              <w:rPr>
                <w:rFonts w:ascii="宋体" w:eastAsia="宋体" w:hAnsi="宋体" w:cs="宋体"/>
                <w:color w:val="auto"/>
                <w:spacing w:val="-1"/>
                <w:sz w:val="18"/>
                <w:szCs w:val="18"/>
                <w:highlight w:val="none"/>
              </w:rPr>
              <w:t>人影企业提交的验</w:t>
            </w:r>
            <w:r>
              <w:rPr>
                <w:rFonts w:ascii="宋体" w:eastAsia="宋体" w:hAnsi="宋体" w:cs="宋体"/>
                <w:color w:val="auto"/>
                <w:sz w:val="18"/>
                <w:szCs w:val="18"/>
                <w:highlight w:val="none"/>
              </w:rPr>
              <w:t>收工作</w:t>
            </w:r>
            <w:r>
              <w:rPr>
                <w:rFonts w:ascii="宋体" w:eastAsia="宋体" w:hAnsi="宋体" w:cs="宋体" w:hint="eastAsia"/>
                <w:color w:val="auto"/>
                <w:sz w:val="18"/>
                <w:szCs w:val="18"/>
                <w:highlight w:val="none"/>
              </w:rPr>
              <w:t>。</w:t>
            </w:r>
          </w:p>
          <w:p>
            <w:pPr>
              <w:spacing w:before="98" w:line="269" w:lineRule="auto"/>
              <w:ind w:left="110" w:right="110" w:firstLine="4"/>
              <w:rPr>
                <w:rFonts w:ascii="宋体" w:eastAsia="宋体" w:hAnsi="宋体" w:cs="宋体" w:hint="eastAsia"/>
                <w:color w:val="auto"/>
                <w:sz w:val="18"/>
                <w:szCs w:val="18"/>
                <w:highlight w:val="none"/>
              </w:rPr>
            </w:pPr>
            <w:r>
              <w:rPr>
                <w:rFonts w:ascii="Times New Roman" w:eastAsia="宋体" w:hAnsi="Times New Roman" w:cs="Times New Roman" w:hint="eastAsia"/>
                <w:color w:val="auto"/>
                <w:spacing w:val="-8"/>
                <w:sz w:val="18"/>
                <w:szCs w:val="20"/>
                <w:highlight w:val="none"/>
              </w:rPr>
              <w:t>3、</w:t>
            </w:r>
            <w:r>
              <w:rPr>
                <w:rFonts w:ascii="Times New Roman" w:eastAsia="宋体" w:hAnsi="Times New Roman" w:cs="Times New Roman" w:hint="eastAsia"/>
                <w:color w:val="auto"/>
                <w:spacing w:val="-4"/>
                <w:sz w:val="18"/>
                <w:szCs w:val="20"/>
                <w:highlight w:val="none"/>
              </w:rPr>
              <w:t>完成不少于80000根的出厂测试验收，形成验收</w:t>
            </w:r>
            <w:r>
              <w:rPr>
                <w:rFonts w:ascii="Times New Roman" w:eastAsia="宋体" w:hAnsi="Times New Roman" w:cs="Times New Roman" w:hint="eastAsia"/>
                <w:color w:val="auto"/>
                <w:spacing w:val="-2"/>
                <w:sz w:val="18"/>
                <w:szCs w:val="20"/>
                <w:highlight w:val="none"/>
              </w:rPr>
              <w:t>报</w:t>
            </w:r>
            <w:r>
              <w:rPr>
                <w:rFonts w:ascii="Times New Roman" w:eastAsia="宋体" w:hAnsi="Times New Roman" w:cs="Times New Roman" w:hint="eastAsia"/>
                <w:color w:val="auto"/>
                <w:spacing w:val="-1"/>
                <w:sz w:val="18"/>
                <w:szCs w:val="20"/>
                <w:highlight w:val="none"/>
              </w:rPr>
              <w:t>告，并按要求及时报送。</w:t>
            </w:r>
          </w:p>
        </w:tc>
      </w:tr>
      <w:tr>
        <w:tblPrEx>
          <w:tblW w:w="7520" w:type="dxa"/>
          <w:tblInd w:w="627" w:type="dxa"/>
          <w:tblLayout w:type="fixed"/>
          <w:tblCellMar>
            <w:top w:w="0" w:type="dxa"/>
            <w:left w:w="0" w:type="dxa"/>
            <w:bottom w:w="0" w:type="dxa"/>
            <w:right w:w="0" w:type="dxa"/>
          </w:tblCellMar>
        </w:tblPrEx>
        <w:trPr>
          <w:trHeight w:val="321"/>
        </w:trPr>
        <w:tc>
          <w:tcPr>
            <w:tcW w:w="772" w:type="dxa"/>
            <w:vAlign w:val="center"/>
          </w:tcPr>
          <w:p>
            <w:pPr>
              <w:spacing w:line="264" w:lineRule="auto"/>
              <w:jc w:val="center"/>
              <w:rPr>
                <w:rFonts w:ascii="Arial" w:eastAsia="宋体" w:hAnsi="Times New Roman" w:cs="Times New Roman"/>
                <w:color w:val="auto"/>
                <w:szCs w:val="20"/>
                <w:highlight w:val="none"/>
              </w:rPr>
            </w:pPr>
          </w:p>
          <w:p>
            <w:pPr>
              <w:spacing w:line="264" w:lineRule="auto"/>
              <w:jc w:val="center"/>
              <w:rPr>
                <w:rFonts w:ascii="Arial" w:eastAsia="宋体" w:hAnsi="Times New Roman" w:cs="Times New Roman"/>
                <w:color w:val="auto"/>
                <w:szCs w:val="20"/>
                <w:highlight w:val="none"/>
              </w:rPr>
            </w:pPr>
          </w:p>
          <w:p>
            <w:pPr>
              <w:spacing w:line="265" w:lineRule="auto"/>
              <w:jc w:val="center"/>
              <w:rPr>
                <w:rFonts w:ascii="Arial" w:eastAsia="宋体" w:hAnsi="Times New Roman" w:cs="Times New Roman"/>
                <w:color w:val="auto"/>
                <w:szCs w:val="20"/>
                <w:highlight w:val="none"/>
              </w:rPr>
            </w:pPr>
          </w:p>
          <w:p>
            <w:pPr>
              <w:spacing w:line="265" w:lineRule="auto"/>
              <w:jc w:val="center"/>
              <w:rPr>
                <w:rFonts w:ascii="Arial" w:eastAsia="宋体" w:hAnsi="Times New Roman" w:cs="Times New Roman"/>
                <w:color w:val="auto"/>
                <w:szCs w:val="20"/>
                <w:highlight w:val="none"/>
              </w:rPr>
            </w:pPr>
          </w:p>
          <w:p>
            <w:pPr>
              <w:spacing w:before="58" w:line="184" w:lineRule="auto"/>
              <w:ind w:left="344"/>
              <w:jc w:val="center"/>
              <w:rPr>
                <w:rFonts w:ascii="宋体" w:eastAsia="宋体" w:hAnsi="宋体" w:cs="宋体" w:hint="eastAsia"/>
                <w:color w:val="auto"/>
                <w:sz w:val="18"/>
                <w:szCs w:val="18"/>
                <w:highlight w:val="none"/>
              </w:rPr>
            </w:pPr>
            <w:r>
              <w:rPr>
                <w:rFonts w:ascii="宋体" w:eastAsia="宋体" w:hAnsi="宋体" w:cs="宋体"/>
                <w:color w:val="auto"/>
                <w:sz w:val="18"/>
                <w:szCs w:val="18"/>
                <w:highlight w:val="none"/>
              </w:rPr>
              <w:t>4</w:t>
            </w:r>
          </w:p>
        </w:tc>
        <w:tc>
          <w:tcPr>
            <w:tcW w:w="1895" w:type="dxa"/>
            <w:vAlign w:val="center"/>
          </w:tcPr>
          <w:p>
            <w:pPr>
              <w:spacing w:line="280" w:lineRule="auto"/>
              <w:jc w:val="center"/>
              <w:rPr>
                <w:rFonts w:ascii="Arial" w:eastAsia="宋体" w:hAnsi="Times New Roman" w:cs="Times New Roman"/>
                <w:color w:val="auto"/>
                <w:szCs w:val="20"/>
                <w:highlight w:val="none"/>
              </w:rPr>
            </w:pPr>
          </w:p>
          <w:p>
            <w:pPr>
              <w:spacing w:before="58" w:line="331" w:lineRule="auto"/>
              <w:ind w:left="116" w:right="108" w:hanging="4"/>
              <w:jc w:val="center"/>
              <w:rPr>
                <w:rFonts w:ascii="宋体" w:eastAsia="宋体" w:hAnsi="宋体" w:cs="宋体" w:hint="eastAsia"/>
                <w:color w:val="auto"/>
                <w:sz w:val="18"/>
                <w:szCs w:val="18"/>
                <w:highlight w:val="none"/>
              </w:rPr>
            </w:pPr>
            <w:r>
              <w:rPr>
                <w:rFonts w:ascii="宋体" w:eastAsia="宋体" w:hAnsi="宋体" w:cs="宋体"/>
                <w:color w:val="auto"/>
                <w:spacing w:val="9"/>
                <w:sz w:val="18"/>
                <w:szCs w:val="18"/>
                <w:highlight w:val="none"/>
              </w:rPr>
              <w:t>人</w:t>
            </w:r>
            <w:r>
              <w:rPr>
                <w:rFonts w:ascii="宋体" w:eastAsia="宋体" w:hAnsi="宋体" w:cs="宋体"/>
                <w:color w:val="auto"/>
                <w:spacing w:val="5"/>
                <w:sz w:val="18"/>
                <w:szCs w:val="18"/>
                <w:highlight w:val="none"/>
              </w:rPr>
              <w:t>工增雨焰弹</w:t>
            </w:r>
            <w:r>
              <w:rPr>
                <w:rFonts w:ascii="宋体" w:eastAsia="宋体" w:hAnsi="宋体" w:cs="宋体" w:hint="eastAsia"/>
                <w:b/>
                <w:bCs/>
                <w:color w:val="auto"/>
                <w:spacing w:val="1"/>
                <w:sz w:val="18"/>
                <w:szCs w:val="18"/>
                <w:highlight w:val="none"/>
              </w:rPr>
              <w:t>出厂测试验收</w:t>
            </w:r>
          </w:p>
        </w:tc>
        <w:tc>
          <w:tcPr>
            <w:tcW w:w="4853" w:type="dxa"/>
          </w:tcPr>
          <w:p>
            <w:pPr>
              <w:spacing w:before="98" w:line="269" w:lineRule="auto"/>
              <w:ind w:left="110" w:right="110" w:firstLine="5"/>
              <w:rPr>
                <w:rFonts w:ascii="宋体" w:eastAsia="宋体" w:hAnsi="宋体" w:cs="宋体" w:hint="eastAsia"/>
                <w:color w:val="auto"/>
                <w:sz w:val="18"/>
                <w:szCs w:val="18"/>
                <w:highlight w:val="none"/>
              </w:rPr>
            </w:pPr>
            <w:r>
              <w:rPr>
                <w:rFonts w:ascii="宋体" w:eastAsia="宋体" w:hAnsi="宋体" w:cs="宋体"/>
                <w:color w:val="auto"/>
                <w:spacing w:val="-14"/>
                <w:sz w:val="18"/>
                <w:szCs w:val="18"/>
                <w:highlight w:val="none"/>
              </w:rPr>
              <w:t>1</w:t>
            </w:r>
            <w:r>
              <w:rPr>
                <w:rFonts w:ascii="宋体" w:eastAsia="宋体" w:hAnsi="宋体" w:cs="宋体"/>
                <w:color w:val="auto"/>
                <w:spacing w:val="-8"/>
                <w:sz w:val="18"/>
                <w:szCs w:val="18"/>
                <w:highlight w:val="none"/>
              </w:rPr>
              <w:t>、</w:t>
            </w:r>
            <w:r>
              <w:rPr>
                <w:rFonts w:ascii="宋体" w:eastAsia="宋体" w:hAnsi="宋体" w:cs="宋体"/>
                <w:color w:val="auto"/>
                <w:spacing w:val="-7"/>
                <w:sz w:val="18"/>
                <w:szCs w:val="18"/>
                <w:highlight w:val="none"/>
              </w:rPr>
              <w:t>根据各企业产品标准、GB2828.1中相关抽样规定，</w:t>
            </w:r>
            <w:r>
              <w:rPr>
                <w:rFonts w:ascii="宋体" w:eastAsia="宋体" w:hAnsi="宋体" w:cs="宋体" w:hint="eastAsia"/>
                <w:color w:val="auto"/>
                <w:spacing w:val="-7"/>
                <w:sz w:val="18"/>
                <w:szCs w:val="18"/>
                <w:highlight w:val="none"/>
              </w:rPr>
              <w:t>对</w:t>
            </w:r>
            <w:r>
              <w:rPr>
                <w:rFonts w:ascii="宋体" w:eastAsia="宋体" w:hAnsi="宋体" w:cs="宋体" w:hint="eastAsia"/>
                <w:color w:val="auto"/>
                <w:spacing w:val="-3"/>
                <w:sz w:val="18"/>
                <w:szCs w:val="18"/>
                <w:highlight w:val="none"/>
              </w:rPr>
              <w:t>人工增雨</w:t>
            </w:r>
            <w:r>
              <w:rPr>
                <w:rFonts w:ascii="宋体" w:eastAsia="宋体" w:hAnsi="宋体" w:cs="宋体"/>
                <w:color w:val="auto"/>
                <w:spacing w:val="5"/>
                <w:sz w:val="18"/>
                <w:szCs w:val="18"/>
                <w:highlight w:val="none"/>
              </w:rPr>
              <w:t>焰弹</w:t>
            </w:r>
            <w:r>
              <w:rPr>
                <w:rFonts w:ascii="宋体" w:eastAsia="宋体" w:hAnsi="宋体" w:cs="宋体"/>
                <w:color w:val="auto"/>
                <w:spacing w:val="-4"/>
                <w:sz w:val="18"/>
                <w:szCs w:val="18"/>
                <w:highlight w:val="none"/>
              </w:rPr>
              <w:t>分批</w:t>
            </w:r>
            <w:r>
              <w:rPr>
                <w:rFonts w:ascii="宋体" w:eastAsia="宋体" w:hAnsi="宋体" w:cs="宋体"/>
                <w:color w:val="auto"/>
                <w:spacing w:val="-3"/>
                <w:sz w:val="18"/>
                <w:szCs w:val="18"/>
                <w:highlight w:val="none"/>
              </w:rPr>
              <w:t>次</w:t>
            </w:r>
            <w:r>
              <w:rPr>
                <w:rFonts w:ascii="宋体" w:eastAsia="宋体" w:hAnsi="宋体" w:cs="宋体"/>
                <w:color w:val="auto"/>
                <w:spacing w:val="-2"/>
                <w:sz w:val="18"/>
                <w:szCs w:val="18"/>
                <w:highlight w:val="none"/>
              </w:rPr>
              <w:t>进行</w:t>
            </w:r>
            <w:r>
              <w:rPr>
                <w:rFonts w:ascii="宋体" w:eastAsia="宋体" w:hAnsi="宋体" w:cs="宋体" w:hint="eastAsia"/>
                <w:color w:val="auto"/>
                <w:spacing w:val="-2"/>
                <w:sz w:val="18"/>
                <w:szCs w:val="18"/>
                <w:highlight w:val="none"/>
              </w:rPr>
              <w:t>驻场</w:t>
            </w:r>
            <w:r>
              <w:rPr>
                <w:rFonts w:ascii="宋体" w:eastAsia="宋体" w:hAnsi="宋体" w:cs="宋体"/>
                <w:color w:val="auto"/>
                <w:spacing w:val="-2"/>
                <w:sz w:val="18"/>
                <w:szCs w:val="18"/>
                <w:highlight w:val="none"/>
              </w:rPr>
              <w:t>抽样验收测试。</w:t>
            </w:r>
          </w:p>
          <w:p>
            <w:pPr>
              <w:spacing w:before="98" w:line="269" w:lineRule="auto"/>
              <w:ind w:left="110" w:right="110" w:firstLine="5"/>
              <w:rPr>
                <w:rFonts w:ascii="宋体" w:eastAsia="宋体" w:hAnsi="宋体" w:cs="宋体" w:hint="eastAsia"/>
                <w:color w:val="auto"/>
                <w:sz w:val="18"/>
                <w:szCs w:val="18"/>
                <w:highlight w:val="none"/>
              </w:rPr>
            </w:pPr>
            <w:r>
              <w:rPr>
                <w:rFonts w:ascii="宋体" w:eastAsia="宋体" w:hAnsi="宋体" w:cs="宋体"/>
                <w:color w:val="auto"/>
                <w:spacing w:val="-6"/>
                <w:sz w:val="18"/>
                <w:szCs w:val="18"/>
                <w:highlight w:val="none"/>
              </w:rPr>
              <w:t>2、</w:t>
            </w:r>
            <w:r>
              <w:rPr>
                <w:rFonts w:ascii="宋体" w:eastAsia="宋体" w:hAnsi="宋体" w:cs="宋体"/>
                <w:color w:val="auto"/>
                <w:spacing w:val="-3"/>
                <w:sz w:val="18"/>
                <w:szCs w:val="18"/>
                <w:highlight w:val="none"/>
              </w:rPr>
              <w:t>熟悉各类</w:t>
            </w:r>
            <w:r>
              <w:rPr>
                <w:rFonts w:ascii="宋体" w:eastAsia="宋体" w:hAnsi="宋体" w:cs="宋体" w:hint="eastAsia"/>
                <w:color w:val="auto"/>
                <w:spacing w:val="-3"/>
                <w:sz w:val="18"/>
                <w:szCs w:val="18"/>
                <w:highlight w:val="none"/>
              </w:rPr>
              <w:t>人工增雨</w:t>
            </w:r>
            <w:r>
              <w:rPr>
                <w:rFonts w:ascii="宋体" w:eastAsia="宋体" w:hAnsi="宋体" w:cs="宋体"/>
                <w:color w:val="auto"/>
                <w:spacing w:val="5"/>
                <w:sz w:val="18"/>
                <w:szCs w:val="18"/>
                <w:highlight w:val="none"/>
              </w:rPr>
              <w:t>焰弹</w:t>
            </w:r>
            <w:r>
              <w:rPr>
                <w:rFonts w:ascii="宋体" w:eastAsia="宋体" w:hAnsi="宋体" w:cs="宋体"/>
                <w:color w:val="auto"/>
                <w:spacing w:val="-3"/>
                <w:sz w:val="18"/>
                <w:szCs w:val="18"/>
                <w:highlight w:val="none"/>
              </w:rPr>
              <w:t>的产品原理、结构及性能、</w:t>
            </w:r>
            <w:r>
              <w:rPr>
                <w:rFonts w:ascii="宋体" w:eastAsia="宋体" w:hAnsi="宋体" w:cs="宋体"/>
                <w:color w:val="auto"/>
                <w:spacing w:val="-10"/>
                <w:sz w:val="18"/>
                <w:szCs w:val="18"/>
                <w:highlight w:val="none"/>
              </w:rPr>
              <w:t>技术</w:t>
            </w:r>
            <w:r>
              <w:rPr>
                <w:rFonts w:ascii="宋体" w:eastAsia="宋体" w:hAnsi="宋体" w:cs="宋体"/>
                <w:color w:val="auto"/>
                <w:spacing w:val="-6"/>
                <w:sz w:val="18"/>
                <w:szCs w:val="18"/>
                <w:highlight w:val="none"/>
              </w:rPr>
              <w:t>参</w:t>
            </w:r>
            <w:r>
              <w:rPr>
                <w:rFonts w:ascii="宋体" w:eastAsia="宋体" w:hAnsi="宋体" w:cs="宋体"/>
                <w:color w:val="auto"/>
                <w:spacing w:val="-5"/>
                <w:sz w:val="18"/>
                <w:szCs w:val="18"/>
                <w:highlight w:val="none"/>
              </w:rPr>
              <w:t>数、验收规范、抽样规则、判定规则等，及时完成各</w:t>
            </w:r>
            <w:r>
              <w:rPr>
                <w:rFonts w:ascii="宋体" w:eastAsia="宋体" w:hAnsi="宋体" w:cs="宋体"/>
                <w:color w:val="auto"/>
                <w:spacing w:val="-1"/>
                <w:sz w:val="18"/>
                <w:szCs w:val="18"/>
                <w:highlight w:val="none"/>
              </w:rPr>
              <w:t>人影企业提交的验</w:t>
            </w:r>
            <w:r>
              <w:rPr>
                <w:rFonts w:ascii="宋体" w:eastAsia="宋体" w:hAnsi="宋体" w:cs="宋体"/>
                <w:color w:val="auto"/>
                <w:sz w:val="18"/>
                <w:szCs w:val="18"/>
                <w:highlight w:val="none"/>
              </w:rPr>
              <w:t>收工作</w:t>
            </w:r>
            <w:r>
              <w:rPr>
                <w:rFonts w:ascii="宋体" w:eastAsia="宋体" w:hAnsi="宋体" w:cs="宋体" w:hint="eastAsia"/>
                <w:color w:val="auto"/>
                <w:sz w:val="18"/>
                <w:szCs w:val="18"/>
                <w:highlight w:val="none"/>
              </w:rPr>
              <w:t>。</w:t>
            </w:r>
          </w:p>
          <w:p>
            <w:pPr>
              <w:spacing w:before="98" w:line="269" w:lineRule="auto"/>
              <w:ind w:left="110" w:right="110" w:firstLine="5"/>
              <w:rPr>
                <w:rFonts w:ascii="宋体" w:eastAsia="宋体" w:hAnsi="宋体" w:cs="宋体" w:hint="eastAsia"/>
                <w:color w:val="auto"/>
                <w:sz w:val="18"/>
                <w:szCs w:val="18"/>
                <w:highlight w:val="none"/>
              </w:rPr>
            </w:pPr>
            <w:r>
              <w:rPr>
                <w:rFonts w:ascii="Times New Roman" w:eastAsia="宋体" w:hAnsi="Times New Roman" w:cs="Times New Roman" w:hint="eastAsia"/>
                <w:color w:val="auto"/>
                <w:spacing w:val="-8"/>
                <w:sz w:val="18"/>
                <w:szCs w:val="20"/>
                <w:highlight w:val="none"/>
              </w:rPr>
              <w:t>3、</w:t>
            </w:r>
            <w:r>
              <w:rPr>
                <w:rFonts w:ascii="Times New Roman" w:eastAsia="宋体" w:hAnsi="Times New Roman" w:cs="Times New Roman" w:hint="eastAsia"/>
                <w:color w:val="auto"/>
                <w:spacing w:val="-5"/>
                <w:sz w:val="18"/>
                <w:szCs w:val="20"/>
                <w:highlight w:val="none"/>
              </w:rPr>
              <w:t>完</w:t>
            </w:r>
            <w:r>
              <w:rPr>
                <w:rFonts w:ascii="Times New Roman" w:eastAsia="宋体" w:hAnsi="Times New Roman" w:cs="Times New Roman" w:hint="eastAsia"/>
                <w:color w:val="auto"/>
                <w:spacing w:val="-4"/>
                <w:sz w:val="18"/>
                <w:szCs w:val="20"/>
                <w:highlight w:val="none"/>
              </w:rPr>
              <w:t>成不少于50000发的出厂测试验收，形成验收</w:t>
            </w:r>
            <w:r>
              <w:rPr>
                <w:rFonts w:ascii="Times New Roman" w:eastAsia="宋体" w:hAnsi="Times New Roman" w:cs="Times New Roman" w:hint="eastAsia"/>
                <w:color w:val="auto"/>
                <w:spacing w:val="-2"/>
                <w:sz w:val="18"/>
                <w:szCs w:val="20"/>
                <w:highlight w:val="none"/>
              </w:rPr>
              <w:t>报</w:t>
            </w:r>
            <w:r>
              <w:rPr>
                <w:rFonts w:ascii="Times New Roman" w:eastAsia="宋体" w:hAnsi="Times New Roman" w:cs="Times New Roman" w:hint="eastAsia"/>
                <w:color w:val="auto"/>
                <w:spacing w:val="-1"/>
                <w:sz w:val="18"/>
                <w:szCs w:val="20"/>
                <w:highlight w:val="none"/>
              </w:rPr>
              <w:t>告，并按要求及时报送。</w:t>
            </w:r>
          </w:p>
        </w:tc>
      </w:tr>
      <w:tr>
        <w:tblPrEx>
          <w:tblW w:w="7520" w:type="dxa"/>
          <w:tblInd w:w="627" w:type="dxa"/>
          <w:tblLayout w:type="fixed"/>
          <w:tblCellMar>
            <w:top w:w="0" w:type="dxa"/>
            <w:left w:w="0" w:type="dxa"/>
            <w:bottom w:w="0" w:type="dxa"/>
            <w:right w:w="0" w:type="dxa"/>
          </w:tblCellMar>
        </w:tblPrEx>
        <w:trPr>
          <w:trHeight w:val="321"/>
        </w:trPr>
        <w:tc>
          <w:tcPr>
            <w:tcW w:w="772" w:type="dxa"/>
            <w:vAlign w:val="center"/>
          </w:tcPr>
          <w:p>
            <w:pPr>
              <w:spacing w:before="58" w:line="184" w:lineRule="auto"/>
              <w:ind w:left="344"/>
              <w:jc w:val="center"/>
              <w:rPr>
                <w:rFonts w:ascii="宋体" w:eastAsia="宋体" w:hAnsi="宋体" w:cs="宋体" w:hint="eastAsia"/>
                <w:color w:val="auto"/>
                <w:sz w:val="18"/>
                <w:szCs w:val="18"/>
                <w:highlight w:val="none"/>
              </w:rPr>
            </w:pPr>
            <w:r>
              <w:rPr>
                <w:rFonts w:ascii="宋体" w:eastAsia="宋体" w:hAnsi="宋体" w:cs="宋体" w:hint="eastAsia"/>
                <w:color w:val="auto"/>
                <w:sz w:val="18"/>
                <w:szCs w:val="18"/>
                <w:highlight w:val="none"/>
              </w:rPr>
              <w:t>5</w:t>
            </w:r>
          </w:p>
        </w:tc>
        <w:tc>
          <w:tcPr>
            <w:tcW w:w="1895" w:type="dxa"/>
            <w:vAlign w:val="center"/>
          </w:tcPr>
          <w:p>
            <w:pPr>
              <w:spacing w:before="58" w:line="331" w:lineRule="auto"/>
              <w:ind w:left="116" w:right="108" w:hanging="4"/>
              <w:jc w:val="center"/>
              <w:rPr>
                <w:rFonts w:ascii="宋体" w:eastAsia="宋体" w:hAnsi="宋体" w:cs="宋体" w:hint="eastAsia"/>
                <w:color w:val="auto"/>
                <w:spacing w:val="9"/>
                <w:sz w:val="18"/>
                <w:szCs w:val="18"/>
                <w:highlight w:val="none"/>
              </w:rPr>
            </w:pPr>
            <w:r>
              <w:rPr>
                <w:rFonts w:ascii="宋体" w:eastAsia="宋体" w:hAnsi="宋体" w:cs="宋体" w:hint="eastAsia"/>
                <w:b/>
                <w:bCs/>
                <w:color w:val="auto"/>
                <w:spacing w:val="1"/>
                <w:sz w:val="18"/>
                <w:szCs w:val="18"/>
                <w:highlight w:val="none"/>
              </w:rPr>
              <w:t>地面作业装备出厂测试验收</w:t>
            </w:r>
          </w:p>
        </w:tc>
        <w:tc>
          <w:tcPr>
            <w:tcW w:w="4853" w:type="dxa"/>
          </w:tcPr>
          <w:p>
            <w:pPr>
              <w:numPr>
                <w:ilvl w:val="0"/>
                <w:numId w:val="0"/>
              </w:numPr>
              <w:tabs>
                <w:tab w:val="left" w:pos="312"/>
              </w:tabs>
              <w:spacing w:before="98" w:line="269" w:lineRule="auto"/>
              <w:ind w:left="115" w:right="110" w:firstLine="0"/>
              <w:rPr>
                <w:rFonts w:ascii="宋体" w:eastAsia="宋体" w:hAnsi="宋体" w:cs="宋体" w:hint="eastAsia"/>
                <w:color w:val="auto"/>
                <w:spacing w:val="-7"/>
                <w:sz w:val="18"/>
                <w:szCs w:val="18"/>
                <w:highlight w:val="none"/>
              </w:rPr>
            </w:pPr>
            <w:r>
              <w:rPr>
                <w:rFonts w:ascii="宋体" w:eastAsia="宋体" w:hAnsi="宋体" w:cs="宋体" w:hint="eastAsia"/>
                <w:color w:val="auto"/>
                <w:spacing w:val="-4"/>
                <w:sz w:val="18"/>
                <w:szCs w:val="18"/>
                <w:highlight w:val="none"/>
              </w:rPr>
              <w:t>1.根据</w:t>
            </w:r>
            <w:r>
              <w:rPr>
                <w:rFonts w:ascii="宋体" w:eastAsia="宋体" w:hAnsi="宋体" w:cs="宋体"/>
                <w:color w:val="auto"/>
                <w:spacing w:val="-7"/>
                <w:sz w:val="18"/>
                <w:szCs w:val="18"/>
                <w:highlight w:val="none"/>
              </w:rPr>
              <w:t>各企业产品标准、</w:t>
            </w:r>
            <w:r>
              <w:rPr>
                <w:rFonts w:ascii="宋体" w:eastAsia="宋体" w:hAnsi="宋体" w:cs="宋体" w:hint="eastAsia"/>
                <w:color w:val="auto"/>
                <w:spacing w:val="-7"/>
                <w:sz w:val="18"/>
                <w:szCs w:val="18"/>
                <w:highlight w:val="none"/>
              </w:rPr>
              <w:t>相关文件文件规定，对地面作业装备进行驻场测试验收，</w:t>
            </w:r>
            <w:r>
              <w:rPr>
                <w:rFonts w:ascii="宋体" w:eastAsia="宋体" w:hAnsi="宋体" w:cs="宋体"/>
                <w:color w:val="auto"/>
                <w:spacing w:val="-4"/>
                <w:sz w:val="18"/>
                <w:szCs w:val="18"/>
                <w:highlight w:val="none"/>
              </w:rPr>
              <w:t>形成验收</w:t>
            </w:r>
            <w:r>
              <w:rPr>
                <w:rFonts w:ascii="宋体" w:eastAsia="宋体" w:hAnsi="宋体" w:cs="宋体"/>
                <w:color w:val="auto"/>
                <w:spacing w:val="-2"/>
                <w:sz w:val="18"/>
                <w:szCs w:val="18"/>
                <w:highlight w:val="none"/>
              </w:rPr>
              <w:t>报</w:t>
            </w:r>
            <w:r>
              <w:rPr>
                <w:rFonts w:ascii="宋体" w:eastAsia="宋体" w:hAnsi="宋体" w:cs="宋体"/>
                <w:color w:val="auto"/>
                <w:spacing w:val="-1"/>
                <w:sz w:val="18"/>
                <w:szCs w:val="18"/>
                <w:highlight w:val="none"/>
              </w:rPr>
              <w:t>告</w:t>
            </w:r>
            <w:r>
              <w:rPr>
                <w:rFonts w:ascii="宋体" w:eastAsia="宋体" w:hAnsi="宋体" w:cs="宋体" w:hint="eastAsia"/>
                <w:color w:val="auto"/>
                <w:spacing w:val="-1"/>
                <w:sz w:val="18"/>
                <w:szCs w:val="18"/>
                <w:highlight w:val="none"/>
              </w:rPr>
              <w:t>，并按要求及时报送</w:t>
            </w:r>
            <w:r>
              <w:rPr>
                <w:rFonts w:ascii="宋体" w:eastAsia="宋体" w:hAnsi="宋体" w:cs="宋体" w:hint="eastAsia"/>
                <w:color w:val="auto"/>
                <w:spacing w:val="-7"/>
                <w:sz w:val="18"/>
                <w:szCs w:val="18"/>
                <w:highlight w:val="none"/>
              </w:rPr>
              <w:t>。</w:t>
            </w:r>
          </w:p>
          <w:p>
            <w:pPr>
              <w:numPr>
                <w:ilvl w:val="0"/>
                <w:numId w:val="0"/>
              </w:numPr>
              <w:tabs>
                <w:tab w:val="left" w:pos="312"/>
              </w:tabs>
              <w:spacing w:before="98" w:line="269" w:lineRule="auto"/>
              <w:ind w:left="115" w:right="110" w:firstLine="0"/>
              <w:rPr>
                <w:rFonts w:ascii="宋体" w:eastAsia="宋体" w:hAnsi="宋体" w:cs="宋体" w:hint="eastAsia"/>
                <w:color w:val="auto"/>
                <w:spacing w:val="-7"/>
                <w:sz w:val="18"/>
                <w:szCs w:val="18"/>
                <w:highlight w:val="none"/>
              </w:rPr>
            </w:pPr>
            <w:r>
              <w:rPr>
                <w:rFonts w:ascii="宋体" w:eastAsia="宋体" w:hAnsi="宋体" w:cs="宋体" w:hint="eastAsia"/>
                <w:color w:val="auto"/>
                <w:spacing w:val="-1"/>
                <w:sz w:val="18"/>
                <w:szCs w:val="18"/>
                <w:highlight w:val="none"/>
              </w:rPr>
              <w:t>2.熟悉各类人工影响天气地面作业装备的产品原理、结构及性能、技术参数、验收规范、判定规则等，完成不少于300套人影作业装备的测试验收工作。</w:t>
            </w:r>
          </w:p>
        </w:tc>
      </w:tr>
      <w:tr>
        <w:tblPrEx>
          <w:tblW w:w="7520" w:type="dxa"/>
          <w:tblInd w:w="627" w:type="dxa"/>
          <w:tblLayout w:type="fixed"/>
          <w:tblCellMar>
            <w:top w:w="0" w:type="dxa"/>
            <w:left w:w="0" w:type="dxa"/>
            <w:bottom w:w="0" w:type="dxa"/>
            <w:right w:w="0" w:type="dxa"/>
          </w:tblCellMar>
        </w:tblPrEx>
        <w:trPr>
          <w:trHeight w:val="321"/>
        </w:trPr>
        <w:tc>
          <w:tcPr>
            <w:tcW w:w="772" w:type="dxa"/>
            <w:vAlign w:val="center"/>
          </w:tcPr>
          <w:p>
            <w:pPr>
              <w:spacing w:before="58" w:line="184" w:lineRule="auto"/>
              <w:ind w:left="344"/>
              <w:jc w:val="center"/>
              <w:rPr>
                <w:rFonts w:ascii="Times New Roman" w:eastAsia="宋体" w:hAnsi="Times New Roman" w:cs="Times New Roman" w:hint="eastAsia"/>
                <w:color w:val="auto"/>
                <w:sz w:val="18"/>
                <w:szCs w:val="20"/>
                <w:highlight w:val="none"/>
              </w:rPr>
            </w:pPr>
            <w:r>
              <w:rPr>
                <w:rFonts w:ascii="Times New Roman" w:eastAsia="宋体" w:hAnsi="Times New Roman" w:cs="Times New Roman" w:hint="eastAsia"/>
                <w:color w:val="auto"/>
                <w:sz w:val="18"/>
                <w:szCs w:val="20"/>
                <w:highlight w:val="none"/>
              </w:rPr>
              <w:t>6</w:t>
            </w:r>
          </w:p>
        </w:tc>
        <w:tc>
          <w:tcPr>
            <w:tcW w:w="1895" w:type="dxa"/>
            <w:vAlign w:val="center"/>
          </w:tcPr>
          <w:p>
            <w:pPr>
              <w:spacing w:before="58" w:line="331" w:lineRule="auto"/>
              <w:ind w:left="116" w:right="108" w:hanging="4"/>
              <w:jc w:val="center"/>
              <w:rPr>
                <w:rFonts w:ascii="Times New Roman" w:eastAsia="宋体" w:hAnsi="Times New Roman" w:cs="Times New Roman" w:hint="eastAsia"/>
                <w:b/>
                <w:bCs/>
                <w:color w:val="auto"/>
                <w:spacing w:val="1"/>
                <w:sz w:val="18"/>
                <w:szCs w:val="20"/>
                <w:highlight w:val="none"/>
              </w:rPr>
            </w:pPr>
            <w:r>
              <w:rPr>
                <w:rFonts w:ascii="Times New Roman" w:eastAsia="宋体" w:hAnsi="Times New Roman" w:cs="Times New Roman" w:hint="eastAsia"/>
                <w:b/>
                <w:bCs/>
                <w:color w:val="auto"/>
                <w:spacing w:val="1"/>
                <w:sz w:val="18"/>
                <w:szCs w:val="20"/>
                <w:highlight w:val="none"/>
              </w:rPr>
              <w:t>质量监督检查、关键技术性能测试</w:t>
            </w:r>
          </w:p>
        </w:tc>
        <w:tc>
          <w:tcPr>
            <w:tcW w:w="4853" w:type="dxa"/>
          </w:tcPr>
          <w:p>
            <w:pPr>
              <w:numPr>
                <w:ilvl w:val="12"/>
                <w:numId w:val="0"/>
              </w:numPr>
              <w:spacing w:before="98" w:line="269" w:lineRule="auto"/>
              <w:ind w:left="115" w:right="110"/>
              <w:rPr>
                <w:rFonts w:ascii="Times New Roman" w:eastAsia="宋体" w:hAnsi="Times New Roman" w:cs="Times New Roman" w:hint="eastAsia"/>
                <w:color w:val="auto"/>
                <w:spacing w:val="-3"/>
                <w:sz w:val="18"/>
                <w:szCs w:val="20"/>
                <w:highlight w:val="none"/>
              </w:rPr>
            </w:pPr>
            <w:r>
              <w:rPr>
                <w:rFonts w:ascii="Times New Roman" w:eastAsia="宋体" w:hAnsi="Times New Roman" w:cs="Times New Roman" w:hint="eastAsia"/>
                <w:color w:val="auto"/>
                <w:spacing w:val="-3"/>
                <w:sz w:val="18"/>
                <w:szCs w:val="20"/>
                <w:highlight w:val="none"/>
              </w:rPr>
              <w:t>1.配合中国气象局上海气象装备保障中心完成人工影响天气弹药及地面作业装备质量监督检查不少于6项；</w:t>
            </w:r>
          </w:p>
          <w:p>
            <w:pPr>
              <w:numPr>
                <w:ilvl w:val="12"/>
                <w:numId w:val="0"/>
              </w:numPr>
              <w:spacing w:before="98" w:line="269" w:lineRule="auto"/>
              <w:ind w:left="115" w:right="110"/>
              <w:rPr>
                <w:rFonts w:ascii="宋体" w:eastAsia="宋体" w:hAnsi="宋体" w:cs="宋体" w:hint="eastAsia"/>
                <w:color w:val="auto"/>
                <w:spacing w:val="-3"/>
                <w:sz w:val="18"/>
                <w:szCs w:val="18"/>
                <w:highlight w:val="none"/>
              </w:rPr>
            </w:pPr>
            <w:r>
              <w:rPr>
                <w:rFonts w:ascii="Times New Roman" w:eastAsia="宋体" w:hAnsi="Times New Roman" w:cs="Times New Roman" w:hint="eastAsia"/>
                <w:color w:val="auto"/>
                <w:spacing w:val="-3"/>
                <w:sz w:val="18"/>
                <w:szCs w:val="20"/>
                <w:highlight w:val="none"/>
              </w:rPr>
              <w:t>2.配合中国气象局上海气象装备保障中心完成人工影响天气弹药关键技术性能测试不少于3项。</w:t>
            </w:r>
          </w:p>
        </w:tc>
      </w:tr>
      <w:tr>
        <w:tblPrEx>
          <w:tblW w:w="7520" w:type="dxa"/>
          <w:tblInd w:w="627" w:type="dxa"/>
          <w:tblLayout w:type="fixed"/>
          <w:tblCellMar>
            <w:top w:w="0" w:type="dxa"/>
            <w:left w:w="0" w:type="dxa"/>
            <w:bottom w:w="0" w:type="dxa"/>
            <w:right w:w="0" w:type="dxa"/>
          </w:tblCellMar>
        </w:tblPrEx>
        <w:trPr>
          <w:trHeight w:val="321"/>
        </w:trPr>
        <w:tc>
          <w:tcPr>
            <w:tcW w:w="7520" w:type="dxa"/>
            <w:gridSpan w:val="3"/>
          </w:tcPr>
          <w:p>
            <w:pPr>
              <w:spacing w:before="67" w:line="220" w:lineRule="auto"/>
              <w:ind w:left="117"/>
              <w:rPr>
                <w:rFonts w:ascii="宋体" w:eastAsia="宋体" w:hAnsi="宋体" w:cs="宋体" w:hint="eastAsia"/>
                <w:color w:val="auto"/>
                <w:sz w:val="18"/>
                <w:szCs w:val="18"/>
                <w:highlight w:val="none"/>
              </w:rPr>
            </w:pPr>
            <w:r>
              <w:rPr>
                <w:rFonts w:ascii="宋体" w:eastAsia="宋体" w:hAnsi="宋体" w:cs="宋体"/>
                <w:b/>
                <w:bCs/>
                <w:color w:val="auto"/>
                <w:spacing w:val="1"/>
                <w:sz w:val="18"/>
                <w:szCs w:val="18"/>
                <w:highlight w:val="none"/>
              </w:rPr>
              <w:t>二、许可证审查测</w:t>
            </w:r>
            <w:r>
              <w:rPr>
                <w:rFonts w:ascii="宋体" w:eastAsia="宋体" w:hAnsi="宋体" w:cs="宋体"/>
                <w:b/>
                <w:bCs/>
                <w:color w:val="auto"/>
                <w:sz w:val="18"/>
                <w:szCs w:val="18"/>
                <w:highlight w:val="none"/>
              </w:rPr>
              <w:t>试</w:t>
            </w:r>
          </w:p>
        </w:tc>
      </w:tr>
      <w:tr>
        <w:tblPrEx>
          <w:tblW w:w="7520" w:type="dxa"/>
          <w:tblInd w:w="627" w:type="dxa"/>
          <w:tblLayout w:type="fixed"/>
          <w:tblCellMar>
            <w:top w:w="0" w:type="dxa"/>
            <w:left w:w="0" w:type="dxa"/>
            <w:bottom w:w="0" w:type="dxa"/>
            <w:right w:w="0" w:type="dxa"/>
          </w:tblCellMar>
        </w:tblPrEx>
        <w:trPr>
          <w:trHeight w:val="321"/>
        </w:trPr>
        <w:tc>
          <w:tcPr>
            <w:tcW w:w="772" w:type="dxa"/>
          </w:tcPr>
          <w:p>
            <w:pPr>
              <w:spacing w:line="249" w:lineRule="auto"/>
              <w:rPr>
                <w:rFonts w:ascii="Arial" w:eastAsia="宋体" w:hAnsi="Times New Roman" w:cs="Times New Roman"/>
                <w:color w:val="auto"/>
                <w:szCs w:val="20"/>
                <w:highlight w:val="none"/>
              </w:rPr>
            </w:pPr>
          </w:p>
          <w:p>
            <w:pPr>
              <w:spacing w:line="249" w:lineRule="auto"/>
              <w:rPr>
                <w:rFonts w:ascii="Arial" w:eastAsia="宋体" w:hAnsi="Times New Roman" w:cs="Times New Roman"/>
                <w:color w:val="auto"/>
                <w:szCs w:val="20"/>
                <w:highlight w:val="none"/>
              </w:rPr>
            </w:pPr>
          </w:p>
          <w:p>
            <w:pPr>
              <w:spacing w:before="59" w:line="185" w:lineRule="auto"/>
              <w:ind w:left="358"/>
              <w:rPr>
                <w:rFonts w:ascii="宋体" w:eastAsia="宋体" w:hAnsi="宋体" w:cs="宋体" w:hint="eastAsia"/>
                <w:color w:val="auto"/>
                <w:sz w:val="18"/>
                <w:szCs w:val="18"/>
                <w:highlight w:val="none"/>
              </w:rPr>
            </w:pPr>
            <w:r>
              <w:rPr>
                <w:rFonts w:ascii="宋体" w:eastAsia="宋体" w:hAnsi="宋体" w:cs="宋体"/>
                <w:color w:val="auto"/>
                <w:sz w:val="18"/>
                <w:szCs w:val="18"/>
                <w:highlight w:val="none"/>
              </w:rPr>
              <w:t>1</w:t>
            </w:r>
          </w:p>
        </w:tc>
        <w:tc>
          <w:tcPr>
            <w:tcW w:w="1895" w:type="dxa"/>
          </w:tcPr>
          <w:p>
            <w:pPr>
              <w:spacing w:line="280" w:lineRule="auto"/>
              <w:rPr>
                <w:rFonts w:ascii="Arial" w:eastAsia="宋体" w:hAnsi="Times New Roman" w:cs="Times New Roman"/>
                <w:color w:val="auto"/>
                <w:szCs w:val="20"/>
                <w:highlight w:val="none"/>
              </w:rPr>
            </w:pPr>
          </w:p>
          <w:p>
            <w:pPr>
              <w:spacing w:line="281" w:lineRule="auto"/>
              <w:rPr>
                <w:rFonts w:ascii="Arial" w:eastAsia="宋体" w:hAnsi="Times New Roman" w:cs="Times New Roman"/>
                <w:color w:val="auto"/>
                <w:szCs w:val="20"/>
                <w:highlight w:val="none"/>
              </w:rPr>
            </w:pPr>
          </w:p>
          <w:p>
            <w:pPr>
              <w:spacing w:before="59" w:line="327" w:lineRule="auto"/>
              <w:ind w:left="110" w:right="107"/>
              <w:rPr>
                <w:rFonts w:ascii="宋体" w:eastAsia="宋体" w:hAnsi="宋体" w:cs="宋体" w:hint="eastAsia"/>
                <w:color w:val="auto"/>
                <w:sz w:val="18"/>
                <w:szCs w:val="18"/>
                <w:highlight w:val="none"/>
              </w:rPr>
            </w:pPr>
            <w:r>
              <w:rPr>
                <w:rFonts w:ascii="宋体" w:eastAsia="宋体" w:hAnsi="宋体" w:cs="宋体"/>
                <w:color w:val="auto"/>
                <w:spacing w:val="10"/>
                <w:sz w:val="18"/>
                <w:szCs w:val="18"/>
                <w:highlight w:val="none"/>
              </w:rPr>
              <w:t>许</w:t>
            </w:r>
            <w:r>
              <w:rPr>
                <w:rFonts w:ascii="宋体" w:eastAsia="宋体" w:hAnsi="宋体" w:cs="宋体"/>
                <w:color w:val="auto"/>
                <w:spacing w:val="5"/>
                <w:sz w:val="18"/>
                <w:szCs w:val="18"/>
                <w:highlight w:val="none"/>
              </w:rPr>
              <w:t>可证审查测试</w:t>
            </w:r>
          </w:p>
        </w:tc>
        <w:tc>
          <w:tcPr>
            <w:tcW w:w="4853" w:type="dxa"/>
          </w:tcPr>
          <w:p>
            <w:pPr>
              <w:spacing w:before="97" w:line="286" w:lineRule="auto"/>
              <w:ind w:left="112" w:right="110" w:hanging="1"/>
              <w:rPr>
                <w:rFonts w:ascii="宋体" w:eastAsia="宋体" w:hAnsi="宋体" w:cs="宋体" w:hint="eastAsia"/>
                <w:color w:val="auto"/>
                <w:sz w:val="18"/>
                <w:szCs w:val="18"/>
                <w:highlight w:val="none"/>
              </w:rPr>
            </w:pPr>
            <w:r>
              <w:rPr>
                <w:rFonts w:ascii="宋体" w:eastAsia="宋体" w:hAnsi="宋体" w:cs="宋体" w:hint="eastAsia"/>
                <w:color w:val="auto"/>
                <w:spacing w:val="-4"/>
                <w:sz w:val="18"/>
                <w:szCs w:val="18"/>
                <w:highlight w:val="none"/>
              </w:rPr>
              <w:t>1</w:t>
            </w:r>
            <w:r>
              <w:rPr>
                <w:rFonts w:ascii="宋体" w:eastAsia="宋体" w:hAnsi="宋体" w:cs="宋体"/>
                <w:color w:val="auto"/>
                <w:spacing w:val="-4"/>
                <w:sz w:val="18"/>
                <w:szCs w:val="18"/>
                <w:highlight w:val="none"/>
              </w:rPr>
              <w:t>、</w:t>
            </w:r>
            <w:r>
              <w:rPr>
                <w:rFonts w:ascii="宋体" w:eastAsia="宋体" w:hAnsi="宋体" w:cs="宋体"/>
                <w:color w:val="auto"/>
                <w:spacing w:val="-2"/>
                <w:sz w:val="18"/>
                <w:szCs w:val="18"/>
                <w:highlight w:val="none"/>
              </w:rPr>
              <w:t>熟悉使用许可管理制度，熟悉使用许可申请、技术审</w:t>
            </w:r>
            <w:r>
              <w:rPr>
                <w:rFonts w:ascii="宋体" w:eastAsia="宋体" w:hAnsi="宋体" w:cs="宋体"/>
                <w:color w:val="auto"/>
                <w:spacing w:val="-10"/>
                <w:sz w:val="18"/>
                <w:szCs w:val="18"/>
                <w:highlight w:val="none"/>
              </w:rPr>
              <w:t>查的</w:t>
            </w:r>
            <w:r>
              <w:rPr>
                <w:rFonts w:ascii="宋体" w:eastAsia="宋体" w:hAnsi="宋体" w:cs="宋体"/>
                <w:color w:val="auto"/>
                <w:spacing w:val="-6"/>
                <w:sz w:val="18"/>
                <w:szCs w:val="18"/>
                <w:highlight w:val="none"/>
              </w:rPr>
              <w:t>要</w:t>
            </w:r>
            <w:r>
              <w:rPr>
                <w:rFonts w:ascii="宋体" w:eastAsia="宋体" w:hAnsi="宋体" w:cs="宋体"/>
                <w:color w:val="auto"/>
                <w:spacing w:val="-5"/>
                <w:sz w:val="18"/>
                <w:szCs w:val="18"/>
                <w:highlight w:val="none"/>
              </w:rPr>
              <w:t>求、测试项目及测试方法，按要求完成</w:t>
            </w:r>
            <w:r>
              <w:rPr>
                <w:rFonts w:ascii="Times New Roman" w:eastAsia="宋体" w:hAnsi="Times New Roman" w:cs="Times New Roman" w:hint="eastAsia"/>
                <w:color w:val="auto"/>
                <w:spacing w:val="-5"/>
                <w:sz w:val="18"/>
                <w:szCs w:val="20"/>
                <w:highlight w:val="none"/>
                <w:lang w:eastAsia="zh-CN"/>
              </w:rPr>
              <w:t>9</w:t>
            </w:r>
            <w:r>
              <w:rPr>
                <w:rFonts w:ascii="Times New Roman" w:eastAsia="宋体" w:hAnsi="Times New Roman" w:cs="Times New Roman" w:hint="eastAsia"/>
                <w:color w:val="auto"/>
                <w:spacing w:val="-5"/>
                <w:sz w:val="18"/>
                <w:szCs w:val="20"/>
                <w:highlight w:val="none"/>
              </w:rPr>
              <w:t>个型号弹药</w:t>
            </w:r>
            <w:r>
              <w:rPr>
                <w:rFonts w:ascii="宋体" w:eastAsia="宋体" w:hAnsi="宋体" w:cs="宋体" w:hint="eastAsia"/>
                <w:color w:val="auto"/>
                <w:spacing w:val="-5"/>
                <w:sz w:val="18"/>
                <w:szCs w:val="18"/>
                <w:highlight w:val="none"/>
              </w:rPr>
              <w:t>的</w:t>
            </w:r>
            <w:r>
              <w:rPr>
                <w:rFonts w:ascii="宋体" w:eastAsia="宋体" w:hAnsi="宋体" w:cs="宋体"/>
                <w:color w:val="auto"/>
                <w:spacing w:val="-5"/>
                <w:sz w:val="18"/>
                <w:szCs w:val="18"/>
                <w:highlight w:val="none"/>
              </w:rPr>
              <w:t>使用许可</w:t>
            </w:r>
            <w:r>
              <w:rPr>
                <w:rFonts w:ascii="宋体" w:eastAsia="宋体" w:hAnsi="宋体" w:cs="宋体"/>
                <w:color w:val="auto"/>
                <w:spacing w:val="-3"/>
                <w:sz w:val="18"/>
                <w:szCs w:val="18"/>
                <w:highlight w:val="none"/>
              </w:rPr>
              <w:t>技</w:t>
            </w:r>
            <w:r>
              <w:rPr>
                <w:rFonts w:ascii="宋体" w:eastAsia="宋体" w:hAnsi="宋体" w:cs="宋体"/>
                <w:color w:val="auto"/>
                <w:spacing w:val="-2"/>
                <w:sz w:val="18"/>
                <w:szCs w:val="18"/>
                <w:highlight w:val="none"/>
              </w:rPr>
              <w:t>术</w:t>
            </w:r>
            <w:r>
              <w:rPr>
                <w:rFonts w:ascii="宋体" w:eastAsia="宋体" w:hAnsi="宋体" w:cs="宋体" w:hint="eastAsia"/>
                <w:color w:val="auto"/>
                <w:spacing w:val="-2"/>
                <w:sz w:val="18"/>
                <w:szCs w:val="18"/>
                <w:highlight w:val="none"/>
              </w:rPr>
              <w:t>资料审查、现场踏勘、现场测试、</w:t>
            </w:r>
            <w:r>
              <w:rPr>
                <w:rFonts w:ascii="宋体" w:eastAsia="宋体" w:hAnsi="宋体" w:cs="宋体"/>
                <w:color w:val="auto"/>
                <w:spacing w:val="-2"/>
                <w:sz w:val="18"/>
                <w:szCs w:val="18"/>
                <w:highlight w:val="none"/>
              </w:rPr>
              <w:t>编制</w:t>
            </w:r>
            <w:r>
              <w:rPr>
                <w:rFonts w:ascii="宋体" w:eastAsia="宋体" w:hAnsi="宋体" w:cs="宋体" w:hint="eastAsia"/>
                <w:color w:val="auto"/>
                <w:spacing w:val="-2"/>
                <w:sz w:val="18"/>
                <w:szCs w:val="18"/>
                <w:highlight w:val="none"/>
              </w:rPr>
              <w:t>和提交</w:t>
            </w:r>
            <w:r>
              <w:rPr>
                <w:rFonts w:ascii="宋体" w:eastAsia="宋体" w:hAnsi="宋体" w:cs="宋体"/>
                <w:color w:val="auto"/>
                <w:spacing w:val="-2"/>
                <w:sz w:val="18"/>
                <w:szCs w:val="18"/>
                <w:highlight w:val="none"/>
              </w:rPr>
              <w:t>技术审查报告。</w:t>
            </w:r>
          </w:p>
        </w:tc>
      </w:tr>
    </w:tbl>
    <w:p>
      <w:pPr>
        <w:spacing w:before="68" w:line="221" w:lineRule="auto"/>
        <w:ind w:left="437"/>
        <w:rPr>
          <w:rFonts w:ascii="宋体" w:eastAsia="宋体" w:hAnsi="宋体" w:cs="宋体" w:hint="eastAsia"/>
          <w:color w:val="auto"/>
          <w:szCs w:val="21"/>
          <w:highlight w:val="none"/>
        </w:rPr>
      </w:pPr>
    </w:p>
    <w:p>
      <w:pPr>
        <w:spacing w:before="217" w:line="220" w:lineRule="auto"/>
        <w:ind w:left="512"/>
        <w:rPr>
          <w:rFonts w:ascii="Times New Roman" w:eastAsia="宋体" w:hAnsi="Times New Roman" w:cs="Times New Roman"/>
          <w:color w:val="auto"/>
          <w:spacing w:val="-1"/>
          <w:szCs w:val="21"/>
          <w:highlight w:val="none"/>
        </w:rPr>
      </w:pPr>
      <w:r>
        <w:rPr>
          <w:rFonts w:ascii="Times New Roman" w:eastAsia="宋体" w:hAnsi="Times New Roman" w:cs="Times New Roman" w:hint="eastAsia"/>
          <w:color w:val="auto"/>
          <w:spacing w:val="-1"/>
          <w:szCs w:val="21"/>
          <w:highlight w:val="none"/>
        </w:rPr>
        <w:t>7</w:t>
      </w:r>
      <w:r>
        <w:rPr>
          <w:rFonts w:ascii="Times New Roman" w:eastAsia="宋体" w:hAnsi="Times New Roman" w:cs="Times New Roman"/>
          <w:color w:val="auto"/>
          <w:spacing w:val="-1"/>
          <w:szCs w:val="21"/>
          <w:highlight w:val="none"/>
        </w:rPr>
        <w:t>.2.2  探测装备运行保障技术服务</w:t>
      </w:r>
    </w:p>
    <w:tbl>
      <w:tblPr>
        <w:tblStyle w:val="TableNormal"/>
        <w:tblW w:w="424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32"/>
        <w:gridCol w:w="1926"/>
        <w:gridCol w:w="4989"/>
      </w:tblGrid>
      <w:tr>
        <w:tblPrEx>
          <w:tblW w:w="424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479" w:type="pct"/>
          </w:tcPr>
          <w:p>
            <w:pPr>
              <w:adjustRightInd w:val="0"/>
              <w:jc w:val="center"/>
              <w:rPr>
                <w:rFonts w:ascii="宋体" w:eastAsia="宋体" w:hAnsi="宋体" w:cs="Times New Roman" w:hint="eastAsia"/>
                <w:b/>
                <w:color w:val="auto"/>
                <w:kern w:val="0"/>
                <w:sz w:val="18"/>
                <w:szCs w:val="18"/>
                <w:highlight w:val="none"/>
              </w:rPr>
            </w:pPr>
            <w:r>
              <w:rPr>
                <w:rFonts w:ascii="宋体" w:eastAsia="宋体" w:hAnsi="宋体" w:cs="Times New Roman"/>
                <w:b/>
                <w:color w:val="auto"/>
                <w:kern w:val="0"/>
                <w:sz w:val="18"/>
                <w:szCs w:val="18"/>
                <w:highlight w:val="none"/>
              </w:rPr>
              <w:t>序号</w:t>
            </w:r>
          </w:p>
        </w:tc>
        <w:tc>
          <w:tcPr>
            <w:tcW w:w="1259" w:type="pct"/>
          </w:tcPr>
          <w:p>
            <w:pPr>
              <w:adjustRightInd w:val="0"/>
              <w:jc w:val="center"/>
              <w:rPr>
                <w:rFonts w:ascii="宋体" w:eastAsia="宋体" w:hAnsi="宋体" w:cs="Times New Roman" w:hint="eastAsia"/>
                <w:b/>
                <w:color w:val="auto"/>
                <w:kern w:val="0"/>
                <w:sz w:val="18"/>
                <w:szCs w:val="18"/>
                <w:highlight w:val="none"/>
              </w:rPr>
            </w:pPr>
            <w:r>
              <w:rPr>
                <w:rFonts w:ascii="宋体" w:eastAsia="宋体" w:hAnsi="宋体" w:cs="Times New Roman"/>
                <w:b/>
                <w:color w:val="auto"/>
                <w:kern w:val="0"/>
                <w:sz w:val="18"/>
                <w:szCs w:val="18"/>
                <w:highlight w:val="none"/>
              </w:rPr>
              <w:t>项目</w:t>
            </w:r>
          </w:p>
        </w:tc>
        <w:tc>
          <w:tcPr>
            <w:tcW w:w="3262" w:type="pct"/>
          </w:tcPr>
          <w:p>
            <w:pPr>
              <w:adjustRightInd w:val="0"/>
              <w:jc w:val="center"/>
              <w:rPr>
                <w:rFonts w:ascii="宋体" w:eastAsia="宋体" w:hAnsi="宋体" w:cs="Times New Roman" w:hint="eastAsia"/>
                <w:b/>
                <w:color w:val="auto"/>
                <w:kern w:val="0"/>
                <w:sz w:val="18"/>
                <w:szCs w:val="18"/>
                <w:highlight w:val="none"/>
              </w:rPr>
            </w:pPr>
            <w:r>
              <w:rPr>
                <w:rFonts w:ascii="宋体" w:eastAsia="宋体" w:hAnsi="宋体" w:cs="Times New Roman" w:hint="eastAsia"/>
                <w:b/>
                <w:color w:val="auto"/>
                <w:kern w:val="0"/>
                <w:sz w:val="18"/>
                <w:szCs w:val="18"/>
                <w:highlight w:val="none"/>
              </w:rPr>
              <w:t>技术服务内容及要求</w:t>
            </w:r>
          </w:p>
        </w:tc>
      </w:tr>
      <w:tr>
        <w:tblPrEx>
          <w:tblW w:w="4247" w:type="pct"/>
          <w:jc w:val="center"/>
          <w:tblLayout w:type="fixed"/>
          <w:tblCellMar>
            <w:top w:w="0" w:type="dxa"/>
            <w:left w:w="108" w:type="dxa"/>
            <w:bottom w:w="0" w:type="dxa"/>
            <w:right w:w="108" w:type="dxa"/>
          </w:tblCellMar>
        </w:tblPrEx>
        <w:trPr>
          <w:jc w:val="center"/>
        </w:trPr>
        <w:tc>
          <w:tcPr>
            <w:tcW w:w="5000" w:type="pct"/>
            <w:gridSpan w:val="3"/>
            <w:vAlign w:val="center"/>
          </w:tcPr>
          <w:p>
            <w:pPr>
              <w:widowControl/>
              <w:jc w:val="left"/>
              <w:rPr>
                <w:rFonts w:ascii="宋体" w:eastAsia="宋体" w:hAnsi="宋体" w:cs="Times New Roman" w:hint="eastAsia"/>
                <w:b/>
                <w:color w:val="auto"/>
                <w:kern w:val="0"/>
                <w:sz w:val="18"/>
                <w:szCs w:val="18"/>
                <w:highlight w:val="none"/>
              </w:rPr>
            </w:pPr>
            <w:r>
              <w:rPr>
                <w:rFonts w:ascii="宋体" w:eastAsia="宋体" w:hAnsi="宋体" w:cs="Times New Roman"/>
                <w:b/>
                <w:bCs/>
                <w:color w:val="auto"/>
                <w:kern w:val="0"/>
                <w:sz w:val="18"/>
                <w:szCs w:val="18"/>
                <w:highlight w:val="none"/>
              </w:rPr>
              <w:t>一、</w:t>
            </w:r>
            <w:r>
              <w:rPr>
                <w:rFonts w:ascii="宋体" w:eastAsia="宋体" w:hAnsi="宋体" w:cs="Times New Roman" w:hint="eastAsia"/>
                <w:b/>
                <w:color w:val="auto"/>
                <w:sz w:val="18"/>
                <w:szCs w:val="18"/>
                <w:highlight w:val="none"/>
              </w:rPr>
              <w:t>高空探测装备出厂测试验收</w:t>
            </w:r>
          </w:p>
        </w:tc>
      </w:tr>
      <w:tr>
        <w:tblPrEx>
          <w:tblW w:w="4247" w:type="pct"/>
          <w:jc w:val="center"/>
          <w:tblLayout w:type="fixed"/>
          <w:tblCellMar>
            <w:top w:w="0" w:type="dxa"/>
            <w:left w:w="108" w:type="dxa"/>
            <w:bottom w:w="0" w:type="dxa"/>
            <w:right w:w="108" w:type="dxa"/>
          </w:tblCellMar>
        </w:tblPrEx>
        <w:trPr>
          <w:jc w:val="center"/>
        </w:trPr>
        <w:tc>
          <w:tcPr>
            <w:tcW w:w="479" w:type="pct"/>
            <w:vAlign w:val="center"/>
          </w:tcPr>
          <w:p>
            <w:pPr>
              <w:widowControl/>
              <w:jc w:val="center"/>
              <w:rPr>
                <w:rFonts w:ascii="宋体" w:eastAsia="宋体" w:hAnsi="宋体" w:cs="Times New Roman" w:hint="eastAsia"/>
                <w:color w:val="auto"/>
                <w:kern w:val="0"/>
                <w:sz w:val="18"/>
                <w:szCs w:val="18"/>
                <w:highlight w:val="none"/>
              </w:rPr>
            </w:pPr>
            <w:r>
              <w:rPr>
                <w:rFonts w:ascii="宋体" w:eastAsia="宋体" w:hAnsi="宋体" w:cs="Times New Roman" w:hint="eastAsia"/>
                <w:color w:val="auto"/>
                <w:kern w:val="0"/>
                <w:sz w:val="18"/>
                <w:szCs w:val="18"/>
                <w:highlight w:val="none"/>
              </w:rPr>
              <w:t>1</w:t>
            </w:r>
          </w:p>
        </w:tc>
        <w:tc>
          <w:tcPr>
            <w:tcW w:w="1259" w:type="pct"/>
            <w:vAlign w:val="center"/>
          </w:tcPr>
          <w:p>
            <w:pPr>
              <w:widowControl/>
              <w:jc w:val="center"/>
              <w:rPr>
                <w:rFonts w:ascii="宋体" w:eastAsia="宋体" w:hAnsi="宋体" w:cs="Times New Roman" w:hint="eastAsia"/>
                <w:color w:val="auto"/>
                <w:kern w:val="0"/>
                <w:sz w:val="18"/>
                <w:szCs w:val="18"/>
                <w:highlight w:val="none"/>
              </w:rPr>
            </w:pPr>
            <w:r>
              <w:rPr>
                <w:rFonts w:ascii="宋体" w:eastAsia="宋体" w:hAnsi="宋体" w:cs="Times New Roman" w:hint="eastAsia"/>
                <w:color w:val="auto"/>
                <w:kern w:val="0"/>
                <w:sz w:val="18"/>
                <w:szCs w:val="18"/>
                <w:highlight w:val="none"/>
              </w:rPr>
              <w:t>卫星导航探空仪出厂测试验收</w:t>
            </w:r>
          </w:p>
        </w:tc>
        <w:tc>
          <w:tcPr>
            <w:tcW w:w="3262" w:type="pct"/>
          </w:tcPr>
          <w:p>
            <w:pPr>
              <w:widowControl/>
              <w:numPr>
                <w:ilvl w:val="0"/>
                <w:numId w:val="4"/>
              </w:numPr>
              <w:jc w:val="left"/>
              <w:rPr>
                <w:rFonts w:ascii="宋体" w:eastAsia="宋体" w:hAnsi="宋体" w:cs="Times New Roman" w:hint="eastAsia"/>
                <w:color w:val="auto"/>
                <w:kern w:val="0"/>
                <w:sz w:val="18"/>
                <w:szCs w:val="18"/>
                <w:highlight w:val="none"/>
              </w:rPr>
            </w:pPr>
            <w:r>
              <w:rPr>
                <w:rFonts w:ascii="宋体" w:eastAsia="宋体" w:hAnsi="宋体" w:cs="Times New Roman" w:hint="eastAsia"/>
                <w:color w:val="auto"/>
                <w:kern w:val="0"/>
                <w:sz w:val="18"/>
                <w:szCs w:val="18"/>
                <w:highlight w:val="none"/>
              </w:rPr>
              <w:t>严格按照《北斗探空系统出厂及现场测试大纲》中的相关要求进行出厂测试验收。</w:t>
            </w:r>
          </w:p>
          <w:p>
            <w:pPr>
              <w:widowControl/>
              <w:numPr>
                <w:ilvl w:val="0"/>
                <w:numId w:val="4"/>
              </w:numPr>
              <w:jc w:val="left"/>
              <w:rPr>
                <w:rFonts w:ascii="宋体" w:eastAsia="宋体" w:hAnsi="宋体" w:cs="Times New Roman" w:hint="eastAsia"/>
                <w:color w:val="auto"/>
                <w:kern w:val="0"/>
                <w:sz w:val="18"/>
                <w:szCs w:val="18"/>
                <w:highlight w:val="none"/>
              </w:rPr>
            </w:pPr>
            <w:r>
              <w:rPr>
                <w:rFonts w:ascii="Times New Roman" w:eastAsia="宋体" w:hAnsi="Times New Roman" w:cs="Times New Roman" w:hint="eastAsia"/>
                <w:color w:val="auto"/>
                <w:kern w:val="0"/>
                <w:sz w:val="18"/>
                <w:szCs w:val="20"/>
                <w:highlight w:val="none"/>
              </w:rPr>
              <w:t>完成不少于80000套的出</w:t>
            </w:r>
            <w:r>
              <w:rPr>
                <w:rFonts w:ascii="宋体" w:eastAsia="宋体" w:hAnsi="宋体" w:cs="Times New Roman" w:hint="eastAsia"/>
                <w:color w:val="auto"/>
                <w:kern w:val="0"/>
                <w:sz w:val="18"/>
                <w:szCs w:val="18"/>
                <w:highlight w:val="none"/>
              </w:rPr>
              <w:t>厂测试验收，形成验收报告。</w:t>
            </w:r>
          </w:p>
          <w:p>
            <w:pPr>
              <w:widowControl/>
              <w:numPr>
                <w:ilvl w:val="0"/>
                <w:numId w:val="4"/>
              </w:numPr>
              <w:jc w:val="left"/>
              <w:rPr>
                <w:rFonts w:ascii="宋体" w:eastAsia="宋体" w:hAnsi="宋体" w:cs="Times New Roman" w:hint="eastAsia"/>
                <w:color w:val="auto"/>
                <w:kern w:val="0"/>
                <w:sz w:val="18"/>
                <w:szCs w:val="18"/>
                <w:highlight w:val="none"/>
              </w:rPr>
            </w:pPr>
            <w:r>
              <w:rPr>
                <w:rFonts w:ascii="宋体" w:eastAsia="宋体" w:hAnsi="宋体" w:cs="Times New Roman" w:hint="eastAsia"/>
                <w:color w:val="auto"/>
                <w:kern w:val="0"/>
                <w:sz w:val="18"/>
                <w:szCs w:val="18"/>
                <w:highlight w:val="none"/>
              </w:rPr>
              <w:t>对气象台站的使用情况进行质量跟踪调查。分地域遴选不少于4个台站，了解其质量故障情况，形成质量跟踪调查报告。</w:t>
            </w:r>
          </w:p>
        </w:tc>
      </w:tr>
      <w:tr>
        <w:tblPrEx>
          <w:tblW w:w="4247" w:type="pct"/>
          <w:jc w:val="center"/>
          <w:tblLayout w:type="fixed"/>
          <w:tblCellMar>
            <w:top w:w="0" w:type="dxa"/>
            <w:left w:w="108" w:type="dxa"/>
            <w:bottom w:w="0" w:type="dxa"/>
            <w:right w:w="108" w:type="dxa"/>
          </w:tblCellMar>
        </w:tblPrEx>
        <w:trPr>
          <w:jc w:val="center"/>
        </w:trPr>
        <w:tc>
          <w:tcPr>
            <w:tcW w:w="479" w:type="pct"/>
            <w:vAlign w:val="center"/>
          </w:tcPr>
          <w:p>
            <w:pPr>
              <w:widowControl/>
              <w:jc w:val="center"/>
              <w:rPr>
                <w:rFonts w:ascii="宋体" w:eastAsia="宋体" w:hAnsi="宋体" w:cs="Times New Roman" w:hint="eastAsia"/>
                <w:color w:val="auto"/>
                <w:kern w:val="0"/>
                <w:sz w:val="18"/>
                <w:szCs w:val="18"/>
                <w:highlight w:val="none"/>
              </w:rPr>
            </w:pPr>
            <w:r>
              <w:rPr>
                <w:rFonts w:ascii="宋体" w:eastAsia="宋体" w:hAnsi="宋体" w:cs="Times New Roman" w:hint="eastAsia"/>
                <w:color w:val="auto"/>
                <w:kern w:val="0"/>
                <w:sz w:val="18"/>
                <w:szCs w:val="18"/>
                <w:highlight w:val="none"/>
              </w:rPr>
              <w:t>2</w:t>
            </w:r>
          </w:p>
        </w:tc>
        <w:tc>
          <w:tcPr>
            <w:tcW w:w="1259" w:type="pct"/>
            <w:vAlign w:val="center"/>
          </w:tcPr>
          <w:p>
            <w:pPr>
              <w:widowControl/>
              <w:jc w:val="center"/>
              <w:rPr>
                <w:rFonts w:ascii="宋体" w:eastAsia="宋体" w:hAnsi="宋体" w:cs="Times New Roman" w:hint="eastAsia"/>
                <w:color w:val="auto"/>
                <w:kern w:val="0"/>
                <w:sz w:val="18"/>
                <w:szCs w:val="18"/>
                <w:highlight w:val="none"/>
              </w:rPr>
            </w:pPr>
            <w:r>
              <w:rPr>
                <w:rFonts w:ascii="宋体" w:eastAsia="宋体" w:hAnsi="宋体" w:cs="Times New Roman" w:hint="eastAsia"/>
                <w:color w:val="auto"/>
                <w:kern w:val="0"/>
                <w:sz w:val="18"/>
                <w:szCs w:val="18"/>
                <w:highlight w:val="none"/>
              </w:rPr>
              <w:t>卫星导航探空地面装备出厂测试验收</w:t>
            </w:r>
          </w:p>
        </w:tc>
        <w:tc>
          <w:tcPr>
            <w:tcW w:w="3262" w:type="pct"/>
          </w:tcPr>
          <w:p>
            <w:pPr>
              <w:widowControl w:val="0"/>
              <w:numPr>
                <w:ilvl w:val="0"/>
                <w:numId w:val="0"/>
              </w:numPr>
              <w:ind w:left="0" w:firstLine="0"/>
              <w:jc w:val="both"/>
              <w:rPr>
                <w:rFonts w:ascii="宋体" w:eastAsia="宋体" w:hAnsi="宋体" w:cs="Times New Roman" w:hint="eastAsia"/>
                <w:color w:val="auto"/>
                <w:kern w:val="0"/>
                <w:sz w:val="18"/>
                <w:szCs w:val="18"/>
                <w:highlight w:val="none"/>
              </w:rPr>
            </w:pPr>
            <w:r>
              <w:rPr>
                <w:rFonts w:ascii="宋体" w:eastAsia="宋体" w:hAnsi="宋体" w:cs="Times New Roman" w:hint="eastAsia"/>
                <w:color w:val="auto"/>
                <w:sz w:val="18"/>
                <w:szCs w:val="18"/>
                <w:highlight w:val="none"/>
              </w:rPr>
              <w:t>1.严格按照</w:t>
            </w:r>
            <w:r>
              <w:rPr>
                <w:rFonts w:ascii="宋体" w:eastAsia="宋体" w:hAnsi="宋体" w:cs="Times New Roman" w:hint="eastAsia"/>
                <w:color w:val="auto"/>
                <w:kern w:val="0"/>
                <w:sz w:val="18"/>
                <w:szCs w:val="18"/>
                <w:highlight w:val="none"/>
              </w:rPr>
              <w:t>《北斗探空系统出厂及现场测试大纲》中的相关要求进行出厂测试验收。</w:t>
            </w:r>
          </w:p>
          <w:p>
            <w:pPr>
              <w:widowControl w:val="0"/>
              <w:numPr>
                <w:ilvl w:val="0"/>
                <w:numId w:val="0"/>
              </w:numPr>
              <w:ind w:left="0" w:firstLine="0"/>
              <w:jc w:val="both"/>
              <w:rPr>
                <w:rFonts w:ascii="宋体" w:eastAsia="宋体" w:hAnsi="宋体" w:cs="Times New Roman" w:hint="eastAsia"/>
                <w:color w:val="auto"/>
                <w:sz w:val="18"/>
                <w:szCs w:val="18"/>
                <w:highlight w:val="none"/>
              </w:rPr>
            </w:pPr>
            <w:r>
              <w:rPr>
                <w:rFonts w:ascii="宋体" w:eastAsia="宋体" w:hAnsi="宋体" w:cs="Times New Roman" w:hint="eastAsia"/>
                <w:color w:val="auto"/>
                <w:kern w:val="0"/>
                <w:sz w:val="18"/>
                <w:szCs w:val="18"/>
                <w:highlight w:val="none"/>
              </w:rPr>
              <w:t>2.完成不少于100台（套）装备的逐</w:t>
            </w:r>
            <w:r>
              <w:rPr>
                <w:rFonts w:ascii="宋体" w:eastAsia="宋体" w:hAnsi="宋体" w:cs="Times New Roman" w:hint="eastAsia"/>
                <w:color w:val="auto"/>
                <w:sz w:val="18"/>
                <w:szCs w:val="18"/>
                <w:highlight w:val="none"/>
              </w:rPr>
              <w:t>台出厂测试验收，形成验收报告。</w:t>
            </w:r>
          </w:p>
        </w:tc>
      </w:tr>
      <w:tr>
        <w:tblPrEx>
          <w:tblW w:w="4247" w:type="pct"/>
          <w:jc w:val="center"/>
          <w:tblLayout w:type="fixed"/>
          <w:tblCellMar>
            <w:top w:w="0" w:type="dxa"/>
            <w:left w:w="108" w:type="dxa"/>
            <w:bottom w:w="0" w:type="dxa"/>
            <w:right w:w="108" w:type="dxa"/>
          </w:tblCellMar>
        </w:tblPrEx>
        <w:trPr>
          <w:jc w:val="center"/>
        </w:trPr>
        <w:tc>
          <w:tcPr>
            <w:tcW w:w="479" w:type="pct"/>
            <w:vAlign w:val="center"/>
          </w:tcPr>
          <w:p>
            <w:pPr>
              <w:widowControl/>
              <w:jc w:val="center"/>
              <w:rPr>
                <w:rFonts w:ascii="宋体" w:eastAsia="宋体" w:hAnsi="宋体" w:cs="Times New Roman" w:hint="eastAsia"/>
                <w:color w:val="auto"/>
                <w:kern w:val="0"/>
                <w:sz w:val="18"/>
                <w:szCs w:val="18"/>
                <w:highlight w:val="none"/>
              </w:rPr>
            </w:pPr>
            <w:r>
              <w:rPr>
                <w:rFonts w:ascii="宋体" w:eastAsia="宋体" w:hAnsi="宋体" w:cs="Times New Roman" w:hint="eastAsia"/>
                <w:color w:val="auto"/>
                <w:kern w:val="0"/>
                <w:sz w:val="18"/>
                <w:szCs w:val="18"/>
                <w:highlight w:val="none"/>
              </w:rPr>
              <w:t>3</w:t>
            </w:r>
          </w:p>
        </w:tc>
        <w:tc>
          <w:tcPr>
            <w:tcW w:w="1259" w:type="pct"/>
            <w:vAlign w:val="center"/>
          </w:tcPr>
          <w:p>
            <w:pPr>
              <w:rPr>
                <w:rFonts w:ascii="宋体" w:eastAsia="宋体" w:hAnsi="宋体" w:cs="Times New Roman" w:hint="eastAsia"/>
                <w:color w:val="auto"/>
                <w:sz w:val="18"/>
                <w:szCs w:val="18"/>
                <w:highlight w:val="none"/>
              </w:rPr>
            </w:pPr>
            <w:r>
              <w:rPr>
                <w:rFonts w:ascii="宋体" w:eastAsia="宋体" w:hAnsi="宋体" w:cs="Times New Roman" w:hint="eastAsia"/>
                <w:color w:val="auto"/>
                <w:sz w:val="18"/>
                <w:szCs w:val="18"/>
                <w:highlight w:val="none"/>
              </w:rPr>
              <w:t>气象气球</w:t>
            </w:r>
            <w:r>
              <w:rPr>
                <w:rFonts w:ascii="宋体" w:eastAsia="宋体" w:hAnsi="宋体" w:cs="Times New Roman" w:hint="eastAsia"/>
                <w:color w:val="auto"/>
                <w:kern w:val="0"/>
                <w:sz w:val="18"/>
                <w:szCs w:val="18"/>
                <w:highlight w:val="none"/>
              </w:rPr>
              <w:t>出厂测试验收</w:t>
            </w:r>
          </w:p>
        </w:tc>
        <w:tc>
          <w:tcPr>
            <w:tcW w:w="3262" w:type="pct"/>
          </w:tcPr>
          <w:p>
            <w:pPr>
              <w:widowControl w:val="0"/>
              <w:numPr>
                <w:ilvl w:val="0"/>
                <w:numId w:val="0"/>
              </w:numPr>
              <w:ind w:left="0" w:firstLine="0"/>
              <w:jc w:val="both"/>
              <w:rPr>
                <w:rFonts w:ascii="宋体" w:eastAsia="宋体" w:hAnsi="宋体" w:cs="Times New Roman" w:hint="eastAsia"/>
                <w:color w:val="auto"/>
                <w:sz w:val="18"/>
                <w:szCs w:val="18"/>
                <w:highlight w:val="none"/>
              </w:rPr>
            </w:pPr>
            <w:r>
              <w:rPr>
                <w:rFonts w:ascii="宋体" w:eastAsia="宋体" w:hAnsi="宋体" w:cs="Times New Roman" w:hint="eastAsia"/>
                <w:color w:val="auto"/>
                <w:sz w:val="18"/>
                <w:szCs w:val="18"/>
                <w:highlight w:val="none"/>
              </w:rPr>
              <w:t>1.根据《气象气球 浸渍法天然胶乳气球》(QX /T</w:t>
            </w:r>
            <w:r>
              <w:rPr>
                <w:rFonts w:ascii="宋体" w:eastAsia="宋体" w:hAnsi="宋体" w:cs="Times New Roman"/>
                <w:color w:val="auto"/>
                <w:sz w:val="18"/>
                <w:szCs w:val="18"/>
                <w:highlight w:val="none"/>
              </w:rPr>
              <w:t xml:space="preserve"> 222</w:t>
            </w:r>
            <w:r>
              <w:rPr>
                <w:rFonts w:ascii="宋体" w:eastAsia="宋体" w:hAnsi="宋体" w:cs="Times New Roman" w:hint="eastAsia"/>
                <w:color w:val="auto"/>
                <w:sz w:val="18"/>
                <w:szCs w:val="18"/>
                <w:highlight w:val="none"/>
              </w:rPr>
              <w:t xml:space="preserve"> - 20</w:t>
            </w:r>
            <w:r>
              <w:rPr>
                <w:rFonts w:ascii="宋体" w:eastAsia="宋体" w:hAnsi="宋体" w:cs="Times New Roman"/>
                <w:color w:val="auto"/>
                <w:sz w:val="18"/>
                <w:szCs w:val="18"/>
                <w:highlight w:val="none"/>
              </w:rPr>
              <w:t>13</w:t>
            </w:r>
            <w:r>
              <w:rPr>
                <w:rFonts w:ascii="宋体" w:eastAsia="宋体" w:hAnsi="宋体" w:cs="Times New Roman" w:hint="eastAsia"/>
                <w:color w:val="auto"/>
                <w:sz w:val="18"/>
                <w:szCs w:val="18"/>
                <w:highlight w:val="none"/>
              </w:rPr>
              <w:t>)中的相关标准，乙方统一安排</w:t>
            </w:r>
            <w:r>
              <w:rPr>
                <w:rFonts w:ascii="宋体" w:eastAsia="宋体" w:hAnsi="宋体" w:cs="Times New Roman"/>
                <w:color w:val="auto"/>
                <w:sz w:val="18"/>
                <w:szCs w:val="18"/>
                <w:highlight w:val="none"/>
              </w:rPr>
              <w:t>202</w:t>
            </w:r>
            <w:r>
              <w:rPr>
                <w:rFonts w:ascii="宋体" w:eastAsia="宋体" w:hAnsi="宋体" w:cs="Times New Roman" w:hint="eastAsia"/>
                <w:color w:val="auto"/>
                <w:sz w:val="18"/>
                <w:szCs w:val="18"/>
                <w:highlight w:val="none"/>
              </w:rPr>
              <w:t>6年度各种探空气球驻厂测试验收工作并出具验收报告</w:t>
            </w:r>
            <w:r>
              <w:rPr>
                <w:rFonts w:ascii="宋体" w:eastAsia="宋体" w:hAnsi="宋体" w:cs="Times New Roman" w:hint="eastAsia"/>
                <w:color w:val="auto"/>
                <w:kern w:val="0"/>
                <w:sz w:val="18"/>
                <w:szCs w:val="18"/>
                <w:highlight w:val="none"/>
              </w:rPr>
              <w:t>。</w:t>
            </w:r>
          </w:p>
          <w:p>
            <w:pPr>
              <w:numPr>
                <w:ilvl w:val="0"/>
                <w:numId w:val="0"/>
              </w:numPr>
              <w:ind w:left="0" w:firstLine="0"/>
              <w:rPr>
                <w:rFonts w:ascii="宋体" w:eastAsia="宋体" w:hAnsi="宋体" w:cs="Times New Roman" w:hint="eastAsia"/>
                <w:color w:val="auto"/>
                <w:sz w:val="18"/>
                <w:szCs w:val="18"/>
                <w:highlight w:val="none"/>
              </w:rPr>
            </w:pPr>
            <w:r>
              <w:rPr>
                <w:rFonts w:ascii="宋体" w:eastAsia="宋体" w:hAnsi="宋体" w:cs="Times New Roman" w:hint="eastAsia"/>
                <w:color w:val="auto"/>
                <w:sz w:val="18"/>
                <w:szCs w:val="18"/>
                <w:highlight w:val="none"/>
              </w:rPr>
              <w:t>2.气象气球规格有：3</w:t>
            </w:r>
            <w:r>
              <w:rPr>
                <w:rFonts w:ascii="宋体" w:eastAsia="宋体" w:hAnsi="宋体" w:cs="Times New Roman"/>
                <w:color w:val="auto"/>
                <w:sz w:val="18"/>
                <w:szCs w:val="18"/>
                <w:highlight w:val="none"/>
              </w:rPr>
              <w:t>0</w:t>
            </w:r>
            <w:r>
              <w:rPr>
                <w:rFonts w:ascii="宋体" w:eastAsia="宋体" w:hAnsi="宋体" w:cs="Times New Roman" w:hint="eastAsia"/>
                <w:color w:val="auto"/>
                <w:sz w:val="18"/>
                <w:szCs w:val="18"/>
                <w:highlight w:val="none"/>
              </w:rPr>
              <w:t>g</w:t>
            </w:r>
            <w:r>
              <w:rPr>
                <w:rFonts w:ascii="宋体" w:eastAsia="宋体" w:hAnsi="宋体" w:cs="Times New Roman"/>
                <w:color w:val="auto"/>
                <w:sz w:val="18"/>
                <w:szCs w:val="18"/>
                <w:highlight w:val="none"/>
              </w:rPr>
              <w:t xml:space="preserve"> 300</w:t>
            </w:r>
            <w:r>
              <w:rPr>
                <w:rFonts w:ascii="宋体" w:eastAsia="宋体" w:hAnsi="宋体" w:cs="Times New Roman" w:hint="eastAsia"/>
                <w:color w:val="auto"/>
                <w:sz w:val="18"/>
                <w:szCs w:val="18"/>
                <w:highlight w:val="none"/>
              </w:rPr>
              <w:t>g</w:t>
            </w:r>
            <w:r>
              <w:rPr>
                <w:rFonts w:ascii="宋体" w:eastAsia="宋体" w:hAnsi="宋体" w:cs="Times New Roman"/>
                <w:color w:val="auto"/>
                <w:sz w:val="18"/>
                <w:szCs w:val="18"/>
                <w:highlight w:val="none"/>
              </w:rPr>
              <w:t xml:space="preserve"> 750</w:t>
            </w:r>
            <w:r>
              <w:rPr>
                <w:rFonts w:ascii="宋体" w:eastAsia="宋体" w:hAnsi="宋体" w:cs="Times New Roman" w:hint="eastAsia"/>
                <w:color w:val="auto"/>
                <w:sz w:val="18"/>
                <w:szCs w:val="18"/>
                <w:highlight w:val="none"/>
              </w:rPr>
              <w:t>g</w:t>
            </w:r>
            <w:r>
              <w:rPr>
                <w:rFonts w:ascii="宋体" w:eastAsia="宋体" w:hAnsi="宋体" w:cs="Times New Roman"/>
                <w:color w:val="auto"/>
                <w:sz w:val="18"/>
                <w:szCs w:val="18"/>
                <w:highlight w:val="none"/>
              </w:rPr>
              <w:t xml:space="preserve"> 800</w:t>
            </w:r>
            <w:r>
              <w:rPr>
                <w:rFonts w:ascii="宋体" w:eastAsia="宋体" w:hAnsi="宋体" w:cs="Times New Roman" w:hint="eastAsia"/>
                <w:color w:val="auto"/>
                <w:sz w:val="18"/>
                <w:szCs w:val="18"/>
                <w:highlight w:val="none"/>
              </w:rPr>
              <w:t>g</w:t>
            </w:r>
            <w:r>
              <w:rPr>
                <w:rFonts w:ascii="宋体" w:eastAsia="宋体" w:hAnsi="宋体" w:cs="Times New Roman"/>
                <w:color w:val="auto"/>
                <w:sz w:val="18"/>
                <w:szCs w:val="18"/>
                <w:highlight w:val="none"/>
              </w:rPr>
              <w:t xml:space="preserve"> 1600</w:t>
            </w:r>
            <w:r>
              <w:rPr>
                <w:rFonts w:ascii="宋体" w:eastAsia="宋体" w:hAnsi="宋体" w:cs="Times New Roman" w:hint="eastAsia"/>
                <w:color w:val="auto"/>
                <w:sz w:val="18"/>
                <w:szCs w:val="18"/>
                <w:highlight w:val="none"/>
              </w:rPr>
              <w:t>g</w:t>
            </w:r>
            <w:r>
              <w:rPr>
                <w:rFonts w:ascii="宋体" w:eastAsia="宋体" w:hAnsi="宋体" w:cs="Times New Roman"/>
                <w:color w:val="auto"/>
                <w:sz w:val="18"/>
                <w:szCs w:val="18"/>
                <w:highlight w:val="none"/>
              </w:rPr>
              <w:t xml:space="preserve"> 2000</w:t>
            </w:r>
            <w:r>
              <w:rPr>
                <w:rFonts w:ascii="宋体" w:eastAsia="宋体" w:hAnsi="宋体" w:cs="Times New Roman" w:hint="eastAsia"/>
                <w:color w:val="auto"/>
                <w:sz w:val="18"/>
                <w:szCs w:val="18"/>
                <w:highlight w:val="none"/>
              </w:rPr>
              <w:t>g 双模气球。</w:t>
            </w:r>
          </w:p>
          <w:p>
            <w:pPr>
              <w:numPr>
                <w:ilvl w:val="0"/>
                <w:numId w:val="0"/>
              </w:numPr>
              <w:ind w:left="0" w:firstLine="0"/>
              <w:rPr>
                <w:rFonts w:ascii="宋体" w:eastAsia="宋体" w:hAnsi="宋体" w:cs="Times New Roman" w:hint="eastAsia"/>
                <w:color w:val="auto"/>
                <w:sz w:val="18"/>
                <w:szCs w:val="18"/>
                <w:highlight w:val="none"/>
              </w:rPr>
            </w:pPr>
            <w:r>
              <w:rPr>
                <w:rFonts w:ascii="宋体" w:eastAsia="宋体" w:hAnsi="宋体" w:cs="Times New Roman" w:hint="eastAsia"/>
                <w:color w:val="auto"/>
                <w:sz w:val="18"/>
                <w:szCs w:val="18"/>
                <w:highlight w:val="none"/>
              </w:rPr>
              <w:t>3.完成不少于100000个气球的出厂测试。</w:t>
            </w:r>
          </w:p>
          <w:p>
            <w:pPr>
              <w:numPr>
                <w:ilvl w:val="0"/>
                <w:numId w:val="0"/>
              </w:numPr>
              <w:ind w:left="0" w:firstLine="0"/>
              <w:rPr>
                <w:rFonts w:ascii="宋体" w:eastAsia="宋体" w:hAnsi="宋体" w:cs="Times New Roman" w:hint="eastAsia"/>
                <w:color w:val="auto"/>
                <w:sz w:val="18"/>
                <w:szCs w:val="18"/>
                <w:highlight w:val="none"/>
              </w:rPr>
            </w:pPr>
            <w:r>
              <w:rPr>
                <w:rFonts w:ascii="宋体" w:eastAsia="宋体" w:hAnsi="宋体" w:cs="Times New Roman" w:hint="eastAsia"/>
                <w:color w:val="auto"/>
                <w:kern w:val="0"/>
                <w:sz w:val="18"/>
                <w:szCs w:val="18"/>
                <w:highlight w:val="none"/>
              </w:rPr>
              <w:t>4.分地域遴选不</w:t>
            </w:r>
            <w:r>
              <w:rPr>
                <w:rFonts w:ascii="Times New Roman" w:eastAsia="宋体" w:hAnsi="Times New Roman" w:cs="Times New Roman" w:hint="eastAsia"/>
                <w:color w:val="auto"/>
                <w:kern w:val="2"/>
                <w:sz w:val="18"/>
                <w:szCs w:val="15"/>
                <w:highlight w:val="none"/>
              </w:rPr>
              <w:t>少于</w:t>
            </w:r>
            <w:r>
              <w:rPr>
                <w:rFonts w:ascii="Times New Roman" w:eastAsia="宋体" w:hAnsi="Times New Roman" w:cs="Times New Roman" w:hint="eastAsia"/>
                <w:color w:val="auto"/>
                <w:sz w:val="18"/>
                <w:szCs w:val="15"/>
                <w:highlight w:val="none"/>
              </w:rPr>
              <w:t>4</w:t>
            </w:r>
            <w:r>
              <w:rPr>
                <w:rFonts w:ascii="Times New Roman" w:eastAsia="宋体" w:hAnsi="Times New Roman" w:cs="Times New Roman" w:hint="eastAsia"/>
                <w:color w:val="auto"/>
                <w:kern w:val="2"/>
                <w:sz w:val="18"/>
                <w:szCs w:val="15"/>
                <w:highlight w:val="none"/>
              </w:rPr>
              <w:t>个台站</w:t>
            </w:r>
            <w:r>
              <w:rPr>
                <w:rFonts w:ascii="宋体" w:eastAsia="宋体" w:hAnsi="宋体" w:cs="Times New Roman" w:hint="eastAsia"/>
                <w:color w:val="auto"/>
                <w:kern w:val="0"/>
                <w:sz w:val="18"/>
                <w:szCs w:val="18"/>
                <w:highlight w:val="none"/>
              </w:rPr>
              <w:t>，了解气象气球使用情况，形成质量跟踪调查报告。</w:t>
            </w:r>
          </w:p>
        </w:tc>
      </w:tr>
      <w:tr>
        <w:tblPrEx>
          <w:tblW w:w="4247" w:type="pct"/>
          <w:jc w:val="center"/>
          <w:tblLayout w:type="fixed"/>
          <w:tblCellMar>
            <w:top w:w="0" w:type="dxa"/>
            <w:left w:w="108" w:type="dxa"/>
            <w:bottom w:w="0" w:type="dxa"/>
            <w:right w:w="108" w:type="dxa"/>
          </w:tblCellMar>
        </w:tblPrEx>
        <w:trPr>
          <w:jc w:val="center"/>
        </w:trPr>
        <w:tc>
          <w:tcPr>
            <w:tcW w:w="5000" w:type="pct"/>
            <w:gridSpan w:val="3"/>
            <w:vAlign w:val="center"/>
          </w:tcPr>
          <w:p>
            <w:pPr>
              <w:rPr>
                <w:rFonts w:ascii="宋体" w:eastAsia="宋体" w:hAnsi="宋体" w:cs="Times New Roman" w:hint="eastAsia"/>
                <w:b/>
                <w:bCs/>
                <w:color w:val="auto"/>
                <w:kern w:val="0"/>
                <w:sz w:val="18"/>
                <w:szCs w:val="18"/>
                <w:highlight w:val="none"/>
              </w:rPr>
            </w:pPr>
            <w:r>
              <w:rPr>
                <w:rFonts w:ascii="宋体" w:eastAsia="宋体" w:hAnsi="宋体" w:cs="Times New Roman" w:hint="eastAsia"/>
                <w:b/>
                <w:bCs/>
                <w:color w:val="auto"/>
                <w:kern w:val="0"/>
                <w:sz w:val="18"/>
                <w:szCs w:val="18"/>
                <w:highlight w:val="none"/>
              </w:rPr>
              <w:t>二、</w:t>
            </w:r>
            <w:r>
              <w:rPr>
                <w:rFonts w:ascii="宋体" w:eastAsia="宋体" w:hAnsi="宋体" w:cs="Times New Roman" w:hint="eastAsia"/>
                <w:b/>
                <w:color w:val="auto"/>
                <w:sz w:val="18"/>
                <w:szCs w:val="18"/>
                <w:highlight w:val="none"/>
              </w:rPr>
              <w:t>实验室运行保障技术服务</w:t>
            </w:r>
          </w:p>
        </w:tc>
      </w:tr>
      <w:tr>
        <w:tblPrEx>
          <w:tblW w:w="4247" w:type="pct"/>
          <w:jc w:val="center"/>
          <w:tblLayout w:type="fixed"/>
          <w:tblCellMar>
            <w:top w:w="0" w:type="dxa"/>
            <w:left w:w="108" w:type="dxa"/>
            <w:bottom w:w="0" w:type="dxa"/>
            <w:right w:w="108" w:type="dxa"/>
          </w:tblCellMar>
        </w:tblPrEx>
        <w:trPr>
          <w:trHeight w:val="2533"/>
          <w:jc w:val="center"/>
        </w:trPr>
        <w:tc>
          <w:tcPr>
            <w:tcW w:w="479" w:type="pct"/>
            <w:vAlign w:val="center"/>
          </w:tcPr>
          <w:p>
            <w:pPr>
              <w:widowControl/>
              <w:jc w:val="center"/>
              <w:rPr>
                <w:rFonts w:ascii="宋体" w:eastAsia="宋体" w:hAnsi="宋体" w:cs="Times New Roman" w:hint="eastAsia"/>
                <w:color w:val="auto"/>
                <w:kern w:val="0"/>
                <w:sz w:val="18"/>
                <w:szCs w:val="18"/>
                <w:highlight w:val="none"/>
              </w:rPr>
            </w:pPr>
            <w:r>
              <w:rPr>
                <w:rFonts w:ascii="宋体" w:eastAsia="宋体" w:hAnsi="宋体" w:cs="Times New Roman" w:hint="eastAsia"/>
                <w:color w:val="auto"/>
                <w:kern w:val="0"/>
                <w:sz w:val="18"/>
                <w:szCs w:val="18"/>
                <w:highlight w:val="none"/>
              </w:rPr>
              <w:t>1</w:t>
            </w:r>
          </w:p>
        </w:tc>
        <w:tc>
          <w:tcPr>
            <w:tcW w:w="1259" w:type="pct"/>
            <w:vAlign w:val="center"/>
          </w:tcPr>
          <w:p>
            <w:pPr>
              <w:rPr>
                <w:rFonts w:ascii="宋体" w:eastAsia="宋体" w:hAnsi="宋体" w:cs="Times New Roman" w:hint="eastAsia"/>
                <w:color w:val="auto"/>
                <w:sz w:val="18"/>
                <w:szCs w:val="18"/>
                <w:highlight w:val="none"/>
              </w:rPr>
            </w:pPr>
            <w:r>
              <w:rPr>
                <w:rFonts w:ascii="Times New Roman" w:eastAsia="宋体" w:hAnsi="宋体" w:cs="Times New Roman" w:hint="eastAsia"/>
                <w:color w:val="auto"/>
                <w:kern w:val="0"/>
                <w:sz w:val="18"/>
                <w:szCs w:val="18"/>
                <w:highlight w:val="none"/>
              </w:rPr>
              <w:t>探空仪质量检测实验室运行维护</w:t>
            </w:r>
          </w:p>
        </w:tc>
        <w:tc>
          <w:tcPr>
            <w:tcW w:w="3262" w:type="pct"/>
            <w:vAlign w:val="center"/>
          </w:tcPr>
          <w:p>
            <w:pPr>
              <w:numPr>
                <w:ilvl w:val="0"/>
                <w:numId w:val="5"/>
              </w:numPr>
              <w:spacing w:line="300" w:lineRule="exact"/>
              <w:rPr>
                <w:rFonts w:ascii="Times New Roman" w:eastAsia="宋体" w:hAnsi="宋体" w:cs="Times New Roman" w:hint="eastAsia"/>
                <w:color w:val="auto"/>
                <w:kern w:val="0"/>
                <w:sz w:val="18"/>
                <w:szCs w:val="18"/>
                <w:highlight w:val="none"/>
              </w:rPr>
            </w:pPr>
            <w:r>
              <w:rPr>
                <w:rFonts w:ascii="Times New Roman" w:eastAsia="宋体" w:hAnsi="宋体" w:cs="Times New Roman" w:hint="eastAsia"/>
                <w:color w:val="auto"/>
                <w:kern w:val="0"/>
                <w:sz w:val="18"/>
                <w:szCs w:val="18"/>
                <w:highlight w:val="none"/>
              </w:rPr>
              <w:t>严格按照CNAS实验室管理要求对实验室设备目录上的仪器设备（不少于30台），开展</w:t>
            </w:r>
            <w:r>
              <w:rPr>
                <w:rFonts w:ascii="Times New Roman" w:eastAsia="宋体" w:hAnsi="Times New Roman" w:cs="Times New Roman" w:hint="eastAsia"/>
                <w:color w:val="auto"/>
                <w:kern w:val="0"/>
                <w:sz w:val="18"/>
                <w:szCs w:val="20"/>
                <w:highlight w:val="none"/>
              </w:rPr>
              <w:t>每月至少1次</w:t>
            </w:r>
            <w:r>
              <w:rPr>
                <w:rFonts w:ascii="Times New Roman" w:eastAsia="宋体" w:hAnsi="宋体" w:cs="Times New Roman" w:hint="eastAsia"/>
                <w:color w:val="auto"/>
                <w:kern w:val="0"/>
                <w:sz w:val="18"/>
                <w:szCs w:val="18"/>
                <w:highlight w:val="none"/>
              </w:rPr>
              <w:t>维护及维修、及时送检</w:t>
            </w:r>
            <w:r>
              <w:rPr>
                <w:rFonts w:ascii="Times New Roman" w:eastAsia="宋体" w:hAnsi="宋体" w:cs="Times New Roman" w:hint="eastAsia"/>
                <w:color w:val="auto"/>
                <w:kern w:val="0"/>
                <w:sz w:val="18"/>
                <w:szCs w:val="18"/>
                <w:highlight w:val="none"/>
                <w:lang w:val="en-US" w:eastAsia="zh-CN"/>
              </w:rPr>
              <w:t>，服务期内累计开展运维服务不少于 3 次</w:t>
            </w:r>
            <w:r>
              <w:rPr>
                <w:rFonts w:ascii="Times New Roman" w:eastAsia="宋体" w:hAnsi="宋体" w:cs="Times New Roman" w:hint="eastAsia"/>
                <w:color w:val="auto"/>
                <w:kern w:val="0"/>
                <w:sz w:val="18"/>
                <w:szCs w:val="18"/>
                <w:highlight w:val="none"/>
              </w:rPr>
              <w:t>。</w:t>
            </w:r>
          </w:p>
          <w:p>
            <w:pPr>
              <w:numPr>
                <w:ilvl w:val="0"/>
                <w:numId w:val="5"/>
              </w:numPr>
              <w:spacing w:line="300" w:lineRule="exact"/>
              <w:rPr>
                <w:rFonts w:ascii="Times New Roman" w:eastAsia="宋体" w:hAnsi="Times New Roman" w:cs="Times New Roman"/>
                <w:color w:val="auto"/>
                <w:kern w:val="0"/>
                <w:sz w:val="18"/>
                <w:szCs w:val="18"/>
                <w:highlight w:val="none"/>
              </w:rPr>
            </w:pPr>
            <w:r>
              <w:rPr>
                <w:rFonts w:ascii="Times New Roman" w:eastAsia="宋体" w:hAnsi="Times New Roman" w:cs="Times New Roman"/>
                <w:color w:val="auto"/>
                <w:kern w:val="0"/>
                <w:sz w:val="18"/>
                <w:szCs w:val="18"/>
                <w:highlight w:val="none"/>
              </w:rPr>
              <w:t>严格按照</w:t>
            </w:r>
            <w:r>
              <w:rPr>
                <w:rFonts w:ascii="Times New Roman" w:eastAsia="宋体" w:hAnsi="Times New Roman" w:cs="Times New Roman" w:hint="eastAsia"/>
                <w:color w:val="auto"/>
                <w:kern w:val="0"/>
                <w:sz w:val="18"/>
                <w:szCs w:val="18"/>
                <w:highlight w:val="none"/>
              </w:rPr>
              <w:t>《实验室安全管理规范》，对实验室外部环境，内部环境进行管理维护，保证实验室安全运转。</w:t>
            </w:r>
          </w:p>
          <w:p>
            <w:pPr>
              <w:numPr>
                <w:ilvl w:val="0"/>
                <w:numId w:val="5"/>
              </w:numPr>
              <w:spacing w:line="300" w:lineRule="exact"/>
              <w:rPr>
                <w:rFonts w:ascii="Times New Roman" w:eastAsia="宋体" w:hAnsi="Times New Roman" w:cs="Times New Roman"/>
                <w:color w:val="auto"/>
                <w:kern w:val="0"/>
                <w:sz w:val="18"/>
                <w:szCs w:val="18"/>
                <w:highlight w:val="none"/>
              </w:rPr>
            </w:pPr>
            <w:r>
              <w:rPr>
                <w:rFonts w:ascii="Times New Roman" w:eastAsia="宋体" w:hAnsi="Times New Roman" w:cs="Times New Roman" w:hint="eastAsia"/>
                <w:color w:val="auto"/>
                <w:kern w:val="0"/>
                <w:sz w:val="18"/>
                <w:szCs w:val="18"/>
                <w:highlight w:val="none"/>
              </w:rPr>
              <w:t>严格按照相关规定，对实验室数据库定期进行管理维护，保证数据安全，数据库运行稳定。</w:t>
            </w:r>
          </w:p>
          <w:p>
            <w:pPr>
              <w:numPr>
                <w:ilvl w:val="0"/>
                <w:numId w:val="5"/>
              </w:numPr>
              <w:spacing w:line="300" w:lineRule="exact"/>
              <w:rPr>
                <w:rFonts w:ascii="Times New Roman" w:eastAsia="宋体" w:hAnsi="Times New Roman" w:cs="Times New Roman"/>
                <w:color w:val="auto"/>
                <w:kern w:val="0"/>
                <w:sz w:val="18"/>
                <w:szCs w:val="18"/>
                <w:highlight w:val="none"/>
              </w:rPr>
            </w:pPr>
            <w:r>
              <w:rPr>
                <w:rFonts w:ascii="Times New Roman" w:eastAsia="宋体" w:hAnsi="Times New Roman" w:cs="Times New Roman" w:hint="eastAsia"/>
                <w:color w:val="auto"/>
                <w:kern w:val="0"/>
                <w:sz w:val="18"/>
                <w:szCs w:val="18"/>
                <w:highlight w:val="none"/>
              </w:rPr>
              <w:t>严格按照相</w:t>
            </w:r>
            <w:r>
              <w:rPr>
                <w:rFonts w:ascii="Times New Roman" w:eastAsia="宋体" w:hAnsi="Times New Roman" w:cs="Times New Roman" w:hint="eastAsia"/>
                <w:color w:val="auto"/>
                <w:kern w:val="0"/>
                <w:sz w:val="18"/>
                <w:szCs w:val="20"/>
                <w:highlight w:val="none"/>
              </w:rPr>
              <w:t>关规定，出</w:t>
            </w:r>
            <w:r>
              <w:rPr>
                <w:rFonts w:ascii="Times New Roman" w:eastAsia="宋体" w:hAnsi="Times New Roman" w:cs="Times New Roman" w:hint="eastAsia"/>
                <w:color w:val="auto"/>
                <w:kern w:val="0"/>
                <w:sz w:val="18"/>
                <w:szCs w:val="18"/>
                <w:highlight w:val="none"/>
              </w:rPr>
              <w:t>具实验室年度运行报告。</w:t>
            </w:r>
          </w:p>
        </w:tc>
      </w:tr>
      <w:tr>
        <w:tblPrEx>
          <w:tblW w:w="4247" w:type="pct"/>
          <w:jc w:val="center"/>
          <w:tblLayout w:type="fixed"/>
          <w:tblCellMar>
            <w:top w:w="0" w:type="dxa"/>
            <w:left w:w="108" w:type="dxa"/>
            <w:bottom w:w="0" w:type="dxa"/>
            <w:right w:w="108" w:type="dxa"/>
          </w:tblCellMar>
        </w:tblPrEx>
        <w:trPr>
          <w:jc w:val="center"/>
        </w:trPr>
        <w:tc>
          <w:tcPr>
            <w:tcW w:w="479" w:type="pct"/>
            <w:vAlign w:val="center"/>
          </w:tcPr>
          <w:p>
            <w:pPr>
              <w:widowControl/>
              <w:jc w:val="center"/>
              <w:rPr>
                <w:rFonts w:ascii="宋体" w:eastAsia="宋体" w:hAnsi="宋体" w:cs="Times New Roman" w:hint="eastAsia"/>
                <w:color w:val="auto"/>
                <w:kern w:val="0"/>
                <w:sz w:val="18"/>
                <w:szCs w:val="18"/>
                <w:highlight w:val="none"/>
              </w:rPr>
            </w:pPr>
            <w:r>
              <w:rPr>
                <w:rFonts w:ascii="宋体" w:eastAsia="宋体" w:hAnsi="宋体" w:cs="Times New Roman" w:hint="eastAsia"/>
                <w:color w:val="auto"/>
                <w:kern w:val="0"/>
                <w:sz w:val="18"/>
                <w:szCs w:val="18"/>
                <w:highlight w:val="none"/>
              </w:rPr>
              <w:t>2</w:t>
            </w:r>
          </w:p>
        </w:tc>
        <w:tc>
          <w:tcPr>
            <w:tcW w:w="1259" w:type="pct"/>
            <w:vAlign w:val="center"/>
          </w:tcPr>
          <w:p>
            <w:pPr>
              <w:rPr>
                <w:rFonts w:ascii="宋体" w:eastAsia="宋体" w:hAnsi="宋体" w:cs="Times New Roman" w:hint="eastAsia"/>
                <w:color w:val="auto"/>
                <w:sz w:val="18"/>
                <w:szCs w:val="18"/>
                <w:highlight w:val="none"/>
              </w:rPr>
            </w:pPr>
            <w:r>
              <w:rPr>
                <w:rFonts w:ascii="Times New Roman" w:eastAsia="宋体" w:hAnsi="宋体" w:cs="Times New Roman" w:hint="eastAsia"/>
                <w:color w:val="auto"/>
                <w:kern w:val="0"/>
                <w:sz w:val="18"/>
                <w:szCs w:val="18"/>
                <w:highlight w:val="none"/>
              </w:rPr>
              <w:t>能见度计量检测实验室运行维护</w:t>
            </w:r>
          </w:p>
        </w:tc>
        <w:tc>
          <w:tcPr>
            <w:tcW w:w="3262" w:type="pct"/>
            <w:vAlign w:val="center"/>
          </w:tcPr>
          <w:p>
            <w:pPr>
              <w:numPr>
                <w:ilvl w:val="0"/>
                <w:numId w:val="6"/>
              </w:numPr>
              <w:spacing w:line="300" w:lineRule="exact"/>
              <w:rPr>
                <w:rFonts w:ascii="Times New Roman" w:eastAsia="宋体" w:hAnsi="宋体" w:cs="Times New Roman" w:hint="eastAsia"/>
                <w:color w:val="auto"/>
                <w:kern w:val="0"/>
                <w:sz w:val="18"/>
                <w:szCs w:val="18"/>
                <w:highlight w:val="none"/>
              </w:rPr>
            </w:pPr>
            <w:r>
              <w:rPr>
                <w:rFonts w:ascii="Times New Roman" w:eastAsia="宋体" w:hAnsi="宋体" w:cs="Times New Roman" w:hint="eastAsia"/>
                <w:color w:val="auto"/>
                <w:kern w:val="0"/>
                <w:sz w:val="18"/>
                <w:szCs w:val="18"/>
                <w:highlight w:val="none"/>
              </w:rPr>
              <w:t>严格按照CNAS实验室管理要求对实验室设备目录上仪器设备（不少于15台），开展每月至少1次维护及维修、及时送检</w:t>
            </w:r>
            <w:r>
              <w:rPr>
                <w:rFonts w:ascii="Times New Roman" w:eastAsia="宋体" w:hAnsi="宋体" w:cs="Times New Roman" w:hint="eastAsia"/>
                <w:color w:val="auto"/>
                <w:kern w:val="0"/>
                <w:sz w:val="18"/>
                <w:szCs w:val="18"/>
                <w:highlight w:val="none"/>
                <w:lang w:val="en-US" w:eastAsia="zh-CN"/>
              </w:rPr>
              <w:t>，服务期内累计开展运维服务不少于 3 次</w:t>
            </w:r>
            <w:r>
              <w:rPr>
                <w:rFonts w:ascii="Times New Roman" w:eastAsia="宋体" w:hAnsi="宋体" w:cs="Times New Roman" w:hint="eastAsia"/>
                <w:color w:val="auto"/>
                <w:kern w:val="0"/>
                <w:sz w:val="18"/>
                <w:szCs w:val="18"/>
                <w:highlight w:val="none"/>
              </w:rPr>
              <w:t>。</w:t>
            </w:r>
          </w:p>
          <w:p>
            <w:pPr>
              <w:numPr>
                <w:ilvl w:val="0"/>
                <w:numId w:val="6"/>
              </w:numPr>
              <w:spacing w:line="300" w:lineRule="exact"/>
              <w:rPr>
                <w:rFonts w:ascii="Times New Roman" w:eastAsia="宋体" w:hAnsi="Times New Roman" w:cs="Times New Roman"/>
                <w:color w:val="auto"/>
                <w:kern w:val="0"/>
                <w:sz w:val="18"/>
                <w:szCs w:val="18"/>
                <w:highlight w:val="none"/>
              </w:rPr>
            </w:pPr>
            <w:r>
              <w:rPr>
                <w:rFonts w:ascii="Times New Roman" w:eastAsia="宋体" w:hAnsi="Times New Roman" w:cs="Times New Roman"/>
                <w:color w:val="auto"/>
                <w:kern w:val="0"/>
                <w:sz w:val="18"/>
                <w:szCs w:val="18"/>
                <w:highlight w:val="none"/>
              </w:rPr>
              <w:t>严格按照</w:t>
            </w:r>
            <w:r>
              <w:rPr>
                <w:rFonts w:ascii="Times New Roman" w:eastAsia="宋体" w:hAnsi="Times New Roman" w:cs="Times New Roman" w:hint="eastAsia"/>
                <w:color w:val="auto"/>
                <w:kern w:val="0"/>
                <w:sz w:val="18"/>
                <w:szCs w:val="18"/>
                <w:highlight w:val="none"/>
              </w:rPr>
              <w:t>《实验室安全管理规范》，对实验室外部环境，内部环境进行管理维护，保证实验室安全运转。</w:t>
            </w:r>
          </w:p>
          <w:p>
            <w:pPr>
              <w:numPr>
                <w:ilvl w:val="0"/>
                <w:numId w:val="6"/>
              </w:numPr>
              <w:spacing w:line="300" w:lineRule="exact"/>
              <w:rPr>
                <w:rFonts w:ascii="宋体" w:eastAsia="宋体" w:hAnsi="宋体" w:cs="Times New Roman"/>
                <w:color w:val="auto"/>
                <w:sz w:val="18"/>
                <w:szCs w:val="20"/>
                <w:highlight w:val="none"/>
              </w:rPr>
            </w:pPr>
            <w:r>
              <w:rPr>
                <w:rFonts w:ascii="Times New Roman" w:eastAsia="宋体" w:hAnsi="Times New Roman" w:cs="Times New Roman" w:hint="eastAsia"/>
                <w:color w:val="auto"/>
                <w:kern w:val="0"/>
                <w:sz w:val="18"/>
                <w:szCs w:val="18"/>
                <w:highlight w:val="none"/>
              </w:rPr>
              <w:t>严格按照相关规定，对实验室数据库定期进行管理维护，保证数据安全，数据库运行稳定。</w:t>
            </w:r>
          </w:p>
          <w:p>
            <w:pPr>
              <w:widowControl w:val="0"/>
              <w:numPr>
                <w:ilvl w:val="0"/>
                <w:numId w:val="6"/>
              </w:numPr>
              <w:spacing w:line="300" w:lineRule="exact"/>
              <w:jc w:val="both"/>
              <w:rPr>
                <w:rFonts w:ascii="宋体" w:eastAsia="宋体" w:hAnsi="宋体" w:cs="Times New Roman" w:hint="eastAsia"/>
                <w:color w:val="auto"/>
                <w:sz w:val="18"/>
                <w:szCs w:val="18"/>
                <w:highlight w:val="none"/>
              </w:rPr>
            </w:pPr>
            <w:r>
              <w:rPr>
                <w:rFonts w:ascii="Times New Roman" w:eastAsia="宋体" w:hAnsi="Times New Roman" w:cs="Times New Roman" w:hint="eastAsia"/>
                <w:color w:val="auto"/>
                <w:kern w:val="0"/>
                <w:sz w:val="18"/>
                <w:szCs w:val="18"/>
                <w:highlight w:val="none"/>
              </w:rPr>
              <w:t>按照相关规定，出具实验室</w:t>
            </w:r>
            <w:r>
              <w:rPr>
                <w:rFonts w:ascii="Times New Roman" w:eastAsia="宋体" w:hAnsi="Times New Roman" w:cs="Times New Roman" w:hint="eastAsia"/>
                <w:color w:val="auto"/>
                <w:kern w:val="2"/>
                <w:sz w:val="20"/>
                <w:szCs w:val="16"/>
                <w:highlight w:val="none"/>
              </w:rPr>
              <w:t>年度</w:t>
            </w:r>
            <w:r>
              <w:rPr>
                <w:rFonts w:ascii="Times New Roman" w:eastAsia="宋体" w:hAnsi="Times New Roman" w:cs="Times New Roman" w:hint="eastAsia"/>
                <w:color w:val="auto"/>
                <w:kern w:val="0"/>
                <w:sz w:val="18"/>
                <w:szCs w:val="18"/>
                <w:highlight w:val="none"/>
              </w:rPr>
              <w:t>运行报告。</w:t>
            </w:r>
          </w:p>
        </w:tc>
      </w:tr>
      <w:tr>
        <w:tblPrEx>
          <w:tblW w:w="4247" w:type="pct"/>
          <w:jc w:val="center"/>
          <w:tblLayout w:type="fixed"/>
          <w:tblCellMar>
            <w:top w:w="0" w:type="dxa"/>
            <w:left w:w="108" w:type="dxa"/>
            <w:bottom w:w="0" w:type="dxa"/>
            <w:right w:w="108" w:type="dxa"/>
          </w:tblCellMar>
        </w:tblPrEx>
        <w:trPr>
          <w:jc w:val="center"/>
        </w:trPr>
        <w:tc>
          <w:tcPr>
            <w:tcW w:w="479" w:type="pct"/>
            <w:vAlign w:val="center"/>
          </w:tcPr>
          <w:p>
            <w:pPr>
              <w:widowControl/>
              <w:jc w:val="center"/>
              <w:rPr>
                <w:rFonts w:ascii="宋体" w:eastAsia="宋体" w:hAnsi="宋体" w:cs="Times New Roman" w:hint="eastAsia"/>
                <w:color w:val="auto"/>
                <w:kern w:val="0"/>
                <w:sz w:val="18"/>
                <w:szCs w:val="18"/>
                <w:highlight w:val="none"/>
              </w:rPr>
            </w:pPr>
            <w:r>
              <w:rPr>
                <w:rFonts w:ascii="宋体" w:eastAsia="宋体" w:hAnsi="宋体" w:cs="Times New Roman" w:hint="eastAsia"/>
                <w:color w:val="auto"/>
                <w:kern w:val="0"/>
                <w:sz w:val="18"/>
                <w:szCs w:val="18"/>
                <w:highlight w:val="none"/>
              </w:rPr>
              <w:t>3</w:t>
            </w:r>
          </w:p>
        </w:tc>
        <w:tc>
          <w:tcPr>
            <w:tcW w:w="1259" w:type="pct"/>
            <w:vAlign w:val="center"/>
          </w:tcPr>
          <w:p>
            <w:pPr>
              <w:rPr>
                <w:rFonts w:ascii="宋体" w:eastAsia="宋体" w:hAnsi="宋体" w:cs="Times New Roman" w:hint="eastAsia"/>
                <w:color w:val="auto"/>
                <w:sz w:val="18"/>
                <w:szCs w:val="18"/>
                <w:highlight w:val="none"/>
              </w:rPr>
            </w:pPr>
            <w:r>
              <w:rPr>
                <w:rFonts w:ascii="Times New Roman" w:eastAsia="宋体" w:hAnsi="宋体" w:cs="Times New Roman" w:hint="eastAsia"/>
                <w:color w:val="auto"/>
                <w:kern w:val="0"/>
                <w:sz w:val="18"/>
                <w:szCs w:val="18"/>
                <w:highlight w:val="none"/>
              </w:rPr>
              <w:t>自动土壤水分观测仪检测实验室运行维护</w:t>
            </w:r>
          </w:p>
        </w:tc>
        <w:tc>
          <w:tcPr>
            <w:tcW w:w="3262" w:type="pct"/>
          </w:tcPr>
          <w:p>
            <w:pPr>
              <w:numPr>
                <w:ilvl w:val="0"/>
                <w:numId w:val="7"/>
              </w:numPr>
              <w:spacing w:line="300" w:lineRule="exact"/>
              <w:rPr>
                <w:rFonts w:ascii="Times New Roman" w:eastAsia="宋体" w:hAnsi="宋体" w:cs="Times New Roman" w:hint="eastAsia"/>
                <w:color w:val="auto"/>
                <w:kern w:val="0"/>
                <w:sz w:val="18"/>
                <w:szCs w:val="18"/>
                <w:highlight w:val="none"/>
              </w:rPr>
            </w:pPr>
            <w:r>
              <w:rPr>
                <w:rFonts w:ascii="Times New Roman" w:eastAsia="宋体" w:hAnsi="宋体" w:cs="Times New Roman" w:hint="eastAsia"/>
                <w:color w:val="auto"/>
                <w:kern w:val="0"/>
                <w:sz w:val="18"/>
                <w:szCs w:val="18"/>
                <w:highlight w:val="none"/>
              </w:rPr>
              <w:t>严格按照CNAS实验室管理要求对实验室设备目录上仪器设备（不少于10台），开展每月至少1次维护及维修、及时送检</w:t>
            </w:r>
            <w:r>
              <w:rPr>
                <w:rFonts w:ascii="Times New Roman" w:eastAsia="宋体" w:hAnsi="宋体" w:cs="Times New Roman" w:hint="eastAsia"/>
                <w:color w:val="auto"/>
                <w:kern w:val="0"/>
                <w:sz w:val="18"/>
                <w:szCs w:val="18"/>
                <w:highlight w:val="none"/>
                <w:lang w:val="en-US" w:eastAsia="zh-CN"/>
              </w:rPr>
              <w:t>，服务期内累计开展运维服务不少于 3 次</w:t>
            </w:r>
            <w:r>
              <w:rPr>
                <w:rFonts w:ascii="Times New Roman" w:eastAsia="宋体" w:hAnsi="宋体" w:cs="Times New Roman" w:hint="eastAsia"/>
                <w:color w:val="auto"/>
                <w:kern w:val="0"/>
                <w:sz w:val="18"/>
                <w:szCs w:val="18"/>
                <w:highlight w:val="none"/>
              </w:rPr>
              <w:t>。</w:t>
            </w:r>
          </w:p>
          <w:p>
            <w:pPr>
              <w:numPr>
                <w:ilvl w:val="0"/>
                <w:numId w:val="7"/>
              </w:numPr>
              <w:spacing w:line="300" w:lineRule="exact"/>
              <w:rPr>
                <w:rFonts w:ascii="Times New Roman" w:eastAsia="宋体" w:hAnsi="Times New Roman" w:cs="Times New Roman"/>
                <w:color w:val="auto"/>
                <w:kern w:val="0"/>
                <w:sz w:val="18"/>
                <w:szCs w:val="18"/>
                <w:highlight w:val="none"/>
              </w:rPr>
            </w:pPr>
            <w:r>
              <w:rPr>
                <w:rFonts w:ascii="Times New Roman" w:eastAsia="宋体" w:hAnsi="Times New Roman" w:cs="Times New Roman"/>
                <w:color w:val="auto"/>
                <w:kern w:val="0"/>
                <w:sz w:val="18"/>
                <w:szCs w:val="18"/>
                <w:highlight w:val="none"/>
              </w:rPr>
              <w:t>严格按照</w:t>
            </w:r>
            <w:r>
              <w:rPr>
                <w:rFonts w:ascii="Times New Roman" w:eastAsia="宋体" w:hAnsi="Times New Roman" w:cs="Times New Roman" w:hint="eastAsia"/>
                <w:color w:val="auto"/>
                <w:kern w:val="0"/>
                <w:sz w:val="18"/>
                <w:szCs w:val="18"/>
                <w:highlight w:val="none"/>
              </w:rPr>
              <w:t>《实验室安全管理规范》，对实验室外部环境，内部环境进行管理维护，保证实验室安全运转。</w:t>
            </w:r>
          </w:p>
          <w:p>
            <w:pPr>
              <w:numPr>
                <w:ilvl w:val="0"/>
                <w:numId w:val="7"/>
              </w:numPr>
              <w:spacing w:line="300" w:lineRule="exact"/>
              <w:rPr>
                <w:rFonts w:ascii="Times New Roman" w:eastAsia="宋体" w:hAnsi="Times New Roman" w:cs="Times New Roman"/>
                <w:color w:val="auto"/>
                <w:kern w:val="0"/>
                <w:sz w:val="18"/>
                <w:szCs w:val="18"/>
                <w:highlight w:val="none"/>
              </w:rPr>
            </w:pPr>
            <w:r>
              <w:rPr>
                <w:rFonts w:ascii="Times New Roman" w:eastAsia="宋体" w:hAnsi="Times New Roman" w:cs="Times New Roman" w:hint="eastAsia"/>
                <w:color w:val="auto"/>
                <w:kern w:val="0"/>
                <w:sz w:val="18"/>
                <w:szCs w:val="18"/>
                <w:highlight w:val="none"/>
              </w:rPr>
              <w:t>严格按照相关规定，对实验室数据库定期进行管理维护，保证数据安全，数据库运行稳定。</w:t>
            </w:r>
          </w:p>
          <w:p>
            <w:pPr>
              <w:numPr>
                <w:ilvl w:val="0"/>
                <w:numId w:val="7"/>
              </w:numPr>
              <w:spacing w:line="300" w:lineRule="exact"/>
              <w:rPr>
                <w:rFonts w:ascii="Times New Roman" w:eastAsia="宋体" w:hAnsi="宋体" w:cs="Times New Roman" w:hint="eastAsia"/>
                <w:color w:val="auto"/>
                <w:kern w:val="0"/>
                <w:sz w:val="18"/>
                <w:szCs w:val="18"/>
                <w:highlight w:val="none"/>
              </w:rPr>
            </w:pPr>
            <w:r>
              <w:rPr>
                <w:rFonts w:ascii="Times New Roman" w:eastAsia="宋体" w:hAnsi="Times New Roman" w:cs="Times New Roman" w:hint="eastAsia"/>
                <w:color w:val="auto"/>
                <w:kern w:val="0"/>
                <w:sz w:val="18"/>
                <w:szCs w:val="18"/>
                <w:highlight w:val="none"/>
              </w:rPr>
              <w:t>按照相关规定，出具实验室</w:t>
            </w:r>
            <w:r>
              <w:rPr>
                <w:rFonts w:ascii="Times New Roman" w:eastAsia="宋体" w:hAnsi="Times New Roman" w:cs="Times New Roman" w:hint="eastAsia"/>
                <w:color w:val="auto"/>
                <w:kern w:val="0"/>
                <w:sz w:val="18"/>
                <w:szCs w:val="20"/>
                <w:highlight w:val="none"/>
              </w:rPr>
              <w:t>年度</w:t>
            </w:r>
            <w:r>
              <w:rPr>
                <w:rFonts w:ascii="Times New Roman" w:eastAsia="宋体" w:hAnsi="Times New Roman" w:cs="Times New Roman" w:hint="eastAsia"/>
                <w:color w:val="auto"/>
                <w:kern w:val="0"/>
                <w:sz w:val="18"/>
                <w:szCs w:val="18"/>
                <w:highlight w:val="none"/>
              </w:rPr>
              <w:t>运行报告。</w:t>
            </w:r>
          </w:p>
        </w:tc>
      </w:tr>
      <w:tr>
        <w:tblPrEx>
          <w:tblW w:w="4247" w:type="pct"/>
          <w:jc w:val="center"/>
          <w:tblLayout w:type="fixed"/>
          <w:tblCellMar>
            <w:top w:w="0" w:type="dxa"/>
            <w:left w:w="108" w:type="dxa"/>
            <w:bottom w:w="0" w:type="dxa"/>
            <w:right w:w="108" w:type="dxa"/>
          </w:tblCellMar>
        </w:tblPrEx>
        <w:trPr>
          <w:jc w:val="center"/>
        </w:trPr>
        <w:tc>
          <w:tcPr>
            <w:tcW w:w="479" w:type="pct"/>
            <w:vAlign w:val="center"/>
          </w:tcPr>
          <w:p>
            <w:pPr>
              <w:widowControl/>
              <w:jc w:val="center"/>
              <w:rPr>
                <w:rFonts w:ascii="宋体" w:eastAsia="宋体" w:hAnsi="宋体" w:cs="Times New Roman" w:hint="eastAsia"/>
                <w:color w:val="auto"/>
                <w:kern w:val="0"/>
                <w:sz w:val="18"/>
                <w:szCs w:val="18"/>
                <w:highlight w:val="none"/>
              </w:rPr>
            </w:pPr>
            <w:r>
              <w:rPr>
                <w:rFonts w:ascii="宋体" w:eastAsia="宋体" w:hAnsi="宋体" w:cs="Times New Roman" w:hint="eastAsia"/>
                <w:color w:val="auto"/>
                <w:kern w:val="0"/>
                <w:sz w:val="18"/>
                <w:szCs w:val="18"/>
                <w:highlight w:val="none"/>
              </w:rPr>
              <w:t>4</w:t>
            </w:r>
          </w:p>
        </w:tc>
        <w:tc>
          <w:tcPr>
            <w:tcW w:w="1259" w:type="pct"/>
            <w:vAlign w:val="center"/>
          </w:tcPr>
          <w:p>
            <w:pPr>
              <w:rPr>
                <w:rFonts w:ascii="宋体" w:eastAsia="宋体" w:hAnsi="宋体" w:cs="Times New Roman" w:hint="eastAsia"/>
                <w:color w:val="auto"/>
                <w:sz w:val="18"/>
                <w:szCs w:val="18"/>
                <w:highlight w:val="none"/>
              </w:rPr>
            </w:pPr>
            <w:r>
              <w:rPr>
                <w:rFonts w:ascii="Times New Roman" w:eastAsia="宋体" w:hAnsi="宋体" w:cs="Times New Roman" w:hint="eastAsia"/>
                <w:color w:val="auto"/>
                <w:kern w:val="0"/>
                <w:sz w:val="18"/>
                <w:szCs w:val="18"/>
                <w:highlight w:val="none"/>
              </w:rPr>
              <w:t>辐射检定实验室运行维护</w:t>
            </w:r>
          </w:p>
        </w:tc>
        <w:tc>
          <w:tcPr>
            <w:tcW w:w="3262" w:type="pct"/>
          </w:tcPr>
          <w:p>
            <w:pPr>
              <w:numPr>
                <w:ilvl w:val="0"/>
                <w:numId w:val="8"/>
              </w:numPr>
              <w:spacing w:line="300" w:lineRule="exact"/>
              <w:rPr>
                <w:rFonts w:ascii="Times New Roman" w:eastAsia="宋体" w:hAnsi="宋体" w:cs="Times New Roman" w:hint="eastAsia"/>
                <w:color w:val="auto"/>
                <w:kern w:val="0"/>
                <w:sz w:val="18"/>
                <w:szCs w:val="18"/>
                <w:highlight w:val="none"/>
              </w:rPr>
            </w:pPr>
            <w:r>
              <w:rPr>
                <w:rFonts w:ascii="Times New Roman" w:eastAsia="宋体" w:hAnsi="宋体" w:cs="Times New Roman" w:hint="eastAsia"/>
                <w:color w:val="auto"/>
                <w:kern w:val="0"/>
                <w:sz w:val="18"/>
                <w:szCs w:val="18"/>
                <w:highlight w:val="none"/>
              </w:rPr>
              <w:t>严格按照CNAS实验室管理要求对实验室设备目录上仪器设备（不少于10台），开展每月至少1次维护及维修、及时送检</w:t>
            </w:r>
            <w:r>
              <w:rPr>
                <w:rFonts w:ascii="Times New Roman" w:eastAsia="宋体" w:hAnsi="宋体" w:cs="Times New Roman" w:hint="eastAsia"/>
                <w:color w:val="auto"/>
                <w:kern w:val="0"/>
                <w:sz w:val="18"/>
                <w:szCs w:val="18"/>
                <w:highlight w:val="none"/>
                <w:lang w:val="en-US" w:eastAsia="zh-CN"/>
              </w:rPr>
              <w:t>，服务期内累计开展运维服务不少于 3 次</w:t>
            </w:r>
            <w:r>
              <w:rPr>
                <w:rFonts w:ascii="Times New Roman" w:eastAsia="宋体" w:hAnsi="宋体" w:cs="Times New Roman" w:hint="eastAsia"/>
                <w:color w:val="auto"/>
                <w:kern w:val="0"/>
                <w:sz w:val="18"/>
                <w:szCs w:val="18"/>
                <w:highlight w:val="none"/>
              </w:rPr>
              <w:t>。</w:t>
            </w:r>
          </w:p>
          <w:p>
            <w:pPr>
              <w:numPr>
                <w:ilvl w:val="0"/>
                <w:numId w:val="8"/>
              </w:numPr>
              <w:spacing w:line="300" w:lineRule="exact"/>
              <w:rPr>
                <w:rFonts w:ascii="Times New Roman" w:eastAsia="宋体" w:hAnsi="宋体" w:cs="Times New Roman" w:hint="eastAsia"/>
                <w:color w:val="auto"/>
                <w:kern w:val="0"/>
                <w:sz w:val="18"/>
                <w:szCs w:val="18"/>
                <w:highlight w:val="none"/>
              </w:rPr>
            </w:pPr>
            <w:r>
              <w:rPr>
                <w:rFonts w:ascii="Times New Roman" w:eastAsia="宋体" w:hAnsi="宋体" w:cs="Times New Roman" w:hint="eastAsia"/>
                <w:color w:val="auto"/>
                <w:kern w:val="0"/>
                <w:sz w:val="18"/>
                <w:szCs w:val="18"/>
                <w:highlight w:val="none"/>
              </w:rPr>
              <w:t>严格按照《实验室安全管理规范》，对实验室外部环境，内部环境进行管理维护，保证实验室安全运转。</w:t>
            </w:r>
          </w:p>
          <w:p>
            <w:pPr>
              <w:numPr>
                <w:ilvl w:val="0"/>
                <w:numId w:val="8"/>
              </w:numPr>
              <w:spacing w:line="300" w:lineRule="exact"/>
              <w:rPr>
                <w:rFonts w:ascii="Times New Roman" w:eastAsia="宋体" w:hAnsi="宋体" w:cs="Times New Roman" w:hint="eastAsia"/>
                <w:color w:val="auto"/>
                <w:kern w:val="0"/>
                <w:sz w:val="18"/>
                <w:szCs w:val="18"/>
                <w:highlight w:val="none"/>
              </w:rPr>
            </w:pPr>
            <w:r>
              <w:rPr>
                <w:rFonts w:ascii="Times New Roman" w:eastAsia="宋体" w:hAnsi="宋体" w:cs="Times New Roman" w:hint="eastAsia"/>
                <w:color w:val="auto"/>
                <w:kern w:val="0"/>
                <w:sz w:val="18"/>
                <w:szCs w:val="18"/>
                <w:highlight w:val="none"/>
              </w:rPr>
              <w:t>严格按照相关规定，对实验室数据库定期进行管理维护，保证数据安全，数据库运行稳定。</w:t>
            </w:r>
          </w:p>
          <w:p>
            <w:pPr>
              <w:numPr>
                <w:ilvl w:val="0"/>
                <w:numId w:val="8"/>
              </w:numPr>
              <w:spacing w:line="300" w:lineRule="exact"/>
              <w:rPr>
                <w:rFonts w:ascii="Times New Roman" w:eastAsia="宋体" w:hAnsi="宋体" w:cs="Times New Roman" w:hint="eastAsia"/>
                <w:color w:val="auto"/>
                <w:kern w:val="0"/>
                <w:sz w:val="18"/>
                <w:szCs w:val="18"/>
                <w:highlight w:val="none"/>
              </w:rPr>
            </w:pPr>
            <w:r>
              <w:rPr>
                <w:rFonts w:ascii="Times New Roman" w:eastAsia="宋体" w:hAnsi="宋体" w:cs="Times New Roman" w:hint="eastAsia"/>
                <w:color w:val="auto"/>
                <w:kern w:val="0"/>
                <w:sz w:val="18"/>
                <w:szCs w:val="18"/>
                <w:highlight w:val="none"/>
              </w:rPr>
              <w:t>按照相关规定，出具实验室</w:t>
            </w:r>
            <w:r>
              <w:rPr>
                <w:rFonts w:ascii="Times New Roman" w:eastAsia="宋体" w:hAnsi="Times New Roman" w:cs="Times New Roman" w:hint="eastAsia"/>
                <w:color w:val="auto"/>
                <w:kern w:val="0"/>
                <w:sz w:val="18"/>
                <w:szCs w:val="20"/>
                <w:highlight w:val="none"/>
              </w:rPr>
              <w:t>年度</w:t>
            </w:r>
            <w:r>
              <w:rPr>
                <w:rFonts w:ascii="Times New Roman" w:eastAsia="宋体" w:hAnsi="宋体" w:cs="Times New Roman" w:hint="eastAsia"/>
                <w:color w:val="auto"/>
                <w:kern w:val="0"/>
                <w:sz w:val="18"/>
                <w:szCs w:val="18"/>
                <w:highlight w:val="none"/>
              </w:rPr>
              <w:t>运行报告。</w:t>
            </w:r>
          </w:p>
        </w:tc>
      </w:tr>
      <w:tr>
        <w:tblPrEx>
          <w:tblW w:w="4247" w:type="pct"/>
          <w:jc w:val="center"/>
          <w:tblLayout w:type="fixed"/>
          <w:tblCellMar>
            <w:top w:w="0" w:type="dxa"/>
            <w:left w:w="108" w:type="dxa"/>
            <w:bottom w:w="0" w:type="dxa"/>
            <w:right w:w="108" w:type="dxa"/>
          </w:tblCellMar>
        </w:tblPrEx>
        <w:trPr>
          <w:jc w:val="center"/>
        </w:trPr>
        <w:tc>
          <w:tcPr>
            <w:tcW w:w="479" w:type="pct"/>
            <w:vAlign w:val="center"/>
          </w:tcPr>
          <w:p>
            <w:pPr>
              <w:widowControl/>
              <w:jc w:val="center"/>
              <w:rPr>
                <w:rFonts w:ascii="宋体" w:eastAsia="宋体" w:hAnsi="宋体" w:cs="Times New Roman" w:hint="eastAsia"/>
                <w:color w:val="auto"/>
                <w:kern w:val="0"/>
                <w:sz w:val="18"/>
                <w:szCs w:val="18"/>
                <w:highlight w:val="none"/>
              </w:rPr>
            </w:pPr>
            <w:r>
              <w:rPr>
                <w:rFonts w:ascii="宋体" w:eastAsia="宋体" w:hAnsi="宋体" w:cs="Times New Roman" w:hint="eastAsia"/>
                <w:color w:val="auto"/>
                <w:kern w:val="0"/>
                <w:sz w:val="18"/>
                <w:szCs w:val="18"/>
                <w:highlight w:val="none"/>
              </w:rPr>
              <w:t>5</w:t>
            </w:r>
          </w:p>
        </w:tc>
        <w:tc>
          <w:tcPr>
            <w:tcW w:w="1259" w:type="pct"/>
            <w:vAlign w:val="center"/>
          </w:tcPr>
          <w:p>
            <w:pPr>
              <w:rPr>
                <w:rFonts w:ascii="Times New Roman" w:eastAsia="宋体" w:hAnsi="宋体" w:cs="Times New Roman" w:hint="eastAsia"/>
                <w:color w:val="auto"/>
                <w:kern w:val="0"/>
                <w:sz w:val="18"/>
                <w:szCs w:val="18"/>
                <w:highlight w:val="none"/>
              </w:rPr>
            </w:pPr>
            <w:r>
              <w:rPr>
                <w:rFonts w:ascii="Times New Roman" w:eastAsia="宋体" w:hAnsi="宋体" w:cs="Times New Roman" w:hint="eastAsia"/>
                <w:color w:val="auto"/>
                <w:kern w:val="0"/>
                <w:sz w:val="18"/>
                <w:szCs w:val="18"/>
                <w:highlight w:val="none"/>
              </w:rPr>
              <w:t>实验室仪器仪表档案管理</w:t>
            </w:r>
          </w:p>
        </w:tc>
        <w:tc>
          <w:tcPr>
            <w:tcW w:w="3262" w:type="pct"/>
          </w:tcPr>
          <w:p>
            <w:pPr>
              <w:numPr>
                <w:ilvl w:val="0"/>
                <w:numId w:val="9"/>
              </w:numPr>
              <w:spacing w:line="300" w:lineRule="exact"/>
              <w:rPr>
                <w:rFonts w:ascii="Times New Roman" w:eastAsia="宋体" w:hAnsi="宋体" w:cs="Times New Roman" w:hint="eastAsia"/>
                <w:color w:val="auto"/>
                <w:kern w:val="0"/>
                <w:sz w:val="18"/>
                <w:szCs w:val="18"/>
                <w:highlight w:val="none"/>
              </w:rPr>
            </w:pPr>
            <w:r>
              <w:rPr>
                <w:rFonts w:ascii="Times New Roman" w:eastAsia="宋体" w:hAnsi="宋体" w:cs="Times New Roman" w:hint="eastAsia"/>
                <w:color w:val="auto"/>
                <w:kern w:val="0"/>
                <w:sz w:val="18"/>
                <w:szCs w:val="18"/>
                <w:highlight w:val="none"/>
              </w:rPr>
              <w:t>为探空仪质量检测实验室、能见度计量检测实验室、自动土壤水分观测仪检测实验室、辐射检定实验室建立仪器仪表档案。</w:t>
            </w:r>
          </w:p>
          <w:p>
            <w:pPr>
              <w:numPr>
                <w:ilvl w:val="0"/>
                <w:numId w:val="9"/>
              </w:numPr>
              <w:spacing w:line="300" w:lineRule="exact"/>
              <w:rPr>
                <w:rFonts w:ascii="Times New Roman" w:eastAsia="宋体" w:hAnsi="宋体" w:cs="Times New Roman" w:hint="eastAsia"/>
                <w:color w:val="auto"/>
                <w:kern w:val="0"/>
                <w:sz w:val="18"/>
                <w:szCs w:val="18"/>
                <w:highlight w:val="none"/>
              </w:rPr>
            </w:pPr>
            <w:r>
              <w:rPr>
                <w:rFonts w:ascii="Times New Roman" w:eastAsia="宋体" w:hAnsi="宋体" w:cs="Times New Roman" w:hint="eastAsia"/>
                <w:color w:val="auto"/>
                <w:kern w:val="0"/>
                <w:sz w:val="18"/>
                <w:szCs w:val="18"/>
                <w:highlight w:val="none"/>
              </w:rPr>
              <w:t>将实验室仪器仪表档案录入管理软件，</w:t>
            </w:r>
            <w:r>
              <w:rPr>
                <w:rFonts w:ascii="Times New Roman" w:eastAsia="宋体" w:hAnsi="Times New Roman" w:cs="Times New Roman" w:hint="eastAsia"/>
                <w:color w:val="auto"/>
                <w:kern w:val="0"/>
                <w:sz w:val="18"/>
                <w:szCs w:val="20"/>
                <w:highlight w:val="none"/>
              </w:rPr>
              <w:t>完成</w:t>
            </w:r>
            <w:r>
              <w:rPr>
                <w:rFonts w:ascii="Times New Roman" w:eastAsia="宋体" w:hAnsi="宋体" w:cs="Times New Roman" w:hint="eastAsia"/>
                <w:color w:val="auto"/>
                <w:kern w:val="0"/>
                <w:sz w:val="18"/>
                <w:szCs w:val="18"/>
                <w:highlight w:val="none"/>
              </w:rPr>
              <w:t>仪器仪表管理软件档案进行更新维护。</w:t>
            </w:r>
          </w:p>
        </w:tc>
      </w:tr>
    </w:tbl>
    <w:p>
      <w:pPr>
        <w:snapToGrid w:val="0"/>
        <w:spacing w:line="360" w:lineRule="auto"/>
        <w:jc w:val="left"/>
        <w:rPr>
          <w:rFonts w:ascii="宋体" w:eastAsia="宋体" w:hAnsi="宋体" w:cs="Times New Roman" w:hint="eastAsia"/>
          <w:color w:val="auto"/>
          <w:szCs w:val="21"/>
          <w:highlight w:val="none"/>
        </w:rPr>
      </w:pPr>
    </w:p>
    <w:p>
      <w:pPr>
        <w:spacing w:before="236" w:line="221" w:lineRule="auto"/>
        <w:ind w:left="510"/>
        <w:outlineLvl w:val="0"/>
        <w:rPr>
          <w:rFonts w:ascii="Times New Roman" w:eastAsia="宋体" w:hAnsi="Times New Roman" w:cs="Times New Roman"/>
          <w:b/>
          <w:bCs/>
          <w:color w:val="auto"/>
          <w:spacing w:val="-4"/>
          <w:szCs w:val="21"/>
          <w:highlight w:val="none"/>
        </w:rPr>
      </w:pPr>
      <w:r>
        <w:rPr>
          <w:rFonts w:ascii="Times New Roman" w:eastAsia="宋体" w:hAnsi="Times New Roman" w:cs="Times New Roman" w:hint="eastAsia"/>
          <w:b/>
          <w:bCs/>
          <w:color w:val="auto"/>
          <w:spacing w:val="-4"/>
          <w:szCs w:val="21"/>
          <w:highlight w:val="none"/>
        </w:rPr>
        <w:t>7</w:t>
      </w:r>
      <w:r>
        <w:rPr>
          <w:rFonts w:ascii="Times New Roman" w:eastAsia="宋体" w:hAnsi="Times New Roman" w:cs="Times New Roman"/>
          <w:b/>
          <w:bCs/>
          <w:color w:val="auto"/>
          <w:spacing w:val="-4"/>
          <w:szCs w:val="21"/>
          <w:highlight w:val="none"/>
        </w:rPr>
        <w:t>.3质量要求</w:t>
      </w:r>
    </w:p>
    <w:p>
      <w:pPr>
        <w:spacing w:before="236" w:line="221" w:lineRule="auto"/>
        <w:ind w:left="510"/>
        <w:outlineLvl w:val="0"/>
        <w:rPr>
          <w:rFonts w:ascii="宋体" w:eastAsia="宋体" w:hAnsi="宋体" w:cs="宋体" w:hint="eastAsia"/>
          <w:color w:val="auto"/>
          <w:szCs w:val="21"/>
          <w:highlight w:val="none"/>
        </w:rPr>
      </w:pPr>
      <w:r>
        <w:rPr>
          <w:rFonts w:ascii="Times New Roman" w:eastAsia="宋体" w:hAnsi="Times New Roman" w:cs="Times New Roman" w:hint="eastAsia"/>
          <w:b/>
          <w:bCs/>
          <w:color w:val="auto"/>
          <w:spacing w:val="1"/>
          <w:szCs w:val="21"/>
          <w:highlight w:val="none"/>
        </w:rPr>
        <w:t>7</w:t>
      </w:r>
      <w:r>
        <w:rPr>
          <w:rFonts w:ascii="Times New Roman" w:eastAsia="Times New Roman" w:hAnsi="Times New Roman" w:cs="Times New Roman"/>
          <w:b/>
          <w:bCs/>
          <w:color w:val="auto"/>
          <w:spacing w:val="1"/>
          <w:szCs w:val="21"/>
          <w:highlight w:val="none"/>
        </w:rPr>
        <w:t>.3.1</w:t>
      </w:r>
      <w:r>
        <w:rPr>
          <w:rFonts w:ascii="宋体" w:eastAsia="宋体" w:hAnsi="宋体" w:cs="宋体"/>
          <w:color w:val="auto"/>
          <w:spacing w:val="1"/>
          <w:szCs w:val="21"/>
          <w:highlight w:val="none"/>
        </w:rPr>
        <w:t>人</w:t>
      </w:r>
      <w:r>
        <w:rPr>
          <w:rFonts w:ascii="宋体" w:eastAsia="宋体" w:hAnsi="宋体" w:cs="宋体"/>
          <w:color w:val="auto"/>
          <w:szCs w:val="21"/>
          <w:highlight w:val="none"/>
        </w:rPr>
        <w:t>影弹药及作业装备保障技术服务</w:t>
      </w:r>
    </w:p>
    <w:p>
      <w:pPr>
        <w:spacing w:before="217" w:line="220" w:lineRule="auto"/>
        <w:ind w:left="512"/>
        <w:rPr>
          <w:rFonts w:ascii="宋体" w:eastAsia="宋体" w:hAnsi="宋体" w:cs="宋体" w:hint="eastAsia"/>
          <w:color w:val="auto"/>
          <w:spacing w:val="-2"/>
          <w:szCs w:val="21"/>
          <w:highlight w:val="none"/>
        </w:rPr>
      </w:pPr>
      <w:r>
        <w:rPr>
          <w:rFonts w:ascii="宋体" w:eastAsia="宋体" w:hAnsi="宋体" w:cs="宋体"/>
          <w:color w:val="auto"/>
          <w:spacing w:val="-2"/>
          <w:szCs w:val="21"/>
          <w:highlight w:val="none"/>
        </w:rPr>
        <w:t>1.</w:t>
      </w:r>
      <w:r>
        <w:rPr>
          <w:rFonts w:ascii="宋体" w:eastAsia="宋体" w:hAnsi="宋体" w:cs="宋体" w:hint="eastAsia"/>
          <w:color w:val="auto"/>
          <w:spacing w:val="-2"/>
          <w:szCs w:val="21"/>
          <w:highlight w:val="none"/>
        </w:rPr>
        <w:t>人影弹药及作业装备出厂验收</w:t>
      </w:r>
    </w:p>
    <w:p>
      <w:pPr>
        <w:spacing w:before="159" w:line="360" w:lineRule="auto"/>
        <w:ind w:firstLine="420" w:firstLineChars="200"/>
        <w:rPr>
          <w:rFonts w:ascii="宋体" w:eastAsia="宋体" w:hAnsi="宋体" w:cs="宋体" w:hint="eastAsia"/>
          <w:color w:val="auto"/>
          <w:spacing w:val="-3"/>
          <w:szCs w:val="21"/>
          <w:highlight w:val="none"/>
        </w:rPr>
      </w:pPr>
      <w:r>
        <w:rPr>
          <w:rFonts w:ascii="宋体" w:eastAsia="宋体" w:hAnsi="宋体" w:cs="宋体"/>
          <w:color w:val="auto"/>
          <w:spacing w:val="-20"/>
          <w:szCs w:val="21"/>
          <w:highlight w:val="none"/>
        </w:rPr>
        <w:t>严</w:t>
      </w:r>
      <w:r>
        <w:rPr>
          <w:rFonts w:ascii="宋体" w:eastAsia="宋体" w:hAnsi="宋体" w:cs="宋体"/>
          <w:color w:val="auto"/>
          <w:spacing w:val="-10"/>
          <w:szCs w:val="21"/>
          <w:highlight w:val="none"/>
        </w:rPr>
        <w:t>格按照《人工影响天气用火箭弹验收通用规范》、《37mm人工增雨防雹弹引信制造与验收规范》、《37mm人工增</w:t>
      </w:r>
      <w:r>
        <w:rPr>
          <w:rFonts w:ascii="宋体" w:eastAsia="宋体" w:hAnsi="宋体" w:cs="宋体"/>
          <w:color w:val="auto"/>
          <w:spacing w:val="-8"/>
          <w:szCs w:val="21"/>
          <w:highlight w:val="none"/>
        </w:rPr>
        <w:t>雨防雹弹制造与</w:t>
      </w:r>
      <w:r>
        <w:rPr>
          <w:rFonts w:ascii="宋体" w:eastAsia="宋体" w:hAnsi="宋体" w:cs="宋体"/>
          <w:color w:val="auto"/>
          <w:spacing w:val="-4"/>
          <w:szCs w:val="21"/>
          <w:highlight w:val="none"/>
        </w:rPr>
        <w:t>验收规范》、各企业产品标准及GB2828.1中的相关要求，制定详细、合理的出</w:t>
      </w:r>
      <w:r>
        <w:rPr>
          <w:rFonts w:ascii="宋体" w:eastAsia="宋体" w:hAnsi="宋体" w:cs="宋体"/>
          <w:color w:val="auto"/>
          <w:spacing w:val="-1"/>
          <w:szCs w:val="21"/>
          <w:highlight w:val="none"/>
        </w:rPr>
        <w:t>厂测</w:t>
      </w:r>
      <w:r>
        <w:rPr>
          <w:rFonts w:ascii="宋体" w:eastAsia="宋体" w:hAnsi="宋体" w:cs="宋体"/>
          <w:color w:val="auto"/>
          <w:szCs w:val="21"/>
          <w:highlight w:val="none"/>
        </w:rPr>
        <w:t>试验收方案对人影各类产品进行出厂验收测试。实现全程的出厂验收质量控制。确保每个</w:t>
      </w:r>
      <w:r>
        <w:rPr>
          <w:rFonts w:ascii="宋体" w:eastAsia="宋体" w:hAnsi="宋体" w:cs="宋体"/>
          <w:color w:val="auto"/>
          <w:spacing w:val="-4"/>
          <w:szCs w:val="21"/>
          <w:highlight w:val="none"/>
        </w:rPr>
        <w:t>环节不漏检、不出错，出</w:t>
      </w:r>
      <w:r>
        <w:rPr>
          <w:rFonts w:ascii="宋体" w:eastAsia="宋体" w:hAnsi="宋体" w:cs="宋体"/>
          <w:color w:val="auto"/>
          <w:spacing w:val="-2"/>
          <w:szCs w:val="21"/>
          <w:highlight w:val="none"/>
        </w:rPr>
        <w:t>厂验收测试规定的项目严格按规范试行，保证工作的有序可靠。严格</w:t>
      </w:r>
      <w:r>
        <w:rPr>
          <w:rFonts w:ascii="宋体" w:eastAsia="宋体" w:hAnsi="宋体" w:cs="宋体"/>
          <w:color w:val="auto"/>
          <w:spacing w:val="-5"/>
          <w:szCs w:val="21"/>
          <w:highlight w:val="none"/>
        </w:rPr>
        <w:t>按</w:t>
      </w:r>
      <w:r>
        <w:rPr>
          <w:rFonts w:ascii="宋体" w:eastAsia="宋体" w:hAnsi="宋体" w:cs="宋体"/>
          <w:color w:val="auto"/>
          <w:spacing w:val="-3"/>
          <w:szCs w:val="21"/>
          <w:highlight w:val="none"/>
        </w:rPr>
        <w:t>照实际测试数据编制出厂测试报告并将测试数据录入人工影响天气弹药质量管理验收系统，杜绝不合格产品出厂，保证业务质量。</w:t>
      </w:r>
    </w:p>
    <w:p>
      <w:pPr>
        <w:spacing w:before="159" w:line="360" w:lineRule="auto"/>
        <w:ind w:firstLine="420" w:firstLineChars="200"/>
        <w:rPr>
          <w:rFonts w:ascii="宋体" w:eastAsia="宋体" w:hAnsi="宋体" w:cs="宋体" w:hint="eastAsia"/>
          <w:color w:val="auto"/>
          <w:szCs w:val="21"/>
          <w:highlight w:val="none"/>
        </w:rPr>
      </w:pPr>
      <w:r>
        <w:rPr>
          <w:rFonts w:ascii="宋体" w:eastAsia="宋体" w:hAnsi="宋体" w:cs="宋体" w:hint="eastAsia"/>
          <w:color w:val="auto"/>
          <w:spacing w:val="-3"/>
          <w:szCs w:val="21"/>
          <w:highlight w:val="none"/>
        </w:rPr>
        <w:t>此外，配合中国气象局上海气象装备保障中心完成人工影响天气弹药及地面作业装备质量监督检查、关键技术性能测试。</w:t>
      </w:r>
    </w:p>
    <w:p>
      <w:pPr>
        <w:spacing w:line="221" w:lineRule="auto"/>
        <w:ind w:left="512"/>
        <w:rPr>
          <w:rFonts w:ascii="宋体" w:eastAsia="宋体" w:hAnsi="宋体" w:cs="宋体" w:hint="eastAsia"/>
          <w:color w:val="auto"/>
          <w:szCs w:val="21"/>
          <w:highlight w:val="none"/>
        </w:rPr>
      </w:pPr>
      <w:r>
        <w:rPr>
          <w:rFonts w:ascii="宋体" w:eastAsia="宋体" w:hAnsi="宋体" w:cs="宋体" w:hint="eastAsia"/>
          <w:color w:val="auto"/>
          <w:spacing w:val="-2"/>
          <w:szCs w:val="21"/>
          <w:highlight w:val="none"/>
        </w:rPr>
        <w:t>2</w:t>
      </w:r>
      <w:r>
        <w:rPr>
          <w:rFonts w:ascii="宋体" w:eastAsia="宋体" w:hAnsi="宋体" w:cs="宋体"/>
          <w:color w:val="auto"/>
          <w:spacing w:val="-2"/>
          <w:szCs w:val="21"/>
          <w:highlight w:val="none"/>
        </w:rPr>
        <w:t>.</w:t>
      </w:r>
      <w:r>
        <w:rPr>
          <w:rFonts w:ascii="宋体" w:eastAsia="宋体" w:hAnsi="宋体" w:cs="宋体" w:hint="eastAsia"/>
          <w:color w:val="auto"/>
          <w:spacing w:val="-2"/>
          <w:szCs w:val="21"/>
          <w:highlight w:val="none"/>
        </w:rPr>
        <w:t>许可证</w:t>
      </w:r>
      <w:r>
        <w:rPr>
          <w:rFonts w:ascii="宋体" w:eastAsia="宋体" w:hAnsi="宋体" w:cs="宋体"/>
          <w:color w:val="auto"/>
          <w:spacing w:val="-1"/>
          <w:szCs w:val="21"/>
          <w:highlight w:val="none"/>
        </w:rPr>
        <w:t>审查测试</w:t>
      </w:r>
    </w:p>
    <w:p>
      <w:pPr>
        <w:spacing w:before="157" w:line="360" w:lineRule="auto"/>
        <w:ind w:firstLine="420" w:firstLineChars="200"/>
        <w:rPr>
          <w:rFonts w:ascii="宋体" w:eastAsia="宋体" w:hAnsi="宋体" w:cs="宋体" w:hint="eastAsia"/>
          <w:strike/>
          <w:color w:val="auto"/>
          <w:spacing w:val="-4"/>
          <w:szCs w:val="21"/>
          <w:highlight w:val="none"/>
        </w:rPr>
      </w:pPr>
      <w:r>
        <w:rPr>
          <w:rFonts w:ascii="宋体" w:eastAsia="宋体" w:hAnsi="宋体" w:cs="宋体"/>
          <w:color w:val="auto"/>
          <w:spacing w:val="-4"/>
          <w:szCs w:val="21"/>
          <w:highlight w:val="none"/>
        </w:rPr>
        <w:t>熟悉使用许可管理制度，熟悉使用许可申请、技术审查的要求、测试项目及测试方法，</w:t>
      </w:r>
      <w:r>
        <w:rPr>
          <w:rFonts w:ascii="宋体" w:eastAsia="宋体" w:hAnsi="宋体" w:cs="宋体" w:hint="eastAsia"/>
          <w:color w:val="auto"/>
          <w:spacing w:val="-4"/>
          <w:szCs w:val="21"/>
          <w:highlight w:val="none"/>
        </w:rPr>
        <w:t>按</w:t>
      </w:r>
      <w:r>
        <w:rPr>
          <w:rFonts w:ascii="宋体" w:eastAsia="宋体" w:hAnsi="宋体" w:cs="宋体"/>
          <w:color w:val="auto"/>
          <w:spacing w:val="-4"/>
          <w:szCs w:val="21"/>
          <w:highlight w:val="none"/>
        </w:rPr>
        <w:t>要求限时完成使用许可技术</w:t>
      </w:r>
      <w:r>
        <w:rPr>
          <w:rFonts w:ascii="宋体" w:eastAsia="宋体" w:hAnsi="宋体" w:cs="宋体" w:hint="eastAsia"/>
          <w:color w:val="auto"/>
          <w:spacing w:val="-4"/>
          <w:szCs w:val="21"/>
          <w:highlight w:val="none"/>
        </w:rPr>
        <w:t>资料审查、现场踏勘、现场测试、编制和提交技术审查报告</w:t>
      </w:r>
      <w:r>
        <w:rPr>
          <w:rFonts w:ascii="宋体" w:eastAsia="宋体" w:hAnsi="宋体" w:cs="宋体"/>
          <w:color w:val="auto"/>
          <w:spacing w:val="-4"/>
          <w:szCs w:val="21"/>
          <w:highlight w:val="none"/>
        </w:rPr>
        <w:t>技术审查报告。</w:t>
      </w:r>
    </w:p>
    <w:p>
      <w:pPr>
        <w:spacing w:before="77" w:line="221" w:lineRule="auto"/>
        <w:ind w:left="511"/>
        <w:outlineLvl w:val="0"/>
        <w:rPr>
          <w:rFonts w:ascii="宋体" w:eastAsia="宋体" w:hAnsi="宋体" w:cs="宋体" w:hint="eastAsia"/>
          <w:color w:val="auto"/>
          <w:szCs w:val="21"/>
          <w:highlight w:val="none"/>
        </w:rPr>
      </w:pPr>
      <w:r>
        <w:rPr>
          <w:rFonts w:ascii="Times New Roman" w:eastAsia="宋体" w:hAnsi="Times New Roman" w:cs="Times New Roman" w:hint="eastAsia"/>
          <w:b/>
          <w:bCs/>
          <w:color w:val="auto"/>
          <w:spacing w:val="1"/>
          <w:szCs w:val="21"/>
          <w:highlight w:val="none"/>
        </w:rPr>
        <w:t>7</w:t>
      </w:r>
      <w:r>
        <w:rPr>
          <w:rFonts w:ascii="Times New Roman" w:eastAsia="Times New Roman" w:hAnsi="Times New Roman" w:cs="Times New Roman"/>
          <w:b/>
          <w:bCs/>
          <w:color w:val="auto"/>
          <w:spacing w:val="1"/>
          <w:szCs w:val="21"/>
          <w:highlight w:val="none"/>
        </w:rPr>
        <w:t>.3.</w:t>
      </w:r>
      <w:r>
        <w:rPr>
          <w:rFonts w:ascii="Times New Roman" w:eastAsia="Times New Roman" w:hAnsi="Times New Roman" w:cs="Times New Roman"/>
          <w:b/>
          <w:bCs/>
          <w:color w:val="auto"/>
          <w:szCs w:val="21"/>
          <w:highlight w:val="none"/>
        </w:rPr>
        <w:t>2</w:t>
      </w:r>
      <w:r>
        <w:rPr>
          <w:rFonts w:ascii="宋体" w:eastAsia="宋体" w:hAnsi="宋体" w:cs="宋体"/>
          <w:color w:val="auto"/>
          <w:szCs w:val="21"/>
          <w:highlight w:val="none"/>
        </w:rPr>
        <w:t>探测装备运行保障技术服务</w:t>
      </w:r>
    </w:p>
    <w:p>
      <w:pPr>
        <w:spacing w:before="156" w:line="360" w:lineRule="auto"/>
        <w:ind w:left="1" w:right="77" w:firstLine="489"/>
        <w:rPr>
          <w:rFonts w:ascii="宋体" w:eastAsia="宋体" w:hAnsi="宋体" w:cs="宋体" w:hint="eastAsia"/>
          <w:color w:val="auto"/>
          <w:spacing w:val="-4"/>
          <w:szCs w:val="21"/>
          <w:highlight w:val="none"/>
        </w:rPr>
      </w:pPr>
      <w:r>
        <w:rPr>
          <w:rFonts w:ascii="宋体" w:eastAsia="宋体" w:hAnsi="宋体" w:cs="宋体" w:hint="eastAsia"/>
          <w:color w:val="auto"/>
          <w:spacing w:val="-4"/>
          <w:szCs w:val="21"/>
          <w:highlight w:val="none"/>
        </w:rPr>
        <w:t>1</w:t>
      </w:r>
      <w:r>
        <w:rPr>
          <w:rFonts w:ascii="宋体" w:eastAsia="宋体" w:hAnsi="宋体" w:cs="宋体"/>
          <w:color w:val="auto"/>
          <w:spacing w:val="-4"/>
          <w:szCs w:val="21"/>
          <w:highlight w:val="none"/>
        </w:rPr>
        <w:t xml:space="preserve">. </w:t>
      </w:r>
      <w:r>
        <w:rPr>
          <w:rFonts w:ascii="宋体" w:eastAsia="宋体" w:hAnsi="宋体" w:cs="宋体" w:hint="eastAsia"/>
          <w:color w:val="auto"/>
          <w:spacing w:val="-4"/>
          <w:szCs w:val="21"/>
          <w:highlight w:val="none"/>
        </w:rPr>
        <w:t>高空探测装备出厂测试验收</w:t>
      </w:r>
    </w:p>
    <w:p>
      <w:pPr>
        <w:spacing w:before="156" w:line="360" w:lineRule="auto"/>
        <w:ind w:right="79" w:firstLine="420" w:firstLineChars="200"/>
        <w:rPr>
          <w:rFonts w:ascii="宋体" w:eastAsia="宋体" w:hAnsi="宋体" w:cs="宋体" w:hint="eastAsia"/>
          <w:color w:val="auto"/>
          <w:spacing w:val="-4"/>
          <w:szCs w:val="21"/>
          <w:highlight w:val="none"/>
        </w:rPr>
      </w:pPr>
      <w:r>
        <w:rPr>
          <w:rFonts w:ascii="宋体" w:eastAsia="宋体" w:hAnsi="宋体" w:cs="宋体" w:hint="eastAsia"/>
          <w:color w:val="auto"/>
          <w:spacing w:val="-4"/>
          <w:szCs w:val="21"/>
          <w:highlight w:val="none"/>
        </w:rPr>
        <w:t>严格按照《GTS1探空仪》(QX /T 36 - 2005) 、《北斗探空系统出厂及现场测试大纲》和《气象气球浸渍法天然胶乳气球》(QX /T 222 - 2013)中的相关要求，制定详细、合理的出厂测试验收方案对高空探测装备进行出厂验收测试。实现全程的出厂验收质量控制。确保每个环节不缺项不漏项，出厂验收测试规定的项目严格按规范试行，保证工作的有序可靠。严格按照实际测试数据编制出厂测试报告，杜绝不合格产品出厂，保证业务质量。</w:t>
      </w:r>
    </w:p>
    <w:p>
      <w:pPr>
        <w:spacing w:before="156" w:line="360" w:lineRule="auto"/>
        <w:ind w:left="1" w:right="77" w:firstLine="420" w:firstLineChars="200"/>
        <w:rPr>
          <w:rFonts w:ascii="宋体" w:eastAsia="宋体" w:hAnsi="宋体" w:cs="宋体" w:hint="eastAsia"/>
          <w:color w:val="auto"/>
          <w:spacing w:val="-4"/>
          <w:szCs w:val="21"/>
          <w:highlight w:val="none"/>
        </w:rPr>
      </w:pPr>
      <w:r>
        <w:rPr>
          <w:rFonts w:ascii="宋体" w:eastAsia="宋体" w:hAnsi="宋体" w:cs="宋体" w:hint="eastAsia"/>
          <w:color w:val="auto"/>
          <w:spacing w:val="-4"/>
          <w:szCs w:val="21"/>
          <w:highlight w:val="none"/>
        </w:rPr>
        <w:t>鉴于气象观测数据的重要性和特殊性，观测装备属于特殊的产品，对质量的要求非常严格。有效掌握观测装备质量变化趋势，并对其质量进行跟踪控制管理具有非常重要的意义。</w:t>
      </w:r>
    </w:p>
    <w:p>
      <w:pPr>
        <w:spacing w:before="156" w:line="360" w:lineRule="auto"/>
        <w:ind w:left="1" w:right="77" w:firstLine="420" w:firstLineChars="200"/>
        <w:rPr>
          <w:rFonts w:ascii="宋体" w:eastAsia="宋体" w:hAnsi="宋体" w:cs="宋体" w:hint="eastAsia"/>
          <w:color w:val="auto"/>
          <w:spacing w:val="-4"/>
          <w:szCs w:val="21"/>
          <w:highlight w:val="none"/>
        </w:rPr>
      </w:pPr>
      <w:r>
        <w:rPr>
          <w:rFonts w:ascii="宋体" w:eastAsia="宋体" w:hAnsi="宋体" w:cs="宋体" w:hint="eastAsia"/>
          <w:color w:val="auto"/>
          <w:spacing w:val="-4"/>
          <w:szCs w:val="21"/>
          <w:highlight w:val="none"/>
        </w:rPr>
        <w:t>（1）对使用台站的质量进行跟踪调研。分地域遴选一定数量的台站，了解仪器的质量和使用情况，最终形成质量跟踪调查报告。</w:t>
      </w:r>
    </w:p>
    <w:p>
      <w:pPr>
        <w:spacing w:before="156" w:line="360" w:lineRule="auto"/>
        <w:ind w:left="1" w:right="77" w:firstLine="420" w:firstLineChars="200"/>
        <w:rPr>
          <w:rFonts w:ascii="宋体" w:eastAsia="宋体" w:hAnsi="宋体" w:cs="宋体" w:hint="eastAsia"/>
          <w:color w:val="auto"/>
          <w:spacing w:val="-4"/>
          <w:szCs w:val="21"/>
          <w:highlight w:val="none"/>
        </w:rPr>
      </w:pPr>
      <w:r>
        <w:rPr>
          <w:rFonts w:ascii="宋体" w:eastAsia="宋体" w:hAnsi="宋体" w:cs="宋体" w:hint="eastAsia"/>
          <w:color w:val="auto"/>
          <w:spacing w:val="-4"/>
          <w:szCs w:val="21"/>
          <w:highlight w:val="none"/>
        </w:rPr>
        <w:t>（2）对不合格的高空探测装备进行分析，分析其质量情况，形成质量评估报告，提出更为合理、有利的质量控制方案。</w:t>
      </w:r>
    </w:p>
    <w:p>
      <w:pPr>
        <w:spacing w:before="156" w:line="360" w:lineRule="auto"/>
        <w:ind w:left="1" w:right="77" w:firstLine="489"/>
        <w:rPr>
          <w:rFonts w:ascii="宋体" w:eastAsia="宋体" w:hAnsi="宋体" w:cs="宋体" w:hint="eastAsia"/>
          <w:color w:val="auto"/>
          <w:spacing w:val="-4"/>
          <w:szCs w:val="21"/>
          <w:highlight w:val="none"/>
        </w:rPr>
      </w:pPr>
      <w:r>
        <w:rPr>
          <w:rFonts w:ascii="宋体" w:eastAsia="宋体" w:hAnsi="宋体" w:cs="宋体" w:hint="eastAsia"/>
          <w:color w:val="auto"/>
          <w:spacing w:val="-4"/>
          <w:szCs w:val="21"/>
          <w:highlight w:val="none"/>
        </w:rPr>
        <w:t>2.实验室运行保障技术服务</w:t>
      </w:r>
    </w:p>
    <w:p>
      <w:pPr>
        <w:spacing w:before="119" w:line="360" w:lineRule="auto"/>
        <w:ind w:firstLine="420" w:firstLineChars="200"/>
        <w:rPr>
          <w:rFonts w:ascii="宋体" w:eastAsia="宋体" w:hAnsi="宋体" w:cs="宋体" w:hint="eastAsia"/>
          <w:color w:val="auto"/>
          <w:szCs w:val="21"/>
          <w:highlight w:val="none"/>
        </w:rPr>
      </w:pPr>
      <w:r>
        <w:rPr>
          <w:rFonts w:ascii="宋体" w:eastAsia="宋体" w:hAnsi="宋体" w:cs="宋体"/>
          <w:color w:val="auto"/>
          <w:spacing w:val="-4"/>
          <w:szCs w:val="21"/>
          <w:highlight w:val="none"/>
        </w:rPr>
        <w:t>1</w:t>
      </w:r>
      <w:r>
        <w:rPr>
          <w:rFonts w:ascii="宋体" w:eastAsia="宋体" w:hAnsi="宋体" w:cs="宋体"/>
          <w:color w:val="auto"/>
          <w:spacing w:val="-3"/>
          <w:szCs w:val="21"/>
          <w:highlight w:val="none"/>
        </w:rPr>
        <w:t>.</w:t>
      </w:r>
      <w:r>
        <w:rPr>
          <w:rFonts w:ascii="宋体" w:eastAsia="宋体" w:hAnsi="宋体" w:cs="宋体"/>
          <w:color w:val="auto"/>
          <w:spacing w:val="-2"/>
          <w:szCs w:val="21"/>
          <w:highlight w:val="none"/>
        </w:rPr>
        <w:t>运行维护方案</w:t>
      </w:r>
    </w:p>
    <w:p>
      <w:pPr>
        <w:spacing w:before="159" w:line="360" w:lineRule="auto"/>
        <w:ind w:right="74" w:firstLine="420" w:firstLineChars="200"/>
        <w:rPr>
          <w:rFonts w:ascii="宋体" w:eastAsia="宋体" w:hAnsi="宋体" w:cs="宋体" w:hint="eastAsia"/>
          <w:color w:val="auto"/>
          <w:szCs w:val="21"/>
          <w:highlight w:val="none"/>
        </w:rPr>
      </w:pPr>
      <w:r>
        <w:rPr>
          <w:rFonts w:ascii="宋体" w:eastAsia="宋体" w:hAnsi="宋体" w:cs="宋体"/>
          <w:color w:val="auto"/>
          <w:spacing w:val="-4"/>
          <w:szCs w:val="21"/>
          <w:highlight w:val="none"/>
        </w:rPr>
        <w:t>根据探空仪质量</w:t>
      </w:r>
      <w:r>
        <w:rPr>
          <w:rFonts w:ascii="宋体" w:eastAsia="宋体" w:hAnsi="宋体" w:cs="宋体"/>
          <w:color w:val="auto"/>
          <w:spacing w:val="-3"/>
          <w:szCs w:val="21"/>
          <w:highlight w:val="none"/>
        </w:rPr>
        <w:t>检</w:t>
      </w:r>
      <w:r>
        <w:rPr>
          <w:rFonts w:ascii="宋体" w:eastAsia="宋体" w:hAnsi="宋体" w:cs="宋体"/>
          <w:color w:val="auto"/>
          <w:spacing w:val="-2"/>
          <w:szCs w:val="21"/>
          <w:highlight w:val="none"/>
        </w:rPr>
        <w:t>测实验室、能见度计量检测实验室、自动土壤水分观测仪检测实验室和</w:t>
      </w:r>
      <w:r>
        <w:rPr>
          <w:rFonts w:ascii="宋体" w:eastAsia="宋体" w:hAnsi="宋体" w:cs="宋体"/>
          <w:color w:val="auto"/>
          <w:szCs w:val="21"/>
          <w:highlight w:val="none"/>
        </w:rPr>
        <w:t>辐射检定实验室的业务运行要求，制定科学合理的实验室运行维护方案，包括实验室所有仪器</w:t>
      </w:r>
      <w:r>
        <w:rPr>
          <w:rFonts w:ascii="宋体" w:eastAsia="宋体" w:hAnsi="宋体" w:cs="宋体"/>
          <w:color w:val="auto"/>
          <w:spacing w:val="-1"/>
          <w:szCs w:val="21"/>
          <w:highlight w:val="none"/>
        </w:rPr>
        <w:t>设</w:t>
      </w:r>
      <w:r>
        <w:rPr>
          <w:rFonts w:ascii="宋体" w:eastAsia="宋体" w:hAnsi="宋体" w:cs="宋体"/>
          <w:color w:val="auto"/>
          <w:szCs w:val="21"/>
          <w:highlight w:val="none"/>
        </w:rPr>
        <w:t>备的日常维护维修、</w:t>
      </w:r>
      <w:r>
        <w:rPr>
          <w:rFonts w:ascii="Times New Roman" w:eastAsia="宋体" w:hAnsi="Times New Roman" w:cs="Times New Roman" w:hint="eastAsia"/>
          <w:color w:val="auto"/>
          <w:szCs w:val="20"/>
          <w:highlight w:val="none"/>
        </w:rPr>
        <w:t>送检</w:t>
      </w:r>
      <w:r>
        <w:rPr>
          <w:rFonts w:ascii="宋体" w:eastAsia="宋体" w:hAnsi="宋体" w:cs="宋体"/>
          <w:color w:val="auto"/>
          <w:szCs w:val="21"/>
          <w:highlight w:val="none"/>
        </w:rPr>
        <w:t>、软件升级更新、主要标准设备期间核查和人员技术培训等内容。</w:t>
      </w:r>
    </w:p>
    <w:p>
      <w:pPr>
        <w:spacing w:line="220" w:lineRule="auto"/>
        <w:ind w:left="512"/>
        <w:rPr>
          <w:rFonts w:ascii="宋体" w:eastAsia="宋体" w:hAnsi="宋体" w:cs="宋体" w:hint="eastAsia"/>
          <w:color w:val="auto"/>
          <w:spacing w:val="-4"/>
          <w:szCs w:val="21"/>
          <w:highlight w:val="none"/>
        </w:rPr>
      </w:pPr>
      <w:r>
        <w:rPr>
          <w:rFonts w:ascii="宋体" w:eastAsia="宋体" w:hAnsi="宋体" w:cs="宋体"/>
          <w:color w:val="auto"/>
          <w:spacing w:val="-4"/>
          <w:szCs w:val="21"/>
          <w:highlight w:val="none"/>
        </w:rPr>
        <w:t>主要仪器设备送检目录：</w:t>
      </w:r>
    </w:p>
    <w:tbl>
      <w:tblPr>
        <w:tblStyle w:val="TableGrid"/>
        <w:tblW w:w="82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79"/>
        <w:gridCol w:w="2506"/>
        <w:gridCol w:w="940"/>
        <w:gridCol w:w="678"/>
        <w:gridCol w:w="2506"/>
        <w:gridCol w:w="940"/>
      </w:tblGrid>
      <w:tr>
        <w:tblPrEx>
          <w:tblW w:w="82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446"/>
          <w:jc w:val="center"/>
        </w:trPr>
        <w:tc>
          <w:tcPr>
            <w:tcW w:w="679" w:type="dxa"/>
            <w:vAlign w:val="center"/>
          </w:tcPr>
          <w:p>
            <w:pPr>
              <w:spacing w:line="240" w:lineRule="exact"/>
              <w:jc w:val="center"/>
              <w:rPr>
                <w:rFonts w:ascii="Calibri" w:eastAsia="宋体" w:hAnsi="Calibri" w:cs="Times New Roman"/>
                <w:b/>
                <w:bCs/>
                <w:color w:val="auto"/>
                <w:szCs w:val="22"/>
                <w:highlight w:val="none"/>
              </w:rPr>
            </w:pPr>
            <w:r>
              <w:rPr>
                <w:rFonts w:ascii="Calibri" w:eastAsia="宋体" w:hAnsi="Calibri" w:cs="Times New Roman" w:hint="eastAsia"/>
                <w:b/>
                <w:bCs/>
                <w:color w:val="auto"/>
                <w:szCs w:val="22"/>
                <w:highlight w:val="none"/>
              </w:rPr>
              <w:t>序</w:t>
            </w:r>
          </w:p>
        </w:tc>
        <w:tc>
          <w:tcPr>
            <w:tcW w:w="2506" w:type="dxa"/>
            <w:vAlign w:val="center"/>
          </w:tcPr>
          <w:p>
            <w:pPr>
              <w:spacing w:line="240" w:lineRule="exact"/>
              <w:jc w:val="center"/>
              <w:rPr>
                <w:rFonts w:ascii="Calibri" w:eastAsia="宋体" w:hAnsi="Calibri" w:cs="Times New Roman"/>
                <w:b/>
                <w:bCs/>
                <w:color w:val="auto"/>
                <w:szCs w:val="22"/>
                <w:highlight w:val="none"/>
              </w:rPr>
            </w:pPr>
            <w:r>
              <w:rPr>
                <w:rFonts w:ascii="Calibri" w:eastAsia="宋体" w:hAnsi="Calibri" w:cs="Times New Roman" w:hint="eastAsia"/>
                <w:b/>
                <w:bCs/>
                <w:color w:val="auto"/>
                <w:szCs w:val="22"/>
                <w:highlight w:val="none"/>
              </w:rPr>
              <w:t>设备名称</w:t>
            </w:r>
          </w:p>
        </w:tc>
        <w:tc>
          <w:tcPr>
            <w:tcW w:w="940" w:type="dxa"/>
            <w:tcBorders>
              <w:right w:val="thinThickThinSmallGap" w:sz="24" w:space="0" w:color="auto"/>
            </w:tcBorders>
            <w:vAlign w:val="center"/>
          </w:tcPr>
          <w:p>
            <w:pPr>
              <w:spacing w:line="240" w:lineRule="exact"/>
              <w:jc w:val="center"/>
              <w:rPr>
                <w:rFonts w:ascii="Calibri" w:eastAsia="宋体" w:hAnsi="Calibri" w:cs="Times New Roman"/>
                <w:b/>
                <w:bCs/>
                <w:color w:val="auto"/>
                <w:szCs w:val="22"/>
                <w:highlight w:val="none"/>
              </w:rPr>
            </w:pPr>
            <w:r>
              <w:rPr>
                <w:rFonts w:ascii="Calibri" w:eastAsia="宋体" w:hAnsi="Calibri" w:cs="Times New Roman" w:hint="eastAsia"/>
                <w:b/>
                <w:bCs/>
                <w:color w:val="auto"/>
                <w:szCs w:val="22"/>
                <w:highlight w:val="none"/>
              </w:rPr>
              <w:t>数量</w:t>
            </w:r>
          </w:p>
        </w:tc>
        <w:tc>
          <w:tcPr>
            <w:tcW w:w="678" w:type="dxa"/>
            <w:tcBorders>
              <w:left w:val="thinThickThinSmallGap" w:sz="24" w:space="0" w:color="auto"/>
            </w:tcBorders>
            <w:vAlign w:val="center"/>
          </w:tcPr>
          <w:p>
            <w:pPr>
              <w:spacing w:line="240" w:lineRule="exact"/>
              <w:jc w:val="center"/>
              <w:rPr>
                <w:rFonts w:ascii="Calibri" w:eastAsia="宋体" w:hAnsi="Calibri" w:cs="Times New Roman"/>
                <w:b/>
                <w:bCs/>
                <w:color w:val="auto"/>
                <w:szCs w:val="22"/>
                <w:highlight w:val="none"/>
              </w:rPr>
            </w:pPr>
            <w:r>
              <w:rPr>
                <w:rFonts w:ascii="Calibri" w:eastAsia="宋体" w:hAnsi="Calibri" w:cs="Times New Roman" w:hint="eastAsia"/>
                <w:b/>
                <w:bCs/>
                <w:color w:val="auto"/>
                <w:szCs w:val="22"/>
                <w:highlight w:val="none"/>
              </w:rPr>
              <w:t>序</w:t>
            </w:r>
          </w:p>
        </w:tc>
        <w:tc>
          <w:tcPr>
            <w:tcW w:w="2506" w:type="dxa"/>
            <w:vAlign w:val="center"/>
          </w:tcPr>
          <w:p>
            <w:pPr>
              <w:spacing w:line="240" w:lineRule="exact"/>
              <w:jc w:val="center"/>
              <w:rPr>
                <w:rFonts w:ascii="Calibri" w:eastAsia="宋体" w:hAnsi="Calibri" w:cs="Times New Roman"/>
                <w:b/>
                <w:bCs/>
                <w:color w:val="auto"/>
                <w:szCs w:val="22"/>
                <w:highlight w:val="none"/>
              </w:rPr>
            </w:pPr>
            <w:r>
              <w:rPr>
                <w:rFonts w:ascii="Calibri" w:eastAsia="宋体" w:hAnsi="Calibri" w:cs="Times New Roman" w:hint="eastAsia"/>
                <w:b/>
                <w:bCs/>
                <w:color w:val="auto"/>
                <w:szCs w:val="22"/>
                <w:highlight w:val="none"/>
              </w:rPr>
              <w:t>设备名称</w:t>
            </w:r>
          </w:p>
        </w:tc>
        <w:tc>
          <w:tcPr>
            <w:tcW w:w="940" w:type="dxa"/>
            <w:vAlign w:val="center"/>
          </w:tcPr>
          <w:p>
            <w:pPr>
              <w:spacing w:line="240" w:lineRule="exact"/>
              <w:jc w:val="center"/>
              <w:rPr>
                <w:rFonts w:ascii="Calibri" w:eastAsia="宋体" w:hAnsi="Calibri" w:cs="Times New Roman"/>
                <w:b/>
                <w:bCs/>
                <w:color w:val="auto"/>
                <w:szCs w:val="22"/>
                <w:highlight w:val="none"/>
              </w:rPr>
            </w:pPr>
            <w:r>
              <w:rPr>
                <w:rFonts w:ascii="Calibri" w:eastAsia="宋体" w:hAnsi="Calibri" w:cs="Times New Roman" w:hint="eastAsia"/>
                <w:b/>
                <w:bCs/>
                <w:color w:val="auto"/>
                <w:szCs w:val="22"/>
                <w:highlight w:val="none"/>
              </w:rPr>
              <w:t>数量</w:t>
            </w:r>
          </w:p>
        </w:tc>
      </w:tr>
      <w:tr>
        <w:tblPrEx>
          <w:tblW w:w="8249" w:type="dxa"/>
          <w:jc w:val="center"/>
          <w:tblCellMar>
            <w:top w:w="0" w:type="dxa"/>
            <w:left w:w="108" w:type="dxa"/>
            <w:bottom w:w="0" w:type="dxa"/>
            <w:right w:w="108" w:type="dxa"/>
          </w:tblCellMar>
        </w:tblPrEx>
        <w:trPr>
          <w:trHeight w:val="446"/>
          <w:jc w:val="center"/>
        </w:trPr>
        <w:tc>
          <w:tcPr>
            <w:tcW w:w="679"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1</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天平</w:t>
            </w:r>
          </w:p>
        </w:tc>
        <w:tc>
          <w:tcPr>
            <w:tcW w:w="940" w:type="dxa"/>
            <w:tcBorders>
              <w:righ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c>
          <w:tcPr>
            <w:tcW w:w="678" w:type="dxa"/>
            <w:tcBorders>
              <w:lef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38</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玻璃温度计</w:t>
            </w:r>
          </w:p>
        </w:tc>
        <w:tc>
          <w:tcPr>
            <w:tcW w:w="940"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r>
      <w:tr>
        <w:tblPrEx>
          <w:tblW w:w="8249" w:type="dxa"/>
          <w:jc w:val="center"/>
          <w:tblCellMar>
            <w:top w:w="0" w:type="dxa"/>
            <w:left w:w="108" w:type="dxa"/>
            <w:bottom w:w="0" w:type="dxa"/>
            <w:right w:w="108" w:type="dxa"/>
          </w:tblCellMar>
        </w:tblPrEx>
        <w:trPr>
          <w:trHeight w:val="446"/>
          <w:jc w:val="center"/>
        </w:trPr>
        <w:tc>
          <w:tcPr>
            <w:tcW w:w="679"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2</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砝码</w:t>
            </w:r>
          </w:p>
        </w:tc>
        <w:tc>
          <w:tcPr>
            <w:tcW w:w="940" w:type="dxa"/>
            <w:tcBorders>
              <w:righ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c>
          <w:tcPr>
            <w:tcW w:w="678" w:type="dxa"/>
            <w:tcBorders>
              <w:lef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39</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环刀</w:t>
            </w:r>
          </w:p>
        </w:tc>
        <w:tc>
          <w:tcPr>
            <w:tcW w:w="940"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r>
      <w:tr>
        <w:tblPrEx>
          <w:tblW w:w="8249" w:type="dxa"/>
          <w:jc w:val="center"/>
          <w:tblCellMar>
            <w:top w:w="0" w:type="dxa"/>
            <w:left w:w="108" w:type="dxa"/>
            <w:bottom w:w="0" w:type="dxa"/>
            <w:right w:w="108" w:type="dxa"/>
          </w:tblCellMar>
        </w:tblPrEx>
        <w:trPr>
          <w:trHeight w:val="446"/>
          <w:jc w:val="center"/>
        </w:trPr>
        <w:tc>
          <w:tcPr>
            <w:tcW w:w="679"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3</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天平</w:t>
            </w:r>
          </w:p>
        </w:tc>
        <w:tc>
          <w:tcPr>
            <w:tcW w:w="940" w:type="dxa"/>
            <w:tcBorders>
              <w:righ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c>
          <w:tcPr>
            <w:tcW w:w="678" w:type="dxa"/>
            <w:tcBorders>
              <w:lef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40</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秒表</w:t>
            </w:r>
          </w:p>
        </w:tc>
        <w:tc>
          <w:tcPr>
            <w:tcW w:w="940"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r>
      <w:tr>
        <w:tblPrEx>
          <w:tblW w:w="8249" w:type="dxa"/>
          <w:jc w:val="center"/>
          <w:tblCellMar>
            <w:top w:w="0" w:type="dxa"/>
            <w:left w:w="108" w:type="dxa"/>
            <w:bottom w:w="0" w:type="dxa"/>
            <w:right w:w="108" w:type="dxa"/>
          </w:tblCellMar>
        </w:tblPrEx>
        <w:trPr>
          <w:trHeight w:val="446"/>
          <w:jc w:val="center"/>
        </w:trPr>
        <w:tc>
          <w:tcPr>
            <w:tcW w:w="679"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4</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砝码</w:t>
            </w:r>
          </w:p>
        </w:tc>
        <w:tc>
          <w:tcPr>
            <w:tcW w:w="940" w:type="dxa"/>
            <w:tcBorders>
              <w:righ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c>
          <w:tcPr>
            <w:tcW w:w="678" w:type="dxa"/>
            <w:tcBorders>
              <w:lef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41</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绝对直接辐射表</w:t>
            </w:r>
          </w:p>
        </w:tc>
        <w:tc>
          <w:tcPr>
            <w:tcW w:w="940"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r>
      <w:tr>
        <w:tblPrEx>
          <w:tblW w:w="8249" w:type="dxa"/>
          <w:jc w:val="center"/>
          <w:tblCellMar>
            <w:top w:w="0" w:type="dxa"/>
            <w:left w:w="108" w:type="dxa"/>
            <w:bottom w:w="0" w:type="dxa"/>
            <w:right w:w="108" w:type="dxa"/>
          </w:tblCellMar>
        </w:tblPrEx>
        <w:trPr>
          <w:trHeight w:val="446"/>
          <w:jc w:val="center"/>
        </w:trPr>
        <w:tc>
          <w:tcPr>
            <w:tcW w:w="679"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5</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滤光片</w:t>
            </w:r>
          </w:p>
        </w:tc>
        <w:tc>
          <w:tcPr>
            <w:tcW w:w="940" w:type="dxa"/>
            <w:tcBorders>
              <w:righ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2</w:t>
            </w:r>
          </w:p>
        </w:tc>
        <w:tc>
          <w:tcPr>
            <w:tcW w:w="678" w:type="dxa"/>
            <w:tcBorders>
              <w:lef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42</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直流电源</w:t>
            </w:r>
          </w:p>
        </w:tc>
        <w:tc>
          <w:tcPr>
            <w:tcW w:w="940"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5</w:t>
            </w:r>
          </w:p>
        </w:tc>
      </w:tr>
      <w:tr>
        <w:tblPrEx>
          <w:tblW w:w="8249" w:type="dxa"/>
          <w:jc w:val="center"/>
          <w:tblCellMar>
            <w:top w:w="0" w:type="dxa"/>
            <w:left w:w="108" w:type="dxa"/>
            <w:bottom w:w="0" w:type="dxa"/>
            <w:right w:w="108" w:type="dxa"/>
          </w:tblCellMar>
        </w:tblPrEx>
        <w:trPr>
          <w:trHeight w:val="446"/>
          <w:jc w:val="center"/>
        </w:trPr>
        <w:tc>
          <w:tcPr>
            <w:tcW w:w="679"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6</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模拟信号发生器</w:t>
            </w:r>
          </w:p>
        </w:tc>
        <w:tc>
          <w:tcPr>
            <w:tcW w:w="940" w:type="dxa"/>
            <w:tcBorders>
              <w:righ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c>
          <w:tcPr>
            <w:tcW w:w="678" w:type="dxa"/>
            <w:tcBorders>
              <w:lef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43</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秒表</w:t>
            </w:r>
          </w:p>
        </w:tc>
        <w:tc>
          <w:tcPr>
            <w:tcW w:w="940"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r>
      <w:tr>
        <w:tblPrEx>
          <w:tblW w:w="8249" w:type="dxa"/>
          <w:jc w:val="center"/>
          <w:tblCellMar>
            <w:top w:w="0" w:type="dxa"/>
            <w:left w:w="108" w:type="dxa"/>
            <w:bottom w:w="0" w:type="dxa"/>
            <w:right w:w="108" w:type="dxa"/>
          </w:tblCellMar>
        </w:tblPrEx>
        <w:trPr>
          <w:trHeight w:val="446"/>
          <w:jc w:val="center"/>
        </w:trPr>
        <w:tc>
          <w:tcPr>
            <w:tcW w:w="679"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7</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频谱仪</w:t>
            </w:r>
          </w:p>
        </w:tc>
        <w:tc>
          <w:tcPr>
            <w:tcW w:w="940" w:type="dxa"/>
            <w:tcBorders>
              <w:righ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c>
          <w:tcPr>
            <w:tcW w:w="678" w:type="dxa"/>
            <w:tcBorders>
              <w:lef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44</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绝对直接辐射表</w:t>
            </w:r>
          </w:p>
        </w:tc>
        <w:tc>
          <w:tcPr>
            <w:tcW w:w="940"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r>
      <w:tr>
        <w:tblPrEx>
          <w:tblW w:w="8249" w:type="dxa"/>
          <w:jc w:val="center"/>
          <w:tblCellMar>
            <w:top w:w="0" w:type="dxa"/>
            <w:left w:w="108" w:type="dxa"/>
            <w:bottom w:w="0" w:type="dxa"/>
            <w:right w:w="108" w:type="dxa"/>
          </w:tblCellMar>
        </w:tblPrEx>
        <w:trPr>
          <w:trHeight w:val="446"/>
          <w:jc w:val="center"/>
        </w:trPr>
        <w:tc>
          <w:tcPr>
            <w:tcW w:w="679"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8</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频率计</w:t>
            </w:r>
          </w:p>
        </w:tc>
        <w:tc>
          <w:tcPr>
            <w:tcW w:w="940" w:type="dxa"/>
            <w:tcBorders>
              <w:righ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c>
          <w:tcPr>
            <w:tcW w:w="678" w:type="dxa"/>
            <w:tcBorders>
              <w:lef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45</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压温试验箱</w:t>
            </w:r>
          </w:p>
        </w:tc>
        <w:tc>
          <w:tcPr>
            <w:tcW w:w="940"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r>
      <w:tr>
        <w:tblPrEx>
          <w:tblW w:w="8249" w:type="dxa"/>
          <w:jc w:val="center"/>
          <w:tblCellMar>
            <w:top w:w="0" w:type="dxa"/>
            <w:left w:w="108" w:type="dxa"/>
            <w:bottom w:w="0" w:type="dxa"/>
            <w:right w:w="108" w:type="dxa"/>
          </w:tblCellMar>
        </w:tblPrEx>
        <w:trPr>
          <w:trHeight w:val="446"/>
          <w:jc w:val="center"/>
        </w:trPr>
        <w:tc>
          <w:tcPr>
            <w:tcW w:w="679"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9</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功率计(带衰减器)</w:t>
            </w:r>
          </w:p>
        </w:tc>
        <w:tc>
          <w:tcPr>
            <w:tcW w:w="940" w:type="dxa"/>
            <w:tcBorders>
              <w:righ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c>
          <w:tcPr>
            <w:tcW w:w="678" w:type="dxa"/>
            <w:tcBorders>
              <w:lef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46</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恒温槽</w:t>
            </w:r>
          </w:p>
        </w:tc>
        <w:tc>
          <w:tcPr>
            <w:tcW w:w="940"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r>
      <w:tr>
        <w:tblPrEx>
          <w:tblW w:w="8249" w:type="dxa"/>
          <w:jc w:val="center"/>
          <w:tblCellMar>
            <w:top w:w="0" w:type="dxa"/>
            <w:left w:w="108" w:type="dxa"/>
            <w:bottom w:w="0" w:type="dxa"/>
            <w:right w:w="108" w:type="dxa"/>
          </w:tblCellMar>
        </w:tblPrEx>
        <w:trPr>
          <w:trHeight w:val="446"/>
          <w:jc w:val="center"/>
        </w:trPr>
        <w:tc>
          <w:tcPr>
            <w:tcW w:w="679"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10</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数字示波器</w:t>
            </w:r>
          </w:p>
        </w:tc>
        <w:tc>
          <w:tcPr>
            <w:tcW w:w="940" w:type="dxa"/>
            <w:tcBorders>
              <w:righ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c>
          <w:tcPr>
            <w:tcW w:w="678" w:type="dxa"/>
            <w:tcBorders>
              <w:lef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47</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压温试验箱</w:t>
            </w:r>
          </w:p>
        </w:tc>
        <w:tc>
          <w:tcPr>
            <w:tcW w:w="940"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r>
      <w:tr>
        <w:tblPrEx>
          <w:tblW w:w="8249" w:type="dxa"/>
          <w:jc w:val="center"/>
          <w:tblCellMar>
            <w:top w:w="0" w:type="dxa"/>
            <w:left w:w="108" w:type="dxa"/>
            <w:bottom w:w="0" w:type="dxa"/>
            <w:right w:w="108" w:type="dxa"/>
          </w:tblCellMar>
        </w:tblPrEx>
        <w:trPr>
          <w:trHeight w:val="446"/>
          <w:jc w:val="center"/>
        </w:trPr>
        <w:tc>
          <w:tcPr>
            <w:tcW w:w="679"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11</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直流稳压电源</w:t>
            </w:r>
          </w:p>
        </w:tc>
        <w:tc>
          <w:tcPr>
            <w:tcW w:w="940" w:type="dxa"/>
            <w:tcBorders>
              <w:righ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5</w:t>
            </w:r>
          </w:p>
        </w:tc>
        <w:tc>
          <w:tcPr>
            <w:tcW w:w="678" w:type="dxa"/>
            <w:tcBorders>
              <w:lef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48</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温湿度检定箱</w:t>
            </w:r>
          </w:p>
        </w:tc>
        <w:tc>
          <w:tcPr>
            <w:tcW w:w="940"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r>
      <w:tr>
        <w:tblPrEx>
          <w:tblW w:w="8249" w:type="dxa"/>
          <w:jc w:val="center"/>
          <w:tblCellMar>
            <w:top w:w="0" w:type="dxa"/>
            <w:left w:w="108" w:type="dxa"/>
            <w:bottom w:w="0" w:type="dxa"/>
            <w:right w:w="108" w:type="dxa"/>
          </w:tblCellMar>
        </w:tblPrEx>
        <w:trPr>
          <w:trHeight w:val="446"/>
          <w:jc w:val="center"/>
        </w:trPr>
        <w:tc>
          <w:tcPr>
            <w:tcW w:w="679"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12</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恒温槽</w:t>
            </w:r>
          </w:p>
        </w:tc>
        <w:tc>
          <w:tcPr>
            <w:tcW w:w="940" w:type="dxa"/>
            <w:tcBorders>
              <w:righ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3</w:t>
            </w:r>
          </w:p>
        </w:tc>
        <w:tc>
          <w:tcPr>
            <w:tcW w:w="678" w:type="dxa"/>
            <w:tcBorders>
              <w:lef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49</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自动气压发生器</w:t>
            </w:r>
          </w:p>
        </w:tc>
        <w:tc>
          <w:tcPr>
            <w:tcW w:w="940"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r>
      <w:tr>
        <w:tblPrEx>
          <w:tblW w:w="8249" w:type="dxa"/>
          <w:jc w:val="center"/>
          <w:tblCellMar>
            <w:top w:w="0" w:type="dxa"/>
            <w:left w:w="108" w:type="dxa"/>
            <w:bottom w:w="0" w:type="dxa"/>
            <w:right w:w="108" w:type="dxa"/>
          </w:tblCellMar>
        </w:tblPrEx>
        <w:trPr>
          <w:trHeight w:val="446"/>
          <w:jc w:val="center"/>
        </w:trPr>
        <w:tc>
          <w:tcPr>
            <w:tcW w:w="679"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13</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数字温度计</w:t>
            </w:r>
          </w:p>
        </w:tc>
        <w:tc>
          <w:tcPr>
            <w:tcW w:w="940" w:type="dxa"/>
            <w:tcBorders>
              <w:righ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c>
          <w:tcPr>
            <w:tcW w:w="678" w:type="dxa"/>
            <w:tcBorders>
              <w:lef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50</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试盐雾环境模拟实验方舱</w:t>
            </w:r>
          </w:p>
        </w:tc>
        <w:tc>
          <w:tcPr>
            <w:tcW w:w="940"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r>
      <w:tr>
        <w:tblPrEx>
          <w:tblW w:w="8249" w:type="dxa"/>
          <w:jc w:val="center"/>
          <w:tblCellMar>
            <w:top w:w="0" w:type="dxa"/>
            <w:left w:w="108" w:type="dxa"/>
            <w:bottom w:w="0" w:type="dxa"/>
            <w:right w:w="108" w:type="dxa"/>
          </w:tblCellMar>
        </w:tblPrEx>
        <w:trPr>
          <w:trHeight w:val="446"/>
          <w:jc w:val="center"/>
        </w:trPr>
        <w:tc>
          <w:tcPr>
            <w:tcW w:w="679"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14</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精密数字温度计</w:t>
            </w:r>
          </w:p>
        </w:tc>
        <w:tc>
          <w:tcPr>
            <w:tcW w:w="940" w:type="dxa"/>
            <w:tcBorders>
              <w:righ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c>
          <w:tcPr>
            <w:tcW w:w="678" w:type="dxa"/>
            <w:tcBorders>
              <w:lef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51</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水三相点瓶</w:t>
            </w:r>
          </w:p>
        </w:tc>
        <w:tc>
          <w:tcPr>
            <w:tcW w:w="940"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2</w:t>
            </w:r>
          </w:p>
        </w:tc>
      </w:tr>
      <w:tr>
        <w:tblPrEx>
          <w:tblW w:w="8249" w:type="dxa"/>
          <w:jc w:val="center"/>
          <w:tblCellMar>
            <w:top w:w="0" w:type="dxa"/>
            <w:left w:w="108" w:type="dxa"/>
            <w:bottom w:w="0" w:type="dxa"/>
            <w:right w:w="108" w:type="dxa"/>
          </w:tblCellMar>
        </w:tblPrEx>
        <w:trPr>
          <w:trHeight w:val="446"/>
          <w:jc w:val="center"/>
        </w:trPr>
        <w:tc>
          <w:tcPr>
            <w:tcW w:w="679"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15</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标准铂电阻温度计</w:t>
            </w:r>
          </w:p>
        </w:tc>
        <w:tc>
          <w:tcPr>
            <w:tcW w:w="940" w:type="dxa"/>
            <w:tcBorders>
              <w:righ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c>
          <w:tcPr>
            <w:tcW w:w="678" w:type="dxa"/>
            <w:tcBorders>
              <w:lef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52</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水三相点冻制保存装置</w:t>
            </w:r>
          </w:p>
        </w:tc>
        <w:tc>
          <w:tcPr>
            <w:tcW w:w="940"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r>
      <w:tr>
        <w:tblPrEx>
          <w:tblW w:w="8249" w:type="dxa"/>
          <w:jc w:val="center"/>
          <w:tblCellMar>
            <w:top w:w="0" w:type="dxa"/>
            <w:left w:w="108" w:type="dxa"/>
            <w:bottom w:w="0" w:type="dxa"/>
            <w:right w:w="108" w:type="dxa"/>
          </w:tblCellMar>
        </w:tblPrEx>
        <w:trPr>
          <w:trHeight w:val="446"/>
          <w:jc w:val="center"/>
        </w:trPr>
        <w:tc>
          <w:tcPr>
            <w:tcW w:w="679"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16</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湿度检测箱</w:t>
            </w:r>
          </w:p>
        </w:tc>
        <w:tc>
          <w:tcPr>
            <w:tcW w:w="940" w:type="dxa"/>
            <w:tcBorders>
              <w:righ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c>
          <w:tcPr>
            <w:tcW w:w="678" w:type="dxa"/>
            <w:tcBorders>
              <w:lef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53</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高低温湿热试验箱</w:t>
            </w:r>
          </w:p>
        </w:tc>
        <w:tc>
          <w:tcPr>
            <w:tcW w:w="940"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r>
      <w:tr>
        <w:tblPrEx>
          <w:tblW w:w="8249" w:type="dxa"/>
          <w:jc w:val="center"/>
          <w:tblCellMar>
            <w:top w:w="0" w:type="dxa"/>
            <w:left w:w="108" w:type="dxa"/>
            <w:bottom w:w="0" w:type="dxa"/>
            <w:right w:w="108" w:type="dxa"/>
          </w:tblCellMar>
        </w:tblPrEx>
        <w:trPr>
          <w:trHeight w:val="446"/>
          <w:jc w:val="center"/>
        </w:trPr>
        <w:tc>
          <w:tcPr>
            <w:tcW w:w="679"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17</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标准湿度发生器</w:t>
            </w:r>
          </w:p>
        </w:tc>
        <w:tc>
          <w:tcPr>
            <w:tcW w:w="940" w:type="dxa"/>
            <w:tcBorders>
              <w:righ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c>
          <w:tcPr>
            <w:tcW w:w="678" w:type="dxa"/>
            <w:tcBorders>
              <w:lef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54</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高低温交变湿热箱</w:t>
            </w:r>
          </w:p>
        </w:tc>
        <w:tc>
          <w:tcPr>
            <w:tcW w:w="940"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2</w:t>
            </w:r>
          </w:p>
        </w:tc>
      </w:tr>
      <w:tr>
        <w:tblPrEx>
          <w:tblW w:w="8249" w:type="dxa"/>
          <w:jc w:val="center"/>
          <w:tblCellMar>
            <w:top w:w="0" w:type="dxa"/>
            <w:left w:w="108" w:type="dxa"/>
            <w:bottom w:w="0" w:type="dxa"/>
            <w:right w:w="108" w:type="dxa"/>
          </w:tblCellMar>
        </w:tblPrEx>
        <w:trPr>
          <w:trHeight w:val="446"/>
          <w:jc w:val="center"/>
        </w:trPr>
        <w:tc>
          <w:tcPr>
            <w:tcW w:w="679"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18</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精密露点仪</w:t>
            </w:r>
          </w:p>
        </w:tc>
        <w:tc>
          <w:tcPr>
            <w:tcW w:w="940" w:type="dxa"/>
            <w:tcBorders>
              <w:righ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6</w:t>
            </w:r>
          </w:p>
        </w:tc>
        <w:tc>
          <w:tcPr>
            <w:tcW w:w="678" w:type="dxa"/>
            <w:tcBorders>
              <w:lef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55</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高低温低气压箱</w:t>
            </w:r>
          </w:p>
        </w:tc>
        <w:tc>
          <w:tcPr>
            <w:tcW w:w="940"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r>
      <w:tr>
        <w:tblPrEx>
          <w:tblW w:w="8249" w:type="dxa"/>
          <w:jc w:val="center"/>
          <w:tblCellMar>
            <w:top w:w="0" w:type="dxa"/>
            <w:left w:w="108" w:type="dxa"/>
            <w:bottom w:w="0" w:type="dxa"/>
            <w:right w:w="108" w:type="dxa"/>
          </w:tblCellMar>
        </w:tblPrEx>
        <w:trPr>
          <w:trHeight w:val="446"/>
          <w:jc w:val="center"/>
        </w:trPr>
        <w:tc>
          <w:tcPr>
            <w:tcW w:w="679"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19</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压温联合控制箱</w:t>
            </w:r>
          </w:p>
        </w:tc>
        <w:tc>
          <w:tcPr>
            <w:tcW w:w="940" w:type="dxa"/>
            <w:tcBorders>
              <w:righ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c>
          <w:tcPr>
            <w:tcW w:w="678" w:type="dxa"/>
            <w:tcBorders>
              <w:lef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56</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信号发生器</w:t>
            </w:r>
          </w:p>
        </w:tc>
        <w:tc>
          <w:tcPr>
            <w:tcW w:w="940"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r>
      <w:tr>
        <w:tblPrEx>
          <w:tblW w:w="8249" w:type="dxa"/>
          <w:jc w:val="center"/>
          <w:tblCellMar>
            <w:top w:w="0" w:type="dxa"/>
            <w:left w:w="108" w:type="dxa"/>
            <w:bottom w:w="0" w:type="dxa"/>
            <w:right w:w="108" w:type="dxa"/>
          </w:tblCellMar>
        </w:tblPrEx>
        <w:trPr>
          <w:trHeight w:val="446"/>
          <w:jc w:val="center"/>
        </w:trPr>
        <w:tc>
          <w:tcPr>
            <w:tcW w:w="679"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20</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数字压力计</w:t>
            </w:r>
          </w:p>
        </w:tc>
        <w:tc>
          <w:tcPr>
            <w:tcW w:w="940" w:type="dxa"/>
            <w:tcBorders>
              <w:righ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5</w:t>
            </w:r>
          </w:p>
        </w:tc>
        <w:tc>
          <w:tcPr>
            <w:tcW w:w="678" w:type="dxa"/>
            <w:tcBorders>
              <w:lef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57</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频谱仪</w:t>
            </w:r>
          </w:p>
        </w:tc>
        <w:tc>
          <w:tcPr>
            <w:tcW w:w="940"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r>
      <w:tr>
        <w:tblPrEx>
          <w:tblW w:w="8249" w:type="dxa"/>
          <w:jc w:val="center"/>
          <w:tblCellMar>
            <w:top w:w="0" w:type="dxa"/>
            <w:left w:w="108" w:type="dxa"/>
            <w:bottom w:w="0" w:type="dxa"/>
            <w:right w:w="108" w:type="dxa"/>
          </w:tblCellMar>
        </w:tblPrEx>
        <w:trPr>
          <w:trHeight w:val="446"/>
          <w:jc w:val="center"/>
        </w:trPr>
        <w:tc>
          <w:tcPr>
            <w:tcW w:w="679"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21</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恒温槽（双槽）</w:t>
            </w:r>
          </w:p>
        </w:tc>
        <w:tc>
          <w:tcPr>
            <w:tcW w:w="940" w:type="dxa"/>
            <w:tcBorders>
              <w:righ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c>
          <w:tcPr>
            <w:tcW w:w="678" w:type="dxa"/>
            <w:tcBorders>
              <w:lef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58</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功率计(含探头)</w:t>
            </w:r>
          </w:p>
        </w:tc>
        <w:tc>
          <w:tcPr>
            <w:tcW w:w="940"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r>
      <w:tr>
        <w:tblPrEx>
          <w:tblW w:w="8249" w:type="dxa"/>
          <w:jc w:val="center"/>
          <w:tblCellMar>
            <w:top w:w="0" w:type="dxa"/>
            <w:left w:w="108" w:type="dxa"/>
            <w:bottom w:w="0" w:type="dxa"/>
            <w:right w:w="108" w:type="dxa"/>
          </w:tblCellMar>
        </w:tblPrEx>
        <w:trPr>
          <w:trHeight w:val="446"/>
          <w:jc w:val="center"/>
        </w:trPr>
        <w:tc>
          <w:tcPr>
            <w:tcW w:w="679"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22</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标准铂电阻温度计</w:t>
            </w:r>
          </w:p>
        </w:tc>
        <w:tc>
          <w:tcPr>
            <w:tcW w:w="940" w:type="dxa"/>
            <w:tcBorders>
              <w:righ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c>
          <w:tcPr>
            <w:tcW w:w="678" w:type="dxa"/>
            <w:tcBorders>
              <w:lef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59</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频率计数器</w:t>
            </w:r>
          </w:p>
        </w:tc>
        <w:tc>
          <w:tcPr>
            <w:tcW w:w="940"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r>
      <w:tr>
        <w:tblPrEx>
          <w:tblW w:w="8249" w:type="dxa"/>
          <w:jc w:val="center"/>
          <w:tblCellMar>
            <w:top w:w="0" w:type="dxa"/>
            <w:left w:w="108" w:type="dxa"/>
            <w:bottom w:w="0" w:type="dxa"/>
            <w:right w:w="108" w:type="dxa"/>
          </w:tblCellMar>
        </w:tblPrEx>
        <w:trPr>
          <w:trHeight w:val="446"/>
          <w:jc w:val="center"/>
        </w:trPr>
        <w:tc>
          <w:tcPr>
            <w:tcW w:w="679"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23</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精密测温电桥</w:t>
            </w:r>
          </w:p>
        </w:tc>
        <w:tc>
          <w:tcPr>
            <w:tcW w:w="940" w:type="dxa"/>
            <w:tcBorders>
              <w:righ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c>
          <w:tcPr>
            <w:tcW w:w="678" w:type="dxa"/>
            <w:tcBorders>
              <w:lef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60</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数据采集器</w:t>
            </w:r>
          </w:p>
        </w:tc>
        <w:tc>
          <w:tcPr>
            <w:tcW w:w="940"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r>
      <w:tr>
        <w:tblPrEx>
          <w:tblW w:w="8249" w:type="dxa"/>
          <w:jc w:val="center"/>
          <w:tblCellMar>
            <w:top w:w="0" w:type="dxa"/>
            <w:left w:w="108" w:type="dxa"/>
            <w:bottom w:w="0" w:type="dxa"/>
            <w:right w:w="108" w:type="dxa"/>
          </w:tblCellMar>
        </w:tblPrEx>
        <w:trPr>
          <w:trHeight w:val="446"/>
          <w:jc w:val="center"/>
        </w:trPr>
        <w:tc>
          <w:tcPr>
            <w:tcW w:w="679"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24</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数字多用表</w:t>
            </w:r>
          </w:p>
        </w:tc>
        <w:tc>
          <w:tcPr>
            <w:tcW w:w="940" w:type="dxa"/>
            <w:tcBorders>
              <w:righ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c>
          <w:tcPr>
            <w:tcW w:w="678" w:type="dxa"/>
            <w:tcBorders>
              <w:lef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61</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鼓风干燥箱</w:t>
            </w:r>
          </w:p>
        </w:tc>
        <w:tc>
          <w:tcPr>
            <w:tcW w:w="940"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r>
      <w:tr>
        <w:tblPrEx>
          <w:tblW w:w="8249" w:type="dxa"/>
          <w:jc w:val="center"/>
          <w:tblCellMar>
            <w:top w:w="0" w:type="dxa"/>
            <w:left w:w="108" w:type="dxa"/>
            <w:bottom w:w="0" w:type="dxa"/>
            <w:right w:w="108" w:type="dxa"/>
          </w:tblCellMar>
        </w:tblPrEx>
        <w:trPr>
          <w:trHeight w:val="446"/>
          <w:jc w:val="center"/>
        </w:trPr>
        <w:tc>
          <w:tcPr>
            <w:tcW w:w="679"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25</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太阳模拟器</w:t>
            </w:r>
          </w:p>
        </w:tc>
        <w:tc>
          <w:tcPr>
            <w:tcW w:w="940" w:type="dxa"/>
            <w:tcBorders>
              <w:righ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c>
          <w:tcPr>
            <w:tcW w:w="678" w:type="dxa"/>
            <w:tcBorders>
              <w:lef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62</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恒温箱（空气箱玻璃钢）</w:t>
            </w:r>
          </w:p>
        </w:tc>
        <w:tc>
          <w:tcPr>
            <w:tcW w:w="940"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r>
      <w:tr>
        <w:tblPrEx>
          <w:tblW w:w="8249" w:type="dxa"/>
          <w:jc w:val="center"/>
          <w:tblCellMar>
            <w:top w:w="0" w:type="dxa"/>
            <w:left w:w="108" w:type="dxa"/>
            <w:bottom w:w="0" w:type="dxa"/>
            <w:right w:w="108" w:type="dxa"/>
          </w:tblCellMar>
        </w:tblPrEx>
        <w:trPr>
          <w:trHeight w:val="446"/>
          <w:jc w:val="center"/>
        </w:trPr>
        <w:tc>
          <w:tcPr>
            <w:tcW w:w="679"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26</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总辐射表</w:t>
            </w:r>
          </w:p>
        </w:tc>
        <w:tc>
          <w:tcPr>
            <w:tcW w:w="940" w:type="dxa"/>
            <w:tcBorders>
              <w:righ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2</w:t>
            </w:r>
          </w:p>
        </w:tc>
        <w:tc>
          <w:tcPr>
            <w:tcW w:w="678" w:type="dxa"/>
            <w:tcBorders>
              <w:lef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63</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红外热成像仪</w:t>
            </w:r>
          </w:p>
        </w:tc>
        <w:tc>
          <w:tcPr>
            <w:tcW w:w="940"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r>
      <w:tr>
        <w:tblPrEx>
          <w:tblW w:w="8249" w:type="dxa"/>
          <w:jc w:val="center"/>
          <w:tblCellMar>
            <w:top w:w="0" w:type="dxa"/>
            <w:left w:w="108" w:type="dxa"/>
            <w:bottom w:w="0" w:type="dxa"/>
            <w:right w:w="108" w:type="dxa"/>
          </w:tblCellMar>
        </w:tblPrEx>
        <w:trPr>
          <w:trHeight w:val="446"/>
          <w:jc w:val="center"/>
        </w:trPr>
        <w:tc>
          <w:tcPr>
            <w:tcW w:w="679"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27</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高低温试验箱</w:t>
            </w:r>
          </w:p>
        </w:tc>
        <w:tc>
          <w:tcPr>
            <w:tcW w:w="940" w:type="dxa"/>
            <w:tcBorders>
              <w:righ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c>
          <w:tcPr>
            <w:tcW w:w="678" w:type="dxa"/>
            <w:tcBorders>
              <w:lef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64</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HE NE激光器</w:t>
            </w:r>
          </w:p>
        </w:tc>
        <w:tc>
          <w:tcPr>
            <w:tcW w:w="940"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r>
      <w:tr>
        <w:tblPrEx>
          <w:tblW w:w="8249" w:type="dxa"/>
          <w:jc w:val="center"/>
          <w:tblCellMar>
            <w:top w:w="0" w:type="dxa"/>
            <w:left w:w="108" w:type="dxa"/>
            <w:bottom w:w="0" w:type="dxa"/>
            <w:right w:w="108" w:type="dxa"/>
          </w:tblCellMar>
        </w:tblPrEx>
        <w:trPr>
          <w:trHeight w:val="446"/>
          <w:jc w:val="center"/>
        </w:trPr>
        <w:tc>
          <w:tcPr>
            <w:tcW w:w="679"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28</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直接辐射表</w:t>
            </w:r>
          </w:p>
        </w:tc>
        <w:tc>
          <w:tcPr>
            <w:tcW w:w="940" w:type="dxa"/>
            <w:tcBorders>
              <w:righ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2</w:t>
            </w:r>
          </w:p>
        </w:tc>
        <w:tc>
          <w:tcPr>
            <w:tcW w:w="678" w:type="dxa"/>
            <w:tcBorders>
              <w:lef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65</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高稳定激光光源及控制器</w:t>
            </w:r>
          </w:p>
        </w:tc>
        <w:tc>
          <w:tcPr>
            <w:tcW w:w="940"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r>
      <w:tr>
        <w:tblPrEx>
          <w:tblW w:w="8249" w:type="dxa"/>
          <w:jc w:val="center"/>
          <w:tblCellMar>
            <w:top w:w="0" w:type="dxa"/>
            <w:left w:w="108" w:type="dxa"/>
            <w:bottom w:w="0" w:type="dxa"/>
            <w:right w:w="108" w:type="dxa"/>
          </w:tblCellMar>
        </w:tblPrEx>
        <w:trPr>
          <w:trHeight w:val="446"/>
          <w:jc w:val="center"/>
        </w:trPr>
        <w:tc>
          <w:tcPr>
            <w:tcW w:w="679"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29</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绝缘电阻测试仪</w:t>
            </w:r>
          </w:p>
        </w:tc>
        <w:tc>
          <w:tcPr>
            <w:tcW w:w="940" w:type="dxa"/>
            <w:tcBorders>
              <w:righ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c>
          <w:tcPr>
            <w:tcW w:w="678" w:type="dxa"/>
            <w:tcBorders>
              <w:lef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66</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微弱信号检测装置</w:t>
            </w:r>
          </w:p>
        </w:tc>
        <w:tc>
          <w:tcPr>
            <w:tcW w:w="940"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r>
      <w:tr>
        <w:tblPrEx>
          <w:tblW w:w="8249" w:type="dxa"/>
          <w:jc w:val="center"/>
          <w:tblCellMar>
            <w:top w:w="0" w:type="dxa"/>
            <w:left w:w="108" w:type="dxa"/>
            <w:bottom w:w="0" w:type="dxa"/>
            <w:right w:w="108" w:type="dxa"/>
          </w:tblCellMar>
        </w:tblPrEx>
        <w:trPr>
          <w:trHeight w:val="446"/>
          <w:jc w:val="center"/>
        </w:trPr>
        <w:tc>
          <w:tcPr>
            <w:tcW w:w="679"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30</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探空仪检测箱（基测）</w:t>
            </w:r>
          </w:p>
        </w:tc>
        <w:tc>
          <w:tcPr>
            <w:tcW w:w="940" w:type="dxa"/>
            <w:tcBorders>
              <w:righ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2</w:t>
            </w:r>
          </w:p>
        </w:tc>
        <w:tc>
          <w:tcPr>
            <w:tcW w:w="678" w:type="dxa"/>
            <w:tcBorders>
              <w:lef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67</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数字电压表</w:t>
            </w:r>
          </w:p>
        </w:tc>
        <w:tc>
          <w:tcPr>
            <w:tcW w:w="940"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r>
      <w:tr>
        <w:tblPrEx>
          <w:tblW w:w="8249" w:type="dxa"/>
          <w:jc w:val="center"/>
          <w:tblCellMar>
            <w:top w:w="0" w:type="dxa"/>
            <w:left w:w="108" w:type="dxa"/>
            <w:bottom w:w="0" w:type="dxa"/>
            <w:right w:w="108" w:type="dxa"/>
          </w:tblCellMar>
        </w:tblPrEx>
        <w:trPr>
          <w:trHeight w:val="446"/>
          <w:jc w:val="center"/>
        </w:trPr>
        <w:tc>
          <w:tcPr>
            <w:tcW w:w="679"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31</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温湿度数据存储记录仪</w:t>
            </w:r>
          </w:p>
        </w:tc>
        <w:tc>
          <w:tcPr>
            <w:tcW w:w="940" w:type="dxa"/>
            <w:tcBorders>
              <w:righ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12</w:t>
            </w:r>
          </w:p>
        </w:tc>
        <w:tc>
          <w:tcPr>
            <w:tcW w:w="678" w:type="dxa"/>
            <w:tcBorders>
              <w:lef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68</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光电探测器</w:t>
            </w:r>
          </w:p>
        </w:tc>
        <w:tc>
          <w:tcPr>
            <w:tcW w:w="940"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r>
      <w:tr>
        <w:tblPrEx>
          <w:tblW w:w="8249" w:type="dxa"/>
          <w:jc w:val="center"/>
          <w:tblCellMar>
            <w:top w:w="0" w:type="dxa"/>
            <w:left w:w="108" w:type="dxa"/>
            <w:bottom w:w="0" w:type="dxa"/>
            <w:right w:w="108" w:type="dxa"/>
          </w:tblCellMar>
        </w:tblPrEx>
        <w:trPr>
          <w:trHeight w:val="446"/>
          <w:jc w:val="center"/>
        </w:trPr>
        <w:tc>
          <w:tcPr>
            <w:tcW w:w="679"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32</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标准铂电阻温度计</w:t>
            </w:r>
          </w:p>
        </w:tc>
        <w:tc>
          <w:tcPr>
            <w:tcW w:w="940" w:type="dxa"/>
            <w:tcBorders>
              <w:righ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c>
          <w:tcPr>
            <w:tcW w:w="678" w:type="dxa"/>
            <w:tcBorders>
              <w:lef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69</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前向散射式能见度仪</w:t>
            </w:r>
          </w:p>
        </w:tc>
        <w:tc>
          <w:tcPr>
            <w:tcW w:w="940"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10</w:t>
            </w:r>
          </w:p>
        </w:tc>
      </w:tr>
      <w:tr>
        <w:tblPrEx>
          <w:tblW w:w="8249" w:type="dxa"/>
          <w:jc w:val="center"/>
          <w:tblCellMar>
            <w:top w:w="0" w:type="dxa"/>
            <w:left w:w="108" w:type="dxa"/>
            <w:bottom w:w="0" w:type="dxa"/>
            <w:right w:w="108" w:type="dxa"/>
          </w:tblCellMar>
        </w:tblPrEx>
        <w:trPr>
          <w:trHeight w:val="446"/>
          <w:jc w:val="center"/>
        </w:trPr>
        <w:tc>
          <w:tcPr>
            <w:tcW w:w="679"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33</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数据采集器</w:t>
            </w:r>
          </w:p>
        </w:tc>
        <w:tc>
          <w:tcPr>
            <w:tcW w:w="940" w:type="dxa"/>
            <w:tcBorders>
              <w:righ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c>
          <w:tcPr>
            <w:tcW w:w="678" w:type="dxa"/>
            <w:tcBorders>
              <w:lef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70</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能见度方舱</w:t>
            </w:r>
          </w:p>
        </w:tc>
        <w:tc>
          <w:tcPr>
            <w:tcW w:w="940"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r>
      <w:tr>
        <w:tblPrEx>
          <w:tblW w:w="8249" w:type="dxa"/>
          <w:jc w:val="center"/>
          <w:tblCellMar>
            <w:top w:w="0" w:type="dxa"/>
            <w:left w:w="108" w:type="dxa"/>
            <w:bottom w:w="0" w:type="dxa"/>
            <w:right w:w="108" w:type="dxa"/>
          </w:tblCellMar>
        </w:tblPrEx>
        <w:trPr>
          <w:trHeight w:val="446"/>
          <w:jc w:val="center"/>
        </w:trPr>
        <w:tc>
          <w:tcPr>
            <w:tcW w:w="679"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34</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数字温压湿度计</w:t>
            </w:r>
          </w:p>
        </w:tc>
        <w:tc>
          <w:tcPr>
            <w:tcW w:w="940" w:type="dxa"/>
            <w:tcBorders>
              <w:righ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2</w:t>
            </w:r>
          </w:p>
        </w:tc>
        <w:tc>
          <w:tcPr>
            <w:tcW w:w="678" w:type="dxa"/>
            <w:tcBorders>
              <w:lef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71</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白光透射表</w:t>
            </w:r>
          </w:p>
        </w:tc>
        <w:tc>
          <w:tcPr>
            <w:tcW w:w="940"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r>
      <w:tr>
        <w:tblPrEx>
          <w:tblW w:w="8249" w:type="dxa"/>
          <w:jc w:val="center"/>
          <w:tblCellMar>
            <w:top w:w="0" w:type="dxa"/>
            <w:left w:w="108" w:type="dxa"/>
            <w:bottom w:w="0" w:type="dxa"/>
            <w:right w:w="108" w:type="dxa"/>
          </w:tblCellMar>
        </w:tblPrEx>
        <w:trPr>
          <w:trHeight w:val="446"/>
          <w:jc w:val="center"/>
        </w:trPr>
        <w:tc>
          <w:tcPr>
            <w:tcW w:w="679"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35</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专用砝码</w:t>
            </w:r>
          </w:p>
        </w:tc>
        <w:tc>
          <w:tcPr>
            <w:tcW w:w="940" w:type="dxa"/>
            <w:tcBorders>
              <w:righ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c>
          <w:tcPr>
            <w:tcW w:w="678" w:type="dxa"/>
            <w:tcBorders>
              <w:lef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72</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数显卡尺</w:t>
            </w:r>
          </w:p>
        </w:tc>
        <w:tc>
          <w:tcPr>
            <w:tcW w:w="940"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r>
      <w:tr>
        <w:tblPrEx>
          <w:tblW w:w="8249" w:type="dxa"/>
          <w:jc w:val="center"/>
          <w:tblCellMar>
            <w:top w:w="0" w:type="dxa"/>
            <w:left w:w="108" w:type="dxa"/>
            <w:bottom w:w="0" w:type="dxa"/>
            <w:right w:w="108" w:type="dxa"/>
          </w:tblCellMar>
        </w:tblPrEx>
        <w:trPr>
          <w:trHeight w:val="446"/>
          <w:jc w:val="center"/>
        </w:trPr>
        <w:tc>
          <w:tcPr>
            <w:tcW w:w="679"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36</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自动称量系统（质量比较仪）</w:t>
            </w:r>
          </w:p>
        </w:tc>
        <w:tc>
          <w:tcPr>
            <w:tcW w:w="940" w:type="dxa"/>
            <w:tcBorders>
              <w:righ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c>
          <w:tcPr>
            <w:tcW w:w="678" w:type="dxa"/>
            <w:tcBorders>
              <w:lef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73</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双通道测温电桥</w:t>
            </w:r>
          </w:p>
        </w:tc>
        <w:tc>
          <w:tcPr>
            <w:tcW w:w="940"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r>
      <w:tr>
        <w:tblPrEx>
          <w:tblW w:w="8249" w:type="dxa"/>
          <w:jc w:val="center"/>
          <w:tblCellMar>
            <w:top w:w="0" w:type="dxa"/>
            <w:left w:w="108" w:type="dxa"/>
            <w:bottom w:w="0" w:type="dxa"/>
            <w:right w:w="108" w:type="dxa"/>
          </w:tblCellMar>
        </w:tblPrEx>
        <w:trPr>
          <w:trHeight w:val="446"/>
          <w:jc w:val="center"/>
        </w:trPr>
        <w:tc>
          <w:tcPr>
            <w:tcW w:w="679"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37</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自动称量系统（环境参数）</w:t>
            </w:r>
          </w:p>
        </w:tc>
        <w:tc>
          <w:tcPr>
            <w:tcW w:w="940" w:type="dxa"/>
            <w:tcBorders>
              <w:righ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1</w:t>
            </w:r>
          </w:p>
        </w:tc>
        <w:tc>
          <w:tcPr>
            <w:tcW w:w="678" w:type="dxa"/>
            <w:tcBorders>
              <w:left w:val="thinThickThinSmallGap" w:sz="24" w:space="0" w:color="auto"/>
            </w:tcBorders>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 w:val="22"/>
                <w:szCs w:val="22"/>
                <w:highlight w:val="none"/>
              </w:rPr>
              <w:t>74</w:t>
            </w:r>
          </w:p>
        </w:tc>
        <w:tc>
          <w:tcPr>
            <w:tcW w:w="2506" w:type="dxa"/>
            <w:vAlign w:val="center"/>
          </w:tcPr>
          <w:p>
            <w:pPr>
              <w:spacing w:line="240" w:lineRule="exac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其他未列仪器仪表</w:t>
            </w:r>
          </w:p>
        </w:tc>
        <w:tc>
          <w:tcPr>
            <w:tcW w:w="940" w:type="dxa"/>
            <w:vAlign w:val="center"/>
          </w:tcPr>
          <w:p>
            <w:pPr>
              <w:spacing w:line="240" w:lineRule="exact"/>
              <w:jc w:val="center"/>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30</w:t>
            </w:r>
          </w:p>
        </w:tc>
      </w:tr>
      <w:tr>
        <w:tblPrEx>
          <w:tblW w:w="8249" w:type="dxa"/>
          <w:jc w:val="center"/>
          <w:tblCellMar>
            <w:top w:w="0" w:type="dxa"/>
            <w:left w:w="108" w:type="dxa"/>
            <w:bottom w:w="0" w:type="dxa"/>
            <w:right w:w="108" w:type="dxa"/>
          </w:tblCellMar>
        </w:tblPrEx>
        <w:trPr>
          <w:trHeight w:val="446"/>
          <w:jc w:val="center"/>
        </w:trPr>
        <w:tc>
          <w:tcPr>
            <w:tcW w:w="8249" w:type="dxa"/>
            <w:gridSpan w:val="6"/>
            <w:vAlign w:val="center"/>
          </w:tcPr>
          <w:p>
            <w:pPr>
              <w:spacing w:line="240" w:lineRule="exact"/>
              <w:jc w:val="left"/>
              <w:rPr>
                <w:rFonts w:ascii="Calibri" w:eastAsia="宋体" w:hAnsi="Calibri" w:cs="Times New Roman"/>
                <w:color w:val="auto"/>
                <w:szCs w:val="22"/>
                <w:highlight w:val="none"/>
              </w:rPr>
            </w:pPr>
            <w:r>
              <w:rPr>
                <w:rFonts w:ascii="Calibri" w:eastAsia="宋体" w:hAnsi="Calibri" w:cs="Times New Roman" w:hint="eastAsia"/>
                <w:color w:val="auto"/>
                <w:szCs w:val="22"/>
                <w:highlight w:val="none"/>
              </w:rPr>
              <w:t>注：含5次（同一设备送件及取件计1次）上海以外国内城市仪器仪表送检服务。</w:t>
            </w:r>
          </w:p>
        </w:tc>
      </w:tr>
    </w:tbl>
    <w:p>
      <w:pPr>
        <w:spacing w:line="220" w:lineRule="auto"/>
        <w:ind w:left="512"/>
        <w:rPr>
          <w:rFonts w:ascii="宋体" w:eastAsia="宋体" w:hAnsi="宋体" w:cs="宋体" w:hint="eastAsia"/>
          <w:color w:val="auto"/>
          <w:szCs w:val="21"/>
          <w:highlight w:val="none"/>
        </w:rPr>
      </w:pPr>
    </w:p>
    <w:p>
      <w:pPr>
        <w:spacing w:before="29" w:line="222" w:lineRule="auto"/>
        <w:ind w:left="504"/>
        <w:rPr>
          <w:rFonts w:ascii="宋体" w:eastAsia="宋体" w:hAnsi="宋体" w:cs="宋体" w:hint="eastAsia"/>
          <w:color w:val="auto"/>
          <w:szCs w:val="21"/>
          <w:highlight w:val="none"/>
        </w:rPr>
      </w:pPr>
      <w:r>
        <w:rPr>
          <w:rFonts w:ascii="Times New Roman" w:eastAsia="Times New Roman" w:hAnsi="Times New Roman" w:cs="Times New Roman"/>
          <w:color w:val="auto"/>
          <w:spacing w:val="-1"/>
          <w:szCs w:val="21"/>
          <w:highlight w:val="none"/>
        </w:rPr>
        <w:t>2.</w:t>
      </w:r>
      <w:r>
        <w:rPr>
          <w:rFonts w:ascii="宋体" w:eastAsia="宋体" w:hAnsi="宋体" w:cs="宋体"/>
          <w:color w:val="auto"/>
          <w:szCs w:val="21"/>
          <w:highlight w:val="none"/>
        </w:rPr>
        <w:t>比对测试</w:t>
      </w:r>
    </w:p>
    <w:p>
      <w:pPr>
        <w:spacing w:before="157" w:line="359" w:lineRule="auto"/>
        <w:ind w:left="1" w:right="72" w:firstLine="506"/>
        <w:rPr>
          <w:rFonts w:ascii="宋体" w:eastAsia="宋体" w:hAnsi="宋体" w:cs="宋体" w:hint="eastAsia"/>
          <w:color w:val="auto"/>
          <w:szCs w:val="21"/>
          <w:highlight w:val="none"/>
        </w:rPr>
      </w:pPr>
      <w:r>
        <w:rPr>
          <w:rFonts w:ascii="宋体" w:eastAsia="宋体" w:hAnsi="宋体" w:cs="宋体"/>
          <w:color w:val="auto"/>
          <w:spacing w:val="-4"/>
          <w:szCs w:val="21"/>
          <w:highlight w:val="none"/>
        </w:rPr>
        <w:t>承担能见度计量</w:t>
      </w:r>
      <w:r>
        <w:rPr>
          <w:rFonts w:ascii="宋体" w:eastAsia="宋体" w:hAnsi="宋体" w:cs="宋体"/>
          <w:color w:val="auto"/>
          <w:spacing w:val="-2"/>
          <w:szCs w:val="21"/>
          <w:highlight w:val="none"/>
        </w:rPr>
        <w:t>检测实验室、辐射检定实验室的</w:t>
      </w:r>
      <w:r>
        <w:rPr>
          <w:rFonts w:ascii="Times New Roman" w:eastAsia="宋体" w:hAnsi="Times New Roman" w:cs="Times New Roman" w:hint="eastAsia"/>
          <w:color w:val="auto"/>
          <w:spacing w:val="-2"/>
          <w:szCs w:val="20"/>
          <w:highlight w:val="none"/>
        </w:rPr>
        <w:t>至少一次期间</w:t>
      </w:r>
      <w:r>
        <w:rPr>
          <w:rFonts w:ascii="宋体" w:eastAsia="宋体" w:hAnsi="宋体" w:cs="宋体"/>
          <w:color w:val="auto"/>
          <w:spacing w:val="-2"/>
          <w:szCs w:val="21"/>
          <w:highlight w:val="none"/>
        </w:rPr>
        <w:t>核查，编制相应的实验室</w:t>
      </w:r>
      <w:r>
        <w:rPr>
          <w:rFonts w:ascii="宋体" w:eastAsia="宋体" w:hAnsi="宋体" w:cs="宋体"/>
          <w:color w:val="auto"/>
          <w:spacing w:val="-5"/>
          <w:szCs w:val="21"/>
          <w:highlight w:val="none"/>
        </w:rPr>
        <w:t>期</w:t>
      </w:r>
      <w:r>
        <w:rPr>
          <w:rFonts w:ascii="宋体" w:eastAsia="宋体" w:hAnsi="宋体" w:cs="宋体"/>
          <w:color w:val="auto"/>
          <w:spacing w:val="-3"/>
          <w:szCs w:val="21"/>
          <w:highlight w:val="none"/>
        </w:rPr>
        <w:t>间核查报告。</w:t>
      </w:r>
    </w:p>
    <w:p>
      <w:pPr>
        <w:spacing w:line="220" w:lineRule="auto"/>
        <w:ind w:left="512"/>
        <w:rPr>
          <w:rFonts w:ascii="宋体" w:eastAsia="宋体" w:hAnsi="宋体" w:cs="宋体" w:hint="eastAsia"/>
          <w:color w:val="auto"/>
          <w:szCs w:val="21"/>
          <w:highlight w:val="none"/>
        </w:rPr>
      </w:pPr>
      <w:r>
        <w:rPr>
          <w:rFonts w:ascii="宋体" w:eastAsia="宋体" w:hAnsi="宋体" w:cs="宋体"/>
          <w:color w:val="auto"/>
          <w:spacing w:val="-2"/>
          <w:szCs w:val="21"/>
          <w:highlight w:val="none"/>
        </w:rPr>
        <w:t>3</w:t>
      </w:r>
      <w:r>
        <w:rPr>
          <w:rFonts w:ascii="宋体" w:eastAsia="宋体" w:hAnsi="宋体" w:cs="宋体"/>
          <w:color w:val="auto"/>
          <w:spacing w:val="-1"/>
          <w:szCs w:val="21"/>
          <w:highlight w:val="none"/>
        </w:rPr>
        <w:t>.质量跟踪服务</w:t>
      </w:r>
    </w:p>
    <w:p>
      <w:pPr>
        <w:spacing w:before="157" w:line="360" w:lineRule="auto"/>
        <w:ind w:left="4" w:right="72" w:firstLine="420" w:firstLineChars="200"/>
        <w:rPr>
          <w:rFonts w:ascii="宋体" w:eastAsia="宋体" w:hAnsi="宋体" w:cs="宋体" w:hint="eastAsia"/>
          <w:color w:val="auto"/>
          <w:szCs w:val="21"/>
          <w:highlight w:val="none"/>
        </w:rPr>
      </w:pPr>
      <w:r>
        <w:rPr>
          <w:rFonts w:ascii="宋体" w:eastAsia="宋体" w:hAnsi="宋体" w:cs="宋体"/>
          <w:color w:val="auto"/>
          <w:spacing w:val="-14"/>
          <w:szCs w:val="21"/>
          <w:highlight w:val="none"/>
        </w:rPr>
        <w:t>鉴于</w:t>
      </w:r>
      <w:r>
        <w:rPr>
          <w:rFonts w:ascii="宋体" w:eastAsia="宋体" w:hAnsi="宋体" w:cs="宋体"/>
          <w:color w:val="auto"/>
          <w:spacing w:val="-11"/>
          <w:szCs w:val="21"/>
          <w:highlight w:val="none"/>
        </w:rPr>
        <w:t>各</w:t>
      </w:r>
      <w:r>
        <w:rPr>
          <w:rFonts w:ascii="宋体" w:eastAsia="宋体" w:hAnsi="宋体" w:cs="宋体"/>
          <w:color w:val="auto"/>
          <w:spacing w:val="-7"/>
          <w:szCs w:val="21"/>
          <w:highlight w:val="none"/>
        </w:rPr>
        <w:t>实验室的专业性要求，对质量的要求非常严格，需要一支专业的技术维护队伍。制</w:t>
      </w:r>
      <w:r>
        <w:rPr>
          <w:rFonts w:ascii="宋体" w:eastAsia="宋体" w:hAnsi="宋体" w:cs="宋体"/>
          <w:color w:val="auto"/>
          <w:spacing w:val="-6"/>
          <w:szCs w:val="21"/>
          <w:highlight w:val="none"/>
        </w:rPr>
        <w:t>定各实验</w:t>
      </w:r>
      <w:r>
        <w:rPr>
          <w:rFonts w:ascii="宋体" w:eastAsia="宋体" w:hAnsi="宋体" w:cs="宋体"/>
          <w:color w:val="auto"/>
          <w:spacing w:val="-4"/>
          <w:szCs w:val="21"/>
          <w:highlight w:val="none"/>
        </w:rPr>
        <w:t>室</w:t>
      </w:r>
      <w:r>
        <w:rPr>
          <w:rFonts w:ascii="宋体" w:eastAsia="宋体" w:hAnsi="宋体" w:cs="宋体"/>
          <w:color w:val="auto"/>
          <w:spacing w:val="-3"/>
          <w:szCs w:val="21"/>
          <w:highlight w:val="none"/>
        </w:rPr>
        <w:t>质量跟踪服务计划，有效掌握各实验室仪器设备的运行情况。</w:t>
      </w:r>
    </w:p>
    <w:p>
      <w:pPr>
        <w:spacing w:before="2" w:line="360" w:lineRule="auto"/>
        <w:ind w:left="4" w:right="69" w:firstLine="420" w:firstLineChars="200"/>
        <w:rPr>
          <w:rFonts w:ascii="宋体" w:eastAsia="宋体" w:hAnsi="宋体" w:cs="宋体" w:hint="eastAsia"/>
          <w:color w:val="auto"/>
          <w:szCs w:val="21"/>
          <w:highlight w:val="none"/>
        </w:rPr>
      </w:pPr>
      <w:r>
        <w:rPr>
          <w:rFonts w:ascii="宋体" w:eastAsia="宋体" w:hAnsi="宋体" w:cs="宋体"/>
          <w:color w:val="auto"/>
          <w:spacing w:val="4"/>
          <w:szCs w:val="21"/>
          <w:highlight w:val="none"/>
        </w:rPr>
        <w:t>(1)对检测报</w:t>
      </w:r>
      <w:r>
        <w:rPr>
          <w:rFonts w:ascii="宋体" w:eastAsia="宋体" w:hAnsi="宋体" w:cs="宋体"/>
          <w:color w:val="auto"/>
          <w:spacing w:val="3"/>
          <w:szCs w:val="21"/>
          <w:highlight w:val="none"/>
        </w:rPr>
        <w:t>告</w:t>
      </w:r>
      <w:r>
        <w:rPr>
          <w:rFonts w:ascii="宋体" w:eastAsia="宋体" w:hAnsi="宋体" w:cs="宋体"/>
          <w:color w:val="auto"/>
          <w:spacing w:val="2"/>
          <w:szCs w:val="21"/>
          <w:highlight w:val="none"/>
        </w:rPr>
        <w:t>质量进行抽查复核。对各实验室出具的有效检测报告</w:t>
      </w:r>
      <w:r>
        <w:rPr>
          <w:rFonts w:ascii="宋体" w:eastAsia="宋体" w:hAnsi="宋体" w:cs="宋体"/>
          <w:color w:val="auto"/>
          <w:spacing w:val="-1"/>
          <w:szCs w:val="21"/>
          <w:highlight w:val="none"/>
        </w:rPr>
        <w:t>随机抽取五份</w:t>
      </w:r>
      <w:r>
        <w:rPr>
          <w:rFonts w:ascii="宋体" w:eastAsia="宋体" w:hAnsi="宋体" w:cs="宋体"/>
          <w:color w:val="auto"/>
          <w:szCs w:val="21"/>
          <w:highlight w:val="none"/>
        </w:rPr>
        <w:t>进行调查复核检测，复核检测结果与有效检测报告数据误差需符合检测系统不确</w:t>
      </w:r>
      <w:r>
        <w:rPr>
          <w:rFonts w:ascii="宋体" w:eastAsia="宋体" w:hAnsi="宋体" w:cs="宋体"/>
          <w:color w:val="auto"/>
          <w:spacing w:val="-5"/>
          <w:szCs w:val="21"/>
          <w:highlight w:val="none"/>
        </w:rPr>
        <w:t>定度要求。</w:t>
      </w:r>
    </w:p>
    <w:p>
      <w:pPr>
        <w:spacing w:before="2" w:line="360" w:lineRule="auto"/>
        <w:ind w:right="86" w:firstLine="420" w:firstLineChars="200"/>
        <w:rPr>
          <w:rFonts w:ascii="宋体" w:eastAsia="宋体" w:hAnsi="宋体" w:cs="宋体" w:hint="eastAsia"/>
          <w:color w:val="auto"/>
          <w:szCs w:val="21"/>
          <w:highlight w:val="none"/>
        </w:rPr>
      </w:pPr>
      <w:r>
        <w:rPr>
          <w:rFonts w:ascii="宋体" w:eastAsia="宋体" w:hAnsi="宋体" w:cs="宋体"/>
          <w:color w:val="auto"/>
          <w:spacing w:val="-4"/>
          <w:szCs w:val="21"/>
          <w:highlight w:val="none"/>
        </w:rPr>
        <w:t>(2)对各实验室的主要仪器</w:t>
      </w:r>
      <w:r>
        <w:rPr>
          <w:rFonts w:ascii="宋体" w:eastAsia="宋体" w:hAnsi="宋体" w:cs="宋体"/>
          <w:color w:val="auto"/>
          <w:spacing w:val="-3"/>
          <w:szCs w:val="21"/>
          <w:highlight w:val="none"/>
        </w:rPr>
        <w:t>设</w:t>
      </w:r>
      <w:r>
        <w:rPr>
          <w:rFonts w:ascii="宋体" w:eastAsia="宋体" w:hAnsi="宋体" w:cs="宋体"/>
          <w:color w:val="auto"/>
          <w:spacing w:val="-2"/>
          <w:szCs w:val="21"/>
          <w:highlight w:val="none"/>
        </w:rPr>
        <w:t>备进行全方位的质量跟踪，并分析运行状况，统计年故障率情况</w:t>
      </w:r>
      <w:r>
        <w:rPr>
          <w:rFonts w:ascii="宋体" w:eastAsia="宋体" w:hAnsi="宋体" w:cs="宋体"/>
          <w:color w:val="auto"/>
          <w:spacing w:val="-1"/>
          <w:szCs w:val="21"/>
          <w:highlight w:val="none"/>
        </w:rPr>
        <w:t>。</w:t>
      </w:r>
    </w:p>
    <w:p>
      <w:pPr>
        <w:spacing w:before="1" w:line="360" w:lineRule="auto"/>
        <w:ind w:left="19" w:firstLine="420" w:firstLineChars="200"/>
        <w:rPr>
          <w:rFonts w:ascii="宋体" w:eastAsia="宋体" w:hAnsi="宋体" w:cs="宋体" w:hint="eastAsia"/>
          <w:color w:val="auto"/>
          <w:szCs w:val="21"/>
          <w:highlight w:val="none"/>
        </w:rPr>
      </w:pPr>
      <w:r>
        <w:rPr>
          <w:rFonts w:ascii="宋体" w:eastAsia="宋体" w:hAnsi="宋体" w:cs="宋体"/>
          <w:color w:val="auto"/>
          <w:spacing w:val="-1"/>
          <w:szCs w:val="21"/>
          <w:highlight w:val="none"/>
        </w:rPr>
        <w:t>(3)对实验室安全系统的质量追踪。</w:t>
      </w:r>
      <w:r>
        <w:rPr>
          <w:rFonts w:ascii="Times New Roman" w:eastAsia="宋体" w:hAnsi="Times New Roman" w:cs="Times New Roman" w:hint="eastAsia"/>
          <w:color w:val="auto"/>
          <w:spacing w:val="-1"/>
          <w:szCs w:val="20"/>
          <w:highlight w:val="none"/>
        </w:rPr>
        <w:t>每月进行抽查，</w:t>
      </w:r>
      <w:r>
        <w:rPr>
          <w:rFonts w:ascii="宋体" w:eastAsia="宋体" w:hAnsi="宋体" w:cs="宋体"/>
          <w:color w:val="auto"/>
          <w:szCs w:val="21"/>
          <w:highlight w:val="none"/>
        </w:rPr>
        <w:t>统计年度实验室轻微安全隐患、</w:t>
      </w:r>
      <w:r>
        <w:rPr>
          <w:rFonts w:ascii="宋体" w:eastAsia="宋体" w:hAnsi="宋体" w:cs="宋体"/>
          <w:color w:val="auto"/>
          <w:spacing w:val="-2"/>
          <w:szCs w:val="21"/>
          <w:highlight w:val="none"/>
        </w:rPr>
        <w:t>中等安全隐患、重大安全隐患等</w:t>
      </w:r>
      <w:r>
        <w:rPr>
          <w:rFonts w:ascii="宋体" w:eastAsia="宋体" w:hAnsi="宋体" w:cs="宋体"/>
          <w:color w:val="auto"/>
          <w:spacing w:val="-1"/>
          <w:szCs w:val="21"/>
          <w:highlight w:val="none"/>
        </w:rPr>
        <w:t>情况，出具相关报告。</w:t>
      </w:r>
    </w:p>
    <w:p>
      <w:pPr>
        <w:spacing w:before="81" w:line="221" w:lineRule="auto"/>
        <w:ind w:left="509"/>
        <w:outlineLvl w:val="0"/>
        <w:rPr>
          <w:rFonts w:ascii="宋体" w:eastAsia="宋体" w:hAnsi="宋体" w:cs="宋体" w:hint="eastAsia"/>
          <w:color w:val="auto"/>
          <w:szCs w:val="21"/>
          <w:highlight w:val="none"/>
        </w:rPr>
      </w:pPr>
      <w:r>
        <w:rPr>
          <w:rFonts w:ascii="Times New Roman" w:eastAsia="宋体" w:hAnsi="Times New Roman" w:cs="Times New Roman" w:hint="eastAsia"/>
          <w:b/>
          <w:bCs/>
          <w:color w:val="auto"/>
          <w:szCs w:val="21"/>
          <w:highlight w:val="none"/>
        </w:rPr>
        <w:t>7</w:t>
      </w:r>
      <w:r>
        <w:rPr>
          <w:rFonts w:ascii="Times New Roman" w:eastAsia="Times New Roman" w:hAnsi="Times New Roman" w:cs="Times New Roman"/>
          <w:b/>
          <w:bCs/>
          <w:color w:val="auto"/>
          <w:szCs w:val="21"/>
          <w:highlight w:val="none"/>
        </w:rPr>
        <w:t>.</w:t>
      </w:r>
      <w:r>
        <w:rPr>
          <w:rFonts w:ascii="Times New Roman" w:eastAsia="宋体" w:hAnsi="Times New Roman" w:cs="Times New Roman" w:hint="eastAsia"/>
          <w:b/>
          <w:bCs/>
          <w:color w:val="auto"/>
          <w:szCs w:val="21"/>
          <w:highlight w:val="none"/>
        </w:rPr>
        <w:t>4</w:t>
      </w:r>
      <w:r>
        <w:rPr>
          <w:rFonts w:ascii="宋体" w:eastAsia="宋体" w:hAnsi="宋体" w:cs="宋体"/>
          <w:color w:val="auto"/>
          <w:szCs w:val="21"/>
          <w:highlight w:val="none"/>
        </w:rPr>
        <w:t>项目进度要求</w:t>
      </w:r>
    </w:p>
    <w:p>
      <w:pPr>
        <w:spacing w:before="1" w:line="360" w:lineRule="auto"/>
        <w:ind w:left="17" w:firstLine="420" w:firstLineChars="200"/>
        <w:rPr>
          <w:rFonts w:ascii="宋体" w:eastAsia="宋体" w:hAnsi="宋体" w:cs="宋体" w:hint="eastAsia"/>
          <w:color w:val="auto"/>
          <w:spacing w:val="-1"/>
          <w:szCs w:val="21"/>
          <w:highlight w:val="none"/>
        </w:rPr>
      </w:pPr>
      <w:r>
        <w:rPr>
          <w:rFonts w:ascii="宋体" w:eastAsia="宋体" w:hAnsi="宋体" w:cs="宋体"/>
          <w:color w:val="auto"/>
          <w:spacing w:val="-1"/>
          <w:szCs w:val="21"/>
          <w:highlight w:val="none"/>
        </w:rPr>
        <w:t>需要组成不少于8人的服务团队，其中专职人员至少</w:t>
      </w:r>
      <w:r>
        <w:rPr>
          <w:rFonts w:ascii="宋体" w:eastAsia="宋体" w:hAnsi="宋体" w:cs="宋体" w:hint="eastAsia"/>
          <w:color w:val="auto"/>
          <w:spacing w:val="-1"/>
          <w:szCs w:val="21"/>
          <w:highlight w:val="none"/>
        </w:rPr>
        <w:t>4</w:t>
      </w:r>
      <w:r>
        <w:rPr>
          <w:rFonts w:ascii="宋体" w:eastAsia="宋体" w:hAnsi="宋体" w:cs="宋体"/>
          <w:color w:val="auto"/>
          <w:spacing w:val="-1"/>
          <w:szCs w:val="21"/>
          <w:highlight w:val="none"/>
        </w:rPr>
        <w:t>人。</w:t>
      </w:r>
    </w:p>
    <w:p>
      <w:pPr>
        <w:spacing w:before="1" w:line="360" w:lineRule="auto"/>
        <w:ind w:left="17" w:firstLine="420" w:firstLineChars="200"/>
        <w:rPr>
          <w:rFonts w:ascii="宋体" w:eastAsia="宋体" w:hAnsi="宋体" w:cs="宋体" w:hint="eastAsia"/>
          <w:color w:val="auto"/>
          <w:spacing w:val="-1"/>
          <w:szCs w:val="21"/>
          <w:highlight w:val="none"/>
        </w:rPr>
      </w:pPr>
      <w:r>
        <w:rPr>
          <w:rFonts w:ascii="宋体" w:eastAsia="宋体" w:hAnsi="宋体" w:cs="宋体"/>
          <w:color w:val="auto"/>
          <w:spacing w:val="-1"/>
          <w:szCs w:val="21"/>
          <w:highlight w:val="none"/>
        </w:rPr>
        <w:t>在合同约定的期限内开展气象装备保障技术服务，各项工作安排以招标方要求为准，主要要求如下：</w:t>
      </w:r>
    </w:p>
    <w:p>
      <w:pPr>
        <w:spacing w:before="1" w:line="360" w:lineRule="auto"/>
        <w:ind w:left="17" w:firstLine="420" w:firstLineChars="200"/>
        <w:rPr>
          <w:rFonts w:ascii="宋体" w:eastAsia="宋体" w:hAnsi="宋体" w:cs="宋体" w:hint="eastAsia"/>
          <w:color w:val="auto"/>
          <w:spacing w:val="-1"/>
          <w:szCs w:val="21"/>
          <w:highlight w:val="none"/>
        </w:rPr>
      </w:pPr>
      <w:r>
        <w:rPr>
          <w:rFonts w:ascii="宋体" w:eastAsia="宋体" w:hAnsi="宋体" w:cs="宋体"/>
          <w:color w:val="auto"/>
          <w:spacing w:val="-1"/>
          <w:szCs w:val="21"/>
          <w:highlight w:val="none"/>
        </w:rPr>
        <w:t>1.在收到招标方任务后，4小时响应，48小时到达服务现场；</w:t>
      </w:r>
    </w:p>
    <w:p>
      <w:pPr>
        <w:spacing w:before="1" w:line="360" w:lineRule="auto"/>
        <w:ind w:left="17" w:firstLine="420" w:firstLineChars="200"/>
        <w:rPr>
          <w:rFonts w:ascii="宋体" w:eastAsia="宋体" w:hAnsi="宋体" w:cs="宋体" w:hint="eastAsia"/>
          <w:color w:val="auto"/>
          <w:spacing w:val="-1"/>
          <w:szCs w:val="21"/>
          <w:highlight w:val="none"/>
        </w:rPr>
      </w:pPr>
      <w:r>
        <w:rPr>
          <w:rFonts w:ascii="宋体" w:eastAsia="宋体" w:hAnsi="宋体" w:cs="宋体"/>
          <w:color w:val="auto"/>
          <w:spacing w:val="-1"/>
          <w:szCs w:val="21"/>
          <w:highlight w:val="none"/>
        </w:rPr>
        <w:t>2.现场服务结束后5个工作日提交相关报告；</w:t>
      </w:r>
    </w:p>
    <w:p>
      <w:pPr>
        <w:spacing w:before="1" w:line="360" w:lineRule="auto"/>
        <w:ind w:left="17" w:firstLine="420" w:firstLineChars="200"/>
        <w:rPr>
          <w:rFonts w:ascii="宋体" w:eastAsia="宋体" w:hAnsi="宋体" w:cs="宋体" w:hint="eastAsia"/>
          <w:color w:val="auto"/>
          <w:spacing w:val="-1"/>
          <w:szCs w:val="21"/>
          <w:highlight w:val="none"/>
        </w:rPr>
      </w:pPr>
      <w:r>
        <w:rPr>
          <w:rFonts w:ascii="宋体" w:eastAsia="宋体" w:hAnsi="宋体" w:cs="宋体"/>
          <w:color w:val="auto"/>
          <w:spacing w:val="-1"/>
          <w:szCs w:val="21"/>
          <w:highlight w:val="none"/>
        </w:rPr>
        <w:t>3.合同约定期限结束后1个月内，根据招标方要求提交服务总结报告；</w:t>
      </w:r>
    </w:p>
    <w:p>
      <w:pPr>
        <w:spacing w:before="1" w:line="360" w:lineRule="auto"/>
        <w:ind w:left="17" w:firstLine="420" w:firstLineChars="200"/>
        <w:rPr>
          <w:rFonts w:ascii="宋体" w:eastAsia="宋体" w:hAnsi="宋体" w:cs="宋体" w:hint="eastAsia"/>
          <w:color w:val="auto"/>
          <w:spacing w:val="-1"/>
          <w:szCs w:val="21"/>
          <w:highlight w:val="none"/>
        </w:rPr>
      </w:pPr>
      <w:r>
        <w:rPr>
          <w:rFonts w:ascii="宋体" w:eastAsia="宋体" w:hAnsi="宋体" w:cs="宋体"/>
          <w:color w:val="auto"/>
          <w:spacing w:val="-1"/>
          <w:szCs w:val="21"/>
          <w:highlight w:val="none"/>
        </w:rPr>
        <w:t>4.合同期限内，完成合同规定的其他相关事项。</w:t>
      </w:r>
    </w:p>
    <w:p>
      <w:pPr>
        <w:spacing w:before="1" w:line="360" w:lineRule="auto"/>
        <w:ind w:left="17" w:firstLine="420" w:firstLineChars="200"/>
        <w:rPr>
          <w:rFonts w:ascii="宋体" w:eastAsia="宋体" w:hAnsi="宋体" w:cs="宋体" w:hint="eastAsia"/>
          <w:color w:val="auto"/>
          <w:spacing w:val="-1"/>
          <w:szCs w:val="21"/>
          <w:highlight w:val="none"/>
        </w:rPr>
      </w:pPr>
      <w:r>
        <w:rPr>
          <w:rFonts w:ascii="Times New Roman" w:eastAsia="宋体" w:hAnsi="Times New Roman" w:cs="Times New Roman" w:hint="eastAsia"/>
          <w:color w:val="auto"/>
          <w:spacing w:val="-1"/>
          <w:szCs w:val="20"/>
          <w:highlight w:val="none"/>
        </w:rPr>
        <w:t>如未按照招标方要求开展工作3次及以上的，视为违约。</w:t>
      </w:r>
    </w:p>
    <w:p>
      <w:pPr>
        <w:rPr>
          <w:color w:val="auto"/>
          <w:highlight w:val="none"/>
        </w:rPr>
      </w:pPr>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8"/>
    </w:p>
    <w:p w:rsidR="00A07D6E">
      <w:pPr>
        <w:spacing w:before="156" w:beforeLines="50" w:line="360" w:lineRule="auto"/>
        <w:jc w:val="center"/>
        <w:outlineLvl w:val="1"/>
        <w:rPr>
          <w:rFonts w:ascii="宋体" w:hAnsi="宋体"/>
          <w:b/>
          <w:sz w:val="30"/>
          <w:szCs w:val="30"/>
        </w:rPr>
      </w:pPr>
      <w:bookmarkStart w:id="59" w:name="投标被拒绝条款专用部分_JJTK"/>
      <w:r>
        <w:rPr>
          <w:rFonts w:ascii="宋体" w:hAnsi="宋体" w:hint="eastAsia"/>
          <w:b/>
          <w:sz w:val="30"/>
          <w:szCs w:val="30"/>
        </w:rPr>
        <w:t>第八章</w:t>
      </w:r>
      <w:r>
        <w:rPr>
          <w:rFonts w:ascii="宋体" w:hAnsi="宋体" w:hint="eastAsia"/>
          <w:b/>
          <w:sz w:val="30"/>
          <w:szCs w:val="30"/>
        </w:rPr>
        <w:t xml:space="preserve">  </w:t>
      </w:r>
      <w:r>
        <w:rPr>
          <w:rFonts w:ascii="宋体" w:hAnsi="宋体" w:hint="eastAsia"/>
          <w:b/>
          <w:sz w:val="30"/>
          <w:szCs w:val="30"/>
        </w:rPr>
        <w:t>投标被拒绝条款专用部分</w:t>
      </w:r>
    </w:p>
    <w:p w:rsidR="00A07D6E">
      <w:pPr>
        <w:adjustRightInd w:val="0"/>
        <w:snapToGrid w:val="0"/>
        <w:spacing w:before="156" w:beforeLines="50" w:line="360" w:lineRule="auto"/>
        <w:rPr>
          <w:rFonts w:ascii="宋体" w:hAnsi="宋体"/>
          <w:szCs w:val="21"/>
        </w:rPr>
      </w:pPr>
    </w:p>
    <w:p w:rsidR="00A07D6E">
      <w:pPr>
        <w:adjustRightInd w:val="0"/>
        <w:snapToGrid w:val="0"/>
        <w:spacing w:before="156" w:beforeLines="50" w:line="360" w:lineRule="auto"/>
        <w:ind w:firstLine="420" w:firstLineChars="20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5474A3">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A07D6E">
            <w:pPr>
              <w:rPr>
                <w:sz w:val="18"/>
                <w:szCs w:val="18"/>
              </w:rPr>
            </w:pPr>
            <w:r>
              <w:rPr>
                <w:rFonts w:hint="eastAsia"/>
                <w:sz w:val="18"/>
                <w:szCs w:val="18"/>
              </w:rPr>
              <w:t>序号</w:t>
            </w:r>
          </w:p>
        </w:tc>
        <w:tc>
          <w:tcPr>
            <w:tcW w:w="898" w:type="dxa"/>
            <w:vAlign w:val="center"/>
          </w:tcPr>
          <w:p w:rsidR="00A07D6E">
            <w:pPr>
              <w:jc w:val="center"/>
              <w:rPr>
                <w:sz w:val="18"/>
                <w:szCs w:val="18"/>
              </w:rPr>
            </w:pPr>
            <w:r>
              <w:rPr>
                <w:rFonts w:hint="eastAsia"/>
                <w:sz w:val="18"/>
                <w:szCs w:val="18"/>
              </w:rPr>
              <w:t>对应</w:t>
            </w:r>
          </w:p>
          <w:p w:rsidR="00A07D6E">
            <w:pPr>
              <w:jc w:val="center"/>
              <w:rPr>
                <w:sz w:val="18"/>
                <w:szCs w:val="18"/>
              </w:rPr>
            </w:pPr>
            <w:r>
              <w:rPr>
                <w:rFonts w:hint="eastAsia"/>
                <w:sz w:val="18"/>
                <w:szCs w:val="18"/>
              </w:rPr>
              <w:t>条款号</w:t>
            </w:r>
          </w:p>
        </w:tc>
        <w:tc>
          <w:tcPr>
            <w:tcW w:w="7347" w:type="dxa"/>
            <w:vAlign w:val="center"/>
          </w:tcPr>
          <w:p w:rsidR="00A07D6E">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5474A3">
        <w:tblPrEx>
          <w:tblW w:w="8789" w:type="dxa"/>
          <w:tblLayout w:type="fixed"/>
          <w:tblLook w:val="04A0"/>
        </w:tblPrEx>
        <w:trPr>
          <w:cantSplit/>
        </w:trPr>
        <w:tc>
          <w:tcPr>
            <w:tcW w:w="8789" w:type="dxa"/>
            <w:gridSpan w:val="3"/>
            <w:vAlign w:val="center"/>
          </w:tcPr>
          <w:p w:rsidR="00A07D6E">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5474A3">
        <w:tblPrEx>
          <w:tblW w:w="8789" w:type="dxa"/>
          <w:tblLayout w:type="fixed"/>
          <w:tblLook w:val="04A0"/>
        </w:tblPrEx>
        <w:trPr>
          <w:cantSplit/>
        </w:trPr>
        <w:tc>
          <w:tcPr>
            <w:tcW w:w="544" w:type="dxa"/>
            <w:vAlign w:val="center"/>
          </w:tcPr>
          <w:p w:rsidR="00A07D6E">
            <w:pPr>
              <w:numPr>
                <w:ilvl w:val="0"/>
                <w:numId w:val="13"/>
              </w:numPr>
              <w:rPr>
                <w:rFonts w:ascii="宋体" w:hAnsi="宋体"/>
                <w:sz w:val="18"/>
                <w:szCs w:val="18"/>
              </w:rPr>
            </w:pPr>
          </w:p>
        </w:tc>
        <w:tc>
          <w:tcPr>
            <w:tcW w:w="898" w:type="dxa"/>
            <w:vAlign w:val="center"/>
          </w:tcPr>
          <w:p w:rsidR="00A07D6E">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A07D6E">
            <w:pPr>
              <w:tabs>
                <w:tab w:val="left" w:pos="709"/>
              </w:tabs>
              <w:spacing w:line="360" w:lineRule="auto"/>
              <w:jc w:val="left"/>
              <w:rPr>
                <w:rFonts w:ascii="宋体" w:hAnsi="宋体" w:hint="eastAsia"/>
                <w:sz w:val="18"/>
                <w:szCs w:val="18"/>
              </w:rPr>
            </w:pPr>
            <w:r>
              <w:rPr>
                <w:rFonts w:ascii="宋体" w:hAnsi="宋体" w:cs="微软雅黑" w:hint="eastAsia"/>
                <w:b/>
                <w:color w:val="0000FF"/>
                <w:kern w:val="0"/>
                <w:sz w:val="18"/>
                <w:szCs w:val="18"/>
              </w:rPr>
              <w:t>无</w:t>
            </w:r>
          </w:p>
        </w:tc>
      </w:tr>
      <w:tr w:rsidTr="005474A3">
        <w:tblPrEx>
          <w:tblW w:w="8789" w:type="dxa"/>
          <w:tblLayout w:type="fixed"/>
          <w:tblLook w:val="04A0"/>
        </w:tblPrEx>
        <w:trPr>
          <w:cantSplit/>
        </w:trPr>
        <w:tc>
          <w:tcPr>
            <w:tcW w:w="8789" w:type="dxa"/>
            <w:gridSpan w:val="3"/>
            <w:vAlign w:val="center"/>
          </w:tcPr>
          <w:p w:rsidR="00A07D6E">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5474A3">
        <w:tblPrEx>
          <w:tblW w:w="8789" w:type="dxa"/>
          <w:tblLayout w:type="fixed"/>
          <w:tblLook w:val="04A0"/>
        </w:tblPrEx>
        <w:trPr>
          <w:cantSplit/>
        </w:trPr>
        <w:tc>
          <w:tcPr>
            <w:tcW w:w="544" w:type="dxa"/>
            <w:vAlign w:val="center"/>
          </w:tcPr>
          <w:p w:rsidR="00A07D6E">
            <w:pPr>
              <w:numPr>
                <w:ilvl w:val="0"/>
                <w:numId w:val="13"/>
              </w:numPr>
              <w:rPr>
                <w:rFonts w:ascii="宋体" w:hAnsi="宋体"/>
                <w:sz w:val="18"/>
                <w:szCs w:val="18"/>
              </w:rPr>
            </w:pPr>
          </w:p>
        </w:tc>
        <w:tc>
          <w:tcPr>
            <w:tcW w:w="898" w:type="dxa"/>
            <w:vAlign w:val="center"/>
          </w:tcPr>
          <w:p w:rsidR="00A07D6E">
            <w:pPr>
              <w:jc w:val="center"/>
              <w:rPr>
                <w:rFonts w:ascii="宋体" w:hAnsi="宋体"/>
                <w:sz w:val="18"/>
                <w:szCs w:val="18"/>
              </w:rPr>
            </w:pPr>
          </w:p>
        </w:tc>
        <w:tc>
          <w:tcPr>
            <w:tcW w:w="7347" w:type="dxa"/>
            <w:vAlign w:val="center"/>
          </w:tcPr>
          <w:p w:rsidR="00A07D6E">
            <w:pPr>
              <w:tabs>
                <w:tab w:val="left" w:pos="709"/>
              </w:tabs>
              <w:spacing w:line="360" w:lineRule="auto"/>
              <w:jc w:val="left"/>
              <w:rPr>
                <w:rFonts w:ascii="宋体" w:hAnsi="宋体" w:hint="eastAsia"/>
                <w:sz w:val="18"/>
                <w:szCs w:val="18"/>
              </w:rPr>
            </w:pPr>
            <w:r>
              <w:rPr>
                <w:rFonts w:ascii="宋体" w:hAnsi="宋体" w:cs="微软雅黑" w:hint="eastAsia"/>
                <w:b/>
                <w:color w:val="0000FF"/>
                <w:kern w:val="0"/>
                <w:sz w:val="18"/>
                <w:szCs w:val="18"/>
              </w:rPr>
              <w:t>无</w:t>
            </w:r>
          </w:p>
        </w:tc>
      </w:tr>
    </w:tbl>
    <w:p w:rsidR="00A07D6E">
      <w:pPr>
        <w:spacing w:before="156" w:beforeLines="50" w:line="360" w:lineRule="auto"/>
        <w:rPr>
          <w:rFonts w:ascii="宋体" w:hAnsi="宋体"/>
          <w:szCs w:val="21"/>
        </w:rPr>
      </w:pPr>
      <w:r>
        <w:rPr>
          <w:rFonts w:ascii="宋体" w:hAnsi="宋体" w:hint="eastAsia"/>
          <w:szCs w:val="21"/>
        </w:rPr>
        <w:t>注：根据项目具体情况，对投标人有具体要求，且投标人必须遵守的，逐条列出。</w:t>
      </w:r>
    </w:p>
    <w:p w:rsidR="00A07D6E">
      <w:pPr>
        <w:spacing w:before="156" w:beforeLines="50" w:line="360" w:lineRule="auto"/>
        <w:ind w:firstLine="420"/>
      </w:pP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5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3A0468">
      <w:pPr>
        <w:numPr>
          <w:ilvl w:val="0"/>
          <w:numId w:val="10"/>
        </w:numPr>
        <w:spacing w:line="360" w:lineRule="auto"/>
        <w:ind w:firstLine="3066" w:firstLineChars="1460"/>
        <w:jc w:val="left"/>
        <w:rPr>
          <w:rFonts w:ascii="Times New Roman" w:eastAsia="宋体" w:hAnsi="Times New Roman" w:cs="Times New Roman"/>
          <w:b/>
          <w:bCs/>
          <w:szCs w:val="21"/>
        </w:rPr>
      </w:pPr>
      <w:bookmarkStart w:id="60" w:name="采购公告合同部分_ZBGGHT"/>
      <w:r>
        <w:rPr>
          <w:rFonts w:ascii="Times New Roman" w:eastAsia="宋体" w:hAnsi="Times New Roman" w:cs="Times New Roman" w:hint="eastAsia"/>
          <w:b/>
          <w:bCs/>
          <w:szCs w:val="21"/>
        </w:rPr>
        <w:t xml:space="preserve"> </w:t>
      </w:r>
      <w:r>
        <w:rPr>
          <w:rFonts w:ascii="Times New Roman" w:eastAsia="宋体" w:hAnsi="Times New Roman" w:cs="Times New Roman" w:hint="eastAsia"/>
          <w:b/>
          <w:bCs/>
          <w:szCs w:val="21"/>
        </w:rPr>
        <w:t>采购合同</w:t>
      </w:r>
    </w:p>
    <w:p w:rsidR="003A0468">
      <w:pPr>
        <w:spacing w:line="360" w:lineRule="auto"/>
        <w:ind w:left="1680" w:firstLine="420"/>
        <w:jc w:val="left"/>
        <w:rPr>
          <w:b/>
          <w:bCs/>
          <w:szCs w:val="21"/>
        </w:rPr>
      </w:pPr>
      <w:r>
        <w:rPr>
          <w:rFonts w:hint="eastAsia"/>
          <w:b/>
          <w:bCs/>
          <w:szCs w:val="21"/>
        </w:rPr>
        <w:t>必须明确合同金额支付条件及支付比例</w:t>
      </w:r>
    </w:p>
    <w:p w:rsidR="003A0468">
      <w:pPr>
        <w:spacing w:line="360" w:lineRule="auto"/>
        <w:ind w:firstLine="3066" w:firstLineChars="146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rsidR="003A0468">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服务类政府采购合同</w:t>
      </w:r>
    </w:p>
    <w:p w:rsidR="003A0468">
      <w:pPr>
        <w:rPr>
          <w:rFonts w:ascii="宋体" w:eastAsia="宋体" w:hAnsi="宋体" w:cs="宋体"/>
          <w:b/>
          <w:bCs/>
          <w:spacing w:val="-20"/>
          <w:kern w:val="44"/>
          <w:sz w:val="40"/>
          <w:szCs w:val="40"/>
        </w:rPr>
      </w:pPr>
    </w:p>
    <w:p w:rsidR="003A0468">
      <w:pPr>
        <w:rPr>
          <w:rFonts w:ascii="宋体" w:eastAsia="宋体" w:hAnsi="宋体" w:cs="宋体"/>
          <w:b/>
          <w:bCs/>
          <w:spacing w:val="-20"/>
          <w:kern w:val="44"/>
          <w:sz w:val="40"/>
          <w:szCs w:val="40"/>
        </w:rPr>
      </w:pPr>
    </w:p>
    <w:p w:rsidR="003A0468">
      <w:pPr>
        <w:rPr>
          <w:rFonts w:ascii="宋体" w:eastAsia="宋体" w:hAnsi="宋体" w:cs="宋体"/>
          <w:b/>
          <w:bCs/>
          <w:spacing w:val="-20"/>
          <w:kern w:val="44"/>
          <w:sz w:val="40"/>
          <w:szCs w:val="40"/>
        </w:rPr>
      </w:pPr>
    </w:p>
    <w:p w:rsidR="003A0468">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rsidR="003A0468">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rsidR="003A0468">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3A0468">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3A0468">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rsidR="003A0468">
      <w:pPr>
        <w:rPr>
          <w:rFonts w:ascii="Times New Roman" w:eastAsia="宋体" w:hAnsi="Times New Roman" w:cs="Times New Roman"/>
          <w:szCs w:val="20"/>
        </w:rPr>
      </w:pPr>
    </w:p>
    <w:p w:rsidR="003A0468">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rsidR="003A0468">
      <w:pPr>
        <w:rPr>
          <w:rFonts w:ascii="Times New Roman" w:eastAsia="黑体" w:hAnsi="Times New Roman" w:cs="Times New Roman"/>
          <w:sz w:val="44"/>
          <w:szCs w:val="44"/>
        </w:rPr>
      </w:pPr>
    </w:p>
    <w:p w:rsidR="003A0468">
      <w:pPr>
        <w:rPr>
          <w:rFonts w:ascii="Times New Roman" w:eastAsia="黑体" w:hAnsi="Times New Roman" w:cs="Times New Roman"/>
          <w:sz w:val="44"/>
          <w:szCs w:val="44"/>
        </w:rPr>
      </w:pPr>
    </w:p>
    <w:p w:rsidR="003A0468">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用</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说</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明</w:t>
      </w:r>
    </w:p>
    <w:p w:rsidR="003A0468">
      <w:pPr>
        <w:ind w:firstLine="640" w:firstLineChars="200"/>
        <w:rPr>
          <w:rFonts w:ascii="仿宋_GB2312" w:eastAsia="仿宋_GB2312" w:hAnsi="仿宋_GB2312" w:cs="仿宋_GB2312"/>
          <w:sz w:val="32"/>
          <w:szCs w:val="32"/>
        </w:rPr>
      </w:pPr>
    </w:p>
    <w:p w:rsidR="003A0468">
      <w:pPr>
        <w:numPr>
          <w:ilvl w:val="0"/>
          <w:numId w:val="11"/>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本合同标准文本适用于气象部门服务类（非定制开发软件）采购项目。</w:t>
      </w:r>
    </w:p>
    <w:p w:rsidR="003A0468">
      <w:pPr>
        <w:numPr>
          <w:ilvl w:val="0"/>
          <w:numId w:val="11"/>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可以结合采购项目具体情况，对文本作必要的调整修订后使用。</w:t>
      </w:r>
    </w:p>
    <w:p w:rsidR="003A0468">
      <w:pPr>
        <w:numPr>
          <w:ilvl w:val="0"/>
          <w:numId w:val="11"/>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rsidR="003A0468">
      <w:pPr>
        <w:widowControl/>
        <w:jc w:val="left"/>
        <w:rPr>
          <w:rFonts w:ascii="宋体" w:eastAsia="宋体" w:hAnsi="宋体" w:cs="Times New Roman"/>
          <w:szCs w:val="21"/>
        </w:rPr>
      </w:pPr>
      <w:r>
        <w:rPr>
          <w:rFonts w:ascii="宋体" w:eastAsia="宋体" w:hAnsi="宋体" w:cs="Times New Roman"/>
          <w:szCs w:val="21"/>
        </w:rPr>
        <w:br w:type="page"/>
      </w:r>
    </w:p>
    <w:p w:rsidR="003A0468">
      <w:pPr>
        <w:snapToGrid w:val="0"/>
        <w:spacing w:line="360" w:lineRule="auto"/>
        <w:ind w:firstLine="420"/>
        <w:rPr>
          <w:rFonts w:ascii="宋体" w:eastAsia="宋体" w:hAnsi="宋体" w:cs="Times New Roman"/>
          <w:szCs w:val="21"/>
        </w:rPr>
      </w:pPr>
    </w:p>
    <w:p w:rsidR="003A0468">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第一部分</w:t>
      </w:r>
      <w:r>
        <w:rPr>
          <w:rFonts w:ascii="宋体" w:eastAsia="宋体" w:hAnsi="宋体" w:cs="Times New Roman" w:hint="eastAsia"/>
          <w:b/>
          <w:sz w:val="30"/>
          <w:szCs w:val="30"/>
        </w:rPr>
        <w:t xml:space="preserve">  </w:t>
      </w:r>
      <w:r>
        <w:rPr>
          <w:rFonts w:ascii="宋体" w:eastAsia="宋体" w:hAnsi="宋体" w:cs="Times New Roman" w:hint="eastAsia"/>
          <w:b/>
          <w:sz w:val="30"/>
          <w:szCs w:val="30"/>
        </w:rPr>
        <w:t>合同专用部分</w:t>
      </w:r>
    </w:p>
    <w:p w:rsidR="003A0468">
      <w:pPr>
        <w:snapToGrid w:val="0"/>
        <w:spacing w:line="360" w:lineRule="auto"/>
        <w:ind w:firstLine="420"/>
        <w:jc w:val="center"/>
        <w:rPr>
          <w:rFonts w:ascii="宋体" w:eastAsia="宋体" w:hAnsi="宋体" w:cs="Times New Roman"/>
          <w:szCs w:val="21"/>
        </w:rPr>
      </w:pPr>
    </w:p>
    <w:p w:rsidR="003A0468">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甲方（采购人）：</w:t>
      </w:r>
      <w:r>
        <w:rPr>
          <w:rFonts w:ascii="Times New Roman" w:eastAsia="宋体" w:hAnsi="Times New Roman" w:cs="Times New Roman" w:hint="eastAsia"/>
          <w:szCs w:val="21"/>
          <w:u w:val="single"/>
        </w:rPr>
        <w:t xml:space="preserve">                                  </w:t>
      </w:r>
    </w:p>
    <w:p w:rsidR="003A0468">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乙方（中标人）：</w:t>
      </w:r>
      <w:r>
        <w:rPr>
          <w:rFonts w:ascii="Times New Roman" w:eastAsia="宋体" w:hAnsi="Times New Roman" w:cs="Times New Roman" w:hint="eastAsia"/>
          <w:szCs w:val="21"/>
          <w:u w:val="single"/>
        </w:rPr>
        <w:t xml:space="preserve">                                  </w:t>
      </w:r>
    </w:p>
    <w:p w:rsidR="003A0468">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甲乙双方</w:t>
      </w:r>
      <w:r>
        <w:rPr>
          <w:rFonts w:ascii="Calibri" w:eastAsia="宋体" w:hAnsi="Calibri" w:cs="Times New Roman" w:hint="eastAsia"/>
          <w:szCs w:val="21"/>
        </w:rPr>
        <w:t>根据《中华人民共和国民法典（合同编）》、《中华人民共和国政府采购法》、《中华人民共和国政府采购法实施条例》和相关法律法规以及本项目招标文件的规定，</w:t>
      </w:r>
      <w:r>
        <w:rPr>
          <w:rFonts w:ascii="Times New Roman" w:eastAsia="宋体" w:hAnsi="Times New Roman" w:cs="Times New Roman" w:hint="eastAsia"/>
          <w:szCs w:val="21"/>
        </w:rPr>
        <w:t>经平等协商达成合同如下：</w:t>
      </w:r>
    </w:p>
    <w:p w:rsidR="003A0468">
      <w:pPr>
        <w:adjustRightInd w:val="0"/>
        <w:snapToGrid w:val="0"/>
        <w:spacing w:line="360" w:lineRule="auto"/>
        <w:ind w:firstLine="412" w:firstLineChars="196"/>
        <w:rPr>
          <w:rFonts w:ascii="Times New Roman" w:eastAsia="宋体" w:hAnsi="Times New Roman" w:cs="Times New Roman"/>
          <w:b/>
          <w:szCs w:val="20"/>
        </w:rPr>
      </w:pPr>
      <w:r>
        <w:rPr>
          <w:rFonts w:ascii="Times New Roman" w:eastAsia="宋体" w:hAnsi="Times New Roman" w:cs="Times New Roman" w:hint="eastAsia"/>
          <w:b/>
          <w:szCs w:val="20"/>
        </w:rPr>
        <w:t>一、项目</w:t>
      </w:r>
    </w:p>
    <w:p w:rsidR="003A0468">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项目名称：</w:t>
      </w:r>
      <w:r>
        <w:rPr>
          <w:rFonts w:ascii="Times New Roman" w:eastAsia="宋体" w:hAnsi="Times New Roman" w:cs="Times New Roman" w:hint="eastAsia"/>
          <w:szCs w:val="21"/>
          <w:u w:val="single"/>
        </w:rPr>
        <w:t xml:space="preserve">                                    </w:t>
      </w:r>
    </w:p>
    <w:p w:rsidR="003A0468">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项目编号和分包号：</w:t>
      </w:r>
      <w:r>
        <w:rPr>
          <w:rFonts w:ascii="Times New Roman" w:eastAsia="宋体" w:hAnsi="Times New Roman" w:cs="Times New Roman" w:hint="eastAsia"/>
          <w:szCs w:val="21"/>
          <w:u w:val="single"/>
        </w:rPr>
        <w:t xml:space="preserve">                            </w:t>
      </w:r>
    </w:p>
    <w:p w:rsidR="003A0468">
      <w:pPr>
        <w:adjustRightInd w:val="0"/>
        <w:snapToGrid w:val="0"/>
        <w:spacing w:line="360" w:lineRule="auto"/>
        <w:ind w:firstLine="420" w:firstLineChars="200"/>
        <w:rPr>
          <w:rFonts w:ascii="宋体" w:eastAsia="宋体" w:hAnsi="宋体" w:cs="Times New Roman"/>
          <w:b/>
          <w:szCs w:val="28"/>
        </w:rPr>
      </w:pPr>
      <w:r>
        <w:rPr>
          <w:rFonts w:ascii="Times New Roman" w:eastAsia="宋体" w:hAnsi="Times New Roman" w:cs="Times New Roman" w:hint="eastAsia"/>
          <w:szCs w:val="21"/>
        </w:rPr>
        <w:t>二、</w:t>
      </w:r>
      <w:r>
        <w:rPr>
          <w:rFonts w:ascii="宋体" w:eastAsia="宋体" w:hAnsi="宋体" w:cs="Times New Roman" w:hint="eastAsia"/>
          <w:b/>
          <w:szCs w:val="28"/>
        </w:rPr>
        <w:t>合同标的</w:t>
      </w:r>
    </w:p>
    <w:p w:rsidR="003A04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8"/>
        <w:gridCol w:w="2935"/>
        <w:gridCol w:w="735"/>
        <w:gridCol w:w="1318"/>
        <w:gridCol w:w="750"/>
        <w:gridCol w:w="127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768" w:type="dxa"/>
            <w:vAlign w:val="center"/>
          </w:tcPr>
          <w:p w:rsidR="003A0468">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序号</w:t>
            </w:r>
          </w:p>
        </w:tc>
        <w:tc>
          <w:tcPr>
            <w:tcW w:w="2935" w:type="dxa"/>
            <w:vAlign w:val="center"/>
          </w:tcPr>
          <w:p w:rsidR="003A0468">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服务产品名称</w:t>
            </w:r>
          </w:p>
        </w:tc>
        <w:tc>
          <w:tcPr>
            <w:tcW w:w="735" w:type="dxa"/>
            <w:vAlign w:val="center"/>
          </w:tcPr>
          <w:p w:rsidR="003A0468">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数量</w:t>
            </w:r>
          </w:p>
        </w:tc>
        <w:tc>
          <w:tcPr>
            <w:tcW w:w="1318" w:type="dxa"/>
            <w:vAlign w:val="center"/>
          </w:tcPr>
          <w:p w:rsidR="003A0468">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质量说明</w:t>
            </w:r>
          </w:p>
        </w:tc>
        <w:tc>
          <w:tcPr>
            <w:tcW w:w="750" w:type="dxa"/>
            <w:vAlign w:val="center"/>
          </w:tcPr>
          <w:p w:rsidR="003A0468">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价格</w:t>
            </w:r>
          </w:p>
        </w:tc>
        <w:tc>
          <w:tcPr>
            <w:tcW w:w="1275" w:type="dxa"/>
            <w:vAlign w:val="center"/>
          </w:tcPr>
          <w:p w:rsidR="003A0468">
            <w:pPr>
              <w:tabs>
                <w:tab w:val="left" w:pos="1573"/>
              </w:tabs>
              <w:autoSpaceDE w:val="0"/>
              <w:autoSpaceDN w:val="0"/>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交付时间</w:t>
            </w:r>
          </w:p>
        </w:tc>
      </w:tr>
      <w:tr>
        <w:tblPrEx>
          <w:tblW w:w="0" w:type="auto"/>
          <w:jc w:val="center"/>
          <w:tblLayout w:type="fixed"/>
          <w:tblLook w:val="04A0"/>
        </w:tblPrEx>
        <w:trPr>
          <w:jc w:val="center"/>
        </w:trPr>
        <w:tc>
          <w:tcPr>
            <w:tcW w:w="768" w:type="dxa"/>
            <w:vAlign w:val="center"/>
          </w:tcPr>
          <w:p w:rsidR="003A0468">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3A0468">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3A0468">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3A0468">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rsidR="003A0468">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rsidR="003A0468">
            <w:pPr>
              <w:tabs>
                <w:tab w:val="left" w:pos="1573"/>
              </w:tabs>
              <w:autoSpaceDE w:val="0"/>
              <w:autoSpaceDN w:val="0"/>
              <w:adjustRightInd w:val="0"/>
              <w:snapToGrid w:val="0"/>
              <w:spacing w:line="360" w:lineRule="auto"/>
              <w:rPr>
                <w:rFonts w:ascii="宋体" w:eastAsia="宋体" w:hAnsi="宋体" w:cs="Times New Roman"/>
                <w:szCs w:val="21"/>
              </w:rPr>
            </w:pPr>
          </w:p>
        </w:tc>
      </w:tr>
      <w:tr>
        <w:tblPrEx>
          <w:tblW w:w="0" w:type="auto"/>
          <w:jc w:val="center"/>
          <w:tblLayout w:type="fixed"/>
          <w:tblLook w:val="04A0"/>
        </w:tblPrEx>
        <w:trPr>
          <w:jc w:val="center"/>
        </w:trPr>
        <w:tc>
          <w:tcPr>
            <w:tcW w:w="768" w:type="dxa"/>
            <w:vAlign w:val="center"/>
          </w:tcPr>
          <w:p w:rsidR="003A0468">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3A0468">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3A0468">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3A0468">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rsidR="003A0468">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rsidR="003A0468">
            <w:pPr>
              <w:tabs>
                <w:tab w:val="left" w:pos="1573"/>
              </w:tabs>
              <w:autoSpaceDE w:val="0"/>
              <w:autoSpaceDN w:val="0"/>
              <w:adjustRightInd w:val="0"/>
              <w:snapToGrid w:val="0"/>
              <w:spacing w:line="360" w:lineRule="auto"/>
              <w:rPr>
                <w:rFonts w:ascii="宋体" w:eastAsia="宋体" w:hAnsi="宋体" w:cs="Times New Roman"/>
                <w:szCs w:val="21"/>
              </w:rPr>
            </w:pPr>
          </w:p>
        </w:tc>
      </w:tr>
      <w:tr>
        <w:tblPrEx>
          <w:tblW w:w="0" w:type="auto"/>
          <w:jc w:val="center"/>
          <w:tblLayout w:type="fixed"/>
          <w:tblLook w:val="04A0"/>
        </w:tblPrEx>
        <w:trPr>
          <w:jc w:val="center"/>
        </w:trPr>
        <w:tc>
          <w:tcPr>
            <w:tcW w:w="768" w:type="dxa"/>
            <w:vAlign w:val="center"/>
          </w:tcPr>
          <w:p w:rsidR="003A0468">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3A0468">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3A0468">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3A0468">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rsidR="003A0468">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rsidR="003A0468">
            <w:pPr>
              <w:tabs>
                <w:tab w:val="left" w:pos="1573"/>
              </w:tabs>
              <w:autoSpaceDE w:val="0"/>
              <w:autoSpaceDN w:val="0"/>
              <w:adjustRightInd w:val="0"/>
              <w:snapToGrid w:val="0"/>
              <w:spacing w:line="360" w:lineRule="auto"/>
              <w:rPr>
                <w:rFonts w:ascii="宋体" w:eastAsia="宋体" w:hAnsi="宋体" w:cs="Times New Roman"/>
                <w:szCs w:val="21"/>
              </w:rPr>
            </w:pPr>
          </w:p>
        </w:tc>
      </w:tr>
    </w:tbl>
    <w:p w:rsidR="003A0468">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rPr>
        <w:t>三</w:t>
      </w:r>
      <w:r>
        <w:rPr>
          <w:rFonts w:ascii="Times New Roman" w:eastAsia="宋体" w:hAnsi="宋体" w:cs="Times New Roman" w:hint="eastAsia"/>
          <w:b/>
          <w:szCs w:val="20"/>
        </w:rPr>
        <w:t>、合同价格及</w:t>
      </w:r>
      <w:r>
        <w:rPr>
          <w:rFonts w:ascii="宋体" w:eastAsia="宋体" w:hAnsi="宋体" w:cs="Times New Roman" w:hint="eastAsia"/>
          <w:b/>
          <w:szCs w:val="28"/>
        </w:rPr>
        <w:t>付款方式</w:t>
      </w:r>
    </w:p>
    <w:p w:rsidR="003A0468">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、合同总金额为人民币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rsidR="003A0468">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、合同生效后付款：双方签署合同后</w:t>
      </w:r>
      <w:r>
        <w:rPr>
          <w:rFonts w:ascii="宋体" w:eastAsia="宋体" w:hAnsi="宋体" w:cs="Times New Roman" w:hint="eastAsia"/>
          <w:szCs w:val="21"/>
        </w:rPr>
        <w:t>7</w:t>
      </w:r>
      <w:r>
        <w:rPr>
          <w:rFonts w:ascii="宋体" w:eastAsia="宋体" w:hAnsi="宋体" w:cs="Times New Roman" w:hint="eastAsia"/>
          <w:szCs w:val="21"/>
        </w:rPr>
        <w:t>个工作日内，甲方向乙方支付合同总金额的</w:t>
      </w:r>
      <w:r w:rsidR="00947830">
        <w:rPr>
          <w:rFonts w:ascii="宋体" w:eastAsia="宋体" w:hAnsi="宋体" w:cs="Times New Roman" w:hint="eastAsia"/>
          <w:szCs w:val="21"/>
        </w:rPr>
        <w:t>6</w:t>
      </w:r>
      <w:r w:rsidR="00947830">
        <w:rPr>
          <w:rFonts w:ascii="宋体" w:eastAsia="宋体" w:hAnsi="宋体" w:cs="微软雅黑" w:hint="eastAsia"/>
          <w:b/>
          <w:color w:val="0000FF"/>
          <w:kern w:val="0"/>
          <w:szCs w:val="21"/>
        </w:rPr>
        <w:t>0</w:t>
      </w:r>
      <w:r>
        <w:rPr>
          <w:rFonts w:ascii="宋体" w:eastAsia="宋体" w:hAnsi="宋体" w:cs="微软雅黑" w:hint="eastAsia"/>
          <w:b/>
          <w:color w:val="0000FF"/>
          <w:kern w:val="0"/>
          <w:szCs w:val="21"/>
        </w:rPr>
        <w:t>%</w:t>
      </w:r>
      <w:r>
        <w:rPr>
          <w:rFonts w:ascii="宋体" w:eastAsia="宋体" w:hAnsi="宋体" w:cs="Times New Roman" w:hint="eastAsia"/>
          <w:szCs w:val="21"/>
        </w:rPr>
        <w:t>，即人民币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rsidR="003A0468">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、签署验收报告后付款：双方签署验收报告后</w:t>
      </w:r>
      <w:r>
        <w:rPr>
          <w:rFonts w:ascii="宋体" w:eastAsia="宋体" w:hAnsi="宋体" w:cs="Times New Roman" w:hint="eastAsia"/>
          <w:szCs w:val="21"/>
        </w:rPr>
        <w:t>7</w:t>
      </w:r>
      <w:r>
        <w:rPr>
          <w:rFonts w:ascii="宋体" w:eastAsia="宋体" w:hAnsi="宋体" w:cs="Times New Roman" w:hint="eastAsia"/>
          <w:szCs w:val="21"/>
        </w:rPr>
        <w:t>个工作日内，甲方向乙方支付合同总金额的</w:t>
      </w:r>
      <w:r w:rsidR="00947830">
        <w:rPr>
          <w:rFonts w:ascii="宋体" w:eastAsia="宋体" w:hAnsi="宋体" w:cs="微软雅黑" w:hint="eastAsia"/>
          <w:b/>
          <w:color w:val="0000FF"/>
          <w:kern w:val="0"/>
          <w:szCs w:val="21"/>
        </w:rPr>
        <w:t>30</w:t>
      </w:r>
      <w:r>
        <w:rPr>
          <w:rFonts w:ascii="宋体" w:eastAsia="宋体" w:hAnsi="宋体" w:cs="微软雅黑" w:hint="eastAsia"/>
          <w:b/>
          <w:color w:val="0000FF"/>
          <w:kern w:val="0"/>
          <w:szCs w:val="21"/>
        </w:rPr>
        <w:t>%</w:t>
      </w:r>
      <w:r>
        <w:rPr>
          <w:rFonts w:ascii="宋体" w:eastAsia="宋体" w:hAnsi="宋体" w:cs="Times New Roman" w:hint="eastAsia"/>
          <w:szCs w:val="21"/>
        </w:rPr>
        <w:t>，即人民币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r>
        <w:rPr>
          <w:rFonts w:ascii="宋体" w:eastAsia="宋体" w:hAnsi="宋体" w:cs="Times New Roman" w:hint="eastAsia"/>
          <w:szCs w:val="21"/>
        </w:rPr>
        <w:t xml:space="preserve"> </w:t>
      </w:r>
    </w:p>
    <w:p w:rsidR="003A0468">
      <w:pPr>
        <w:tabs>
          <w:tab w:val="left" w:pos="1573"/>
        </w:tabs>
        <w:adjustRightInd w:val="0"/>
        <w:snapToGrid w:val="0"/>
        <w:spacing w:line="360" w:lineRule="auto"/>
        <w:ind w:firstLine="420" w:firstLineChars="200"/>
        <w:jc w:val="left"/>
        <w:rPr>
          <w:rFonts w:ascii="Times New Roman" w:eastAsia="宋体" w:hAnsi="宋体" w:cs="Times New Roman"/>
          <w:kern w:val="0"/>
          <w:szCs w:val="20"/>
        </w:rPr>
      </w:pPr>
      <w:r>
        <w:rPr>
          <w:rFonts w:ascii="宋体" w:eastAsia="宋体" w:hAnsi="宋体" w:cs="Times New Roman" w:hint="eastAsia"/>
          <w:szCs w:val="21"/>
        </w:rPr>
        <w:t>4</w:t>
      </w:r>
      <w:r>
        <w:rPr>
          <w:rFonts w:ascii="宋体" w:eastAsia="宋体" w:hAnsi="宋体" w:cs="Times New Roman" w:hint="eastAsia"/>
          <w:szCs w:val="21"/>
        </w:rPr>
        <w:t>、保修期满后付款：保修期满期满后</w:t>
      </w:r>
      <w:r>
        <w:rPr>
          <w:rFonts w:ascii="宋体" w:eastAsia="宋体" w:hAnsi="宋体" w:cs="Times New Roman" w:hint="eastAsia"/>
          <w:szCs w:val="21"/>
        </w:rPr>
        <w:t>7</w:t>
      </w:r>
      <w:r>
        <w:rPr>
          <w:rFonts w:ascii="宋体" w:eastAsia="宋体" w:hAnsi="宋体" w:cs="Times New Roman" w:hint="eastAsia"/>
          <w:szCs w:val="21"/>
        </w:rPr>
        <w:t>个工作日内，甲方向乙方支付合同总金额的</w:t>
      </w:r>
      <w:r w:rsidR="00947830">
        <w:rPr>
          <w:rFonts w:ascii="宋体" w:eastAsia="宋体" w:hAnsi="宋体" w:cs="微软雅黑" w:hint="eastAsia"/>
          <w:b/>
          <w:color w:val="0000FF"/>
          <w:kern w:val="0"/>
          <w:szCs w:val="21"/>
        </w:rPr>
        <w:t>10</w:t>
      </w:r>
      <w:r>
        <w:rPr>
          <w:rFonts w:ascii="宋体" w:eastAsia="宋体" w:hAnsi="宋体" w:cs="微软雅黑" w:hint="eastAsia"/>
          <w:b/>
          <w:color w:val="0000FF"/>
          <w:kern w:val="0"/>
          <w:szCs w:val="21"/>
        </w:rPr>
        <w:t>%</w:t>
      </w:r>
      <w:r>
        <w:rPr>
          <w:rFonts w:ascii="宋体" w:eastAsia="宋体" w:hAnsi="宋体" w:cs="Times New Roman" w:hint="eastAsia"/>
          <w:szCs w:val="21"/>
        </w:rPr>
        <w:t>，即人民币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rsidR="003A0468">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四、甲方应向乙方提供的资料</w:t>
      </w:r>
    </w:p>
    <w:p w:rsidR="003A0468">
      <w:pPr>
        <w:tabs>
          <w:tab w:val="left" w:pos="1573"/>
        </w:tabs>
        <w:adjustRightInd w:val="0"/>
        <w:snapToGrid w:val="0"/>
        <w:spacing w:line="360" w:lineRule="auto"/>
        <w:ind w:firstLine="412" w:firstLineChars="196"/>
        <w:jc w:val="left"/>
        <w:rPr>
          <w:rFonts w:ascii="宋体" w:eastAsia="宋体" w:hAnsi="宋体" w:cs="Times New Roman"/>
          <w:szCs w:val="28"/>
        </w:rPr>
      </w:pPr>
      <w:r>
        <w:rPr>
          <w:rFonts w:ascii="宋体" w:eastAsia="宋体" w:hAnsi="宋体" w:cs="Times New Roman" w:hint="eastAsia"/>
          <w:szCs w:val="28"/>
        </w:rPr>
        <w:t>甲方提供该乙方履行合同所需的资料清单如下：</w:t>
      </w:r>
    </w:p>
    <w:p w:rsidR="003A0468">
      <w:pPr>
        <w:tabs>
          <w:tab w:val="left" w:pos="1573"/>
        </w:tabs>
        <w:adjustRightInd w:val="0"/>
        <w:snapToGrid w:val="0"/>
        <w:spacing w:line="360" w:lineRule="auto"/>
        <w:ind w:firstLine="412" w:firstLineChars="196"/>
        <w:jc w:val="left"/>
        <w:rPr>
          <w:rFonts w:ascii="宋体" w:eastAsia="宋体" w:hAnsi="宋体" w:cs="Times New Roman"/>
          <w:szCs w:val="28"/>
        </w:rPr>
      </w:pPr>
    </w:p>
    <w:p w:rsidR="003A0468">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五、进度要求及交付</w:t>
      </w:r>
    </w:p>
    <w:p w:rsidR="003A0468">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、交付日期：</w:t>
      </w:r>
      <w:r>
        <w:rPr>
          <w:rFonts w:ascii="宋体" w:eastAsia="宋体" w:hAnsi="宋体" w:cs="Times New Roman" w:hint="eastAsia"/>
          <w:szCs w:val="21"/>
          <w:u w:val="single"/>
        </w:rPr>
        <w:tab/>
        <w:t xml:space="preserve">                      </w:t>
      </w:r>
      <w:r>
        <w:rPr>
          <w:rFonts w:ascii="宋体" w:eastAsia="宋体" w:hAnsi="宋体" w:cs="Times New Roman" w:hint="eastAsia"/>
          <w:szCs w:val="21"/>
        </w:rPr>
        <w:t>。</w:t>
      </w:r>
    </w:p>
    <w:p w:rsidR="003A0468">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、交付地点：</w:t>
      </w:r>
      <w:r>
        <w:rPr>
          <w:rFonts w:ascii="宋体" w:eastAsia="宋体" w:hAnsi="宋体" w:cs="Times New Roman" w:hint="eastAsia"/>
          <w:szCs w:val="21"/>
          <w:u w:val="single"/>
        </w:rPr>
        <w:tab/>
        <w:t xml:space="preserve">                                 </w:t>
      </w:r>
      <w:r>
        <w:rPr>
          <w:rFonts w:ascii="宋体" w:eastAsia="宋体" w:hAnsi="宋体" w:cs="Times New Roman" w:hint="eastAsia"/>
          <w:szCs w:val="21"/>
        </w:rPr>
        <w:t>。</w:t>
      </w:r>
    </w:p>
    <w:p w:rsidR="003A0468">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、其他约定事项：</w:t>
      </w:r>
      <w:r>
        <w:rPr>
          <w:rFonts w:ascii="宋体" w:eastAsia="宋体" w:hAnsi="宋体" w:cs="Times New Roman" w:hint="eastAsia"/>
          <w:szCs w:val="21"/>
          <w:u w:val="single"/>
        </w:rPr>
        <w:t xml:space="preserve">                                                     </w:t>
      </w:r>
      <w:r>
        <w:rPr>
          <w:rFonts w:ascii="宋体" w:eastAsia="宋体" w:hAnsi="宋体" w:cs="Times New Roman" w:hint="eastAsia"/>
          <w:szCs w:val="21"/>
        </w:rPr>
        <w:t>。</w:t>
      </w:r>
    </w:p>
    <w:p w:rsidR="003A0468">
      <w:pPr>
        <w:tabs>
          <w:tab w:val="left" w:pos="1573"/>
        </w:tabs>
        <w:adjustRightInd w:val="0"/>
        <w:snapToGrid w:val="0"/>
        <w:spacing w:line="360" w:lineRule="auto"/>
        <w:ind w:left="420" w:leftChars="200"/>
        <w:rPr>
          <w:rFonts w:ascii="Times New Roman" w:eastAsia="宋体" w:hAnsi="Times New Roman" w:cs="Times New Roman"/>
          <w:b/>
          <w:szCs w:val="21"/>
        </w:rPr>
      </w:pPr>
      <w:r>
        <w:rPr>
          <w:rFonts w:ascii="宋体" w:eastAsia="宋体" w:hAnsi="宋体" w:cs="Times New Roman" w:hint="eastAsia"/>
          <w:b/>
          <w:szCs w:val="21"/>
        </w:rPr>
        <w:t>六、</w:t>
      </w:r>
      <w:r>
        <w:rPr>
          <w:rFonts w:ascii="Times New Roman" w:eastAsia="宋体" w:hAnsi="Times New Roman" w:cs="Times New Roman" w:hint="eastAsia"/>
          <w:b/>
          <w:szCs w:val="21"/>
        </w:rPr>
        <w:t>技术服务和保修责任</w:t>
      </w:r>
    </w:p>
    <w:p w:rsidR="003A0468">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乙方对合同服务的质量保修期为验收证书签署之日起</w:t>
      </w:r>
      <w:r>
        <w:rPr>
          <w:rFonts w:ascii="宋体" w:eastAsia="宋体" w:hAnsi="宋体" w:cs="Times New Roman" w:hint="eastAsia"/>
          <w:szCs w:val="21"/>
          <w:u w:val="single"/>
        </w:rPr>
        <w:t xml:space="preserve">          </w:t>
      </w:r>
      <w:r>
        <w:rPr>
          <w:rFonts w:ascii="宋体" w:eastAsia="宋体" w:hAnsi="宋体" w:cs="Times New Roman" w:hint="eastAsia"/>
          <w:szCs w:val="21"/>
        </w:rPr>
        <w:t>个月。</w:t>
      </w:r>
    </w:p>
    <w:p w:rsidR="003A0468">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七、履约验收</w:t>
      </w:r>
    </w:p>
    <w:p w:rsidR="003A0468">
      <w:pPr>
        <w:tabs>
          <w:tab w:val="left" w:pos="1573"/>
        </w:tabs>
        <w:adjustRightInd w:val="0"/>
        <w:snapToGrid w:val="0"/>
        <w:spacing w:line="360" w:lineRule="auto"/>
        <w:ind w:firstLine="412" w:firstLineChars="196"/>
        <w:jc w:val="left"/>
        <w:rPr>
          <w:rFonts w:ascii="宋体" w:eastAsia="宋体" w:hAnsi="宋体" w:cs="Times New Roman"/>
          <w:szCs w:val="28"/>
        </w:rPr>
      </w:pPr>
      <w:r>
        <w:rPr>
          <w:rFonts w:ascii="宋体" w:eastAsia="宋体" w:hAnsi="宋体" w:cs="Times New Roman" w:hint="eastAsia"/>
          <w:szCs w:val="28"/>
        </w:rPr>
        <w:t>（略）</w:t>
      </w:r>
    </w:p>
    <w:p w:rsidR="003A0468">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szCs w:val="28"/>
        </w:rPr>
        <w:t>具体条款由甲方商乙方拟定。基本内容应包括：验收时间；验收地点；一次性验收还是分阶段、分期验收；验收方式（包括</w:t>
      </w:r>
      <w:r>
        <w:rPr>
          <w:rFonts w:ascii="宋体" w:eastAsia="宋体" w:hAnsi="宋体" w:cs="Times New Roman" w:hint="eastAsia"/>
          <w:szCs w:val="21"/>
        </w:rPr>
        <w:t>自行简易验收、验收小组验收、委托第三方验收等）；验收内容和标准（参见附表）；验收未通过（整体未通过或部分未通过）的处理措施；验收费用承担方等</w:t>
      </w:r>
    </w:p>
    <w:p w:rsidR="003A0468">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八、风险管理</w:t>
      </w:r>
    </w:p>
    <w:p w:rsidR="003A0468">
      <w:pPr>
        <w:tabs>
          <w:tab w:val="left" w:pos="1573"/>
        </w:tabs>
        <w:adjustRightInd w:val="0"/>
        <w:snapToGrid w:val="0"/>
        <w:spacing w:line="360" w:lineRule="auto"/>
        <w:ind w:firstLine="412" w:firstLineChars="196"/>
        <w:jc w:val="left"/>
        <w:rPr>
          <w:rFonts w:ascii="宋体" w:eastAsia="宋体" w:hAnsi="宋体" w:cs="Times New Roman"/>
          <w:szCs w:val="20"/>
        </w:rPr>
      </w:pPr>
      <w:r>
        <w:rPr>
          <w:rFonts w:ascii="宋体" w:eastAsia="宋体" w:hAnsi="宋体" w:cs="Times New Roman" w:hint="eastAsia"/>
          <w:szCs w:val="20"/>
        </w:rPr>
        <w:t>（略）</w:t>
      </w:r>
    </w:p>
    <w:p w:rsidR="003A0468">
      <w:pPr>
        <w:tabs>
          <w:tab w:val="left" w:pos="1573"/>
        </w:tabs>
        <w:adjustRightInd w:val="0"/>
        <w:snapToGrid w:val="0"/>
        <w:spacing w:line="360" w:lineRule="auto"/>
        <w:ind w:firstLine="412" w:firstLineChars="196"/>
        <w:jc w:val="left"/>
        <w:rPr>
          <w:rFonts w:ascii="宋体" w:eastAsia="宋体" w:hAnsi="宋体" w:cs="Times New Roman"/>
          <w:szCs w:val="20"/>
        </w:rPr>
      </w:pPr>
      <w:r>
        <w:rPr>
          <w:rFonts w:ascii="宋体" w:eastAsia="宋体" w:hAnsi="宋体" w:cs="Times New Roman" w:hint="eastAsia"/>
          <w:szCs w:val="20"/>
        </w:rPr>
        <w:t>按照《政府采购需求管理办法》（财库【</w:t>
      </w:r>
      <w:r>
        <w:rPr>
          <w:rFonts w:ascii="宋体" w:eastAsia="宋体" w:hAnsi="宋体" w:cs="Times New Roman" w:hint="eastAsia"/>
          <w:szCs w:val="20"/>
        </w:rPr>
        <w:t>2021</w:t>
      </w:r>
      <w:r>
        <w:rPr>
          <w:rFonts w:ascii="宋体" w:eastAsia="宋体" w:hAnsi="宋体" w:cs="Times New Roman" w:hint="eastAsia"/>
          <w:szCs w:val="20"/>
        </w:rPr>
        <w:t>】</w:t>
      </w:r>
      <w:r>
        <w:rPr>
          <w:rFonts w:ascii="宋体" w:eastAsia="宋体" w:hAnsi="宋体" w:cs="Times New Roman" w:hint="eastAsia"/>
          <w:szCs w:val="20"/>
        </w:rPr>
        <w:t>22</w:t>
      </w:r>
      <w:r>
        <w:rPr>
          <w:rFonts w:ascii="宋体" w:eastAsia="宋体" w:hAnsi="宋体" w:cs="Times New Roman" w:hint="eastAsia"/>
          <w:szCs w:val="20"/>
        </w:rPr>
        <w:t>号）有关规定，如本项目是</w:t>
      </w:r>
      <w:r>
        <w:rPr>
          <w:rFonts w:ascii="宋体" w:eastAsia="宋体" w:hAnsi="宋体" w:cs="Times New Roman" w:hint="eastAsia"/>
          <w:szCs w:val="20"/>
        </w:rPr>
        <w:t>1000</w:t>
      </w:r>
      <w:r>
        <w:rPr>
          <w:rFonts w:ascii="宋体" w:eastAsia="宋体" w:hAnsi="宋体" w:cs="Times New Roman" w:hint="eastAsia"/>
          <w:szCs w:val="20"/>
        </w:rPr>
        <w:t>万元以上的货物、服务采购项目或</w:t>
      </w:r>
      <w:r>
        <w:rPr>
          <w:rFonts w:ascii="宋体" w:eastAsia="宋体" w:hAnsi="宋体" w:cs="Times New Roman" w:hint="eastAsia"/>
          <w:szCs w:val="20"/>
        </w:rPr>
        <w:t>3000</w:t>
      </w:r>
      <w:r>
        <w:rPr>
          <w:rFonts w:ascii="宋体" w:eastAsia="宋体" w:hAnsi="宋体" w:cs="Times New Roman" w:hint="eastAsia"/>
          <w:szCs w:val="20"/>
        </w:rPr>
        <w:t>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项目，要对合同履行过程中出现有关风险（如</w:t>
      </w:r>
      <w:r>
        <w:rPr>
          <w:rFonts w:ascii="Times New Roman" w:eastAsia="宋体" w:hAnsi="Times New Roman" w:cs="Times New Roman"/>
          <w:szCs w:val="20"/>
        </w:rPr>
        <w:t>国家政策变化</w:t>
      </w:r>
      <w:r>
        <w:rPr>
          <w:rFonts w:ascii="Times New Roman" w:eastAsia="宋体" w:hAnsi="Times New Roman" w:cs="Times New Roman" w:hint="eastAsia"/>
          <w:szCs w:val="20"/>
        </w:rPr>
        <w:t>、</w:t>
      </w:r>
      <w:r>
        <w:rPr>
          <w:rFonts w:ascii="Times New Roman" w:eastAsia="宋体" w:hAnsi="Times New Roman" w:cs="Times New Roman"/>
          <w:szCs w:val="20"/>
        </w:rPr>
        <w:t>实施环境变化</w:t>
      </w:r>
      <w:r>
        <w:rPr>
          <w:rFonts w:ascii="Times New Roman" w:eastAsia="宋体" w:hAnsi="Times New Roman" w:cs="Times New Roman" w:hint="eastAsia"/>
          <w:szCs w:val="20"/>
        </w:rPr>
        <w:t>、</w:t>
      </w:r>
      <w:r>
        <w:rPr>
          <w:rFonts w:ascii="Times New Roman" w:eastAsia="宋体" w:hAnsi="Times New Roman" w:cs="Times New Roman"/>
          <w:szCs w:val="20"/>
        </w:rPr>
        <w:t>重大技术变化</w:t>
      </w:r>
      <w:r>
        <w:rPr>
          <w:rFonts w:ascii="Times New Roman" w:eastAsia="宋体" w:hAnsi="Times New Roman" w:cs="Times New Roman" w:hint="eastAsia"/>
          <w:szCs w:val="20"/>
        </w:rPr>
        <w:t>、</w:t>
      </w:r>
      <w:r>
        <w:rPr>
          <w:rFonts w:ascii="Times New Roman" w:eastAsia="宋体" w:hAnsi="Times New Roman" w:cs="Times New Roman"/>
          <w:szCs w:val="20"/>
        </w:rPr>
        <w:t>预算项目调整</w:t>
      </w:r>
      <w:r>
        <w:rPr>
          <w:rFonts w:ascii="Times New Roman" w:eastAsia="宋体" w:hAnsi="Times New Roman" w:cs="Times New Roman" w:hint="eastAsia"/>
          <w:szCs w:val="20"/>
        </w:rPr>
        <w:t>、</w:t>
      </w:r>
      <w:r>
        <w:rPr>
          <w:rFonts w:ascii="Times New Roman" w:eastAsia="宋体" w:hAnsi="Times New Roman" w:cs="Times New Roman"/>
          <w:szCs w:val="20"/>
        </w:rPr>
        <w:t>因质疑投诉影响</w:t>
      </w:r>
      <w:r>
        <w:rPr>
          <w:rFonts w:ascii="Times New Roman" w:eastAsia="宋体" w:hAnsi="Times New Roman" w:cs="Times New Roman" w:hint="eastAsia"/>
          <w:szCs w:val="20"/>
        </w:rPr>
        <w:t>合同</w:t>
      </w:r>
      <w:r>
        <w:rPr>
          <w:rFonts w:ascii="Times New Roman" w:eastAsia="宋体" w:hAnsi="Times New Roman" w:cs="Times New Roman"/>
          <w:szCs w:val="20"/>
        </w:rPr>
        <w:t>进度</w:t>
      </w:r>
      <w:r>
        <w:rPr>
          <w:rFonts w:ascii="Times New Roman" w:eastAsia="宋体" w:hAnsi="Times New Roman" w:cs="Times New Roman" w:hint="eastAsia"/>
          <w:szCs w:val="20"/>
        </w:rPr>
        <w:t>等）</w:t>
      </w:r>
      <w:r>
        <w:rPr>
          <w:rFonts w:ascii="宋体" w:eastAsia="宋体" w:hAnsi="宋体" w:cs="Times New Roman" w:hint="eastAsia"/>
          <w:szCs w:val="20"/>
        </w:rPr>
        <w:t>的可能性、影响程度进行研判，明确管控责任，提出有针对性的处置措施和替代方案。如本项目不属于上述项目，“八、风险管理”可省略）</w:t>
      </w:r>
    </w:p>
    <w:p w:rsidR="003A0468">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九、违约责任</w:t>
      </w:r>
    </w:p>
    <w:p w:rsidR="003A0468">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8"/>
        </w:rPr>
        <w:t>1</w:t>
      </w:r>
      <w:r>
        <w:rPr>
          <w:rFonts w:ascii="宋体" w:eastAsia="宋体" w:hAnsi="宋体" w:cs="Times New Roman" w:hint="eastAsia"/>
          <w:szCs w:val="28"/>
        </w:rPr>
        <w:t>、</w:t>
      </w:r>
      <w:r>
        <w:rPr>
          <w:rFonts w:ascii="宋体" w:eastAsia="宋体" w:hAnsi="宋体" w:cs="Times New Roman" w:hint="eastAsia"/>
          <w:szCs w:val="21"/>
        </w:rPr>
        <w:t>延期交付或延期付款的违约责任：如乙方延期交付或甲方延期付款，每逾期一天，违约方应按延期交货所折合的金额或延期付款金额每天</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 xml:space="preserve"> </w:t>
      </w:r>
      <w:r>
        <w:rPr>
          <w:rFonts w:ascii="宋体" w:eastAsia="宋体" w:hAnsi="宋体" w:cs="Times New Roman" w:hint="eastAsia"/>
          <w:szCs w:val="21"/>
        </w:rPr>
        <w:t>的比例向对方支付违约金，但该违约金累计不得超过合同总金额的</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；上述逾期超过</w:t>
      </w:r>
      <w:r>
        <w:rPr>
          <w:rFonts w:ascii="宋体" w:eastAsia="宋体" w:hAnsi="宋体" w:cs="Times New Roman" w:hint="eastAsia"/>
          <w:szCs w:val="21"/>
          <w:u w:val="single"/>
        </w:rPr>
        <w:t xml:space="preserve">      </w:t>
      </w:r>
      <w:r>
        <w:rPr>
          <w:rFonts w:ascii="宋体" w:eastAsia="宋体" w:hAnsi="宋体" w:cs="Times New Roman" w:hint="eastAsia"/>
          <w:szCs w:val="21"/>
        </w:rPr>
        <w:t>天，守约方有权解除合同，并要求违约方赔偿由此造成的损失。</w:t>
      </w:r>
    </w:p>
    <w:p w:rsidR="003A0468">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、其它违约责任</w:t>
      </w:r>
    </w:p>
    <w:p w:rsidR="003A0468">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违约方应就每一单项违约向对方支付合同总金额</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的违约金。</w:t>
      </w:r>
    </w:p>
    <w:p w:rsidR="003A0468">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rPr>
        <w:t>十、联系方式</w:t>
      </w:r>
    </w:p>
    <w:p w:rsidR="003A0468">
      <w:pPr>
        <w:snapToGrid w:val="0"/>
        <w:ind w:firstLine="309" w:firstLineChars="147"/>
        <w:rPr>
          <w:rFonts w:ascii="宋体" w:eastAsia="宋体" w:hAnsi="宋体" w:cs="Times New Roman"/>
          <w:szCs w:val="21"/>
        </w:rPr>
      </w:pPr>
      <w:r>
        <w:rPr>
          <w:rFonts w:ascii="宋体" w:eastAsia="宋体" w:hAnsi="宋体" w:cs="Times New Roman" w:hint="eastAsia"/>
          <w:szCs w:val="21"/>
        </w:rPr>
        <w:t>甲方：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联系人：</w:t>
      </w:r>
      <w:r>
        <w:rPr>
          <w:rFonts w:ascii="宋体" w:eastAsia="宋体" w:hAnsi="宋体" w:cs="Times New Roman" w:hint="eastAsia"/>
          <w:szCs w:val="21"/>
          <w:u w:val="single"/>
        </w:rPr>
        <w:t xml:space="preserve">             </w:t>
      </w:r>
    </w:p>
    <w:p w:rsidR="003A0468">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邮编：</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rsidR="003A0468">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rPr>
        <w:t>：</w:t>
      </w:r>
      <w:r>
        <w:rPr>
          <w:rFonts w:ascii="宋体" w:eastAsia="宋体" w:hAnsi="宋体" w:cs="Times New Roman" w:hint="eastAsia"/>
          <w:szCs w:val="21"/>
          <w:u w:val="single"/>
        </w:rPr>
        <w:t xml:space="preserve">             </w:t>
      </w:r>
    </w:p>
    <w:p w:rsidR="003A0468">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rsidR="003A0468">
      <w:pPr>
        <w:tabs>
          <w:tab w:val="left" w:pos="1573"/>
        </w:tabs>
        <w:adjustRightInd w:val="0"/>
        <w:snapToGrid w:val="0"/>
        <w:ind w:firstLine="315" w:firstLineChars="150"/>
        <w:jc w:val="left"/>
        <w:rPr>
          <w:rFonts w:ascii="宋体" w:eastAsia="宋体" w:hAnsi="宋体" w:cs="Times New Roman"/>
          <w:szCs w:val="21"/>
          <w:u w:val="single"/>
        </w:rPr>
      </w:pPr>
    </w:p>
    <w:p w:rsidR="003A0468">
      <w:pPr>
        <w:snapToGrid w:val="0"/>
        <w:ind w:firstLine="309" w:firstLineChars="147"/>
        <w:rPr>
          <w:rFonts w:ascii="宋体" w:eastAsia="宋体" w:hAnsi="宋体" w:cs="Times New Roman"/>
          <w:szCs w:val="21"/>
        </w:rPr>
      </w:pPr>
      <w:r>
        <w:rPr>
          <w:rFonts w:ascii="宋体" w:eastAsia="宋体" w:hAnsi="宋体" w:cs="Times New Roman" w:hint="eastAsia"/>
          <w:szCs w:val="21"/>
        </w:rPr>
        <w:t>乙方：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联系人：</w:t>
      </w:r>
      <w:r>
        <w:rPr>
          <w:rFonts w:ascii="宋体" w:eastAsia="宋体" w:hAnsi="宋体" w:cs="Times New Roman" w:hint="eastAsia"/>
          <w:szCs w:val="21"/>
          <w:u w:val="single"/>
        </w:rPr>
        <w:t xml:space="preserve">             </w:t>
      </w:r>
    </w:p>
    <w:p w:rsidR="003A0468">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邮编：</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rsidR="003A0468">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rPr>
        <w:t>：</w:t>
      </w:r>
      <w:r>
        <w:rPr>
          <w:rFonts w:ascii="宋体" w:eastAsia="宋体" w:hAnsi="宋体" w:cs="Times New Roman" w:hint="eastAsia"/>
          <w:szCs w:val="21"/>
          <w:u w:val="single"/>
        </w:rPr>
        <w:t xml:space="preserve">             </w:t>
      </w:r>
    </w:p>
    <w:p w:rsidR="003A0468">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rsidR="003A0468">
      <w:pPr>
        <w:tabs>
          <w:tab w:val="left" w:pos="1573"/>
        </w:tabs>
        <w:adjustRightInd w:val="0"/>
        <w:snapToGrid w:val="0"/>
        <w:spacing w:line="360" w:lineRule="auto"/>
        <w:ind w:firstLine="420" w:firstLineChars="200"/>
        <w:jc w:val="left"/>
        <w:rPr>
          <w:rFonts w:ascii="Times New Roman" w:eastAsia="宋体" w:hAnsi="Times New Roman" w:cs="Times New Roman"/>
          <w:b/>
          <w:szCs w:val="21"/>
        </w:rPr>
      </w:pPr>
    </w:p>
    <w:p w:rsidR="003A0468">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Times New Roman" w:eastAsia="宋体" w:hAnsi="Times New Roman" w:cs="Times New Roman" w:hint="eastAsia"/>
          <w:b/>
          <w:szCs w:val="21"/>
        </w:rPr>
        <w:t>十一、</w:t>
      </w:r>
      <w:r>
        <w:rPr>
          <w:rFonts w:ascii="宋体" w:eastAsia="宋体" w:hAnsi="宋体" w:cs="Times New Roman" w:hint="eastAsia"/>
          <w:b/>
          <w:szCs w:val="28"/>
        </w:rPr>
        <w:t>争议的解决</w:t>
      </w:r>
    </w:p>
    <w:p w:rsidR="003A0468">
      <w:pPr>
        <w:tabs>
          <w:tab w:val="left" w:pos="1573"/>
        </w:tabs>
        <w:adjustRightInd w:val="0"/>
        <w:snapToGrid w:val="0"/>
        <w:spacing w:line="360" w:lineRule="auto"/>
        <w:ind w:firstLine="420" w:firstLineChars="200"/>
        <w:jc w:val="left"/>
        <w:rPr>
          <w:rFonts w:ascii="宋体" w:eastAsia="宋体" w:hAnsi="宋体" w:cs="Times New Roman"/>
          <w:szCs w:val="28"/>
        </w:rPr>
      </w:pPr>
      <w:r>
        <w:rPr>
          <w:rFonts w:ascii="宋体" w:eastAsia="宋体" w:hAnsi="宋体" w:cs="Times New Roman" w:hint="eastAsia"/>
          <w:szCs w:val="28"/>
        </w:rPr>
        <w:t>本项目选择</w:t>
      </w:r>
      <w:r>
        <w:rPr>
          <w:rFonts w:ascii="宋体" w:eastAsia="宋体" w:hAnsi="宋体" w:cs="Times New Roman" w:hint="eastAsia"/>
          <w:b/>
          <w:szCs w:val="28"/>
        </w:rPr>
        <w:t>第二章合同条款通用部分</w:t>
      </w:r>
      <w:r>
        <w:rPr>
          <w:rFonts w:ascii="宋体" w:eastAsia="宋体" w:hAnsi="宋体" w:cs="Times New Roman" w:hint="eastAsia"/>
          <w:szCs w:val="28"/>
        </w:rPr>
        <w:t>“争议的解决</w:t>
      </w:r>
      <w:r>
        <w:rPr>
          <w:rFonts w:ascii="宋体" w:eastAsia="宋体" w:hAnsi="宋体" w:cs="Times New Roman" w:hint="eastAsia"/>
          <w:szCs w:val="28"/>
        </w:rPr>
        <w:t>”所属第</w:t>
      </w:r>
      <w:r>
        <w:rPr>
          <w:rFonts w:ascii="宋体" w:eastAsia="宋体" w:hAnsi="宋体" w:cs="Times New Roman" w:hint="eastAsia"/>
          <w:szCs w:val="28"/>
          <w:u w:val="single"/>
        </w:rPr>
        <w:t xml:space="preserve">      </w:t>
      </w:r>
      <w:r>
        <w:rPr>
          <w:rFonts w:ascii="宋体" w:eastAsia="宋体" w:hAnsi="宋体" w:cs="Times New Roman" w:hint="eastAsia"/>
          <w:szCs w:val="28"/>
        </w:rPr>
        <w:t>种方式解决。</w:t>
      </w:r>
    </w:p>
    <w:p w:rsidR="003A0468">
      <w:pPr>
        <w:tabs>
          <w:tab w:val="left" w:pos="1573"/>
        </w:tabs>
        <w:adjustRightInd w:val="0"/>
        <w:snapToGrid w:val="0"/>
        <w:spacing w:line="360" w:lineRule="auto"/>
        <w:ind w:firstLine="420" w:firstLineChars="200"/>
        <w:jc w:val="left"/>
        <w:rPr>
          <w:rFonts w:ascii="宋体" w:eastAsia="宋体" w:hAnsi="宋体" w:cs="Times New Roman"/>
          <w:b/>
          <w:szCs w:val="28"/>
        </w:rPr>
      </w:pPr>
    </w:p>
    <w:p w:rsidR="003A0468">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rPr>
        <w:t>十二、履约保证金</w:t>
      </w:r>
    </w:p>
    <w:p w:rsidR="003A0468">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中标人在收到中标通知书后</w:t>
      </w:r>
      <w:r>
        <w:rPr>
          <w:rFonts w:ascii="宋体" w:eastAsia="宋体" w:hAnsi="宋体" w:cs="Times New Roman" w:hint="eastAsia"/>
          <w:szCs w:val="21"/>
          <w:u w:val="single"/>
        </w:rPr>
        <w:t xml:space="preserve">   </w:t>
      </w:r>
      <w:r>
        <w:rPr>
          <w:rFonts w:ascii="宋体" w:eastAsia="宋体" w:hAnsi="宋体" w:cs="Times New Roman" w:hint="eastAsia"/>
          <w:szCs w:val="21"/>
        </w:rPr>
        <w:t>个工作日内，向甲方提供相当于合同总价</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的履约保证金。</w:t>
      </w:r>
      <w:r>
        <w:rPr>
          <w:rFonts w:ascii="宋体" w:eastAsia="宋体" w:hAnsi="宋体" w:cs="Times New Roman" w:hint="eastAsia"/>
          <w:szCs w:val="21"/>
        </w:rPr>
        <w:t xml:space="preserve"> </w:t>
      </w:r>
    </w:p>
    <w:p w:rsidR="003A0468">
      <w:pPr>
        <w:tabs>
          <w:tab w:val="left" w:pos="1573"/>
        </w:tabs>
        <w:adjustRightInd w:val="0"/>
        <w:snapToGrid w:val="0"/>
        <w:spacing w:line="360" w:lineRule="auto"/>
        <w:ind w:firstLine="412" w:firstLineChars="196"/>
        <w:jc w:val="left"/>
        <w:rPr>
          <w:rFonts w:ascii="宋体" w:eastAsia="宋体" w:hAnsi="宋体" w:cs="Times New Roman"/>
          <w:b/>
          <w:szCs w:val="28"/>
        </w:rPr>
      </w:pPr>
    </w:p>
    <w:p w:rsidR="003A0468">
      <w:pPr>
        <w:snapToGrid w:val="0"/>
        <w:ind w:firstLine="309" w:firstLineChars="147"/>
        <w:rPr>
          <w:rFonts w:ascii="宋体" w:eastAsia="宋体" w:hAnsi="宋体" w:cs="Times New Roman"/>
          <w:b/>
          <w:szCs w:val="21"/>
        </w:rPr>
      </w:pPr>
      <w:r>
        <w:rPr>
          <w:rFonts w:ascii="宋体" w:eastAsia="宋体" w:hAnsi="宋体" w:cs="Times New Roman" w:hint="eastAsia"/>
          <w:b/>
          <w:szCs w:val="21"/>
        </w:rPr>
        <w:t>甲方：</w:t>
      </w:r>
      <w:r>
        <w:rPr>
          <w:rFonts w:ascii="宋体" w:eastAsia="宋体" w:hAnsi="宋体" w:cs="Times New Roman" w:hint="eastAsia"/>
          <w:b/>
          <w:szCs w:val="21"/>
        </w:rPr>
        <w:t xml:space="preserve">                                   </w:t>
      </w:r>
      <w:r>
        <w:rPr>
          <w:rFonts w:ascii="宋体" w:eastAsia="宋体" w:hAnsi="宋体" w:cs="Times New Roman" w:hint="eastAsia"/>
          <w:b/>
          <w:szCs w:val="21"/>
        </w:rPr>
        <w:t>乙方：</w:t>
      </w:r>
    </w:p>
    <w:p w:rsidR="003A0468">
      <w:pPr>
        <w:snapToGrid w:val="0"/>
        <w:ind w:firstLine="309" w:firstLineChars="147"/>
        <w:rPr>
          <w:rFonts w:ascii="宋体" w:eastAsia="宋体" w:hAnsi="宋体" w:cs="Times New Roman"/>
          <w:b/>
          <w:szCs w:val="21"/>
        </w:rPr>
      </w:pPr>
      <w:r>
        <w:rPr>
          <w:rFonts w:ascii="宋体" w:eastAsia="宋体" w:hAnsi="宋体" w:cs="Times New Roman" w:hint="eastAsia"/>
          <w:b/>
          <w:szCs w:val="21"/>
        </w:rPr>
        <w:t>单位名称：（公章）</w:t>
      </w:r>
      <w:r>
        <w:rPr>
          <w:rFonts w:ascii="宋体" w:eastAsia="宋体" w:hAnsi="宋体" w:cs="Times New Roman" w:hint="eastAsia"/>
          <w:b/>
          <w:szCs w:val="21"/>
        </w:rPr>
        <w:t xml:space="preserve">                        </w:t>
      </w:r>
      <w:r>
        <w:rPr>
          <w:rFonts w:ascii="宋体" w:eastAsia="宋体" w:hAnsi="宋体" w:cs="Times New Roman" w:hint="eastAsia"/>
          <w:b/>
          <w:szCs w:val="21"/>
        </w:rPr>
        <w:t>单位名称：（公章）</w:t>
      </w:r>
    </w:p>
    <w:p w:rsidR="003A0468">
      <w:pPr>
        <w:snapToGrid w:val="0"/>
        <w:ind w:firstLine="309" w:firstLineChars="147"/>
        <w:rPr>
          <w:rFonts w:ascii="宋体" w:eastAsia="宋体" w:hAnsi="宋体" w:cs="Times New Roman"/>
          <w:b/>
          <w:szCs w:val="21"/>
        </w:rPr>
      </w:pPr>
      <w:r>
        <w:rPr>
          <w:rFonts w:ascii="宋体" w:eastAsia="宋体" w:hAnsi="宋体" w:cs="Times New Roman" w:hint="eastAsia"/>
          <w:b/>
          <w:szCs w:val="21"/>
        </w:rPr>
        <w:t>法定代表人：</w:t>
      </w:r>
      <w:r>
        <w:rPr>
          <w:rFonts w:ascii="宋体" w:eastAsia="宋体" w:hAnsi="宋体" w:cs="Times New Roman" w:hint="eastAsia"/>
          <w:b/>
          <w:szCs w:val="21"/>
        </w:rPr>
        <w:t xml:space="preserve">                             </w:t>
      </w:r>
      <w:r>
        <w:rPr>
          <w:rFonts w:ascii="宋体" w:eastAsia="宋体" w:hAnsi="宋体" w:cs="Times New Roman" w:hint="eastAsia"/>
          <w:b/>
          <w:szCs w:val="21"/>
        </w:rPr>
        <w:t>法定代表人：</w:t>
      </w:r>
    </w:p>
    <w:p w:rsidR="003A0468">
      <w:pPr>
        <w:snapToGrid w:val="0"/>
        <w:ind w:firstLine="309" w:firstLineChars="147"/>
        <w:rPr>
          <w:rFonts w:ascii="宋体" w:eastAsia="宋体" w:hAnsi="宋体" w:cs="Times New Roman"/>
          <w:b/>
          <w:szCs w:val="21"/>
        </w:rPr>
      </w:pPr>
      <w:r>
        <w:rPr>
          <w:rFonts w:ascii="宋体" w:eastAsia="宋体" w:hAnsi="宋体" w:cs="Times New Roman" w:hint="eastAsia"/>
          <w:b/>
          <w:szCs w:val="21"/>
        </w:rPr>
        <w:t>授权代表：</w:t>
      </w:r>
      <w:r>
        <w:rPr>
          <w:rFonts w:ascii="宋体" w:eastAsia="宋体" w:hAnsi="宋体" w:cs="Times New Roman" w:hint="eastAsia"/>
          <w:b/>
          <w:szCs w:val="21"/>
        </w:rPr>
        <w:t xml:space="preserve">                               </w:t>
      </w:r>
      <w:r>
        <w:rPr>
          <w:rFonts w:ascii="宋体" w:eastAsia="宋体" w:hAnsi="宋体" w:cs="Times New Roman" w:hint="eastAsia"/>
          <w:b/>
          <w:szCs w:val="21"/>
        </w:rPr>
        <w:t>授权代表：</w:t>
      </w:r>
    </w:p>
    <w:p w:rsidR="003A0468">
      <w:pPr>
        <w:snapToGrid w:val="0"/>
        <w:ind w:firstLine="309" w:firstLineChars="147"/>
        <w:rPr>
          <w:rFonts w:ascii="宋体" w:eastAsia="宋体" w:hAnsi="宋体" w:cs="Times New Roman"/>
          <w:b/>
          <w:szCs w:val="21"/>
        </w:rPr>
      </w:pPr>
      <w:r>
        <w:rPr>
          <w:rFonts w:ascii="宋体" w:eastAsia="宋体" w:hAnsi="宋体" w:cs="Times New Roman" w:hint="eastAsia"/>
          <w:b/>
          <w:szCs w:val="21"/>
        </w:rPr>
        <w:t>签约日期：</w:t>
      </w:r>
      <w:r>
        <w:rPr>
          <w:rFonts w:ascii="宋体" w:eastAsia="宋体" w:hAnsi="宋体" w:cs="Times New Roman" w:hint="eastAsia"/>
          <w:b/>
          <w:szCs w:val="21"/>
        </w:rPr>
        <w:t xml:space="preserve">        </w:t>
      </w:r>
      <w:r>
        <w:rPr>
          <w:rFonts w:ascii="宋体" w:eastAsia="宋体" w:hAnsi="宋体" w:cs="Times New Roman" w:hint="eastAsia"/>
          <w:b/>
          <w:szCs w:val="21"/>
        </w:rPr>
        <w:t xml:space="preserve">                       </w:t>
      </w:r>
      <w:r>
        <w:rPr>
          <w:rFonts w:ascii="宋体" w:eastAsia="宋体" w:hAnsi="宋体" w:cs="Times New Roman" w:hint="eastAsia"/>
          <w:b/>
          <w:szCs w:val="21"/>
        </w:rPr>
        <w:t>签约日期：</w:t>
      </w:r>
    </w:p>
    <w:p w:rsidR="003A0468">
      <w:pPr>
        <w:widowControl/>
        <w:jc w:val="left"/>
        <w:rPr>
          <w:rFonts w:ascii="宋体" w:eastAsia="宋体" w:hAnsi="宋体" w:cs="Times New Roman"/>
          <w:b/>
          <w:szCs w:val="21"/>
        </w:rPr>
      </w:pPr>
      <w:r>
        <w:rPr>
          <w:rFonts w:ascii="宋体" w:eastAsia="宋体" w:hAnsi="宋体" w:cs="Times New Roman"/>
          <w:b/>
          <w:szCs w:val="21"/>
        </w:rPr>
        <w:br w:type="page"/>
      </w:r>
    </w:p>
    <w:p w:rsidR="003A0468">
      <w:pPr>
        <w:spacing w:line="360" w:lineRule="auto"/>
        <w:jc w:val="left"/>
        <w:rPr>
          <w:rFonts w:ascii="Times New Roman" w:eastAsia="宋体" w:hAnsi="Times New Roman" w:cs="Times New Roman"/>
          <w:b/>
          <w:bCs/>
          <w:sz w:val="44"/>
          <w:szCs w:val="44"/>
        </w:rPr>
      </w:pPr>
    </w:p>
    <w:p w:rsidR="003A0468">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第二部分</w:t>
      </w:r>
      <w:r>
        <w:rPr>
          <w:rFonts w:ascii="宋体" w:eastAsia="宋体" w:hAnsi="宋体" w:cs="Times New Roman" w:hint="eastAsia"/>
          <w:b/>
          <w:sz w:val="30"/>
          <w:szCs w:val="30"/>
        </w:rPr>
        <w:t xml:space="preserve">  </w:t>
      </w:r>
      <w:r>
        <w:rPr>
          <w:rFonts w:ascii="宋体" w:eastAsia="宋体" w:hAnsi="宋体" w:cs="Times New Roman" w:hint="eastAsia"/>
          <w:b/>
          <w:sz w:val="30"/>
          <w:szCs w:val="30"/>
        </w:rPr>
        <w:t>合同通用部分</w:t>
      </w:r>
    </w:p>
    <w:p w:rsidR="003A0468">
      <w:pPr>
        <w:tabs>
          <w:tab w:val="left" w:pos="1573"/>
        </w:tabs>
        <w:snapToGrid w:val="0"/>
        <w:spacing w:line="360" w:lineRule="auto"/>
        <w:jc w:val="center"/>
        <w:rPr>
          <w:rFonts w:ascii="宋体" w:eastAsia="宋体" w:hAnsi="宋体" w:cs="Times New Roman"/>
          <w:szCs w:val="21"/>
        </w:rPr>
      </w:pPr>
    </w:p>
    <w:p w:rsidR="003A0468">
      <w:pPr>
        <w:tabs>
          <w:tab w:val="left" w:pos="1573"/>
        </w:tabs>
        <w:adjustRightInd w:val="0"/>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rPr>
        <w:t xml:space="preserve"> </w:t>
      </w:r>
    </w:p>
    <w:p w:rsidR="003A0468">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本合同所附下列文件是构成本合同不可分割的部分，若各文件之间存在含糊不清或互相冲突之处，优先顺序应按下列文件顺序</w:t>
      </w:r>
      <w:r>
        <w:rPr>
          <w:rFonts w:ascii="宋体" w:eastAsia="宋体" w:hAnsi="宋体" w:cs="Times New Roman" w:hint="eastAsia"/>
          <w:szCs w:val="21"/>
        </w:rPr>
        <w:t>解释：</w:t>
      </w:r>
    </w:p>
    <w:p w:rsidR="003A0468">
      <w:pPr>
        <w:numPr>
          <w:ilvl w:val="0"/>
          <w:numId w:val="12"/>
        </w:numPr>
        <w:snapToGrid w:val="0"/>
        <w:spacing w:line="360" w:lineRule="auto"/>
        <w:rPr>
          <w:rFonts w:ascii="宋体" w:eastAsia="宋体" w:hAnsi="宋体" w:cs="Times New Roman"/>
          <w:szCs w:val="21"/>
        </w:rPr>
      </w:pPr>
      <w:r>
        <w:rPr>
          <w:rFonts w:ascii="宋体" w:eastAsia="宋体" w:hAnsi="宋体" w:cs="Times New Roman" w:hint="eastAsia"/>
          <w:szCs w:val="21"/>
        </w:rPr>
        <w:t>中标通知书</w:t>
      </w:r>
    </w:p>
    <w:p w:rsidR="003A0468">
      <w:pPr>
        <w:numPr>
          <w:ilvl w:val="0"/>
          <w:numId w:val="12"/>
        </w:numPr>
        <w:snapToGrid w:val="0"/>
        <w:spacing w:line="360" w:lineRule="auto"/>
        <w:rPr>
          <w:rFonts w:ascii="宋体" w:eastAsia="宋体" w:hAnsi="宋体" w:cs="Times New Roman"/>
          <w:szCs w:val="21"/>
        </w:rPr>
      </w:pPr>
      <w:r>
        <w:rPr>
          <w:rFonts w:ascii="宋体" w:eastAsia="宋体" w:hAnsi="宋体" w:cs="Times New Roman" w:hint="eastAsia"/>
          <w:szCs w:val="21"/>
        </w:rPr>
        <w:t>开标一览表及投标分项报价表</w:t>
      </w:r>
    </w:p>
    <w:p w:rsidR="003A0468">
      <w:pPr>
        <w:numPr>
          <w:ilvl w:val="0"/>
          <w:numId w:val="12"/>
        </w:numPr>
        <w:snapToGrid w:val="0"/>
        <w:spacing w:line="360" w:lineRule="auto"/>
        <w:rPr>
          <w:rFonts w:ascii="宋体" w:eastAsia="宋体" w:hAnsi="宋体" w:cs="Times New Roman"/>
          <w:szCs w:val="21"/>
        </w:rPr>
      </w:pPr>
      <w:r>
        <w:rPr>
          <w:rFonts w:ascii="宋体" w:eastAsia="宋体" w:hAnsi="宋体" w:cs="Times New Roman" w:hint="eastAsia"/>
          <w:szCs w:val="21"/>
        </w:rPr>
        <w:t>商务和技术偏离表</w:t>
      </w:r>
    </w:p>
    <w:p w:rsidR="003A0468">
      <w:pPr>
        <w:numPr>
          <w:ilvl w:val="0"/>
          <w:numId w:val="12"/>
        </w:numPr>
        <w:snapToGrid w:val="0"/>
        <w:spacing w:line="360" w:lineRule="auto"/>
        <w:rPr>
          <w:rFonts w:ascii="宋体" w:eastAsia="宋体" w:hAnsi="宋体" w:cs="Times New Roman"/>
          <w:szCs w:val="21"/>
        </w:rPr>
      </w:pPr>
      <w:r>
        <w:rPr>
          <w:rFonts w:ascii="宋体" w:eastAsia="宋体" w:hAnsi="宋体" w:cs="Times New Roman" w:hint="eastAsia"/>
          <w:szCs w:val="21"/>
        </w:rPr>
        <w:t>合同条款专用部分</w:t>
      </w:r>
    </w:p>
    <w:p w:rsidR="003A0468">
      <w:pPr>
        <w:numPr>
          <w:ilvl w:val="0"/>
          <w:numId w:val="12"/>
        </w:numPr>
        <w:snapToGrid w:val="0"/>
        <w:spacing w:line="360" w:lineRule="auto"/>
        <w:rPr>
          <w:rFonts w:ascii="宋体" w:eastAsia="宋体" w:hAnsi="宋体" w:cs="Times New Roman"/>
          <w:szCs w:val="21"/>
        </w:rPr>
      </w:pPr>
      <w:r>
        <w:rPr>
          <w:rFonts w:ascii="宋体" w:eastAsia="宋体" w:hAnsi="宋体" w:cs="Times New Roman" w:hint="eastAsia"/>
          <w:szCs w:val="21"/>
        </w:rPr>
        <w:t>合同条款通用部分</w:t>
      </w:r>
    </w:p>
    <w:p w:rsidR="003A0468">
      <w:pPr>
        <w:numPr>
          <w:ilvl w:val="0"/>
          <w:numId w:val="12"/>
        </w:numPr>
        <w:snapToGrid w:val="0"/>
        <w:spacing w:line="360" w:lineRule="auto"/>
        <w:rPr>
          <w:rFonts w:ascii="宋体" w:eastAsia="宋体" w:hAnsi="宋体" w:cs="Times New Roman"/>
          <w:szCs w:val="21"/>
        </w:rPr>
      </w:pPr>
      <w:r>
        <w:rPr>
          <w:rFonts w:ascii="宋体" w:eastAsia="宋体" w:hAnsi="宋体" w:cs="Times New Roman" w:hint="eastAsia"/>
          <w:szCs w:val="21"/>
        </w:rPr>
        <w:t>采购需求</w:t>
      </w:r>
    </w:p>
    <w:p w:rsidR="003A0468">
      <w:pPr>
        <w:numPr>
          <w:ilvl w:val="0"/>
          <w:numId w:val="12"/>
        </w:numPr>
        <w:snapToGrid w:val="0"/>
        <w:spacing w:line="360" w:lineRule="auto"/>
        <w:rPr>
          <w:rFonts w:ascii="宋体" w:eastAsia="宋体" w:hAnsi="宋体" w:cs="Times New Roman"/>
          <w:szCs w:val="21"/>
        </w:rPr>
      </w:pPr>
      <w:r>
        <w:rPr>
          <w:rFonts w:ascii="宋体" w:eastAsia="宋体" w:hAnsi="宋体" w:cs="Times New Roman" w:hint="eastAsia"/>
          <w:szCs w:val="21"/>
        </w:rPr>
        <w:t>双方有关服务的洽商、变更等书面协议或文件</w:t>
      </w:r>
    </w:p>
    <w:p w:rsidR="003A0468">
      <w:pPr>
        <w:numPr>
          <w:ilvl w:val="0"/>
          <w:numId w:val="12"/>
        </w:numPr>
        <w:snapToGrid w:val="0"/>
        <w:spacing w:line="360" w:lineRule="auto"/>
        <w:rPr>
          <w:rFonts w:ascii="宋体" w:eastAsia="宋体" w:hAnsi="宋体" w:cs="Times New Roman"/>
          <w:szCs w:val="21"/>
        </w:rPr>
      </w:pPr>
      <w:r>
        <w:rPr>
          <w:rFonts w:ascii="宋体" w:eastAsia="宋体" w:hAnsi="宋体" w:cs="Times New Roman" w:hint="eastAsia"/>
          <w:szCs w:val="21"/>
        </w:rPr>
        <w:t>投标文件、招标文件除以上的其他部分</w:t>
      </w:r>
    </w:p>
    <w:p w:rsidR="003A0468">
      <w:pPr>
        <w:numPr>
          <w:ilvl w:val="0"/>
          <w:numId w:val="12"/>
        </w:numPr>
        <w:snapToGrid w:val="0"/>
        <w:spacing w:line="360" w:lineRule="auto"/>
        <w:rPr>
          <w:rFonts w:ascii="宋体" w:eastAsia="宋体" w:hAnsi="宋体" w:cs="Times New Roman"/>
          <w:szCs w:val="21"/>
        </w:rPr>
      </w:pPr>
      <w:r>
        <w:rPr>
          <w:rFonts w:ascii="宋体" w:eastAsia="宋体" w:hAnsi="宋体" w:cs="Times New Roman" w:hint="eastAsia"/>
          <w:szCs w:val="21"/>
        </w:rPr>
        <w:t>其他合同文本</w:t>
      </w:r>
    </w:p>
    <w:p w:rsidR="003A0468">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一、定义</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除非另有特别解释或说明，在本合同及与本合同相关的，双方另行签署的其他文件（包括但不限于本合同的附件）中，下述词语均依如下定义进行解释：</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、“项目”详见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、“合同”指甲乙双方签署的，与本项目相关的协议、附件、附录和其他一切文件，还</w:t>
      </w:r>
      <w:r>
        <w:rPr>
          <w:rFonts w:ascii="宋体" w:eastAsia="宋体" w:hAnsi="宋体" w:cs="Times New Roman"/>
          <w:szCs w:val="21"/>
        </w:rPr>
        <w:t>包括招标文件、投标文件中的相关内容及其有效补充文件</w:t>
      </w:r>
      <w:r>
        <w:rPr>
          <w:rFonts w:ascii="宋体" w:eastAsia="宋体" w:hAnsi="宋体" w:cs="Times New Roman" w:hint="eastAsia"/>
          <w:szCs w:val="21"/>
        </w:rPr>
        <w:t>。</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、“附件”是指与本合同的订立、履行有关的，经甲乙双方认可的，对本合同约定的内容进行细化、补充、修改、变更的文件、图纸、音像制品等资料。</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、“合同服务”指合同服务清单（同投标文件中分项报价表，下同）中所规定的服务内容、设备和软件购置等内容。</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、“验收证书”指验收完成后由合同双方签署的最终验收确认书。</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、“保修期”指自验收证书甲方签署之日起，乙方免费对所提供给甲方服务内容进行技术支持、现场服务、升级服务等，并自担费用方式保证合同服务正常运行的时期。</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w:t>
      </w:r>
      <w:r>
        <w:rPr>
          <w:rFonts w:ascii="宋体" w:eastAsia="宋体" w:hAnsi="宋体" w:cs="Times New Roman" w:hint="eastAsia"/>
          <w:szCs w:val="21"/>
        </w:rPr>
        <w:t>、“第三人”是指本合同双方以外的任何中国境内、外的自然人、法人或其他经济组织。</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w:t>
      </w:r>
      <w:r>
        <w:rPr>
          <w:rFonts w:ascii="宋体" w:eastAsia="宋体" w:hAnsi="宋体" w:cs="Times New Roman" w:hint="eastAsia"/>
          <w:szCs w:val="21"/>
        </w:rPr>
        <w:t>、“法律、法规”是指由中国有关部门制定的法律、行政法规、地方性法规、规章及其他规</w:t>
      </w:r>
      <w:r>
        <w:rPr>
          <w:rFonts w:ascii="宋体" w:eastAsia="宋体" w:hAnsi="宋体" w:cs="Times New Roman" w:hint="eastAsia"/>
          <w:szCs w:val="21"/>
        </w:rPr>
        <w:t>范性文件以及经全国人民代表大会常务委员会批准的中国缔结、参加的国际条（公）约的有关规定。</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w:t>
      </w:r>
      <w:r>
        <w:rPr>
          <w:rFonts w:ascii="宋体" w:eastAsia="宋体" w:hAnsi="宋体" w:cs="Times New Roman" w:hint="eastAsia"/>
          <w:szCs w:val="21"/>
        </w:rPr>
        <w:t>、“招标文件”指采购中心发布的本项目招标文件。</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w:t>
      </w:r>
      <w:r>
        <w:rPr>
          <w:rFonts w:ascii="宋体" w:eastAsia="宋体" w:hAnsi="宋体" w:cs="Times New Roman" w:hint="eastAsia"/>
          <w:szCs w:val="21"/>
        </w:rPr>
        <w:t>、“投标文件”指乙方按照采购中心发布的本项目招标文件的要求编制和投递，并最终被采购中心接受的投标文件。</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w:t>
      </w:r>
      <w:r>
        <w:rPr>
          <w:rFonts w:ascii="宋体" w:eastAsia="宋体" w:hAnsi="宋体" w:cs="Times New Roman" w:hint="eastAsia"/>
          <w:szCs w:val="21"/>
        </w:rPr>
        <w:t>、“合同标的”指甲方同意从乙方购买，乙方同意向甲方提供</w:t>
      </w:r>
      <w:r>
        <w:rPr>
          <w:rFonts w:ascii="黑体" w:eastAsia="黑体" w:hAnsi="黑体" w:cs="Times New Roman" w:hint="eastAsia"/>
          <w:b/>
          <w:szCs w:val="21"/>
        </w:rPr>
        <w:t>合同服务清单（同投标文件中分项报价表）</w:t>
      </w:r>
      <w:r>
        <w:rPr>
          <w:rFonts w:ascii="宋体" w:eastAsia="宋体" w:hAnsi="宋体" w:cs="Times New Roman" w:hint="eastAsia"/>
          <w:szCs w:val="21"/>
        </w:rPr>
        <w:t>中所</w:t>
      </w:r>
      <w:r>
        <w:rPr>
          <w:rFonts w:ascii="宋体" w:eastAsia="宋体" w:hAnsi="宋体" w:cs="Times New Roman" w:hint="eastAsia"/>
          <w:szCs w:val="21"/>
        </w:rPr>
        <w:t>列服务内容、设备和软件购置等内容。</w:t>
      </w:r>
    </w:p>
    <w:p w:rsidR="003A0468">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二、合同标的</w:t>
      </w:r>
    </w:p>
    <w:p w:rsidR="003A0468">
      <w:pPr>
        <w:numPr>
          <w:ilvl w:val="6"/>
          <w:numId w:val="0"/>
        </w:num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3A0468">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三、合同价格</w:t>
      </w:r>
    </w:p>
    <w:p w:rsidR="003A04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、合同总金额详见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3A04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、本合同价格包括服务产品金额，是在项目交付前、交付时所发生或引起的本合同相关的全部成本、费用等，且为完税后价格。</w:t>
      </w:r>
    </w:p>
    <w:p w:rsidR="003A04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、合同服务产品详细目录及价格见</w:t>
      </w:r>
      <w:r>
        <w:rPr>
          <w:rFonts w:ascii="黑体" w:eastAsia="黑体" w:hAnsi="黑体" w:cs="Times New Roman" w:hint="eastAsia"/>
          <w:b/>
          <w:bCs/>
          <w:szCs w:val="21"/>
        </w:rPr>
        <w:t>合同服务产品清单（同投标文件中服务产品清单）</w:t>
      </w:r>
      <w:r>
        <w:rPr>
          <w:rFonts w:ascii="宋体" w:eastAsia="宋体" w:hAnsi="宋体" w:cs="Times New Roman" w:hint="eastAsia"/>
          <w:szCs w:val="21"/>
        </w:rPr>
        <w:t>。</w:t>
      </w:r>
    </w:p>
    <w:p w:rsidR="003A0468">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四、支付和结算方式</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、双方因本合同发生的一切费用均以人民币结算及支付。</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、双方的帐户名称、开户银行及帐号以本合同提供的为准。</w:t>
      </w:r>
    </w:p>
    <w:p w:rsidR="003A0468">
      <w:pPr>
        <w:tabs>
          <w:tab w:val="left" w:pos="1573"/>
        </w:tabs>
        <w:adjustRightInd w:val="0"/>
        <w:snapToGrid w:val="0"/>
        <w:spacing w:line="360" w:lineRule="auto"/>
        <w:ind w:firstLine="420" w:firstLineChars="200"/>
        <w:rPr>
          <w:rFonts w:ascii="Times New Roman" w:eastAsia="宋体" w:hAnsi="宋体" w:cs="Times New Roman"/>
          <w:kern w:val="0"/>
          <w:szCs w:val="21"/>
        </w:rPr>
      </w:pPr>
      <w:r>
        <w:rPr>
          <w:rFonts w:ascii="宋体" w:eastAsia="宋体" w:hAnsi="宋体" w:cs="Times New Roman" w:hint="eastAsia"/>
          <w:szCs w:val="21"/>
        </w:rPr>
        <w:t>3</w:t>
      </w:r>
      <w:r>
        <w:rPr>
          <w:rFonts w:ascii="宋体" w:eastAsia="宋体" w:hAnsi="宋体" w:cs="Times New Roman" w:hint="eastAsia"/>
          <w:szCs w:val="21"/>
        </w:rPr>
        <w:t>、付款方式：</w:t>
      </w:r>
      <w:r>
        <w:rPr>
          <w:rFonts w:ascii="Times New Roman" w:eastAsia="宋体" w:hAnsi="宋体" w:cs="Times New Roman" w:hint="eastAsia"/>
          <w:kern w:val="0"/>
          <w:szCs w:val="21"/>
        </w:rPr>
        <w:t xml:space="preserve"> </w:t>
      </w:r>
    </w:p>
    <w:p w:rsidR="003A0468">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w:t>
      </w:r>
      <w:r>
        <w:rPr>
          <w:rFonts w:ascii="Times New Roman" w:eastAsia="宋体" w:hAnsi="宋体" w:cs="Times New Roman" w:hint="eastAsia"/>
          <w:kern w:val="0"/>
          <w:szCs w:val="20"/>
        </w:rPr>
        <w:t>1</w:t>
      </w:r>
      <w:r>
        <w:rPr>
          <w:rFonts w:ascii="Times New Roman" w:eastAsia="宋体" w:hAnsi="宋体" w:cs="Times New Roman" w:hint="eastAsia"/>
          <w:kern w:val="0"/>
          <w:szCs w:val="20"/>
        </w:rPr>
        <w:t>）合同生效后付款：双方签署合同后</w:t>
      </w:r>
      <w:r>
        <w:rPr>
          <w:rFonts w:ascii="Times New Roman" w:eastAsia="宋体" w:hAnsi="宋体" w:cs="Times New Roman" w:hint="eastAsia"/>
          <w:kern w:val="0"/>
          <w:szCs w:val="20"/>
        </w:rPr>
        <w:t>7</w:t>
      </w:r>
      <w:r>
        <w:rPr>
          <w:rFonts w:ascii="Times New Roman" w:eastAsia="宋体" w:hAnsi="宋体" w:cs="Times New Roman" w:hint="eastAsia"/>
          <w:kern w:val="0"/>
          <w:szCs w:val="20"/>
        </w:rPr>
        <w:t>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w:t>
      </w:r>
    </w:p>
    <w:p w:rsidR="003A0468">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w:t>
      </w:r>
      <w:r>
        <w:rPr>
          <w:rFonts w:ascii="Times New Roman" w:eastAsia="宋体" w:hAnsi="宋体" w:cs="Times New Roman" w:hint="eastAsia"/>
          <w:kern w:val="0"/>
          <w:szCs w:val="20"/>
        </w:rPr>
        <w:t>2</w:t>
      </w:r>
      <w:r>
        <w:rPr>
          <w:rFonts w:ascii="Times New Roman" w:eastAsia="宋体" w:hAnsi="宋体" w:cs="Times New Roman" w:hint="eastAsia"/>
          <w:kern w:val="0"/>
          <w:szCs w:val="20"/>
        </w:rPr>
        <w:t>）签署验收报后付款：合同服务安装、调试到位、试运行完成，经甲方核对无误、检验合格，双方签署验收报告后</w:t>
      </w:r>
      <w:r>
        <w:rPr>
          <w:rFonts w:ascii="Times New Roman" w:eastAsia="宋体" w:hAnsi="宋体" w:cs="Times New Roman" w:hint="eastAsia"/>
          <w:kern w:val="0"/>
          <w:szCs w:val="20"/>
        </w:rPr>
        <w:t>7</w:t>
      </w:r>
      <w:r>
        <w:rPr>
          <w:rFonts w:ascii="Times New Roman" w:eastAsia="宋体" w:hAnsi="宋体" w:cs="Times New Roman" w:hint="eastAsia"/>
          <w:kern w:val="0"/>
          <w:szCs w:val="20"/>
        </w:rPr>
        <w:t>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w:t>
      </w:r>
      <w:r>
        <w:rPr>
          <w:rFonts w:ascii="Times New Roman" w:eastAsia="宋体" w:hAnsi="宋体" w:cs="Times New Roman" w:hint="eastAsia"/>
          <w:kern w:val="0"/>
          <w:szCs w:val="20"/>
        </w:rPr>
        <w:t xml:space="preserve"> </w:t>
      </w:r>
    </w:p>
    <w:p w:rsidR="003A0468">
      <w:pPr>
        <w:tabs>
          <w:tab w:val="left" w:pos="1573"/>
        </w:tabs>
        <w:adjustRightInd w:val="0"/>
        <w:snapToGrid w:val="0"/>
        <w:spacing w:line="360" w:lineRule="auto"/>
        <w:ind w:firstLine="420" w:firstLineChars="200"/>
        <w:rPr>
          <w:rFonts w:ascii="宋体" w:eastAsia="宋体" w:hAnsi="宋体" w:cs="Times New Roman"/>
          <w:kern w:val="0"/>
          <w:szCs w:val="20"/>
        </w:rPr>
      </w:pPr>
      <w:r>
        <w:rPr>
          <w:rFonts w:ascii="宋体" w:eastAsia="宋体" w:hAnsi="宋体" w:cs="Times New Roman" w:hint="eastAsia"/>
          <w:kern w:val="0"/>
          <w:szCs w:val="20"/>
        </w:rPr>
        <w:t>（</w:t>
      </w:r>
      <w:r>
        <w:rPr>
          <w:rFonts w:ascii="宋体" w:eastAsia="宋体" w:hAnsi="宋体" w:cs="Times New Roman" w:hint="eastAsia"/>
          <w:kern w:val="0"/>
          <w:szCs w:val="20"/>
        </w:rPr>
        <w:t>3</w:t>
      </w:r>
      <w:r>
        <w:rPr>
          <w:rFonts w:ascii="宋体" w:eastAsia="宋体" w:hAnsi="宋体" w:cs="Times New Roman" w:hint="eastAsia"/>
          <w:kern w:val="0"/>
          <w:szCs w:val="20"/>
        </w:rPr>
        <w:t>）保修期满后付款：合同服务的保修期（合同服务的保修期自全部服务验收合格，双方签署验收证书之日起算）期满后</w:t>
      </w:r>
      <w:r>
        <w:rPr>
          <w:rFonts w:ascii="宋体" w:eastAsia="宋体" w:hAnsi="宋体" w:cs="Times New Roman" w:hint="eastAsia"/>
          <w:kern w:val="0"/>
          <w:szCs w:val="20"/>
        </w:rPr>
        <w:t>7</w:t>
      </w:r>
      <w:r>
        <w:rPr>
          <w:rFonts w:ascii="宋体" w:eastAsia="宋体" w:hAnsi="宋体" w:cs="Times New Roman" w:hint="eastAsia"/>
          <w:kern w:val="0"/>
          <w:szCs w:val="20"/>
        </w:rPr>
        <w:t>个工作日内，甲方向乙方支付合同余款，支付比例、金额</w:t>
      </w:r>
      <w:r>
        <w:rPr>
          <w:rFonts w:ascii="宋体" w:eastAsia="宋体" w:hAnsi="Courier New"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kern w:val="0"/>
          <w:szCs w:val="20"/>
        </w:rPr>
        <w:t>，作为本合同最终结款。</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、乙方在收到甲方每一笔付</w:t>
      </w:r>
      <w:r>
        <w:rPr>
          <w:rFonts w:ascii="宋体" w:eastAsia="宋体" w:hAnsi="宋体" w:cs="Times New Roman" w:hint="eastAsia"/>
          <w:szCs w:val="21"/>
        </w:rPr>
        <w:t>款的同时，应向甲方开具相应金额的商业发票。</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rsidR="003A0468">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五</w:t>
      </w:r>
      <w:r>
        <w:rPr>
          <w:rFonts w:ascii="宋体" w:eastAsia="宋体" w:hAnsi="宋体" w:cs="Times New Roman" w:hint="eastAsia"/>
          <w:b/>
          <w:szCs w:val="21"/>
        </w:rPr>
        <w:t>、资料的使用</w:t>
      </w:r>
    </w:p>
    <w:p w:rsidR="003A0468">
      <w:pPr>
        <w:adjustRightInd w:val="0"/>
        <w:snapToGrid w:val="0"/>
        <w:spacing w:line="360" w:lineRule="auto"/>
        <w:ind w:left="105" w:firstLine="315" w:leftChars="50" w:firstLineChars="15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rsidR="003A04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、没有甲方事先书面同意，除了履行本合同之外，乙方不应使用甲方提供的任何文件和资料。</w:t>
      </w:r>
    </w:p>
    <w:p w:rsidR="003A04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、没有甲方事先书面同意，乙方不得泄露与本项目有关的任何资料、数据及其它信息。</w:t>
      </w:r>
    </w:p>
    <w:p w:rsidR="003A04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、除了合同本身以外，甲方提供给乙方的任何文件是甲方的财产。如果甲方有要求，乙方在完成合同后应将这些文件</w:t>
      </w:r>
      <w:r>
        <w:rPr>
          <w:rFonts w:ascii="宋体" w:eastAsia="宋体" w:hAnsi="宋体" w:cs="Times New Roman" w:hint="eastAsia"/>
          <w:szCs w:val="21"/>
        </w:rPr>
        <w:t>(</w:t>
      </w:r>
      <w:r>
        <w:rPr>
          <w:rFonts w:ascii="宋体" w:eastAsia="宋体" w:hAnsi="宋体" w:cs="Times New Roman" w:hint="eastAsia"/>
          <w:szCs w:val="21"/>
        </w:rPr>
        <w:t>全部拷贝</w:t>
      </w:r>
      <w:r>
        <w:rPr>
          <w:rFonts w:ascii="宋体" w:eastAsia="宋体" w:hAnsi="宋体" w:cs="Times New Roman" w:hint="eastAsia"/>
          <w:szCs w:val="21"/>
        </w:rPr>
        <w:t>)</w:t>
      </w:r>
      <w:r>
        <w:rPr>
          <w:rFonts w:ascii="宋体" w:eastAsia="宋体" w:hAnsi="宋体" w:cs="Times New Roman" w:hint="eastAsia"/>
          <w:szCs w:val="21"/>
        </w:rPr>
        <w:t>还给甲方。</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甲方提供该乙方履行合同所需的资料清单见</w:t>
      </w:r>
      <w:r>
        <w:rPr>
          <w:rFonts w:ascii="黑体" w:eastAsia="黑体" w:hAnsi="黑体" w:cs="Times New Roman" w:hint="eastAsia"/>
          <w:b/>
          <w:bCs/>
          <w:szCs w:val="21"/>
        </w:rPr>
        <w:t>合同条款专用部分。</w:t>
      </w:r>
    </w:p>
    <w:p w:rsidR="003A0468">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六、知识产权</w:t>
      </w:r>
    </w:p>
    <w:p w:rsidR="003A04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、在本协议生效日前业已存在的版权及其他知识产权应属于本协议生效前既拥有该等权利的一方。</w:t>
      </w:r>
    </w:p>
    <w:p w:rsidR="003A04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、任何一方均不可凭借本协议取得另一方此前所已经拥有且根据本合同不应被合理的推论为其已经同意转移的版权、专利、商业秘密、商标或其他知识产权的所有权。</w:t>
      </w:r>
    </w:p>
    <w:p w:rsidR="003A04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、符合法律规定及当事人约定的原则：任何相关事项均应当符合法律规定，及应</w:t>
      </w:r>
      <w:r>
        <w:rPr>
          <w:rFonts w:ascii="宋体" w:eastAsia="宋体" w:hAnsi="宋体" w:cs="Times New Roman" w:hint="eastAsia"/>
          <w:szCs w:val="21"/>
        </w:rPr>
        <w:t>当符合当事人约定。</w:t>
      </w:r>
    </w:p>
    <w:p w:rsidR="003A04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、开发成果归属清晰原则：全部及</w:t>
      </w:r>
      <w:r>
        <w:rPr>
          <w:rFonts w:ascii="宋体" w:eastAsia="宋体" w:hAnsi="宋体" w:cs="Times New Roman" w:hint="eastAsia"/>
          <w:szCs w:val="21"/>
        </w:rPr>
        <w:t>/</w:t>
      </w:r>
      <w:r>
        <w:rPr>
          <w:rFonts w:ascii="宋体" w:eastAsia="宋体" w:hAnsi="宋体" w:cs="Times New Roman" w:hint="eastAsia"/>
          <w:szCs w:val="21"/>
        </w:rPr>
        <w:t>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w:t>
      </w:r>
      <w:r>
        <w:rPr>
          <w:rFonts w:ascii="宋体" w:eastAsia="宋体" w:hAnsi="宋体" w:cs="Times New Roman" w:hint="eastAsia"/>
          <w:szCs w:val="21"/>
        </w:rPr>
        <w:t>/</w:t>
      </w:r>
      <w:r>
        <w:rPr>
          <w:rFonts w:ascii="宋体" w:eastAsia="宋体" w:hAnsi="宋体" w:cs="Times New Roman" w:hint="eastAsia"/>
          <w:szCs w:val="21"/>
        </w:rPr>
        <w:t>或任何责任，包括但不限于应当承担其自身及甲方为排除任何争议或瑕疵所应当或所需要支付的一切相关及</w:t>
      </w:r>
      <w:r>
        <w:rPr>
          <w:rFonts w:ascii="宋体" w:eastAsia="宋体" w:hAnsi="宋体" w:cs="Times New Roman" w:hint="eastAsia"/>
          <w:szCs w:val="21"/>
        </w:rPr>
        <w:t>/</w:t>
      </w:r>
      <w:r>
        <w:rPr>
          <w:rFonts w:ascii="宋体" w:eastAsia="宋体" w:hAnsi="宋体" w:cs="Times New Roman" w:hint="eastAsia"/>
          <w:szCs w:val="21"/>
        </w:rPr>
        <w:t>或由此引起的费用。</w:t>
      </w:r>
    </w:p>
    <w:p w:rsidR="003A04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w:t>
      </w:r>
      <w:r>
        <w:rPr>
          <w:rFonts w:ascii="宋体" w:eastAsia="宋体" w:hAnsi="宋体" w:cs="Times New Roman" w:hint="eastAsia"/>
          <w:szCs w:val="21"/>
        </w:rPr>
        <w:t>/</w:t>
      </w:r>
      <w:r>
        <w:rPr>
          <w:rFonts w:ascii="宋体" w:eastAsia="宋体" w:hAnsi="宋体" w:cs="Times New Roman" w:hint="eastAsia"/>
          <w:szCs w:val="21"/>
        </w:rPr>
        <w:t>或任何责任，包括但不限于应当承担其自身及甲方为排除任何争议及</w:t>
      </w:r>
      <w:r>
        <w:rPr>
          <w:rFonts w:ascii="宋体" w:eastAsia="宋体" w:hAnsi="宋体" w:cs="Times New Roman" w:hint="eastAsia"/>
          <w:szCs w:val="21"/>
        </w:rPr>
        <w:t>/</w:t>
      </w:r>
      <w:r>
        <w:rPr>
          <w:rFonts w:ascii="宋体" w:eastAsia="宋体" w:hAnsi="宋体" w:cs="Times New Roman" w:hint="eastAsia"/>
          <w:szCs w:val="21"/>
        </w:rPr>
        <w:t>或赔偿侵权所应当或所需要支付的一切相关及</w:t>
      </w:r>
      <w:r>
        <w:rPr>
          <w:rFonts w:ascii="宋体" w:eastAsia="宋体" w:hAnsi="宋体" w:cs="Times New Roman" w:hint="eastAsia"/>
          <w:szCs w:val="21"/>
        </w:rPr>
        <w:t>/</w:t>
      </w:r>
      <w:r>
        <w:rPr>
          <w:rFonts w:ascii="宋体" w:eastAsia="宋体" w:hAnsi="宋体" w:cs="Times New Roman" w:hint="eastAsia"/>
          <w:szCs w:val="21"/>
        </w:rPr>
        <w:t>或由此引起的费用。</w:t>
      </w:r>
    </w:p>
    <w:p w:rsidR="003A04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、甲方将拥有其在本协议项下所从事的所有工作（包括各类纸质文档，电子文档及其他可交付物）中所包含的或与之相关的全部版权、专利、商业秘密、商标和其他知识产权以及所</w:t>
      </w:r>
      <w:r>
        <w:rPr>
          <w:rFonts w:ascii="宋体" w:eastAsia="宋体" w:hAnsi="宋体" w:cs="Times New Roman" w:hint="eastAsia"/>
          <w:szCs w:val="21"/>
        </w:rPr>
        <w:t>有权和其他权益。</w:t>
      </w:r>
    </w:p>
    <w:p w:rsidR="003A0468">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七、进度要求</w:t>
      </w:r>
    </w:p>
    <w:p w:rsidR="003A0468">
      <w:pPr>
        <w:numPr>
          <w:ilvl w:val="6"/>
          <w:numId w:val="0"/>
        </w:numPr>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见</w:t>
      </w:r>
      <w:r>
        <w:rPr>
          <w:rFonts w:ascii="黑体" w:eastAsia="黑体" w:hAnsi="黑体" w:cs="Times New Roman" w:hint="eastAsia"/>
          <w:b/>
          <w:bCs/>
          <w:szCs w:val="20"/>
        </w:rPr>
        <w:t>合同条款专用部分</w:t>
      </w:r>
      <w:r>
        <w:rPr>
          <w:rFonts w:ascii="宋体" w:eastAsia="宋体" w:hAnsi="宋体" w:cs="Times New Roman" w:hint="eastAsia"/>
          <w:b/>
          <w:szCs w:val="21"/>
        </w:rPr>
        <w:t>。</w:t>
      </w:r>
    </w:p>
    <w:p w:rsidR="003A0468">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八、技术服务和保修责任</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关于本条的特别说明：本条中的服务时间，即相关的服务到达现场或完成维修工作所需的时间：小时、天数等，招标文件或有关保修服务的其它文件中有规定的，遵从其规定；若无相关文</w:t>
      </w:r>
      <w:r>
        <w:rPr>
          <w:rFonts w:ascii="宋体" w:eastAsia="宋体" w:hAnsi="宋体" w:cs="Times New Roman" w:hint="eastAsia"/>
          <w:szCs w:val="21"/>
        </w:rPr>
        <w:t>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rPr>
        <w:t>合同条款专用部分</w:t>
      </w:r>
      <w:r>
        <w:rPr>
          <w:rFonts w:ascii="宋体" w:eastAsia="宋体" w:hAnsi="宋体" w:cs="Times New Roman" w:hint="eastAsia"/>
          <w:szCs w:val="21"/>
        </w:rPr>
        <w:t>。</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、乙方对合同服务的质量保修期见</w:t>
      </w:r>
      <w:r>
        <w:rPr>
          <w:rFonts w:ascii="黑体" w:eastAsia="黑体" w:hAnsi="黑体" w:cs="Times New Roman" w:hint="eastAsia"/>
          <w:b/>
          <w:bCs/>
          <w:szCs w:val="21"/>
        </w:rPr>
        <w:t>合同条款专用部分</w:t>
      </w:r>
      <w:r>
        <w:rPr>
          <w:rFonts w:ascii="宋体" w:eastAsia="宋体" w:hAnsi="宋体" w:cs="Times New Roman" w:hint="eastAsia"/>
          <w:szCs w:val="21"/>
        </w:rPr>
        <w:t>。乙方应保证所提供的产品、服务，符合合同规定的技术要求。如不</w:t>
      </w:r>
      <w:r>
        <w:rPr>
          <w:rFonts w:ascii="宋体" w:eastAsia="宋体" w:hAnsi="宋体" w:cs="Times New Roman" w:hint="eastAsia"/>
          <w:szCs w:val="21"/>
        </w:rPr>
        <w:t>符时，乙方应负全责并尽快处理解决，由此造成的损失和相关费用由乙方负责，甲方保留终止合同及索赔的权利。</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、乙方应保证通过执行合同中全部方案后，可以取得本合同规定的结果，达到本合同规定的预期目标。对任何情况下出现问题的，应尽快提出解决方案。</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、如果乙方提供的产品、服务和解决方案不符合甲方要求，或在规定的时间内没有弥补缺陷，甲方有权采取一切必要的补救措施，由此产生的费用全部由乙方负责。</w:t>
      </w:r>
    </w:p>
    <w:p w:rsidR="003A0468">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九、履约保证金</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、中标人应在收到中标通知书后规定时间内（具体时间</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）内，以信汇、电汇或履约保函形式向甲方提</w:t>
      </w:r>
      <w:r>
        <w:rPr>
          <w:rFonts w:ascii="宋体" w:eastAsia="宋体" w:hAnsi="宋体" w:cs="Times New Roman" w:hint="eastAsia"/>
          <w:szCs w:val="21"/>
        </w:rPr>
        <w:t>供履约保证金，保证金金额：见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、如果中标人没有按照上述规定执行，甲方将有充分理由取消该中标决定，并不予退还其投标保证金。在此情况下甲方可将合同授予排名第二的中标候选人，或重新招标。</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、如果中标人在与甲方签定合同以后，将中标项目转包给第三方或者</w:t>
      </w:r>
      <w:r>
        <w:rPr>
          <w:rFonts w:ascii="Times New Roman" w:eastAsia="宋体" w:hAnsi="Times New Roman" w:cs="Times New Roman" w:hint="eastAsia"/>
          <w:szCs w:val="20"/>
        </w:rPr>
        <w:t>将合同全部及任何权利、义务向第三方转让，或者在</w:t>
      </w:r>
      <w:r>
        <w:rPr>
          <w:rFonts w:ascii="宋体" w:eastAsia="宋体" w:hAnsi="宋体" w:cs="Times New Roman" w:hint="eastAsia"/>
          <w:szCs w:val="21"/>
        </w:rPr>
        <w:t>本项目不允许分包的情况下将中标项目分包给第三方，甲方将有充分理由终止合同，并不予退还其履约保证金。</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、中标人的履约保证金将在合同服务试经甲方终验合格，履行完必要的审批手续后</w:t>
      </w:r>
      <w:r>
        <w:rPr>
          <w:rFonts w:ascii="宋体" w:eastAsia="宋体" w:hAnsi="宋体" w:cs="Times New Roman" w:hint="eastAsia"/>
          <w:szCs w:val="21"/>
        </w:rPr>
        <w:t>30</w:t>
      </w:r>
      <w:r>
        <w:rPr>
          <w:rFonts w:ascii="宋体" w:eastAsia="宋体" w:hAnsi="宋体" w:cs="Times New Roman" w:hint="eastAsia"/>
          <w:szCs w:val="21"/>
        </w:rPr>
        <w:t>日内退还中标人。</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、如</w:t>
      </w:r>
      <w:r>
        <w:rPr>
          <w:rFonts w:ascii="宋体" w:eastAsia="宋体" w:hAnsi="宋体" w:cs="Times New Roman" w:hint="eastAsia"/>
          <w:szCs w:val="21"/>
        </w:rPr>
        <w:t>乙方未能完全履行合同规定的义务，甲方有权从履约保证金中得到补偿。</w:t>
      </w:r>
    </w:p>
    <w:p w:rsidR="003A0468">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十、审计及检查</w:t>
      </w:r>
    </w:p>
    <w:p w:rsidR="003A0468">
      <w:pPr>
        <w:tabs>
          <w:tab w:val="left" w:pos="360"/>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如果采购人要求，中标人应允许采购人检查中标人与实施本合同有关的资金、帐户和记录，并由采购人指定的审计人员对其进行审计。</w:t>
      </w:r>
    </w:p>
    <w:p w:rsidR="003A0468">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十一、违约责任</w:t>
      </w:r>
    </w:p>
    <w:p w:rsidR="003A04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rsidR="003A04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若乙方未如期按照合同约定的任何或全部款项内容之要求交付合同服务产品，或乙方未能履行合同规定的任何其它义务时，甲方有权直接向乙方发出违约通知书，乙方应按照甲方选择的下列一种或多种方式承担赔偿责任及违约责任：</w:t>
      </w:r>
    </w:p>
    <w:p w:rsidR="003A04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）在甲方同意延长的期限内交付服务产品并承担由此给甲方造成的直接损失及甲方因此产生的对第三方的责任。</w:t>
      </w:r>
    </w:p>
    <w:p w:rsidR="003A04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）甲方有权部分或全部解除合同并要求乙方赔偿由此造成的损失及甲方因此产生的对第三方的责任。此时甲方可采取必要的补救措施，相关费用由乙方承担。</w:t>
      </w:r>
    </w:p>
    <w:p w:rsidR="003A04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）上述情形下甲方为采取必要的补救措施或因防止损失扩</w:t>
      </w:r>
      <w:r>
        <w:rPr>
          <w:rFonts w:ascii="宋体" w:eastAsia="宋体" w:hAnsi="宋体" w:cs="Times New Roman" w:hint="eastAsia"/>
          <w:szCs w:val="21"/>
        </w:rPr>
        <w:t>大而支出的合理费用应由乙方承担。</w:t>
      </w:r>
    </w:p>
    <w:p w:rsidR="003A04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rsidR="003A04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）向对方支付违约金，但该违约金累计不得超过合同总金额的一定比例（详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）；上述逾期超</w:t>
      </w:r>
      <w:r>
        <w:rPr>
          <w:rFonts w:ascii="宋体" w:eastAsia="宋体" w:hAnsi="宋体" w:cs="Times New Roman" w:hint="eastAsia"/>
          <w:szCs w:val="21"/>
        </w:rPr>
        <w:t>过一定时间（详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），守约方有权解除合同，并要求违约方赔偿由此造成的损失。</w:t>
      </w:r>
    </w:p>
    <w:p w:rsidR="003A04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、其它违约责任</w:t>
      </w:r>
      <w:r>
        <w:rPr>
          <w:rFonts w:ascii="宋体" w:eastAsia="宋体" w:hAnsi="宋体" w:cs="Times New Roman" w:hint="eastAsia"/>
          <w:szCs w:val="21"/>
        </w:rPr>
        <w:t xml:space="preserve"> </w:t>
      </w:r>
    </w:p>
    <w:p w:rsidR="003A04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）如任何一方无故解除合同或有违反本合同规定的任何情形均属于违约行为，违约方应就每一单项违约向对方支付合同总金额一定比例的违约金，具体比例见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3A04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）如乙方在合同规定的交付日期后</w:t>
      </w:r>
      <w:r>
        <w:rPr>
          <w:rFonts w:ascii="宋体" w:eastAsia="宋体" w:hAnsi="宋体" w:cs="Times New Roman" w:hint="eastAsia"/>
          <w:szCs w:val="21"/>
        </w:rPr>
        <w:t>10</w:t>
      </w:r>
      <w:r>
        <w:rPr>
          <w:rFonts w:ascii="宋体" w:eastAsia="宋体" w:hAnsi="宋体" w:cs="Times New Roman" w:hint="eastAsia"/>
          <w:szCs w:val="21"/>
        </w:rPr>
        <w:t>天内仍未能交付，则视为乙方不能交付，甲方有权解除合同，乙方若已经收取了甲方的定金则同时还应双倍返还已收取的定金。</w:t>
      </w:r>
    </w:p>
    <w:p w:rsidR="003A04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、乙方违反规定，有下列行为之一的，甲方有权对因此造成的损失追究责任；构成犯罪的，由司法</w:t>
      </w:r>
      <w:r>
        <w:rPr>
          <w:rFonts w:ascii="宋体" w:eastAsia="宋体" w:hAnsi="宋体" w:cs="Times New Roman" w:hint="eastAsia"/>
          <w:szCs w:val="21"/>
        </w:rPr>
        <w:t>机关追究其刑事责任：</w:t>
      </w:r>
    </w:p>
    <w:p w:rsidR="003A04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）擅自向第三方提供或者转让项目资料的；</w:t>
      </w:r>
    </w:p>
    <w:p w:rsidR="003A0468">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）未经甲方许可使用项目资料的；</w:t>
      </w:r>
    </w:p>
    <w:p w:rsidR="003A0468">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）项目完成后，乙方未经甲方许可保留项目资料的；</w:t>
      </w:r>
    </w:p>
    <w:p w:rsidR="003A0468">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）对项目资料保管不当，造成数据全部或者部分丢失、被窃的。</w:t>
      </w:r>
    </w:p>
    <w:p w:rsidR="003A04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w:t>
      </w:r>
      <w:r>
        <w:rPr>
          <w:rFonts w:ascii="宋体" w:eastAsia="宋体" w:hAnsi="宋体" w:cs="Times New Roman" w:hint="eastAsia"/>
          <w:szCs w:val="21"/>
        </w:rPr>
        <w:t>、乙方在进行项目时违反有关保密规定的，依照《中华人民共和国保密法》等有关法律法规的规定处理。</w:t>
      </w:r>
    </w:p>
    <w:p w:rsidR="003A04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w:t>
      </w:r>
      <w:r>
        <w:rPr>
          <w:rFonts w:ascii="宋体" w:eastAsia="宋体" w:hAnsi="宋体" w:cs="Times New Roman" w:hint="eastAsia"/>
          <w:szCs w:val="21"/>
        </w:rPr>
        <w:t>、若发生延期交货或延期付款情形之外的任何违约时，违约方在接到对方关于违约的通知时，均应当就每一项违约向对方支付相当于合同金额</w:t>
      </w:r>
      <w:r>
        <w:rPr>
          <w:rFonts w:ascii="宋体" w:eastAsia="宋体" w:hAnsi="宋体" w:cs="Times New Roman" w:hint="eastAsia"/>
          <w:szCs w:val="21"/>
        </w:rPr>
        <w:t>5%</w:t>
      </w:r>
      <w:r>
        <w:rPr>
          <w:rFonts w:ascii="宋体" w:eastAsia="宋体" w:hAnsi="宋体" w:cs="Times New Roman" w:hint="eastAsia"/>
          <w:szCs w:val="21"/>
        </w:rPr>
        <w:t>的违约金。当违约行为给对方造成损失时，若违约金不足以弥补全部损失，违约方还应当</w:t>
      </w:r>
      <w:r>
        <w:rPr>
          <w:rFonts w:ascii="宋体" w:eastAsia="宋体" w:hAnsi="宋体" w:cs="Times New Roman" w:hint="eastAsia"/>
          <w:szCs w:val="21"/>
        </w:rPr>
        <w:t>赔偿对方因此所受全部损失。当构成严重违约时，对方可以单方面决定解除或终止合同履行，违约方同时还应当承担违约或赔偿责任。</w:t>
      </w:r>
    </w:p>
    <w:p w:rsidR="003A04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w:t>
      </w:r>
      <w:r>
        <w:rPr>
          <w:rFonts w:ascii="宋体" w:eastAsia="宋体" w:hAnsi="宋体" w:cs="Times New Roman" w:hint="eastAsia"/>
          <w:szCs w:val="21"/>
        </w:rPr>
        <w:t>、以上各项交付的违约金并不影响违约方履行合同的各项义务。</w:t>
      </w:r>
    </w:p>
    <w:p w:rsidR="003A04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w:t>
      </w:r>
      <w:r>
        <w:rPr>
          <w:rFonts w:ascii="宋体" w:eastAsia="宋体" w:hAnsi="宋体" w:cs="Times New Roman" w:hint="eastAsia"/>
          <w:szCs w:val="21"/>
        </w:rPr>
        <w:t>、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w:t>
      </w:r>
      <w:r>
        <w:rPr>
          <w:rFonts w:ascii="宋体" w:eastAsia="宋体" w:hAnsi="宋体" w:cs="Times New Roman" w:hint="eastAsia"/>
          <w:szCs w:val="21"/>
        </w:rPr>
        <w:t>则应承担连带责任，而乙方依据本合同原所应承担的对甲方、用户或第三方的责任均并不因此被减免。</w:t>
      </w:r>
    </w:p>
    <w:p w:rsidR="003A0468">
      <w:pPr>
        <w:adjustRightInd w:val="0"/>
        <w:snapToGrid w:val="0"/>
        <w:spacing w:line="360" w:lineRule="auto"/>
        <w:ind w:firstLine="315" w:firstLineChars="150"/>
        <w:rPr>
          <w:rFonts w:ascii="宋体" w:eastAsia="宋体" w:hAnsi="宋体" w:cs="Times New Roman"/>
          <w:b/>
          <w:szCs w:val="21"/>
        </w:rPr>
      </w:pPr>
      <w:r>
        <w:rPr>
          <w:rFonts w:ascii="宋体" w:eastAsia="宋体" w:hAnsi="宋体" w:cs="Times New Roman" w:hint="eastAsia"/>
          <w:szCs w:val="21"/>
        </w:rPr>
        <w:t>11</w:t>
      </w:r>
      <w:r>
        <w:rPr>
          <w:rFonts w:ascii="宋体" w:eastAsia="宋体" w:hAnsi="宋体" w:cs="Times New Roman" w:hint="eastAsia"/>
          <w:szCs w:val="21"/>
        </w:rPr>
        <w:t>、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w:t>
      </w:r>
      <w:r>
        <w:rPr>
          <w:rFonts w:ascii="宋体" w:eastAsia="宋体" w:hAnsi="宋体" w:cs="Times New Roman" w:hint="eastAsia"/>
          <w:szCs w:val="21"/>
        </w:rPr>
        <w:t>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rsidR="003A0468">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十二、不可抗力</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、不可抗力指下列事件：战争、动乱、瘟疫、严重火灾、洪水、地震、风暴或其他自然灾害，以及本合同各方不可预见、不可防止并不能避免或克服的一切其他因素及事件。</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作出的公证证明。</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w:t>
      </w:r>
      <w:r>
        <w:rPr>
          <w:rFonts w:ascii="宋体" w:eastAsia="宋体" w:hAnsi="宋体" w:cs="Times New Roman" w:hint="eastAsia"/>
          <w:szCs w:val="21"/>
        </w:rPr>
        <w:t>承担责任。</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、合同各方应根据不可抗力对本合同履行的影响程度，协商确定是否终止本合同，或是继续履行本合同。</w:t>
      </w:r>
    </w:p>
    <w:p w:rsidR="003A0468">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十三、联系方式</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、合同双方发出的与本合同有关的通知或回复均应发至</w:t>
      </w:r>
      <w:r>
        <w:rPr>
          <w:rFonts w:ascii="黑体" w:eastAsia="黑体" w:hAnsi="黑体" w:cs="Times New Roman" w:hint="eastAsia"/>
          <w:b/>
          <w:bCs/>
          <w:szCs w:val="21"/>
        </w:rPr>
        <w:t>合同条款专用部分</w:t>
      </w:r>
      <w:r>
        <w:rPr>
          <w:rFonts w:ascii="宋体" w:eastAsia="宋体" w:hAnsi="宋体" w:cs="Times New Roman" w:hint="eastAsia"/>
          <w:szCs w:val="21"/>
        </w:rPr>
        <w:t>中的通讯地址，付款或收款应使用</w:t>
      </w:r>
      <w:r>
        <w:rPr>
          <w:rFonts w:ascii="黑体" w:eastAsia="黑体" w:hAnsi="黑体" w:cs="Times New Roman" w:hint="eastAsia"/>
          <w:b/>
          <w:bCs/>
          <w:szCs w:val="21"/>
        </w:rPr>
        <w:t>合同条款专用部分</w:t>
      </w:r>
      <w:r>
        <w:rPr>
          <w:rFonts w:ascii="宋体" w:eastAsia="宋体" w:hAnsi="宋体" w:cs="Times New Roman" w:hint="eastAsia"/>
          <w:szCs w:val="21"/>
        </w:rPr>
        <w:t>中的</w:t>
      </w:r>
      <w:r>
        <w:rPr>
          <w:rFonts w:ascii="宋体" w:eastAsia="宋体" w:hAnsi="宋体" w:cs="Times New Roman" w:hint="eastAsia"/>
          <w:szCs w:val="21"/>
        </w:rPr>
        <w:t>帐号，一方变更通讯地址或帐号，应自变更之日起三个工作日内，将变更后的地址通知对方。变更方不履行通知义务的，应对此造成的一切后果承担法律责任。</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、上述发出通知、回复的费用由发出一方承担。</w:t>
      </w:r>
    </w:p>
    <w:p w:rsidR="003A0468">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十四、保密条款</w:t>
      </w:r>
    </w:p>
    <w:p w:rsidR="003A04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0"/>
        </w:rPr>
        <w:t>1</w:t>
      </w:r>
      <w:r>
        <w:rPr>
          <w:rFonts w:ascii="宋体" w:eastAsia="宋体" w:hAnsi="宋体" w:cs="Times New Roman" w:hint="eastAsia"/>
          <w:szCs w:val="20"/>
        </w:rPr>
        <w:t>、</w:t>
      </w:r>
      <w:r>
        <w:rPr>
          <w:rFonts w:ascii="宋体" w:eastAsia="宋体" w:hAnsi="宋体" w:cs="Times New Roman" w:hint="eastAsia"/>
          <w:szCs w:val="21"/>
        </w:rPr>
        <w:t>任何一方对其获知的本合同及附件中其他各方的商业秘密和国家秘密负有保密义务。</w:t>
      </w:r>
    </w:p>
    <w:p w:rsidR="003A04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、在下列情形下：当发布中标公告和其它公告时，当国家机关调查、审查、审计时，以及其他符合法律规定的情形下，无须事先征求投标人</w:t>
      </w:r>
      <w:r>
        <w:rPr>
          <w:rFonts w:ascii="宋体" w:eastAsia="宋体" w:hAnsi="宋体" w:cs="Times New Roman" w:hint="eastAsia"/>
          <w:szCs w:val="21"/>
        </w:rPr>
        <w:t>/</w:t>
      </w:r>
      <w:r>
        <w:rPr>
          <w:rFonts w:ascii="宋体" w:eastAsia="宋体" w:hAnsi="宋体" w:cs="Times New Roman" w:hint="eastAsia"/>
          <w:szCs w:val="21"/>
        </w:rPr>
        <w:t>中标人同意而可以披露关于采购过程、合同文本、签署情况的资料、投标人</w:t>
      </w:r>
      <w:r>
        <w:rPr>
          <w:rFonts w:ascii="宋体" w:eastAsia="宋体" w:hAnsi="宋体" w:cs="Times New Roman" w:hint="eastAsia"/>
          <w:szCs w:val="21"/>
        </w:rPr>
        <w:t>/</w:t>
      </w:r>
      <w:r>
        <w:rPr>
          <w:rFonts w:ascii="宋体" w:eastAsia="宋体" w:hAnsi="宋体" w:cs="Times New Roman" w:hint="eastAsia"/>
          <w:szCs w:val="21"/>
        </w:rPr>
        <w:t>中标人的名称及地址、采购内容的有关</w:t>
      </w:r>
      <w:r>
        <w:rPr>
          <w:rFonts w:ascii="宋体" w:eastAsia="宋体" w:hAnsi="宋体" w:cs="Times New Roman" w:hint="eastAsia"/>
          <w:szCs w:val="21"/>
        </w:rPr>
        <w:t>信息以及补充条款等，但应当在合理的必要范围内。对任何已经公布过的内容或与之内容相同的资料，以及投标人</w:t>
      </w:r>
      <w:r>
        <w:rPr>
          <w:rFonts w:ascii="宋体" w:eastAsia="宋体" w:hAnsi="宋体" w:cs="Times New Roman" w:hint="eastAsia"/>
          <w:szCs w:val="21"/>
        </w:rPr>
        <w:t>/</w:t>
      </w:r>
      <w:r>
        <w:rPr>
          <w:rFonts w:ascii="宋体" w:eastAsia="宋体" w:hAnsi="宋体" w:cs="Times New Roman" w:hint="eastAsia"/>
          <w:szCs w:val="21"/>
        </w:rPr>
        <w:t>中标人已经泄露或公开的，无须再承担保密责任。</w:t>
      </w:r>
    </w:p>
    <w:p w:rsidR="003A04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rsidR="003A0468">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十五、合同的解释和法律适用</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、任何一方对本合同及其附件的解释均应遵循诚实信用原则</w:t>
      </w:r>
      <w:r>
        <w:rPr>
          <w:rFonts w:ascii="宋体" w:eastAsia="宋体" w:hAnsi="宋体" w:cs="Times New Roman" w:hint="eastAsia"/>
          <w:szCs w:val="21"/>
        </w:rPr>
        <w:t>,</w:t>
      </w:r>
      <w:r>
        <w:rPr>
          <w:rFonts w:ascii="宋体" w:eastAsia="宋体" w:hAnsi="宋体" w:cs="Times New Roman" w:hint="eastAsia"/>
          <w:szCs w:val="21"/>
        </w:rPr>
        <w:t>依照本合同签订时有效的中国法律、法规以及通常的理解进行。</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w:t>
      </w:r>
      <w:r>
        <w:rPr>
          <w:rFonts w:ascii="宋体" w:eastAsia="宋体" w:hAnsi="宋体" w:cs="Times New Roman" w:hint="eastAsia"/>
          <w:szCs w:val="21"/>
        </w:rPr>
        <w:t>本合同标题仅供查阅方便，并非对本合同的诠释或解释；本合同中以日表述的时间期限均指自然日。</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、对本合同的任何解释均应以书面作出。</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、本合同及附件的订立、效力、解释、履行、争议的解决等适用本合同签订时有效的中华人民共和国法律、法规的有关规定。</w:t>
      </w:r>
    </w:p>
    <w:p w:rsidR="003A0468">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十六、合同的终止</w:t>
      </w:r>
    </w:p>
    <w:p w:rsidR="003A0468">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、本合同因下列原因而终止：</w:t>
      </w:r>
    </w:p>
    <w:p w:rsidR="003A0468">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）本合同正常履行完毕；</w:t>
      </w:r>
    </w:p>
    <w:p w:rsidR="003A0468">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）合同双方协议终止本合同的履行；</w:t>
      </w:r>
    </w:p>
    <w:p w:rsidR="003A0468">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）不可抗力事件导致本合同无法履行或履行不必要；</w:t>
      </w:r>
    </w:p>
    <w:p w:rsidR="003A0468">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4</w:t>
      </w:r>
      <w:r>
        <w:rPr>
          <w:rFonts w:ascii="宋体" w:eastAsia="宋体" w:hAnsi="宋体" w:cs="Times New Roman" w:hint="eastAsia"/>
          <w:szCs w:val="21"/>
        </w:rPr>
        <w:t>）任何一方行使解除权，解除本合同。</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、对本合同终止有过错的一方应赔偿另一方因合同终止而受到的损失。对合同终止双方均无过错的，则各自承担所受到的损失。</w:t>
      </w:r>
    </w:p>
    <w:p w:rsidR="003A0468">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十七、法律适用</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、本合同及附件的订立、效力、解释、履行、争议的解决等适用本合同签订时有效的中华人民共和国法律、法规的有关规定。</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、在本合同履行期间，因中国法律、法规、政策的变化致使本合同的部分条款相冲突、无效或失去可强制执行效力时，双方同意将密切合作，尽快修改本合同中相冲突或无效或失去强制执行效力的有关条款。</w:t>
      </w:r>
    </w:p>
    <w:p w:rsidR="003A0468">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十八、权利的保留</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、任何一方没有行使其权利或没有就违约方的违约行为采取任何行动</w:t>
      </w:r>
      <w:r>
        <w:rPr>
          <w:rFonts w:ascii="宋体" w:eastAsia="宋体" w:hAnsi="宋体" w:cs="Times New Roman" w:hint="eastAsia"/>
          <w:szCs w:val="21"/>
        </w:rPr>
        <w:t>，不应被视为是对其权利的放弃或对追究另一方违约责任权利的放弃。任何一方放弃针对违约方的某种权利，或放弃追究违约方的某种责任，不应视为对其他权利或追究其他责任的放弃。</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rsidR="003A0468">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十九、争议的解决</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、合同双方应通过友好协商解决因解释﹑执行本合同所发生的和本合同有关的一切争议。如果经协商不能达成协议，则双方同意：</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）在甲方所在地有管辖权的人民法院提起诉讼。</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）由贸易仲裁委员会根据现行有效的仲裁程序进行仲裁。仲裁裁决为最终裁决对双方均具有约束力。仲裁费除仲裁机关另有裁决外的应由败诉方承担。</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本项目选择的具体解决方式见</w:t>
      </w:r>
      <w:r>
        <w:rPr>
          <w:rFonts w:ascii="黑体" w:eastAsia="黑体" w:hAnsi="黑体" w:cs="Times New Roman" w:hint="eastAsia"/>
          <w:b/>
          <w:bCs/>
          <w:szCs w:val="20"/>
        </w:rPr>
        <w:t>合同条款专用部分。</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、本</w:t>
      </w:r>
      <w:r>
        <w:rPr>
          <w:rFonts w:ascii="宋体" w:eastAsia="宋体" w:hAnsi="宋体" w:cs="Times New Roman"/>
          <w:szCs w:val="21"/>
        </w:rPr>
        <w:t>合同</w:t>
      </w:r>
      <w:r>
        <w:rPr>
          <w:rFonts w:ascii="宋体" w:eastAsia="宋体" w:hAnsi="宋体" w:cs="Times New Roman" w:hint="eastAsia"/>
          <w:szCs w:val="21"/>
        </w:rPr>
        <w:t>甲、乙双方一致认为，本</w:t>
      </w:r>
      <w:r>
        <w:rPr>
          <w:rFonts w:ascii="宋体" w:eastAsia="宋体" w:hAnsi="宋体" w:cs="Times New Roman"/>
          <w:szCs w:val="21"/>
        </w:rPr>
        <w:t>合同</w:t>
      </w:r>
      <w:r>
        <w:rPr>
          <w:rFonts w:ascii="宋体" w:eastAsia="宋体" w:hAnsi="宋体" w:cs="Times New Roman" w:hint="eastAsia"/>
          <w:szCs w:val="21"/>
        </w:rPr>
        <w:t>仅</w:t>
      </w:r>
      <w:r>
        <w:rPr>
          <w:rFonts w:ascii="宋体" w:eastAsia="宋体" w:hAnsi="宋体" w:cs="Times New Roman"/>
          <w:szCs w:val="21"/>
        </w:rPr>
        <w:t>属于</w:t>
      </w:r>
      <w:r>
        <w:rPr>
          <w:rFonts w:ascii="宋体" w:eastAsia="宋体" w:hAnsi="宋体" w:cs="Times New Roman" w:hint="eastAsia"/>
          <w:szCs w:val="21"/>
        </w:rPr>
        <w:t>甲、乙双方</w:t>
      </w:r>
      <w:r>
        <w:rPr>
          <w:rFonts w:ascii="宋体" w:eastAsia="宋体" w:hAnsi="宋体" w:cs="Times New Roman"/>
          <w:szCs w:val="21"/>
        </w:rPr>
        <w:t>之间的</w:t>
      </w:r>
      <w:r>
        <w:rPr>
          <w:rFonts w:ascii="宋体" w:eastAsia="宋体" w:hAnsi="宋体" w:cs="Times New Roman" w:hint="eastAsia"/>
          <w:szCs w:val="21"/>
        </w:rPr>
        <w:t>协议，任何</w:t>
      </w:r>
      <w:r>
        <w:rPr>
          <w:rFonts w:ascii="宋体" w:eastAsia="宋体" w:hAnsi="宋体" w:cs="Times New Roman"/>
          <w:szCs w:val="21"/>
        </w:rPr>
        <w:t>争议</w:t>
      </w:r>
      <w:r>
        <w:rPr>
          <w:rFonts w:ascii="宋体" w:eastAsia="宋体" w:hAnsi="宋体" w:cs="Times New Roman" w:hint="eastAsia"/>
          <w:szCs w:val="21"/>
        </w:rPr>
        <w:t>均只</w:t>
      </w:r>
      <w:r>
        <w:rPr>
          <w:rFonts w:ascii="宋体" w:eastAsia="宋体" w:hAnsi="宋体" w:cs="Times New Roman"/>
          <w:szCs w:val="21"/>
        </w:rPr>
        <w:t>应当</w:t>
      </w:r>
      <w:r>
        <w:rPr>
          <w:rFonts w:ascii="宋体" w:eastAsia="宋体" w:hAnsi="宋体" w:cs="Times New Roman" w:hint="eastAsia"/>
          <w:szCs w:val="21"/>
        </w:rPr>
        <w:t>按照本合同</w:t>
      </w:r>
      <w:r>
        <w:rPr>
          <w:rFonts w:ascii="宋体" w:eastAsia="宋体" w:hAnsi="宋体" w:cs="Times New Roman"/>
          <w:szCs w:val="21"/>
        </w:rPr>
        <w:t>的约定方式处理，</w:t>
      </w:r>
      <w:r>
        <w:rPr>
          <w:rFonts w:ascii="宋体" w:eastAsia="宋体" w:hAnsi="宋体" w:cs="Times New Roman" w:hint="eastAsia"/>
          <w:szCs w:val="21"/>
        </w:rPr>
        <w:t>任何情形下采购中心均</w:t>
      </w:r>
      <w:r>
        <w:rPr>
          <w:rFonts w:ascii="宋体" w:eastAsia="宋体" w:hAnsi="宋体" w:cs="Times New Roman"/>
          <w:szCs w:val="21"/>
        </w:rPr>
        <w:t>不应当成为该等争议的当事人，无论该等</w:t>
      </w:r>
      <w:r>
        <w:rPr>
          <w:rFonts w:ascii="宋体" w:eastAsia="宋体" w:hAnsi="宋体" w:cs="Times New Roman"/>
          <w:szCs w:val="21"/>
        </w:rPr>
        <w:t>诉讼均不得</w:t>
      </w:r>
      <w:r>
        <w:rPr>
          <w:rFonts w:ascii="宋体" w:eastAsia="宋体" w:hAnsi="宋体" w:cs="Times New Roman" w:hint="eastAsia"/>
          <w:szCs w:val="21"/>
        </w:rPr>
        <w:t>针</w:t>
      </w:r>
      <w:r>
        <w:rPr>
          <w:rFonts w:ascii="宋体" w:eastAsia="宋体" w:hAnsi="宋体" w:cs="Times New Roman"/>
          <w:szCs w:val="21"/>
        </w:rPr>
        <w:t>对</w:t>
      </w:r>
      <w:r>
        <w:rPr>
          <w:rFonts w:ascii="宋体" w:eastAsia="宋体" w:hAnsi="宋体" w:cs="Times New Roman" w:hint="eastAsia"/>
          <w:szCs w:val="21"/>
        </w:rPr>
        <w:t>采购中心</w:t>
      </w:r>
      <w:r>
        <w:rPr>
          <w:rFonts w:ascii="宋体" w:eastAsia="宋体" w:hAnsi="宋体" w:cs="Times New Roman"/>
          <w:szCs w:val="21"/>
        </w:rPr>
        <w:t>提起。</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、在争议解决期间，除了诉讼进行过程中正在解决的部分问题外，合同其余部分应继续履行。</w:t>
      </w:r>
    </w:p>
    <w:p w:rsidR="003A0468">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二十、合同的补充、修改和变更</w:t>
      </w:r>
    </w:p>
    <w:p w:rsidR="003A0468">
      <w:pPr>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在不背离</w:t>
      </w:r>
      <w:r>
        <w:rPr>
          <w:rFonts w:ascii="Calibri" w:eastAsia="宋体" w:hAnsi="Calibri" w:cs="Times New Roman" w:hint="eastAsia"/>
        </w:rPr>
        <w:t>招标文件、投标文件及评审过程中的有关澄清、说明或者补正文件的实质性内容的前提下，</w:t>
      </w:r>
      <w:r>
        <w:rPr>
          <w:rFonts w:ascii="宋体" w:eastAsia="宋体" w:hAnsi="宋体" w:cs="Times New Roman" w:hint="eastAsia"/>
          <w:szCs w:val="21"/>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rsidR="003A04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、甲方可以要求</w:t>
      </w:r>
      <w:r>
        <w:rPr>
          <w:rFonts w:ascii="宋体" w:eastAsia="宋体" w:hAnsi="宋体" w:cs="Times New Roman" w:hint="eastAsia"/>
          <w:szCs w:val="21"/>
        </w:rPr>
        <w:t>对技术文件进行修改。所有的修改要求都应以书面形式提交。甲方将准备一份书面的修改备忘录以说明所要求的更改，并列出对技术文件条款的任何修改。乙方应在</w:t>
      </w:r>
      <w:r>
        <w:rPr>
          <w:rFonts w:ascii="宋体" w:eastAsia="宋体" w:hAnsi="宋体" w:cs="Times New Roman" w:hint="eastAsia"/>
          <w:szCs w:val="21"/>
        </w:rPr>
        <w:t>3</w:t>
      </w:r>
      <w:r>
        <w:rPr>
          <w:rFonts w:ascii="宋体" w:eastAsia="宋体" w:hAnsi="宋体" w:cs="Times New Roman" w:hint="eastAsia"/>
          <w:szCs w:val="21"/>
        </w:rPr>
        <w:t>日内对此作出书面回应，其内容包括详细的该修改对合同价格、项目交付日期、项目技术参数的影响和变化以及对合同条款的影响等。</w:t>
      </w:r>
    </w:p>
    <w:p w:rsidR="003A04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、甲方收到乙方的上述回应后，应在</w:t>
      </w:r>
      <w:r>
        <w:rPr>
          <w:rFonts w:ascii="宋体" w:eastAsia="宋体" w:hAnsi="宋体" w:cs="Times New Roman" w:hint="eastAsia"/>
          <w:szCs w:val="21"/>
        </w:rPr>
        <w:t>3</w:t>
      </w:r>
      <w:r>
        <w:rPr>
          <w:rFonts w:ascii="宋体" w:eastAsia="宋体" w:hAnsi="宋体" w:cs="Times New Roman" w:hint="eastAsia"/>
          <w:szCs w:val="21"/>
        </w:rPr>
        <w:t>日内以书面方式通知乙方是否同意和接受乙方的上述回应。如果甲方接受乙方的上述回应，则双方另行对此修改签署予以确认，乙方则按修改后的约定履行本合同。</w:t>
      </w:r>
    </w:p>
    <w:p w:rsidR="003A04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、如甲方不同意乙方的上述回应、如对价格或交付日期的变化等，甲乙</w:t>
      </w:r>
      <w:r>
        <w:rPr>
          <w:rFonts w:ascii="宋体" w:eastAsia="宋体" w:hAnsi="宋体" w:cs="Times New Roman" w:hint="eastAsia"/>
          <w:szCs w:val="21"/>
        </w:rPr>
        <w:t>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rsidR="003A04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、如乙方提出项目的部分修改建议，乙方应同时详细阐明该变更对合同价格、项目交付日</w:t>
      </w:r>
      <w:r>
        <w:rPr>
          <w:rFonts w:ascii="宋体" w:eastAsia="宋体" w:hAnsi="宋体" w:cs="Times New Roman" w:hint="eastAsia"/>
          <w:szCs w:val="21"/>
        </w:rPr>
        <w:t>期、项目技术参数的影响和变化以及对合同条款的影响等。</w:t>
      </w:r>
    </w:p>
    <w:p w:rsidR="003A04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、甲方收到乙方的上述修改建议后，应在</w:t>
      </w:r>
      <w:r>
        <w:rPr>
          <w:rFonts w:ascii="宋体" w:eastAsia="宋体" w:hAnsi="宋体" w:cs="Times New Roman" w:hint="eastAsia"/>
          <w:szCs w:val="21"/>
        </w:rPr>
        <w:t>3</w:t>
      </w:r>
      <w:r>
        <w:rPr>
          <w:rFonts w:ascii="宋体" w:eastAsia="宋体" w:hAnsi="宋体" w:cs="Times New Roman" w:hint="eastAsia"/>
          <w:szCs w:val="21"/>
        </w:rPr>
        <w:t>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rsidR="003A04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、所有的修改应在双方签署书面的修改备忘录时生效。修改备忘录将变更或取代有关的技术文件中或先前的任何修改备忘录中所有不一致的条款。</w:t>
      </w:r>
    </w:p>
    <w:p w:rsidR="003A0468">
      <w:pPr>
        <w:adjustRightInd w:val="0"/>
        <w:snapToGrid w:val="0"/>
        <w:spacing w:line="360" w:lineRule="auto"/>
        <w:ind w:left="420"/>
        <w:rPr>
          <w:rFonts w:ascii="宋体" w:eastAsia="宋体" w:hAnsi="宋体" w:cs="Times New Roman"/>
          <w:szCs w:val="21"/>
        </w:rPr>
      </w:pPr>
      <w:r>
        <w:rPr>
          <w:rFonts w:ascii="宋体" w:eastAsia="宋体" w:hAnsi="宋体" w:cs="Times New Roman" w:hint="eastAsia"/>
          <w:szCs w:val="21"/>
        </w:rPr>
        <w:t>7</w:t>
      </w:r>
      <w:r>
        <w:rPr>
          <w:rFonts w:ascii="宋体" w:eastAsia="宋体" w:hAnsi="宋体" w:cs="Times New Roman" w:hint="eastAsia"/>
          <w:szCs w:val="21"/>
        </w:rPr>
        <w:t>、任何对合同条件的变更或修改均须双方签订书面的修改书。</w:t>
      </w:r>
    </w:p>
    <w:p w:rsidR="003A046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w:t>
      </w:r>
      <w:r>
        <w:rPr>
          <w:rFonts w:ascii="宋体" w:eastAsia="宋体" w:hAnsi="宋体" w:cs="Times New Roman" w:hint="eastAsia"/>
          <w:szCs w:val="21"/>
        </w:rPr>
        <w:t>、招投标文件及其全部条款、双方签订的补充协议以及修改或变更的条款与本合同具</w:t>
      </w:r>
      <w:r>
        <w:rPr>
          <w:rFonts w:ascii="宋体" w:eastAsia="宋体" w:hAnsi="宋体" w:cs="Times New Roman" w:hint="eastAsia"/>
          <w:szCs w:val="21"/>
        </w:rPr>
        <w:t>有同等法律效力。补充、修改或变更的协议的签署及生效方式与本合同的签署及生效方式相同。</w:t>
      </w:r>
    </w:p>
    <w:p w:rsidR="003A0468">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二十一、合同的生效</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本合同经双方法定代表人（负责人）或授权代表签字并加盖单位公章后生效。</w:t>
      </w:r>
    </w:p>
    <w:p w:rsidR="003A0468">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二十二、其它约定事项</w:t>
      </w:r>
    </w:p>
    <w:p w:rsidR="003A0468">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、本合同中的附件均为本合同不可分割的部分，与本合同具有相同的法律效力。</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、本合同正本一式两份，甲、乙双方各执一份，每份正本具有同等法律效力，副本报财政部备案。</w:t>
      </w:r>
    </w:p>
    <w:p w:rsidR="003A046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、本合同涉及的招标文件和投标文件，正本由中国气象局政府采购中心保存。</w:t>
      </w:r>
    </w:p>
    <w:p w:rsidR="003A0468">
      <w:pPr>
        <w:tabs>
          <w:tab w:val="left" w:pos="1573"/>
        </w:tabs>
        <w:adjustRightInd w:val="0"/>
        <w:snapToGrid w:val="0"/>
        <w:spacing w:line="360" w:lineRule="auto"/>
        <w:ind w:firstLine="412" w:firstLineChars="196"/>
        <w:jc w:val="left"/>
        <w:rPr>
          <w:rFonts w:ascii="宋体" w:eastAsia="宋体" w:hAnsi="宋体" w:cs="Times New Roman"/>
          <w:szCs w:val="21"/>
        </w:rPr>
      </w:pPr>
    </w:p>
    <w:p w:rsidR="003A0468"/>
    <w:p w:rsidR="00A77B3E"/>
    <w:p>
      <w:pPr>
        <w:spacing w:line="360" w:lineRule="auto"/>
        <w:ind w:firstLine="3066" w:firstLineChars="1460"/>
        <w:jc w:val="left"/>
        <w:rPr>
          <w:b/>
          <w:bCs/>
          <w:szCs w:val="21"/>
          <w:highlight w:val="none"/>
        </w:rPr>
      </w:pPr>
      <w:bookmarkEnd w:id="60"/>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华文楷体">
    <w:panose1 w:val="02010600040101010101"/>
    <w:charset w:val="86"/>
    <w:family w:val="auto"/>
    <w:pitch w:val="variable"/>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BDEECA8"/>
    <w:multiLevelType w:val="singleLevel"/>
    <w:tmpl w:val="9BDEECA8"/>
    <w:lvl w:ilvl="0">
      <w:start w:val="9"/>
      <w:numFmt w:val="chineseCounting"/>
      <w:suff w:val="space"/>
      <w:lvlText w:val="第%1章"/>
      <w:lvlJc w:val="left"/>
      <w:rPr>
        <w:rFonts w:hint="eastAsia"/>
      </w:rPr>
    </w:lvl>
  </w:abstractNum>
  <w:abstractNum w:abstractNumId="2">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4">
    <w:nsid w:val="08E02EAE"/>
    <w:multiLevelType w:val="multilevel"/>
    <w:tmpl w:val="08E02EA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165E4012"/>
    <w:multiLevelType w:val="multilevel"/>
    <w:tmpl w:val="165E401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16601871"/>
    <w:multiLevelType w:val="multilevel"/>
    <w:tmpl w:val="16601871"/>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27F47EA6"/>
    <w:multiLevelType w:val="multilevel"/>
    <w:tmpl w:val="27F47EA6"/>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5C282C70"/>
    <w:multiLevelType w:val="multilevel"/>
    <w:tmpl w:val="5C282C70"/>
    <w:lvl w:ilvl="0">
      <w:start w:val="1"/>
      <w:numFmt w:val="decimal"/>
      <w:lvlText w:val="%1."/>
      <w:lvlJc w:val="left"/>
      <w:pPr>
        <w:ind w:left="420" w:hanging="420"/>
      </w:pPr>
      <w:rPr>
        <w:rFonts w:hint="eastAsia"/>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12">
    <w:nsid w:val="7E322671"/>
    <w:multiLevelType w:val="multilevel"/>
    <w:tmpl w:val="7E322671"/>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3"/>
  </w:num>
  <w:num w:numId="2">
    <w:abstractNumId w:val="2"/>
  </w:num>
  <w:num w:numId="3">
    <w:abstractNumId w:val="5"/>
  </w:num>
  <w:num w:numId="4">
    <w:abstractNumId w:val="4"/>
  </w:num>
  <w:num w:numId="5">
    <w:abstractNumId w:val="7"/>
  </w:num>
  <w:num w:numId="6">
    <w:abstractNumId w:val="6"/>
  </w:num>
  <w:num w:numId="7">
    <w:abstractNumId w:val="8"/>
  </w:num>
  <w:num w:numId="8">
    <w:abstractNumId w:val="12"/>
  </w:num>
  <w:num w:numId="9">
    <w:abstractNumId w:val="11"/>
  </w:num>
  <w:num w:numId="10">
    <w:abstractNumId w:val="1"/>
  </w:num>
  <w:num w:numId="11">
    <w:abstractNumId w:val="0"/>
  </w:num>
  <w:num w:numId="12">
    <w:abstractNumId w:val="9"/>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409"/>
    <w:rsid w:val="00007B85"/>
    <w:rsid w:val="000117CF"/>
    <w:rsid w:val="00012E11"/>
    <w:rsid w:val="00013C5A"/>
    <w:rsid w:val="00014327"/>
    <w:rsid w:val="00015560"/>
    <w:rsid w:val="00023804"/>
    <w:rsid w:val="000259A3"/>
    <w:rsid w:val="00025F7F"/>
    <w:rsid w:val="0002730D"/>
    <w:rsid w:val="00027E31"/>
    <w:rsid w:val="00030872"/>
    <w:rsid w:val="000343A5"/>
    <w:rsid w:val="00035175"/>
    <w:rsid w:val="00035D1E"/>
    <w:rsid w:val="00037AB2"/>
    <w:rsid w:val="000400B8"/>
    <w:rsid w:val="000405AF"/>
    <w:rsid w:val="000410F1"/>
    <w:rsid w:val="00041207"/>
    <w:rsid w:val="00041238"/>
    <w:rsid w:val="00041AED"/>
    <w:rsid w:val="0004234F"/>
    <w:rsid w:val="00042AA3"/>
    <w:rsid w:val="00043FC9"/>
    <w:rsid w:val="00044ACA"/>
    <w:rsid w:val="00047C9E"/>
    <w:rsid w:val="00050E8F"/>
    <w:rsid w:val="00051C61"/>
    <w:rsid w:val="00052FCE"/>
    <w:rsid w:val="000535E9"/>
    <w:rsid w:val="00053A5E"/>
    <w:rsid w:val="00057D9E"/>
    <w:rsid w:val="00062949"/>
    <w:rsid w:val="000647A7"/>
    <w:rsid w:val="00066022"/>
    <w:rsid w:val="00066DC2"/>
    <w:rsid w:val="00066FDA"/>
    <w:rsid w:val="00070389"/>
    <w:rsid w:val="000714D8"/>
    <w:rsid w:val="0007158E"/>
    <w:rsid w:val="00071F38"/>
    <w:rsid w:val="00072B31"/>
    <w:rsid w:val="0007427D"/>
    <w:rsid w:val="00074B9A"/>
    <w:rsid w:val="00074BB7"/>
    <w:rsid w:val="000769F6"/>
    <w:rsid w:val="000770DF"/>
    <w:rsid w:val="00077A69"/>
    <w:rsid w:val="0008172E"/>
    <w:rsid w:val="00084233"/>
    <w:rsid w:val="000868CE"/>
    <w:rsid w:val="00087892"/>
    <w:rsid w:val="00087F70"/>
    <w:rsid w:val="00091254"/>
    <w:rsid w:val="000921EB"/>
    <w:rsid w:val="00092756"/>
    <w:rsid w:val="00093FB7"/>
    <w:rsid w:val="0009416F"/>
    <w:rsid w:val="000A184C"/>
    <w:rsid w:val="000A33F0"/>
    <w:rsid w:val="000A402C"/>
    <w:rsid w:val="000A49D4"/>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22A"/>
    <w:rsid w:val="000E07B5"/>
    <w:rsid w:val="000E1112"/>
    <w:rsid w:val="000E6D58"/>
    <w:rsid w:val="000E72D7"/>
    <w:rsid w:val="000F1BC9"/>
    <w:rsid w:val="000F1DF5"/>
    <w:rsid w:val="000F6345"/>
    <w:rsid w:val="000F646B"/>
    <w:rsid w:val="000F750E"/>
    <w:rsid w:val="000F75E8"/>
    <w:rsid w:val="000F7A12"/>
    <w:rsid w:val="00100624"/>
    <w:rsid w:val="001010DF"/>
    <w:rsid w:val="001026BF"/>
    <w:rsid w:val="00105108"/>
    <w:rsid w:val="00105728"/>
    <w:rsid w:val="00105944"/>
    <w:rsid w:val="00105EE3"/>
    <w:rsid w:val="00106412"/>
    <w:rsid w:val="00107CCA"/>
    <w:rsid w:val="00110637"/>
    <w:rsid w:val="00110D05"/>
    <w:rsid w:val="00110FD6"/>
    <w:rsid w:val="001125B5"/>
    <w:rsid w:val="0011281B"/>
    <w:rsid w:val="00112919"/>
    <w:rsid w:val="00112977"/>
    <w:rsid w:val="00113A52"/>
    <w:rsid w:val="00113A5C"/>
    <w:rsid w:val="00113AF1"/>
    <w:rsid w:val="00114489"/>
    <w:rsid w:val="001147F2"/>
    <w:rsid w:val="00114ACA"/>
    <w:rsid w:val="0011580C"/>
    <w:rsid w:val="001164D1"/>
    <w:rsid w:val="00116547"/>
    <w:rsid w:val="00117062"/>
    <w:rsid w:val="00117AC2"/>
    <w:rsid w:val="001206E4"/>
    <w:rsid w:val="00121962"/>
    <w:rsid w:val="00122027"/>
    <w:rsid w:val="001223E2"/>
    <w:rsid w:val="001234AA"/>
    <w:rsid w:val="0012363A"/>
    <w:rsid w:val="001239AD"/>
    <w:rsid w:val="00124CC2"/>
    <w:rsid w:val="001264E0"/>
    <w:rsid w:val="00126E8B"/>
    <w:rsid w:val="00127129"/>
    <w:rsid w:val="001306FB"/>
    <w:rsid w:val="00130D3D"/>
    <w:rsid w:val="00131B4E"/>
    <w:rsid w:val="00133834"/>
    <w:rsid w:val="001459A1"/>
    <w:rsid w:val="00146475"/>
    <w:rsid w:val="001465EB"/>
    <w:rsid w:val="00146E29"/>
    <w:rsid w:val="00147122"/>
    <w:rsid w:val="00151022"/>
    <w:rsid w:val="0015119F"/>
    <w:rsid w:val="0015178A"/>
    <w:rsid w:val="001517DA"/>
    <w:rsid w:val="001521E4"/>
    <w:rsid w:val="00152CC6"/>
    <w:rsid w:val="00153B8A"/>
    <w:rsid w:val="001541F5"/>
    <w:rsid w:val="001550E5"/>
    <w:rsid w:val="00156CC4"/>
    <w:rsid w:val="00160055"/>
    <w:rsid w:val="001601FC"/>
    <w:rsid w:val="00160B5C"/>
    <w:rsid w:val="00160FB7"/>
    <w:rsid w:val="00163306"/>
    <w:rsid w:val="001654AF"/>
    <w:rsid w:val="00165DCF"/>
    <w:rsid w:val="001666E1"/>
    <w:rsid w:val="00166FE0"/>
    <w:rsid w:val="00167730"/>
    <w:rsid w:val="001705C0"/>
    <w:rsid w:val="00170CAE"/>
    <w:rsid w:val="00172A27"/>
    <w:rsid w:val="00173C95"/>
    <w:rsid w:val="00174751"/>
    <w:rsid w:val="001748EA"/>
    <w:rsid w:val="001760EC"/>
    <w:rsid w:val="00177D5E"/>
    <w:rsid w:val="0018106A"/>
    <w:rsid w:val="00181482"/>
    <w:rsid w:val="001814EA"/>
    <w:rsid w:val="00182442"/>
    <w:rsid w:val="001836A4"/>
    <w:rsid w:val="00184A52"/>
    <w:rsid w:val="00186C92"/>
    <w:rsid w:val="001873F2"/>
    <w:rsid w:val="00187547"/>
    <w:rsid w:val="00191879"/>
    <w:rsid w:val="00192921"/>
    <w:rsid w:val="00193AC2"/>
    <w:rsid w:val="00194F97"/>
    <w:rsid w:val="001955FF"/>
    <w:rsid w:val="001958F4"/>
    <w:rsid w:val="001A10C3"/>
    <w:rsid w:val="001A14C0"/>
    <w:rsid w:val="001A14D4"/>
    <w:rsid w:val="001A18BD"/>
    <w:rsid w:val="001A1941"/>
    <w:rsid w:val="001A68F2"/>
    <w:rsid w:val="001B0500"/>
    <w:rsid w:val="001B0FCC"/>
    <w:rsid w:val="001B31D1"/>
    <w:rsid w:val="001B47AA"/>
    <w:rsid w:val="001B66AE"/>
    <w:rsid w:val="001C0E16"/>
    <w:rsid w:val="001C0FC7"/>
    <w:rsid w:val="001C12F6"/>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70E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5F6"/>
    <w:rsid w:val="00211BAB"/>
    <w:rsid w:val="00212C35"/>
    <w:rsid w:val="002139CC"/>
    <w:rsid w:val="00213F8E"/>
    <w:rsid w:val="00214CCA"/>
    <w:rsid w:val="00215AB5"/>
    <w:rsid w:val="00216BDA"/>
    <w:rsid w:val="00221D24"/>
    <w:rsid w:val="00223413"/>
    <w:rsid w:val="00223EA7"/>
    <w:rsid w:val="002255B4"/>
    <w:rsid w:val="0022674B"/>
    <w:rsid w:val="002267A7"/>
    <w:rsid w:val="00230D95"/>
    <w:rsid w:val="002311D0"/>
    <w:rsid w:val="00231EF6"/>
    <w:rsid w:val="00233646"/>
    <w:rsid w:val="00233E72"/>
    <w:rsid w:val="00233FD2"/>
    <w:rsid w:val="00234A0E"/>
    <w:rsid w:val="002367D2"/>
    <w:rsid w:val="00236CEF"/>
    <w:rsid w:val="00240213"/>
    <w:rsid w:val="00241BF1"/>
    <w:rsid w:val="002420E3"/>
    <w:rsid w:val="0024276F"/>
    <w:rsid w:val="002435A1"/>
    <w:rsid w:val="00244B6B"/>
    <w:rsid w:val="00244E24"/>
    <w:rsid w:val="00244FFE"/>
    <w:rsid w:val="00246AD2"/>
    <w:rsid w:val="00246B88"/>
    <w:rsid w:val="00250541"/>
    <w:rsid w:val="00252714"/>
    <w:rsid w:val="00255D12"/>
    <w:rsid w:val="00256110"/>
    <w:rsid w:val="00257963"/>
    <w:rsid w:val="00257CD4"/>
    <w:rsid w:val="00261F79"/>
    <w:rsid w:val="0026257E"/>
    <w:rsid w:val="00264386"/>
    <w:rsid w:val="0026600B"/>
    <w:rsid w:val="00267220"/>
    <w:rsid w:val="0027386F"/>
    <w:rsid w:val="002746D6"/>
    <w:rsid w:val="00274906"/>
    <w:rsid w:val="00274D1F"/>
    <w:rsid w:val="002758FB"/>
    <w:rsid w:val="00275B5D"/>
    <w:rsid w:val="002805DF"/>
    <w:rsid w:val="00280650"/>
    <w:rsid w:val="002816DD"/>
    <w:rsid w:val="00285A93"/>
    <w:rsid w:val="0029011E"/>
    <w:rsid w:val="002905EE"/>
    <w:rsid w:val="00290E23"/>
    <w:rsid w:val="002921DC"/>
    <w:rsid w:val="00292D0F"/>
    <w:rsid w:val="00293227"/>
    <w:rsid w:val="002945BB"/>
    <w:rsid w:val="00295225"/>
    <w:rsid w:val="0029629F"/>
    <w:rsid w:val="002970D7"/>
    <w:rsid w:val="00297198"/>
    <w:rsid w:val="002A00B7"/>
    <w:rsid w:val="002A0C63"/>
    <w:rsid w:val="002A1C12"/>
    <w:rsid w:val="002A48ED"/>
    <w:rsid w:val="002A5D00"/>
    <w:rsid w:val="002B0345"/>
    <w:rsid w:val="002B099F"/>
    <w:rsid w:val="002B41FC"/>
    <w:rsid w:val="002B49BC"/>
    <w:rsid w:val="002B61E5"/>
    <w:rsid w:val="002B71B4"/>
    <w:rsid w:val="002B72BC"/>
    <w:rsid w:val="002C0552"/>
    <w:rsid w:val="002C05B2"/>
    <w:rsid w:val="002C0DEA"/>
    <w:rsid w:val="002C160C"/>
    <w:rsid w:val="002C5F3F"/>
    <w:rsid w:val="002C6A8D"/>
    <w:rsid w:val="002C729D"/>
    <w:rsid w:val="002D01BD"/>
    <w:rsid w:val="002D0303"/>
    <w:rsid w:val="002D0B28"/>
    <w:rsid w:val="002D1340"/>
    <w:rsid w:val="002D4502"/>
    <w:rsid w:val="002D60C2"/>
    <w:rsid w:val="002E0DF7"/>
    <w:rsid w:val="002E183F"/>
    <w:rsid w:val="002E2238"/>
    <w:rsid w:val="002E2F72"/>
    <w:rsid w:val="002E3A13"/>
    <w:rsid w:val="002E5428"/>
    <w:rsid w:val="002E57D6"/>
    <w:rsid w:val="002E677C"/>
    <w:rsid w:val="002E776D"/>
    <w:rsid w:val="002F0E73"/>
    <w:rsid w:val="002F325A"/>
    <w:rsid w:val="002F3E2B"/>
    <w:rsid w:val="002F4210"/>
    <w:rsid w:val="002F50C6"/>
    <w:rsid w:val="002F770C"/>
    <w:rsid w:val="002F77A6"/>
    <w:rsid w:val="002F7B63"/>
    <w:rsid w:val="002F7E2E"/>
    <w:rsid w:val="00300441"/>
    <w:rsid w:val="003009F4"/>
    <w:rsid w:val="00301941"/>
    <w:rsid w:val="003025E4"/>
    <w:rsid w:val="00302948"/>
    <w:rsid w:val="0030355E"/>
    <w:rsid w:val="00304E48"/>
    <w:rsid w:val="0030606D"/>
    <w:rsid w:val="00310A06"/>
    <w:rsid w:val="00311663"/>
    <w:rsid w:val="0031243A"/>
    <w:rsid w:val="0031359D"/>
    <w:rsid w:val="00316867"/>
    <w:rsid w:val="00320185"/>
    <w:rsid w:val="003226E8"/>
    <w:rsid w:val="00323B22"/>
    <w:rsid w:val="00325B45"/>
    <w:rsid w:val="00327470"/>
    <w:rsid w:val="00327FF7"/>
    <w:rsid w:val="003372D2"/>
    <w:rsid w:val="00337666"/>
    <w:rsid w:val="0034156A"/>
    <w:rsid w:val="0034291A"/>
    <w:rsid w:val="00344A3D"/>
    <w:rsid w:val="0034628F"/>
    <w:rsid w:val="00347AA7"/>
    <w:rsid w:val="00350A59"/>
    <w:rsid w:val="00351EF1"/>
    <w:rsid w:val="003521F9"/>
    <w:rsid w:val="00352FB4"/>
    <w:rsid w:val="00353491"/>
    <w:rsid w:val="003537FC"/>
    <w:rsid w:val="00353CA0"/>
    <w:rsid w:val="00353F83"/>
    <w:rsid w:val="0035468C"/>
    <w:rsid w:val="00354943"/>
    <w:rsid w:val="00354A83"/>
    <w:rsid w:val="00355CE3"/>
    <w:rsid w:val="0035798A"/>
    <w:rsid w:val="00360252"/>
    <w:rsid w:val="00360577"/>
    <w:rsid w:val="00361DBD"/>
    <w:rsid w:val="003624BE"/>
    <w:rsid w:val="00362B7F"/>
    <w:rsid w:val="0036376B"/>
    <w:rsid w:val="003637AF"/>
    <w:rsid w:val="003637CE"/>
    <w:rsid w:val="0036384D"/>
    <w:rsid w:val="00366679"/>
    <w:rsid w:val="003702A0"/>
    <w:rsid w:val="00370D9E"/>
    <w:rsid w:val="00371C65"/>
    <w:rsid w:val="00374ACB"/>
    <w:rsid w:val="00375BE2"/>
    <w:rsid w:val="003772EF"/>
    <w:rsid w:val="0037762A"/>
    <w:rsid w:val="003776A3"/>
    <w:rsid w:val="00377CA2"/>
    <w:rsid w:val="00377D03"/>
    <w:rsid w:val="00380531"/>
    <w:rsid w:val="003819B8"/>
    <w:rsid w:val="00382002"/>
    <w:rsid w:val="00382BF1"/>
    <w:rsid w:val="003850D0"/>
    <w:rsid w:val="003875EE"/>
    <w:rsid w:val="0038761B"/>
    <w:rsid w:val="003919BC"/>
    <w:rsid w:val="003931DC"/>
    <w:rsid w:val="003955E2"/>
    <w:rsid w:val="00396088"/>
    <w:rsid w:val="0039748A"/>
    <w:rsid w:val="00397C86"/>
    <w:rsid w:val="003A0468"/>
    <w:rsid w:val="003A0AED"/>
    <w:rsid w:val="003A30B5"/>
    <w:rsid w:val="003A4338"/>
    <w:rsid w:val="003A4FAE"/>
    <w:rsid w:val="003A54E6"/>
    <w:rsid w:val="003A5FFE"/>
    <w:rsid w:val="003A661F"/>
    <w:rsid w:val="003A718A"/>
    <w:rsid w:val="003A7A2D"/>
    <w:rsid w:val="003B175C"/>
    <w:rsid w:val="003B27B4"/>
    <w:rsid w:val="003B2A16"/>
    <w:rsid w:val="003B3127"/>
    <w:rsid w:val="003B489F"/>
    <w:rsid w:val="003B6D1E"/>
    <w:rsid w:val="003B6F16"/>
    <w:rsid w:val="003B73FF"/>
    <w:rsid w:val="003C119F"/>
    <w:rsid w:val="003C1C24"/>
    <w:rsid w:val="003C4382"/>
    <w:rsid w:val="003C49DD"/>
    <w:rsid w:val="003C550F"/>
    <w:rsid w:val="003C5FB5"/>
    <w:rsid w:val="003C67B5"/>
    <w:rsid w:val="003C7FC8"/>
    <w:rsid w:val="003D0F8D"/>
    <w:rsid w:val="003D1D6E"/>
    <w:rsid w:val="003D31B2"/>
    <w:rsid w:val="003D4D4D"/>
    <w:rsid w:val="003D5FB0"/>
    <w:rsid w:val="003D606B"/>
    <w:rsid w:val="003D63D8"/>
    <w:rsid w:val="003D6453"/>
    <w:rsid w:val="003E03AD"/>
    <w:rsid w:val="003E21C6"/>
    <w:rsid w:val="003E3578"/>
    <w:rsid w:val="003E3AEC"/>
    <w:rsid w:val="003E4700"/>
    <w:rsid w:val="003E474F"/>
    <w:rsid w:val="003E5042"/>
    <w:rsid w:val="003E579F"/>
    <w:rsid w:val="003F124D"/>
    <w:rsid w:val="003F2123"/>
    <w:rsid w:val="003F3B21"/>
    <w:rsid w:val="003F4D50"/>
    <w:rsid w:val="003F4F83"/>
    <w:rsid w:val="003F7497"/>
    <w:rsid w:val="003F7D42"/>
    <w:rsid w:val="003F7D55"/>
    <w:rsid w:val="00400934"/>
    <w:rsid w:val="00400EC6"/>
    <w:rsid w:val="00403479"/>
    <w:rsid w:val="00403547"/>
    <w:rsid w:val="004036CC"/>
    <w:rsid w:val="0040430E"/>
    <w:rsid w:val="00404D00"/>
    <w:rsid w:val="0040769F"/>
    <w:rsid w:val="0041031B"/>
    <w:rsid w:val="0041228B"/>
    <w:rsid w:val="00412C66"/>
    <w:rsid w:val="00413174"/>
    <w:rsid w:val="0041320D"/>
    <w:rsid w:val="0041455B"/>
    <w:rsid w:val="00414602"/>
    <w:rsid w:val="004159D8"/>
    <w:rsid w:val="00416F20"/>
    <w:rsid w:val="004200C4"/>
    <w:rsid w:val="0042011A"/>
    <w:rsid w:val="00422399"/>
    <w:rsid w:val="00423DE8"/>
    <w:rsid w:val="0042451E"/>
    <w:rsid w:val="00424688"/>
    <w:rsid w:val="0042562F"/>
    <w:rsid w:val="004274CB"/>
    <w:rsid w:val="00427C57"/>
    <w:rsid w:val="0043054A"/>
    <w:rsid w:val="00431168"/>
    <w:rsid w:val="00432283"/>
    <w:rsid w:val="00432ECA"/>
    <w:rsid w:val="00437997"/>
    <w:rsid w:val="0044165A"/>
    <w:rsid w:val="0044281E"/>
    <w:rsid w:val="004432CC"/>
    <w:rsid w:val="0045096D"/>
    <w:rsid w:val="0045101E"/>
    <w:rsid w:val="00452440"/>
    <w:rsid w:val="00453059"/>
    <w:rsid w:val="004539D9"/>
    <w:rsid w:val="00453D42"/>
    <w:rsid w:val="0045419E"/>
    <w:rsid w:val="004552C2"/>
    <w:rsid w:val="00457B7E"/>
    <w:rsid w:val="004618B4"/>
    <w:rsid w:val="004619DE"/>
    <w:rsid w:val="00462B14"/>
    <w:rsid w:val="00466764"/>
    <w:rsid w:val="00466B27"/>
    <w:rsid w:val="00467BDF"/>
    <w:rsid w:val="0047193A"/>
    <w:rsid w:val="004760A5"/>
    <w:rsid w:val="004765ED"/>
    <w:rsid w:val="004768CE"/>
    <w:rsid w:val="00480B5E"/>
    <w:rsid w:val="00480C81"/>
    <w:rsid w:val="00480E76"/>
    <w:rsid w:val="00482FA5"/>
    <w:rsid w:val="004859C9"/>
    <w:rsid w:val="0048692A"/>
    <w:rsid w:val="00486B2F"/>
    <w:rsid w:val="004870B2"/>
    <w:rsid w:val="00491895"/>
    <w:rsid w:val="00492043"/>
    <w:rsid w:val="0049254D"/>
    <w:rsid w:val="00493E77"/>
    <w:rsid w:val="00494BBB"/>
    <w:rsid w:val="00496871"/>
    <w:rsid w:val="004970F1"/>
    <w:rsid w:val="00497908"/>
    <w:rsid w:val="00497C48"/>
    <w:rsid w:val="00497EE8"/>
    <w:rsid w:val="004A04EF"/>
    <w:rsid w:val="004A1FF8"/>
    <w:rsid w:val="004A241E"/>
    <w:rsid w:val="004A44A7"/>
    <w:rsid w:val="004A5895"/>
    <w:rsid w:val="004A59C0"/>
    <w:rsid w:val="004A6892"/>
    <w:rsid w:val="004A6BD2"/>
    <w:rsid w:val="004B129F"/>
    <w:rsid w:val="004B2660"/>
    <w:rsid w:val="004B28BA"/>
    <w:rsid w:val="004B56BB"/>
    <w:rsid w:val="004B5F7C"/>
    <w:rsid w:val="004B695E"/>
    <w:rsid w:val="004B6A6E"/>
    <w:rsid w:val="004B6EE0"/>
    <w:rsid w:val="004B7FB0"/>
    <w:rsid w:val="004C006C"/>
    <w:rsid w:val="004C054B"/>
    <w:rsid w:val="004C30A6"/>
    <w:rsid w:val="004C318C"/>
    <w:rsid w:val="004C3CC3"/>
    <w:rsid w:val="004C449E"/>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14D3"/>
    <w:rsid w:val="004F1C42"/>
    <w:rsid w:val="004F3AC6"/>
    <w:rsid w:val="004F3B4F"/>
    <w:rsid w:val="004F4357"/>
    <w:rsid w:val="004F45FF"/>
    <w:rsid w:val="005001A3"/>
    <w:rsid w:val="0050052D"/>
    <w:rsid w:val="00500EBB"/>
    <w:rsid w:val="00503A5C"/>
    <w:rsid w:val="00503CBF"/>
    <w:rsid w:val="00504EF6"/>
    <w:rsid w:val="00506AD1"/>
    <w:rsid w:val="00507748"/>
    <w:rsid w:val="0051053E"/>
    <w:rsid w:val="005117FA"/>
    <w:rsid w:val="005132DC"/>
    <w:rsid w:val="0051358D"/>
    <w:rsid w:val="00513C13"/>
    <w:rsid w:val="00514553"/>
    <w:rsid w:val="00515742"/>
    <w:rsid w:val="00515CE4"/>
    <w:rsid w:val="00516000"/>
    <w:rsid w:val="00517D62"/>
    <w:rsid w:val="0052139E"/>
    <w:rsid w:val="00521878"/>
    <w:rsid w:val="0052492E"/>
    <w:rsid w:val="00524ED9"/>
    <w:rsid w:val="00526CA1"/>
    <w:rsid w:val="00527753"/>
    <w:rsid w:val="005277A2"/>
    <w:rsid w:val="005302F5"/>
    <w:rsid w:val="00530718"/>
    <w:rsid w:val="00530BC2"/>
    <w:rsid w:val="005311F7"/>
    <w:rsid w:val="00531434"/>
    <w:rsid w:val="00531C9B"/>
    <w:rsid w:val="00536909"/>
    <w:rsid w:val="00540056"/>
    <w:rsid w:val="00540322"/>
    <w:rsid w:val="00540483"/>
    <w:rsid w:val="005428B5"/>
    <w:rsid w:val="00542A08"/>
    <w:rsid w:val="00543D29"/>
    <w:rsid w:val="0054594F"/>
    <w:rsid w:val="00545BE3"/>
    <w:rsid w:val="00546596"/>
    <w:rsid w:val="0054675E"/>
    <w:rsid w:val="00547A46"/>
    <w:rsid w:val="005511D3"/>
    <w:rsid w:val="005512F7"/>
    <w:rsid w:val="00551E9F"/>
    <w:rsid w:val="00552395"/>
    <w:rsid w:val="00552D50"/>
    <w:rsid w:val="005560DC"/>
    <w:rsid w:val="00556AF3"/>
    <w:rsid w:val="00560135"/>
    <w:rsid w:val="00560F1E"/>
    <w:rsid w:val="0056446E"/>
    <w:rsid w:val="0056479F"/>
    <w:rsid w:val="00570E15"/>
    <w:rsid w:val="00573E51"/>
    <w:rsid w:val="005740E0"/>
    <w:rsid w:val="00574DF0"/>
    <w:rsid w:val="00574EB7"/>
    <w:rsid w:val="00575266"/>
    <w:rsid w:val="00575F6A"/>
    <w:rsid w:val="005769FC"/>
    <w:rsid w:val="00580D99"/>
    <w:rsid w:val="00581712"/>
    <w:rsid w:val="005877E3"/>
    <w:rsid w:val="0058799B"/>
    <w:rsid w:val="0059015D"/>
    <w:rsid w:val="005902D6"/>
    <w:rsid w:val="00591A71"/>
    <w:rsid w:val="00592087"/>
    <w:rsid w:val="005921B8"/>
    <w:rsid w:val="0059279E"/>
    <w:rsid w:val="0059331C"/>
    <w:rsid w:val="00594353"/>
    <w:rsid w:val="0059435D"/>
    <w:rsid w:val="0059469C"/>
    <w:rsid w:val="0059476B"/>
    <w:rsid w:val="005949A8"/>
    <w:rsid w:val="00596885"/>
    <w:rsid w:val="00596E1E"/>
    <w:rsid w:val="005A0079"/>
    <w:rsid w:val="005A3654"/>
    <w:rsid w:val="005A6834"/>
    <w:rsid w:val="005A68FF"/>
    <w:rsid w:val="005A7311"/>
    <w:rsid w:val="005A7D7F"/>
    <w:rsid w:val="005B4AE0"/>
    <w:rsid w:val="005B4C0E"/>
    <w:rsid w:val="005B6517"/>
    <w:rsid w:val="005C026B"/>
    <w:rsid w:val="005C1832"/>
    <w:rsid w:val="005C241B"/>
    <w:rsid w:val="005C310D"/>
    <w:rsid w:val="005C386E"/>
    <w:rsid w:val="005C419D"/>
    <w:rsid w:val="005C5A30"/>
    <w:rsid w:val="005C72F7"/>
    <w:rsid w:val="005D1D6D"/>
    <w:rsid w:val="005D2178"/>
    <w:rsid w:val="005D48CE"/>
    <w:rsid w:val="005D4FB4"/>
    <w:rsid w:val="005D5B37"/>
    <w:rsid w:val="005D6684"/>
    <w:rsid w:val="005E18A2"/>
    <w:rsid w:val="005E2BFF"/>
    <w:rsid w:val="005E42B6"/>
    <w:rsid w:val="005F0F45"/>
    <w:rsid w:val="005F17C9"/>
    <w:rsid w:val="005F1907"/>
    <w:rsid w:val="005F1925"/>
    <w:rsid w:val="005F1D4C"/>
    <w:rsid w:val="005F32A4"/>
    <w:rsid w:val="005F5774"/>
    <w:rsid w:val="005F5B4C"/>
    <w:rsid w:val="005F6416"/>
    <w:rsid w:val="00600700"/>
    <w:rsid w:val="00600F9B"/>
    <w:rsid w:val="006015A1"/>
    <w:rsid w:val="00601EE5"/>
    <w:rsid w:val="00602F8F"/>
    <w:rsid w:val="00603919"/>
    <w:rsid w:val="00604394"/>
    <w:rsid w:val="006067CE"/>
    <w:rsid w:val="006109C1"/>
    <w:rsid w:val="00610DC7"/>
    <w:rsid w:val="00611AD3"/>
    <w:rsid w:val="0061303E"/>
    <w:rsid w:val="00613444"/>
    <w:rsid w:val="00614492"/>
    <w:rsid w:val="00614891"/>
    <w:rsid w:val="006179F1"/>
    <w:rsid w:val="00617B0E"/>
    <w:rsid w:val="00622203"/>
    <w:rsid w:val="00622272"/>
    <w:rsid w:val="00632EE5"/>
    <w:rsid w:val="00640E3B"/>
    <w:rsid w:val="00642D25"/>
    <w:rsid w:val="0064443D"/>
    <w:rsid w:val="00644497"/>
    <w:rsid w:val="00644F52"/>
    <w:rsid w:val="006456CB"/>
    <w:rsid w:val="00645735"/>
    <w:rsid w:val="0064683C"/>
    <w:rsid w:val="00650AFB"/>
    <w:rsid w:val="006516D6"/>
    <w:rsid w:val="00652549"/>
    <w:rsid w:val="00652C5F"/>
    <w:rsid w:val="00652E45"/>
    <w:rsid w:val="00652EBD"/>
    <w:rsid w:val="00653DD7"/>
    <w:rsid w:val="006566EC"/>
    <w:rsid w:val="00656B46"/>
    <w:rsid w:val="00663788"/>
    <w:rsid w:val="00663D38"/>
    <w:rsid w:val="00665215"/>
    <w:rsid w:val="00666130"/>
    <w:rsid w:val="0066689A"/>
    <w:rsid w:val="00667408"/>
    <w:rsid w:val="006675B8"/>
    <w:rsid w:val="00670C3A"/>
    <w:rsid w:val="0067132F"/>
    <w:rsid w:val="006716C6"/>
    <w:rsid w:val="00671EA5"/>
    <w:rsid w:val="0067216D"/>
    <w:rsid w:val="006725B7"/>
    <w:rsid w:val="0067421A"/>
    <w:rsid w:val="00674E41"/>
    <w:rsid w:val="00675155"/>
    <w:rsid w:val="00676887"/>
    <w:rsid w:val="006808B9"/>
    <w:rsid w:val="0068090B"/>
    <w:rsid w:val="00680DB0"/>
    <w:rsid w:val="00681995"/>
    <w:rsid w:val="006821AD"/>
    <w:rsid w:val="00684032"/>
    <w:rsid w:val="00684696"/>
    <w:rsid w:val="00686982"/>
    <w:rsid w:val="00686D66"/>
    <w:rsid w:val="0068754E"/>
    <w:rsid w:val="006904AE"/>
    <w:rsid w:val="00691B74"/>
    <w:rsid w:val="006924F7"/>
    <w:rsid w:val="00696938"/>
    <w:rsid w:val="006973FA"/>
    <w:rsid w:val="00697B81"/>
    <w:rsid w:val="00697EE6"/>
    <w:rsid w:val="006A08B1"/>
    <w:rsid w:val="006A0AB1"/>
    <w:rsid w:val="006A1BC7"/>
    <w:rsid w:val="006A1C8F"/>
    <w:rsid w:val="006A2C18"/>
    <w:rsid w:val="006A5528"/>
    <w:rsid w:val="006A72C6"/>
    <w:rsid w:val="006A7D0B"/>
    <w:rsid w:val="006B058C"/>
    <w:rsid w:val="006B1B92"/>
    <w:rsid w:val="006B4961"/>
    <w:rsid w:val="006B6041"/>
    <w:rsid w:val="006B7BF1"/>
    <w:rsid w:val="006C0C12"/>
    <w:rsid w:val="006C46BB"/>
    <w:rsid w:val="006C4F28"/>
    <w:rsid w:val="006C5571"/>
    <w:rsid w:val="006C5D99"/>
    <w:rsid w:val="006C6D4E"/>
    <w:rsid w:val="006C7835"/>
    <w:rsid w:val="006D111D"/>
    <w:rsid w:val="006D122A"/>
    <w:rsid w:val="006D2DE3"/>
    <w:rsid w:val="006D3E00"/>
    <w:rsid w:val="006D5E7E"/>
    <w:rsid w:val="006D67E8"/>
    <w:rsid w:val="006E27FD"/>
    <w:rsid w:val="006E6C75"/>
    <w:rsid w:val="006E7057"/>
    <w:rsid w:val="006E7CC0"/>
    <w:rsid w:val="006F0783"/>
    <w:rsid w:val="006F07B1"/>
    <w:rsid w:val="006F0FDD"/>
    <w:rsid w:val="006F1827"/>
    <w:rsid w:val="006F1923"/>
    <w:rsid w:val="006F1E00"/>
    <w:rsid w:val="006F2797"/>
    <w:rsid w:val="006F3BDD"/>
    <w:rsid w:val="006F4261"/>
    <w:rsid w:val="006F4570"/>
    <w:rsid w:val="006F50C6"/>
    <w:rsid w:val="007001E3"/>
    <w:rsid w:val="007018A9"/>
    <w:rsid w:val="00702EE2"/>
    <w:rsid w:val="00703317"/>
    <w:rsid w:val="00704E50"/>
    <w:rsid w:val="007060C7"/>
    <w:rsid w:val="00706F91"/>
    <w:rsid w:val="00707132"/>
    <w:rsid w:val="00710193"/>
    <w:rsid w:val="0071019B"/>
    <w:rsid w:val="00713436"/>
    <w:rsid w:val="00714594"/>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C31"/>
    <w:rsid w:val="0073618E"/>
    <w:rsid w:val="007371C5"/>
    <w:rsid w:val="00740D25"/>
    <w:rsid w:val="007416CB"/>
    <w:rsid w:val="007420B7"/>
    <w:rsid w:val="00743B25"/>
    <w:rsid w:val="007458A7"/>
    <w:rsid w:val="007462F2"/>
    <w:rsid w:val="007464CE"/>
    <w:rsid w:val="00746859"/>
    <w:rsid w:val="00746DF5"/>
    <w:rsid w:val="00747A4A"/>
    <w:rsid w:val="00747D27"/>
    <w:rsid w:val="007501D8"/>
    <w:rsid w:val="007527FA"/>
    <w:rsid w:val="0075321E"/>
    <w:rsid w:val="007533F9"/>
    <w:rsid w:val="0075472F"/>
    <w:rsid w:val="00754CF2"/>
    <w:rsid w:val="007551AB"/>
    <w:rsid w:val="00757B72"/>
    <w:rsid w:val="0076138D"/>
    <w:rsid w:val="00761D31"/>
    <w:rsid w:val="00762765"/>
    <w:rsid w:val="00762B65"/>
    <w:rsid w:val="00762D23"/>
    <w:rsid w:val="00763B2E"/>
    <w:rsid w:val="00764198"/>
    <w:rsid w:val="0076467B"/>
    <w:rsid w:val="00764DC9"/>
    <w:rsid w:val="00764F2C"/>
    <w:rsid w:val="00764FD2"/>
    <w:rsid w:val="00766477"/>
    <w:rsid w:val="00766651"/>
    <w:rsid w:val="00767027"/>
    <w:rsid w:val="0077346A"/>
    <w:rsid w:val="00773627"/>
    <w:rsid w:val="00774FCE"/>
    <w:rsid w:val="007751E9"/>
    <w:rsid w:val="00776BBB"/>
    <w:rsid w:val="00780140"/>
    <w:rsid w:val="00782A58"/>
    <w:rsid w:val="00783749"/>
    <w:rsid w:val="00786AB2"/>
    <w:rsid w:val="007913C4"/>
    <w:rsid w:val="007913ED"/>
    <w:rsid w:val="00791750"/>
    <w:rsid w:val="00791D4B"/>
    <w:rsid w:val="00792011"/>
    <w:rsid w:val="00792D88"/>
    <w:rsid w:val="007951D2"/>
    <w:rsid w:val="00796304"/>
    <w:rsid w:val="007A0429"/>
    <w:rsid w:val="007A0451"/>
    <w:rsid w:val="007A048E"/>
    <w:rsid w:val="007A0943"/>
    <w:rsid w:val="007A4100"/>
    <w:rsid w:val="007A4FEC"/>
    <w:rsid w:val="007A70F0"/>
    <w:rsid w:val="007A7166"/>
    <w:rsid w:val="007A735A"/>
    <w:rsid w:val="007A74A3"/>
    <w:rsid w:val="007B28EA"/>
    <w:rsid w:val="007B420E"/>
    <w:rsid w:val="007B6E13"/>
    <w:rsid w:val="007B75A3"/>
    <w:rsid w:val="007B798F"/>
    <w:rsid w:val="007B7E2A"/>
    <w:rsid w:val="007C036B"/>
    <w:rsid w:val="007C19C1"/>
    <w:rsid w:val="007C349D"/>
    <w:rsid w:val="007C3E46"/>
    <w:rsid w:val="007C56FB"/>
    <w:rsid w:val="007C72EB"/>
    <w:rsid w:val="007C78C9"/>
    <w:rsid w:val="007C7C49"/>
    <w:rsid w:val="007C7D9B"/>
    <w:rsid w:val="007D1574"/>
    <w:rsid w:val="007D174D"/>
    <w:rsid w:val="007D18A9"/>
    <w:rsid w:val="007D1B43"/>
    <w:rsid w:val="007D2903"/>
    <w:rsid w:val="007D30EC"/>
    <w:rsid w:val="007D503A"/>
    <w:rsid w:val="007D5FA4"/>
    <w:rsid w:val="007D73CC"/>
    <w:rsid w:val="007D7AE3"/>
    <w:rsid w:val="007E0CFA"/>
    <w:rsid w:val="007E1E43"/>
    <w:rsid w:val="007E283D"/>
    <w:rsid w:val="007E2DB0"/>
    <w:rsid w:val="007E30C9"/>
    <w:rsid w:val="007E3521"/>
    <w:rsid w:val="007E48D9"/>
    <w:rsid w:val="007E53E8"/>
    <w:rsid w:val="007E6A46"/>
    <w:rsid w:val="007E6B1D"/>
    <w:rsid w:val="007F043B"/>
    <w:rsid w:val="007F273F"/>
    <w:rsid w:val="007F33AD"/>
    <w:rsid w:val="007F3805"/>
    <w:rsid w:val="007F4135"/>
    <w:rsid w:val="007F4A04"/>
    <w:rsid w:val="007F4BE4"/>
    <w:rsid w:val="007F5E9F"/>
    <w:rsid w:val="007F650A"/>
    <w:rsid w:val="007F6665"/>
    <w:rsid w:val="007F6E2E"/>
    <w:rsid w:val="007F7AC8"/>
    <w:rsid w:val="00800551"/>
    <w:rsid w:val="008013B9"/>
    <w:rsid w:val="00807377"/>
    <w:rsid w:val="00810223"/>
    <w:rsid w:val="00811B69"/>
    <w:rsid w:val="00811CAA"/>
    <w:rsid w:val="00812DB4"/>
    <w:rsid w:val="00813582"/>
    <w:rsid w:val="00813A9C"/>
    <w:rsid w:val="00813B62"/>
    <w:rsid w:val="00813BF8"/>
    <w:rsid w:val="00814BA5"/>
    <w:rsid w:val="0081551C"/>
    <w:rsid w:val="00815B15"/>
    <w:rsid w:val="0081774B"/>
    <w:rsid w:val="00821BDB"/>
    <w:rsid w:val="00821D8A"/>
    <w:rsid w:val="008227E7"/>
    <w:rsid w:val="00822A75"/>
    <w:rsid w:val="00824139"/>
    <w:rsid w:val="00825C33"/>
    <w:rsid w:val="00826927"/>
    <w:rsid w:val="00830A02"/>
    <w:rsid w:val="00830C9A"/>
    <w:rsid w:val="00832070"/>
    <w:rsid w:val="008323F5"/>
    <w:rsid w:val="00832451"/>
    <w:rsid w:val="0083383B"/>
    <w:rsid w:val="008341C1"/>
    <w:rsid w:val="008355C4"/>
    <w:rsid w:val="008356EB"/>
    <w:rsid w:val="00835B82"/>
    <w:rsid w:val="008403F4"/>
    <w:rsid w:val="00841A1B"/>
    <w:rsid w:val="008423F1"/>
    <w:rsid w:val="00843C5A"/>
    <w:rsid w:val="008467AA"/>
    <w:rsid w:val="0085043D"/>
    <w:rsid w:val="00852481"/>
    <w:rsid w:val="008531B9"/>
    <w:rsid w:val="008535FF"/>
    <w:rsid w:val="008542A6"/>
    <w:rsid w:val="00854597"/>
    <w:rsid w:val="008545F0"/>
    <w:rsid w:val="00854943"/>
    <w:rsid w:val="008563CD"/>
    <w:rsid w:val="008579AC"/>
    <w:rsid w:val="00864D38"/>
    <w:rsid w:val="008659E9"/>
    <w:rsid w:val="00866156"/>
    <w:rsid w:val="00867AE4"/>
    <w:rsid w:val="008701D4"/>
    <w:rsid w:val="008728D7"/>
    <w:rsid w:val="008732A8"/>
    <w:rsid w:val="00874BD5"/>
    <w:rsid w:val="00876AE1"/>
    <w:rsid w:val="00877EB5"/>
    <w:rsid w:val="00881362"/>
    <w:rsid w:val="00881FA2"/>
    <w:rsid w:val="008831A9"/>
    <w:rsid w:val="00883620"/>
    <w:rsid w:val="00885648"/>
    <w:rsid w:val="00885E4F"/>
    <w:rsid w:val="0088618B"/>
    <w:rsid w:val="00890AE7"/>
    <w:rsid w:val="008923A1"/>
    <w:rsid w:val="0089269E"/>
    <w:rsid w:val="008956F7"/>
    <w:rsid w:val="00895F08"/>
    <w:rsid w:val="008960DE"/>
    <w:rsid w:val="00896A96"/>
    <w:rsid w:val="00897961"/>
    <w:rsid w:val="008A06FA"/>
    <w:rsid w:val="008A11DA"/>
    <w:rsid w:val="008A174C"/>
    <w:rsid w:val="008A21E1"/>
    <w:rsid w:val="008A3AF5"/>
    <w:rsid w:val="008A3C1B"/>
    <w:rsid w:val="008A637A"/>
    <w:rsid w:val="008A74CD"/>
    <w:rsid w:val="008A78B6"/>
    <w:rsid w:val="008A7AC7"/>
    <w:rsid w:val="008B0B4F"/>
    <w:rsid w:val="008B0ED4"/>
    <w:rsid w:val="008B16B2"/>
    <w:rsid w:val="008B2C10"/>
    <w:rsid w:val="008B2EFE"/>
    <w:rsid w:val="008B4AF8"/>
    <w:rsid w:val="008B510E"/>
    <w:rsid w:val="008B78C6"/>
    <w:rsid w:val="008B7D86"/>
    <w:rsid w:val="008B7FBB"/>
    <w:rsid w:val="008C3032"/>
    <w:rsid w:val="008C3454"/>
    <w:rsid w:val="008C3CDA"/>
    <w:rsid w:val="008C3D80"/>
    <w:rsid w:val="008C4CF2"/>
    <w:rsid w:val="008C5CE5"/>
    <w:rsid w:val="008D0429"/>
    <w:rsid w:val="008D2129"/>
    <w:rsid w:val="008D42BD"/>
    <w:rsid w:val="008D43BA"/>
    <w:rsid w:val="008D4E7E"/>
    <w:rsid w:val="008D5EAB"/>
    <w:rsid w:val="008E0768"/>
    <w:rsid w:val="008E114C"/>
    <w:rsid w:val="008E268D"/>
    <w:rsid w:val="008E462A"/>
    <w:rsid w:val="008E5213"/>
    <w:rsid w:val="008E5891"/>
    <w:rsid w:val="008E6491"/>
    <w:rsid w:val="008F2626"/>
    <w:rsid w:val="008F3FDE"/>
    <w:rsid w:val="008F4BB1"/>
    <w:rsid w:val="008F55BE"/>
    <w:rsid w:val="008F58F5"/>
    <w:rsid w:val="008F61CD"/>
    <w:rsid w:val="008F6FDA"/>
    <w:rsid w:val="008F71C8"/>
    <w:rsid w:val="00900D18"/>
    <w:rsid w:val="00901757"/>
    <w:rsid w:val="00901F45"/>
    <w:rsid w:val="0091255C"/>
    <w:rsid w:val="00912955"/>
    <w:rsid w:val="00915024"/>
    <w:rsid w:val="00915F1C"/>
    <w:rsid w:val="009223A1"/>
    <w:rsid w:val="00922D8C"/>
    <w:rsid w:val="009235D9"/>
    <w:rsid w:val="009241D3"/>
    <w:rsid w:val="00926996"/>
    <w:rsid w:val="00926D8E"/>
    <w:rsid w:val="009300BA"/>
    <w:rsid w:val="00930C19"/>
    <w:rsid w:val="00931119"/>
    <w:rsid w:val="00931B02"/>
    <w:rsid w:val="00931BDF"/>
    <w:rsid w:val="009340D3"/>
    <w:rsid w:val="009343E8"/>
    <w:rsid w:val="00934BBB"/>
    <w:rsid w:val="00934EAF"/>
    <w:rsid w:val="0093513C"/>
    <w:rsid w:val="00935564"/>
    <w:rsid w:val="00936FA6"/>
    <w:rsid w:val="00937407"/>
    <w:rsid w:val="009415C6"/>
    <w:rsid w:val="00947830"/>
    <w:rsid w:val="00947A10"/>
    <w:rsid w:val="00947DB8"/>
    <w:rsid w:val="00951883"/>
    <w:rsid w:val="00952D47"/>
    <w:rsid w:val="009542EA"/>
    <w:rsid w:val="0095488F"/>
    <w:rsid w:val="00954A8E"/>
    <w:rsid w:val="00955040"/>
    <w:rsid w:val="00955F83"/>
    <w:rsid w:val="009569EB"/>
    <w:rsid w:val="009604DD"/>
    <w:rsid w:val="00960522"/>
    <w:rsid w:val="0096067E"/>
    <w:rsid w:val="00960EB6"/>
    <w:rsid w:val="0096183C"/>
    <w:rsid w:val="00962E59"/>
    <w:rsid w:val="0096340E"/>
    <w:rsid w:val="00963946"/>
    <w:rsid w:val="00964A9F"/>
    <w:rsid w:val="00966267"/>
    <w:rsid w:val="00971029"/>
    <w:rsid w:val="0097127D"/>
    <w:rsid w:val="00972801"/>
    <w:rsid w:val="009731A1"/>
    <w:rsid w:val="0097491B"/>
    <w:rsid w:val="00974FF5"/>
    <w:rsid w:val="00975848"/>
    <w:rsid w:val="009766C9"/>
    <w:rsid w:val="00976D1B"/>
    <w:rsid w:val="00977517"/>
    <w:rsid w:val="0098150E"/>
    <w:rsid w:val="0098367D"/>
    <w:rsid w:val="00983B70"/>
    <w:rsid w:val="00983D28"/>
    <w:rsid w:val="009864C6"/>
    <w:rsid w:val="00987562"/>
    <w:rsid w:val="00990175"/>
    <w:rsid w:val="00990D2A"/>
    <w:rsid w:val="00990D5E"/>
    <w:rsid w:val="009916CB"/>
    <w:rsid w:val="0099254B"/>
    <w:rsid w:val="00992CC6"/>
    <w:rsid w:val="00994973"/>
    <w:rsid w:val="009950BE"/>
    <w:rsid w:val="00996230"/>
    <w:rsid w:val="009963D6"/>
    <w:rsid w:val="00996541"/>
    <w:rsid w:val="0099753F"/>
    <w:rsid w:val="00997623"/>
    <w:rsid w:val="00997BAC"/>
    <w:rsid w:val="009A084C"/>
    <w:rsid w:val="009A25E6"/>
    <w:rsid w:val="009A3D2F"/>
    <w:rsid w:val="009A3EC5"/>
    <w:rsid w:val="009A4C60"/>
    <w:rsid w:val="009B02B0"/>
    <w:rsid w:val="009B0AAE"/>
    <w:rsid w:val="009B1FAD"/>
    <w:rsid w:val="009B22F2"/>
    <w:rsid w:val="009B2CC7"/>
    <w:rsid w:val="009B4434"/>
    <w:rsid w:val="009B589E"/>
    <w:rsid w:val="009C2C92"/>
    <w:rsid w:val="009C36F6"/>
    <w:rsid w:val="009C607E"/>
    <w:rsid w:val="009C635D"/>
    <w:rsid w:val="009C63E6"/>
    <w:rsid w:val="009C66A8"/>
    <w:rsid w:val="009C66D3"/>
    <w:rsid w:val="009C7280"/>
    <w:rsid w:val="009D1F60"/>
    <w:rsid w:val="009D3EF5"/>
    <w:rsid w:val="009D4CA7"/>
    <w:rsid w:val="009D5263"/>
    <w:rsid w:val="009D57B1"/>
    <w:rsid w:val="009D5920"/>
    <w:rsid w:val="009E0E87"/>
    <w:rsid w:val="009E1598"/>
    <w:rsid w:val="009E231E"/>
    <w:rsid w:val="009E2D4A"/>
    <w:rsid w:val="009E3518"/>
    <w:rsid w:val="009E5147"/>
    <w:rsid w:val="009F3B4C"/>
    <w:rsid w:val="009F4633"/>
    <w:rsid w:val="009F52C5"/>
    <w:rsid w:val="009F6CE0"/>
    <w:rsid w:val="00A00852"/>
    <w:rsid w:val="00A012F7"/>
    <w:rsid w:val="00A0159D"/>
    <w:rsid w:val="00A01EEE"/>
    <w:rsid w:val="00A021C4"/>
    <w:rsid w:val="00A03505"/>
    <w:rsid w:val="00A0358D"/>
    <w:rsid w:val="00A03DD4"/>
    <w:rsid w:val="00A0415F"/>
    <w:rsid w:val="00A055DB"/>
    <w:rsid w:val="00A05F0E"/>
    <w:rsid w:val="00A06255"/>
    <w:rsid w:val="00A06B1F"/>
    <w:rsid w:val="00A07012"/>
    <w:rsid w:val="00A0774E"/>
    <w:rsid w:val="00A07D6E"/>
    <w:rsid w:val="00A07E4C"/>
    <w:rsid w:val="00A10255"/>
    <w:rsid w:val="00A1187E"/>
    <w:rsid w:val="00A11B12"/>
    <w:rsid w:val="00A13A0A"/>
    <w:rsid w:val="00A13C73"/>
    <w:rsid w:val="00A14BF2"/>
    <w:rsid w:val="00A1629B"/>
    <w:rsid w:val="00A16CA3"/>
    <w:rsid w:val="00A1758A"/>
    <w:rsid w:val="00A21F28"/>
    <w:rsid w:val="00A22D65"/>
    <w:rsid w:val="00A22FAA"/>
    <w:rsid w:val="00A30E42"/>
    <w:rsid w:val="00A31149"/>
    <w:rsid w:val="00A31DDF"/>
    <w:rsid w:val="00A32957"/>
    <w:rsid w:val="00A32D0F"/>
    <w:rsid w:val="00A36E6B"/>
    <w:rsid w:val="00A373BC"/>
    <w:rsid w:val="00A3775E"/>
    <w:rsid w:val="00A404C9"/>
    <w:rsid w:val="00A443E9"/>
    <w:rsid w:val="00A51B54"/>
    <w:rsid w:val="00A5453E"/>
    <w:rsid w:val="00A55188"/>
    <w:rsid w:val="00A566E1"/>
    <w:rsid w:val="00A56E09"/>
    <w:rsid w:val="00A61158"/>
    <w:rsid w:val="00A6284D"/>
    <w:rsid w:val="00A6314D"/>
    <w:rsid w:val="00A635C3"/>
    <w:rsid w:val="00A6604F"/>
    <w:rsid w:val="00A66248"/>
    <w:rsid w:val="00A66B89"/>
    <w:rsid w:val="00A66EAB"/>
    <w:rsid w:val="00A678FE"/>
    <w:rsid w:val="00A70492"/>
    <w:rsid w:val="00A71E82"/>
    <w:rsid w:val="00A7233E"/>
    <w:rsid w:val="00A73439"/>
    <w:rsid w:val="00A73960"/>
    <w:rsid w:val="00A74C47"/>
    <w:rsid w:val="00A77B3E"/>
    <w:rsid w:val="00A805F8"/>
    <w:rsid w:val="00A80D2B"/>
    <w:rsid w:val="00A82BA5"/>
    <w:rsid w:val="00A82D6A"/>
    <w:rsid w:val="00A83BF4"/>
    <w:rsid w:val="00A846E4"/>
    <w:rsid w:val="00A84966"/>
    <w:rsid w:val="00A910E7"/>
    <w:rsid w:val="00A94E29"/>
    <w:rsid w:val="00A95729"/>
    <w:rsid w:val="00A96395"/>
    <w:rsid w:val="00AA1282"/>
    <w:rsid w:val="00AA1A36"/>
    <w:rsid w:val="00AA2238"/>
    <w:rsid w:val="00AA25DA"/>
    <w:rsid w:val="00AA3160"/>
    <w:rsid w:val="00AA4670"/>
    <w:rsid w:val="00AA493B"/>
    <w:rsid w:val="00AB079C"/>
    <w:rsid w:val="00AB3FC3"/>
    <w:rsid w:val="00AB58DF"/>
    <w:rsid w:val="00AB6EAB"/>
    <w:rsid w:val="00AC0540"/>
    <w:rsid w:val="00AC0C39"/>
    <w:rsid w:val="00AC33CC"/>
    <w:rsid w:val="00AC345A"/>
    <w:rsid w:val="00AC4B03"/>
    <w:rsid w:val="00AC4B5C"/>
    <w:rsid w:val="00AC4C4C"/>
    <w:rsid w:val="00AC6F9D"/>
    <w:rsid w:val="00AC7373"/>
    <w:rsid w:val="00AC78A4"/>
    <w:rsid w:val="00AD01AF"/>
    <w:rsid w:val="00AD0326"/>
    <w:rsid w:val="00AD2218"/>
    <w:rsid w:val="00AD382E"/>
    <w:rsid w:val="00AD3C8D"/>
    <w:rsid w:val="00AD6F48"/>
    <w:rsid w:val="00AD71C8"/>
    <w:rsid w:val="00AD77D6"/>
    <w:rsid w:val="00AE04AE"/>
    <w:rsid w:val="00AE165B"/>
    <w:rsid w:val="00AE2C60"/>
    <w:rsid w:val="00AE32AB"/>
    <w:rsid w:val="00AE340E"/>
    <w:rsid w:val="00AE3F24"/>
    <w:rsid w:val="00AE3F91"/>
    <w:rsid w:val="00AE54F6"/>
    <w:rsid w:val="00AE5742"/>
    <w:rsid w:val="00AE588B"/>
    <w:rsid w:val="00AE5A45"/>
    <w:rsid w:val="00AE7E0F"/>
    <w:rsid w:val="00AF00F0"/>
    <w:rsid w:val="00AF2D30"/>
    <w:rsid w:val="00AF4FF3"/>
    <w:rsid w:val="00AF588F"/>
    <w:rsid w:val="00AF6C93"/>
    <w:rsid w:val="00B002F3"/>
    <w:rsid w:val="00B0065E"/>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22D06"/>
    <w:rsid w:val="00B24FAA"/>
    <w:rsid w:val="00B2539F"/>
    <w:rsid w:val="00B310E8"/>
    <w:rsid w:val="00B3144B"/>
    <w:rsid w:val="00B33309"/>
    <w:rsid w:val="00B353FA"/>
    <w:rsid w:val="00B367EA"/>
    <w:rsid w:val="00B36AA6"/>
    <w:rsid w:val="00B37C5B"/>
    <w:rsid w:val="00B40981"/>
    <w:rsid w:val="00B42857"/>
    <w:rsid w:val="00B42A87"/>
    <w:rsid w:val="00B432B5"/>
    <w:rsid w:val="00B43E6E"/>
    <w:rsid w:val="00B4422F"/>
    <w:rsid w:val="00B4468F"/>
    <w:rsid w:val="00B45673"/>
    <w:rsid w:val="00B500AC"/>
    <w:rsid w:val="00B52495"/>
    <w:rsid w:val="00B528E4"/>
    <w:rsid w:val="00B530D4"/>
    <w:rsid w:val="00B53F77"/>
    <w:rsid w:val="00B56675"/>
    <w:rsid w:val="00B56C48"/>
    <w:rsid w:val="00B5722F"/>
    <w:rsid w:val="00B57AD6"/>
    <w:rsid w:val="00B603B3"/>
    <w:rsid w:val="00B614AC"/>
    <w:rsid w:val="00B61CEF"/>
    <w:rsid w:val="00B61F48"/>
    <w:rsid w:val="00B626B0"/>
    <w:rsid w:val="00B641FD"/>
    <w:rsid w:val="00B6445E"/>
    <w:rsid w:val="00B66472"/>
    <w:rsid w:val="00B66CAB"/>
    <w:rsid w:val="00B67883"/>
    <w:rsid w:val="00B711A5"/>
    <w:rsid w:val="00B7554B"/>
    <w:rsid w:val="00B77648"/>
    <w:rsid w:val="00B77A18"/>
    <w:rsid w:val="00B80661"/>
    <w:rsid w:val="00B812E0"/>
    <w:rsid w:val="00B817DB"/>
    <w:rsid w:val="00B82A15"/>
    <w:rsid w:val="00B835CA"/>
    <w:rsid w:val="00B847FF"/>
    <w:rsid w:val="00B8502E"/>
    <w:rsid w:val="00B85D5B"/>
    <w:rsid w:val="00B868FD"/>
    <w:rsid w:val="00B87DF6"/>
    <w:rsid w:val="00B90828"/>
    <w:rsid w:val="00B936A9"/>
    <w:rsid w:val="00B9554B"/>
    <w:rsid w:val="00B97055"/>
    <w:rsid w:val="00BA21A2"/>
    <w:rsid w:val="00BA6416"/>
    <w:rsid w:val="00BA7DB7"/>
    <w:rsid w:val="00BB16AE"/>
    <w:rsid w:val="00BB51CA"/>
    <w:rsid w:val="00BB63FB"/>
    <w:rsid w:val="00BB776F"/>
    <w:rsid w:val="00BC1527"/>
    <w:rsid w:val="00BC37ED"/>
    <w:rsid w:val="00BC49B9"/>
    <w:rsid w:val="00BC49CB"/>
    <w:rsid w:val="00BC4EF0"/>
    <w:rsid w:val="00BC4F48"/>
    <w:rsid w:val="00BC51DC"/>
    <w:rsid w:val="00BC60EE"/>
    <w:rsid w:val="00BD05A0"/>
    <w:rsid w:val="00BD0DBE"/>
    <w:rsid w:val="00BD2169"/>
    <w:rsid w:val="00BD296B"/>
    <w:rsid w:val="00BD2D4E"/>
    <w:rsid w:val="00BD5498"/>
    <w:rsid w:val="00BD7483"/>
    <w:rsid w:val="00BD76A1"/>
    <w:rsid w:val="00BD7D0E"/>
    <w:rsid w:val="00BE0907"/>
    <w:rsid w:val="00BE500B"/>
    <w:rsid w:val="00BE58BA"/>
    <w:rsid w:val="00BE6FF3"/>
    <w:rsid w:val="00BE7DCB"/>
    <w:rsid w:val="00BF0758"/>
    <w:rsid w:val="00BF0811"/>
    <w:rsid w:val="00BF1386"/>
    <w:rsid w:val="00BF2548"/>
    <w:rsid w:val="00BF4B8F"/>
    <w:rsid w:val="00BF4BBB"/>
    <w:rsid w:val="00BF66DD"/>
    <w:rsid w:val="00BF795A"/>
    <w:rsid w:val="00BF7D35"/>
    <w:rsid w:val="00C00779"/>
    <w:rsid w:val="00C0149F"/>
    <w:rsid w:val="00C0313C"/>
    <w:rsid w:val="00C031A0"/>
    <w:rsid w:val="00C03D2F"/>
    <w:rsid w:val="00C03FEE"/>
    <w:rsid w:val="00C0454F"/>
    <w:rsid w:val="00C07F89"/>
    <w:rsid w:val="00C117E2"/>
    <w:rsid w:val="00C119A6"/>
    <w:rsid w:val="00C13C17"/>
    <w:rsid w:val="00C15B7D"/>
    <w:rsid w:val="00C16233"/>
    <w:rsid w:val="00C20A23"/>
    <w:rsid w:val="00C21111"/>
    <w:rsid w:val="00C217D1"/>
    <w:rsid w:val="00C27FEC"/>
    <w:rsid w:val="00C300CF"/>
    <w:rsid w:val="00C30E21"/>
    <w:rsid w:val="00C310B2"/>
    <w:rsid w:val="00C3200F"/>
    <w:rsid w:val="00C34E6B"/>
    <w:rsid w:val="00C355C7"/>
    <w:rsid w:val="00C3594C"/>
    <w:rsid w:val="00C3637F"/>
    <w:rsid w:val="00C36B3B"/>
    <w:rsid w:val="00C3737E"/>
    <w:rsid w:val="00C40F91"/>
    <w:rsid w:val="00C40FF3"/>
    <w:rsid w:val="00C417C6"/>
    <w:rsid w:val="00C43D93"/>
    <w:rsid w:val="00C45223"/>
    <w:rsid w:val="00C464CC"/>
    <w:rsid w:val="00C470E0"/>
    <w:rsid w:val="00C4746A"/>
    <w:rsid w:val="00C509B8"/>
    <w:rsid w:val="00C52345"/>
    <w:rsid w:val="00C5329B"/>
    <w:rsid w:val="00C541F6"/>
    <w:rsid w:val="00C548B6"/>
    <w:rsid w:val="00C5698D"/>
    <w:rsid w:val="00C56E03"/>
    <w:rsid w:val="00C5706D"/>
    <w:rsid w:val="00C5738D"/>
    <w:rsid w:val="00C57AE9"/>
    <w:rsid w:val="00C601CC"/>
    <w:rsid w:val="00C605E5"/>
    <w:rsid w:val="00C63230"/>
    <w:rsid w:val="00C6351C"/>
    <w:rsid w:val="00C640EA"/>
    <w:rsid w:val="00C656D8"/>
    <w:rsid w:val="00C65875"/>
    <w:rsid w:val="00C66260"/>
    <w:rsid w:val="00C6677A"/>
    <w:rsid w:val="00C70673"/>
    <w:rsid w:val="00C706F9"/>
    <w:rsid w:val="00C70C7E"/>
    <w:rsid w:val="00C70E2C"/>
    <w:rsid w:val="00C71726"/>
    <w:rsid w:val="00C71F25"/>
    <w:rsid w:val="00C7484E"/>
    <w:rsid w:val="00C75A6E"/>
    <w:rsid w:val="00C75FB1"/>
    <w:rsid w:val="00C7632B"/>
    <w:rsid w:val="00C76CEC"/>
    <w:rsid w:val="00C774CD"/>
    <w:rsid w:val="00C806C6"/>
    <w:rsid w:val="00C81CD5"/>
    <w:rsid w:val="00C825D9"/>
    <w:rsid w:val="00C837E5"/>
    <w:rsid w:val="00C8385D"/>
    <w:rsid w:val="00C869CE"/>
    <w:rsid w:val="00C909C1"/>
    <w:rsid w:val="00C92027"/>
    <w:rsid w:val="00C94C23"/>
    <w:rsid w:val="00C94E7A"/>
    <w:rsid w:val="00C95914"/>
    <w:rsid w:val="00C9619F"/>
    <w:rsid w:val="00C9790E"/>
    <w:rsid w:val="00C97B08"/>
    <w:rsid w:val="00C97D85"/>
    <w:rsid w:val="00CA0DFC"/>
    <w:rsid w:val="00CA1268"/>
    <w:rsid w:val="00CA18C9"/>
    <w:rsid w:val="00CA446C"/>
    <w:rsid w:val="00CA46FC"/>
    <w:rsid w:val="00CA725C"/>
    <w:rsid w:val="00CA74D8"/>
    <w:rsid w:val="00CB0070"/>
    <w:rsid w:val="00CB0102"/>
    <w:rsid w:val="00CB080F"/>
    <w:rsid w:val="00CB58FD"/>
    <w:rsid w:val="00CB5925"/>
    <w:rsid w:val="00CB66BB"/>
    <w:rsid w:val="00CB6767"/>
    <w:rsid w:val="00CB7157"/>
    <w:rsid w:val="00CB777F"/>
    <w:rsid w:val="00CC6077"/>
    <w:rsid w:val="00CD1AF8"/>
    <w:rsid w:val="00CD1B4C"/>
    <w:rsid w:val="00CD1B95"/>
    <w:rsid w:val="00CD505A"/>
    <w:rsid w:val="00CD5E80"/>
    <w:rsid w:val="00CD6154"/>
    <w:rsid w:val="00CD78A7"/>
    <w:rsid w:val="00CE0A0D"/>
    <w:rsid w:val="00CE2EA9"/>
    <w:rsid w:val="00CE370A"/>
    <w:rsid w:val="00CE4056"/>
    <w:rsid w:val="00CE49E6"/>
    <w:rsid w:val="00CE4F70"/>
    <w:rsid w:val="00CF167D"/>
    <w:rsid w:val="00CF21F6"/>
    <w:rsid w:val="00CF2E83"/>
    <w:rsid w:val="00CF382C"/>
    <w:rsid w:val="00CF4EA8"/>
    <w:rsid w:val="00CF65CF"/>
    <w:rsid w:val="00CF69C7"/>
    <w:rsid w:val="00CF75DD"/>
    <w:rsid w:val="00D00337"/>
    <w:rsid w:val="00D01242"/>
    <w:rsid w:val="00D0142C"/>
    <w:rsid w:val="00D017A1"/>
    <w:rsid w:val="00D0299D"/>
    <w:rsid w:val="00D05808"/>
    <w:rsid w:val="00D05E79"/>
    <w:rsid w:val="00D067F2"/>
    <w:rsid w:val="00D12199"/>
    <w:rsid w:val="00D13F96"/>
    <w:rsid w:val="00D14B8E"/>
    <w:rsid w:val="00D157FC"/>
    <w:rsid w:val="00D15E34"/>
    <w:rsid w:val="00D176E3"/>
    <w:rsid w:val="00D20885"/>
    <w:rsid w:val="00D20C25"/>
    <w:rsid w:val="00D20E2A"/>
    <w:rsid w:val="00D21986"/>
    <w:rsid w:val="00D22B69"/>
    <w:rsid w:val="00D23C42"/>
    <w:rsid w:val="00D25F48"/>
    <w:rsid w:val="00D26084"/>
    <w:rsid w:val="00D27A89"/>
    <w:rsid w:val="00D27B39"/>
    <w:rsid w:val="00D31106"/>
    <w:rsid w:val="00D32700"/>
    <w:rsid w:val="00D34AEE"/>
    <w:rsid w:val="00D354F0"/>
    <w:rsid w:val="00D36069"/>
    <w:rsid w:val="00D36EE6"/>
    <w:rsid w:val="00D40796"/>
    <w:rsid w:val="00D40903"/>
    <w:rsid w:val="00D40A4B"/>
    <w:rsid w:val="00D4115F"/>
    <w:rsid w:val="00D441A5"/>
    <w:rsid w:val="00D44AF4"/>
    <w:rsid w:val="00D517D5"/>
    <w:rsid w:val="00D530BF"/>
    <w:rsid w:val="00D547CC"/>
    <w:rsid w:val="00D556A2"/>
    <w:rsid w:val="00D55F02"/>
    <w:rsid w:val="00D6052D"/>
    <w:rsid w:val="00D6111B"/>
    <w:rsid w:val="00D61DCA"/>
    <w:rsid w:val="00D642A1"/>
    <w:rsid w:val="00D643AE"/>
    <w:rsid w:val="00D6462C"/>
    <w:rsid w:val="00D66CF0"/>
    <w:rsid w:val="00D674B3"/>
    <w:rsid w:val="00D70123"/>
    <w:rsid w:val="00D70EF5"/>
    <w:rsid w:val="00D72B01"/>
    <w:rsid w:val="00D72C63"/>
    <w:rsid w:val="00D752F4"/>
    <w:rsid w:val="00D7615F"/>
    <w:rsid w:val="00D77133"/>
    <w:rsid w:val="00D77A30"/>
    <w:rsid w:val="00D81FB1"/>
    <w:rsid w:val="00D82AD9"/>
    <w:rsid w:val="00D861AD"/>
    <w:rsid w:val="00D86626"/>
    <w:rsid w:val="00D907D9"/>
    <w:rsid w:val="00D918D2"/>
    <w:rsid w:val="00D919C3"/>
    <w:rsid w:val="00D9280E"/>
    <w:rsid w:val="00D93AAE"/>
    <w:rsid w:val="00D93BC5"/>
    <w:rsid w:val="00D93DFC"/>
    <w:rsid w:val="00D940A9"/>
    <w:rsid w:val="00D942DD"/>
    <w:rsid w:val="00DA0C72"/>
    <w:rsid w:val="00DA0FCD"/>
    <w:rsid w:val="00DA2420"/>
    <w:rsid w:val="00DA2442"/>
    <w:rsid w:val="00DA5850"/>
    <w:rsid w:val="00DA6BC7"/>
    <w:rsid w:val="00DA79ED"/>
    <w:rsid w:val="00DB0B04"/>
    <w:rsid w:val="00DB0F7D"/>
    <w:rsid w:val="00DB27C1"/>
    <w:rsid w:val="00DB2898"/>
    <w:rsid w:val="00DB3C4A"/>
    <w:rsid w:val="00DB5448"/>
    <w:rsid w:val="00DB5592"/>
    <w:rsid w:val="00DB5BC6"/>
    <w:rsid w:val="00DB5F04"/>
    <w:rsid w:val="00DC09D4"/>
    <w:rsid w:val="00DC11B9"/>
    <w:rsid w:val="00DC2446"/>
    <w:rsid w:val="00DC3B35"/>
    <w:rsid w:val="00DC4277"/>
    <w:rsid w:val="00DC5CB6"/>
    <w:rsid w:val="00DD026C"/>
    <w:rsid w:val="00DD02D6"/>
    <w:rsid w:val="00DD0803"/>
    <w:rsid w:val="00DD1D9B"/>
    <w:rsid w:val="00DD29FC"/>
    <w:rsid w:val="00DD4076"/>
    <w:rsid w:val="00DE2312"/>
    <w:rsid w:val="00DE2C08"/>
    <w:rsid w:val="00DE6997"/>
    <w:rsid w:val="00DE746C"/>
    <w:rsid w:val="00DE7C7A"/>
    <w:rsid w:val="00DF039B"/>
    <w:rsid w:val="00DF67FE"/>
    <w:rsid w:val="00DF6DFE"/>
    <w:rsid w:val="00DF6E18"/>
    <w:rsid w:val="00DF703C"/>
    <w:rsid w:val="00DF72CF"/>
    <w:rsid w:val="00E00513"/>
    <w:rsid w:val="00E00DCF"/>
    <w:rsid w:val="00E034F7"/>
    <w:rsid w:val="00E0413E"/>
    <w:rsid w:val="00E06AA3"/>
    <w:rsid w:val="00E0783A"/>
    <w:rsid w:val="00E10352"/>
    <w:rsid w:val="00E105B8"/>
    <w:rsid w:val="00E10CE0"/>
    <w:rsid w:val="00E10E35"/>
    <w:rsid w:val="00E12D13"/>
    <w:rsid w:val="00E12E96"/>
    <w:rsid w:val="00E139F0"/>
    <w:rsid w:val="00E140A3"/>
    <w:rsid w:val="00E20134"/>
    <w:rsid w:val="00E2058C"/>
    <w:rsid w:val="00E2156C"/>
    <w:rsid w:val="00E223C9"/>
    <w:rsid w:val="00E228EE"/>
    <w:rsid w:val="00E2476F"/>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72"/>
    <w:rsid w:val="00E401E9"/>
    <w:rsid w:val="00E40772"/>
    <w:rsid w:val="00E42CC1"/>
    <w:rsid w:val="00E5003E"/>
    <w:rsid w:val="00E5088E"/>
    <w:rsid w:val="00E518A3"/>
    <w:rsid w:val="00E52801"/>
    <w:rsid w:val="00E55C6F"/>
    <w:rsid w:val="00E6178A"/>
    <w:rsid w:val="00E62053"/>
    <w:rsid w:val="00E632BD"/>
    <w:rsid w:val="00E634A5"/>
    <w:rsid w:val="00E66025"/>
    <w:rsid w:val="00E66E01"/>
    <w:rsid w:val="00E7172A"/>
    <w:rsid w:val="00E7189F"/>
    <w:rsid w:val="00E73293"/>
    <w:rsid w:val="00E73620"/>
    <w:rsid w:val="00E74E32"/>
    <w:rsid w:val="00E754DE"/>
    <w:rsid w:val="00E7682F"/>
    <w:rsid w:val="00E76BC9"/>
    <w:rsid w:val="00E807E8"/>
    <w:rsid w:val="00E80A8F"/>
    <w:rsid w:val="00E80B9E"/>
    <w:rsid w:val="00E827B0"/>
    <w:rsid w:val="00E83346"/>
    <w:rsid w:val="00E83689"/>
    <w:rsid w:val="00E84A05"/>
    <w:rsid w:val="00E850BD"/>
    <w:rsid w:val="00E86017"/>
    <w:rsid w:val="00E86082"/>
    <w:rsid w:val="00E87B8A"/>
    <w:rsid w:val="00E90CB8"/>
    <w:rsid w:val="00E9127A"/>
    <w:rsid w:val="00E91379"/>
    <w:rsid w:val="00E92CC0"/>
    <w:rsid w:val="00E92E43"/>
    <w:rsid w:val="00E95123"/>
    <w:rsid w:val="00E95693"/>
    <w:rsid w:val="00E95878"/>
    <w:rsid w:val="00E96DD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6A1B"/>
    <w:rsid w:val="00EB771B"/>
    <w:rsid w:val="00EB7E96"/>
    <w:rsid w:val="00EC013A"/>
    <w:rsid w:val="00EC01FF"/>
    <w:rsid w:val="00EC0C9D"/>
    <w:rsid w:val="00EC0CED"/>
    <w:rsid w:val="00EC1426"/>
    <w:rsid w:val="00EC23DA"/>
    <w:rsid w:val="00EC2CAE"/>
    <w:rsid w:val="00EC2E4B"/>
    <w:rsid w:val="00EC45FA"/>
    <w:rsid w:val="00EC493B"/>
    <w:rsid w:val="00EC5DD1"/>
    <w:rsid w:val="00ED10A4"/>
    <w:rsid w:val="00ED2D44"/>
    <w:rsid w:val="00ED327A"/>
    <w:rsid w:val="00ED3D7D"/>
    <w:rsid w:val="00ED453F"/>
    <w:rsid w:val="00ED4E3B"/>
    <w:rsid w:val="00ED643F"/>
    <w:rsid w:val="00ED6B45"/>
    <w:rsid w:val="00EE2725"/>
    <w:rsid w:val="00EE2DE2"/>
    <w:rsid w:val="00EE315A"/>
    <w:rsid w:val="00EE3389"/>
    <w:rsid w:val="00EE5177"/>
    <w:rsid w:val="00EE6139"/>
    <w:rsid w:val="00EE6266"/>
    <w:rsid w:val="00EE73FB"/>
    <w:rsid w:val="00EF08F6"/>
    <w:rsid w:val="00EF20BF"/>
    <w:rsid w:val="00EF239C"/>
    <w:rsid w:val="00EF5E1A"/>
    <w:rsid w:val="00F0002B"/>
    <w:rsid w:val="00F01E99"/>
    <w:rsid w:val="00F028B2"/>
    <w:rsid w:val="00F03E21"/>
    <w:rsid w:val="00F105BE"/>
    <w:rsid w:val="00F1089D"/>
    <w:rsid w:val="00F1545A"/>
    <w:rsid w:val="00F155C5"/>
    <w:rsid w:val="00F15851"/>
    <w:rsid w:val="00F15CC8"/>
    <w:rsid w:val="00F22C47"/>
    <w:rsid w:val="00F230E3"/>
    <w:rsid w:val="00F233F0"/>
    <w:rsid w:val="00F2405D"/>
    <w:rsid w:val="00F2463D"/>
    <w:rsid w:val="00F250A6"/>
    <w:rsid w:val="00F26C53"/>
    <w:rsid w:val="00F26F75"/>
    <w:rsid w:val="00F305F9"/>
    <w:rsid w:val="00F30C15"/>
    <w:rsid w:val="00F31955"/>
    <w:rsid w:val="00F3307F"/>
    <w:rsid w:val="00F336B2"/>
    <w:rsid w:val="00F34477"/>
    <w:rsid w:val="00F34F76"/>
    <w:rsid w:val="00F3670A"/>
    <w:rsid w:val="00F3750B"/>
    <w:rsid w:val="00F401C7"/>
    <w:rsid w:val="00F40F76"/>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745D"/>
    <w:rsid w:val="00F57B3C"/>
    <w:rsid w:val="00F62444"/>
    <w:rsid w:val="00F62D00"/>
    <w:rsid w:val="00F63596"/>
    <w:rsid w:val="00F66AB3"/>
    <w:rsid w:val="00F674C0"/>
    <w:rsid w:val="00F67ECC"/>
    <w:rsid w:val="00F7492E"/>
    <w:rsid w:val="00F75730"/>
    <w:rsid w:val="00F761D5"/>
    <w:rsid w:val="00F77080"/>
    <w:rsid w:val="00F77101"/>
    <w:rsid w:val="00F80262"/>
    <w:rsid w:val="00F80DD9"/>
    <w:rsid w:val="00F81809"/>
    <w:rsid w:val="00F818FB"/>
    <w:rsid w:val="00F822BF"/>
    <w:rsid w:val="00F82E49"/>
    <w:rsid w:val="00F83203"/>
    <w:rsid w:val="00F83D88"/>
    <w:rsid w:val="00F8654B"/>
    <w:rsid w:val="00F86793"/>
    <w:rsid w:val="00F87063"/>
    <w:rsid w:val="00F90331"/>
    <w:rsid w:val="00F91688"/>
    <w:rsid w:val="00F924B8"/>
    <w:rsid w:val="00F937D3"/>
    <w:rsid w:val="00F949B8"/>
    <w:rsid w:val="00F9528A"/>
    <w:rsid w:val="00F95866"/>
    <w:rsid w:val="00F95D86"/>
    <w:rsid w:val="00F97389"/>
    <w:rsid w:val="00FA0A29"/>
    <w:rsid w:val="00FA0F55"/>
    <w:rsid w:val="00FA138A"/>
    <w:rsid w:val="00FA14EA"/>
    <w:rsid w:val="00FA26A6"/>
    <w:rsid w:val="00FA3C3D"/>
    <w:rsid w:val="00FA4761"/>
    <w:rsid w:val="00FA7DA7"/>
    <w:rsid w:val="00FB3A27"/>
    <w:rsid w:val="00FB47E1"/>
    <w:rsid w:val="00FB4A8B"/>
    <w:rsid w:val="00FB6D70"/>
    <w:rsid w:val="00FB7E7D"/>
    <w:rsid w:val="00FC03B5"/>
    <w:rsid w:val="00FC19B1"/>
    <w:rsid w:val="00FC2956"/>
    <w:rsid w:val="00FC4105"/>
    <w:rsid w:val="00FC5864"/>
    <w:rsid w:val="00FC5F03"/>
    <w:rsid w:val="00FC6FB3"/>
    <w:rsid w:val="00FC7A11"/>
    <w:rsid w:val="00FD0069"/>
    <w:rsid w:val="00FD065B"/>
    <w:rsid w:val="00FD0FCE"/>
    <w:rsid w:val="00FD152E"/>
    <w:rsid w:val="00FD1DC8"/>
    <w:rsid w:val="00FD222A"/>
    <w:rsid w:val="00FD4F15"/>
    <w:rsid w:val="00FD51D0"/>
    <w:rsid w:val="00FD6F90"/>
    <w:rsid w:val="00FE022E"/>
    <w:rsid w:val="00FE1190"/>
    <w:rsid w:val="00FE1893"/>
    <w:rsid w:val="00FE3225"/>
    <w:rsid w:val="00FE3FA2"/>
    <w:rsid w:val="00FE419B"/>
    <w:rsid w:val="00FE79EB"/>
    <w:rsid w:val="00FF02CC"/>
    <w:rsid w:val="00FF0FE5"/>
    <w:rsid w:val="00FF19A7"/>
    <w:rsid w:val="00FF1D50"/>
    <w:rsid w:val="00FF219C"/>
    <w:rsid w:val="00FF260D"/>
    <w:rsid w:val="00FF39F3"/>
    <w:rsid w:val="00FF3AF1"/>
    <w:rsid w:val="00FF3FD4"/>
    <w:rsid w:val="00FF41E9"/>
    <w:rsid w:val="00FF5342"/>
    <w:rsid w:val="00FF6C98"/>
    <w:rsid w:val="023070B4"/>
    <w:rsid w:val="04125F1E"/>
    <w:rsid w:val="078451F1"/>
    <w:rsid w:val="08C230B8"/>
    <w:rsid w:val="0E576F53"/>
    <w:rsid w:val="125B2CFC"/>
    <w:rsid w:val="13405E2E"/>
    <w:rsid w:val="193E77BB"/>
    <w:rsid w:val="19402E10"/>
    <w:rsid w:val="27655AF0"/>
    <w:rsid w:val="2F605368"/>
    <w:rsid w:val="31FD4B93"/>
    <w:rsid w:val="3FCA68B7"/>
    <w:rsid w:val="45196B36"/>
    <w:rsid w:val="45E54DCA"/>
    <w:rsid w:val="4ABD599D"/>
    <w:rsid w:val="4DE429AA"/>
    <w:rsid w:val="50746AF7"/>
    <w:rsid w:val="57CC0065"/>
    <w:rsid w:val="5F550FC4"/>
    <w:rsid w:val="636A2F64"/>
    <w:rsid w:val="67913957"/>
    <w:rsid w:val="68864A1A"/>
    <w:rsid w:val="6C8872C2"/>
    <w:rsid w:val="73DB594D"/>
    <w:rsid w:val="7C21103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table" w:styleId="TableGrid">
    <w:name w:val="Table Grid"/>
    <w:uiPriority w:val="59"/>
    <w:qFormat/>
    <w:rPr>
      <w:rFonts w:ascii="Calibri" w:hAnsi="Calibri" w:eastAsiaTheme="minorEastAsia"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23886</Words>
  <Characters>25185</Characters>
  <Application>Microsoft Office Word</Application>
  <DocSecurity>0</DocSecurity>
  <Lines>216</Lines>
  <Paragraphs>61</Paragraphs>
  <ScaleCrop>false</ScaleCrop>
  <Company>中国气象局</Company>
  <LinksUpToDate>false</LinksUpToDate>
  <CharactersWithSpaces>25300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2023-10-26T02:24:00Z</dcterms:created>
  <dcterms:modified xsi:type="dcterms:W3CDTF">2026-07-20T07:57:51Z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CD8C96B3C27544FE9237DF28949E6E50_13</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