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短临数据处理及业务运维软件升级建设项目-面向短临的数据处理及管理软件升级建设项目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ZQCD-26113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left="210" w:firstLine="210" w:leftChars="100" w:firstLineChars="1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left"/>
        <w:outlineLvl w:val="1"/>
        <w:rPr>
          <w:rFonts w:ascii="宋体" w:hAnsi="宋体" w:hint="eastAsia"/>
        </w:rPr>
      </w:pP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1.3.10</w:t>
            </w:r>
          </w:p>
        </w:tc>
        <w:tc>
          <w:tcPr>
            <w:tcW w:w="7723" w:type="dxa"/>
            <w:vAlign w:val="center"/>
          </w:tcPr>
          <w:p>
            <w:pPr>
              <w:pStyle w:val="10"/>
              <w:numPr>
                <w:ilvl w:val="0"/>
                <w:numId w:val="0"/>
              </w:numPr>
              <w:tabs>
                <w:tab w:val="left" w:pos="34"/>
                <w:tab w:val="clear" w:pos="709"/>
                <w:tab w:val="left" w:pos="1573"/>
              </w:tabs>
              <w:adjustRightInd w:val="0"/>
              <w:snapToGrid w:val="0"/>
              <w:spacing w:line="360" w:lineRule="auto"/>
              <w:ind w:left="34" w:leftChars="16"/>
              <w:rPr>
                <w:rFonts w:hint="eastAsia"/>
                <w:bCs/>
                <w:sz w:val="18"/>
                <w:szCs w:val="18"/>
              </w:rPr>
            </w:pPr>
            <w:r>
              <w:rPr>
                <w:rFonts w:hint="eastAsia"/>
                <w:sz w:val="18"/>
                <w:szCs w:val="18"/>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rPr>
              <w:t>拒绝</w:t>
            </w:r>
            <w:r>
              <w:rPr>
                <w:rFonts w:hint="eastAsia"/>
                <w:bCs/>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。（2）除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另有约定外，拥有第三方软件著作权的所有</w:t>
            </w:r>
            <w:r>
              <w:rPr>
                <w:rFonts w:ascii="宋体" w:hAnsi="宋体" w:hint="eastAsia"/>
                <w:sz w:val="18"/>
                <w:szCs w:val="18"/>
              </w:rPr>
              <w:t>第三方，只能授权同一个投标人在开发本项目招标的软件时，对该第三方软件进行移植、修改、再开发，否则被授权的所有投标人的投标将全部被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1.3.12</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1.3.13</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①</w:t>
            </w:r>
            <w:r>
              <w:rPr>
                <w:rFonts w:ascii="宋体" w:hAnsi="宋体" w:hint="eastAsia"/>
                <w:sz w:val="18"/>
                <w:szCs w:val="18"/>
              </w:rPr>
              <w:t>用于本项目的设施、系统和数据与其他项目有明确、清晰的边界；</w:t>
            </w:r>
            <w:r>
              <w:rPr>
                <w:rFonts w:ascii="宋体" w:hAnsi="宋体" w:hint="eastAsia"/>
                <w:sz w:val="18"/>
                <w:szCs w:val="18"/>
              </w:rPr>
              <w:t>②</w:t>
            </w:r>
            <w:r>
              <w:rPr>
                <w:rFonts w:ascii="宋体" w:hAnsi="宋体" w:hint="eastAsia"/>
                <w:sz w:val="18"/>
                <w:szCs w:val="18"/>
              </w:rPr>
              <w:t>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w:t>
            </w:r>
            <w:r>
              <w:rPr>
                <w:rFonts w:ascii="宋体" w:hAnsi="宋体" w:hint="eastAsia"/>
                <w:sz w:val="18"/>
                <w:szCs w:val="18"/>
              </w:rPr>
              <w:t>③</w:t>
            </w:r>
            <w:r>
              <w:rPr>
                <w:rFonts w:ascii="宋体" w:hAnsi="宋体" w:hint="eastAsia"/>
                <w:sz w:val="18"/>
                <w:szCs w:val="18"/>
              </w:rPr>
              <w:t>具有防止数据泄露的管理和技术措施；</w:t>
            </w:r>
            <w:r>
              <w:rPr>
                <w:rFonts w:ascii="宋体" w:hAnsi="宋体" w:hint="eastAsia"/>
                <w:sz w:val="18"/>
                <w:szCs w:val="18"/>
              </w:rPr>
              <w:t>④</w:t>
            </w:r>
            <w:r>
              <w:rPr>
                <w:rFonts w:ascii="宋体" w:hAnsi="宋体" w:hint="eastAsia"/>
                <w:sz w:val="18"/>
                <w:szCs w:val="18"/>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第五章投标人须知专用部分5.7条</w:t>
            </w:r>
            <w:r>
              <w:rPr>
                <w:rFonts w:hint="eastAsia"/>
                <w:sz w:val="18"/>
                <w:szCs w:val="18"/>
              </w:rPr>
              <w:t>有关代理商投标要求，以及进口产品代理商未按</w:t>
            </w:r>
            <w:r>
              <w:rPr>
                <w:rFonts w:hint="eastAsia"/>
                <w:b/>
                <w:sz w:val="18"/>
                <w:szCs w:val="18"/>
              </w:rPr>
              <w:t>第五章投标人须知专用部分5.8条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投标人未提交全以下商务文件（特别说明除外）：（1）法定代表人身份证明或授权委托书；（2）投标函；（3）资格、资信证明文件：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ascii="宋体" w:hAnsi="宋体" w:hint="eastAsia"/>
                <w:sz w:val="18"/>
                <w:szCs w:val="18"/>
              </w:rPr>
              <w:t>④</w:t>
            </w:r>
            <w:r>
              <w:rPr>
                <w:rFonts w:ascii="宋体" w:hAnsi="宋体" w:hint="eastAsia"/>
                <w:sz w:val="18"/>
                <w:szCs w:val="18"/>
              </w:rPr>
              <w:t>财务状况证明；</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ascii="宋体" w:hAnsi="宋体" w:hint="eastAsia"/>
                <w:sz w:val="18"/>
                <w:szCs w:val="18"/>
              </w:rPr>
              <w:t>⑥</w:t>
            </w:r>
            <w:r>
              <w:rPr>
                <w:rFonts w:ascii="宋体" w:hAnsi="宋体" w:hint="eastAsia"/>
                <w:sz w:val="18"/>
                <w:szCs w:val="18"/>
              </w:rPr>
              <w:t>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气象专用技术装备使用许可证》（如本次采购内容不包括货物，或者投标货物不必须取得《气象专用技术装备使用许可证》的，可以不提供）；</w:t>
            </w:r>
            <w:r>
              <w:rPr>
                <w:rFonts w:ascii="宋体" w:hAnsi="宋体" w:hint="eastAsia"/>
                <w:bCs/>
                <w:sz w:val="18"/>
                <w:szCs w:val="18"/>
              </w:rPr>
              <w:t>⑧</w:t>
            </w:r>
            <w:r>
              <w:rPr>
                <w:rFonts w:ascii="宋体" w:hAnsi="宋体" w:hint="eastAsia"/>
                <w:bCs/>
                <w:sz w:val="18"/>
                <w:szCs w:val="18"/>
              </w:rPr>
              <w:t>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w:t>
            </w:r>
            <w:r>
              <w:rPr>
                <w:rFonts w:ascii="宋体" w:hAnsi="宋体" w:hint="eastAsia"/>
                <w:sz w:val="18"/>
                <w:szCs w:val="18"/>
              </w:rPr>
              <w:t>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投标文件的盖章、签字等签署要求见1.2.9条。其中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国家气象信息中心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短临数据处理及业务运维软件升级建设项目-面向短临的数据处理及管理软件升级建设项目</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ZQCD-26113</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合同签订后12个月内完成开发、部署和试运行，并具备验收条件</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国家气象信息中心</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2026年06月25日 00:00:00</w:t>
      </w:r>
      <w:bookmarkEnd w:id="27"/>
      <w:r>
        <w:rPr>
          <w:rFonts w:ascii="宋体" w:hint="eastAsia"/>
          <w:szCs w:val="21"/>
          <w:highlight w:val="none"/>
        </w:rPr>
        <w:t>至</w:t>
      </w:r>
      <w:bookmarkStart w:id="28" w:name="项目公告_signUpLastTime"/>
      <w:r>
        <w:rPr>
          <w:rFonts w:ascii="宋体" w:hint="eastAsia"/>
          <w:szCs w:val="21"/>
          <w:highlight w:val="none"/>
        </w:rPr>
        <w:t>2026年07月02日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2026年07月16日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王妍</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010-68406642</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国家气象信息中心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韩鑫强</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010-68400262</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国家气象信息中心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8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5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 短临数据处理及业务运维软件升级建设项目-面向短临的数据处理及管理软件升级建设   ，属于  软件和信息技术服务 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是，代理服务费：6.0万元。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792.760000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792.760000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根据本项目实际情况，招标文件1.27.3第1项至第3项启动异常低价投标审查的数值标准为65%。</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(6)</w:t>
            </w:r>
          </w:p>
        </w:tc>
        <w:tc>
          <w:tcPr/>
          <w:p>
            <w:r>
              <w:t>评审标准：</w:t>
            </w:r>
          </w:p>
          <w:p>
            <w:r>
              <w:t>1、投标人具有ISO9000系列或GJB9001质量管理体系认证；</w:t>
              <w:cr/>
              <w:t>2、投标人具有ISO20000信息技术服务管理体系认证；</w:t>
              <w:cr/>
              <w:t>3、投标人具有ISO27001信息安全管理体系认证；</w:t>
              <w:cr/>
              <w:t>以上每有一个证书得2分，满分6分。否则不得分。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(6)</w:t>
            </w:r>
          </w:p>
        </w:tc>
        <w:tc>
          <w:tcPr/>
          <w:p>
            <w:r>
              <w:t>评审标准：</w:t>
            </w:r>
          </w:p>
          <w:p>
            <w:r>
              <w:t>每提供1份合同得2分，最多得6分。否则不得分。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6、所有复印件应清晰，不得有任何涂改、遮挡。</w:t>
              <w:cr/>
              <w:t>提供的材料不符合以上1-6要求的无效。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(6)</w:t>
            </w:r>
          </w:p>
        </w:tc>
        <w:tc>
          <w:tcPr/>
          <w:p>
            <w:r>
              <w:t>评审标准：</w:t>
            </w:r>
          </w:p>
          <w:p>
            <w:r>
              <w:t>每提供1份软件著作权证书得2分，最多得 6分。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(15)</w:t>
            </w:r>
          </w:p>
        </w:tc>
        <w:tc>
          <w:tcPr/>
          <w:p>
            <w:r>
              <w:t>评审标准：</w:t>
            </w:r>
          </w:p>
          <w:p>
            <w:r>
              <w:t>投标人应组成本项目开发服务团队，团队组织结构清晰，应设服务团队负责人（项目经理）、技术负责人，前端开发工程师，人员专业背景齐全。具体如下：</w:t>
              <w:cr/>
              <w:t>1、团队人数至少8人，其中驻场人员至少5人，其中至少3人具有至少 2 年以上信息软件类软件开发的经验。完全满足得3分，否则不得分。</w:t>
              <w:cr/>
              <w:t>2、团队负责人（项目经理）应有计算机软件专业背景和信息系统项目管理师（高级）证书，且有同类项目工作经验3年以上。完全满足得3分，否则不得分；</w:t>
              <w:cr/>
              <w:t>3、技术负责人3年以上相关项目软件设计/开发/集成经验。完全满足3分，否则不得分。</w:t>
              <w:cr/>
              <w:t>4、前端开发工程师具有2年以上相关项目软件设计经验。完全满足得3分，否则不得分。</w:t>
              <w:cr/>
              <w:t>5、除上述人员外，团队其他成员每有1人具有计算机软件专业背景且至少有2年以上同类项目开发经历得1分，最高得3分。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12</w:t>
            </w:r>
          </w:p>
        </w:tc>
        <w:tc>
          <w:tcPr>
            <w:vMerge/>
          </w:tcPr>
          <w:p>
            <w:r>
              <w:t>技术部分</w:t>
            </w:r>
          </w:p>
        </w:tc>
        <w:tc>
          <w:tcPr/>
          <w:p>
            <w:r>
              <w:t>软件功能开发需求分析（主观分）</w:t>
            </w:r>
          </w:p>
        </w:tc>
        <w:tc>
          <w:tcPr/>
          <w:p>
            <w:r>
              <w:t>勾选打分</w:t>
            </w:r>
            <w:r>
              <w:t>(1)</w:t>
            </w:r>
          </w:p>
        </w:tc>
        <w:tc>
          <w:tcPr/>
          <w:p>
            <w:r>
              <w:t>评审标准：</w:t>
            </w:r>
          </w:p>
          <w:p>
            <w:r>
              <w:t>一档0分</w:t>
              <w:cr/>
              <w:t>二档0.25分</w:t>
              <w:cr/>
              <w:t>三档0.5分</w:t>
              <w:cr/>
              <w:t>四档1分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13</w:t>
            </w:r>
          </w:p>
        </w:tc>
        <w:tc>
          <w:tcPr>
            <w:vMerge/>
          </w:tcPr>
          <w:p>
            <w:r>
              <w:t>技术部分</w:t>
            </w:r>
          </w:p>
        </w:tc>
        <w:tc>
          <w:tcPr/>
          <w:p>
            <w:r>
              <w:t>软件非功能需求分析（主观分）</w:t>
            </w:r>
          </w:p>
        </w:tc>
        <w:tc>
          <w:tcPr/>
          <w:p>
            <w:r>
              <w:t>勾选打分</w:t>
            </w:r>
            <w:r>
              <w:t>(1)</w:t>
            </w:r>
          </w:p>
        </w:tc>
        <w:tc>
          <w:tcPr/>
          <w:p>
            <w:r>
              <w:t>评审标准：</w:t>
            </w:r>
          </w:p>
          <w:p>
            <w:r>
              <w:t>一档0分</w:t>
              <w:cr/>
              <w:t>二档0.25分</w:t>
              <w:cr/>
              <w:t>三档0.5分</w:t>
              <w:cr/>
              <w:t>四档1分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14</w:t>
            </w:r>
          </w:p>
        </w:tc>
        <w:tc>
          <w:tcPr>
            <w:vMerge/>
          </w:tcPr>
          <w:p>
            <w:r>
              <w:t>技术部分</w:t>
            </w:r>
          </w:p>
        </w:tc>
        <w:tc>
          <w:tcPr/>
          <w:p>
            <w:r>
              <w:t>软件数据需求分析（主观分）</w:t>
            </w:r>
          </w:p>
        </w:tc>
        <w:tc>
          <w:tcPr/>
          <w:p>
            <w:r>
              <w:t>勾选打分</w:t>
            </w:r>
            <w:r>
              <w:t>(1)</w:t>
            </w:r>
          </w:p>
        </w:tc>
        <w:tc>
          <w:tcPr/>
          <w:p>
            <w:r>
              <w:t>评审标准：</w:t>
            </w:r>
          </w:p>
          <w:p>
            <w:r>
              <w:t>一档0分</w:t>
              <w:cr/>
              <w:t>二档0.25分</w:t>
              <w:cr/>
              <w:t>三档0.5分</w:t>
              <w:cr/>
              <w:t>四档1分</w:t>
            </w:r>
          </w:p>
          <w:p>
            <w:r>
              <w:t>评审标准说明：</w:t>
            </w:r>
          </w:p>
          <w:p>
            <w:r>
              <w:t>提供数据需求分析内容，具体评分标准如下：</w:t>
              <w:cr/>
              <w:t>一档：无数据需求分析。</w:t>
              <w:cr/>
              <w:t>二档：数据需求分析覆盖不全面或分析欠合理。</w:t>
              <w:cr/>
              <w:t>三档：数据需求分析覆盖较全面、合理，但分析简单、不充分。</w:t>
              <w:cr/>
              <w:t>四档：数据需求分析涵盖全面、合理、详细、充分，完全覆盖招标文件要求。</w:t>
            </w:r>
          </w:p>
          <w:p/>
        </w:tc>
      </w:tr>
      <w:tr>
        <w:tblPrEx>
          <w:tblW w:w="5000" w:type="pct"/>
          <w:tblCellMar>
            <w:left w:w="108" w:type="dxa"/>
            <w:right w:w="108" w:type="dxa"/>
          </w:tblCellMar>
        </w:tblPrEx>
        <w:tc>
          <w:tcPr/>
          <w:p>
            <w:r>
              <w:t>15</w:t>
            </w:r>
          </w:p>
        </w:tc>
        <w:tc>
          <w:tcPr>
            <w:vMerge/>
          </w:tcPr>
          <w:p>
            <w:r>
              <w:t>技术部分</w:t>
            </w:r>
          </w:p>
        </w:tc>
        <w:tc>
          <w:tcPr/>
          <w:p>
            <w:r>
              <w:t>软件接口需求分析（主观分）</w:t>
            </w:r>
          </w:p>
        </w:tc>
        <w:tc>
          <w:tcPr/>
          <w:p>
            <w:r>
              <w:t>勾选打分</w:t>
            </w:r>
            <w:r>
              <w:t>(1)</w:t>
            </w:r>
          </w:p>
        </w:tc>
        <w:tc>
          <w:tcPr/>
          <w:p>
            <w:r>
              <w:t>评审标准：</w:t>
            </w:r>
          </w:p>
          <w:p>
            <w:r>
              <w:t>一档0分</w:t>
              <w:cr/>
              <w:t>二档0.25分</w:t>
              <w:cr/>
              <w:t>三档0.5分</w:t>
              <w:cr/>
              <w:t>四档1分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16</w:t>
            </w:r>
          </w:p>
        </w:tc>
        <w:tc>
          <w:tcPr>
            <w:vMerge/>
          </w:tcPr>
          <w:p>
            <w:r>
              <w:t>技术部分</w:t>
            </w:r>
          </w:p>
        </w:tc>
        <w:tc>
          <w:tcPr/>
          <w:p>
            <w:r>
              <w:t>软件关键技术识别（主观分）</w:t>
            </w:r>
          </w:p>
        </w:tc>
        <w:tc>
          <w:tcPr/>
          <w:p>
            <w:r>
              <w:t>勾选打分</w:t>
            </w:r>
            <w:r>
              <w:t>(2)</w:t>
            </w:r>
          </w:p>
        </w:tc>
        <w:tc>
          <w:tcPr/>
          <w:p>
            <w:r>
              <w:t>评审标准：</w:t>
            </w:r>
          </w:p>
          <w:p>
            <w:r>
              <w:t>一档0分</w:t>
              <w:cr/>
              <w:t>二档0.5分</w:t>
              <w:cr/>
              <w:t>三档1分</w:t>
              <w:cr/>
              <w:t>四档2分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17</w:t>
            </w:r>
          </w:p>
        </w:tc>
        <w:tc>
          <w:tcPr>
            <w:vMerge/>
          </w:tcPr>
          <w:p>
            <w:r>
              <w:t>技术部分</w:t>
            </w:r>
          </w:p>
        </w:tc>
        <w:tc>
          <w:tcPr/>
          <w:p>
            <w:r>
              <w:t>系统整体架构技术方案（主观分）</w:t>
            </w:r>
          </w:p>
        </w:tc>
        <w:tc>
          <w:tcPr/>
          <w:p>
            <w:r>
              <w:t>勾选打分</w:t>
            </w:r>
            <w:r>
              <w:t>(2)</w:t>
            </w:r>
          </w:p>
        </w:tc>
        <w:tc>
          <w:tcPr/>
          <w:p>
            <w:r>
              <w:t>评审标准：</w:t>
            </w:r>
          </w:p>
          <w:p>
            <w:r>
              <w:t>一档0分</w:t>
              <w:cr/>
              <w:t>二档0.5分</w:t>
              <w:cr/>
              <w:t>三档1分</w:t>
              <w:cr/>
              <w:t>四档2分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18</w:t>
            </w:r>
          </w:p>
        </w:tc>
        <w:tc>
          <w:tcPr>
            <w:vMerge/>
          </w:tcPr>
          <w:p>
            <w:r>
              <w:t>技术部分</w:t>
            </w:r>
          </w:p>
        </w:tc>
        <w:tc>
          <w:tcPr/>
          <w:p>
            <w:r>
              <w:t>系统接口设计技术方案（主观分）</w:t>
            </w:r>
          </w:p>
        </w:tc>
        <w:tc>
          <w:tcPr/>
          <w:p>
            <w:r>
              <w:t>勾选打分</w:t>
            </w:r>
            <w:r>
              <w:t>(2)</w:t>
            </w:r>
          </w:p>
        </w:tc>
        <w:tc>
          <w:tcPr/>
          <w:p>
            <w:r>
              <w:t>评审标准：</w:t>
            </w:r>
          </w:p>
          <w:p>
            <w:r>
              <w:t>一档0分</w:t>
              <w:cr/>
              <w:t>二档0.5分</w:t>
              <w:cr/>
              <w:t>三档1分</w:t>
              <w:cr/>
              <w:t>四档2分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19</w:t>
            </w:r>
          </w:p>
        </w:tc>
        <w:tc>
          <w:tcPr>
            <w:vMerge/>
          </w:tcPr>
          <w:p>
            <w:r>
              <w:t>技术部分</w:t>
            </w:r>
          </w:p>
        </w:tc>
        <w:tc>
          <w:tcPr/>
          <w:p>
            <w:r>
              <w:t>模块设计技术方案（主观分）</w:t>
            </w:r>
          </w:p>
        </w:tc>
        <w:tc>
          <w:tcPr/>
          <w:p>
            <w:r>
              <w:t>区间打分</w:t>
            </w:r>
            <w:r>
              <w:t>(24)</w:t>
            </w:r>
          </w:p>
        </w:tc>
        <w:tc>
          <w:tcPr/>
          <w:p>
            <w:r>
              <w:t>评审标准：</w:t>
            </w:r>
          </w:p>
          <w:p>
            <w:r>
              <w:t>提交如下模块技术方案：</w:t>
              <w:cr/>
              <w:t>1、数据接入处理子系统：包括互联网区数据接入、短临观测数据实时收集和国省数据共享等设计方案和功能设计。</w:t>
              <w:cr/>
              <w:t>2、数据处理子系统：包括升级数据解码框架、数据分块加速处理、数据可视化渲染预处理、数据可视化多投影转换处理等设计方案和功能设计。</w:t>
              <w:cr/>
              <w:t>3、数据空间化处理子系统：包括空间元数据体系构建等设计方案和功能设计。</w:t>
              <w:cr/>
              <w:t>4、短临业务备份能力提升子系统：包括升级备份支撑能力、切换支撑能力等设计方案和功能设计。</w:t>
              <w:cr/>
              <w:t>以上每个模块</w:t>
              <w:cr/>
              <w:t>一档0分</w:t>
              <w:cr/>
              <w:t>二档1分</w:t>
              <w:cr/>
              <w:t>三档3分</w:t>
              <w:cr/>
              <w:t>四档6分</w:t>
              <w:cr/>
              <w:t>以上共计4个模块，满分24分</w:t>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20</w:t>
            </w:r>
          </w:p>
        </w:tc>
        <w:tc>
          <w:tcPr>
            <w:vMerge/>
          </w:tcPr>
          <w:p>
            <w:r>
              <w:t>技术部分</w:t>
            </w:r>
          </w:p>
        </w:tc>
        <w:tc>
          <w:tcPr/>
          <w:p>
            <w:r>
              <w:t>项目需求理解（主观分）</w:t>
            </w:r>
          </w:p>
        </w:tc>
        <w:tc>
          <w:tcPr/>
          <w:p>
            <w:r>
              <w:t>勾选打分</w:t>
            </w:r>
            <w:r>
              <w:t>(1)</w:t>
            </w:r>
          </w:p>
        </w:tc>
        <w:tc>
          <w:tcPr/>
          <w:p>
            <w:r>
              <w:t>评审标准：</w:t>
            </w:r>
          </w:p>
          <w:p>
            <w:r>
              <w:t>一档0分</w:t>
              <w:cr/>
              <w:t>二档0.25分</w:t>
              <w:cr/>
              <w:t>三档0.5分</w:t>
              <w:cr/>
              <w:t>四档1分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21</w:t>
            </w:r>
          </w:p>
        </w:tc>
        <w:tc>
          <w:tcPr>
            <w:vMerge/>
          </w:tcPr>
          <w:p>
            <w:r>
              <w:t>技术部分</w:t>
            </w:r>
          </w:p>
        </w:tc>
        <w:tc>
          <w:tcPr/>
          <w:p>
            <w:r>
              <w:t>针对本项目的合理化建议（主观分）</w:t>
            </w:r>
          </w:p>
        </w:tc>
        <w:tc>
          <w:tcPr/>
          <w:p>
            <w:r>
              <w:t>勾选打分</w:t>
            </w:r>
            <w:r>
              <w:t>(1)</w:t>
            </w:r>
          </w:p>
        </w:tc>
        <w:tc>
          <w:tcPr/>
          <w:p>
            <w:r>
              <w:t>评审标准：</w:t>
            </w:r>
          </w:p>
          <w:p>
            <w:r>
              <w:t>每提供一条合理化建议得0.5分，满分1分。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22</w:t>
            </w:r>
          </w:p>
        </w:tc>
        <w:tc>
          <w:tcPr>
            <w:vMerge/>
          </w:tcPr>
          <w:p>
            <w:r>
              <w:t>技术部分</w:t>
            </w:r>
          </w:p>
        </w:tc>
        <w:tc>
          <w:tcPr/>
          <w:p>
            <w:r>
              <w:t>风险管理方案（主观分）</w:t>
            </w:r>
          </w:p>
        </w:tc>
        <w:tc>
          <w:tcPr/>
          <w:p>
            <w:r>
              <w:t>勾选打分</w:t>
            </w:r>
            <w:r>
              <w:t>(1)</w:t>
            </w:r>
          </w:p>
        </w:tc>
        <w:tc>
          <w:tcPr/>
          <w:p>
            <w:r>
              <w:t>评审标准：</w:t>
            </w:r>
          </w:p>
          <w:p>
            <w:r>
              <w:t>一档0分</w:t>
              <w:cr/>
              <w:t>二档0.25分</w:t>
              <w:cr/>
              <w:t>三档0.5分</w:t>
              <w:cr/>
              <w:t>四档1分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9"/>
    </w:p>
    <w:p>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pPr>
        <w:jc w:val="left"/>
        <w:rPr>
          <w:b/>
          <w:szCs w:val="21"/>
        </w:rPr>
      </w:pPr>
    </w:p>
    <w:p>
      <w:pPr>
        <w:pStyle w:val="Heading1"/>
        <w:keepNext/>
        <w:keepLines/>
        <w:widowControl w:val="0"/>
        <w:numPr>
          <w:ilvl w:val="0"/>
          <w:numId w:val="4"/>
        </w:numPr>
        <w:spacing w:line="560" w:lineRule="exact"/>
        <w:ind w:left="431" w:hanging="431"/>
        <w:jc w:val="both"/>
        <w:rPr>
          <w:highlight w:val="none"/>
        </w:rPr>
      </w:pPr>
      <w:bookmarkStart w:id="61" w:name="_Toc20384"/>
      <w:bookmarkStart w:id="62" w:name="_Toc14149"/>
      <w:bookmarkStart w:id="63" w:name="_Toc2112"/>
      <w:bookmarkStart w:id="64" w:name="_Toc1728720482"/>
      <w:bookmarkStart w:id="65" w:name="_Toc11345"/>
      <w:bookmarkStart w:id="66" w:name="_Toc26318"/>
      <w:r>
        <w:rPr>
          <w:rFonts w:hint="eastAsia"/>
          <w:highlight w:val="none"/>
        </w:rPr>
        <w:t>项目背景</w:t>
      </w:r>
      <w:bookmarkEnd w:id="61"/>
      <w:bookmarkEnd w:id="62"/>
      <w:bookmarkEnd w:id="63"/>
      <w:bookmarkEnd w:id="64"/>
      <w:bookmarkEnd w:id="65"/>
      <w:bookmarkEnd w:id="66"/>
    </w:p>
    <w:p>
      <w:pPr>
        <w:spacing w:line="572" w:lineRule="exact"/>
        <w:ind w:firstLine="420" w:firstLineChars="200"/>
        <w:rPr>
          <w:rFonts w:ascii="Times New Roman" w:eastAsia="宋体" w:hAnsi="Times New Roman" w:cs="Times New Roman" w:hint="eastAsia"/>
          <w:szCs w:val="32"/>
        </w:rPr>
      </w:pPr>
      <w:bookmarkStart w:id="67" w:name="_Toc19363"/>
      <w:bookmarkStart w:id="68" w:name="_Toc1298880711"/>
      <w:r>
        <w:rPr>
          <w:rFonts w:ascii="Times New Roman" w:eastAsia="宋体" w:hAnsi="Times New Roman" w:cs="Times New Roman" w:hint="eastAsia"/>
          <w:szCs w:val="32"/>
        </w:rPr>
        <w:t>“十四五”期间在我国“三区四带”重点生态功能区，建设以27个国家气候观象台、70个国家级农业气象试验站和653个国家级农业气象观测站为核心的生态气象综合立体观测系统，各省应对灾害性天气建设的暴雨站也规模性增加。</w:t>
      </w:r>
      <w:r>
        <w:rPr>
          <w:rFonts w:cs="仿宋_GB2312"/>
          <w:szCs w:val="32"/>
        </w:rPr>
        <w:t>依托气象信息化系统等项目</w:t>
      </w:r>
      <w:r>
        <w:rPr>
          <w:rFonts w:cs="仿宋_GB2312" w:hint="eastAsia"/>
          <w:szCs w:val="32"/>
          <w:lang w:val="en-US" w:eastAsia="zh-CN"/>
        </w:rPr>
        <w:t>建成气象大数据云平台，为短</w:t>
      </w:r>
      <w:r>
        <w:rPr>
          <w:rFonts w:ascii="Times New Roman" w:eastAsia="宋体" w:hAnsi="Times New Roman" w:cs="Times New Roman" w:hint="eastAsia"/>
          <w:szCs w:val="32"/>
          <w:lang w:val="en-US" w:eastAsia="zh-CN"/>
        </w:rPr>
        <w:t>时临近预报业务发展提供了良好的信息基础环境支撑。但</w:t>
      </w:r>
      <w:r>
        <w:rPr>
          <w:rFonts w:ascii="Times New Roman" w:eastAsia="宋体" w:hAnsi="Times New Roman" w:cs="Times New Roman" w:hint="eastAsia"/>
          <w:szCs w:val="32"/>
        </w:rPr>
        <w:t>随着近年来</w:t>
      </w:r>
      <w:r>
        <w:rPr>
          <w:rFonts w:ascii="Times New Roman" w:eastAsia="宋体" w:hAnsi="Times New Roman" w:cs="Times New Roman" w:hint="eastAsia"/>
          <w:szCs w:val="32"/>
          <w:lang w:val="en-US" w:eastAsia="zh-CN"/>
        </w:rPr>
        <w:t>观测</w:t>
      </w:r>
      <w:r>
        <w:rPr>
          <w:rFonts w:ascii="Times New Roman" w:eastAsia="宋体" w:hAnsi="Times New Roman" w:cs="Times New Roman" w:hint="eastAsia"/>
          <w:szCs w:val="32"/>
        </w:rPr>
        <w:t>数据激增，</w:t>
      </w:r>
      <w:r>
        <w:rPr>
          <w:rFonts w:ascii="Times New Roman" w:eastAsia="宋体" w:hAnsi="Times New Roman" w:cs="Times New Roman" w:hint="eastAsia"/>
          <w:szCs w:val="32"/>
          <w:lang w:val="en-US" w:eastAsia="zh-CN"/>
        </w:rPr>
        <w:t>短临预报业务</w:t>
      </w:r>
      <w:r>
        <w:rPr>
          <w:rFonts w:cs="仿宋_GB2312"/>
          <w:szCs w:val="32"/>
        </w:rPr>
        <w:t>在数据接入处理、数据解码处理、数据空间化处理</w:t>
      </w:r>
      <w:r>
        <w:rPr>
          <w:rFonts w:cs="仿宋_GB2312" w:hint="eastAsia"/>
          <w:szCs w:val="32"/>
        </w:rPr>
        <w:t>、</w:t>
      </w:r>
      <w:r>
        <w:rPr>
          <w:rFonts w:ascii="仿宋_GB2312" w:hAnsi="仿宋_GB2312" w:cs="仿宋_GB2312" w:hint="eastAsia"/>
          <w:szCs w:val="32"/>
        </w:rPr>
        <w:t>业务备份</w:t>
      </w:r>
      <w:r>
        <w:rPr>
          <w:rFonts w:cs="仿宋_GB2312"/>
          <w:szCs w:val="32"/>
        </w:rPr>
        <w:t>等</w:t>
      </w:r>
      <w:r>
        <w:rPr>
          <w:rFonts w:ascii="Times New Roman" w:eastAsia="宋体" w:hAnsi="Times New Roman" w:cs="Times New Roman" w:hint="eastAsia"/>
          <w:szCs w:val="32"/>
          <w:lang w:val="en-US" w:eastAsia="zh-CN"/>
        </w:rPr>
        <w:t>环节仍面临诸多瓶颈。</w:t>
      </w:r>
      <w:r>
        <w:rPr>
          <w:rFonts w:ascii="Times New Roman" w:eastAsia="宋体" w:hAnsi="Times New Roman" w:cs="Times New Roman" w:hint="eastAsia"/>
          <w:szCs w:val="32"/>
        </w:rPr>
        <w:t>气象数据通信</w:t>
      </w:r>
      <w:r>
        <w:rPr>
          <w:rFonts w:ascii="Times New Roman" w:eastAsia="宋体" w:hAnsi="Times New Roman" w:cs="Times New Roman" w:hint="eastAsia"/>
          <w:szCs w:val="32"/>
          <w:lang w:val="en-US" w:eastAsia="zh-CN"/>
        </w:rPr>
        <w:t>目前</w:t>
      </w:r>
      <w:r>
        <w:rPr>
          <w:rFonts w:ascii="Times New Roman" w:eastAsia="宋体" w:hAnsi="Times New Roman" w:cs="Times New Roman" w:hint="eastAsia"/>
          <w:szCs w:val="32"/>
        </w:rPr>
        <w:t>承载的业务量已接近系统上限，难以支撑新增的海量数据</w:t>
      </w:r>
      <w:r>
        <w:rPr>
          <w:rFonts w:ascii="Times New Roman" w:eastAsia="宋体" w:hAnsi="Times New Roman" w:cs="Times New Roman" w:hint="eastAsia"/>
          <w:szCs w:val="32"/>
          <w:lang w:val="en-US" w:eastAsia="zh-CN"/>
        </w:rPr>
        <w:t>汇聚与共享</w:t>
      </w:r>
      <w:r>
        <w:rPr>
          <w:rFonts w:ascii="Times New Roman" w:eastAsia="宋体" w:hAnsi="Times New Roman" w:cs="Times New Roman" w:hint="eastAsia"/>
          <w:szCs w:val="32"/>
          <w:lang w:eastAsia="zh-CN"/>
        </w:rPr>
        <w:t>，</w:t>
      </w:r>
      <w:r>
        <w:rPr>
          <w:rFonts w:ascii="Times New Roman" w:eastAsia="宋体" w:hAnsi="Times New Roman" w:cs="Times New Roman" w:hint="eastAsia"/>
          <w:szCs w:val="32"/>
        </w:rPr>
        <w:t>数据解码处理</w:t>
      </w:r>
      <w:r>
        <w:rPr>
          <w:rFonts w:ascii="Times New Roman" w:eastAsia="宋体" w:hAnsi="Times New Roman" w:cs="Times New Roman" w:hint="eastAsia"/>
          <w:szCs w:val="32"/>
          <w:lang w:val="en-US" w:eastAsia="zh-CN"/>
        </w:rPr>
        <w:t>面向短临业务的解码加工处理算法仍有空白，高时空分辨率</w:t>
      </w:r>
      <w:r>
        <w:rPr>
          <w:rFonts w:ascii="Times New Roman" w:eastAsia="宋体" w:hAnsi="Times New Roman" w:cs="Times New Roman" w:hint="eastAsia"/>
          <w:szCs w:val="32"/>
        </w:rPr>
        <w:t>气象资料</w:t>
      </w:r>
      <w:r>
        <w:rPr>
          <w:rFonts w:ascii="Times New Roman" w:eastAsia="宋体" w:hAnsi="Times New Roman" w:cs="Times New Roman" w:hint="eastAsia"/>
          <w:szCs w:val="32"/>
          <w:lang w:eastAsia="zh-CN"/>
        </w:rPr>
        <w:t>在</w:t>
      </w:r>
      <w:r>
        <w:rPr>
          <w:rFonts w:ascii="Times New Roman" w:eastAsia="宋体" w:hAnsi="Times New Roman" w:cs="Times New Roman" w:hint="eastAsia"/>
          <w:szCs w:val="32"/>
        </w:rPr>
        <w:t>快速空间化处理</w:t>
      </w:r>
      <w:r>
        <w:rPr>
          <w:rFonts w:ascii="Times New Roman" w:eastAsia="宋体" w:hAnsi="Times New Roman" w:cs="Times New Roman" w:hint="eastAsia"/>
          <w:szCs w:val="32"/>
          <w:lang w:val="en-US" w:eastAsia="zh-CN"/>
        </w:rPr>
        <w:t>方面能力不足，应急</w:t>
      </w:r>
      <w:r>
        <w:rPr>
          <w:rFonts w:ascii="Times New Roman" w:eastAsia="宋体" w:hAnsi="Times New Roman" w:cs="Times New Roman" w:hint="eastAsia"/>
          <w:szCs w:val="32"/>
        </w:rPr>
        <w:t>备份能力无法满足短临业务新增数据对应急切换的高时效要求</w:t>
      </w:r>
      <w:r>
        <w:rPr>
          <w:rFonts w:ascii="Times New Roman" w:eastAsia="宋体" w:hAnsi="Times New Roman" w:cs="Times New Roman" w:hint="eastAsia"/>
          <w:szCs w:val="32"/>
          <w:lang w:eastAsia="zh-CN"/>
        </w:rPr>
        <w:t>。</w:t>
      </w:r>
    </w:p>
    <w:p>
      <w:pPr>
        <w:spacing w:line="572" w:lineRule="exact"/>
        <w:ind w:firstLine="420" w:firstLineChars="200"/>
        <w:rPr>
          <w:rFonts w:ascii="仿宋_GB2312" w:hAnsi="仿宋_GB2312" w:cs="仿宋_GB2312" w:hint="eastAsia"/>
          <w:color w:val="000000"/>
          <w:szCs w:val="32"/>
          <w:highlight w:val="none"/>
        </w:rPr>
      </w:pPr>
      <w:r>
        <w:rPr>
          <w:rFonts w:ascii="Times New Roman" w:eastAsia="宋体" w:hAnsi="Times New Roman" w:cs="Times New Roman" w:hint="eastAsia"/>
          <w:szCs w:val="32"/>
          <w:lang w:val="en-US" w:eastAsia="zh-CN"/>
        </w:rPr>
        <w:t>在《极端灾害性天气短临预警能力提升建设规划（2025-2027年）》等规划中也明确提及，要扩展国家级和极端灾害性天气易发区气象大数据云平台，支撑新增观测数据收集汇聚、新增预报服务产品分发共享，强化短临预报预警业务的气象大数据管理和服务支撑能力。因此加强短临数据处理及业务备份能力，是提升短临预警能力和短临服务能力的必然选择。</w:t>
      </w:r>
    </w:p>
    <w:p>
      <w:pPr>
        <w:pStyle w:val="Heading1"/>
        <w:keepNext/>
        <w:keepLines/>
        <w:widowControl w:val="0"/>
        <w:numPr>
          <w:ilvl w:val="0"/>
          <w:numId w:val="4"/>
        </w:numPr>
        <w:spacing w:line="560" w:lineRule="exact"/>
        <w:ind w:left="431" w:hanging="431"/>
        <w:jc w:val="both"/>
        <w:rPr>
          <w:rFonts w:hint="eastAsia"/>
          <w:highlight w:val="none"/>
        </w:rPr>
      </w:pPr>
      <w:bookmarkStart w:id="69" w:name="_Toc3616"/>
      <w:bookmarkStart w:id="70" w:name="_Toc20671"/>
      <w:bookmarkStart w:id="71" w:name="_Toc28276"/>
      <w:bookmarkStart w:id="72" w:name="_Toc14291"/>
      <w:r>
        <w:rPr>
          <w:rFonts w:hint="eastAsia"/>
          <w:highlight w:val="none"/>
        </w:rPr>
        <w:t>建设目标与内容</w:t>
      </w:r>
      <w:bookmarkEnd w:id="67"/>
      <w:bookmarkEnd w:id="68"/>
      <w:bookmarkEnd w:id="69"/>
      <w:bookmarkEnd w:id="70"/>
      <w:bookmarkEnd w:id="71"/>
      <w:bookmarkEnd w:id="72"/>
    </w:p>
    <w:p>
      <w:pPr>
        <w:spacing w:line="572" w:lineRule="exact"/>
        <w:ind w:firstLine="420" w:firstLineChars="200"/>
        <w:rPr>
          <w:rFonts w:eastAsia="宋体" w:hint="eastAsia"/>
          <w:szCs w:val="32"/>
        </w:rPr>
      </w:pPr>
      <w:r>
        <w:rPr>
          <w:rFonts w:ascii="仿宋_GB2312" w:hAnsi="仿宋_GB2312" w:cs="仿宋_GB2312" w:hint="eastAsia"/>
          <w:color w:val="000000"/>
          <w:szCs w:val="32"/>
          <w:highlight w:val="none"/>
          <w:lang w:val="en-US" w:eastAsia="zh-CN"/>
        </w:rPr>
        <w:t>通过本项目建设，</w:t>
      </w:r>
      <w:r>
        <w:rPr>
          <w:rFonts w:hint="eastAsia"/>
          <w:szCs w:val="32"/>
        </w:rPr>
        <w:t>升级气象数据接入处理能力、提升数据解码处理和空间化处理能力，建立短临业务自动备份及应急切换流程</w:t>
      </w:r>
      <w:r>
        <w:rPr>
          <w:rFonts w:hint="eastAsia"/>
          <w:szCs w:val="32"/>
          <w:lang w:eastAsia="zh-CN"/>
        </w:rPr>
        <w:t>，具体包括以下目标和内容。</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hint="eastAsia"/>
          <w:szCs w:val="32"/>
        </w:rPr>
      </w:pPr>
      <w:r>
        <w:rPr>
          <w:rFonts w:hint="eastAsia"/>
          <w:szCs w:val="32"/>
        </w:rPr>
        <w:t>面向短临观测、预报预警业务发展新需求，提升数据接入处理能力，包括：建设短临业务互联网数据接入处理功能，支持多种协议互联网数据接入处理；升级短临业务数据接入处理服务功能，扩展数据接入范围,支持传输资源弹性扩展，优化数据处理流程，提升任务调度的效率，实现大容量大频次数据传输；升级短临业务数据国省共享处理功能，通过建设高并发、分布式消息集群，构建省级用户基于消息订阅/发布技术的数据主动发现机制</w:t>
      </w:r>
      <w:r>
        <w:rPr>
          <w:rFonts w:hint="eastAsia"/>
          <w:szCs w:val="32"/>
          <w:lang w:eastAsia="zh-CN"/>
        </w:rPr>
        <w:t>。</w:t>
      </w:r>
    </w:p>
    <w:p>
      <w:pPr>
        <w:spacing w:line="572" w:lineRule="exact"/>
        <w:ind w:firstLine="420" w:firstLineChars="200"/>
        <w:contextualSpacing/>
        <w:rPr>
          <w:szCs w:val="32"/>
        </w:rPr>
      </w:pPr>
      <w:r>
        <w:rPr>
          <w:rFonts w:hint="eastAsia"/>
          <w:szCs w:val="32"/>
        </w:rPr>
        <w:t>面向短临预报预警业务数据解码处理入库的需求，升级数据处理框架，增强TXT、JSON、BUFR等多格式业务数据处理能力；开发新的数据解码算法，丰富“天擎”数据种类；提升雷达卫星模式数据的处理速度，解决短临业务数据时效性的问题。提升短临预报预警业务中数据的前端快速可视化能力，确保在短时间内高效展示短临业务数据，并且支持前端快速的数据交互，以支撑短临场景下的快速决策、快速服务。开发短临数据格式制定、数据编码、可视化展示等系列数据问题分析发现工具，提升关键区域关键时段短临数据问题跟踪发现能力。建设数据处理运行配置管理，有效发现和应对因网络、硬件等问题导致的数据差异问题，提升短临数据的稳定性。</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hint="eastAsia"/>
          <w:szCs w:val="32"/>
        </w:rPr>
      </w:pPr>
      <w:r>
        <w:rPr>
          <w:rFonts w:hint="eastAsia"/>
          <w:szCs w:val="32"/>
        </w:rPr>
        <w:t>提升气象数据的空间化效率、处理精度和空间覆盖能力，实现精细化、实时化的气象预报与服务。面向短临预警业务，提升地理信息及可视化服务。</w:t>
      </w:r>
    </w:p>
    <w:p>
      <w:pPr>
        <w:spacing w:line="572" w:lineRule="exact"/>
        <w:ind w:firstLine="420" w:firstLineChars="200"/>
        <w:contextualSpacing/>
        <w:rPr>
          <w:szCs w:val="32"/>
        </w:rPr>
      </w:pPr>
      <w:r>
        <w:rPr>
          <w:rFonts w:hint="eastAsia"/>
          <w:szCs w:val="32"/>
        </w:rPr>
        <w:t>提升短临监测预报预警等业务的备份能力，完善“两地三系统”备份体系，建立短临业务主备中心的算法、软件的同步备份，以及应急快速切换流程。建设主备中心高速同步的通道，确保备份中心数据的完整性和正确性，确保备份中心数据业务平台和业务算法与主中心的一致性，提升对主备中心的实时运维、故障预测、应急指挥和自动切换能力，为短临预报预警业务提供稳定可靠的平台和数据支撑保障，在应急情况下实现系统和业务由主中心到容灾备份中心的流程化、可调度、可运维的切换。</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hAnsi="仿宋_GB2312" w:cs="仿宋_GB2312" w:hint="default"/>
          <w:color w:val="000000"/>
          <w:szCs w:val="32"/>
        </w:rPr>
      </w:pPr>
    </w:p>
    <w:p>
      <w:pPr>
        <w:pStyle w:val="Heading1"/>
        <w:keepNext/>
        <w:keepLines/>
        <w:widowControl w:val="0"/>
        <w:numPr>
          <w:ilvl w:val="0"/>
          <w:numId w:val="4"/>
        </w:numPr>
        <w:spacing w:line="560" w:lineRule="exact"/>
        <w:ind w:left="431" w:hanging="431"/>
        <w:jc w:val="both"/>
        <w:rPr>
          <w:highlight w:val="none"/>
        </w:rPr>
      </w:pPr>
      <w:bookmarkStart w:id="73" w:name="_Toc30868"/>
      <w:bookmarkStart w:id="74" w:name="_Toc9307"/>
      <w:bookmarkStart w:id="75" w:name="_Toc14865"/>
      <w:bookmarkStart w:id="76" w:name="_Toc6121"/>
      <w:bookmarkStart w:id="77" w:name="_Toc1116838022"/>
      <w:bookmarkStart w:id="78" w:name="_Toc164"/>
      <w:r>
        <w:rPr>
          <w:rFonts w:hint="eastAsia"/>
          <w:highlight w:val="none"/>
        </w:rPr>
        <w:t>建设任务要求</w:t>
      </w:r>
      <w:bookmarkEnd w:id="73"/>
      <w:bookmarkEnd w:id="74"/>
      <w:bookmarkEnd w:id="75"/>
      <w:bookmarkEnd w:id="76"/>
      <w:bookmarkEnd w:id="77"/>
      <w:bookmarkEnd w:id="78"/>
    </w:p>
    <w:p>
      <w:pPr>
        <w:pStyle w:val="Heading2"/>
        <w:keepNext/>
        <w:keepLines/>
        <w:widowControl w:val="0"/>
        <w:numPr>
          <w:ilvl w:val="1"/>
          <w:numId w:val="4"/>
        </w:numPr>
        <w:spacing w:line="560" w:lineRule="exact"/>
        <w:ind w:left="573" w:hanging="573"/>
        <w:jc w:val="both"/>
        <w:rPr>
          <w:rFonts w:hint="eastAsia"/>
          <w:highlight w:val="none"/>
        </w:rPr>
      </w:pPr>
      <w:bookmarkStart w:id="79" w:name="_Toc22206"/>
      <w:bookmarkStart w:id="80" w:name="_Toc1689560974"/>
      <w:bookmarkStart w:id="81" w:name="_Toc16555"/>
      <w:bookmarkStart w:id="82" w:name="_Toc25986"/>
      <w:bookmarkStart w:id="83" w:name="_Toc29965"/>
      <w:bookmarkStart w:id="84" w:name="_Toc32579"/>
      <w:r>
        <w:rPr>
          <w:highlight w:val="none"/>
        </w:rPr>
        <w:t>建设</w:t>
      </w:r>
      <w:r>
        <w:rPr>
          <w:rFonts w:hint="eastAsia"/>
          <w:highlight w:val="none"/>
        </w:rPr>
        <w:t>功能</w:t>
      </w:r>
      <w:r>
        <w:rPr>
          <w:highlight w:val="none"/>
        </w:rPr>
        <w:t>要求</w:t>
      </w:r>
      <w:bookmarkEnd w:id="79"/>
      <w:bookmarkEnd w:id="80"/>
      <w:bookmarkEnd w:id="81"/>
      <w:bookmarkEnd w:id="82"/>
      <w:bookmarkEnd w:id="83"/>
      <w:bookmarkEnd w:id="84"/>
    </w:p>
    <w:p>
      <w:pPr>
        <w:pStyle w:val="Heading3"/>
        <w:keepNext/>
        <w:keepLines/>
        <w:widowControl w:val="0"/>
        <w:numPr>
          <w:ilvl w:val="2"/>
          <w:numId w:val="4"/>
        </w:numPr>
        <w:bidi w:val="0"/>
        <w:spacing w:line="560" w:lineRule="atLeast"/>
        <w:ind w:left="720" w:hanging="720"/>
        <w:jc w:val="both"/>
        <w:rPr>
          <w:rFonts w:hint="eastAsia"/>
          <w:highlight w:val="none"/>
        </w:rPr>
      </w:pPr>
      <w:bookmarkStart w:id="85" w:name="_Toc28443"/>
      <w:bookmarkStart w:id="86" w:name="_Toc30723"/>
      <w:bookmarkStart w:id="87" w:name="_Toc21399"/>
      <w:bookmarkStart w:id="88" w:name="_Toc24615"/>
      <w:r>
        <w:rPr>
          <w:rFonts w:hint="eastAsia"/>
          <w:highlight w:val="none"/>
        </w:rPr>
        <w:t>数据接入处理子系统</w:t>
      </w:r>
      <w:bookmarkEnd w:id="85"/>
      <w:bookmarkEnd w:id="86"/>
      <w:bookmarkEnd w:id="87"/>
      <w:bookmarkEnd w:id="88"/>
    </w:p>
    <w:p>
      <w:pPr>
        <w:pStyle w:val="Heading4"/>
        <w:keepNext/>
        <w:keepLines/>
        <w:widowControl w:val="0"/>
        <w:numPr>
          <w:ilvl w:val="3"/>
          <w:numId w:val="4"/>
        </w:numPr>
        <w:bidi w:val="0"/>
        <w:spacing w:line="560" w:lineRule="exact"/>
        <w:ind w:left="862" w:hanging="862"/>
        <w:jc w:val="both"/>
        <w:rPr>
          <w:rFonts w:hint="eastAsia"/>
          <w:highlight w:val="none"/>
        </w:rPr>
      </w:pPr>
      <w:r>
        <w:rPr>
          <w:rFonts w:hint="eastAsia"/>
          <w:highlight w:val="none"/>
        </w:rPr>
        <w:t>短临业务互联网数据接入处理功能建设</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互联网数据收集</w:t>
      </w:r>
    </w:p>
    <w:p>
      <w:pPr>
        <w:pStyle w:val="NormalIndent"/>
        <w:rPr>
          <w:rFonts w:ascii="Segoe UI" w:eastAsia="Segoe UI" w:hAnsi="Segoe UI" w:cs="Segoe UI" w:hint="default"/>
          <w:i w:val="0"/>
          <w:iCs w:val="0"/>
          <w:caps w:val="0"/>
          <w:color w:val="0F1115"/>
          <w:spacing w:val="0"/>
          <w:sz w:val="24"/>
          <w:szCs w:val="24"/>
          <w:highlight w:val="none"/>
          <w:shd w:val="clear" w:color="auto" w:fill="FFFFFF"/>
          <w:lang w:val="en-US"/>
        </w:rPr>
      </w:pPr>
      <w:r>
        <w:rPr>
          <w:rFonts w:ascii="Segoe UI" w:eastAsia="Segoe UI" w:hAnsi="Segoe UI" w:cs="Segoe UI"/>
          <w:i w:val="0"/>
          <w:iCs w:val="0"/>
          <w:caps w:val="0"/>
          <w:color w:val="0F1115"/>
          <w:spacing w:val="0"/>
          <w:sz w:val="24"/>
          <w:szCs w:val="24"/>
          <w:highlight w:val="none"/>
          <w:shd w:val="clear" w:color="auto" w:fill="FFFFFF"/>
        </w:rPr>
        <w:t>构建基于互联网环境的数据收集能力，采用模块化、松耦合架构设计，支持文件传输、消息通信等多种数据接入方式，能够根据预设的收集策略，快速高效地采集多种传输协议的数据，并在收集过程中提供数据完整性校验等功能。</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互联网数据共享</w:t>
      </w:r>
    </w:p>
    <w:p>
      <w:pPr>
        <w:pStyle w:val="NormalIndent"/>
        <w:rPr>
          <w:rFonts w:ascii="Segoe UI" w:eastAsia="宋体" w:hAnsi="Segoe UI" w:cs="Segoe UI" w:hint="eastAsia"/>
          <w:i w:val="0"/>
          <w:iCs w:val="0"/>
          <w:caps w:val="0"/>
          <w:color w:val="0F1115"/>
          <w:spacing w:val="0"/>
          <w:sz w:val="24"/>
          <w:szCs w:val="24"/>
          <w:highlight w:val="none"/>
          <w:shd w:val="clear" w:color="auto" w:fill="FFFFFF"/>
          <w:lang w:val="en-US"/>
        </w:rPr>
      </w:pPr>
      <w:r>
        <w:rPr>
          <w:rFonts w:ascii="Segoe UI" w:eastAsia="Segoe UI" w:hAnsi="Segoe UI" w:cs="Segoe UI"/>
          <w:i w:val="0"/>
          <w:iCs w:val="0"/>
          <w:caps w:val="0"/>
          <w:color w:val="0F1115"/>
          <w:spacing w:val="0"/>
          <w:sz w:val="24"/>
          <w:szCs w:val="24"/>
          <w:highlight w:val="none"/>
          <w:shd w:val="clear" w:color="auto" w:fill="FFFFFF"/>
        </w:rPr>
        <w:t>构建面向互联网环境的数据共享支撑能力。采用模块化、松耦合架构设计，文件传输、消息通信等多种数据</w:t>
      </w:r>
      <w:r>
        <w:rPr>
          <w:rFonts w:ascii="Segoe UI" w:eastAsia="宋体" w:hAnsi="Segoe UI" w:cs="Segoe UI" w:hint="eastAsia"/>
          <w:i w:val="0"/>
          <w:iCs w:val="0"/>
          <w:caps w:val="0"/>
          <w:color w:val="0F1115"/>
          <w:spacing w:val="0"/>
          <w:sz w:val="24"/>
          <w:szCs w:val="24"/>
          <w:highlight w:val="none"/>
          <w:shd w:val="clear" w:color="auto" w:fill="FFFFFF"/>
          <w:lang w:eastAsia="zh-CN"/>
        </w:rPr>
        <w:t>共享</w:t>
      </w:r>
      <w:r>
        <w:rPr>
          <w:rFonts w:ascii="Segoe UI" w:eastAsia="Segoe UI" w:hAnsi="Segoe UI" w:cs="Segoe UI"/>
          <w:i w:val="0"/>
          <w:iCs w:val="0"/>
          <w:caps w:val="0"/>
          <w:color w:val="0F1115"/>
          <w:spacing w:val="0"/>
          <w:sz w:val="24"/>
          <w:szCs w:val="24"/>
          <w:highlight w:val="none"/>
          <w:shd w:val="clear" w:color="auto" w:fill="FFFFFF"/>
        </w:rPr>
        <w:t>方式，能够根据预设的</w:t>
      </w:r>
      <w:r>
        <w:rPr>
          <w:rFonts w:ascii="Segoe UI" w:eastAsia="宋体" w:hAnsi="Segoe UI" w:cs="Segoe UI" w:hint="eastAsia"/>
          <w:i w:val="0"/>
          <w:iCs w:val="0"/>
          <w:caps w:val="0"/>
          <w:color w:val="0F1115"/>
          <w:spacing w:val="0"/>
          <w:sz w:val="24"/>
          <w:szCs w:val="24"/>
          <w:highlight w:val="none"/>
          <w:shd w:val="clear" w:color="auto" w:fill="FFFFFF"/>
          <w:lang w:eastAsia="zh-CN"/>
        </w:rPr>
        <w:t>共享</w:t>
      </w:r>
      <w:r>
        <w:rPr>
          <w:rFonts w:ascii="Segoe UI" w:eastAsia="Segoe UI" w:hAnsi="Segoe UI" w:cs="Segoe UI"/>
          <w:i w:val="0"/>
          <w:iCs w:val="0"/>
          <w:caps w:val="0"/>
          <w:color w:val="0F1115"/>
          <w:spacing w:val="0"/>
          <w:sz w:val="24"/>
          <w:szCs w:val="24"/>
          <w:highlight w:val="none"/>
          <w:shd w:val="clear" w:color="auto" w:fill="FFFFFF"/>
        </w:rPr>
        <w:t>策略，快速高效地</w:t>
      </w:r>
      <w:r>
        <w:rPr>
          <w:rFonts w:ascii="Segoe UI" w:eastAsia="宋体" w:hAnsi="Segoe UI" w:cs="Segoe UI" w:hint="eastAsia"/>
          <w:i w:val="0"/>
          <w:iCs w:val="0"/>
          <w:caps w:val="0"/>
          <w:color w:val="0F1115"/>
          <w:spacing w:val="0"/>
          <w:sz w:val="24"/>
          <w:szCs w:val="24"/>
          <w:highlight w:val="none"/>
          <w:shd w:val="clear" w:color="auto" w:fill="FFFFFF"/>
          <w:lang w:eastAsia="zh-CN"/>
        </w:rPr>
        <w:t>传输</w:t>
      </w:r>
      <w:r>
        <w:rPr>
          <w:rFonts w:ascii="Segoe UI" w:eastAsia="Segoe UI" w:hAnsi="Segoe UI" w:cs="Segoe UI"/>
          <w:i w:val="0"/>
          <w:iCs w:val="0"/>
          <w:caps w:val="0"/>
          <w:color w:val="0F1115"/>
          <w:spacing w:val="0"/>
          <w:sz w:val="24"/>
          <w:szCs w:val="24"/>
          <w:highlight w:val="none"/>
          <w:shd w:val="clear" w:color="auto" w:fill="FFFFFF"/>
        </w:rPr>
        <w:t>多种传输协议的数据，</w:t>
      </w:r>
      <w:r>
        <w:rPr>
          <w:rFonts w:ascii="Segoe UI" w:eastAsia="Segoe UI" w:hAnsi="Segoe UI" w:cs="Segoe UI"/>
          <w:i w:val="0"/>
          <w:iCs w:val="0"/>
          <w:caps w:val="0"/>
          <w:color w:val="0F1115"/>
          <w:spacing w:val="0"/>
          <w:sz w:val="24"/>
          <w:szCs w:val="24"/>
          <w:shd w:val="clear" w:color="auto" w:fill="FFFFFF"/>
        </w:rPr>
        <w:t>实现数据的敏捷、高效流通。</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内外网数据同步</w:t>
      </w:r>
    </w:p>
    <w:p>
      <w:pPr>
        <w:pStyle w:val="NormalIndent"/>
        <w:rPr>
          <w:rFonts w:eastAsia="宋体" w:hint="eastAsia"/>
          <w:lang w:val="en-US"/>
        </w:rPr>
      </w:pPr>
      <w:r>
        <w:rPr>
          <w:rFonts w:hint="eastAsia"/>
          <w:lang w:val="en-US" w:eastAsia="zh-CN"/>
        </w:rPr>
        <w:t>构建内外网数据同步功能，</w:t>
      </w:r>
      <w:r>
        <w:rPr>
          <w:rFonts w:ascii="Segoe UI" w:eastAsia="Segoe UI" w:hAnsi="Segoe UI" w:cs="Segoe UI"/>
          <w:i w:val="0"/>
          <w:iCs w:val="0"/>
          <w:caps w:val="0"/>
          <w:color w:val="0F1115"/>
          <w:spacing w:val="0"/>
          <w:sz w:val="24"/>
          <w:szCs w:val="24"/>
          <w:shd w:val="clear" w:color="auto" w:fill="FFFFFF"/>
        </w:rPr>
        <w:t>提供跨网络域的数据</w:t>
      </w:r>
      <w:r>
        <w:rPr>
          <w:rFonts w:ascii="Segoe UI" w:eastAsia="宋体" w:hAnsi="Segoe UI" w:cs="Segoe UI" w:hint="eastAsia"/>
          <w:i w:val="0"/>
          <w:iCs w:val="0"/>
          <w:caps w:val="0"/>
          <w:color w:val="0F1115"/>
          <w:spacing w:val="0"/>
          <w:sz w:val="24"/>
          <w:szCs w:val="24"/>
          <w:shd w:val="clear" w:color="auto" w:fill="FFFFFF"/>
          <w:lang w:eastAsia="zh-CN"/>
        </w:rPr>
        <w:t>交换能力，</w:t>
      </w:r>
      <w:r>
        <w:rPr>
          <w:rFonts w:ascii="Segoe UI" w:eastAsia="Segoe UI" w:hAnsi="Segoe UI" w:cs="Segoe UI"/>
          <w:i w:val="0"/>
          <w:iCs w:val="0"/>
          <w:caps w:val="0"/>
          <w:color w:val="0F1115"/>
          <w:spacing w:val="0"/>
          <w:sz w:val="24"/>
          <w:szCs w:val="24"/>
          <w:shd w:val="clear" w:color="auto" w:fill="FFFFFF"/>
        </w:rPr>
        <w:t>支持灵活的同步方向（单向/双向）与高度可配置的同步策略，包括同步频率（如实时、定时）和同步范围（如增量、全量）。同时，在同步过程中自动进行数据完整性校验，确保数据的一致与完整。</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数据加密</w:t>
      </w:r>
    </w:p>
    <w:p>
      <w:pPr>
        <w:pStyle w:val="NormalIndent"/>
        <w:rPr>
          <w:rFonts w:hint="eastAsia"/>
        </w:rPr>
      </w:pPr>
      <w:r>
        <w:rPr>
          <w:rFonts w:ascii="Segoe UI" w:eastAsia="宋体" w:hAnsi="Segoe UI" w:cs="Segoe UI" w:hint="eastAsia"/>
          <w:i w:val="0"/>
          <w:iCs w:val="0"/>
          <w:caps w:val="0"/>
          <w:color w:val="0F1115"/>
          <w:spacing w:val="0"/>
          <w:sz w:val="24"/>
          <w:szCs w:val="24"/>
          <w:shd w:val="clear" w:color="auto" w:fill="FFFFFF"/>
          <w:lang w:eastAsia="zh-CN"/>
        </w:rPr>
        <w:t>构建数据加密功能，</w:t>
      </w:r>
      <w:r>
        <w:rPr>
          <w:rFonts w:ascii="Segoe UI" w:eastAsia="Segoe UI" w:hAnsi="Segoe UI" w:cs="Segoe UI"/>
          <w:i w:val="0"/>
          <w:iCs w:val="0"/>
          <w:caps w:val="0"/>
          <w:color w:val="0F1115"/>
          <w:spacing w:val="0"/>
          <w:sz w:val="24"/>
          <w:szCs w:val="24"/>
          <w:shd w:val="clear" w:color="auto" w:fill="FFFFFF"/>
        </w:rPr>
        <w:t>支持对互联网传输数据进行加密，提供覆盖数据加密、签名验签、密钥管理等环节的全生命周期密码服务，保障数据在传输过程中的机密性</w:t>
      </w:r>
      <w:r>
        <w:rPr>
          <w:rFonts w:ascii="Segoe UI" w:eastAsia="宋体" w:hAnsi="Segoe UI" w:cs="Segoe UI" w:hint="eastAsia"/>
          <w:i w:val="0"/>
          <w:iCs w:val="0"/>
          <w:caps w:val="0"/>
          <w:color w:val="0F1115"/>
          <w:spacing w:val="0"/>
          <w:sz w:val="24"/>
          <w:szCs w:val="24"/>
          <w:shd w:val="clear" w:color="auto" w:fill="FFFFFF"/>
          <w:lang w:eastAsia="zh-CN"/>
        </w:rPr>
        <w:t>和</w:t>
      </w:r>
      <w:r>
        <w:rPr>
          <w:rFonts w:ascii="Segoe UI" w:eastAsia="Segoe UI" w:hAnsi="Segoe UI" w:cs="Segoe UI"/>
          <w:i w:val="0"/>
          <w:iCs w:val="0"/>
          <w:caps w:val="0"/>
          <w:color w:val="0F1115"/>
          <w:spacing w:val="0"/>
          <w:sz w:val="24"/>
          <w:szCs w:val="24"/>
          <w:shd w:val="clear" w:color="auto" w:fill="FFFFFF"/>
        </w:rPr>
        <w:t>完整性。</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数据解密</w:t>
      </w:r>
    </w:p>
    <w:p>
      <w:pPr>
        <w:pStyle w:val="NormalIndent"/>
        <w:rPr>
          <w:rFonts w:hint="eastAsia"/>
        </w:rPr>
      </w:pPr>
      <w:r>
        <w:rPr>
          <w:rFonts w:ascii="Segoe UI" w:eastAsia="宋体" w:hAnsi="Segoe UI" w:cs="Segoe UI" w:hint="eastAsia"/>
          <w:i w:val="0"/>
          <w:iCs w:val="0"/>
          <w:caps w:val="0"/>
          <w:color w:val="0F1115"/>
          <w:spacing w:val="0"/>
          <w:sz w:val="24"/>
          <w:szCs w:val="24"/>
          <w:shd w:val="clear" w:color="auto" w:fill="FFFFFF"/>
          <w:lang w:eastAsia="zh-CN"/>
        </w:rPr>
        <w:t>构建数据解密功能，</w:t>
      </w:r>
      <w:r>
        <w:rPr>
          <w:rFonts w:ascii="Segoe UI" w:eastAsia="Segoe UI" w:hAnsi="Segoe UI" w:cs="Segoe UI"/>
          <w:i w:val="0"/>
          <w:iCs w:val="0"/>
          <w:caps w:val="0"/>
          <w:color w:val="0F1115"/>
          <w:spacing w:val="0"/>
          <w:sz w:val="24"/>
          <w:szCs w:val="24"/>
          <w:shd w:val="clear" w:color="auto" w:fill="FFFFFF"/>
        </w:rPr>
        <w:t>支持对互联网传输数据进行解密，并提供覆盖数据解密、签名验签、密钥管理等环节的端到端密码服务，保障数据在接收与处理过程中的完整性与可认证性。</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任务调度</w:t>
      </w:r>
    </w:p>
    <w:p>
      <w:pPr>
        <w:pStyle w:val="NormalIndent"/>
        <w:rPr>
          <w:rFonts w:hint="eastAsia"/>
        </w:rPr>
      </w:pPr>
      <w:r>
        <w:rPr>
          <w:rFonts w:ascii="Segoe UI" w:eastAsia="宋体" w:hAnsi="Segoe UI" w:cs="Segoe UI" w:hint="eastAsia"/>
          <w:i w:val="0"/>
          <w:iCs w:val="0"/>
          <w:caps w:val="0"/>
          <w:color w:val="0F1115"/>
          <w:spacing w:val="0"/>
          <w:sz w:val="24"/>
          <w:szCs w:val="24"/>
          <w:shd w:val="clear" w:color="auto" w:fill="FFFFFF"/>
          <w:lang w:eastAsia="zh-CN"/>
        </w:rPr>
        <w:t>具备任务调度能力，</w:t>
      </w:r>
      <w:r>
        <w:rPr>
          <w:rFonts w:ascii="Segoe UI" w:eastAsia="Segoe UI" w:hAnsi="Segoe UI" w:cs="Segoe UI"/>
          <w:i w:val="0"/>
          <w:iCs w:val="0"/>
          <w:caps w:val="0"/>
          <w:color w:val="0F1115"/>
          <w:spacing w:val="0"/>
          <w:sz w:val="24"/>
          <w:szCs w:val="24"/>
          <w:shd w:val="clear" w:color="auto" w:fill="FFFFFF"/>
        </w:rPr>
        <w:t>提供任务调度服务，对数据收集、共享等流程进行有序调度，保障数据高效流转与处理。</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数据缓存处理</w:t>
      </w:r>
    </w:p>
    <w:p>
      <w:pPr>
        <w:pStyle w:val="NormalIndent"/>
        <w:rPr>
          <w:rFonts w:hint="eastAsia"/>
        </w:rPr>
      </w:pPr>
      <w:r>
        <w:rPr>
          <w:rFonts w:hint="eastAsia"/>
          <w:lang w:val="en-US" w:eastAsia="zh-CN"/>
        </w:rPr>
        <w:t>具备数据缓存处理能力，</w:t>
      </w:r>
      <w:r>
        <w:rPr>
          <w:rFonts w:ascii="Segoe UI" w:eastAsia="Segoe UI" w:hAnsi="Segoe UI" w:cs="Segoe UI"/>
          <w:i w:val="0"/>
          <w:iCs w:val="0"/>
          <w:caps w:val="0"/>
          <w:color w:val="0F1115"/>
          <w:spacing w:val="0"/>
          <w:sz w:val="24"/>
          <w:szCs w:val="24"/>
          <w:shd w:val="clear" w:color="auto" w:fill="FFFFFF"/>
        </w:rPr>
        <w:t>结合数据大小、频次、分发用户及优先级等多维因素，提供多种模式的缓存策略，优化数据收集与处理流程。</w:t>
      </w:r>
    </w:p>
    <w:p>
      <w:pPr>
        <w:pStyle w:val="Heading4"/>
        <w:keepNext/>
        <w:keepLines/>
        <w:widowControl w:val="0"/>
        <w:numPr>
          <w:ilvl w:val="3"/>
          <w:numId w:val="4"/>
        </w:numPr>
        <w:bidi w:val="0"/>
        <w:spacing w:line="560" w:lineRule="exact"/>
        <w:ind w:left="862" w:hanging="862"/>
        <w:jc w:val="both"/>
        <w:rPr>
          <w:rFonts w:hint="eastAsia"/>
          <w:highlight w:val="none"/>
        </w:rPr>
      </w:pPr>
      <w:r>
        <w:rPr>
          <w:rFonts w:hint="eastAsia"/>
          <w:highlight w:val="none"/>
        </w:rPr>
        <w:t>短临业务数据接入处理服务功能升级</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大体量文件快速传输</w:t>
      </w:r>
    </w:p>
    <w:p>
      <w:pPr>
        <w:pStyle w:val="NormalIndent"/>
        <w:rPr>
          <w:rFonts w:eastAsia="宋体" w:hint="eastAsia"/>
          <w:lang w:val="en-US"/>
        </w:rPr>
      </w:pPr>
      <w:r>
        <w:rPr>
          <w:rFonts w:ascii="Segoe UI" w:eastAsia="宋体" w:hAnsi="Segoe UI" w:cs="Segoe UI" w:hint="eastAsia"/>
          <w:i w:val="0"/>
          <w:iCs w:val="0"/>
          <w:caps w:val="0"/>
          <w:color w:val="0F1115"/>
          <w:spacing w:val="0"/>
          <w:sz w:val="24"/>
          <w:szCs w:val="24"/>
          <w:shd w:val="clear" w:color="auto" w:fill="FFFFFF"/>
          <w:lang w:val="en-US" w:eastAsia="zh-CN"/>
        </w:rPr>
        <w:t>具备大体量文件快速传输能力，</w:t>
      </w:r>
      <w:r>
        <w:rPr>
          <w:rFonts w:ascii="Segoe UI" w:eastAsia="Segoe UI" w:hAnsi="Segoe UI" w:cs="Segoe UI"/>
          <w:i w:val="0"/>
          <w:iCs w:val="0"/>
          <w:caps w:val="0"/>
          <w:color w:val="0F1115"/>
          <w:spacing w:val="0"/>
          <w:sz w:val="24"/>
          <w:szCs w:val="24"/>
          <w:shd w:val="clear" w:color="auto" w:fill="FFFFFF"/>
        </w:rPr>
        <w:t>针对</w:t>
      </w:r>
      <w:r>
        <w:rPr>
          <w:rFonts w:ascii="Segoe UI" w:eastAsia="宋体" w:hAnsi="Segoe UI" w:cs="Segoe UI" w:hint="eastAsia"/>
          <w:i w:val="0"/>
          <w:iCs w:val="0"/>
          <w:caps w:val="0"/>
          <w:color w:val="0F1115"/>
          <w:spacing w:val="0"/>
          <w:sz w:val="24"/>
          <w:szCs w:val="24"/>
          <w:shd w:val="clear" w:color="auto" w:fill="FFFFFF"/>
          <w:lang w:val="en-US" w:eastAsia="zh-CN"/>
        </w:rPr>
        <w:t>短临</w:t>
      </w:r>
      <w:r>
        <w:rPr>
          <w:rFonts w:ascii="Segoe UI" w:eastAsia="Segoe UI" w:hAnsi="Segoe UI" w:cs="Segoe UI"/>
          <w:i w:val="0"/>
          <w:iCs w:val="0"/>
          <w:caps w:val="0"/>
          <w:color w:val="0F1115"/>
          <w:spacing w:val="0"/>
          <w:sz w:val="24"/>
          <w:szCs w:val="24"/>
          <w:shd w:val="clear" w:color="auto" w:fill="FFFFFF"/>
        </w:rPr>
        <w:t>业务中</w:t>
      </w:r>
      <w:r>
        <w:rPr>
          <w:rFonts w:ascii="Segoe UI" w:eastAsia="宋体" w:hAnsi="Segoe UI" w:cs="Segoe UI" w:hint="eastAsia"/>
          <w:i w:val="0"/>
          <w:iCs w:val="0"/>
          <w:caps w:val="0"/>
          <w:color w:val="0F1115"/>
          <w:spacing w:val="0"/>
          <w:sz w:val="24"/>
          <w:szCs w:val="24"/>
          <w:shd w:val="clear" w:color="auto" w:fill="FFFFFF"/>
          <w:lang w:val="en-US" w:eastAsia="zh-CN"/>
        </w:rPr>
        <w:t>雷达、</w:t>
      </w:r>
      <w:r>
        <w:rPr>
          <w:rFonts w:ascii="Segoe UI" w:eastAsia="Segoe UI" w:hAnsi="Segoe UI" w:cs="Segoe UI"/>
          <w:i w:val="0"/>
          <w:iCs w:val="0"/>
          <w:caps w:val="0"/>
          <w:color w:val="0F1115"/>
          <w:spacing w:val="0"/>
          <w:sz w:val="24"/>
          <w:szCs w:val="24"/>
          <w:shd w:val="clear" w:color="auto" w:fill="FFFFFF"/>
        </w:rPr>
        <w:t>卫星、数值产品等大数据</w:t>
      </w:r>
      <w:r>
        <w:rPr>
          <w:rFonts w:ascii="Segoe UI" w:eastAsia="宋体" w:hAnsi="Segoe UI" w:cs="Segoe UI" w:hint="eastAsia"/>
          <w:i w:val="0"/>
          <w:iCs w:val="0"/>
          <w:caps w:val="0"/>
          <w:color w:val="0F1115"/>
          <w:spacing w:val="0"/>
          <w:sz w:val="24"/>
          <w:szCs w:val="24"/>
          <w:shd w:val="clear" w:color="auto" w:fill="FFFFFF"/>
          <w:lang w:val="en-US" w:eastAsia="zh-CN"/>
        </w:rPr>
        <w:t>量</w:t>
      </w:r>
      <w:r>
        <w:rPr>
          <w:rFonts w:ascii="Segoe UI" w:eastAsia="Segoe UI" w:hAnsi="Segoe UI" w:cs="Segoe UI"/>
          <w:i w:val="0"/>
          <w:iCs w:val="0"/>
          <w:caps w:val="0"/>
          <w:color w:val="0F1115"/>
          <w:spacing w:val="0"/>
          <w:sz w:val="24"/>
          <w:szCs w:val="24"/>
          <w:shd w:val="clear" w:color="auto" w:fill="FFFFFF"/>
        </w:rPr>
        <w:t>传输需求，优化升级面向气象数据传输的通信技术</w:t>
      </w:r>
      <w:r>
        <w:rPr>
          <w:rFonts w:ascii="Segoe UI" w:eastAsia="宋体" w:hAnsi="Segoe UI" w:cs="Segoe UI" w:hint="eastAsia"/>
          <w:i w:val="0"/>
          <w:iCs w:val="0"/>
          <w:caps w:val="0"/>
          <w:color w:val="0F1115"/>
          <w:spacing w:val="0"/>
          <w:sz w:val="24"/>
          <w:szCs w:val="24"/>
          <w:shd w:val="clear" w:color="auto" w:fill="FFFFFF"/>
          <w:lang w:eastAsia="zh-CN"/>
        </w:rPr>
        <w:t>，</w:t>
      </w:r>
      <w:r>
        <w:rPr>
          <w:rFonts w:ascii="Segoe UI" w:eastAsia="宋体" w:hAnsi="Segoe UI" w:cs="Segoe UI" w:hint="eastAsia"/>
          <w:i w:val="0"/>
          <w:iCs w:val="0"/>
          <w:caps w:val="0"/>
          <w:color w:val="0F1115"/>
          <w:spacing w:val="0"/>
          <w:sz w:val="24"/>
          <w:szCs w:val="24"/>
          <w:shd w:val="clear" w:color="auto" w:fill="FFFFFF"/>
          <w:lang w:val="en-US" w:eastAsia="zh-CN"/>
        </w:rPr>
        <w:t>研究通过文件打包、拆解等技术，提升大体量文件</w:t>
      </w:r>
      <w:r>
        <w:rPr>
          <w:rFonts w:ascii="Segoe UI" w:eastAsia="Segoe UI" w:hAnsi="Segoe UI" w:cs="Segoe UI"/>
          <w:i w:val="0"/>
          <w:iCs w:val="0"/>
          <w:caps w:val="0"/>
          <w:color w:val="0F1115"/>
          <w:spacing w:val="0"/>
          <w:sz w:val="24"/>
          <w:szCs w:val="24"/>
          <w:shd w:val="clear" w:color="auto" w:fill="FFFFFF"/>
        </w:rPr>
        <w:t>数据</w:t>
      </w:r>
      <w:r>
        <w:rPr>
          <w:rFonts w:ascii="Segoe UI" w:eastAsia="宋体" w:hAnsi="Segoe UI" w:cs="Segoe UI" w:hint="eastAsia"/>
          <w:i w:val="0"/>
          <w:iCs w:val="0"/>
          <w:caps w:val="0"/>
          <w:color w:val="0F1115"/>
          <w:spacing w:val="0"/>
          <w:sz w:val="24"/>
          <w:szCs w:val="24"/>
          <w:shd w:val="clear" w:color="auto" w:fill="FFFFFF"/>
          <w:lang w:eastAsia="zh-CN"/>
        </w:rPr>
        <w:t>的</w:t>
      </w:r>
      <w:r>
        <w:rPr>
          <w:rFonts w:ascii="Segoe UI" w:eastAsia="Segoe UI" w:hAnsi="Segoe UI" w:cs="Segoe UI"/>
          <w:i w:val="0"/>
          <w:iCs w:val="0"/>
          <w:caps w:val="0"/>
          <w:color w:val="0F1115"/>
          <w:spacing w:val="0"/>
          <w:sz w:val="24"/>
          <w:szCs w:val="24"/>
          <w:shd w:val="clear" w:color="auto" w:fill="FFFFFF"/>
        </w:rPr>
        <w:t>传输速率和稳定性</w:t>
      </w:r>
      <w:r>
        <w:rPr>
          <w:rFonts w:ascii="Segoe UI" w:eastAsia="宋体" w:hAnsi="Segoe UI" w:cs="Segoe UI" w:hint="eastAsia"/>
          <w:i w:val="0"/>
          <w:iCs w:val="0"/>
          <w:caps w:val="0"/>
          <w:color w:val="0F1115"/>
          <w:spacing w:val="0"/>
          <w:sz w:val="24"/>
          <w:szCs w:val="24"/>
          <w:shd w:val="clear" w:color="auto" w:fill="FFFFFF"/>
          <w:lang w:eastAsia="zh-CN"/>
        </w:rPr>
        <w:t>。</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雷达数据接入升级</w:t>
      </w:r>
    </w:p>
    <w:p>
      <w:pPr>
        <w:pStyle w:val="NormalIndent"/>
        <w:rPr>
          <w:rFonts w:eastAsia="宋体" w:hint="eastAsia"/>
        </w:rPr>
      </w:pPr>
      <w:r>
        <w:rPr>
          <w:rFonts w:ascii="Segoe UI" w:eastAsia="Segoe UI" w:hAnsi="Segoe UI" w:cs="Segoe UI"/>
          <w:i w:val="0"/>
          <w:iCs w:val="0"/>
          <w:caps w:val="0"/>
          <w:color w:val="0F1115"/>
          <w:spacing w:val="0"/>
          <w:sz w:val="24"/>
          <w:szCs w:val="24"/>
          <w:shd w:val="clear" w:color="auto" w:fill="FFFFFF"/>
        </w:rPr>
        <w:t>对现有</w:t>
      </w:r>
      <w:r>
        <w:rPr>
          <w:rFonts w:ascii="Segoe UI" w:eastAsia="宋体" w:hAnsi="Segoe UI" w:cs="Segoe UI" w:hint="eastAsia"/>
          <w:i w:val="0"/>
          <w:iCs w:val="0"/>
          <w:caps w:val="0"/>
          <w:color w:val="0F1115"/>
          <w:spacing w:val="0"/>
          <w:sz w:val="24"/>
          <w:szCs w:val="24"/>
          <w:shd w:val="clear" w:color="auto" w:fill="FFFFFF"/>
          <w:lang w:val="en-US" w:eastAsia="zh-CN"/>
        </w:rPr>
        <w:t>雷达数据</w:t>
      </w:r>
      <w:r>
        <w:rPr>
          <w:rFonts w:ascii="Segoe UI" w:eastAsia="Segoe UI" w:hAnsi="Segoe UI" w:cs="Segoe UI"/>
          <w:i w:val="0"/>
          <w:iCs w:val="0"/>
          <w:caps w:val="0"/>
          <w:color w:val="0F1115"/>
          <w:spacing w:val="0"/>
          <w:sz w:val="24"/>
          <w:szCs w:val="24"/>
          <w:shd w:val="clear" w:color="auto" w:fill="FFFFFF"/>
        </w:rPr>
        <w:t>接入进行能力</w:t>
      </w:r>
      <w:r>
        <w:rPr>
          <w:rFonts w:ascii="Segoe UI" w:eastAsia="宋体" w:hAnsi="Segoe UI" w:cs="Segoe UI" w:hint="eastAsia"/>
          <w:i w:val="0"/>
          <w:iCs w:val="0"/>
          <w:caps w:val="0"/>
          <w:color w:val="0F1115"/>
          <w:spacing w:val="0"/>
          <w:sz w:val="24"/>
          <w:szCs w:val="24"/>
          <w:shd w:val="clear" w:color="auto" w:fill="FFFFFF"/>
          <w:lang w:val="en-US" w:eastAsia="zh-CN"/>
        </w:rPr>
        <w:t>进行</w:t>
      </w:r>
      <w:r>
        <w:rPr>
          <w:rFonts w:ascii="Segoe UI" w:eastAsia="Segoe UI" w:hAnsi="Segoe UI" w:cs="Segoe UI"/>
          <w:i w:val="0"/>
          <w:iCs w:val="0"/>
          <w:caps w:val="0"/>
          <w:color w:val="0F1115"/>
          <w:spacing w:val="0"/>
          <w:sz w:val="24"/>
          <w:szCs w:val="24"/>
          <w:shd w:val="clear" w:color="auto" w:fill="FFFFFF"/>
        </w:rPr>
        <w:t>升级</w:t>
      </w:r>
      <w:r>
        <w:rPr>
          <w:rFonts w:ascii="Segoe UI" w:eastAsia="宋体" w:hAnsi="Segoe UI" w:cs="Segoe UI" w:hint="eastAsia"/>
          <w:i w:val="0"/>
          <w:iCs w:val="0"/>
          <w:caps w:val="0"/>
          <w:color w:val="0F1115"/>
          <w:spacing w:val="0"/>
          <w:sz w:val="24"/>
          <w:szCs w:val="24"/>
          <w:shd w:val="clear" w:color="auto" w:fill="FFFFFF"/>
          <w:lang w:eastAsia="zh-CN"/>
        </w:rPr>
        <w:t>，</w:t>
      </w:r>
      <w:r>
        <w:rPr>
          <w:rFonts w:ascii="Segoe UI" w:eastAsia="Segoe UI" w:hAnsi="Segoe UI" w:cs="Segoe UI"/>
          <w:i w:val="0"/>
          <w:iCs w:val="0"/>
          <w:caps w:val="0"/>
          <w:color w:val="0F1115"/>
          <w:spacing w:val="0"/>
          <w:sz w:val="24"/>
          <w:szCs w:val="24"/>
          <w:shd w:val="clear" w:color="auto" w:fill="FFFFFF"/>
        </w:rPr>
        <w:t>兼容</w:t>
      </w:r>
      <w:r>
        <w:rPr>
          <w:rFonts w:ascii="Segoe UI" w:eastAsia="宋体" w:hAnsi="Segoe UI" w:cs="Segoe UI" w:hint="eastAsia"/>
          <w:i w:val="0"/>
          <w:iCs w:val="0"/>
          <w:caps w:val="0"/>
          <w:color w:val="0F1115"/>
          <w:spacing w:val="0"/>
          <w:sz w:val="24"/>
          <w:szCs w:val="24"/>
          <w:shd w:val="clear" w:color="auto" w:fill="FFFFFF"/>
          <w:lang w:val="en-US" w:eastAsia="zh-CN"/>
        </w:rPr>
        <w:t>多种站型</w:t>
      </w:r>
      <w:r>
        <w:rPr>
          <w:rFonts w:ascii="Segoe UI" w:eastAsia="Segoe UI" w:hAnsi="Segoe UI" w:cs="Segoe UI"/>
          <w:i w:val="0"/>
          <w:iCs w:val="0"/>
          <w:caps w:val="0"/>
          <w:color w:val="0F1115"/>
          <w:spacing w:val="0"/>
          <w:sz w:val="24"/>
          <w:szCs w:val="24"/>
          <w:shd w:val="clear" w:color="auto" w:fill="FFFFFF"/>
        </w:rPr>
        <w:t>雷达的数据格式与传输协议</w:t>
      </w:r>
      <w:r>
        <w:rPr>
          <w:rFonts w:ascii="Segoe UI" w:eastAsia="宋体" w:hAnsi="Segoe UI" w:cs="Segoe UI" w:hint="eastAsia"/>
          <w:i w:val="0"/>
          <w:iCs w:val="0"/>
          <w:caps w:val="0"/>
          <w:color w:val="0F1115"/>
          <w:spacing w:val="0"/>
          <w:sz w:val="24"/>
          <w:szCs w:val="24"/>
          <w:shd w:val="clear" w:color="auto" w:fill="FFFFFF"/>
          <w:lang w:eastAsia="zh-CN"/>
        </w:rPr>
        <w:t>，</w:t>
      </w:r>
      <w:r>
        <w:rPr>
          <w:rFonts w:ascii="Segoe UI" w:eastAsia="Segoe UI" w:hAnsi="Segoe UI" w:cs="Segoe UI"/>
          <w:i w:val="0"/>
          <w:iCs w:val="0"/>
          <w:caps w:val="0"/>
          <w:color w:val="0F1115"/>
          <w:spacing w:val="0"/>
          <w:sz w:val="24"/>
          <w:szCs w:val="24"/>
          <w:shd w:val="clear" w:color="auto" w:fill="FFFFFF"/>
        </w:rPr>
        <w:t>支撑新增</w:t>
      </w:r>
      <w:r>
        <w:rPr>
          <w:rFonts w:ascii="Segoe UI" w:eastAsia="宋体" w:hAnsi="Segoe UI" w:cs="Segoe UI" w:hint="eastAsia"/>
          <w:i w:val="0"/>
          <w:iCs w:val="0"/>
          <w:caps w:val="0"/>
          <w:color w:val="0F1115"/>
          <w:spacing w:val="0"/>
          <w:sz w:val="24"/>
          <w:szCs w:val="24"/>
          <w:shd w:val="clear" w:color="auto" w:fill="FFFFFF"/>
          <w:lang w:val="en-US" w:eastAsia="zh-CN"/>
        </w:rPr>
        <w:t>天气雷达、</w:t>
      </w:r>
      <w:r>
        <w:rPr>
          <w:rFonts w:ascii="Segoe UI" w:eastAsia="Segoe UI" w:hAnsi="Segoe UI" w:cs="Segoe UI"/>
          <w:i w:val="0"/>
          <w:iCs w:val="0"/>
          <w:caps w:val="0"/>
          <w:color w:val="0F1115"/>
          <w:spacing w:val="0"/>
          <w:sz w:val="24"/>
          <w:szCs w:val="24"/>
          <w:shd w:val="clear" w:color="auto" w:fill="FFFFFF"/>
        </w:rPr>
        <w:t>X波段</w:t>
      </w:r>
      <w:r>
        <w:rPr>
          <w:rFonts w:ascii="Segoe UI" w:eastAsia="宋体" w:hAnsi="Segoe UI" w:cs="Segoe UI" w:hint="eastAsia"/>
          <w:i w:val="0"/>
          <w:iCs w:val="0"/>
          <w:caps w:val="0"/>
          <w:color w:val="0F1115"/>
          <w:spacing w:val="0"/>
          <w:sz w:val="24"/>
          <w:szCs w:val="24"/>
          <w:shd w:val="clear" w:color="auto" w:fill="FFFFFF"/>
          <w:lang w:val="en-US" w:eastAsia="zh-CN"/>
        </w:rPr>
        <w:t>雷达</w:t>
      </w:r>
      <w:r>
        <w:rPr>
          <w:rFonts w:ascii="Segoe UI" w:eastAsia="Segoe UI" w:hAnsi="Segoe UI" w:cs="Segoe UI"/>
          <w:i w:val="0"/>
          <w:iCs w:val="0"/>
          <w:caps w:val="0"/>
          <w:color w:val="0F1115"/>
          <w:spacing w:val="0"/>
          <w:sz w:val="24"/>
          <w:szCs w:val="24"/>
          <w:shd w:val="clear" w:color="auto" w:fill="FFFFFF"/>
        </w:rPr>
        <w:t>、相控阵雷达</w:t>
      </w:r>
      <w:r>
        <w:rPr>
          <w:rFonts w:ascii="Segoe UI" w:eastAsia="宋体" w:hAnsi="Segoe UI" w:cs="Segoe UI" w:hint="eastAsia"/>
          <w:i w:val="0"/>
          <w:iCs w:val="0"/>
          <w:caps w:val="0"/>
          <w:color w:val="0F1115"/>
          <w:spacing w:val="0"/>
          <w:sz w:val="24"/>
          <w:szCs w:val="24"/>
          <w:shd w:val="clear" w:color="auto" w:fill="FFFFFF"/>
          <w:lang w:val="en-US" w:eastAsia="zh-CN"/>
        </w:rPr>
        <w:t>等</w:t>
      </w:r>
      <w:r>
        <w:rPr>
          <w:rFonts w:ascii="Segoe UI" w:eastAsia="Segoe UI" w:hAnsi="Segoe UI" w:cs="Segoe UI"/>
          <w:i w:val="0"/>
          <w:iCs w:val="0"/>
          <w:caps w:val="0"/>
          <w:color w:val="0F1115"/>
          <w:spacing w:val="0"/>
          <w:sz w:val="24"/>
          <w:szCs w:val="24"/>
          <w:shd w:val="clear" w:color="auto" w:fill="FFFFFF"/>
        </w:rPr>
        <w:t>数据的高效、可靠接入，提升并发处理与解析性能</w:t>
      </w:r>
      <w:r>
        <w:rPr>
          <w:rFonts w:ascii="Segoe UI" w:eastAsia="宋体" w:hAnsi="Segoe UI" w:cs="Segoe UI" w:hint="eastAsia"/>
          <w:i w:val="0"/>
          <w:iCs w:val="0"/>
          <w:caps w:val="0"/>
          <w:color w:val="0F1115"/>
          <w:spacing w:val="0"/>
          <w:sz w:val="24"/>
          <w:szCs w:val="24"/>
          <w:shd w:val="clear" w:color="auto" w:fill="FFFFFF"/>
          <w:lang w:eastAsia="zh-CN"/>
        </w:rPr>
        <w:t>。</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雷达数据处理优化</w:t>
      </w:r>
    </w:p>
    <w:p>
      <w:pPr>
        <w:pStyle w:val="NormalIndent"/>
        <w:rPr>
          <w:rFonts w:hint="default"/>
          <w:highlight w:val="none"/>
          <w:lang w:val="en-US"/>
        </w:rPr>
      </w:pPr>
      <w:r>
        <w:rPr>
          <w:rFonts w:hint="eastAsia"/>
          <w:highlight w:val="none"/>
          <w:lang w:val="en-US" w:eastAsia="zh-CN"/>
        </w:rPr>
        <w:t>对现有雷达数据处理能力进行优化，</w:t>
      </w:r>
      <w:r>
        <w:rPr>
          <w:rFonts w:ascii="Segoe UI" w:eastAsia="Segoe UI" w:hAnsi="Segoe UI" w:cs="Segoe UI"/>
          <w:i w:val="0"/>
          <w:iCs w:val="0"/>
          <w:caps w:val="0"/>
          <w:color w:val="0F1115"/>
          <w:spacing w:val="0"/>
          <w:sz w:val="24"/>
          <w:szCs w:val="24"/>
          <w:shd w:val="clear" w:color="auto" w:fill="FFFFFF"/>
        </w:rPr>
        <w:t>针对短临预报业务中新增雷达数据量持续增长、现有系统处理能力逐渐接近瓶颈的问题，开展雷达数据处理架构优化研究，提升系统对海量雷达数据的并发处理能力与实时响应性能。</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应用服务资源管理</w:t>
      </w:r>
    </w:p>
    <w:p>
      <w:pPr>
        <w:pStyle w:val="NormalIndent"/>
        <w:rPr>
          <w:rFonts w:eastAsia="宋体" w:hint="eastAsia"/>
          <w:lang w:val="en-US"/>
        </w:rPr>
      </w:pPr>
      <w:r>
        <w:rPr>
          <w:rFonts w:ascii="Segoe UI" w:eastAsia="Segoe UI" w:hAnsi="Segoe UI" w:cs="Segoe UI"/>
          <w:i w:val="0"/>
          <w:iCs w:val="0"/>
          <w:caps w:val="0"/>
          <w:color w:val="0F1115"/>
          <w:spacing w:val="0"/>
          <w:sz w:val="24"/>
          <w:szCs w:val="24"/>
          <w:shd w:val="clear" w:color="auto" w:fill="FFFFFF"/>
        </w:rPr>
        <w:t>优化</w:t>
      </w:r>
      <w:r>
        <w:rPr>
          <w:rFonts w:ascii="Segoe UI" w:eastAsia="宋体" w:hAnsi="Segoe UI" w:cs="Segoe UI" w:hint="eastAsia"/>
          <w:i w:val="0"/>
          <w:iCs w:val="0"/>
          <w:caps w:val="0"/>
          <w:color w:val="0F1115"/>
          <w:spacing w:val="0"/>
          <w:sz w:val="24"/>
          <w:szCs w:val="24"/>
          <w:shd w:val="clear" w:color="auto" w:fill="FFFFFF"/>
          <w:lang w:val="en-US" w:eastAsia="zh-CN"/>
        </w:rPr>
        <w:t>面向短临业务的应用</w:t>
      </w:r>
      <w:r>
        <w:rPr>
          <w:rFonts w:ascii="Segoe UI" w:eastAsia="Segoe UI" w:hAnsi="Segoe UI" w:cs="Segoe UI"/>
          <w:i w:val="0"/>
          <w:iCs w:val="0"/>
          <w:caps w:val="0"/>
          <w:color w:val="0F1115"/>
          <w:spacing w:val="0"/>
          <w:sz w:val="24"/>
          <w:szCs w:val="24"/>
          <w:shd w:val="clear" w:color="auto" w:fill="FFFFFF"/>
        </w:rPr>
        <w:t>服务资源管理</w:t>
      </w:r>
      <w:r>
        <w:rPr>
          <w:rFonts w:ascii="Segoe UI" w:eastAsia="宋体" w:hAnsi="Segoe UI" w:cs="Segoe UI" w:hint="eastAsia"/>
          <w:i w:val="0"/>
          <w:iCs w:val="0"/>
          <w:caps w:val="0"/>
          <w:color w:val="0F1115"/>
          <w:spacing w:val="0"/>
          <w:sz w:val="24"/>
          <w:szCs w:val="24"/>
          <w:shd w:val="clear" w:color="auto" w:fill="FFFFFF"/>
          <w:lang w:val="en-US" w:eastAsia="zh-CN"/>
        </w:rPr>
        <w:t>能力</w:t>
      </w:r>
      <w:r>
        <w:rPr>
          <w:rFonts w:ascii="Segoe UI" w:eastAsia="Segoe UI" w:hAnsi="Segoe UI" w:cs="Segoe UI"/>
          <w:i w:val="0"/>
          <w:iCs w:val="0"/>
          <w:caps w:val="0"/>
          <w:color w:val="0F1115"/>
          <w:spacing w:val="0"/>
          <w:sz w:val="24"/>
          <w:szCs w:val="24"/>
          <w:shd w:val="clear" w:color="auto" w:fill="FFFFFF"/>
        </w:rPr>
        <w:t>，通过精细化资源配额设置与实时性能监控，实现资源的合理分配与动态调度，确保关键服务的响应速度与质量。</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FTP/FTPs协议传输公共接入组件</w:t>
      </w:r>
    </w:p>
    <w:p>
      <w:pPr>
        <w:pStyle w:val="NormalIndent"/>
        <w:rPr>
          <w:rFonts w:ascii="Segoe UI" w:eastAsia="Segoe UI" w:hAnsi="Segoe UI" w:cs="Segoe UI" w:hint="eastAsia"/>
          <w:i w:val="0"/>
          <w:iCs w:val="0"/>
          <w:caps w:val="0"/>
          <w:color w:val="0F1115"/>
          <w:spacing w:val="0"/>
          <w:sz w:val="24"/>
          <w:szCs w:val="24"/>
          <w:shd w:val="clear" w:color="auto" w:fill="FFFFFF"/>
        </w:rPr>
      </w:pPr>
      <w:r>
        <w:rPr>
          <w:rFonts w:ascii="Segoe UI" w:eastAsia="Segoe UI" w:hAnsi="Segoe UI" w:cs="Segoe UI"/>
          <w:i w:val="0"/>
          <w:iCs w:val="0"/>
          <w:caps w:val="0"/>
          <w:color w:val="0F1115"/>
          <w:spacing w:val="0"/>
          <w:sz w:val="24"/>
          <w:szCs w:val="24"/>
          <w:shd w:val="clear" w:color="auto" w:fill="FFFFFF"/>
        </w:rPr>
        <w:t>基于统一的组件运行框架，</w:t>
      </w:r>
      <w:r>
        <w:rPr>
          <w:rFonts w:ascii="Segoe UI" w:eastAsia="Segoe UI" w:hAnsi="Segoe UI" w:cs="Segoe UI" w:hint="eastAsia"/>
          <w:i w:val="0"/>
          <w:iCs w:val="0"/>
          <w:caps w:val="0"/>
          <w:color w:val="0F1115"/>
          <w:spacing w:val="0"/>
          <w:sz w:val="24"/>
          <w:szCs w:val="24"/>
          <w:shd w:val="clear" w:color="auto" w:fill="FFFFFF"/>
          <w:lang w:val="en-US" w:eastAsia="zh-CN"/>
        </w:rPr>
        <w:t>构建</w:t>
      </w:r>
      <w:r>
        <w:rPr>
          <w:rFonts w:ascii="Segoe UI" w:eastAsia="Segoe UI" w:hAnsi="Segoe UI" w:cs="Segoe UI"/>
          <w:i w:val="0"/>
          <w:iCs w:val="0"/>
          <w:caps w:val="0"/>
          <w:color w:val="0F1115"/>
          <w:spacing w:val="0"/>
          <w:sz w:val="24"/>
          <w:szCs w:val="24"/>
          <w:shd w:val="clear" w:color="auto" w:fill="FFFFFF"/>
        </w:rPr>
        <w:t>FTP/FTP</w:t>
      </w:r>
      <w:r>
        <w:rPr>
          <w:rFonts w:ascii="Segoe UI" w:eastAsia="Segoe UI" w:hAnsi="Segoe UI" w:cs="Segoe UI" w:hint="eastAsia"/>
          <w:i w:val="0"/>
          <w:iCs w:val="0"/>
          <w:caps w:val="0"/>
          <w:color w:val="0F1115"/>
          <w:spacing w:val="0"/>
          <w:sz w:val="24"/>
          <w:szCs w:val="24"/>
          <w:shd w:val="clear" w:color="auto" w:fill="FFFFFF"/>
          <w:lang w:val="en-US" w:eastAsia="zh-CN"/>
        </w:rPr>
        <w:t>s</w:t>
      </w:r>
      <w:r>
        <w:rPr>
          <w:rFonts w:ascii="Segoe UI" w:eastAsia="Segoe UI" w:hAnsi="Segoe UI" w:cs="Segoe UI"/>
          <w:i w:val="0"/>
          <w:iCs w:val="0"/>
          <w:caps w:val="0"/>
          <w:color w:val="0F1115"/>
          <w:spacing w:val="0"/>
          <w:sz w:val="24"/>
          <w:szCs w:val="24"/>
          <w:shd w:val="clear" w:color="auto" w:fill="FFFFFF"/>
        </w:rPr>
        <w:t>协议的传输</w:t>
      </w:r>
      <w:r>
        <w:rPr>
          <w:rFonts w:ascii="Segoe UI" w:eastAsia="Segoe UI" w:hAnsi="Segoe UI" w:cs="Segoe UI" w:hint="eastAsia"/>
          <w:i w:val="0"/>
          <w:iCs w:val="0"/>
          <w:caps w:val="0"/>
          <w:color w:val="0F1115"/>
          <w:spacing w:val="0"/>
          <w:sz w:val="24"/>
          <w:szCs w:val="24"/>
          <w:shd w:val="clear" w:color="auto" w:fill="FFFFFF"/>
          <w:lang w:val="en-US" w:eastAsia="zh-CN"/>
        </w:rPr>
        <w:t>公共接入</w:t>
      </w:r>
      <w:r>
        <w:rPr>
          <w:rFonts w:ascii="Segoe UI" w:eastAsia="Segoe UI" w:hAnsi="Segoe UI" w:cs="Segoe UI"/>
          <w:i w:val="0"/>
          <w:iCs w:val="0"/>
          <w:caps w:val="0"/>
          <w:color w:val="0F1115"/>
          <w:spacing w:val="0"/>
          <w:sz w:val="24"/>
          <w:szCs w:val="24"/>
          <w:shd w:val="clear" w:color="auto" w:fill="FFFFFF"/>
        </w:rPr>
        <w:t>组件，实现与观测端的稳定对接，</w:t>
      </w:r>
      <w:r>
        <w:rPr>
          <w:rFonts w:ascii="Segoe UI" w:eastAsia="Segoe UI" w:hAnsi="Segoe UI" w:cs="Segoe UI" w:hint="eastAsia"/>
          <w:i w:val="0"/>
          <w:iCs w:val="0"/>
          <w:caps w:val="0"/>
          <w:color w:val="0F1115"/>
          <w:spacing w:val="0"/>
          <w:sz w:val="24"/>
          <w:szCs w:val="24"/>
          <w:shd w:val="clear" w:color="auto" w:fill="FFFFFF"/>
          <w:lang w:val="en-US" w:eastAsia="zh-CN"/>
        </w:rPr>
        <w:t>为短临业务</w:t>
      </w:r>
      <w:r>
        <w:rPr>
          <w:rFonts w:ascii="Segoe UI" w:eastAsia="Segoe UI" w:hAnsi="Segoe UI" w:cs="Segoe UI"/>
          <w:i w:val="0"/>
          <w:iCs w:val="0"/>
          <w:caps w:val="0"/>
          <w:color w:val="0F1115"/>
          <w:spacing w:val="0"/>
          <w:sz w:val="24"/>
          <w:szCs w:val="24"/>
          <w:shd w:val="clear" w:color="auto" w:fill="FFFFFF"/>
        </w:rPr>
        <w:t>提供高效、可靠的数据收发服务。</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HTTP/HTTPs协议传输公共接入组件</w:t>
      </w:r>
    </w:p>
    <w:p>
      <w:pPr>
        <w:pStyle w:val="NormalIndent"/>
        <w:rPr>
          <w:rFonts w:ascii="Segoe UI" w:eastAsia="Segoe UI" w:hAnsi="Segoe UI" w:cs="Segoe UI" w:hint="eastAsia"/>
          <w:i w:val="0"/>
          <w:iCs w:val="0"/>
          <w:caps w:val="0"/>
          <w:color w:val="0F1115"/>
          <w:spacing w:val="0"/>
          <w:sz w:val="24"/>
          <w:szCs w:val="24"/>
          <w:shd w:val="clear" w:color="auto" w:fill="FFFFFF"/>
        </w:rPr>
      </w:pPr>
      <w:r>
        <w:rPr>
          <w:rFonts w:ascii="Segoe UI" w:eastAsia="Segoe UI" w:hAnsi="Segoe UI" w:cs="Segoe UI"/>
          <w:i w:val="0"/>
          <w:iCs w:val="0"/>
          <w:caps w:val="0"/>
          <w:color w:val="0F1115"/>
          <w:spacing w:val="0"/>
          <w:sz w:val="24"/>
          <w:szCs w:val="24"/>
          <w:shd w:val="clear" w:color="auto" w:fill="FFFFFF"/>
        </w:rPr>
        <w:t>基于统一的组件运行框架，</w:t>
      </w:r>
      <w:r>
        <w:rPr>
          <w:rFonts w:ascii="Segoe UI" w:eastAsia="Segoe UI" w:hAnsi="Segoe UI" w:cs="Segoe UI" w:hint="eastAsia"/>
          <w:i w:val="0"/>
          <w:iCs w:val="0"/>
          <w:caps w:val="0"/>
          <w:color w:val="0F1115"/>
          <w:spacing w:val="0"/>
          <w:sz w:val="24"/>
          <w:szCs w:val="24"/>
          <w:shd w:val="clear" w:color="auto" w:fill="FFFFFF"/>
          <w:lang w:val="en-US" w:eastAsia="zh-CN"/>
        </w:rPr>
        <w:t>构建HTTP/HTTPs</w:t>
      </w:r>
      <w:r>
        <w:rPr>
          <w:rFonts w:ascii="Segoe UI" w:eastAsia="Segoe UI" w:hAnsi="Segoe UI" w:cs="Segoe UI"/>
          <w:i w:val="0"/>
          <w:iCs w:val="0"/>
          <w:caps w:val="0"/>
          <w:color w:val="0F1115"/>
          <w:spacing w:val="0"/>
          <w:sz w:val="24"/>
          <w:szCs w:val="24"/>
          <w:shd w:val="clear" w:color="auto" w:fill="FFFFFF"/>
        </w:rPr>
        <w:t>协议的传输</w:t>
      </w:r>
      <w:r>
        <w:rPr>
          <w:rFonts w:ascii="Segoe UI" w:eastAsia="Segoe UI" w:hAnsi="Segoe UI" w:cs="Segoe UI" w:hint="eastAsia"/>
          <w:i w:val="0"/>
          <w:iCs w:val="0"/>
          <w:caps w:val="0"/>
          <w:color w:val="0F1115"/>
          <w:spacing w:val="0"/>
          <w:sz w:val="24"/>
          <w:szCs w:val="24"/>
          <w:shd w:val="clear" w:color="auto" w:fill="FFFFFF"/>
          <w:lang w:val="en-US" w:eastAsia="zh-CN"/>
        </w:rPr>
        <w:t>公共接入</w:t>
      </w:r>
      <w:r>
        <w:rPr>
          <w:rFonts w:ascii="Segoe UI" w:eastAsia="Segoe UI" w:hAnsi="Segoe UI" w:cs="Segoe UI"/>
          <w:i w:val="0"/>
          <w:iCs w:val="0"/>
          <w:caps w:val="0"/>
          <w:color w:val="0F1115"/>
          <w:spacing w:val="0"/>
          <w:sz w:val="24"/>
          <w:szCs w:val="24"/>
          <w:shd w:val="clear" w:color="auto" w:fill="FFFFFF"/>
        </w:rPr>
        <w:t>组件，实现与观测端的稳定对接，</w:t>
      </w:r>
      <w:r>
        <w:rPr>
          <w:rFonts w:ascii="Segoe UI" w:eastAsia="Segoe UI" w:hAnsi="Segoe UI" w:cs="Segoe UI" w:hint="eastAsia"/>
          <w:i w:val="0"/>
          <w:iCs w:val="0"/>
          <w:caps w:val="0"/>
          <w:color w:val="0F1115"/>
          <w:spacing w:val="0"/>
          <w:sz w:val="24"/>
          <w:szCs w:val="24"/>
          <w:shd w:val="clear" w:color="auto" w:fill="FFFFFF"/>
          <w:lang w:val="en-US" w:eastAsia="zh-CN"/>
        </w:rPr>
        <w:t>为短临业务</w:t>
      </w:r>
      <w:r>
        <w:rPr>
          <w:rFonts w:ascii="Segoe UI" w:eastAsia="Segoe UI" w:hAnsi="Segoe UI" w:cs="Segoe UI"/>
          <w:i w:val="0"/>
          <w:iCs w:val="0"/>
          <w:caps w:val="0"/>
          <w:color w:val="0F1115"/>
          <w:spacing w:val="0"/>
          <w:sz w:val="24"/>
          <w:szCs w:val="24"/>
          <w:shd w:val="clear" w:color="auto" w:fill="FFFFFF"/>
        </w:rPr>
        <w:t>提供高效、可靠的数据收发服务。</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MQTT/MQTTs协议传输公共接入组件</w:t>
      </w:r>
    </w:p>
    <w:p>
      <w:pPr>
        <w:pStyle w:val="NormalIndent"/>
        <w:rPr>
          <w:rFonts w:ascii="Segoe UI" w:eastAsia="Segoe UI" w:hAnsi="Segoe UI" w:cs="Segoe UI" w:hint="eastAsia"/>
          <w:i w:val="0"/>
          <w:iCs w:val="0"/>
          <w:caps w:val="0"/>
          <w:color w:val="0F1115"/>
          <w:spacing w:val="0"/>
          <w:sz w:val="24"/>
          <w:szCs w:val="24"/>
          <w:shd w:val="clear" w:color="auto" w:fill="FFFFFF"/>
        </w:rPr>
      </w:pPr>
      <w:r>
        <w:rPr>
          <w:rFonts w:ascii="Segoe UI" w:eastAsia="Segoe UI" w:hAnsi="Segoe UI" w:cs="Segoe UI"/>
          <w:i w:val="0"/>
          <w:iCs w:val="0"/>
          <w:caps w:val="0"/>
          <w:color w:val="0F1115"/>
          <w:spacing w:val="0"/>
          <w:sz w:val="24"/>
          <w:szCs w:val="24"/>
          <w:shd w:val="clear" w:color="auto" w:fill="FFFFFF"/>
        </w:rPr>
        <w:t>基于统一的组件运行框架，</w:t>
      </w:r>
      <w:r>
        <w:rPr>
          <w:rFonts w:ascii="Segoe UI" w:eastAsia="Segoe UI" w:hAnsi="Segoe UI" w:cs="Segoe UI" w:hint="eastAsia"/>
          <w:i w:val="0"/>
          <w:iCs w:val="0"/>
          <w:caps w:val="0"/>
          <w:color w:val="0F1115"/>
          <w:spacing w:val="0"/>
          <w:sz w:val="24"/>
          <w:szCs w:val="24"/>
          <w:shd w:val="clear" w:color="auto" w:fill="FFFFFF"/>
          <w:lang w:val="en-US" w:eastAsia="zh-CN"/>
        </w:rPr>
        <w:t>构建MQTT/MQTTs</w:t>
      </w:r>
      <w:r>
        <w:rPr>
          <w:rFonts w:ascii="Segoe UI" w:eastAsia="Segoe UI" w:hAnsi="Segoe UI" w:cs="Segoe UI"/>
          <w:i w:val="0"/>
          <w:iCs w:val="0"/>
          <w:caps w:val="0"/>
          <w:color w:val="0F1115"/>
          <w:spacing w:val="0"/>
          <w:sz w:val="24"/>
          <w:szCs w:val="24"/>
          <w:shd w:val="clear" w:color="auto" w:fill="FFFFFF"/>
        </w:rPr>
        <w:t>协议的传输</w:t>
      </w:r>
      <w:r>
        <w:rPr>
          <w:rFonts w:ascii="Segoe UI" w:eastAsia="Segoe UI" w:hAnsi="Segoe UI" w:cs="Segoe UI" w:hint="eastAsia"/>
          <w:i w:val="0"/>
          <w:iCs w:val="0"/>
          <w:caps w:val="0"/>
          <w:color w:val="0F1115"/>
          <w:spacing w:val="0"/>
          <w:sz w:val="24"/>
          <w:szCs w:val="24"/>
          <w:shd w:val="clear" w:color="auto" w:fill="FFFFFF"/>
          <w:lang w:val="en-US" w:eastAsia="zh-CN"/>
        </w:rPr>
        <w:t>公共接入</w:t>
      </w:r>
      <w:r>
        <w:rPr>
          <w:rFonts w:ascii="Segoe UI" w:eastAsia="Segoe UI" w:hAnsi="Segoe UI" w:cs="Segoe UI"/>
          <w:i w:val="0"/>
          <w:iCs w:val="0"/>
          <w:caps w:val="0"/>
          <w:color w:val="0F1115"/>
          <w:spacing w:val="0"/>
          <w:sz w:val="24"/>
          <w:szCs w:val="24"/>
          <w:shd w:val="clear" w:color="auto" w:fill="FFFFFF"/>
        </w:rPr>
        <w:t>组件，实现与观测端的稳定对接，</w:t>
      </w:r>
      <w:r>
        <w:rPr>
          <w:rFonts w:ascii="Segoe UI" w:eastAsia="Segoe UI" w:hAnsi="Segoe UI" w:cs="Segoe UI" w:hint="eastAsia"/>
          <w:i w:val="0"/>
          <w:iCs w:val="0"/>
          <w:caps w:val="0"/>
          <w:color w:val="0F1115"/>
          <w:spacing w:val="0"/>
          <w:sz w:val="24"/>
          <w:szCs w:val="24"/>
          <w:shd w:val="clear" w:color="auto" w:fill="FFFFFF"/>
          <w:lang w:val="en-US" w:eastAsia="zh-CN"/>
        </w:rPr>
        <w:t>为短临业务</w:t>
      </w:r>
      <w:r>
        <w:rPr>
          <w:rFonts w:ascii="Segoe UI" w:eastAsia="Segoe UI" w:hAnsi="Segoe UI" w:cs="Segoe UI"/>
          <w:i w:val="0"/>
          <w:iCs w:val="0"/>
          <w:caps w:val="0"/>
          <w:color w:val="0F1115"/>
          <w:spacing w:val="0"/>
          <w:sz w:val="24"/>
          <w:szCs w:val="24"/>
          <w:shd w:val="clear" w:color="auto" w:fill="FFFFFF"/>
        </w:rPr>
        <w:t>提供高效、可靠的数据收发服务。</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AMQP协议传输公共接入组件</w:t>
      </w:r>
    </w:p>
    <w:p>
      <w:pPr>
        <w:pStyle w:val="NormalIndent"/>
        <w:rPr>
          <w:rFonts w:ascii="Segoe UI" w:eastAsia="Segoe UI" w:hAnsi="Segoe UI" w:cs="Segoe UI"/>
          <w:i w:val="0"/>
          <w:iCs w:val="0"/>
          <w:caps w:val="0"/>
          <w:color w:val="0F1115"/>
          <w:spacing w:val="0"/>
          <w:sz w:val="24"/>
          <w:szCs w:val="24"/>
          <w:shd w:val="clear" w:color="auto" w:fill="FFFFFF"/>
        </w:rPr>
      </w:pPr>
      <w:r>
        <w:rPr>
          <w:rFonts w:ascii="Segoe UI" w:eastAsia="Segoe UI" w:hAnsi="Segoe UI" w:cs="Segoe UI"/>
          <w:i w:val="0"/>
          <w:iCs w:val="0"/>
          <w:caps w:val="0"/>
          <w:color w:val="0F1115"/>
          <w:spacing w:val="0"/>
          <w:sz w:val="24"/>
          <w:szCs w:val="24"/>
          <w:shd w:val="clear" w:color="auto" w:fill="FFFFFF"/>
        </w:rPr>
        <w:t>基于统一的组件运行框架，</w:t>
      </w:r>
      <w:r>
        <w:rPr>
          <w:rFonts w:ascii="Segoe UI" w:eastAsia="Segoe UI" w:hAnsi="Segoe UI" w:cs="Segoe UI" w:hint="eastAsia"/>
          <w:i w:val="0"/>
          <w:iCs w:val="0"/>
          <w:caps w:val="0"/>
          <w:color w:val="0F1115"/>
          <w:spacing w:val="0"/>
          <w:sz w:val="24"/>
          <w:szCs w:val="24"/>
          <w:shd w:val="clear" w:color="auto" w:fill="FFFFFF"/>
          <w:lang w:val="en-US" w:eastAsia="zh-CN"/>
        </w:rPr>
        <w:t>构建AMQP</w:t>
      </w:r>
      <w:r>
        <w:rPr>
          <w:rFonts w:ascii="Segoe UI" w:eastAsia="Segoe UI" w:hAnsi="Segoe UI" w:cs="Segoe UI"/>
          <w:i w:val="0"/>
          <w:iCs w:val="0"/>
          <w:caps w:val="0"/>
          <w:color w:val="0F1115"/>
          <w:spacing w:val="0"/>
          <w:sz w:val="24"/>
          <w:szCs w:val="24"/>
          <w:shd w:val="clear" w:color="auto" w:fill="FFFFFF"/>
        </w:rPr>
        <w:t>协议的传输</w:t>
      </w:r>
      <w:r>
        <w:rPr>
          <w:rFonts w:ascii="Segoe UI" w:eastAsia="Segoe UI" w:hAnsi="Segoe UI" w:cs="Segoe UI" w:hint="eastAsia"/>
          <w:i w:val="0"/>
          <w:iCs w:val="0"/>
          <w:caps w:val="0"/>
          <w:color w:val="0F1115"/>
          <w:spacing w:val="0"/>
          <w:sz w:val="24"/>
          <w:szCs w:val="24"/>
          <w:shd w:val="clear" w:color="auto" w:fill="FFFFFF"/>
          <w:lang w:val="en-US" w:eastAsia="zh-CN"/>
        </w:rPr>
        <w:t>公共接入</w:t>
      </w:r>
      <w:r>
        <w:rPr>
          <w:rFonts w:ascii="Segoe UI" w:eastAsia="Segoe UI" w:hAnsi="Segoe UI" w:cs="Segoe UI"/>
          <w:i w:val="0"/>
          <w:iCs w:val="0"/>
          <w:caps w:val="0"/>
          <w:color w:val="0F1115"/>
          <w:spacing w:val="0"/>
          <w:sz w:val="24"/>
          <w:szCs w:val="24"/>
          <w:shd w:val="clear" w:color="auto" w:fill="FFFFFF"/>
        </w:rPr>
        <w:t>组件，实现与观测端的稳定对接，</w:t>
      </w:r>
      <w:r>
        <w:rPr>
          <w:rFonts w:ascii="Segoe UI" w:eastAsia="Segoe UI" w:hAnsi="Segoe UI" w:cs="Segoe UI" w:hint="eastAsia"/>
          <w:i w:val="0"/>
          <w:iCs w:val="0"/>
          <w:caps w:val="0"/>
          <w:color w:val="0F1115"/>
          <w:spacing w:val="0"/>
          <w:sz w:val="24"/>
          <w:szCs w:val="24"/>
          <w:shd w:val="clear" w:color="auto" w:fill="FFFFFF"/>
          <w:lang w:val="en-US" w:eastAsia="zh-CN"/>
        </w:rPr>
        <w:t>为短临业务</w:t>
      </w:r>
      <w:r>
        <w:rPr>
          <w:rFonts w:ascii="Segoe UI" w:eastAsia="Segoe UI" w:hAnsi="Segoe UI" w:cs="Segoe UI"/>
          <w:i w:val="0"/>
          <w:iCs w:val="0"/>
          <w:caps w:val="0"/>
          <w:color w:val="0F1115"/>
          <w:spacing w:val="0"/>
          <w:sz w:val="24"/>
          <w:szCs w:val="24"/>
          <w:shd w:val="clear" w:color="auto" w:fill="FFFFFF"/>
        </w:rPr>
        <w:t>提供高效、可靠的数据收发服务。</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TCP协议传输公共接入组件</w:t>
      </w:r>
    </w:p>
    <w:p>
      <w:pPr>
        <w:pStyle w:val="NormalIndent"/>
        <w:rPr>
          <w:rFonts w:ascii="Segoe UI" w:eastAsia="Segoe UI" w:hAnsi="Segoe UI" w:cs="Segoe UI" w:hint="eastAsia"/>
          <w:i w:val="0"/>
          <w:iCs w:val="0"/>
          <w:caps w:val="0"/>
          <w:color w:val="0F1115"/>
          <w:spacing w:val="0"/>
          <w:sz w:val="24"/>
          <w:szCs w:val="24"/>
          <w:shd w:val="clear" w:color="auto" w:fill="FFFFFF"/>
        </w:rPr>
      </w:pPr>
      <w:r>
        <w:rPr>
          <w:rFonts w:ascii="Segoe UI" w:eastAsia="Segoe UI" w:hAnsi="Segoe UI" w:cs="Segoe UI"/>
          <w:i w:val="0"/>
          <w:iCs w:val="0"/>
          <w:caps w:val="0"/>
          <w:color w:val="0F1115"/>
          <w:spacing w:val="0"/>
          <w:sz w:val="24"/>
          <w:szCs w:val="24"/>
          <w:shd w:val="clear" w:color="auto" w:fill="FFFFFF"/>
        </w:rPr>
        <w:t>基于统一的组件运行框架，</w:t>
      </w:r>
      <w:r>
        <w:rPr>
          <w:rFonts w:ascii="Segoe UI" w:eastAsia="Segoe UI" w:hAnsi="Segoe UI" w:cs="Segoe UI" w:hint="eastAsia"/>
          <w:i w:val="0"/>
          <w:iCs w:val="0"/>
          <w:caps w:val="0"/>
          <w:color w:val="0F1115"/>
          <w:spacing w:val="0"/>
          <w:sz w:val="24"/>
          <w:szCs w:val="24"/>
          <w:shd w:val="clear" w:color="auto" w:fill="FFFFFF"/>
          <w:lang w:val="en-US" w:eastAsia="zh-CN"/>
        </w:rPr>
        <w:t>构建TCP</w:t>
      </w:r>
      <w:r>
        <w:rPr>
          <w:rFonts w:ascii="Segoe UI" w:eastAsia="Segoe UI" w:hAnsi="Segoe UI" w:cs="Segoe UI"/>
          <w:i w:val="0"/>
          <w:iCs w:val="0"/>
          <w:caps w:val="0"/>
          <w:color w:val="0F1115"/>
          <w:spacing w:val="0"/>
          <w:sz w:val="24"/>
          <w:szCs w:val="24"/>
          <w:shd w:val="clear" w:color="auto" w:fill="FFFFFF"/>
        </w:rPr>
        <w:t>协议的传输</w:t>
      </w:r>
      <w:r>
        <w:rPr>
          <w:rFonts w:ascii="Segoe UI" w:eastAsia="Segoe UI" w:hAnsi="Segoe UI" w:cs="Segoe UI" w:hint="eastAsia"/>
          <w:i w:val="0"/>
          <w:iCs w:val="0"/>
          <w:caps w:val="0"/>
          <w:color w:val="0F1115"/>
          <w:spacing w:val="0"/>
          <w:sz w:val="24"/>
          <w:szCs w:val="24"/>
          <w:shd w:val="clear" w:color="auto" w:fill="FFFFFF"/>
          <w:lang w:val="en-US" w:eastAsia="zh-CN"/>
        </w:rPr>
        <w:t>公共接入</w:t>
      </w:r>
      <w:r>
        <w:rPr>
          <w:rFonts w:ascii="Segoe UI" w:eastAsia="Segoe UI" w:hAnsi="Segoe UI" w:cs="Segoe UI"/>
          <w:i w:val="0"/>
          <w:iCs w:val="0"/>
          <w:caps w:val="0"/>
          <w:color w:val="0F1115"/>
          <w:spacing w:val="0"/>
          <w:sz w:val="24"/>
          <w:szCs w:val="24"/>
          <w:shd w:val="clear" w:color="auto" w:fill="FFFFFF"/>
        </w:rPr>
        <w:t>组件，实现与观测端的稳定对接，</w:t>
      </w:r>
      <w:r>
        <w:rPr>
          <w:rFonts w:ascii="Segoe UI" w:eastAsia="Segoe UI" w:hAnsi="Segoe UI" w:cs="Segoe UI" w:hint="eastAsia"/>
          <w:i w:val="0"/>
          <w:iCs w:val="0"/>
          <w:caps w:val="0"/>
          <w:color w:val="0F1115"/>
          <w:spacing w:val="0"/>
          <w:sz w:val="24"/>
          <w:szCs w:val="24"/>
          <w:shd w:val="clear" w:color="auto" w:fill="FFFFFF"/>
          <w:lang w:val="en-US" w:eastAsia="zh-CN"/>
        </w:rPr>
        <w:t>为短临业务</w:t>
      </w:r>
      <w:r>
        <w:rPr>
          <w:rFonts w:ascii="Segoe UI" w:eastAsia="Segoe UI" w:hAnsi="Segoe UI" w:cs="Segoe UI"/>
          <w:i w:val="0"/>
          <w:iCs w:val="0"/>
          <w:caps w:val="0"/>
          <w:color w:val="0F1115"/>
          <w:spacing w:val="0"/>
          <w:sz w:val="24"/>
          <w:szCs w:val="24"/>
          <w:shd w:val="clear" w:color="auto" w:fill="FFFFFF"/>
        </w:rPr>
        <w:t>提供高效、可靠的数据收发服务。</w:t>
      </w:r>
    </w:p>
    <w:p>
      <w:pPr>
        <w:pStyle w:val="NormalIndent"/>
        <w:rPr>
          <w:rFonts w:ascii="Segoe UI" w:eastAsia="Segoe UI" w:hAnsi="Segoe UI" w:cs="Segoe UI" w:hint="eastAsia"/>
          <w:i w:val="0"/>
          <w:iCs w:val="0"/>
          <w:caps w:val="0"/>
          <w:color w:val="0F1115"/>
          <w:spacing w:val="0"/>
          <w:sz w:val="24"/>
          <w:szCs w:val="24"/>
          <w:shd w:val="clear" w:color="auto" w:fill="FFFFFF"/>
        </w:rPr>
      </w:pP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服务接口数据收集</w:t>
      </w:r>
    </w:p>
    <w:p>
      <w:pPr>
        <w:pStyle w:val="NormalIndent"/>
        <w:rPr>
          <w:rFonts w:ascii="Segoe UI" w:eastAsia="宋体" w:hAnsi="Segoe UI" w:cs="Segoe UI" w:hint="eastAsia"/>
          <w:i w:val="0"/>
          <w:iCs w:val="0"/>
          <w:caps w:val="0"/>
          <w:color w:val="0F1115"/>
          <w:spacing w:val="0"/>
          <w:sz w:val="24"/>
          <w:szCs w:val="24"/>
          <w:shd w:val="clear" w:color="auto" w:fill="FFFFFF"/>
        </w:rPr>
      </w:pPr>
      <w:r>
        <w:rPr>
          <w:rFonts w:ascii="Segoe UI" w:eastAsia="宋体" w:hAnsi="Segoe UI" w:cs="Segoe UI" w:hint="eastAsia"/>
          <w:i w:val="0"/>
          <w:iCs w:val="0"/>
          <w:caps w:val="0"/>
          <w:color w:val="0F1115"/>
          <w:spacing w:val="0"/>
          <w:sz w:val="24"/>
          <w:szCs w:val="24"/>
          <w:shd w:val="clear" w:color="auto" w:fill="FFFFFF"/>
          <w:lang w:val="en-US" w:eastAsia="zh-CN"/>
        </w:rPr>
        <w:t>构建服务接口数据收集功能，</w:t>
      </w:r>
      <w:r>
        <w:rPr>
          <w:rFonts w:ascii="Segoe UI" w:eastAsia="Segoe UI" w:hAnsi="Segoe UI" w:cs="Segoe UI"/>
          <w:i w:val="0"/>
          <w:iCs w:val="0"/>
          <w:caps w:val="0"/>
          <w:color w:val="0F1115"/>
          <w:spacing w:val="0"/>
          <w:sz w:val="24"/>
          <w:szCs w:val="24"/>
          <w:shd w:val="clear" w:color="auto" w:fill="FFFFFF"/>
        </w:rPr>
        <w:t>初步建设面向“天擎”服务接口的数据收集能力，支持通过标准接口稳定地</w:t>
      </w:r>
      <w:r>
        <w:rPr>
          <w:rFonts w:ascii="Segoe UI" w:eastAsia="宋体" w:hAnsi="Segoe UI" w:cs="Segoe UI" w:hint="eastAsia"/>
          <w:i w:val="0"/>
          <w:iCs w:val="0"/>
          <w:caps w:val="0"/>
          <w:color w:val="0F1115"/>
          <w:spacing w:val="0"/>
          <w:sz w:val="24"/>
          <w:szCs w:val="24"/>
          <w:shd w:val="clear" w:color="auto" w:fill="FFFFFF"/>
          <w:lang w:val="en-US" w:eastAsia="zh-CN"/>
        </w:rPr>
        <w:t>获取需要收集的</w:t>
      </w:r>
      <w:r>
        <w:rPr>
          <w:rFonts w:ascii="Segoe UI" w:eastAsia="Segoe UI" w:hAnsi="Segoe UI" w:cs="Segoe UI"/>
          <w:i w:val="0"/>
          <w:iCs w:val="0"/>
          <w:caps w:val="0"/>
          <w:color w:val="0F1115"/>
          <w:spacing w:val="0"/>
          <w:sz w:val="24"/>
          <w:szCs w:val="24"/>
          <w:shd w:val="clear" w:color="auto" w:fill="FFFFFF"/>
        </w:rPr>
        <w:t>数据产品</w:t>
      </w:r>
      <w:r>
        <w:rPr>
          <w:rFonts w:ascii="Segoe UI" w:eastAsia="宋体" w:hAnsi="Segoe UI" w:cs="Segoe UI" w:hint="eastAsia"/>
          <w:i w:val="0"/>
          <w:iCs w:val="0"/>
          <w:caps w:val="0"/>
          <w:color w:val="0F1115"/>
          <w:spacing w:val="0"/>
          <w:sz w:val="24"/>
          <w:szCs w:val="24"/>
          <w:shd w:val="clear" w:color="auto" w:fill="FFFFFF"/>
          <w:lang w:eastAsia="zh-CN"/>
        </w:rPr>
        <w:t>。</w:t>
      </w:r>
    </w:p>
    <w:p>
      <w:pPr>
        <w:pStyle w:val="NormalIndent"/>
        <w:rPr>
          <w:rFonts w:ascii="Segoe UI" w:eastAsia="宋体" w:hAnsi="Segoe UI" w:cs="Segoe UI" w:hint="eastAsia"/>
          <w:i w:val="0"/>
          <w:iCs w:val="0"/>
          <w:caps w:val="0"/>
          <w:color w:val="0F1115"/>
          <w:spacing w:val="0"/>
          <w:sz w:val="24"/>
          <w:szCs w:val="24"/>
          <w:shd w:val="clear" w:color="auto" w:fill="FFFFFF"/>
        </w:rPr>
      </w:pPr>
      <w:r>
        <w:rPr>
          <w:rFonts w:ascii="仿宋_GB2312" w:eastAsia="宋体" w:hAnsi="仿宋_GB2312" w:cs="仿宋_GB2312" w:hint="eastAsia"/>
          <w:i w:val="0"/>
          <w:iCs w:val="0"/>
          <w:caps w:val="0"/>
          <w:color w:val="000000"/>
          <w:spacing w:val="0"/>
          <w:sz w:val="24"/>
          <w:szCs w:val="32"/>
          <w:highlight w:val="none"/>
        </w:rPr>
        <w:t>面向智能网格国省协同订正需求，替换数据库符合信创要求，完善系统进程守护能力保障稳定运行，形成订正数据流程记录，具备多地多中心部署、服务能力，保障多地多中心同步能力及快照完整性，具备后台化配置、监视、分析能力。</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短临数据消息打包</w:t>
      </w:r>
    </w:p>
    <w:p>
      <w:pPr>
        <w:pStyle w:val="NormalIndent"/>
        <w:rPr>
          <w:rFonts w:hint="eastAsia"/>
        </w:rPr>
      </w:pPr>
      <w:r>
        <w:rPr>
          <w:rFonts w:ascii="Segoe UI" w:eastAsia="宋体" w:hAnsi="Segoe UI" w:cs="Segoe UI" w:hint="eastAsia"/>
          <w:i w:val="0"/>
          <w:iCs w:val="0"/>
          <w:caps w:val="0"/>
          <w:color w:val="0F1115"/>
          <w:spacing w:val="0"/>
          <w:sz w:val="24"/>
          <w:szCs w:val="24"/>
          <w:shd w:val="clear" w:color="auto" w:fill="FFFFFF"/>
          <w:lang w:val="en-US" w:eastAsia="zh-CN"/>
        </w:rPr>
        <w:t>构建短临数据消息打包功能，</w:t>
      </w:r>
      <w:r>
        <w:rPr>
          <w:rFonts w:ascii="Segoe UI" w:eastAsia="Segoe UI" w:hAnsi="Segoe UI" w:cs="Segoe UI"/>
          <w:i w:val="0"/>
          <w:iCs w:val="0"/>
          <w:caps w:val="0"/>
          <w:color w:val="0F1115"/>
          <w:spacing w:val="0"/>
          <w:sz w:val="24"/>
          <w:szCs w:val="24"/>
          <w:shd w:val="clear" w:color="auto" w:fill="FFFFFF"/>
        </w:rPr>
        <w:t>针对短临预报业务中消息数据频次高、数据量大</w:t>
      </w:r>
      <w:r>
        <w:rPr>
          <w:rFonts w:ascii="Segoe UI" w:eastAsia="宋体" w:hAnsi="Segoe UI" w:cs="Segoe UI" w:hint="eastAsia"/>
          <w:i w:val="0"/>
          <w:iCs w:val="0"/>
          <w:caps w:val="0"/>
          <w:color w:val="0F1115"/>
          <w:spacing w:val="0"/>
          <w:sz w:val="24"/>
          <w:szCs w:val="24"/>
          <w:shd w:val="clear" w:color="auto" w:fill="FFFFFF"/>
          <w:lang w:eastAsia="zh-CN"/>
        </w:rPr>
        <w:t>的</w:t>
      </w:r>
      <w:r>
        <w:rPr>
          <w:rFonts w:ascii="Segoe UI" w:eastAsia="宋体" w:hAnsi="Segoe UI" w:cs="Segoe UI" w:hint="eastAsia"/>
          <w:i w:val="0"/>
          <w:iCs w:val="0"/>
          <w:caps w:val="0"/>
          <w:color w:val="0F1115"/>
          <w:spacing w:val="0"/>
          <w:sz w:val="24"/>
          <w:szCs w:val="24"/>
          <w:shd w:val="clear" w:color="auto" w:fill="FFFFFF"/>
          <w:lang w:val="en-US" w:eastAsia="zh-CN"/>
        </w:rPr>
        <w:t>情况</w:t>
      </w:r>
      <w:r>
        <w:rPr>
          <w:rFonts w:ascii="Segoe UI" w:eastAsia="Segoe UI" w:hAnsi="Segoe UI" w:cs="Segoe UI"/>
          <w:i w:val="0"/>
          <w:iCs w:val="0"/>
          <w:caps w:val="0"/>
          <w:color w:val="0F1115"/>
          <w:spacing w:val="0"/>
          <w:sz w:val="24"/>
          <w:szCs w:val="24"/>
          <w:shd w:val="clear" w:color="auto" w:fill="FFFFFF"/>
        </w:rPr>
        <w:t>，开展</w:t>
      </w:r>
      <w:r>
        <w:rPr>
          <w:rFonts w:ascii="Segoe UI" w:eastAsia="宋体" w:hAnsi="Segoe UI" w:cs="Segoe UI" w:hint="eastAsia"/>
          <w:i w:val="0"/>
          <w:iCs w:val="0"/>
          <w:caps w:val="0"/>
          <w:color w:val="0F1115"/>
          <w:spacing w:val="0"/>
          <w:sz w:val="24"/>
          <w:szCs w:val="24"/>
          <w:shd w:val="clear" w:color="auto" w:fill="FFFFFF"/>
          <w:lang w:val="en-US" w:eastAsia="zh-CN"/>
        </w:rPr>
        <w:t>消息</w:t>
      </w:r>
      <w:r>
        <w:rPr>
          <w:rFonts w:ascii="Segoe UI" w:eastAsia="Segoe UI" w:hAnsi="Segoe UI" w:cs="Segoe UI"/>
          <w:i w:val="0"/>
          <w:iCs w:val="0"/>
          <w:caps w:val="0"/>
          <w:color w:val="0F1115"/>
          <w:spacing w:val="0"/>
          <w:sz w:val="24"/>
          <w:szCs w:val="24"/>
          <w:shd w:val="clear" w:color="auto" w:fill="FFFFFF"/>
        </w:rPr>
        <w:t>打包与压缩技术研究，根据数据来源及资料类型特征</w:t>
      </w:r>
      <w:r>
        <w:rPr>
          <w:rFonts w:ascii="Segoe UI" w:eastAsia="宋体" w:hAnsi="Segoe UI" w:cs="Segoe UI" w:hint="eastAsia"/>
          <w:i w:val="0"/>
          <w:iCs w:val="0"/>
          <w:caps w:val="0"/>
          <w:color w:val="0F1115"/>
          <w:spacing w:val="0"/>
          <w:sz w:val="24"/>
          <w:szCs w:val="24"/>
          <w:shd w:val="clear" w:color="auto" w:fill="FFFFFF"/>
          <w:lang w:eastAsia="zh-CN"/>
        </w:rPr>
        <w:t>，</w:t>
      </w:r>
      <w:r>
        <w:rPr>
          <w:rFonts w:ascii="Segoe UI" w:eastAsia="Segoe UI" w:hAnsi="Segoe UI" w:cs="Segoe UI"/>
          <w:i w:val="0"/>
          <w:iCs w:val="0"/>
          <w:caps w:val="0"/>
          <w:color w:val="0F1115"/>
          <w:spacing w:val="0"/>
          <w:sz w:val="24"/>
          <w:szCs w:val="24"/>
          <w:shd w:val="clear" w:color="auto" w:fill="FFFFFF"/>
        </w:rPr>
        <w:t>制定</w:t>
      </w:r>
      <w:r>
        <w:rPr>
          <w:rFonts w:ascii="Segoe UI" w:eastAsia="宋体" w:hAnsi="Segoe UI" w:cs="Segoe UI" w:hint="eastAsia"/>
          <w:i w:val="0"/>
          <w:iCs w:val="0"/>
          <w:caps w:val="0"/>
          <w:color w:val="0F1115"/>
          <w:spacing w:val="0"/>
          <w:sz w:val="24"/>
          <w:szCs w:val="24"/>
          <w:shd w:val="clear" w:color="auto" w:fill="FFFFFF"/>
          <w:lang w:val="en-US" w:eastAsia="zh-CN"/>
        </w:rPr>
        <w:t>差异化的</w:t>
      </w:r>
      <w:r>
        <w:rPr>
          <w:rFonts w:ascii="Segoe UI" w:eastAsia="Segoe UI" w:hAnsi="Segoe UI" w:cs="Segoe UI"/>
          <w:i w:val="0"/>
          <w:iCs w:val="0"/>
          <w:caps w:val="0"/>
          <w:color w:val="0F1115"/>
          <w:spacing w:val="0"/>
          <w:sz w:val="24"/>
          <w:szCs w:val="24"/>
          <w:shd w:val="clear" w:color="auto" w:fill="FFFFFF"/>
        </w:rPr>
        <w:t>打包压缩策略，提升短临观测数据的交换效率与时效性。</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短临数据文件打包</w:t>
      </w:r>
    </w:p>
    <w:p>
      <w:pPr>
        <w:pStyle w:val="NormalIndent"/>
        <w:rPr>
          <w:rFonts w:hint="eastAsia"/>
        </w:rPr>
      </w:pPr>
      <w:r>
        <w:rPr>
          <w:rFonts w:ascii="Segoe UI" w:eastAsia="宋体" w:hAnsi="Segoe UI" w:cs="Segoe UI" w:hint="eastAsia"/>
          <w:i w:val="0"/>
          <w:iCs w:val="0"/>
          <w:caps w:val="0"/>
          <w:color w:val="0F1115"/>
          <w:spacing w:val="0"/>
          <w:sz w:val="24"/>
          <w:szCs w:val="24"/>
          <w:shd w:val="clear" w:color="auto" w:fill="FFFFFF"/>
          <w:lang w:val="en-US" w:eastAsia="zh-CN"/>
        </w:rPr>
        <w:t>构建短临数据文件打包功能，</w:t>
      </w:r>
      <w:r>
        <w:rPr>
          <w:rFonts w:ascii="Segoe UI" w:eastAsia="Segoe UI" w:hAnsi="Segoe UI" w:cs="Segoe UI"/>
          <w:i w:val="0"/>
          <w:iCs w:val="0"/>
          <w:caps w:val="0"/>
          <w:color w:val="0F1115"/>
          <w:spacing w:val="0"/>
          <w:sz w:val="24"/>
          <w:szCs w:val="24"/>
          <w:shd w:val="clear" w:color="auto" w:fill="FFFFFF"/>
        </w:rPr>
        <w:t>针对短临预报业务中高频文件</w:t>
      </w:r>
      <w:r>
        <w:rPr>
          <w:rFonts w:ascii="Segoe UI" w:eastAsia="宋体" w:hAnsi="Segoe UI" w:cs="Segoe UI" w:hint="eastAsia"/>
          <w:i w:val="0"/>
          <w:iCs w:val="0"/>
          <w:caps w:val="0"/>
          <w:color w:val="0F1115"/>
          <w:spacing w:val="0"/>
          <w:sz w:val="24"/>
          <w:szCs w:val="24"/>
          <w:shd w:val="clear" w:color="auto" w:fill="FFFFFF"/>
          <w:lang w:val="en-US" w:eastAsia="zh-CN"/>
        </w:rPr>
        <w:t>多的情况</w:t>
      </w:r>
      <w:r>
        <w:rPr>
          <w:rFonts w:ascii="Segoe UI" w:eastAsia="Segoe UI" w:hAnsi="Segoe UI" w:cs="Segoe UI"/>
          <w:i w:val="0"/>
          <w:iCs w:val="0"/>
          <w:caps w:val="0"/>
          <w:color w:val="0F1115"/>
          <w:spacing w:val="0"/>
          <w:sz w:val="24"/>
          <w:szCs w:val="24"/>
          <w:shd w:val="clear" w:color="auto" w:fill="FFFFFF"/>
        </w:rPr>
        <w:t>，开展</w:t>
      </w:r>
      <w:r>
        <w:rPr>
          <w:rFonts w:ascii="Segoe UI" w:eastAsia="宋体" w:hAnsi="Segoe UI" w:cs="Segoe UI" w:hint="eastAsia"/>
          <w:i w:val="0"/>
          <w:iCs w:val="0"/>
          <w:caps w:val="0"/>
          <w:color w:val="0F1115"/>
          <w:spacing w:val="0"/>
          <w:sz w:val="24"/>
          <w:szCs w:val="24"/>
          <w:shd w:val="clear" w:color="auto" w:fill="FFFFFF"/>
          <w:lang w:val="en-US" w:eastAsia="zh-CN"/>
        </w:rPr>
        <w:t>文件</w:t>
      </w:r>
      <w:r>
        <w:rPr>
          <w:rFonts w:ascii="Segoe UI" w:eastAsia="Segoe UI" w:hAnsi="Segoe UI" w:cs="Segoe UI"/>
          <w:i w:val="0"/>
          <w:iCs w:val="0"/>
          <w:caps w:val="0"/>
          <w:color w:val="0F1115"/>
          <w:spacing w:val="0"/>
          <w:sz w:val="24"/>
          <w:szCs w:val="24"/>
          <w:shd w:val="clear" w:color="auto" w:fill="FFFFFF"/>
        </w:rPr>
        <w:t>打包与压缩技术研究，根据数据来源及资料类型特征，制定差异化的</w:t>
      </w:r>
      <w:r>
        <w:rPr>
          <w:rFonts w:ascii="Segoe UI" w:eastAsia="宋体" w:hAnsi="Segoe UI" w:cs="Segoe UI" w:hint="eastAsia"/>
          <w:i w:val="0"/>
          <w:iCs w:val="0"/>
          <w:caps w:val="0"/>
          <w:color w:val="0F1115"/>
          <w:spacing w:val="0"/>
          <w:sz w:val="24"/>
          <w:szCs w:val="24"/>
          <w:shd w:val="clear" w:color="auto" w:fill="FFFFFF"/>
          <w:lang w:val="en-US" w:eastAsia="zh-CN"/>
        </w:rPr>
        <w:t>数据</w:t>
      </w:r>
      <w:r>
        <w:rPr>
          <w:rFonts w:ascii="Segoe UI" w:eastAsia="Segoe UI" w:hAnsi="Segoe UI" w:cs="Segoe UI"/>
          <w:i w:val="0"/>
          <w:iCs w:val="0"/>
          <w:caps w:val="0"/>
          <w:color w:val="0F1115"/>
          <w:spacing w:val="0"/>
          <w:sz w:val="24"/>
          <w:szCs w:val="24"/>
          <w:shd w:val="clear" w:color="auto" w:fill="FFFFFF"/>
        </w:rPr>
        <w:t>合并</w:t>
      </w:r>
      <w:r>
        <w:rPr>
          <w:rFonts w:ascii="Segoe UI" w:eastAsia="宋体" w:hAnsi="Segoe UI" w:cs="Segoe UI" w:hint="eastAsia"/>
          <w:i w:val="0"/>
          <w:iCs w:val="0"/>
          <w:caps w:val="0"/>
          <w:color w:val="0F1115"/>
          <w:spacing w:val="0"/>
          <w:sz w:val="24"/>
          <w:szCs w:val="24"/>
          <w:shd w:val="clear" w:color="auto" w:fill="FFFFFF"/>
          <w:lang w:val="en-US" w:eastAsia="zh-CN"/>
        </w:rPr>
        <w:t>规则</w:t>
      </w:r>
      <w:r>
        <w:rPr>
          <w:rFonts w:ascii="Segoe UI" w:eastAsia="Segoe UI" w:hAnsi="Segoe UI" w:cs="Segoe UI"/>
          <w:i w:val="0"/>
          <w:iCs w:val="0"/>
          <w:caps w:val="0"/>
          <w:color w:val="0F1115"/>
          <w:spacing w:val="0"/>
          <w:sz w:val="24"/>
          <w:szCs w:val="24"/>
          <w:shd w:val="clear" w:color="auto" w:fill="FFFFFF"/>
        </w:rPr>
        <w:t>，实现对</w:t>
      </w:r>
      <w:r>
        <w:rPr>
          <w:rFonts w:ascii="Segoe UI" w:eastAsia="宋体" w:hAnsi="Segoe UI" w:cs="Segoe UI" w:hint="eastAsia"/>
          <w:i w:val="0"/>
          <w:iCs w:val="0"/>
          <w:caps w:val="0"/>
          <w:color w:val="0F1115"/>
          <w:spacing w:val="0"/>
          <w:sz w:val="24"/>
          <w:szCs w:val="24"/>
          <w:shd w:val="clear" w:color="auto" w:fill="FFFFFF"/>
          <w:lang w:val="en-US" w:eastAsia="zh-CN"/>
        </w:rPr>
        <w:t>高频</w:t>
      </w:r>
      <w:r>
        <w:rPr>
          <w:rFonts w:ascii="Segoe UI" w:eastAsia="Segoe UI" w:hAnsi="Segoe UI" w:cs="Segoe UI"/>
          <w:i w:val="0"/>
          <w:iCs w:val="0"/>
          <w:caps w:val="0"/>
          <w:color w:val="0F1115"/>
          <w:spacing w:val="0"/>
          <w:sz w:val="24"/>
          <w:szCs w:val="24"/>
          <w:shd w:val="clear" w:color="auto" w:fill="FFFFFF"/>
        </w:rPr>
        <w:t>文件的合并封装与标准化命名，提升短临观测数据交换效率。</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lang w:val="en-US" w:eastAsia="zh-CN"/>
        </w:rPr>
        <w:t>算法公共组件调度功能升级</w:t>
      </w:r>
    </w:p>
    <w:p>
      <w:pPr>
        <w:pStyle w:val="NormalIndent"/>
        <w:rPr>
          <w:rFonts w:eastAsia="宋体" w:hint="eastAsia"/>
        </w:rPr>
      </w:pPr>
      <w:r>
        <w:rPr>
          <w:rFonts w:ascii="Segoe UI" w:eastAsia="宋体" w:hAnsi="Segoe UI" w:cs="Segoe UI" w:hint="eastAsia"/>
          <w:i w:val="0"/>
          <w:iCs w:val="0"/>
          <w:caps w:val="0"/>
          <w:color w:val="0F1115"/>
          <w:spacing w:val="0"/>
          <w:sz w:val="24"/>
          <w:szCs w:val="24"/>
          <w:shd w:val="clear" w:color="auto" w:fill="FFFFFF"/>
          <w:lang w:val="en-US" w:eastAsia="zh-CN"/>
        </w:rPr>
        <w:t>升级算法公共组件调度功能，</w:t>
      </w:r>
      <w:r>
        <w:rPr>
          <w:rFonts w:ascii="Segoe UI" w:eastAsia="Segoe UI" w:hAnsi="Segoe UI" w:cs="Segoe UI"/>
          <w:i w:val="0"/>
          <w:iCs w:val="0"/>
          <w:caps w:val="0"/>
          <w:color w:val="0F1115"/>
          <w:spacing w:val="0"/>
          <w:sz w:val="24"/>
          <w:szCs w:val="24"/>
          <w:shd w:val="clear" w:color="auto" w:fill="FFFFFF"/>
        </w:rPr>
        <w:t>为提升</w:t>
      </w:r>
      <w:r>
        <w:rPr>
          <w:rFonts w:ascii="Segoe UI" w:eastAsia="宋体" w:hAnsi="Segoe UI" w:cs="Segoe UI" w:hint="eastAsia"/>
          <w:i w:val="0"/>
          <w:iCs w:val="0"/>
          <w:caps w:val="0"/>
          <w:color w:val="0F1115"/>
          <w:spacing w:val="0"/>
          <w:sz w:val="24"/>
          <w:szCs w:val="24"/>
          <w:shd w:val="clear" w:color="auto" w:fill="FFFFFF"/>
          <w:lang w:val="en-US" w:eastAsia="zh-CN"/>
        </w:rPr>
        <w:t>短临</w:t>
      </w:r>
      <w:r>
        <w:rPr>
          <w:rFonts w:ascii="Segoe UI" w:eastAsia="Segoe UI" w:hAnsi="Segoe UI" w:cs="Segoe UI"/>
          <w:i w:val="0"/>
          <w:iCs w:val="0"/>
          <w:caps w:val="0"/>
          <w:color w:val="0F1115"/>
          <w:spacing w:val="0"/>
          <w:sz w:val="24"/>
          <w:szCs w:val="24"/>
          <w:shd w:val="clear" w:color="auto" w:fill="FFFFFF"/>
        </w:rPr>
        <w:t>数据处理流程的灵活性与可扩展性，</w:t>
      </w:r>
      <w:r>
        <w:rPr>
          <w:rFonts w:ascii="Segoe UI" w:eastAsia="宋体" w:hAnsi="Segoe UI" w:cs="Segoe UI" w:hint="eastAsia"/>
          <w:i w:val="0"/>
          <w:iCs w:val="0"/>
          <w:caps w:val="0"/>
          <w:color w:val="0F1115"/>
          <w:spacing w:val="0"/>
          <w:sz w:val="24"/>
          <w:szCs w:val="24"/>
          <w:shd w:val="clear" w:color="auto" w:fill="FFFFFF"/>
          <w:lang w:val="en-US" w:eastAsia="zh-CN"/>
        </w:rPr>
        <w:t>优化</w:t>
      </w:r>
      <w:r>
        <w:rPr>
          <w:rFonts w:ascii="Segoe UI" w:eastAsia="Segoe UI" w:hAnsi="Segoe UI" w:cs="Segoe UI"/>
          <w:i w:val="0"/>
          <w:iCs w:val="0"/>
          <w:caps w:val="0"/>
          <w:color w:val="0F1115"/>
          <w:spacing w:val="0"/>
          <w:sz w:val="24"/>
          <w:szCs w:val="24"/>
          <w:shd w:val="clear" w:color="auto" w:fill="FFFFFF"/>
        </w:rPr>
        <w:t>算法调度与管理机制，实现对文件名检查、格式检查、重复行检查、历史数据过滤等各类算法的统一注册、编排与调用，支持插件式集成与高效调度，满足多业务场景下的算法需求</w:t>
      </w:r>
      <w:r>
        <w:rPr>
          <w:rFonts w:ascii="Segoe UI" w:eastAsia="宋体" w:hAnsi="Segoe UI" w:cs="Segoe UI" w:hint="eastAsia"/>
          <w:i w:val="0"/>
          <w:iCs w:val="0"/>
          <w:caps w:val="0"/>
          <w:color w:val="0F1115"/>
          <w:spacing w:val="0"/>
          <w:sz w:val="24"/>
          <w:szCs w:val="24"/>
          <w:shd w:val="clear" w:color="auto" w:fill="FFFFFF"/>
          <w:lang w:eastAsia="zh-CN"/>
        </w:rPr>
        <w:t>。</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rPr>
        <w:t>运行管理功能升级</w:t>
      </w:r>
    </w:p>
    <w:p>
      <w:pPr>
        <w:pStyle w:val="NormalIndent"/>
        <w:rPr>
          <w:rFonts w:ascii="Segoe UI" w:eastAsia="Segoe UI" w:hAnsi="Segoe UI" w:cs="Segoe UI"/>
          <w:i w:val="0"/>
          <w:iCs w:val="0"/>
          <w:caps w:val="0"/>
          <w:color w:val="0F1115"/>
          <w:spacing w:val="0"/>
          <w:sz w:val="24"/>
          <w:szCs w:val="24"/>
          <w:highlight w:val="none"/>
          <w:shd w:val="clear" w:color="auto" w:fill="FFFFFF"/>
        </w:rPr>
      </w:pPr>
      <w:r>
        <w:rPr>
          <w:rFonts w:ascii="Segoe UI" w:eastAsia="Segoe UI" w:hAnsi="Segoe UI" w:cs="Segoe UI"/>
          <w:i w:val="0"/>
          <w:iCs w:val="0"/>
          <w:caps w:val="0"/>
          <w:color w:val="0F1115"/>
          <w:spacing w:val="0"/>
          <w:sz w:val="24"/>
          <w:szCs w:val="24"/>
          <w:highlight w:val="none"/>
          <w:shd w:val="clear" w:color="auto" w:fill="FFFFFF"/>
        </w:rPr>
        <w:t>构建统一的组件运行框架，实现组件与插件全生命周期管理及智能调度。通过动态弹性分配机制，根据实时负载灵活调配计算资源，保障业务连续性并最大化资源利用。支持插件计算资源配置、服务优先级、并发数量及运行状态集中管控，确保复杂场景下高效协同与稳定运行。优化资源利用与调度策略，有效应对业务高峰，显著提升高并发处理能力和系统稳定性，最终打造高可用、高弹性的现代化组件运行环境。</w:t>
      </w:r>
    </w:p>
    <w:p>
      <w:pPr>
        <w:pStyle w:val="NormalIndent"/>
        <w:rPr>
          <w:rFonts w:ascii="Segoe UI" w:eastAsia="Segoe UI" w:hAnsi="Segoe UI" w:cs="Segoe UI" w:hint="eastAsia"/>
          <w:i w:val="0"/>
          <w:iCs w:val="0"/>
          <w:caps w:val="0"/>
          <w:color w:val="0F1115"/>
          <w:spacing w:val="0"/>
          <w:sz w:val="24"/>
          <w:szCs w:val="24"/>
          <w:highlight w:val="none"/>
          <w:shd w:val="clear" w:color="auto" w:fill="FFFFFF"/>
          <w:lang w:val="en-US"/>
        </w:rPr>
      </w:pPr>
      <w:r>
        <w:rPr>
          <w:rFonts w:ascii="仿宋_GB2312" w:eastAsia="宋体" w:hAnsi="仿宋_GB2312" w:cs="仿宋_GB2312" w:hint="eastAsia"/>
          <w:i w:val="0"/>
          <w:iCs w:val="0"/>
          <w:caps w:val="0"/>
          <w:color w:val="000000"/>
          <w:spacing w:val="0"/>
          <w:sz w:val="24"/>
          <w:szCs w:val="32"/>
          <w:highlight w:val="none"/>
          <w:shd w:val="clear" w:color="auto" w:fill="auto"/>
        </w:rPr>
        <w:t>面向系统运维管理人员，建设国省联动统一管理后台，</w:t>
      </w:r>
      <w:r>
        <w:rPr>
          <w:rFonts w:ascii="仿宋_GB2312" w:eastAsia="宋体" w:hAnsi="仿宋_GB2312" w:cs="仿宋_GB2312" w:hint="eastAsia"/>
          <w:i w:val="0"/>
          <w:iCs w:val="0"/>
          <w:caps w:val="0"/>
          <w:color w:val="000000"/>
          <w:spacing w:val="0"/>
          <w:sz w:val="24"/>
          <w:szCs w:val="32"/>
          <w:highlight w:val="none"/>
          <w:shd w:val="clear" w:color="auto" w:fill="auto"/>
          <w:lang w:val="en-US" w:eastAsia="zh-CN"/>
        </w:rPr>
        <w:t>建立</w:t>
      </w:r>
      <w:r>
        <w:rPr>
          <w:rFonts w:ascii="仿宋_GB2312" w:eastAsia="宋体" w:hAnsi="仿宋_GB2312" w:cs="仿宋_GB2312" w:hint="eastAsia"/>
          <w:i w:val="0"/>
          <w:iCs w:val="0"/>
          <w:caps w:val="0"/>
          <w:color w:val="000000"/>
          <w:spacing w:val="0"/>
          <w:sz w:val="24"/>
          <w:szCs w:val="32"/>
          <w:highlight w:val="none"/>
          <w:shd w:val="clear" w:color="auto" w:fill="auto"/>
        </w:rPr>
        <w:t>“统一身份、统一用户授权、统一运维、统一设置”</w:t>
      </w:r>
      <w:r>
        <w:rPr>
          <w:rFonts w:ascii="仿宋_GB2312" w:eastAsia="宋体" w:hAnsi="仿宋_GB2312" w:cs="仿宋_GB2312" w:hint="eastAsia"/>
          <w:i w:val="0"/>
          <w:iCs w:val="0"/>
          <w:caps w:val="0"/>
          <w:color w:val="000000"/>
          <w:spacing w:val="0"/>
          <w:sz w:val="24"/>
          <w:szCs w:val="32"/>
          <w:highlight w:val="none"/>
          <w:shd w:val="clear" w:color="auto" w:fill="auto"/>
          <w:lang w:val="en-US" w:eastAsia="zh-CN"/>
        </w:rPr>
        <w:t>能力</w:t>
      </w:r>
      <w:r>
        <w:rPr>
          <w:rFonts w:ascii="仿宋_GB2312" w:eastAsia="宋体" w:hAnsi="仿宋_GB2312" w:cs="仿宋_GB2312" w:hint="eastAsia"/>
          <w:i w:val="0"/>
          <w:iCs w:val="0"/>
          <w:caps w:val="0"/>
          <w:color w:val="000000"/>
          <w:spacing w:val="0"/>
          <w:sz w:val="24"/>
          <w:szCs w:val="32"/>
          <w:highlight w:val="none"/>
          <w:shd w:val="clear" w:color="auto" w:fill="auto"/>
        </w:rPr>
        <w:t>，实现数据传输、处理、存储、</w:t>
      </w:r>
      <w:r>
        <w:rPr>
          <w:rFonts w:ascii="仿宋_GB2312" w:eastAsia="宋体" w:hAnsi="仿宋_GB2312" w:cs="仿宋_GB2312" w:hint="eastAsia"/>
          <w:i w:val="0"/>
          <w:iCs w:val="0"/>
          <w:caps w:val="0"/>
          <w:color w:val="000000"/>
          <w:spacing w:val="0"/>
          <w:sz w:val="24"/>
          <w:szCs w:val="32"/>
          <w:highlight w:val="none"/>
          <w:shd w:val="clear" w:color="auto" w:fill="auto"/>
          <w:lang w:val="en-US" w:eastAsia="zh-CN"/>
        </w:rPr>
        <w:t>服务</w:t>
      </w:r>
      <w:r>
        <w:rPr>
          <w:rFonts w:ascii="仿宋_GB2312" w:eastAsia="宋体" w:hAnsi="仿宋_GB2312" w:cs="仿宋_GB2312" w:hint="eastAsia"/>
          <w:i w:val="0"/>
          <w:iCs w:val="0"/>
          <w:caps w:val="0"/>
          <w:color w:val="000000"/>
          <w:spacing w:val="0"/>
          <w:sz w:val="24"/>
          <w:szCs w:val="32"/>
          <w:highlight w:val="none"/>
          <w:shd w:val="clear" w:color="auto" w:fill="auto"/>
        </w:rPr>
        <w:t>、监控等业务全流程打通，具备一站式办结业务管理、运维保障</w:t>
      </w:r>
      <w:r>
        <w:rPr>
          <w:rFonts w:ascii="仿宋_GB2312" w:eastAsia="宋体" w:hAnsi="仿宋_GB2312" w:cs="仿宋_GB2312" w:hint="eastAsia"/>
          <w:i w:val="0"/>
          <w:iCs w:val="0"/>
          <w:caps w:val="0"/>
          <w:color w:val="000000"/>
          <w:spacing w:val="0"/>
          <w:sz w:val="24"/>
          <w:szCs w:val="32"/>
          <w:highlight w:val="none"/>
          <w:shd w:val="clear" w:color="auto" w:fill="auto"/>
          <w:lang w:val="en-US" w:eastAsia="zh-CN"/>
        </w:rPr>
        <w:t>管理</w:t>
      </w:r>
      <w:r>
        <w:rPr>
          <w:rFonts w:ascii="仿宋_GB2312" w:eastAsia="宋体" w:hAnsi="仿宋_GB2312" w:cs="仿宋_GB2312" w:hint="eastAsia"/>
          <w:i w:val="0"/>
          <w:iCs w:val="0"/>
          <w:caps w:val="0"/>
          <w:color w:val="000000"/>
          <w:spacing w:val="0"/>
          <w:sz w:val="24"/>
          <w:szCs w:val="32"/>
          <w:highlight w:val="none"/>
          <w:shd w:val="clear" w:color="auto" w:fill="auto"/>
        </w:rPr>
        <w:t>及灵活可控的总体配置</w:t>
      </w:r>
      <w:r>
        <w:rPr>
          <w:rFonts w:ascii="仿宋_GB2312" w:eastAsia="宋体" w:hAnsi="仿宋_GB2312" w:cs="仿宋_GB2312" w:hint="eastAsia"/>
          <w:i w:val="0"/>
          <w:iCs w:val="0"/>
          <w:caps w:val="0"/>
          <w:color w:val="000000"/>
          <w:spacing w:val="0"/>
          <w:sz w:val="24"/>
          <w:szCs w:val="32"/>
          <w:highlight w:val="none"/>
          <w:shd w:val="clear" w:color="auto" w:fill="auto"/>
          <w:lang w:val="en-US" w:eastAsia="zh-CN"/>
        </w:rPr>
        <w:t>功能</w:t>
      </w:r>
      <w:r>
        <w:rPr>
          <w:rFonts w:ascii="仿宋_GB2312" w:eastAsia="宋体" w:hAnsi="仿宋_GB2312" w:cs="仿宋_GB2312" w:hint="eastAsia"/>
          <w:i w:val="0"/>
          <w:iCs w:val="0"/>
          <w:caps w:val="0"/>
          <w:color w:val="000000"/>
          <w:spacing w:val="0"/>
          <w:sz w:val="24"/>
          <w:szCs w:val="32"/>
          <w:highlight w:val="none"/>
          <w:shd w:val="clear" w:color="auto" w:fill="auto"/>
        </w:rPr>
        <w:t>；在优化管理模式的同时，为管理员一专多能能力的培养与实践锻炼提供有力支撑</w:t>
      </w:r>
      <w:r>
        <w:rPr>
          <w:rFonts w:ascii="仿宋_GB2312" w:eastAsia="宋体" w:hAnsi="仿宋_GB2312" w:cs="仿宋_GB2312" w:hint="eastAsia"/>
          <w:i w:val="0"/>
          <w:iCs w:val="0"/>
          <w:caps w:val="0"/>
          <w:color w:val="000000"/>
          <w:spacing w:val="0"/>
          <w:sz w:val="24"/>
          <w:szCs w:val="32"/>
          <w:highlight w:val="none"/>
          <w:shd w:val="clear" w:color="auto" w:fill="auto"/>
          <w:lang w:eastAsia="zh-CN"/>
        </w:rPr>
        <w:t>。</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rPr>
        <w:t>插件注册管理</w:t>
      </w:r>
    </w:p>
    <w:p>
      <w:pPr>
        <w:pStyle w:val="NormalIndent"/>
        <w:rPr>
          <w:rFonts w:ascii="仿宋_GB2312" w:eastAsia="宋体" w:hAnsi="仿宋_GB2312" w:cs="仿宋_GB2312" w:hint="eastAsia"/>
          <w:color w:val="000000"/>
          <w:szCs w:val="32"/>
          <w:highlight w:val="none"/>
          <w:lang w:val="en-US"/>
        </w:rPr>
      </w:pPr>
      <w:r>
        <w:rPr>
          <w:rFonts w:ascii="Segoe UI" w:eastAsia="Segoe UI" w:hAnsi="Segoe UI" w:cs="Segoe UI"/>
          <w:i w:val="0"/>
          <w:iCs w:val="0"/>
          <w:caps w:val="0"/>
          <w:color w:val="0F1115"/>
          <w:spacing w:val="0"/>
          <w:sz w:val="24"/>
          <w:szCs w:val="24"/>
          <w:highlight w:val="none"/>
          <w:shd w:val="clear" w:color="auto" w:fill="FFFFFF"/>
        </w:rPr>
        <w:t>为有效管理插件的整个生命周期，确保系统的稳定性和可扩展性，建设插件注册管理模块。该模块将提供统一的插件注册与信息维护机制，支持插件的基础信息、版本号、依赖关系、接口定义等元数据的集中存储与管理。通过可视化的管理界面，管理员可方便地完成插件的注册、启用、停止、升级、卸载及删除等全生命周期操作，并支持插件版本控制</w:t>
      </w:r>
      <w:r>
        <w:rPr>
          <w:rFonts w:ascii="Segoe UI" w:eastAsia="宋体" w:hAnsi="Segoe UI" w:cs="Segoe UI" w:hint="eastAsia"/>
          <w:i w:val="0"/>
          <w:iCs w:val="0"/>
          <w:caps w:val="0"/>
          <w:color w:val="0F1115"/>
          <w:spacing w:val="0"/>
          <w:sz w:val="24"/>
          <w:szCs w:val="24"/>
          <w:highlight w:val="none"/>
          <w:shd w:val="clear" w:color="auto" w:fill="FFFFFF"/>
          <w:lang w:val="en-US" w:eastAsia="zh-CN"/>
        </w:rPr>
        <w:t>和</w:t>
      </w:r>
      <w:r>
        <w:rPr>
          <w:rFonts w:ascii="Segoe UI" w:eastAsia="Segoe UI" w:hAnsi="Segoe UI" w:cs="Segoe UI"/>
          <w:i w:val="0"/>
          <w:iCs w:val="0"/>
          <w:caps w:val="0"/>
          <w:color w:val="0F1115"/>
          <w:spacing w:val="0"/>
          <w:sz w:val="24"/>
          <w:szCs w:val="24"/>
          <w:highlight w:val="none"/>
          <w:shd w:val="clear" w:color="auto" w:fill="FFFFFF"/>
        </w:rPr>
        <w:t>发布，降低变更风险。</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rPr>
        <w:t>插件数据准入授权</w:t>
      </w:r>
    </w:p>
    <w:p>
      <w:pPr>
        <w:pStyle w:val="NormalIndent"/>
        <w:rPr>
          <w:rFonts w:ascii="仿宋_GB2312" w:eastAsia="宋体" w:hAnsi="仿宋_GB2312" w:cs="仿宋_GB2312" w:hint="eastAsia"/>
          <w:color w:val="000000"/>
          <w:szCs w:val="32"/>
          <w:highlight w:val="none"/>
          <w:lang w:val="en-US"/>
        </w:rPr>
      </w:pPr>
      <w:r>
        <w:rPr>
          <w:rFonts w:ascii="Segoe UI" w:eastAsia="Segoe UI" w:hAnsi="Segoe UI" w:cs="Segoe UI"/>
          <w:i w:val="0"/>
          <w:iCs w:val="0"/>
          <w:caps w:val="0"/>
          <w:color w:val="0F1115"/>
          <w:spacing w:val="0"/>
          <w:sz w:val="24"/>
          <w:szCs w:val="24"/>
          <w:highlight w:val="none"/>
          <w:shd w:val="clear" w:color="auto" w:fill="FFFFFF"/>
        </w:rPr>
        <w:t>建设插件数据准入授权模块，构建严格的数据安全管控体系，确保插件访问数据时遵循统一安全策略。该模块实现权限定义、申请、审核、授予到撤销的全生命周期管理，运行时强制执行访问拦截与鉴权，防止越权访问；支持动态权限调整与临时授权，降低风险。同时记录完整权限变更与操作日志，便于安全审计，全面保障数据机密性与完整性。</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rPr>
        <w:t>传输路由生成</w:t>
      </w:r>
    </w:p>
    <w:p>
      <w:pPr>
        <w:pStyle w:val="NormalIndent"/>
        <w:rPr>
          <w:rFonts w:ascii="仿宋_GB2312" w:eastAsia="宋体" w:hAnsi="仿宋_GB2312" w:cs="仿宋_GB2312" w:hint="eastAsia"/>
          <w:color w:val="000000"/>
          <w:szCs w:val="32"/>
          <w:highlight w:val="none"/>
          <w:lang w:val="en-US"/>
        </w:rPr>
      </w:pPr>
      <w:r>
        <w:rPr>
          <w:rFonts w:ascii="Segoe UI" w:eastAsia="Segoe UI" w:hAnsi="Segoe UI" w:cs="Segoe UI"/>
          <w:i w:val="0"/>
          <w:iCs w:val="0"/>
          <w:caps w:val="0"/>
          <w:color w:val="0F1115"/>
          <w:spacing w:val="0"/>
          <w:sz w:val="24"/>
          <w:szCs w:val="24"/>
          <w:highlight w:val="none"/>
          <w:shd w:val="clear" w:color="auto" w:fill="FFFFFF"/>
        </w:rPr>
        <w:t>为简化传输路由配置流程，建设智能化传输路由生成模块。插件完成注册后，系统依据插件元数据及预设策略，自动生成完整的数据传输路由信息，包括传输目的地（支持多目标分发）、传输频次（如实时、定时、批量）、数据检查算法、压缩格式及失败重试策略等。生成的路由将同步至下游传输服务，实现数据接入与传输策略的无缝衔接，无需人工干预。同时，提供可视化管理界面，支持对自动生成的路由进行自定义调整，确保数据传输的灵活性与可靠性，有效提升集成效率。</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rPr>
        <w:t>统一安全认证对接</w:t>
      </w:r>
    </w:p>
    <w:p>
      <w:pPr>
        <w:pStyle w:val="NormalIndent"/>
        <w:rPr>
          <w:rFonts w:ascii="仿宋_GB2312" w:eastAsia="宋体" w:hAnsi="仿宋_GB2312" w:cs="仿宋_GB2312" w:hint="eastAsia"/>
          <w:color w:val="000000"/>
          <w:szCs w:val="32"/>
          <w:highlight w:val="none"/>
          <w:lang w:val="en-US"/>
        </w:rPr>
      </w:pPr>
      <w:r>
        <w:rPr>
          <w:rFonts w:ascii="仿宋_GB2312" w:eastAsia="宋体" w:hAnsi="仿宋_GB2312" w:cs="仿宋_GB2312" w:hint="eastAsia"/>
          <w:color w:val="000000"/>
          <w:szCs w:val="32"/>
          <w:highlight w:val="none"/>
          <w:lang w:val="en-US" w:eastAsia="zh-CN"/>
        </w:rPr>
        <w:t>提供统一用户身份认证接口，对接用户身份认证系统，实现用户与“天擎”的统一安全认证。防止来自内部的意外操作或者恶意攻击，或者被未授权用户随意修改配置，满足安全合规要求。</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rPr>
        <w:t>数据压缩与解压组件</w:t>
      </w:r>
    </w:p>
    <w:p>
      <w:pPr>
        <w:pStyle w:val="NormalIndent"/>
        <w:rPr>
          <w:rFonts w:ascii="仿宋_GB2312" w:eastAsia="宋体" w:hAnsi="仿宋_GB2312" w:cs="仿宋_GB2312" w:hint="eastAsia"/>
          <w:color w:val="000000"/>
          <w:szCs w:val="32"/>
          <w:highlight w:val="none"/>
          <w:lang w:val="en-US"/>
        </w:rPr>
      </w:pPr>
      <w:r>
        <w:rPr>
          <w:rFonts w:ascii="Segoe UI" w:eastAsia="Segoe UI" w:hAnsi="Segoe UI" w:cs="Segoe UI"/>
          <w:i w:val="0"/>
          <w:iCs w:val="0"/>
          <w:caps w:val="0"/>
          <w:color w:val="0F1115"/>
          <w:spacing w:val="0"/>
          <w:sz w:val="24"/>
          <w:szCs w:val="24"/>
          <w:highlight w:val="none"/>
          <w:shd w:val="clear" w:color="auto" w:fill="FFFFFF"/>
        </w:rPr>
        <w:t>建设统一的数据压缩与解压组件，该组件提供灵活的数据压缩能力，支持多种主流压缩算法，用户可根据业务场景按需选择压缩级别，对单体大文件或数据流进行高效压缩，显著降低文件体积，减少网络传输耗时与带宽占用。同时，组件内置完善的解压引擎，支持自动识别压缩格式并完成解压，确保上下游系统数据无缝对接。</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rPr>
        <w:t>高并发传输管理</w:t>
      </w:r>
    </w:p>
    <w:p>
      <w:pPr>
        <w:pStyle w:val="NormalIndent"/>
        <w:rPr>
          <w:rFonts w:ascii="仿宋_GB2312" w:eastAsia="宋体" w:hAnsi="仿宋_GB2312" w:cs="仿宋_GB2312" w:hint="eastAsia"/>
          <w:color w:val="000000"/>
          <w:szCs w:val="32"/>
          <w:highlight w:val="none"/>
          <w:lang w:val="en-US"/>
        </w:rPr>
      </w:pPr>
      <w:r>
        <w:rPr>
          <w:rFonts w:ascii="Segoe UI" w:eastAsia="Segoe UI" w:hAnsi="Segoe UI" w:cs="Segoe UI"/>
          <w:i w:val="0"/>
          <w:iCs w:val="0"/>
          <w:caps w:val="0"/>
          <w:color w:val="0F1115"/>
          <w:spacing w:val="0"/>
          <w:sz w:val="24"/>
          <w:szCs w:val="24"/>
          <w:highlight w:val="none"/>
          <w:shd w:val="clear" w:color="auto" w:fill="FFFFFF"/>
        </w:rPr>
        <w:t>建设统一的高并发传输管理模块，旨在高效处理海量数据传输任务，确保系统在高负载下的稳定性与可靠性</w:t>
      </w:r>
      <w:r>
        <w:rPr>
          <w:rFonts w:ascii="仿宋_GB2312" w:eastAsia="宋体" w:hAnsi="仿宋_GB2312" w:cs="仿宋_GB2312" w:hint="eastAsia"/>
          <w:color w:val="000000"/>
          <w:szCs w:val="32"/>
          <w:highlight w:val="none"/>
          <w:lang w:val="en-US" w:eastAsia="zh-CN"/>
        </w:rPr>
        <w:t>。</w:t>
      </w:r>
      <w:r>
        <w:rPr>
          <w:rFonts w:ascii="Segoe UI" w:eastAsia="Segoe UI" w:hAnsi="Segoe UI" w:cs="Segoe UI"/>
          <w:i w:val="0"/>
          <w:iCs w:val="0"/>
          <w:caps w:val="0"/>
          <w:color w:val="0F1115"/>
          <w:spacing w:val="0"/>
          <w:sz w:val="24"/>
          <w:szCs w:val="24"/>
          <w:highlight w:val="none"/>
          <w:shd w:val="clear" w:color="auto" w:fill="FFFFFF"/>
        </w:rPr>
        <w:t>。该模块支持多优先级队列与</w:t>
      </w:r>
      <w:r>
        <w:rPr>
          <w:rFonts w:ascii="仿宋_GB2312" w:eastAsia="宋体" w:hAnsi="仿宋_GB2312" w:cs="仿宋_GB2312" w:hint="eastAsia"/>
          <w:color w:val="000000"/>
          <w:szCs w:val="32"/>
          <w:highlight w:val="none"/>
          <w:lang w:val="en-US" w:eastAsia="zh-CN"/>
        </w:rPr>
        <w:t>任务调度</w:t>
      </w:r>
      <w:r>
        <w:rPr>
          <w:rFonts w:ascii="Segoe UI" w:eastAsia="Segoe UI" w:hAnsi="Segoe UI" w:cs="Segoe UI"/>
          <w:i w:val="0"/>
          <w:iCs w:val="0"/>
          <w:caps w:val="0"/>
          <w:color w:val="0F1115"/>
          <w:spacing w:val="0"/>
          <w:sz w:val="24"/>
          <w:szCs w:val="24"/>
          <w:highlight w:val="none"/>
          <w:shd w:val="clear" w:color="auto" w:fill="FFFFFF"/>
        </w:rPr>
        <w:t>可合理分配传输资源，避免系统过载。结合</w:t>
      </w:r>
      <w:r>
        <w:rPr>
          <w:rFonts w:ascii="仿宋_GB2312" w:eastAsia="宋体" w:hAnsi="仿宋_GB2312" w:cs="仿宋_GB2312" w:hint="eastAsia"/>
          <w:color w:val="000000"/>
          <w:szCs w:val="32"/>
          <w:highlight w:val="none"/>
          <w:lang w:val="en-US" w:eastAsia="zh-CN"/>
        </w:rPr>
        <w:t>流量控制、错误重试、断点续传等功能，</w:t>
      </w:r>
      <w:r>
        <w:rPr>
          <w:rFonts w:ascii="Segoe UI" w:eastAsia="Segoe UI" w:hAnsi="Segoe UI" w:cs="Segoe UI"/>
          <w:i w:val="0"/>
          <w:iCs w:val="0"/>
          <w:caps w:val="0"/>
          <w:color w:val="0F1115"/>
          <w:spacing w:val="0"/>
          <w:sz w:val="24"/>
          <w:szCs w:val="24"/>
          <w:highlight w:val="none"/>
          <w:shd w:val="clear" w:color="auto" w:fill="FFFFFF"/>
        </w:rPr>
        <w:t>保障数据传输的完整性与一致性。</w:t>
      </w:r>
      <w:r>
        <w:rPr>
          <w:rFonts w:ascii="仿宋_GB2312" w:eastAsia="宋体" w:hAnsi="仿宋_GB2312" w:cs="仿宋_GB2312" w:hint="eastAsia"/>
          <w:color w:val="000000"/>
          <w:szCs w:val="32"/>
          <w:highlight w:val="none"/>
          <w:lang w:val="en-US" w:eastAsia="zh-CN"/>
        </w:rPr>
        <w:t>同时</w:t>
      </w:r>
      <w:r>
        <w:rPr>
          <w:rFonts w:ascii="Segoe UI" w:eastAsia="Segoe UI" w:hAnsi="Segoe UI" w:cs="Segoe UI"/>
          <w:i w:val="0"/>
          <w:iCs w:val="0"/>
          <w:caps w:val="0"/>
          <w:color w:val="0F1115"/>
          <w:spacing w:val="0"/>
          <w:sz w:val="24"/>
          <w:szCs w:val="24"/>
          <w:highlight w:val="none"/>
          <w:shd w:val="clear" w:color="auto" w:fill="FFFFFF"/>
        </w:rPr>
        <w:t>采用多线程并发传输架构</w:t>
      </w:r>
      <w:r>
        <w:rPr>
          <w:rFonts w:ascii="仿宋_GB2312" w:eastAsia="宋体" w:hAnsi="仿宋_GB2312" w:cs="仿宋_GB2312" w:hint="eastAsia"/>
          <w:color w:val="000000"/>
          <w:szCs w:val="32"/>
          <w:highlight w:val="none"/>
          <w:lang w:val="en-US" w:eastAsia="zh-CN"/>
        </w:rPr>
        <w:t>，有效应对高峰期数据压力，提升系统整体性能，保障数据传输过程的安全可靠。</w:t>
      </w:r>
      <w:r>
        <w:rPr>
          <w:rFonts w:ascii="Segoe UI" w:eastAsia="Segoe UI" w:hAnsi="Segoe UI" w:cs="Segoe UI"/>
          <w:i w:val="0"/>
          <w:iCs w:val="0"/>
          <w:caps w:val="0"/>
          <w:color w:val="0F1115"/>
          <w:spacing w:val="0"/>
          <w:sz w:val="24"/>
          <w:szCs w:val="24"/>
          <w:highlight w:val="none"/>
          <w:shd w:val="clear" w:color="auto" w:fill="FFFFFF"/>
        </w:rPr>
        <w:t>同时，提供实时传输状态监控</w:t>
      </w:r>
      <w:r>
        <w:rPr>
          <w:rFonts w:ascii="Segoe UI" w:eastAsia="宋体" w:hAnsi="Segoe UI" w:cs="Segoe UI" w:hint="eastAsia"/>
          <w:i w:val="0"/>
          <w:iCs w:val="0"/>
          <w:caps w:val="0"/>
          <w:color w:val="0F1115"/>
          <w:spacing w:val="0"/>
          <w:sz w:val="24"/>
          <w:szCs w:val="24"/>
          <w:highlight w:val="none"/>
          <w:shd w:val="clear" w:color="auto" w:fill="FFFFFF"/>
          <w:lang w:eastAsia="zh-CN"/>
        </w:rPr>
        <w:t>，</w:t>
      </w:r>
      <w:r>
        <w:rPr>
          <w:rFonts w:ascii="仿宋_GB2312" w:eastAsia="宋体" w:hAnsi="仿宋_GB2312" w:cs="仿宋_GB2312" w:hint="eastAsia"/>
          <w:color w:val="000000"/>
          <w:szCs w:val="32"/>
          <w:highlight w:val="none"/>
          <w:lang w:val="en-US" w:eastAsia="zh-CN"/>
        </w:rPr>
        <w:t>能够实时监控传输状态。</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rPr>
        <w:t>历史数据过滤算法组件</w:t>
      </w:r>
    </w:p>
    <w:p>
      <w:pPr>
        <w:pStyle w:val="NormalIndent"/>
        <w:rPr>
          <w:rFonts w:ascii="仿宋_GB2312" w:eastAsia="宋体" w:hAnsi="仿宋_GB2312" w:cs="仿宋_GB2312" w:hint="eastAsia"/>
          <w:color w:val="000000"/>
          <w:szCs w:val="32"/>
          <w:highlight w:val="none"/>
          <w:lang w:val="en-US"/>
        </w:rPr>
      </w:pPr>
      <w:r>
        <w:rPr>
          <w:rFonts w:ascii="仿宋_GB2312" w:eastAsia="宋体" w:hAnsi="仿宋_GB2312" w:cs="仿宋_GB2312" w:hint="eastAsia"/>
          <w:color w:val="000000"/>
          <w:szCs w:val="32"/>
          <w:highlight w:val="none"/>
          <w:lang w:val="en-US" w:eastAsia="zh-CN"/>
        </w:rPr>
        <w:t>根据业务需求和数据特点，制定一套历史数据检查过滤规则，实现对数据检查并过滤无效的历史数据，减少对后端流程的处理压力。历史数据过滤算法需要根据算法调度进行统一的运行调度。</w:t>
      </w:r>
    </w:p>
    <w:p>
      <w:pPr>
        <w:pStyle w:val="NormalIndent"/>
        <w:rPr>
          <w:rFonts w:ascii="仿宋_GB2312" w:eastAsia="宋体" w:hAnsi="仿宋_GB2312" w:cs="仿宋_GB2312" w:hint="eastAsia"/>
          <w:color w:val="000000"/>
          <w:szCs w:val="32"/>
          <w:highlight w:val="none"/>
          <w:lang w:val="en-US"/>
        </w:rPr>
      </w:pPr>
      <w:r>
        <w:rPr>
          <w:rFonts w:ascii="Segoe UI" w:eastAsia="Segoe UI" w:hAnsi="Segoe UI" w:cs="Segoe UI"/>
          <w:i w:val="0"/>
          <w:iCs w:val="0"/>
          <w:caps w:val="0"/>
          <w:color w:val="0F1115"/>
          <w:spacing w:val="0"/>
          <w:sz w:val="24"/>
          <w:szCs w:val="24"/>
          <w:highlight w:val="none"/>
          <w:shd w:val="clear" w:color="auto" w:fill="FFFFFF"/>
        </w:rPr>
        <w:t>建设统一的历史数据过滤算法组件，旨在提升数据质量并降低后端流程处理压力。</w:t>
      </w:r>
      <w:r>
        <w:rPr>
          <w:rFonts w:ascii="仿宋_GB2312" w:eastAsia="宋体" w:hAnsi="仿宋_GB2312" w:cs="仿宋_GB2312" w:hint="eastAsia"/>
          <w:color w:val="000000"/>
          <w:szCs w:val="32"/>
          <w:highlight w:val="none"/>
          <w:lang w:val="en-US" w:eastAsia="zh-CN"/>
        </w:rPr>
        <w:t>根据业务需求和数据特点，制定一套历史数据检查过滤规则，</w:t>
      </w:r>
      <w:r>
        <w:rPr>
          <w:rFonts w:ascii="Segoe UI" w:eastAsia="Segoe UI" w:hAnsi="Segoe UI" w:cs="Segoe UI"/>
          <w:i w:val="0"/>
          <w:iCs w:val="0"/>
          <w:caps w:val="0"/>
          <w:color w:val="0F1115"/>
          <w:spacing w:val="0"/>
          <w:sz w:val="24"/>
          <w:szCs w:val="24"/>
          <w:highlight w:val="none"/>
          <w:shd w:val="clear" w:color="auto" w:fill="FFFFFF"/>
        </w:rPr>
        <w:t>该组件</w:t>
      </w:r>
      <w:r>
        <w:rPr>
          <w:rFonts w:ascii="Segoe UI" w:eastAsia="宋体" w:hAnsi="Segoe UI" w:cs="Segoe UI" w:hint="eastAsia"/>
          <w:i w:val="0"/>
          <w:iCs w:val="0"/>
          <w:caps w:val="0"/>
          <w:color w:val="0F1115"/>
          <w:spacing w:val="0"/>
          <w:sz w:val="24"/>
          <w:szCs w:val="24"/>
          <w:highlight w:val="none"/>
          <w:shd w:val="clear" w:color="auto" w:fill="FFFFFF"/>
          <w:lang w:val="en-US" w:eastAsia="zh-CN"/>
        </w:rPr>
        <w:t>根据</w:t>
      </w:r>
      <w:r>
        <w:rPr>
          <w:rFonts w:ascii="仿宋_GB2312" w:eastAsia="宋体" w:hAnsi="仿宋_GB2312" w:cs="仿宋_GB2312" w:hint="eastAsia"/>
          <w:color w:val="000000"/>
          <w:szCs w:val="32"/>
          <w:highlight w:val="none"/>
          <w:lang w:val="en-US" w:eastAsia="zh-CN"/>
        </w:rPr>
        <w:t>过滤规则，实现</w:t>
      </w:r>
      <w:r>
        <w:rPr>
          <w:rFonts w:ascii="Segoe UI" w:eastAsia="Segoe UI" w:hAnsi="Segoe UI" w:cs="Segoe UI"/>
          <w:i w:val="0"/>
          <w:iCs w:val="0"/>
          <w:caps w:val="0"/>
          <w:color w:val="0F1115"/>
          <w:spacing w:val="0"/>
          <w:sz w:val="24"/>
          <w:szCs w:val="24"/>
          <w:highlight w:val="none"/>
          <w:shd w:val="clear" w:color="auto" w:fill="FFFFFF"/>
        </w:rPr>
        <w:t>自动识别并过滤无效、冗余</w:t>
      </w:r>
      <w:r>
        <w:rPr>
          <w:rFonts w:ascii="Segoe UI" w:eastAsia="宋体" w:hAnsi="Segoe UI" w:cs="Segoe UI" w:hint="eastAsia"/>
          <w:i w:val="0"/>
          <w:iCs w:val="0"/>
          <w:caps w:val="0"/>
          <w:color w:val="0F1115"/>
          <w:spacing w:val="0"/>
          <w:sz w:val="24"/>
          <w:szCs w:val="24"/>
          <w:highlight w:val="none"/>
          <w:shd w:val="clear" w:color="auto" w:fill="FFFFFF"/>
          <w:lang w:val="en-US" w:eastAsia="zh-CN"/>
        </w:rPr>
        <w:t>的历史</w:t>
      </w:r>
      <w:r>
        <w:rPr>
          <w:rFonts w:ascii="Segoe UI" w:eastAsia="Segoe UI" w:hAnsi="Segoe UI" w:cs="Segoe UI"/>
          <w:i w:val="0"/>
          <w:iCs w:val="0"/>
          <w:caps w:val="0"/>
          <w:color w:val="0F1115"/>
          <w:spacing w:val="0"/>
          <w:sz w:val="24"/>
          <w:szCs w:val="24"/>
          <w:highlight w:val="none"/>
          <w:shd w:val="clear" w:color="auto" w:fill="FFFFFF"/>
        </w:rPr>
        <w:t>数据，从而减少后续存储、计算及分发的资源消耗。同时，提供过滤结果统计与监控日志，便于</w:t>
      </w:r>
      <w:r>
        <w:rPr>
          <w:rFonts w:ascii="Segoe UI" w:eastAsia="宋体" w:hAnsi="Segoe UI" w:cs="Segoe UI" w:hint="eastAsia"/>
          <w:i w:val="0"/>
          <w:iCs w:val="0"/>
          <w:caps w:val="0"/>
          <w:color w:val="0F1115"/>
          <w:spacing w:val="0"/>
          <w:sz w:val="24"/>
          <w:szCs w:val="24"/>
          <w:highlight w:val="none"/>
          <w:shd w:val="clear" w:color="auto" w:fill="FFFFFF"/>
          <w:lang w:val="en-US" w:eastAsia="zh-CN"/>
        </w:rPr>
        <w:t>统一和</w:t>
      </w:r>
      <w:r>
        <w:rPr>
          <w:rFonts w:ascii="Segoe UI" w:eastAsia="Segoe UI" w:hAnsi="Segoe UI" w:cs="Segoe UI"/>
          <w:i w:val="0"/>
          <w:iCs w:val="0"/>
          <w:caps w:val="0"/>
          <w:color w:val="0F1115"/>
          <w:spacing w:val="0"/>
          <w:sz w:val="24"/>
          <w:szCs w:val="24"/>
          <w:highlight w:val="none"/>
          <w:shd w:val="clear" w:color="auto" w:fill="FFFFFF"/>
        </w:rPr>
        <w:t>策略调优，为数据治理和系统效能提升提供有力支撑。</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rPr>
        <w:t>数据传输处理流程升级</w:t>
      </w:r>
    </w:p>
    <w:p>
      <w:pPr>
        <w:pStyle w:val="NormalIndent"/>
        <w:rPr>
          <w:rFonts w:ascii="仿宋_GB2312" w:eastAsia="宋体" w:hAnsi="仿宋_GB2312" w:cs="仿宋_GB2312" w:hint="eastAsia"/>
          <w:color w:val="000000"/>
          <w:szCs w:val="32"/>
          <w:highlight w:val="none"/>
          <w:lang w:val="en-US"/>
        </w:rPr>
      </w:pPr>
      <w:r>
        <w:rPr>
          <w:rFonts w:ascii="Segoe UI" w:eastAsia="Segoe UI" w:hAnsi="Segoe UI" w:cs="Segoe UI"/>
          <w:i w:val="0"/>
          <w:iCs w:val="0"/>
          <w:caps w:val="0"/>
          <w:color w:val="0F1115"/>
          <w:spacing w:val="0"/>
          <w:sz w:val="24"/>
          <w:szCs w:val="24"/>
          <w:highlight w:val="none"/>
          <w:shd w:val="clear" w:color="auto" w:fill="FFFFFF"/>
        </w:rPr>
        <w:t>随着短临气象业务的快速发展，气象数据呈现爆发式增长且来源日趋多元。为应对新增的地面观测、高空探测、雷达回波、雷电定位及垂直观测等海量短临数据文件，建设升级版数据传输处理流程，全面提升数据检查效率与智能识别能力。该流程将引入并行处理架构，支持多源异构数据的自动识别、格式校验与标准化转换，确保高时效性数据能够快速、准确地进入后续业务流程，为短临预报预警提供坚实的数据支撑。</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rPr>
        <w:t>短临数据智能识别</w:t>
      </w:r>
    </w:p>
    <w:p>
      <w:pPr>
        <w:pStyle w:val="NormalIndent"/>
        <w:rPr>
          <w:rFonts w:ascii="仿宋_GB2312" w:eastAsia="宋体" w:hAnsi="仿宋_GB2312" w:cs="仿宋_GB2312" w:hint="eastAsia"/>
          <w:color w:val="000000"/>
          <w:szCs w:val="32"/>
          <w:highlight w:val="none"/>
          <w:lang w:val="en-US"/>
        </w:rPr>
      </w:pPr>
      <w:r>
        <w:rPr>
          <w:rFonts w:ascii="Segoe UI" w:eastAsia="Segoe UI" w:hAnsi="Segoe UI" w:cs="Segoe UI"/>
          <w:i w:val="0"/>
          <w:iCs w:val="0"/>
          <w:caps w:val="0"/>
          <w:color w:val="0F1115"/>
          <w:spacing w:val="0"/>
          <w:sz w:val="24"/>
          <w:szCs w:val="24"/>
          <w:highlight w:val="none"/>
          <w:shd w:val="clear" w:color="auto" w:fill="FFFFFF"/>
        </w:rPr>
        <w:t>为应对新增的地面观测、高空探测、雷达回波、雷电定位及垂直观测等海量短临数据文件，建设短临数据智能识别模块，全面提升数据检查效率与自动化处理能力。，实现对多源异构数据的智能解析与自动分类，能够快速识别数据类型、</w:t>
      </w:r>
      <w:r>
        <w:rPr>
          <w:rFonts w:ascii="Segoe UI" w:eastAsia="宋体" w:hAnsi="Segoe UI" w:cs="Segoe UI" w:hint="eastAsia"/>
          <w:i w:val="0"/>
          <w:iCs w:val="0"/>
          <w:caps w:val="0"/>
          <w:color w:val="0F1115"/>
          <w:spacing w:val="0"/>
          <w:sz w:val="24"/>
          <w:szCs w:val="24"/>
          <w:highlight w:val="none"/>
          <w:shd w:val="clear" w:color="auto" w:fill="FFFFFF"/>
          <w:lang w:val="en-US" w:eastAsia="zh-CN"/>
        </w:rPr>
        <w:t>业务时次、</w:t>
      </w:r>
      <w:r>
        <w:rPr>
          <w:rFonts w:ascii="Segoe UI" w:eastAsia="Segoe UI" w:hAnsi="Segoe UI" w:cs="Segoe UI"/>
          <w:i w:val="0"/>
          <w:iCs w:val="0"/>
          <w:caps w:val="0"/>
          <w:color w:val="0F1115"/>
          <w:spacing w:val="0"/>
          <w:sz w:val="24"/>
          <w:szCs w:val="24"/>
          <w:highlight w:val="none"/>
          <w:shd w:val="clear" w:color="auto" w:fill="FFFFFF"/>
        </w:rPr>
        <w:t>格式</w:t>
      </w:r>
      <w:r>
        <w:rPr>
          <w:rFonts w:ascii="Segoe UI" w:eastAsia="宋体" w:hAnsi="Segoe UI" w:cs="Segoe UI" w:hint="eastAsia"/>
          <w:i w:val="0"/>
          <w:iCs w:val="0"/>
          <w:caps w:val="0"/>
          <w:color w:val="0F1115"/>
          <w:spacing w:val="0"/>
          <w:sz w:val="24"/>
          <w:szCs w:val="24"/>
          <w:highlight w:val="none"/>
          <w:shd w:val="clear" w:color="auto" w:fill="FFFFFF"/>
          <w:lang w:val="en-US" w:eastAsia="zh-CN"/>
        </w:rPr>
        <w:t>等</w:t>
      </w:r>
      <w:r>
        <w:rPr>
          <w:rFonts w:ascii="Segoe UI" w:eastAsia="Segoe UI" w:hAnsi="Segoe UI" w:cs="Segoe UI"/>
          <w:i w:val="0"/>
          <w:iCs w:val="0"/>
          <w:caps w:val="0"/>
          <w:color w:val="0F1115"/>
          <w:spacing w:val="0"/>
          <w:sz w:val="24"/>
          <w:szCs w:val="24"/>
          <w:highlight w:val="none"/>
          <w:shd w:val="clear" w:color="auto" w:fill="FFFFFF"/>
        </w:rPr>
        <w:t>关键特征</w:t>
      </w:r>
      <w:r>
        <w:rPr>
          <w:rFonts w:ascii="Segoe UI" w:eastAsia="宋体" w:hAnsi="Segoe UI" w:cs="Segoe UI" w:hint="eastAsia"/>
          <w:i w:val="0"/>
          <w:iCs w:val="0"/>
          <w:caps w:val="0"/>
          <w:color w:val="0F1115"/>
          <w:spacing w:val="0"/>
          <w:sz w:val="24"/>
          <w:szCs w:val="24"/>
          <w:highlight w:val="none"/>
          <w:shd w:val="clear" w:color="auto" w:fill="FFFFFF"/>
          <w:lang w:eastAsia="zh-CN"/>
        </w:rPr>
        <w:t>。</w:t>
      </w:r>
      <w:r>
        <w:rPr>
          <w:rFonts w:ascii="Segoe UI" w:eastAsia="Segoe UI" w:hAnsi="Segoe UI" w:cs="Segoe UI"/>
          <w:i w:val="0"/>
          <w:iCs w:val="0"/>
          <w:caps w:val="0"/>
          <w:color w:val="0F1115"/>
          <w:spacing w:val="0"/>
          <w:sz w:val="24"/>
          <w:szCs w:val="24"/>
          <w:highlight w:val="none"/>
          <w:shd w:val="clear" w:color="auto" w:fill="FFFFFF"/>
        </w:rPr>
        <w:t>通过持续的算法优化与模型迭代，模块可适应不断变化的业务需求与数据结构，显著降低数据预处理延迟。</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rPr>
        <w:t>数据缓存升级</w:t>
      </w:r>
    </w:p>
    <w:p>
      <w:pPr>
        <w:pStyle w:val="NormalIndent"/>
        <w:rPr>
          <w:rFonts w:ascii="仿宋_GB2312" w:eastAsia="宋体" w:hAnsi="仿宋_GB2312" w:cs="仿宋_GB2312" w:hint="eastAsia"/>
          <w:color w:val="000000"/>
          <w:szCs w:val="32"/>
          <w:highlight w:val="none"/>
          <w:lang w:val="en-US"/>
        </w:rPr>
      </w:pPr>
      <w:r>
        <w:rPr>
          <w:rFonts w:ascii="仿宋_GB2312" w:eastAsia="宋体" w:hAnsi="仿宋_GB2312" w:cs="仿宋_GB2312" w:hint="eastAsia"/>
          <w:color w:val="000000"/>
          <w:szCs w:val="32"/>
          <w:highlight w:val="none"/>
          <w:lang w:val="en-US" w:eastAsia="zh-CN"/>
        </w:rPr>
        <w:t>优化升级数据缓存模式，</w:t>
      </w:r>
      <w:r>
        <w:rPr>
          <w:rFonts w:ascii="Segoe UI" w:eastAsia="Segoe UI" w:hAnsi="Segoe UI" w:cs="Segoe UI"/>
          <w:i w:val="0"/>
          <w:iCs w:val="0"/>
          <w:caps w:val="0"/>
          <w:color w:val="0F1115"/>
          <w:spacing w:val="0"/>
          <w:sz w:val="24"/>
          <w:szCs w:val="24"/>
          <w:highlight w:val="none"/>
          <w:shd w:val="clear" w:color="auto" w:fill="FFFFFF"/>
        </w:rPr>
        <w:t>全面提升数据在收集、处理与分发全流程的流转效率，建设多级数据缓存升级模块。该模块将采用本地缓存与内存缓存（分布式缓存）相结合的多级混合架构，以最大化数据存取性能与系统资源利用率。</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rPr>
        <w:t>短临数据检查</w:t>
      </w:r>
    </w:p>
    <w:p>
      <w:pPr>
        <w:pStyle w:val="NormalIndent"/>
        <w:rPr>
          <w:rFonts w:ascii="仿宋_GB2312" w:eastAsia="宋体" w:hAnsi="仿宋_GB2312" w:cs="仿宋_GB2312" w:hint="eastAsia"/>
          <w:color w:val="000000"/>
          <w:szCs w:val="32"/>
          <w:highlight w:val="none"/>
          <w:lang w:val="en-US"/>
        </w:rPr>
      </w:pPr>
      <w:r>
        <w:rPr>
          <w:rFonts w:ascii="Segoe UI" w:eastAsia="Segoe UI" w:hAnsi="Segoe UI" w:cs="Segoe UI"/>
          <w:i w:val="0"/>
          <w:iCs w:val="0"/>
          <w:caps w:val="0"/>
          <w:color w:val="0F1115"/>
          <w:spacing w:val="0"/>
          <w:sz w:val="24"/>
          <w:szCs w:val="24"/>
          <w:highlight w:val="none"/>
          <w:shd w:val="clear" w:color="auto" w:fill="FFFFFF"/>
        </w:rPr>
        <w:t>为强化短临观测数据的质量控制能力，建设完善的短临数据检查模块。该模块将针地面观测、高空探测、雷达回波、雷电定位及垂直观测等短临数据文件，</w:t>
      </w:r>
      <w:r>
        <w:rPr>
          <w:rFonts w:ascii="仿宋_GB2312" w:eastAsia="宋体" w:hAnsi="仿宋_GB2312" w:cs="仿宋_GB2312" w:hint="eastAsia"/>
          <w:color w:val="000000"/>
          <w:szCs w:val="32"/>
          <w:highlight w:val="none"/>
          <w:lang w:val="en-US" w:eastAsia="zh-CN"/>
        </w:rPr>
        <w:t>完善文件完整性、数据编码格式、数据重复性等内容的检查能力，</w:t>
      </w:r>
      <w:r>
        <w:rPr>
          <w:rFonts w:ascii="Segoe UI" w:eastAsia="Segoe UI" w:hAnsi="Segoe UI" w:cs="Segoe UI"/>
          <w:i w:val="0"/>
          <w:iCs w:val="0"/>
          <w:caps w:val="0"/>
          <w:color w:val="0F1115"/>
          <w:spacing w:val="0"/>
          <w:sz w:val="24"/>
          <w:szCs w:val="24"/>
          <w:highlight w:val="none"/>
          <w:shd w:val="clear" w:color="auto" w:fill="FFFFFF"/>
        </w:rPr>
        <w:t>对于检查出的异常数据</w:t>
      </w:r>
      <w:r>
        <w:rPr>
          <w:rFonts w:ascii="仿宋_GB2312" w:eastAsia="宋体" w:hAnsi="仿宋_GB2312" w:cs="仿宋_GB2312" w:hint="eastAsia"/>
          <w:color w:val="000000"/>
          <w:szCs w:val="32"/>
          <w:highlight w:val="none"/>
          <w:lang w:val="en-US" w:eastAsia="zh-CN"/>
        </w:rPr>
        <w:t>进行告警记录，</w:t>
      </w:r>
      <w:r>
        <w:rPr>
          <w:rFonts w:ascii="Segoe UI" w:eastAsia="Segoe UI" w:hAnsi="Segoe UI" w:cs="Segoe UI"/>
          <w:i w:val="0"/>
          <w:iCs w:val="0"/>
          <w:caps w:val="0"/>
          <w:color w:val="0F1115"/>
          <w:spacing w:val="0"/>
          <w:sz w:val="24"/>
          <w:szCs w:val="24"/>
          <w:highlight w:val="none"/>
          <w:shd w:val="clear" w:color="auto" w:fill="FFFFFF"/>
        </w:rPr>
        <w:t>并完整记录异常日志以供追溯分析。通过此模块，可有效避免异常数据污染后续业务流程，保障短临预报的准确性与可靠性。</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rPr>
        <w:t>传输任务调度</w:t>
      </w:r>
    </w:p>
    <w:p>
      <w:pPr>
        <w:pStyle w:val="NormalIndent"/>
        <w:rPr>
          <w:rFonts w:ascii="仿宋_GB2312" w:eastAsia="宋体" w:hAnsi="仿宋_GB2312" w:cs="仿宋_GB2312" w:hint="eastAsia"/>
          <w:color w:val="000000"/>
          <w:szCs w:val="32"/>
          <w:highlight w:val="none"/>
          <w:lang w:val="en-US"/>
        </w:rPr>
      </w:pPr>
      <w:r>
        <w:rPr>
          <w:rFonts w:ascii="仿宋_GB2312" w:eastAsia="宋体" w:hAnsi="仿宋_GB2312" w:cs="仿宋_GB2312" w:hint="eastAsia"/>
          <w:color w:val="000000"/>
          <w:szCs w:val="32"/>
          <w:highlight w:val="none"/>
          <w:lang w:val="en-US" w:eastAsia="zh-CN"/>
        </w:rPr>
        <w:t>传输任务调度集成了任务创建、调度、执行和监控于一体，确保数据在不同节点间准确、及时地传输。该功能支持用户根据实际需求设定任务的执行时间、周期和频率，实现自动化数据流转。通过优先级分配，系统能够智能地处理紧急和高优先级任务，保障关键业务数据的实时传输。此外，任务调度管理还具备容错机制，能够在任务执行失败时自动重试，并记录详细的执行日志，便于事后审计和故障排查。通过这一功能的建设，不仅优化了资源利用率，还显著增强了系统的稳定性和数据处理能力。</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rPr>
        <w:t>数据缓存管理升级</w:t>
      </w:r>
    </w:p>
    <w:p>
      <w:pPr>
        <w:pStyle w:val="NormalIndent"/>
        <w:rPr>
          <w:rFonts w:ascii="仿宋_GB2312" w:eastAsia="宋体" w:hAnsi="仿宋_GB2312" w:cs="仿宋_GB2312" w:hint="eastAsia"/>
          <w:color w:val="000000"/>
          <w:szCs w:val="32"/>
          <w:highlight w:val="none"/>
          <w:lang w:val="en-US"/>
        </w:rPr>
      </w:pPr>
      <w:r>
        <w:rPr>
          <w:rFonts w:ascii="仿宋_GB2312" w:eastAsia="宋体" w:hAnsi="仿宋_GB2312" w:cs="仿宋_GB2312" w:hint="eastAsia"/>
          <w:color w:val="000000"/>
          <w:szCs w:val="32"/>
          <w:highlight w:val="none"/>
          <w:lang w:val="en-US" w:eastAsia="zh-CN"/>
        </w:rPr>
        <w:t>针对不同种类的短临数据，根据数据大小、频次、分发用户、优先级等信息，制定多种模式的缓存管理策略，提升数据收集处理的便捷性和效率。</w:t>
      </w:r>
    </w:p>
    <w:p>
      <w:pPr>
        <w:pStyle w:val="NormalIndent"/>
        <w:rPr>
          <w:rFonts w:ascii="仿宋_GB2312" w:eastAsia="宋体" w:hAnsi="仿宋_GB2312" w:cs="仿宋_GB2312" w:hint="eastAsia"/>
          <w:color w:val="000000"/>
          <w:szCs w:val="32"/>
          <w:highlight w:val="none"/>
          <w:lang w:val="en-US"/>
        </w:rPr>
      </w:pPr>
      <w:r>
        <w:rPr>
          <w:rFonts w:ascii="Segoe UI" w:eastAsia="Segoe UI" w:hAnsi="Segoe UI" w:cs="Segoe UI"/>
          <w:i w:val="0"/>
          <w:iCs w:val="0"/>
          <w:caps w:val="0"/>
          <w:color w:val="0F1115"/>
          <w:spacing w:val="0"/>
          <w:sz w:val="24"/>
          <w:szCs w:val="24"/>
          <w:highlight w:val="none"/>
          <w:shd w:val="clear" w:color="auto" w:fill="FFFFFF"/>
        </w:rPr>
        <w:t>为提升短临数据在收集与处理全流程的灵活性与效率，升级智能化数据缓存管理模块。该模块将依据不同种类短临数据的特征，制定差异化的缓存策略：针对</w:t>
      </w:r>
      <w:r>
        <w:rPr>
          <w:rFonts w:ascii="Segoe UI" w:eastAsia="Segoe UI" w:hAnsi="Segoe UI" w:cs="Segoe UI" w:hint="default"/>
          <w:i w:val="0"/>
          <w:iCs w:val="0"/>
          <w:caps w:val="0"/>
          <w:color w:val="0F1115"/>
          <w:spacing w:val="0"/>
          <w:sz w:val="24"/>
          <w:szCs w:val="24"/>
          <w:highlight w:val="none"/>
          <w:shd w:val="clear" w:color="auto" w:fill="FFFFFF"/>
        </w:rPr>
        <w:t>大文件但低频次的数据，采用磁盘缓存的方式，避免长期占用宝贵内存资源；针对高频次小文件数据，则优先使用</w:t>
      </w:r>
      <w:r>
        <w:rPr>
          <w:rFonts w:ascii="Segoe UI" w:eastAsia="宋体" w:hAnsi="Segoe UI" w:cs="Segoe UI" w:hint="eastAsia"/>
          <w:i w:val="0"/>
          <w:iCs w:val="0"/>
          <w:caps w:val="0"/>
          <w:color w:val="0F1115"/>
          <w:spacing w:val="0"/>
          <w:sz w:val="24"/>
          <w:szCs w:val="24"/>
          <w:highlight w:val="none"/>
          <w:shd w:val="clear" w:color="auto" w:fill="FFFFFF"/>
          <w:lang w:val="en-US" w:eastAsia="zh-CN"/>
        </w:rPr>
        <w:t>内存</w:t>
      </w:r>
      <w:r>
        <w:rPr>
          <w:rFonts w:ascii="Segoe UI" w:eastAsia="Segoe UI" w:hAnsi="Segoe UI" w:cs="Segoe UI" w:hint="default"/>
          <w:i w:val="0"/>
          <w:iCs w:val="0"/>
          <w:caps w:val="0"/>
          <w:color w:val="0F1115"/>
          <w:spacing w:val="0"/>
          <w:sz w:val="24"/>
          <w:szCs w:val="24"/>
          <w:highlight w:val="none"/>
          <w:shd w:val="clear" w:color="auto" w:fill="FFFFFF"/>
        </w:rPr>
        <w:t>缓存，</w:t>
      </w:r>
      <w:r>
        <w:rPr>
          <w:rFonts w:ascii="Segoe UI" w:eastAsia="宋体" w:hAnsi="Segoe UI" w:cs="Segoe UI" w:hint="eastAsia"/>
          <w:i w:val="0"/>
          <w:iCs w:val="0"/>
          <w:caps w:val="0"/>
          <w:color w:val="0F1115"/>
          <w:spacing w:val="0"/>
          <w:sz w:val="24"/>
          <w:szCs w:val="24"/>
          <w:highlight w:val="none"/>
          <w:shd w:val="clear" w:color="auto" w:fill="FFFFFF"/>
          <w:lang w:val="en-US" w:eastAsia="zh-CN"/>
        </w:rPr>
        <w:t>提升</w:t>
      </w:r>
      <w:r>
        <w:rPr>
          <w:rFonts w:ascii="Segoe UI" w:eastAsia="Segoe UI" w:hAnsi="Segoe UI" w:cs="Segoe UI" w:hint="default"/>
          <w:i w:val="0"/>
          <w:iCs w:val="0"/>
          <w:caps w:val="0"/>
          <w:color w:val="0F1115"/>
          <w:spacing w:val="0"/>
          <w:sz w:val="24"/>
          <w:szCs w:val="24"/>
          <w:highlight w:val="none"/>
          <w:shd w:val="clear" w:color="auto" w:fill="FFFFFF"/>
        </w:rPr>
        <w:t>读写性能以支撑实时处理需求</w:t>
      </w:r>
      <w:r>
        <w:rPr>
          <w:rFonts w:ascii="Segoe UI" w:eastAsia="宋体" w:hAnsi="Segoe UI" w:cs="Segoe UI" w:hint="eastAsia"/>
          <w:i w:val="0"/>
          <w:iCs w:val="0"/>
          <w:caps w:val="0"/>
          <w:color w:val="0F1115"/>
          <w:spacing w:val="0"/>
          <w:sz w:val="24"/>
          <w:szCs w:val="24"/>
          <w:highlight w:val="none"/>
          <w:shd w:val="clear" w:color="auto" w:fill="FFFFFF"/>
          <w:lang w:eastAsia="zh-CN"/>
        </w:rPr>
        <w:t>。</w:t>
      </w:r>
      <w:r>
        <w:rPr>
          <w:rFonts w:ascii="Segoe UI" w:eastAsia="Segoe UI" w:hAnsi="Segoe UI" w:cs="Segoe UI" w:hint="default"/>
          <w:i w:val="0"/>
          <w:iCs w:val="0"/>
          <w:caps w:val="0"/>
          <w:color w:val="0F1115"/>
          <w:spacing w:val="0"/>
          <w:sz w:val="24"/>
          <w:szCs w:val="24"/>
          <w:highlight w:val="none"/>
          <w:shd w:val="clear" w:color="auto" w:fill="FFFFFF"/>
        </w:rPr>
        <w:t>同时，</w:t>
      </w:r>
      <w:r>
        <w:rPr>
          <w:rFonts w:ascii="仿宋_GB2312" w:eastAsia="宋体" w:hAnsi="仿宋_GB2312" w:cs="仿宋_GB2312" w:hint="eastAsia"/>
          <w:color w:val="000000"/>
          <w:szCs w:val="32"/>
          <w:highlight w:val="none"/>
          <w:lang w:val="en-US" w:eastAsia="zh-CN"/>
        </w:rPr>
        <w:t>根据分发用户、优先级等信息，制定多种模式的缓存管理策略，提升数据收集处理的便捷性和效率。</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rPr>
        <w:t>基础信息配置管理升级</w:t>
      </w:r>
    </w:p>
    <w:p>
      <w:pPr>
        <w:pStyle w:val="NormalIndent"/>
        <w:rPr>
          <w:rFonts w:ascii="仿宋_GB2312" w:eastAsia="宋体" w:hAnsi="仿宋_GB2312" w:cs="仿宋_GB2312" w:hint="eastAsia"/>
          <w:color w:val="000000"/>
          <w:szCs w:val="32"/>
          <w:highlight w:val="none"/>
          <w:lang w:val="en-US"/>
        </w:rPr>
      </w:pPr>
      <w:r>
        <w:rPr>
          <w:rFonts w:ascii="Segoe UI" w:eastAsia="Segoe UI" w:hAnsi="Segoe UI" w:cs="Segoe UI"/>
          <w:i w:val="0"/>
          <w:iCs w:val="0"/>
          <w:caps w:val="0"/>
          <w:color w:val="0F1115"/>
          <w:spacing w:val="0"/>
          <w:sz w:val="24"/>
          <w:szCs w:val="24"/>
          <w:highlight w:val="none"/>
          <w:shd w:val="clear" w:color="auto" w:fill="FFFFFF"/>
        </w:rPr>
        <w:t>为拓展应用基础信息配置管理能力，升级统一的基础信息配置管理模块。该模块将支持对新增的AMQP、MQTT等消息协议部署节点进行集中配置与管理，包括连接参数、认证凭证、交换器与队列绑定、集群节点信息等关键设置，实现多协议接入的统一管控。同时，完善</w:t>
      </w:r>
      <w:r>
        <w:rPr>
          <w:rFonts w:ascii="仿宋_GB2312" w:eastAsia="宋体" w:hAnsi="仿宋_GB2312" w:cs="仿宋_GB2312" w:hint="eastAsia"/>
          <w:color w:val="000000"/>
          <w:szCs w:val="32"/>
          <w:highlight w:val="none"/>
          <w:lang w:val="en-US" w:eastAsia="zh-CN"/>
        </w:rPr>
        <w:t>组件库基础信息、插件注册部署等</w:t>
      </w:r>
      <w:r>
        <w:rPr>
          <w:rFonts w:ascii="Segoe UI" w:eastAsia="Segoe UI" w:hAnsi="Segoe UI" w:cs="Segoe UI"/>
          <w:i w:val="0"/>
          <w:iCs w:val="0"/>
          <w:caps w:val="0"/>
          <w:color w:val="0F1115"/>
          <w:spacing w:val="0"/>
          <w:sz w:val="24"/>
          <w:szCs w:val="24"/>
          <w:highlight w:val="none"/>
          <w:shd w:val="clear" w:color="auto" w:fill="FFFFFF"/>
        </w:rPr>
        <w:t>基础信息维护功能，支持对版本、存储路径、依赖关系</w:t>
      </w:r>
      <w:r>
        <w:rPr>
          <w:rFonts w:ascii="仿宋_GB2312" w:eastAsia="宋体" w:hAnsi="仿宋_GB2312" w:cs="仿宋_GB2312" w:hint="eastAsia"/>
          <w:color w:val="000000"/>
          <w:szCs w:val="32"/>
          <w:highlight w:val="none"/>
          <w:lang w:val="en-US" w:eastAsia="zh-CN"/>
        </w:rPr>
        <w:t>等基础信息的统一管理</w:t>
      </w:r>
      <w:r>
        <w:rPr>
          <w:rFonts w:ascii="Segoe UI" w:eastAsia="Segoe UI" w:hAnsi="Segoe UI" w:cs="Segoe UI"/>
          <w:i w:val="0"/>
          <w:iCs w:val="0"/>
          <w:caps w:val="0"/>
          <w:color w:val="0F1115"/>
          <w:spacing w:val="0"/>
          <w:sz w:val="24"/>
          <w:szCs w:val="24"/>
          <w:highlight w:val="none"/>
          <w:shd w:val="clear" w:color="auto" w:fill="FFFFFF"/>
        </w:rPr>
        <w:t>。</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rPr>
        <w:t>传输策略配置管理升级</w:t>
      </w:r>
    </w:p>
    <w:p>
      <w:pPr>
        <w:pStyle w:val="NormalIndent"/>
        <w:rPr>
          <w:rFonts w:ascii="仿宋_GB2312" w:eastAsia="宋体" w:hAnsi="仿宋_GB2312" w:cs="仿宋_GB2312" w:hint="eastAsia"/>
          <w:color w:val="000000"/>
          <w:szCs w:val="32"/>
          <w:highlight w:val="none"/>
          <w:lang w:val="en-US"/>
        </w:rPr>
      </w:pPr>
      <w:r>
        <w:rPr>
          <w:rFonts w:ascii="Segoe UI" w:eastAsia="Segoe UI" w:hAnsi="Segoe UI" w:cs="Segoe UI"/>
          <w:i w:val="0"/>
          <w:iCs w:val="0"/>
          <w:caps w:val="0"/>
          <w:color w:val="0F1115"/>
          <w:spacing w:val="0"/>
          <w:sz w:val="24"/>
          <w:szCs w:val="24"/>
          <w:highlight w:val="none"/>
          <w:shd w:val="clear" w:color="auto" w:fill="FFFFFF"/>
        </w:rPr>
        <w:t>为满足多协议数据传输的统一管控需求，升级传输策略配置管理模块。该模块将拓展对FTP、AMQP、MQTT等主流传输协议的支持，提供统一的配置管理界面，实现各类协议连接参数、认证方式、队列/主题绑定、传输模式（如</w:t>
      </w:r>
      <w:r>
        <w:rPr>
          <w:rFonts w:ascii="Segoe UI" w:eastAsia="宋体" w:hAnsi="Segoe UI" w:cs="Segoe UI" w:hint="eastAsia"/>
          <w:i w:val="0"/>
          <w:iCs w:val="0"/>
          <w:caps w:val="0"/>
          <w:color w:val="0F1115"/>
          <w:spacing w:val="0"/>
          <w:sz w:val="24"/>
          <w:szCs w:val="24"/>
          <w:highlight w:val="none"/>
          <w:shd w:val="clear" w:color="auto" w:fill="FFFFFF"/>
          <w:lang w:val="en-US" w:eastAsia="zh-CN"/>
        </w:rPr>
        <w:t>FTP主被动模式</w:t>
      </w:r>
      <w:r>
        <w:rPr>
          <w:rFonts w:ascii="Segoe UI" w:eastAsia="Segoe UI" w:hAnsi="Segoe UI" w:cs="Segoe UI"/>
          <w:i w:val="0"/>
          <w:iCs w:val="0"/>
          <w:caps w:val="0"/>
          <w:color w:val="0F1115"/>
          <w:spacing w:val="0"/>
          <w:sz w:val="24"/>
          <w:szCs w:val="24"/>
          <w:highlight w:val="none"/>
          <w:shd w:val="clear" w:color="auto" w:fill="FFFFFF"/>
        </w:rPr>
        <w:t>）、数据压缩与加密策略的集中配置。支持传输策略的模板化定义，可针对不同业务场景快速生成个性化配置，并通过配置中心动态下发至各传输节点，简化部署与调整流程。同时，模块将集成配置校验与冲突检测机制，确保策略的正确性与一致性，为多源异构数据的高效流转提供灵活、可扩展的配置支撑。</w:t>
      </w:r>
    </w:p>
    <w:p>
      <w:pPr>
        <w:pStyle w:val="Heading5"/>
        <w:keepNext/>
        <w:keepLines/>
        <w:widowControl w:val="0"/>
        <w:numPr>
          <w:ilvl w:val="4"/>
          <w:numId w:val="4"/>
        </w:numPr>
        <w:bidi w:val="0"/>
        <w:spacing w:before="280" w:after="290" w:line="376" w:lineRule="auto"/>
        <w:ind w:left="1008" w:hanging="1008"/>
        <w:jc w:val="both"/>
        <w:rPr>
          <w:rFonts w:hint="eastAsia"/>
          <w:highlight w:val="none"/>
        </w:rPr>
      </w:pPr>
      <w:r>
        <w:rPr>
          <w:rFonts w:hint="eastAsia"/>
          <w:highlight w:val="none"/>
        </w:rPr>
        <w:t>清理策略配置管理升级</w:t>
      </w:r>
    </w:p>
    <w:p>
      <w:pPr>
        <w:pStyle w:val="NormalIndent"/>
        <w:rPr>
          <w:rFonts w:ascii="Segoe UI" w:eastAsia="Segoe UI" w:hAnsi="Segoe UI" w:cs="Segoe UI"/>
          <w:i w:val="0"/>
          <w:iCs w:val="0"/>
          <w:caps w:val="0"/>
          <w:color w:val="0F1115"/>
          <w:spacing w:val="0"/>
          <w:sz w:val="24"/>
          <w:szCs w:val="24"/>
          <w:highlight w:val="none"/>
          <w:shd w:val="clear" w:color="auto" w:fill="FFFFFF"/>
        </w:rPr>
      </w:pPr>
      <w:r>
        <w:rPr>
          <w:rFonts w:ascii="Segoe UI" w:eastAsia="Segoe UI" w:hAnsi="Segoe UI" w:cs="Segoe UI"/>
          <w:i w:val="0"/>
          <w:iCs w:val="0"/>
          <w:caps w:val="0"/>
          <w:color w:val="0F1115"/>
          <w:spacing w:val="0"/>
          <w:sz w:val="24"/>
          <w:szCs w:val="24"/>
          <w:highlight w:val="none"/>
          <w:shd w:val="clear" w:color="auto" w:fill="FFFFFF"/>
        </w:rPr>
        <w:t>为提升数据存储资源的利用效率与自动化运维水平，升级统一的数据清理策略配置管理模块。该模块将拓展对不同协议（如FTP、AMQP、MQTT等）传输所产生数据的清理规则进行集中管控，实现清理策略的统一配置与动态调整。针对缓存策略，支持对缓存文件的存储路径、数据类型、保留时长（时效）、缓存大小上限等参数进行精细化配置。支持执行监控与告警机制，记录清理日志便于审计追溯，有效降低人工运维成本，保障系统在高负载下的稳定运行与数据合规性。</w:t>
      </w:r>
    </w:p>
    <w:p>
      <w:pPr>
        <w:pStyle w:val="Heading5"/>
        <w:keepNext/>
        <w:keepLines/>
        <w:widowControl w:val="0"/>
        <w:numPr>
          <w:ilvl w:val="4"/>
          <w:numId w:val="4"/>
        </w:numPr>
        <w:spacing w:before="0" w:after="0" w:line="560" w:lineRule="exact"/>
        <w:ind w:left="1009" w:hanging="1009"/>
        <w:jc w:val="both"/>
        <w:rPr>
          <w:rFonts w:hint="eastAsia"/>
          <w:highlight w:val="none"/>
        </w:rPr>
      </w:pPr>
      <w:r>
        <w:rPr>
          <w:rFonts w:hint="eastAsia"/>
          <w:highlight w:val="none"/>
        </w:rPr>
        <w:t>短临业务数据安全监管指标采集对接（31省级应用节点）</w:t>
      </w:r>
    </w:p>
    <w:p>
      <w:pPr>
        <w:spacing w:line="560" w:lineRule="exact"/>
        <w:ind w:firstLine="420" w:firstLineChars="200"/>
        <w:rPr>
          <w:rFonts w:ascii="仿宋_GB2312" w:hAnsi="仿宋_GB2312" w:cs="仿宋_GB2312" w:hint="eastAsia"/>
          <w:color w:val="000000"/>
          <w:szCs w:val="32"/>
          <w:highlight w:val="none"/>
        </w:rPr>
      </w:pPr>
      <w:r>
        <w:rPr>
          <w:rFonts w:ascii="仿宋_GB2312" w:hAnsi="仿宋_GB2312" w:cs="仿宋_GB2312" w:hint="eastAsia"/>
          <w:color w:val="000000"/>
          <w:szCs w:val="32"/>
          <w:highlight w:val="none"/>
        </w:rPr>
        <w:t>（1）短临业务数据安全监管指标采集对接（单个省）</w:t>
      </w:r>
    </w:p>
    <w:p>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基于符合规范的发送至运维系统的短临业务数据安全监管原始日志信息，实现省级短临业务数据对外、对内服务监管指标采集计算对接，包括对外服务监管（对外专线、互联网、政务外网等）、天擎账户的数据使用情况、数据分类定级、风险事件发布及处置、气象数据流通安全评估等。</w:t>
      </w:r>
    </w:p>
    <w:p>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升级国省气象数据全生命周期监管、风险事件发布处置、安全评估、数据分类分级监管、系统配置等功能以及监视页面，实现国省实施和本地化开发，实现省级监管数据汇聚至国家级并监视。</w:t>
      </w:r>
    </w:p>
    <w:p>
      <w:pPr>
        <w:pStyle w:val="NormalIndent"/>
        <w:rPr>
          <w:rFonts w:ascii="Segoe UI" w:eastAsia="Segoe UI" w:hAnsi="Segoe UI" w:cs="Segoe UI" w:hint="eastAsia"/>
          <w:i w:val="0"/>
          <w:iCs w:val="0"/>
          <w:caps w:val="0"/>
          <w:color w:val="0F1115"/>
          <w:spacing w:val="0"/>
          <w:sz w:val="24"/>
          <w:szCs w:val="24"/>
          <w:highlight w:val="none"/>
          <w:shd w:val="clear" w:color="auto" w:fill="FFFFFF"/>
          <w:lang w:val="en-US"/>
        </w:rPr>
      </w:pPr>
    </w:p>
    <w:p>
      <w:pPr>
        <w:pStyle w:val="Heading4"/>
        <w:keepNext/>
        <w:keepLines/>
        <w:widowControl w:val="0"/>
        <w:numPr>
          <w:ilvl w:val="3"/>
          <w:numId w:val="4"/>
        </w:numPr>
        <w:bidi w:val="0"/>
        <w:spacing w:line="560" w:lineRule="exact"/>
        <w:ind w:left="864" w:hanging="864" w:leftChars="0" w:firstLineChars="0"/>
        <w:jc w:val="both"/>
        <w:rPr>
          <w:rFonts w:hint="eastAsia"/>
          <w:highlight w:val="none"/>
        </w:rPr>
      </w:pPr>
      <w:r>
        <w:rPr>
          <w:rFonts w:hint="eastAsia"/>
          <w:highlight w:val="none"/>
        </w:rPr>
        <w:t>短临业务国省共享处理功能升级</w:t>
      </w:r>
      <w:r>
        <w:rPr>
          <w:rFonts w:hint="eastAsia"/>
          <w:highlight w:val="none"/>
        </w:rPr>
        <w:t xml:space="preserve">  </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国省共享门户功能</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建设短临业务数据目录门户，为用户提供在线服务。具备数据目录导航，为用户提供数据在线查询、检索、订阅等服务。通过目录导航的形式将本地所存储的各种元数据信息进行分类或分组展示或通过用户查询方式，定位到用户感兴趣的数据。</w:t>
      </w:r>
    </w:p>
    <w:p>
      <w:pPr>
        <w:pStyle w:val="Heading5"/>
        <w:keepNext/>
        <w:keepLines/>
        <w:widowControl w:val="0"/>
        <w:numPr>
          <w:ilvl w:val="4"/>
          <w:numId w:val="4"/>
        </w:numPr>
        <w:bidi w:val="0"/>
        <w:spacing w:before="280" w:after="290" w:line="376" w:lineRule="auto"/>
        <w:ind w:left="1008" w:hanging="1008" w:leftChars="0" w:firstLineChars="0"/>
        <w:jc w:val="both"/>
        <w:rPr>
          <w:rFonts w:ascii="Times New Roman" w:eastAsia="宋体" w:hAnsi="Times New Roman" w:cs="Times New Roman" w:hint="eastAsia"/>
          <w:highlight w:val="none"/>
        </w:rPr>
      </w:pPr>
      <w:r>
        <w:rPr>
          <w:rFonts w:ascii="Times New Roman" w:eastAsia="宋体" w:hAnsi="Times New Roman" w:cs="Times New Roman" w:hint="eastAsia"/>
          <w:b/>
          <w:bCs/>
          <w:highlight w:val="none"/>
        </w:rPr>
        <w:t>国省共享数据清单管理</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实现短临业务交换共享的数据的清单管理，形成数据的产品介绍、数据来源、数据频次、数据时效等完善的数据资料清单。支持数据实时查询。根据不同业务需求的数据或产品，灵活选择不同类型或者不同的存储系统（硬件支撑需要分布式存储，支持文件和对象存储）</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国省共享数据授权和权限管理</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封装省级用户的订阅请求形成订单，国家级管理员对订单信息进行审核管理、授权和访问权限的配置，对于特殊要求的订单需要额外的审批流程，历史订单留痕备查。</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国省共享数据消息处理</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实现短临业务数据产品消息订阅接收、消息发布、消息路由转发、消息去重、消息存储、日志记录/监视信息报送等功能。具备消息处理、重复性检查等能力，确保收到通知消息时仅再发布一次通知消息。具备消息持久化能力，保障异常情况下的消息完整性。具备对消息收发情况记录、查询和统计能力，能够便于省级服务端快速感知最新数据。</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国省共享数据消息发布</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发布短临业务元数据对应的数据，并且发布数据消息通知，供全国各省进行订阅，缓存和下载。基于规范的路由配置，将消息通知自动转发推送到省级服务端。建设用户管理以及订阅管理能力，根据用户权限以及数据交换范围进行订阅授权管理。</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国省共享数据订阅</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省级用户按需订阅短临业务数据产品，包括创建订阅、修改订阅、暂停订阅和取消订阅。提供数据管理工具，允许用户自定义订阅和接收数据的方式。当需求变更时，支持订单修改、取消等操作，同时具备订阅数据的详细日志记录能力。</w:t>
      </w:r>
      <w:r>
        <w:rPr>
          <w:rFonts w:hint="eastAsia"/>
          <w:highlight w:val="none"/>
        </w:rPr>
        <w:t>业务数据一致性同步</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国省共享数据下载服务</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省级客户端通过监听订阅数据的消息队列，省级客户端解析通知消息，从消息中获取该资料的服务路径，根据通知消息从国家级服务端获取数据和元数据。</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国省数据下载任务调度</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基于国省共享短临业务数据的分类和优先级等，设置消息优先级和延迟策略实现时效决策下的分级下载，实现下载任务的调度，通过Redis作为消息中间件，实现任务的分发与调度，任务发布者将下载任务发送到RMQ，任务消费者从RMQ中获取任务并执行。</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国省共享数据校验</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对下载的短临业务数据文件进行完整性检查，确保文件在传输或存储过程中未被篡改或损坏。该模块使用校验和（如MD5、SHA系列等）或数字签名（如GPG）等技术手段，将下载文件的哈希值与原始文件的哈希值进行比对，以验证文件的真实性和完整性。这样可以有效防止恶意软件、病毒或数据错误对系统或用户造成损害。</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国省共享数据缓存</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采用共享存储、内存库模式，对下载的短临业务数据进行缓存，支持数据下载、数据服务等功能模块稳定高效的运行。根据气象数据特征，按照数据类型、存储时限对下载的气象数据进行存储，便于数据管理和对外服务，对超过时效的数据文件进行清理操作。</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国省共享数据补调</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面对网络线路可能出现的抖动、软硬件环境异常，提供数据补调功能，确保全球数据缓存中数据的一致性、完整性。监听本省RMQ消息队列，每条消息最多支持3次下载失败重试，仍下载失败进入补调流程。通过扫描缓存中的下载失败索引，获取索引进行下载，直到下载成功或者该索引过期失效。</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国省共享数据裁剪定制化</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提供不同粒度的产品，用户可以根据需要自由选择定制需要的服务。系统通过快速查询、处理生成定制化的产品或数据，方便非技术用户通过地图工具选择地理范围，选择时间段和所需气象要素，用户在页面上可以直接调阅或下载使用。</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基于时间、空间数据裁剪</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用户可选择特定的地理范围，如用矩形经纬度框选，或通过多边形选定区域，或者高度选择。也可以选择特定的时间范围，支持小时级数据查询。基于用户输入的经纬度范围，筛选出对应的网格数据，提取相应时间段的数据，实现自动按需裁剪功能，基于Rabbitmq进行裁剪任务的调度提升处理效率。</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基于要素数据裁剪</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用户选择具体的气象要素（如温度、湿度、风速等）。实现自动按需裁剪功能，基于省级用户对高分辨率网格产品要素需求形成统一抽象表达，将原始数据基于要素进行拆分，对需求的要素进行合并生成裁剪产品。基于Rabbitmq和Redis进行多进程、分布式计算框架的并发处理来提高裁剪和处理大规模数据的效率。</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国省共享裁剪数据可视化验证</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封装网格数据可视化工具，对裁剪后的GRID和NC产品进行可视化展示，验证裁剪的时间、空间范围以及要素正确性。</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国省共享流程监视信息采集</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按照综合业务监控的要求，实现数据传输、消息通知和订阅与授权管理等业务信息，以及系统运行状态信息，记录并发送到气象综合业务实时监控</w:t>
      </w:r>
      <w:r>
        <w:rPr>
          <w:rFonts w:ascii="仿宋_GB2312" w:eastAsia="宋体" w:hAnsi="仿宋_GB2312" w:cs="仿宋_GB2312" w:hint="eastAsia"/>
          <w:color w:val="000000"/>
          <w:szCs w:val="32"/>
          <w:highlight w:val="none"/>
          <w:lang w:val="en-US" w:eastAsia="zh-CN"/>
        </w:rPr>
        <w:t>系统</w:t>
      </w:r>
      <w:r>
        <w:rPr>
          <w:rFonts w:ascii="仿宋_GB2312" w:eastAsia="宋体" w:hAnsi="仿宋_GB2312" w:cs="仿宋_GB2312" w:hint="eastAsia"/>
          <w:color w:val="000000"/>
          <w:szCs w:val="32"/>
          <w:highlight w:val="none"/>
          <w:lang w:val="en-US"/>
        </w:rPr>
        <w:t>。</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国省共享下载分析</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下载分析模块从分省、下载带宽、下载量、下载时效等角度进行下载情况的分析，分析结果以图表方式展示，便于系统对提供的服务进行优化和改进。</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国省共享行为分析</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行为分析模块收集、处理并分析用户在系统或应用中的行为数据，如点击、浏览、搜索等，以洞察用户偏好、需求、习惯及潜在问题，进而为系统优化、产品推荐、用户体验改进及业务决策提供支持。</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国省共享统计报告</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主要是按照不同的单位（如部门、地区等）和资料类型进行分类统计，通过计算关键统计量并生成可视化报告，深入分析各单位及资料类型的数据特征与趋势，为精准决策提供依据。</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国省共享能力提升</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针对大体量高频次的短临业务数据，应用高速网络通信技术，提升存储系统的访问效率与整体性能，实现跨网络的不同服务器或存储节点之间近乎实时的数据传输，提升系统的吞吐量。基于HTTP/HTTPS实现并行请求响应，以及头部压缩和服务器推送等功能。通过将压缩或分片技术减小文件大小，结合多线程异步处理方式，实现数据高效有序的下载服务。对于频繁请求的热点数据，将数据存储在内存缓存中，减少重复下载的次数。</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国省共享数据预处理</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将原始数据转换成适合分析或处理的形式，这可能包括数据类型转换（如将字符串转换为数值类型）、数据格式调整（如调整时间戳格式）、数据编码转换（如处理不同字符集之间的转换问题）等。</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国省共享行为管控</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用户行为管控模块的主要功能包括网络下载流量管控，确保网络资源的合理分配与高效利用，有效防止网络拥堵和滥用，具备IP地址即时识别并阻止来自恶意IP地址的访问请求，保护系统免受未授权访问、DDoS攻击等安全威胁。</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国省共享数据安全管理</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通过对用户访问数据行为的记录、分析和汇报，用来帮助用户事后生成合规报告、事故追根溯源，同时加强内外部数据网络行为记录，提高数据资产安全。</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国省数据配置管理</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根据数据传输交换规则，实现国省、省际或端到端的配置同步和分发。为业务及管理平台提供基础信息支撑，负责集中、系统地管理和控制业务系统的配置信息。</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国省数据消息缓存模块</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利用内存暂时存储数据通知消息，按照消息的到达顺序对消息进行排序，确保消息在传递过程中的可靠性和顺序性，提高系统的性能和响应速度，有效缓解请求压力。</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国省共享数据多协议数据发布</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数据发现后，获取发现数据的属性信息，做好数据发布信息留痕，按照文件、消息两种方式对数据进行发布。</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国省共享数据收集接口</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制定短临数据消息收集规范，包括主题、队列、消息等规范；完成消息的收集、转发、文件转换等服务。</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国省共享数据元数据管理</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对接公共元数据系统，实现短临数据元数据的同步、存储、维护和使用。</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国省共享数据在线服务</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提供数据产品在线服务功能，产品在线即可直接访问浏览和下载，通过多样化展现形式，实现数据样例下载。</w:t>
      </w:r>
    </w:p>
    <w:p>
      <w:pPr>
        <w:pStyle w:val="Heading5"/>
        <w:keepNext/>
        <w:keepLines/>
        <w:widowControl w:val="0"/>
        <w:numPr>
          <w:ilvl w:val="4"/>
          <w:numId w:val="4"/>
        </w:numPr>
        <w:bidi w:val="0"/>
        <w:spacing w:before="280" w:after="290" w:line="376" w:lineRule="auto"/>
        <w:ind w:left="1008" w:hanging="1008" w:leftChars="0" w:firstLineChars="0"/>
        <w:jc w:val="both"/>
        <w:rPr>
          <w:rFonts w:hint="eastAsia"/>
          <w:highlight w:val="none"/>
        </w:rPr>
      </w:pPr>
      <w:r>
        <w:rPr>
          <w:rFonts w:hint="eastAsia"/>
          <w:highlight w:val="none"/>
        </w:rPr>
        <w:t>国省共享用户认证模块</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认证模块主要负责用户的统一注册、OA认证、授权管理，通过认证模块对基础应用的用户进行认证、登录。</w:t>
      </w:r>
    </w:p>
    <w:p>
      <w:pPr>
        <w:pStyle w:val="Heading3"/>
        <w:keepNext/>
        <w:keepLines/>
        <w:widowControl w:val="0"/>
        <w:numPr>
          <w:ilvl w:val="2"/>
          <w:numId w:val="4"/>
        </w:numPr>
        <w:spacing w:line="560" w:lineRule="atLeast"/>
        <w:ind w:left="720" w:hanging="720"/>
        <w:jc w:val="both"/>
        <w:rPr>
          <w:highlight w:val="none"/>
        </w:rPr>
      </w:pPr>
      <w:bookmarkStart w:id="89" w:name="_Toc2696"/>
      <w:bookmarkStart w:id="90" w:name="_Toc4211"/>
      <w:bookmarkStart w:id="91" w:name="_Toc12320"/>
      <w:bookmarkStart w:id="92" w:name="_Toc32488"/>
      <w:bookmarkStart w:id="93" w:name="_Toc222837534"/>
      <w:r>
        <w:rPr>
          <w:rFonts w:hint="eastAsia"/>
          <w:highlight w:val="none"/>
        </w:rPr>
        <w:t>数据处理子系统</w:t>
      </w:r>
      <w:bookmarkEnd w:id="89"/>
      <w:bookmarkEnd w:id="90"/>
      <w:bookmarkEnd w:id="91"/>
      <w:bookmarkEnd w:id="92"/>
    </w:p>
    <w:p>
      <w:pPr>
        <w:pStyle w:val="Heading4"/>
        <w:keepNext/>
        <w:keepLines/>
        <w:widowControl w:val="0"/>
        <w:numPr>
          <w:ilvl w:val="3"/>
          <w:numId w:val="4"/>
        </w:numPr>
        <w:spacing w:line="560" w:lineRule="exact"/>
        <w:ind w:left="862" w:hanging="862"/>
        <w:jc w:val="both"/>
        <w:rPr>
          <w:rFonts w:hint="eastAsia"/>
          <w:highlight w:val="none"/>
        </w:rPr>
      </w:pPr>
      <w:r>
        <w:rPr>
          <w:rFonts w:hint="eastAsia"/>
          <w:highlight w:val="none"/>
        </w:rPr>
        <w:t>数据解码框架升级</w:t>
      </w:r>
    </w:p>
    <w:p>
      <w:pPr>
        <w:pStyle w:val="Heading5"/>
        <w:keepNext/>
        <w:keepLines/>
        <w:widowControl w:val="0"/>
        <w:numPr>
          <w:ilvl w:val="4"/>
          <w:numId w:val="4"/>
        </w:numPr>
        <w:spacing w:before="280" w:after="290" w:line="376" w:lineRule="auto"/>
        <w:ind w:left="1008" w:hanging="1008"/>
        <w:jc w:val="both"/>
        <w:rPr>
          <w:rFonts w:hint="eastAsia"/>
          <w:highlight w:val="none"/>
        </w:rPr>
      </w:pPr>
      <w:r>
        <w:rPr>
          <w:rFonts w:hint="eastAsia"/>
          <w:highlight w:val="none"/>
        </w:rPr>
        <w:t>通用TXT解码处理框架</w:t>
      </w:r>
    </w:p>
    <w:p>
      <w:pPr>
        <w:spacing w:line="560" w:lineRule="exact"/>
        <w:ind w:firstLine="420" w:firstLineChars="200"/>
        <w:rPr>
          <w:rFonts w:ascii="仿宋_GB2312" w:hAnsi="仿宋_GB2312" w:cs="仿宋_GB2312" w:hint="eastAsia"/>
          <w:color w:val="000000"/>
          <w:szCs w:val="32"/>
          <w:highlight w:val="none"/>
        </w:rPr>
      </w:pPr>
      <w:r>
        <w:rPr>
          <w:rFonts w:ascii="仿宋_GB2312" w:hAnsi="仿宋_GB2312" w:cs="仿宋_GB2312" w:hint="eastAsia"/>
          <w:color w:val="000000"/>
          <w:szCs w:val="32"/>
          <w:highlight w:val="none"/>
        </w:rPr>
        <w:t>为快速接入短临预报预警需要的部分TXT格式观测数据和数据产品，提升现有通用TXT格式</w:t>
      </w:r>
      <w:r>
        <w:rPr>
          <w:rFonts w:ascii="仿宋_GB2312" w:hAnsi="仿宋_GB2312" w:cs="仿宋_GB2312" w:hint="eastAsia"/>
          <w:color w:val="000000"/>
          <w:szCs w:val="32"/>
          <w:highlight w:val="none"/>
        </w:rPr>
        <w:t>解码处理</w:t>
      </w:r>
      <w:r>
        <w:rPr>
          <w:rFonts w:ascii="仿宋_GB2312" w:hAnsi="仿宋_GB2312" w:cs="仿宋_GB2312" w:hint="eastAsia"/>
          <w:color w:val="000000"/>
          <w:szCs w:val="32"/>
          <w:highlight w:val="none"/>
        </w:rPr>
        <w:t>框架能力，实现短临相关数据的快速开发入库。增强计算引擎功能，增加条件判断、函数计算等功能，实现多变量混合计算和链式表达式计算。增加单个数据入多表功能；增加要素拆分后二次分割符，实现对复杂要素的解析；丰富入库优先级逻辑，增加以后到为准的逻辑。</w:t>
      </w:r>
    </w:p>
    <w:p>
      <w:pPr>
        <w:pStyle w:val="Heading5"/>
        <w:keepNext/>
        <w:keepLines/>
        <w:widowControl w:val="0"/>
        <w:numPr>
          <w:ilvl w:val="4"/>
          <w:numId w:val="4"/>
        </w:numPr>
        <w:spacing w:before="280" w:after="290" w:line="376" w:lineRule="auto"/>
        <w:ind w:left="1008" w:hanging="1008"/>
        <w:jc w:val="both"/>
        <w:rPr>
          <w:highlight w:val="none"/>
        </w:rPr>
      </w:pPr>
      <w:r>
        <w:rPr>
          <w:rFonts w:hint="eastAsia"/>
          <w:highlight w:val="none"/>
        </w:rPr>
        <w:t>通用JSON解码处理框架</w:t>
      </w:r>
    </w:p>
    <w:p>
      <w:pPr>
        <w:spacing w:line="560" w:lineRule="exact"/>
        <w:ind w:firstLine="420" w:firstLineChars="200"/>
        <w:rPr>
          <w:rFonts w:ascii="仿宋_GB2312" w:hAnsi="仿宋_GB2312" w:cs="仿宋_GB2312" w:hint="eastAsia"/>
          <w:color w:val="000000"/>
          <w:szCs w:val="32"/>
          <w:highlight w:val="none"/>
        </w:rPr>
      </w:pPr>
      <w:r>
        <w:rPr>
          <w:rFonts w:ascii="仿宋_GB2312" w:hAnsi="仿宋_GB2312" w:cs="仿宋_GB2312" w:hint="eastAsia"/>
          <w:color w:val="000000"/>
          <w:szCs w:val="32"/>
          <w:highlight w:val="none"/>
        </w:rPr>
        <w:t>针对短临预报预警业务中的JSON格式资料，基于灵活配置实现JSON数据的快速处理与入库。通过XML配置文件定义JSON字段与数据库字段的映射关系，并支持在映射过程中进行简单的表达式运算。具备JSON数据格式的检查和解析功能。程序支持对常见要素数据质量控制算法集成。</w:t>
      </w:r>
    </w:p>
    <w:p>
      <w:pPr>
        <w:pStyle w:val="Heading5"/>
        <w:keepNext/>
        <w:keepLines/>
        <w:widowControl w:val="0"/>
        <w:numPr>
          <w:ilvl w:val="4"/>
          <w:numId w:val="4"/>
        </w:numPr>
        <w:spacing w:before="280" w:after="290" w:line="376" w:lineRule="auto"/>
        <w:ind w:left="1008" w:hanging="1008"/>
        <w:jc w:val="both"/>
        <w:rPr>
          <w:highlight w:val="none"/>
        </w:rPr>
      </w:pPr>
      <w:r>
        <w:rPr>
          <w:rFonts w:hint="eastAsia"/>
          <w:highlight w:val="none"/>
        </w:rPr>
        <w:t>通用BUFR解码处理框架</w:t>
      </w:r>
    </w:p>
    <w:p>
      <w:pPr>
        <w:spacing w:line="560" w:lineRule="exact"/>
        <w:ind w:firstLine="420" w:firstLineChars="200"/>
        <w:rPr>
          <w:rFonts w:hint="eastAsia"/>
          <w:highlight w:val="none"/>
        </w:rPr>
      </w:pPr>
      <w:r>
        <w:rPr>
          <w:rFonts w:ascii="仿宋_GB2312" w:hAnsi="仿宋_GB2312" w:cs="仿宋_GB2312" w:hint="eastAsia"/>
          <w:color w:val="000000"/>
          <w:szCs w:val="32"/>
          <w:highlight w:val="none"/>
        </w:rPr>
        <w:t>针对短临预报预警需要的BUFR格式资料，新增BUFR模板识别，常规算术表达式计算和条件表达式计算功能。实现多模板配置化入库，支持入多张表同时处理入库，支持单站重复观测入多条记录。增加卫星BUFR转4字节功能，支持新文件名从报文获取值策略，通过正则表达式支持源文件名索引下标获取、截取、BUFR报文值获取等。</w:t>
      </w:r>
    </w:p>
    <w:p>
      <w:pPr>
        <w:pStyle w:val="Heading5"/>
        <w:keepNext/>
        <w:keepLines/>
        <w:widowControl w:val="0"/>
        <w:numPr>
          <w:ilvl w:val="4"/>
          <w:numId w:val="4"/>
        </w:numPr>
        <w:spacing w:before="280" w:after="290" w:line="376" w:lineRule="auto"/>
        <w:ind w:left="1008" w:hanging="1008"/>
        <w:jc w:val="both"/>
        <w:rPr>
          <w:highlight w:val="none"/>
        </w:rPr>
      </w:pPr>
      <w:r>
        <w:rPr>
          <w:rFonts w:hint="eastAsia"/>
          <w:highlight w:val="none"/>
        </w:rPr>
        <w:t>通用非结构化索引入库框架</w:t>
      </w:r>
    </w:p>
    <w:p>
      <w:pPr>
        <w:spacing w:line="560" w:lineRule="exact"/>
        <w:ind w:firstLine="420" w:firstLineChars="200"/>
        <w:rPr>
          <w:rFonts w:ascii="仿宋_GB2312" w:hAnsi="仿宋_GB2312" w:cs="仿宋_GB2312"/>
          <w:color w:val="000000"/>
          <w:szCs w:val="32"/>
          <w:highlight w:val="none"/>
        </w:rPr>
      </w:pPr>
      <w:r>
        <w:rPr>
          <w:rFonts w:ascii="仿宋_GB2312" w:hAnsi="仿宋_GB2312" w:cs="仿宋_GB2312" w:hint="eastAsia"/>
          <w:color w:val="000000"/>
          <w:szCs w:val="32"/>
          <w:highlight w:val="none"/>
        </w:rPr>
        <w:t>针对短临预报预警特点，提升通用非结构化数据多线程处理框架能力，实现短临预警所需数据以文件索引的方式快速接入。通过配置</w:t>
      </w:r>
      <w:r>
        <w:rPr>
          <w:rFonts w:ascii="微软雅黑" w:eastAsia="微软雅黑" w:hAnsi="微软雅黑" w:cs="微软雅黑" w:hint="eastAsia"/>
          <w:color w:val="000000"/>
          <w:szCs w:val="32"/>
          <w:highlight w:val="none"/>
        </w:rPr>
        <w:t>⽅</w:t>
      </w:r>
      <w:r>
        <w:rPr>
          <w:rFonts w:ascii="仿宋_GB2312" w:hAnsi="仿宋_GB2312" w:cs="仿宋_GB2312" w:hint="eastAsia"/>
          <w:color w:val="000000"/>
          <w:szCs w:val="32"/>
          <w:highlight w:val="none"/>
        </w:rPr>
        <w:t>式实现</w:t>
      </w:r>
      <w:r>
        <w:rPr>
          <w:rFonts w:ascii="微软雅黑" w:eastAsia="微软雅黑" w:hAnsi="微软雅黑" w:cs="微软雅黑" w:hint="eastAsia"/>
          <w:color w:val="000000"/>
          <w:szCs w:val="32"/>
          <w:highlight w:val="none"/>
        </w:rPr>
        <w:t>⽂</w:t>
      </w:r>
      <w:r>
        <w:rPr>
          <w:rFonts w:ascii="仿宋_GB2312" w:hAnsi="仿宋_GB2312" w:cs="仿宋_GB2312" w:hint="eastAsia"/>
          <w:color w:val="000000"/>
          <w:szCs w:val="32"/>
          <w:highlight w:val="none"/>
        </w:rPr>
        <w:t>件名中各字段和索引表字段的直接映射或转换映射，</w:t>
      </w:r>
      <w:r>
        <w:rPr>
          <w:rFonts w:ascii="微软雅黑" w:eastAsia="微软雅黑" w:hAnsi="微软雅黑" w:cs="微软雅黑" w:hint="eastAsia"/>
          <w:color w:val="000000"/>
          <w:szCs w:val="32"/>
          <w:highlight w:val="none"/>
        </w:rPr>
        <w:t>⽀</w:t>
      </w:r>
      <w:r>
        <w:rPr>
          <w:rFonts w:ascii="仿宋_GB2312" w:hAnsi="仿宋_GB2312" w:cs="仿宋_GB2312" w:hint="eastAsia"/>
          <w:color w:val="000000"/>
          <w:szCs w:val="32"/>
          <w:highlight w:val="none"/>
        </w:rPr>
        <w:t>持通过通配</w:t>
      </w:r>
      <w:r>
        <w:rPr>
          <w:rFonts w:ascii="微软雅黑" w:eastAsia="微软雅黑" w:hAnsi="微软雅黑" w:cs="微软雅黑" w:hint="eastAsia"/>
          <w:color w:val="000000"/>
          <w:szCs w:val="32"/>
          <w:highlight w:val="none"/>
        </w:rPr>
        <w:t>⽅</w:t>
      </w:r>
      <w:r>
        <w:rPr>
          <w:rFonts w:ascii="仿宋_GB2312" w:hAnsi="仿宋_GB2312" w:cs="仿宋_GB2312" w:hint="eastAsia"/>
          <w:color w:val="000000"/>
          <w:szCs w:val="32"/>
          <w:highlight w:val="none"/>
        </w:rPr>
        <w:t>式进</w:t>
      </w:r>
      <w:r>
        <w:rPr>
          <w:rFonts w:ascii="微软雅黑" w:eastAsia="微软雅黑" w:hAnsi="微软雅黑" w:cs="微软雅黑" w:hint="eastAsia"/>
          <w:color w:val="000000"/>
          <w:szCs w:val="32"/>
          <w:highlight w:val="none"/>
        </w:rPr>
        <w:t>⾏</w:t>
      </w:r>
      <w:r>
        <w:rPr>
          <w:rFonts w:ascii="仿宋_GB2312" w:hAnsi="仿宋_GB2312" w:cs="仿宋_GB2312" w:hint="eastAsia"/>
          <w:color w:val="000000"/>
          <w:szCs w:val="32"/>
          <w:highlight w:val="none"/>
        </w:rPr>
        <w:t>配置接入数据。增加在配置中实现时间转换等简单的计算功能，增加只入索引表不移动数据文件功能，增加文件存储路径拼接功能，兼容同</w:t>
      </w:r>
      <w:r>
        <w:rPr>
          <w:rFonts w:ascii="微软雅黑" w:eastAsia="微软雅黑" w:hAnsi="微软雅黑" w:cs="微软雅黑" w:hint="eastAsia"/>
          <w:color w:val="000000"/>
          <w:szCs w:val="32"/>
          <w:highlight w:val="none"/>
        </w:rPr>
        <w:t>⼀</w:t>
      </w:r>
      <w:r>
        <w:rPr>
          <w:rFonts w:ascii="仿宋_GB2312" w:hAnsi="仿宋_GB2312" w:cs="仿宋_GB2312" w:hint="eastAsia"/>
          <w:color w:val="000000"/>
          <w:szCs w:val="32"/>
          <w:highlight w:val="none"/>
        </w:rPr>
        <w:t>四级编码下多种</w:t>
      </w:r>
      <w:r>
        <w:rPr>
          <w:rFonts w:ascii="微软雅黑" w:eastAsia="微软雅黑" w:hAnsi="微软雅黑" w:cs="微软雅黑" w:hint="eastAsia"/>
          <w:color w:val="000000"/>
          <w:szCs w:val="32"/>
          <w:highlight w:val="none"/>
        </w:rPr>
        <w:t>⽂</w:t>
      </w:r>
      <w:r>
        <w:rPr>
          <w:rFonts w:ascii="仿宋_GB2312" w:hAnsi="仿宋_GB2312" w:cs="仿宋_GB2312" w:hint="eastAsia"/>
          <w:color w:val="000000"/>
          <w:szCs w:val="32"/>
          <w:highlight w:val="none"/>
        </w:rPr>
        <w:t>件名模板功能。</w:t>
      </w:r>
    </w:p>
    <w:p>
      <w:pPr>
        <w:pStyle w:val="Heading5"/>
        <w:keepNext/>
        <w:keepLines/>
        <w:widowControl w:val="0"/>
        <w:numPr>
          <w:ilvl w:val="4"/>
          <w:numId w:val="4"/>
        </w:numPr>
        <w:spacing w:before="280" w:after="290" w:line="376" w:lineRule="auto"/>
        <w:ind w:left="1008" w:hanging="1008"/>
        <w:jc w:val="both"/>
        <w:rPr>
          <w:rFonts w:hint="eastAsia"/>
          <w:highlight w:val="none"/>
        </w:rPr>
      </w:pPr>
      <w:r>
        <w:rPr>
          <w:rFonts w:hint="eastAsia"/>
          <w:highlight w:val="none"/>
        </w:rPr>
        <w:t>数据清单</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138"/>
        <w:gridCol w:w="697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52"/>
          <w:jc w:val="center"/>
        </w:trPr>
        <w:tc>
          <w:tcPr>
            <w:tcW w:w="1138" w:type="dxa"/>
            <w:noWrap w:val="0"/>
            <w:vAlign w:val="center"/>
          </w:tcPr>
          <w:p>
            <w:pPr>
              <w:pStyle w:val="NormalIndent"/>
              <w:spacing w:line="240" w:lineRule="auto"/>
              <w:ind w:firstLine="0" w:firstLineChars="0"/>
              <w:jc w:val="center"/>
              <w:rPr>
                <w:rFonts w:ascii="宋体" w:eastAsia="宋体" w:hAnsi="宋体"/>
                <w:b/>
                <w:szCs w:val="21"/>
                <w:highlight w:val="none"/>
              </w:rPr>
            </w:pPr>
            <w:r>
              <w:rPr>
                <w:rFonts w:ascii="宋体" w:eastAsia="宋体" w:hAnsi="宋体"/>
                <w:b/>
                <w:sz w:val="21"/>
                <w:szCs w:val="21"/>
                <w:highlight w:val="none"/>
              </w:rPr>
              <w:t>序号</w:t>
            </w:r>
          </w:p>
        </w:tc>
        <w:tc>
          <w:tcPr>
            <w:tcW w:w="6977" w:type="dxa"/>
            <w:noWrap w:val="0"/>
            <w:vAlign w:val="center"/>
          </w:tcPr>
          <w:p>
            <w:pPr>
              <w:pStyle w:val="NormalIndent"/>
              <w:spacing w:line="240" w:lineRule="auto"/>
              <w:ind w:firstLine="0" w:firstLineChars="0"/>
              <w:jc w:val="center"/>
              <w:rPr>
                <w:rFonts w:ascii="宋体" w:eastAsia="宋体" w:hAnsi="宋体"/>
                <w:b/>
                <w:szCs w:val="21"/>
                <w:highlight w:val="none"/>
              </w:rPr>
            </w:pPr>
            <w:r>
              <w:rPr>
                <w:rFonts w:ascii="宋体" w:eastAsia="宋体" w:hAnsi="宋体"/>
                <w:b/>
                <w:sz w:val="21"/>
                <w:szCs w:val="21"/>
                <w:highlight w:val="none"/>
              </w:rPr>
              <w:t>数据名称</w:t>
            </w:r>
          </w:p>
        </w:tc>
      </w:tr>
      <w:tr>
        <w:tblPrEx>
          <w:tblW w:w="0" w:type="auto"/>
          <w:jc w:val="center"/>
          <w:tblCellMar>
            <w:top w:w="0" w:type="dxa"/>
            <w:left w:w="108" w:type="dxa"/>
            <w:bottom w:w="0" w:type="dxa"/>
            <w:right w:w="108" w:type="dxa"/>
          </w:tblCellMar>
        </w:tblPrEx>
        <w:trPr>
          <w:trHeight w:val="415"/>
          <w:jc w:val="center"/>
        </w:trPr>
        <w:tc>
          <w:tcPr>
            <w:tcW w:w="1138" w:type="dxa"/>
            <w:noWrap w:val="0"/>
            <w:vAlign w:val="center"/>
          </w:tcPr>
          <w:p>
            <w:pPr>
              <w:pStyle w:val="NormalIndent"/>
              <w:spacing w:line="240" w:lineRule="auto"/>
              <w:ind w:firstLine="0" w:firstLineChars="0"/>
              <w:jc w:val="center"/>
              <w:rPr>
                <w:rFonts w:ascii="宋体" w:eastAsia="宋体" w:hAnsi="宋体"/>
                <w:szCs w:val="21"/>
                <w:highlight w:val="none"/>
              </w:rPr>
            </w:pPr>
            <w:r>
              <w:rPr>
                <w:rFonts w:ascii="宋体" w:eastAsia="宋体" w:hAnsi="宋体"/>
                <w:sz w:val="21"/>
                <w:szCs w:val="21"/>
                <w:highlight w:val="none"/>
              </w:rPr>
              <w:t>1</w:t>
            </w:r>
          </w:p>
        </w:tc>
        <w:tc>
          <w:tcPr>
            <w:tcW w:w="6977" w:type="dxa"/>
            <w:noWrap w:val="0"/>
            <w:vAlign w:val="center"/>
          </w:tcPr>
          <w:p>
            <w:pPr>
              <w:pStyle w:val="NormalIndent"/>
              <w:spacing w:line="240" w:lineRule="auto"/>
              <w:ind w:firstLine="0" w:firstLineChars="0"/>
              <w:jc w:val="left"/>
              <w:rPr>
                <w:rFonts w:ascii="宋体" w:eastAsia="宋体" w:hAnsi="宋体"/>
                <w:szCs w:val="21"/>
                <w:highlight w:val="none"/>
              </w:rPr>
            </w:pPr>
            <w:r>
              <w:rPr>
                <w:rFonts w:ascii="宋体" w:eastAsia="宋体" w:hAnsi="宋体"/>
                <w:sz w:val="21"/>
                <w:szCs w:val="21"/>
                <w:highlight w:val="none"/>
              </w:rPr>
              <w:t>BUFR格式地基微波辐射计气象产品数据</w:t>
            </w:r>
          </w:p>
        </w:tc>
      </w:tr>
      <w:tr>
        <w:tblPrEx>
          <w:tblW w:w="0" w:type="auto"/>
          <w:jc w:val="center"/>
          <w:tblCellMar>
            <w:top w:w="0" w:type="dxa"/>
            <w:left w:w="108" w:type="dxa"/>
            <w:bottom w:w="0" w:type="dxa"/>
            <w:right w:w="108" w:type="dxa"/>
          </w:tblCellMar>
        </w:tblPrEx>
        <w:trPr>
          <w:trHeight w:val="415"/>
          <w:jc w:val="center"/>
        </w:trPr>
        <w:tc>
          <w:tcPr>
            <w:tcW w:w="1138" w:type="dxa"/>
            <w:noWrap w:val="0"/>
            <w:vAlign w:val="center"/>
          </w:tcPr>
          <w:p>
            <w:pPr>
              <w:pStyle w:val="NormalIndent"/>
              <w:spacing w:line="240" w:lineRule="auto"/>
              <w:ind w:firstLine="0" w:firstLineChars="0"/>
              <w:jc w:val="center"/>
              <w:rPr>
                <w:rFonts w:ascii="宋体" w:eastAsia="宋体" w:hAnsi="宋体"/>
                <w:szCs w:val="21"/>
                <w:highlight w:val="none"/>
              </w:rPr>
            </w:pPr>
            <w:r>
              <w:rPr>
                <w:rFonts w:ascii="宋体" w:eastAsia="宋体" w:hAnsi="宋体"/>
                <w:sz w:val="21"/>
                <w:szCs w:val="21"/>
                <w:highlight w:val="none"/>
              </w:rPr>
              <w:t>2</w:t>
            </w:r>
          </w:p>
        </w:tc>
        <w:tc>
          <w:tcPr>
            <w:tcW w:w="6977" w:type="dxa"/>
            <w:noWrap w:val="0"/>
            <w:vAlign w:val="center"/>
          </w:tcPr>
          <w:p>
            <w:pPr>
              <w:pStyle w:val="NormalIndent"/>
              <w:spacing w:line="240" w:lineRule="auto"/>
              <w:ind w:firstLine="0" w:firstLineChars="0"/>
              <w:jc w:val="left"/>
              <w:rPr>
                <w:rFonts w:ascii="宋体" w:eastAsia="宋体" w:hAnsi="宋体"/>
                <w:szCs w:val="21"/>
                <w:highlight w:val="none"/>
              </w:rPr>
            </w:pPr>
            <w:r>
              <w:rPr>
                <w:rFonts w:ascii="宋体" w:eastAsia="宋体" w:hAnsi="宋体"/>
                <w:sz w:val="21"/>
                <w:szCs w:val="21"/>
                <w:highlight w:val="none"/>
              </w:rPr>
              <w:t>BUFR格式地基垂直观测气溶胶激光观测仪2级产品数据</w:t>
            </w:r>
          </w:p>
        </w:tc>
      </w:tr>
      <w:tr>
        <w:tblPrEx>
          <w:tblW w:w="0" w:type="auto"/>
          <w:jc w:val="center"/>
          <w:tblCellMar>
            <w:top w:w="0" w:type="dxa"/>
            <w:left w:w="108" w:type="dxa"/>
            <w:bottom w:w="0" w:type="dxa"/>
            <w:right w:w="108" w:type="dxa"/>
          </w:tblCellMar>
        </w:tblPrEx>
        <w:trPr>
          <w:trHeight w:val="415"/>
          <w:jc w:val="center"/>
        </w:trPr>
        <w:tc>
          <w:tcPr>
            <w:tcW w:w="1138" w:type="dxa"/>
            <w:noWrap w:val="0"/>
            <w:vAlign w:val="center"/>
          </w:tcPr>
          <w:p>
            <w:pPr>
              <w:pStyle w:val="NormalIndent"/>
              <w:spacing w:line="240" w:lineRule="auto"/>
              <w:ind w:firstLine="0" w:firstLineChars="0"/>
              <w:jc w:val="center"/>
              <w:rPr>
                <w:rFonts w:ascii="宋体" w:eastAsia="宋体" w:hAnsi="宋体"/>
                <w:szCs w:val="21"/>
                <w:highlight w:val="none"/>
              </w:rPr>
            </w:pPr>
            <w:r>
              <w:rPr>
                <w:rFonts w:ascii="宋体" w:eastAsia="宋体" w:hAnsi="宋体"/>
                <w:sz w:val="21"/>
                <w:szCs w:val="21"/>
                <w:highlight w:val="none"/>
              </w:rPr>
              <w:t>3</w:t>
            </w:r>
          </w:p>
        </w:tc>
        <w:tc>
          <w:tcPr>
            <w:tcW w:w="6977" w:type="dxa"/>
            <w:noWrap w:val="0"/>
            <w:vAlign w:val="center"/>
          </w:tcPr>
          <w:p>
            <w:pPr>
              <w:pStyle w:val="NormalIndent"/>
              <w:spacing w:line="240" w:lineRule="auto"/>
              <w:ind w:firstLine="0" w:firstLineChars="0"/>
              <w:jc w:val="left"/>
              <w:rPr>
                <w:rFonts w:ascii="宋体" w:eastAsia="宋体" w:hAnsi="宋体"/>
                <w:szCs w:val="21"/>
                <w:highlight w:val="none"/>
              </w:rPr>
            </w:pPr>
            <w:r>
              <w:rPr>
                <w:rFonts w:ascii="宋体" w:eastAsia="宋体" w:hAnsi="宋体"/>
                <w:sz w:val="21"/>
                <w:szCs w:val="21"/>
                <w:highlight w:val="none"/>
              </w:rPr>
              <w:t>BUFR格式地基垂直观测毫米波测云仪产品数据</w:t>
            </w:r>
          </w:p>
        </w:tc>
      </w:tr>
      <w:tr>
        <w:tblPrEx>
          <w:tblW w:w="0" w:type="auto"/>
          <w:jc w:val="center"/>
          <w:tblCellMar>
            <w:top w:w="0" w:type="dxa"/>
            <w:left w:w="108" w:type="dxa"/>
            <w:bottom w:w="0" w:type="dxa"/>
            <w:right w:w="108" w:type="dxa"/>
          </w:tblCellMar>
        </w:tblPrEx>
        <w:trPr>
          <w:trHeight w:val="415"/>
          <w:jc w:val="center"/>
        </w:trPr>
        <w:tc>
          <w:tcPr>
            <w:tcW w:w="1138" w:type="dxa"/>
            <w:noWrap w:val="0"/>
            <w:vAlign w:val="center"/>
          </w:tcPr>
          <w:p>
            <w:pPr>
              <w:pStyle w:val="NormalIndent"/>
              <w:spacing w:line="240" w:lineRule="auto"/>
              <w:ind w:firstLine="0" w:firstLineChars="0"/>
              <w:jc w:val="center"/>
              <w:rPr>
                <w:rFonts w:ascii="宋体" w:eastAsia="宋体" w:hAnsi="宋体"/>
                <w:szCs w:val="21"/>
                <w:highlight w:val="none"/>
              </w:rPr>
            </w:pPr>
            <w:r>
              <w:rPr>
                <w:rFonts w:ascii="宋体" w:eastAsia="宋体" w:hAnsi="宋体"/>
                <w:sz w:val="21"/>
                <w:szCs w:val="21"/>
                <w:highlight w:val="none"/>
              </w:rPr>
              <w:t>4</w:t>
            </w:r>
          </w:p>
        </w:tc>
        <w:tc>
          <w:tcPr>
            <w:tcW w:w="6977" w:type="dxa"/>
            <w:noWrap w:val="0"/>
            <w:vAlign w:val="center"/>
          </w:tcPr>
          <w:p>
            <w:pPr>
              <w:pStyle w:val="NormalIndent"/>
              <w:spacing w:line="240" w:lineRule="auto"/>
              <w:ind w:firstLine="0" w:firstLineChars="0"/>
              <w:jc w:val="left"/>
              <w:rPr>
                <w:rFonts w:ascii="宋体" w:eastAsia="宋体" w:hAnsi="宋体"/>
                <w:szCs w:val="21"/>
                <w:highlight w:val="none"/>
              </w:rPr>
            </w:pPr>
            <w:r>
              <w:rPr>
                <w:rFonts w:ascii="宋体" w:eastAsia="宋体" w:hAnsi="宋体"/>
                <w:sz w:val="21"/>
                <w:szCs w:val="21"/>
                <w:highlight w:val="none"/>
              </w:rPr>
              <w:t>BUFR格式地基垂直观测台站GNSSMET水汽产品数据</w:t>
            </w:r>
          </w:p>
        </w:tc>
      </w:tr>
      <w:tr>
        <w:tblPrEx>
          <w:tblW w:w="0" w:type="auto"/>
          <w:jc w:val="center"/>
          <w:tblCellMar>
            <w:top w:w="0" w:type="dxa"/>
            <w:left w:w="108" w:type="dxa"/>
            <w:bottom w:w="0" w:type="dxa"/>
            <w:right w:w="108" w:type="dxa"/>
          </w:tblCellMar>
        </w:tblPrEx>
        <w:trPr>
          <w:trHeight w:val="415"/>
          <w:jc w:val="center"/>
        </w:trPr>
        <w:tc>
          <w:tcPr>
            <w:tcW w:w="1138" w:type="dxa"/>
            <w:noWrap w:val="0"/>
            <w:vAlign w:val="center"/>
          </w:tcPr>
          <w:p>
            <w:pPr>
              <w:pStyle w:val="NormalIndent"/>
              <w:spacing w:line="240" w:lineRule="auto"/>
              <w:ind w:firstLine="0" w:firstLineChars="0"/>
              <w:jc w:val="center"/>
              <w:rPr>
                <w:rFonts w:ascii="宋体" w:eastAsia="宋体" w:hAnsi="宋体"/>
                <w:szCs w:val="21"/>
                <w:highlight w:val="none"/>
              </w:rPr>
            </w:pPr>
            <w:r>
              <w:rPr>
                <w:rFonts w:ascii="宋体" w:eastAsia="宋体" w:hAnsi="宋体"/>
                <w:sz w:val="21"/>
                <w:szCs w:val="21"/>
                <w:highlight w:val="none"/>
              </w:rPr>
              <w:t>5</w:t>
            </w:r>
          </w:p>
        </w:tc>
        <w:tc>
          <w:tcPr>
            <w:tcW w:w="6977" w:type="dxa"/>
            <w:noWrap w:val="0"/>
            <w:vAlign w:val="center"/>
          </w:tcPr>
          <w:p>
            <w:pPr>
              <w:pStyle w:val="NormalIndent"/>
              <w:spacing w:line="240" w:lineRule="auto"/>
              <w:ind w:firstLine="0" w:firstLineChars="0"/>
              <w:jc w:val="left"/>
              <w:rPr>
                <w:rFonts w:ascii="宋体" w:eastAsia="宋体" w:hAnsi="宋体"/>
                <w:szCs w:val="21"/>
                <w:highlight w:val="none"/>
              </w:rPr>
            </w:pPr>
            <w:r>
              <w:rPr>
                <w:rFonts w:ascii="宋体" w:eastAsia="宋体" w:hAnsi="宋体"/>
                <w:sz w:val="21"/>
                <w:szCs w:val="21"/>
                <w:highlight w:val="none"/>
              </w:rPr>
              <w:t>BUFR格式地基垂直观测系统融合产品数据</w:t>
            </w:r>
          </w:p>
        </w:tc>
      </w:tr>
      <w:tr>
        <w:tblPrEx>
          <w:tblW w:w="0" w:type="auto"/>
          <w:jc w:val="center"/>
          <w:tblCellMar>
            <w:top w:w="0" w:type="dxa"/>
            <w:left w:w="108" w:type="dxa"/>
            <w:bottom w:w="0" w:type="dxa"/>
            <w:right w:w="108" w:type="dxa"/>
          </w:tblCellMar>
        </w:tblPrEx>
        <w:trPr>
          <w:trHeight w:val="415"/>
          <w:jc w:val="center"/>
        </w:trPr>
        <w:tc>
          <w:tcPr>
            <w:tcW w:w="1138" w:type="dxa"/>
            <w:noWrap w:val="0"/>
            <w:vAlign w:val="center"/>
          </w:tcPr>
          <w:p>
            <w:pPr>
              <w:pStyle w:val="NormalIndent"/>
              <w:spacing w:line="240" w:lineRule="auto"/>
              <w:ind w:firstLine="0" w:firstLineChars="0"/>
              <w:jc w:val="center"/>
              <w:rPr>
                <w:rFonts w:ascii="宋体" w:eastAsia="宋体" w:hAnsi="宋体"/>
                <w:szCs w:val="21"/>
                <w:highlight w:val="none"/>
              </w:rPr>
            </w:pPr>
            <w:r>
              <w:rPr>
                <w:rFonts w:ascii="宋体" w:eastAsia="宋体" w:hAnsi="宋体"/>
                <w:sz w:val="21"/>
                <w:szCs w:val="21"/>
                <w:highlight w:val="none"/>
              </w:rPr>
              <w:t>6</w:t>
            </w:r>
          </w:p>
        </w:tc>
        <w:tc>
          <w:tcPr>
            <w:tcW w:w="6977" w:type="dxa"/>
            <w:noWrap w:val="0"/>
            <w:vAlign w:val="center"/>
          </w:tcPr>
          <w:p>
            <w:pPr>
              <w:pStyle w:val="NormalIndent"/>
              <w:spacing w:line="240" w:lineRule="auto"/>
              <w:ind w:firstLine="0" w:firstLineChars="0"/>
              <w:jc w:val="left"/>
              <w:rPr>
                <w:rFonts w:ascii="宋体" w:eastAsia="宋体" w:hAnsi="宋体"/>
                <w:szCs w:val="21"/>
                <w:highlight w:val="none"/>
              </w:rPr>
            </w:pPr>
            <w:r>
              <w:rPr>
                <w:rFonts w:ascii="宋体" w:eastAsia="宋体" w:hAnsi="宋体"/>
                <w:sz w:val="21"/>
                <w:szCs w:val="21"/>
                <w:highlight w:val="none"/>
              </w:rPr>
              <w:t>无人机下投式探空试验数据</w:t>
            </w:r>
          </w:p>
        </w:tc>
      </w:tr>
      <w:tr>
        <w:tblPrEx>
          <w:tblW w:w="0" w:type="auto"/>
          <w:jc w:val="center"/>
          <w:tblCellMar>
            <w:top w:w="0" w:type="dxa"/>
            <w:left w:w="108" w:type="dxa"/>
            <w:bottom w:w="0" w:type="dxa"/>
            <w:right w:w="108" w:type="dxa"/>
          </w:tblCellMar>
        </w:tblPrEx>
        <w:trPr>
          <w:trHeight w:val="415"/>
          <w:jc w:val="center"/>
        </w:trPr>
        <w:tc>
          <w:tcPr>
            <w:tcW w:w="1138" w:type="dxa"/>
            <w:noWrap w:val="0"/>
            <w:vAlign w:val="center"/>
          </w:tcPr>
          <w:p>
            <w:pPr>
              <w:pStyle w:val="NormalIndent"/>
              <w:spacing w:line="240" w:lineRule="auto"/>
              <w:ind w:firstLine="0" w:firstLineChars="0"/>
              <w:jc w:val="center"/>
              <w:rPr>
                <w:rFonts w:ascii="宋体" w:eastAsia="宋体" w:hAnsi="宋体"/>
                <w:szCs w:val="21"/>
                <w:highlight w:val="none"/>
              </w:rPr>
            </w:pPr>
            <w:r>
              <w:rPr>
                <w:rFonts w:ascii="宋体" w:eastAsia="宋体" w:hAnsi="宋体"/>
                <w:sz w:val="21"/>
                <w:szCs w:val="21"/>
                <w:highlight w:val="none"/>
              </w:rPr>
              <w:t>7</w:t>
            </w:r>
          </w:p>
        </w:tc>
        <w:tc>
          <w:tcPr>
            <w:tcW w:w="6977" w:type="dxa"/>
            <w:noWrap w:val="0"/>
            <w:vAlign w:val="center"/>
          </w:tcPr>
          <w:p>
            <w:pPr>
              <w:pStyle w:val="NormalIndent"/>
              <w:spacing w:line="240" w:lineRule="auto"/>
              <w:ind w:firstLine="0" w:firstLineChars="0"/>
              <w:jc w:val="left"/>
              <w:rPr>
                <w:rFonts w:ascii="宋体" w:eastAsia="宋体" w:hAnsi="宋体"/>
                <w:szCs w:val="21"/>
                <w:highlight w:val="none"/>
              </w:rPr>
            </w:pPr>
            <w:r>
              <w:rPr>
                <w:rFonts w:ascii="宋体" w:eastAsia="宋体" w:hAnsi="宋体"/>
                <w:sz w:val="21"/>
                <w:szCs w:val="21"/>
                <w:highlight w:val="none"/>
              </w:rPr>
              <w:t>多源融合格点实况插补数据</w:t>
            </w:r>
          </w:p>
        </w:tc>
      </w:tr>
      <w:tr>
        <w:tblPrEx>
          <w:tblW w:w="0" w:type="auto"/>
          <w:jc w:val="center"/>
          <w:tblCellMar>
            <w:top w:w="0" w:type="dxa"/>
            <w:left w:w="108" w:type="dxa"/>
            <w:bottom w:w="0" w:type="dxa"/>
            <w:right w:w="108" w:type="dxa"/>
          </w:tblCellMar>
        </w:tblPrEx>
        <w:trPr>
          <w:trHeight w:val="415"/>
          <w:jc w:val="center"/>
        </w:trPr>
        <w:tc>
          <w:tcPr>
            <w:tcW w:w="1138" w:type="dxa"/>
            <w:noWrap w:val="0"/>
            <w:vAlign w:val="center"/>
          </w:tcPr>
          <w:p>
            <w:pPr>
              <w:pStyle w:val="NormalIndent"/>
              <w:spacing w:line="240" w:lineRule="auto"/>
              <w:ind w:firstLine="0" w:firstLineChars="0"/>
              <w:jc w:val="center"/>
              <w:rPr>
                <w:rFonts w:ascii="宋体" w:eastAsia="宋体" w:hAnsi="宋体"/>
                <w:szCs w:val="21"/>
                <w:highlight w:val="none"/>
              </w:rPr>
            </w:pPr>
            <w:r>
              <w:rPr>
                <w:rFonts w:ascii="宋体" w:eastAsia="宋体" w:hAnsi="宋体"/>
                <w:sz w:val="21"/>
                <w:szCs w:val="21"/>
                <w:highlight w:val="none"/>
              </w:rPr>
              <w:t>8</w:t>
            </w:r>
          </w:p>
        </w:tc>
        <w:tc>
          <w:tcPr>
            <w:tcW w:w="6977" w:type="dxa"/>
            <w:noWrap w:val="0"/>
            <w:vAlign w:val="center"/>
          </w:tcPr>
          <w:p>
            <w:pPr>
              <w:pStyle w:val="NormalIndent"/>
              <w:spacing w:line="240" w:lineRule="auto"/>
              <w:ind w:firstLine="0" w:firstLineChars="0"/>
              <w:jc w:val="left"/>
              <w:rPr>
                <w:rFonts w:ascii="宋体" w:eastAsia="宋体" w:hAnsi="宋体"/>
                <w:szCs w:val="21"/>
                <w:highlight w:val="none"/>
              </w:rPr>
            </w:pPr>
            <w:r>
              <w:rPr>
                <w:rFonts w:ascii="宋体" w:eastAsia="宋体" w:hAnsi="宋体"/>
                <w:sz w:val="21"/>
                <w:szCs w:val="21"/>
                <w:highlight w:val="none"/>
              </w:rPr>
              <w:t>X波段天气雷达逐仰角基数据</w:t>
            </w:r>
          </w:p>
        </w:tc>
      </w:tr>
      <w:tr>
        <w:tblPrEx>
          <w:tblW w:w="0" w:type="auto"/>
          <w:jc w:val="center"/>
          <w:tblCellMar>
            <w:top w:w="0" w:type="dxa"/>
            <w:left w:w="108" w:type="dxa"/>
            <w:bottom w:w="0" w:type="dxa"/>
            <w:right w:w="108" w:type="dxa"/>
          </w:tblCellMar>
        </w:tblPrEx>
        <w:trPr>
          <w:trHeight w:val="415"/>
          <w:jc w:val="center"/>
        </w:trPr>
        <w:tc>
          <w:tcPr>
            <w:tcW w:w="1138" w:type="dxa"/>
            <w:noWrap w:val="0"/>
            <w:vAlign w:val="center"/>
          </w:tcPr>
          <w:p>
            <w:pPr>
              <w:pStyle w:val="NormalIndent"/>
              <w:spacing w:line="240" w:lineRule="auto"/>
              <w:ind w:firstLine="0" w:firstLineChars="0"/>
              <w:jc w:val="center"/>
              <w:rPr>
                <w:rFonts w:ascii="宋体" w:eastAsia="宋体" w:hAnsi="宋体"/>
                <w:szCs w:val="21"/>
                <w:highlight w:val="none"/>
              </w:rPr>
            </w:pPr>
            <w:r>
              <w:rPr>
                <w:rFonts w:ascii="宋体" w:eastAsia="宋体" w:hAnsi="宋体"/>
                <w:sz w:val="21"/>
                <w:szCs w:val="21"/>
                <w:highlight w:val="none"/>
              </w:rPr>
              <w:t>9</w:t>
            </w:r>
          </w:p>
        </w:tc>
        <w:tc>
          <w:tcPr>
            <w:tcW w:w="6977" w:type="dxa"/>
            <w:noWrap w:val="0"/>
            <w:vAlign w:val="center"/>
          </w:tcPr>
          <w:p>
            <w:pPr>
              <w:pStyle w:val="NormalIndent"/>
              <w:spacing w:line="240" w:lineRule="auto"/>
              <w:ind w:firstLine="0" w:firstLineChars="0"/>
              <w:jc w:val="left"/>
              <w:rPr>
                <w:rFonts w:ascii="宋体" w:eastAsia="宋体" w:hAnsi="宋体"/>
                <w:szCs w:val="21"/>
                <w:highlight w:val="none"/>
              </w:rPr>
            </w:pPr>
            <w:r>
              <w:rPr>
                <w:rFonts w:ascii="宋体" w:eastAsia="宋体" w:hAnsi="宋体"/>
                <w:sz w:val="21"/>
                <w:szCs w:val="21"/>
                <w:highlight w:val="none"/>
              </w:rPr>
              <w:t>X波段天气雷达状态和告警数据</w:t>
            </w:r>
          </w:p>
        </w:tc>
      </w:tr>
      <w:tr>
        <w:tblPrEx>
          <w:tblW w:w="0" w:type="auto"/>
          <w:jc w:val="center"/>
          <w:tblCellMar>
            <w:top w:w="0" w:type="dxa"/>
            <w:left w:w="108" w:type="dxa"/>
            <w:bottom w:w="0" w:type="dxa"/>
            <w:right w:w="108" w:type="dxa"/>
          </w:tblCellMar>
        </w:tblPrEx>
        <w:trPr>
          <w:trHeight w:val="415"/>
          <w:jc w:val="center"/>
        </w:trPr>
        <w:tc>
          <w:tcPr>
            <w:tcW w:w="1138" w:type="dxa"/>
            <w:noWrap w:val="0"/>
            <w:vAlign w:val="center"/>
          </w:tcPr>
          <w:p>
            <w:pPr>
              <w:pStyle w:val="NormalIndent"/>
              <w:spacing w:line="240" w:lineRule="auto"/>
              <w:ind w:firstLine="0" w:firstLineChars="0"/>
              <w:jc w:val="center"/>
              <w:rPr>
                <w:rFonts w:ascii="宋体" w:eastAsia="宋体" w:hAnsi="宋体"/>
                <w:szCs w:val="21"/>
                <w:highlight w:val="none"/>
              </w:rPr>
            </w:pPr>
            <w:r>
              <w:rPr>
                <w:rFonts w:ascii="宋体" w:eastAsia="宋体" w:hAnsi="宋体"/>
                <w:sz w:val="21"/>
                <w:szCs w:val="21"/>
                <w:highlight w:val="none"/>
              </w:rPr>
              <w:t>1</w:t>
            </w:r>
            <w:r>
              <w:rPr>
                <w:rFonts w:ascii="宋体" w:eastAsia="宋体" w:hAnsi="宋体" w:hint="default"/>
                <w:sz w:val="21"/>
                <w:szCs w:val="21"/>
                <w:highlight w:val="none"/>
              </w:rPr>
              <w:t>0</w:t>
            </w:r>
          </w:p>
        </w:tc>
        <w:tc>
          <w:tcPr>
            <w:tcW w:w="6977" w:type="dxa"/>
            <w:noWrap w:val="0"/>
            <w:vAlign w:val="center"/>
          </w:tcPr>
          <w:p>
            <w:pPr>
              <w:pStyle w:val="NormalIndent"/>
              <w:spacing w:line="240" w:lineRule="auto"/>
              <w:ind w:firstLine="0" w:firstLineChars="0"/>
              <w:jc w:val="left"/>
              <w:rPr>
                <w:rFonts w:ascii="宋体" w:eastAsia="宋体" w:hAnsi="宋体"/>
                <w:szCs w:val="21"/>
                <w:highlight w:val="none"/>
              </w:rPr>
            </w:pPr>
            <w:r>
              <w:rPr>
                <w:rFonts w:ascii="宋体" w:eastAsia="宋体" w:hAnsi="宋体"/>
                <w:sz w:val="21"/>
                <w:szCs w:val="21"/>
                <w:highlight w:val="none"/>
              </w:rPr>
              <w:t>上海航空产品-基于H9的遥感大雾识别产品</w:t>
            </w:r>
          </w:p>
        </w:tc>
      </w:tr>
      <w:tr>
        <w:tblPrEx>
          <w:tblW w:w="0" w:type="auto"/>
          <w:jc w:val="center"/>
          <w:tblCellMar>
            <w:top w:w="0" w:type="dxa"/>
            <w:left w:w="108" w:type="dxa"/>
            <w:bottom w:w="0" w:type="dxa"/>
            <w:right w:w="108" w:type="dxa"/>
          </w:tblCellMar>
        </w:tblPrEx>
        <w:trPr>
          <w:trHeight w:val="415"/>
          <w:jc w:val="center"/>
        </w:trPr>
        <w:tc>
          <w:tcPr>
            <w:tcW w:w="1138" w:type="dxa"/>
            <w:noWrap w:val="0"/>
            <w:vAlign w:val="center"/>
          </w:tcPr>
          <w:p>
            <w:pPr>
              <w:pStyle w:val="NormalIndent"/>
              <w:spacing w:line="240" w:lineRule="auto"/>
              <w:ind w:firstLine="0" w:firstLineChars="0"/>
              <w:jc w:val="center"/>
              <w:rPr>
                <w:rFonts w:ascii="宋体" w:eastAsia="宋体" w:hAnsi="宋体"/>
                <w:szCs w:val="21"/>
                <w:highlight w:val="none"/>
              </w:rPr>
            </w:pPr>
            <w:r>
              <w:rPr>
                <w:rFonts w:ascii="宋体" w:eastAsia="宋体" w:hAnsi="宋体"/>
                <w:sz w:val="21"/>
                <w:szCs w:val="21"/>
                <w:highlight w:val="none"/>
              </w:rPr>
              <w:t>1</w:t>
            </w:r>
            <w:r>
              <w:rPr>
                <w:rFonts w:ascii="宋体" w:eastAsia="宋体" w:hAnsi="宋体" w:hint="default"/>
                <w:sz w:val="21"/>
                <w:szCs w:val="21"/>
                <w:highlight w:val="none"/>
              </w:rPr>
              <w:t>1</w:t>
            </w:r>
          </w:p>
        </w:tc>
        <w:tc>
          <w:tcPr>
            <w:tcW w:w="6977" w:type="dxa"/>
            <w:noWrap w:val="0"/>
            <w:vAlign w:val="center"/>
          </w:tcPr>
          <w:p>
            <w:pPr>
              <w:pStyle w:val="NormalIndent"/>
              <w:spacing w:line="240" w:lineRule="auto"/>
              <w:ind w:firstLine="0" w:firstLineChars="0"/>
              <w:jc w:val="left"/>
              <w:rPr>
                <w:rFonts w:ascii="宋体" w:eastAsia="宋体" w:hAnsi="宋体"/>
                <w:szCs w:val="21"/>
                <w:highlight w:val="none"/>
              </w:rPr>
            </w:pPr>
            <w:r>
              <w:rPr>
                <w:rFonts w:ascii="宋体" w:eastAsia="宋体" w:hAnsi="宋体"/>
                <w:sz w:val="21"/>
                <w:szCs w:val="21"/>
                <w:highlight w:val="none"/>
              </w:rPr>
              <w:t>上海航空产品-基于EC高分辨率模式的飞机颠簸潜势预报产品</w:t>
            </w:r>
          </w:p>
        </w:tc>
      </w:tr>
      <w:tr>
        <w:tblPrEx>
          <w:tblW w:w="0" w:type="auto"/>
          <w:jc w:val="center"/>
          <w:tblCellMar>
            <w:top w:w="0" w:type="dxa"/>
            <w:left w:w="108" w:type="dxa"/>
            <w:bottom w:w="0" w:type="dxa"/>
            <w:right w:w="108" w:type="dxa"/>
          </w:tblCellMar>
        </w:tblPrEx>
        <w:trPr>
          <w:trHeight w:val="415"/>
          <w:jc w:val="center"/>
        </w:trPr>
        <w:tc>
          <w:tcPr>
            <w:tcW w:w="1138" w:type="dxa"/>
            <w:noWrap w:val="0"/>
            <w:vAlign w:val="center"/>
          </w:tcPr>
          <w:p>
            <w:pPr>
              <w:pStyle w:val="NormalIndent"/>
              <w:spacing w:line="240" w:lineRule="auto"/>
              <w:ind w:firstLine="0" w:firstLineChars="0"/>
              <w:jc w:val="center"/>
              <w:rPr>
                <w:rFonts w:ascii="宋体" w:eastAsia="宋体" w:hAnsi="宋体"/>
                <w:szCs w:val="21"/>
                <w:highlight w:val="none"/>
              </w:rPr>
            </w:pPr>
            <w:r>
              <w:rPr>
                <w:rFonts w:ascii="宋体" w:eastAsia="宋体" w:hAnsi="宋体"/>
                <w:sz w:val="21"/>
                <w:szCs w:val="21"/>
                <w:highlight w:val="none"/>
              </w:rPr>
              <w:t>1</w:t>
            </w:r>
            <w:r>
              <w:rPr>
                <w:rFonts w:ascii="宋体" w:eastAsia="宋体" w:hAnsi="宋体" w:hint="default"/>
                <w:sz w:val="21"/>
                <w:szCs w:val="21"/>
                <w:highlight w:val="none"/>
              </w:rPr>
              <w:t>2</w:t>
            </w:r>
          </w:p>
        </w:tc>
        <w:tc>
          <w:tcPr>
            <w:tcW w:w="6977" w:type="dxa"/>
            <w:noWrap w:val="0"/>
            <w:vAlign w:val="center"/>
          </w:tcPr>
          <w:p>
            <w:pPr>
              <w:pStyle w:val="NormalIndent"/>
              <w:spacing w:line="240" w:lineRule="auto"/>
              <w:ind w:firstLine="0" w:firstLineChars="0"/>
              <w:jc w:val="left"/>
              <w:rPr>
                <w:rFonts w:ascii="宋体" w:eastAsia="宋体" w:hAnsi="宋体"/>
                <w:szCs w:val="21"/>
                <w:highlight w:val="none"/>
              </w:rPr>
            </w:pPr>
            <w:r>
              <w:rPr>
                <w:rFonts w:ascii="宋体" w:eastAsia="宋体" w:hAnsi="宋体"/>
                <w:sz w:val="21"/>
                <w:szCs w:val="21"/>
                <w:highlight w:val="none"/>
              </w:rPr>
              <w:t>上海航空产品-基于EC高分辨率模式的温度-对数压力图预报产品</w:t>
            </w:r>
          </w:p>
        </w:tc>
      </w:tr>
      <w:tr>
        <w:tblPrEx>
          <w:tblW w:w="0" w:type="auto"/>
          <w:jc w:val="center"/>
          <w:tblCellMar>
            <w:top w:w="0" w:type="dxa"/>
            <w:left w:w="108" w:type="dxa"/>
            <w:bottom w:w="0" w:type="dxa"/>
            <w:right w:w="108" w:type="dxa"/>
          </w:tblCellMar>
        </w:tblPrEx>
        <w:trPr>
          <w:trHeight w:val="415"/>
          <w:jc w:val="center"/>
        </w:trPr>
        <w:tc>
          <w:tcPr>
            <w:tcW w:w="1138" w:type="dxa"/>
            <w:noWrap w:val="0"/>
            <w:vAlign w:val="center"/>
          </w:tcPr>
          <w:p>
            <w:pPr>
              <w:pStyle w:val="NormalIndent"/>
              <w:spacing w:line="240" w:lineRule="auto"/>
              <w:ind w:firstLine="0" w:firstLineChars="0"/>
              <w:jc w:val="center"/>
              <w:rPr>
                <w:rFonts w:ascii="宋体" w:eastAsia="宋体" w:hAnsi="宋体"/>
                <w:szCs w:val="21"/>
                <w:highlight w:val="none"/>
              </w:rPr>
            </w:pPr>
            <w:r>
              <w:rPr>
                <w:rFonts w:ascii="宋体" w:eastAsia="宋体" w:hAnsi="宋体"/>
                <w:sz w:val="21"/>
                <w:szCs w:val="21"/>
                <w:highlight w:val="none"/>
              </w:rPr>
              <w:t>1</w:t>
            </w:r>
            <w:r>
              <w:rPr>
                <w:rFonts w:ascii="宋体" w:eastAsia="宋体" w:hAnsi="宋体" w:hint="default"/>
                <w:sz w:val="21"/>
                <w:szCs w:val="21"/>
                <w:highlight w:val="none"/>
              </w:rPr>
              <w:t>3</w:t>
            </w:r>
          </w:p>
        </w:tc>
        <w:tc>
          <w:tcPr>
            <w:tcW w:w="6977" w:type="dxa"/>
            <w:noWrap w:val="0"/>
            <w:vAlign w:val="center"/>
          </w:tcPr>
          <w:p>
            <w:pPr>
              <w:pStyle w:val="NormalIndent"/>
              <w:spacing w:line="240" w:lineRule="auto"/>
              <w:ind w:firstLine="0" w:firstLineChars="0"/>
              <w:jc w:val="left"/>
              <w:rPr>
                <w:rFonts w:ascii="宋体" w:eastAsia="宋体" w:hAnsi="宋体"/>
                <w:szCs w:val="21"/>
                <w:highlight w:val="none"/>
              </w:rPr>
            </w:pPr>
            <w:r>
              <w:rPr>
                <w:rFonts w:ascii="宋体" w:eastAsia="宋体" w:hAnsi="宋体"/>
                <w:sz w:val="21"/>
                <w:szCs w:val="21"/>
                <w:highlight w:val="none"/>
              </w:rPr>
              <w:t>上海航空产品-基于EC高分辨率模式的云量、风温湿剖面预报产品</w:t>
            </w:r>
          </w:p>
        </w:tc>
      </w:tr>
      <w:tr>
        <w:tblPrEx>
          <w:tblW w:w="0" w:type="auto"/>
          <w:jc w:val="center"/>
          <w:tblCellMar>
            <w:top w:w="0" w:type="dxa"/>
            <w:left w:w="108" w:type="dxa"/>
            <w:bottom w:w="0" w:type="dxa"/>
            <w:right w:w="108" w:type="dxa"/>
          </w:tblCellMar>
        </w:tblPrEx>
        <w:trPr>
          <w:trHeight w:val="415"/>
          <w:jc w:val="center"/>
        </w:trPr>
        <w:tc>
          <w:tcPr>
            <w:tcW w:w="1138" w:type="dxa"/>
            <w:noWrap w:val="0"/>
            <w:vAlign w:val="center"/>
          </w:tcPr>
          <w:p>
            <w:pPr>
              <w:pStyle w:val="NormalIndent"/>
              <w:spacing w:line="240" w:lineRule="auto"/>
              <w:ind w:firstLine="0" w:firstLineChars="0"/>
              <w:jc w:val="center"/>
              <w:rPr>
                <w:rFonts w:ascii="宋体" w:eastAsia="宋体" w:hAnsi="宋体"/>
                <w:szCs w:val="21"/>
                <w:highlight w:val="none"/>
              </w:rPr>
            </w:pPr>
            <w:r>
              <w:rPr>
                <w:rFonts w:ascii="宋体" w:eastAsia="宋体" w:hAnsi="宋体"/>
                <w:sz w:val="21"/>
                <w:szCs w:val="21"/>
                <w:highlight w:val="none"/>
              </w:rPr>
              <w:t>1</w:t>
            </w:r>
            <w:r>
              <w:rPr>
                <w:rFonts w:ascii="宋体" w:eastAsia="宋体" w:hAnsi="宋体" w:hint="default"/>
                <w:sz w:val="21"/>
                <w:szCs w:val="21"/>
                <w:highlight w:val="none"/>
              </w:rPr>
              <w:t>4</w:t>
            </w:r>
          </w:p>
        </w:tc>
        <w:tc>
          <w:tcPr>
            <w:tcW w:w="6977" w:type="dxa"/>
            <w:noWrap w:val="0"/>
            <w:vAlign w:val="center"/>
          </w:tcPr>
          <w:p>
            <w:pPr>
              <w:pStyle w:val="NormalIndent"/>
              <w:spacing w:line="240" w:lineRule="auto"/>
              <w:ind w:firstLine="0" w:firstLineChars="0"/>
              <w:jc w:val="left"/>
              <w:rPr>
                <w:rFonts w:ascii="宋体" w:eastAsia="宋体" w:hAnsi="宋体"/>
                <w:szCs w:val="21"/>
                <w:highlight w:val="none"/>
              </w:rPr>
            </w:pPr>
            <w:r>
              <w:rPr>
                <w:rFonts w:ascii="宋体" w:eastAsia="宋体" w:hAnsi="宋体"/>
                <w:sz w:val="21"/>
                <w:szCs w:val="21"/>
                <w:highlight w:val="none"/>
              </w:rPr>
              <w:t>HY-2B/HY-2C散射计轨道网格风场产品数据</w:t>
            </w:r>
          </w:p>
        </w:tc>
      </w:tr>
      <w:tr>
        <w:tblPrEx>
          <w:tblW w:w="0" w:type="auto"/>
          <w:jc w:val="center"/>
          <w:tblCellMar>
            <w:top w:w="0" w:type="dxa"/>
            <w:left w:w="108" w:type="dxa"/>
            <w:bottom w:w="0" w:type="dxa"/>
            <w:right w:w="108" w:type="dxa"/>
          </w:tblCellMar>
        </w:tblPrEx>
        <w:trPr>
          <w:trHeight w:val="415"/>
          <w:jc w:val="center"/>
        </w:trPr>
        <w:tc>
          <w:tcPr>
            <w:tcW w:w="1138" w:type="dxa"/>
            <w:noWrap w:val="0"/>
            <w:vAlign w:val="center"/>
          </w:tcPr>
          <w:p>
            <w:pPr>
              <w:pStyle w:val="NormalIndent"/>
              <w:spacing w:line="240" w:lineRule="auto"/>
              <w:ind w:firstLine="0" w:firstLineChars="0"/>
              <w:jc w:val="center"/>
              <w:rPr>
                <w:rFonts w:ascii="宋体" w:eastAsia="宋体" w:hAnsi="宋体"/>
                <w:szCs w:val="21"/>
                <w:highlight w:val="none"/>
              </w:rPr>
            </w:pPr>
            <w:r>
              <w:rPr>
                <w:rFonts w:ascii="宋体" w:eastAsia="宋体" w:hAnsi="宋体"/>
                <w:sz w:val="21"/>
                <w:szCs w:val="21"/>
                <w:highlight w:val="none"/>
              </w:rPr>
              <w:t>1</w:t>
            </w:r>
            <w:r>
              <w:rPr>
                <w:rFonts w:ascii="宋体" w:eastAsia="宋体" w:hAnsi="宋体" w:hint="default"/>
                <w:sz w:val="21"/>
                <w:szCs w:val="21"/>
                <w:highlight w:val="none"/>
              </w:rPr>
              <w:t>5</w:t>
            </w:r>
          </w:p>
        </w:tc>
        <w:tc>
          <w:tcPr>
            <w:tcW w:w="6977" w:type="dxa"/>
            <w:noWrap w:val="0"/>
            <w:vAlign w:val="center"/>
          </w:tcPr>
          <w:p>
            <w:pPr>
              <w:pStyle w:val="NormalIndent"/>
              <w:spacing w:line="240" w:lineRule="auto"/>
              <w:ind w:firstLine="0" w:firstLineChars="0"/>
              <w:jc w:val="left"/>
              <w:rPr>
                <w:rFonts w:ascii="宋体" w:eastAsia="宋体" w:hAnsi="宋体"/>
                <w:szCs w:val="21"/>
                <w:highlight w:val="none"/>
              </w:rPr>
            </w:pPr>
            <w:r>
              <w:rPr>
                <w:rFonts w:ascii="宋体" w:eastAsia="宋体" w:hAnsi="宋体"/>
                <w:sz w:val="21"/>
                <w:szCs w:val="21"/>
                <w:highlight w:val="none"/>
              </w:rPr>
              <w:t>CMA_MESO_V6.0 一公里分辨率预报数据</w:t>
            </w:r>
          </w:p>
        </w:tc>
      </w:tr>
      <w:tr>
        <w:tblPrEx>
          <w:tblW w:w="0" w:type="auto"/>
          <w:jc w:val="center"/>
          <w:tblCellMar>
            <w:top w:w="0" w:type="dxa"/>
            <w:left w:w="108" w:type="dxa"/>
            <w:bottom w:w="0" w:type="dxa"/>
            <w:right w:w="108" w:type="dxa"/>
          </w:tblCellMar>
        </w:tblPrEx>
        <w:trPr>
          <w:trHeight w:val="415"/>
          <w:jc w:val="center"/>
        </w:trPr>
        <w:tc>
          <w:tcPr>
            <w:tcW w:w="1138" w:type="dxa"/>
            <w:noWrap w:val="0"/>
            <w:vAlign w:val="center"/>
          </w:tcPr>
          <w:p>
            <w:pPr>
              <w:pStyle w:val="NormalIndent"/>
              <w:spacing w:line="240" w:lineRule="auto"/>
              <w:ind w:firstLine="0" w:firstLineChars="0"/>
              <w:jc w:val="center"/>
              <w:rPr>
                <w:rFonts w:ascii="宋体" w:eastAsia="宋体" w:hAnsi="宋体"/>
                <w:szCs w:val="21"/>
                <w:highlight w:val="none"/>
              </w:rPr>
            </w:pPr>
            <w:r>
              <w:rPr>
                <w:rFonts w:ascii="宋体" w:eastAsia="宋体" w:hAnsi="宋体"/>
                <w:sz w:val="21"/>
                <w:szCs w:val="21"/>
                <w:highlight w:val="none"/>
              </w:rPr>
              <w:t>1</w:t>
            </w:r>
            <w:r>
              <w:rPr>
                <w:rFonts w:ascii="宋体" w:eastAsia="宋体" w:hAnsi="宋体" w:hint="default"/>
                <w:sz w:val="21"/>
                <w:szCs w:val="21"/>
                <w:highlight w:val="none"/>
              </w:rPr>
              <w:t>6</w:t>
            </w:r>
          </w:p>
        </w:tc>
        <w:tc>
          <w:tcPr>
            <w:tcW w:w="6977" w:type="dxa"/>
            <w:noWrap w:val="0"/>
            <w:vAlign w:val="center"/>
          </w:tcPr>
          <w:p>
            <w:pPr>
              <w:pStyle w:val="NormalIndent"/>
              <w:spacing w:line="240" w:lineRule="auto"/>
              <w:ind w:firstLine="0" w:firstLineChars="0"/>
              <w:jc w:val="left"/>
              <w:rPr>
                <w:rFonts w:ascii="宋体" w:eastAsia="宋体" w:hAnsi="宋体"/>
                <w:szCs w:val="21"/>
                <w:highlight w:val="none"/>
              </w:rPr>
            </w:pPr>
            <w:r>
              <w:rPr>
                <w:rFonts w:ascii="宋体" w:eastAsia="宋体" w:hAnsi="宋体"/>
                <w:sz w:val="21"/>
                <w:szCs w:val="21"/>
                <w:highlight w:val="none"/>
              </w:rPr>
              <w:t>CLDAS-V2.0中国区域/亚洲区域产品数据（实时/近实时）</w:t>
            </w:r>
          </w:p>
        </w:tc>
      </w:tr>
      <w:tr>
        <w:tblPrEx>
          <w:tblW w:w="0" w:type="auto"/>
          <w:jc w:val="center"/>
          <w:tblCellMar>
            <w:top w:w="0" w:type="dxa"/>
            <w:left w:w="108" w:type="dxa"/>
            <w:bottom w:w="0" w:type="dxa"/>
            <w:right w:w="108" w:type="dxa"/>
          </w:tblCellMar>
        </w:tblPrEx>
        <w:trPr>
          <w:trHeight w:val="415"/>
          <w:jc w:val="center"/>
        </w:trPr>
        <w:tc>
          <w:tcPr>
            <w:tcW w:w="1138" w:type="dxa"/>
            <w:noWrap w:val="0"/>
            <w:vAlign w:val="center"/>
          </w:tcPr>
          <w:p>
            <w:pPr>
              <w:pStyle w:val="NormalIndent"/>
              <w:spacing w:line="240" w:lineRule="auto"/>
              <w:ind w:firstLine="0" w:firstLineChars="0"/>
              <w:jc w:val="center"/>
              <w:rPr>
                <w:rFonts w:ascii="宋体" w:eastAsia="宋体" w:hAnsi="宋体"/>
                <w:szCs w:val="21"/>
                <w:highlight w:val="none"/>
              </w:rPr>
            </w:pPr>
            <w:r>
              <w:rPr>
                <w:rFonts w:ascii="宋体" w:eastAsia="宋体" w:hAnsi="宋体"/>
                <w:sz w:val="21"/>
                <w:szCs w:val="21"/>
                <w:highlight w:val="none"/>
              </w:rPr>
              <w:t>1</w:t>
            </w:r>
            <w:r>
              <w:rPr>
                <w:rFonts w:ascii="宋体" w:eastAsia="宋体" w:hAnsi="宋体" w:hint="default"/>
                <w:sz w:val="21"/>
                <w:szCs w:val="21"/>
                <w:highlight w:val="none"/>
              </w:rPr>
              <w:t>7</w:t>
            </w:r>
          </w:p>
        </w:tc>
        <w:tc>
          <w:tcPr>
            <w:tcW w:w="6977" w:type="dxa"/>
            <w:noWrap w:val="0"/>
            <w:vAlign w:val="center"/>
          </w:tcPr>
          <w:p>
            <w:pPr>
              <w:pStyle w:val="NormalIndent"/>
              <w:spacing w:line="240" w:lineRule="auto"/>
              <w:ind w:firstLine="0" w:firstLineChars="0"/>
              <w:jc w:val="left"/>
              <w:rPr>
                <w:rFonts w:ascii="宋体" w:eastAsia="宋体" w:hAnsi="宋体"/>
                <w:szCs w:val="21"/>
                <w:highlight w:val="none"/>
              </w:rPr>
            </w:pPr>
            <w:r>
              <w:rPr>
                <w:rFonts w:ascii="宋体" w:eastAsia="宋体" w:hAnsi="宋体"/>
                <w:sz w:val="21"/>
                <w:szCs w:val="21"/>
                <w:highlight w:val="none"/>
              </w:rPr>
              <w:t>CMA-TYM/CMA-GFS台风数据</w:t>
            </w:r>
          </w:p>
        </w:tc>
      </w:tr>
    </w:tbl>
    <w:p>
      <w:pPr>
        <w:pStyle w:val="Heading4"/>
        <w:keepNext/>
        <w:keepLines/>
        <w:widowControl w:val="0"/>
        <w:numPr>
          <w:ilvl w:val="3"/>
          <w:numId w:val="4"/>
        </w:numPr>
        <w:spacing w:line="560" w:lineRule="exact"/>
        <w:ind w:left="862" w:hanging="862"/>
        <w:jc w:val="both"/>
        <w:rPr>
          <w:rFonts w:hint="eastAsia"/>
          <w:highlight w:val="none"/>
        </w:rPr>
      </w:pPr>
      <w:r>
        <w:rPr>
          <w:rFonts w:hint="eastAsia"/>
          <w:highlight w:val="none"/>
        </w:rPr>
        <w:t>短临业务数据分块加速处理</w:t>
      </w:r>
    </w:p>
    <w:p>
      <w:pPr>
        <w:pStyle w:val="Heading5"/>
        <w:keepNext/>
        <w:keepLines/>
        <w:widowControl w:val="0"/>
        <w:numPr>
          <w:ilvl w:val="4"/>
          <w:numId w:val="4"/>
        </w:numPr>
        <w:spacing w:before="280" w:after="290" w:line="376" w:lineRule="auto"/>
        <w:ind w:left="1008" w:hanging="1008"/>
        <w:jc w:val="both"/>
        <w:rPr>
          <w:rFonts w:hint="eastAsia"/>
          <w:highlight w:val="none"/>
        </w:rPr>
      </w:pPr>
      <w:r>
        <w:rPr>
          <w:rFonts w:hint="eastAsia"/>
          <w:highlight w:val="none"/>
        </w:rPr>
        <w:t>雷达数据读取模块</w:t>
      </w:r>
    </w:p>
    <w:p>
      <w:pPr>
        <w:pStyle w:val="NormalIndent"/>
        <w:ind w:firstLine="480"/>
        <w:rPr>
          <w:rFonts w:hint="eastAsia"/>
          <w:highlight w:val="none"/>
        </w:rPr>
      </w:pPr>
      <w:r>
        <w:rPr>
          <w:rFonts w:hint="eastAsia"/>
          <w:highlight w:val="none"/>
        </w:rPr>
        <w:t>数据读取模块紧随文件获取模块，负责解析雷达数据文件。该模块按顺序读取文件，提取文件卷标、数据时间、产品描述等关键元数据，并解析数据区信息，获取雷达数据块，将雷达数据结构化。</w:t>
      </w:r>
    </w:p>
    <w:p>
      <w:pPr>
        <w:pStyle w:val="Heading5"/>
        <w:keepNext/>
        <w:keepLines/>
        <w:widowControl w:val="0"/>
        <w:numPr>
          <w:ilvl w:val="4"/>
          <w:numId w:val="4"/>
        </w:numPr>
        <w:spacing w:before="280" w:after="290" w:line="376" w:lineRule="auto"/>
        <w:ind w:left="1008" w:hanging="1008"/>
        <w:jc w:val="both"/>
        <w:rPr>
          <w:rFonts w:hint="eastAsia"/>
          <w:highlight w:val="none"/>
        </w:rPr>
      </w:pPr>
      <w:r>
        <w:rPr>
          <w:rFonts w:hint="eastAsia"/>
          <w:highlight w:val="none"/>
        </w:rPr>
        <w:t>雷达数据解压模块</w:t>
      </w:r>
    </w:p>
    <w:p>
      <w:pPr>
        <w:pStyle w:val="NormalIndent"/>
        <w:ind w:firstLine="480"/>
        <w:rPr>
          <w:rFonts w:hint="eastAsia"/>
          <w:highlight w:val="none"/>
        </w:rPr>
      </w:pPr>
      <w:r>
        <w:rPr>
          <w:rFonts w:hint="eastAsia"/>
          <w:highlight w:val="none"/>
        </w:rPr>
        <w:t>数据解压模块负责处理压缩的雷达数据，该模块首先判断读取到的数据是否经过压缩，若为压缩数据，则根据压缩类型执行高效的解压缩算法，将压缩数据还原为原始数据格式。解压后的数据为后续的雷达数据解码和业务处理提供必要的准备，确保后续模块能够正确解析和利用雷达信息。</w:t>
      </w:r>
    </w:p>
    <w:p>
      <w:pPr>
        <w:pStyle w:val="Heading5"/>
        <w:keepNext/>
        <w:keepLines/>
        <w:widowControl w:val="0"/>
        <w:numPr>
          <w:ilvl w:val="4"/>
          <w:numId w:val="4"/>
        </w:numPr>
        <w:spacing w:before="280" w:after="290" w:line="376" w:lineRule="auto"/>
        <w:ind w:left="1008" w:hanging="1008"/>
        <w:jc w:val="both"/>
        <w:rPr>
          <w:rFonts w:hint="eastAsia"/>
          <w:highlight w:val="none"/>
        </w:rPr>
      </w:pPr>
      <w:r>
        <w:rPr>
          <w:rFonts w:hint="eastAsia"/>
          <w:highlight w:val="none"/>
        </w:rPr>
        <w:t>雷达数据缺测处理模块</w:t>
      </w:r>
    </w:p>
    <w:p>
      <w:pPr>
        <w:pStyle w:val="NormalIndent"/>
        <w:ind w:firstLine="480"/>
        <w:rPr>
          <w:rFonts w:hint="eastAsia"/>
          <w:highlight w:val="none"/>
        </w:rPr>
      </w:pPr>
      <w:r>
        <w:rPr>
          <w:rFonts w:hint="eastAsia"/>
          <w:highlight w:val="none"/>
        </w:rPr>
        <w:t>数据缺测处理模块负责识别和处理雷达数据中的缺失值，模块首先判断数据是否为缺测状态，对于完整数据，将直接传递数据处理；若检测到数据缺测，则会将缺测值统一填充为预设值999999.0，以保证数据完整性，避免缺测值对解码造成影响。</w:t>
      </w:r>
    </w:p>
    <w:p>
      <w:pPr>
        <w:pStyle w:val="Heading5"/>
        <w:keepNext/>
        <w:keepLines/>
        <w:widowControl w:val="0"/>
        <w:numPr>
          <w:ilvl w:val="4"/>
          <w:numId w:val="4"/>
        </w:numPr>
        <w:spacing w:before="280" w:after="290" w:line="376" w:lineRule="auto"/>
        <w:ind w:left="1008" w:hanging="1008"/>
        <w:jc w:val="both"/>
        <w:rPr>
          <w:rFonts w:hint="eastAsia"/>
          <w:highlight w:val="none"/>
        </w:rPr>
      </w:pPr>
      <w:r>
        <w:rPr>
          <w:rFonts w:hint="eastAsia"/>
          <w:highlight w:val="none"/>
        </w:rPr>
        <w:t>雷达组网组合反射率产品</w:t>
      </w:r>
    </w:p>
    <w:p>
      <w:pPr>
        <w:pStyle w:val="NormalIndent"/>
        <w:ind w:firstLine="480"/>
        <w:rPr>
          <w:rFonts w:hint="eastAsia"/>
          <w:highlight w:val="none"/>
        </w:rPr>
      </w:pPr>
      <w:r>
        <w:rPr>
          <w:rFonts w:hint="eastAsia"/>
          <w:highlight w:val="none"/>
        </w:rPr>
        <w:t>针对天气雷达拼图系统V3.0组网组合反射率产品，进行数据分块加速处理，将原始雷达资料文件解码并将数据分块，入库到时序数据库中，保障用户快速获取雷达数据。</w:t>
      </w:r>
    </w:p>
    <w:p>
      <w:pPr>
        <w:pStyle w:val="Heading5"/>
        <w:keepNext/>
        <w:keepLines/>
        <w:widowControl w:val="0"/>
        <w:numPr>
          <w:ilvl w:val="4"/>
          <w:numId w:val="4"/>
        </w:numPr>
        <w:spacing w:before="280" w:after="290" w:line="376" w:lineRule="auto"/>
        <w:ind w:left="1008" w:hanging="1008"/>
        <w:jc w:val="both"/>
        <w:rPr>
          <w:rFonts w:hint="eastAsia"/>
          <w:highlight w:val="none"/>
        </w:rPr>
      </w:pPr>
      <w:r>
        <w:rPr>
          <w:rFonts w:hint="eastAsia"/>
          <w:highlight w:val="none"/>
        </w:rPr>
        <w:t>雷达组网三维反射率因子产品</w:t>
      </w:r>
    </w:p>
    <w:p>
      <w:pPr>
        <w:pStyle w:val="NormalIndent"/>
        <w:ind w:firstLine="480"/>
        <w:rPr>
          <w:rFonts w:hint="eastAsia"/>
          <w:highlight w:val="none"/>
        </w:rPr>
      </w:pPr>
      <w:r>
        <w:rPr>
          <w:rFonts w:hint="eastAsia"/>
          <w:highlight w:val="none"/>
        </w:rPr>
        <w:t>针对天气雷达拼图系统V3.0组网三维反射率因子产品，进行数据分块加速处理，将原始雷达资料文件解码并将数据分块，入库到时序数据库中，保障用户快速获取雷达数据。</w:t>
      </w:r>
    </w:p>
    <w:p>
      <w:pPr>
        <w:pStyle w:val="Heading5"/>
        <w:keepNext/>
        <w:keepLines/>
        <w:widowControl w:val="0"/>
        <w:numPr>
          <w:ilvl w:val="4"/>
          <w:numId w:val="4"/>
        </w:numPr>
        <w:spacing w:before="280" w:after="290" w:line="376" w:lineRule="auto"/>
        <w:ind w:left="1008" w:hanging="1008"/>
        <w:jc w:val="both"/>
        <w:rPr>
          <w:rFonts w:hint="eastAsia"/>
          <w:highlight w:val="none"/>
        </w:rPr>
      </w:pPr>
      <w:r>
        <w:rPr>
          <w:rFonts w:hint="eastAsia"/>
          <w:highlight w:val="none"/>
        </w:rPr>
        <w:t>雷达组网回波顶高产品</w:t>
      </w:r>
    </w:p>
    <w:p>
      <w:pPr>
        <w:pStyle w:val="NormalIndent"/>
        <w:ind w:firstLine="480"/>
        <w:rPr>
          <w:rFonts w:hint="eastAsia"/>
          <w:highlight w:val="none"/>
        </w:rPr>
      </w:pPr>
      <w:r>
        <w:rPr>
          <w:rFonts w:hint="eastAsia"/>
          <w:highlight w:val="none"/>
        </w:rPr>
        <w:t>针对天气雷达拼图系统V3.0组网回波顶高产品，进行数据分块加速处理，将原始雷达资料文件解码并将数据分块，入库到时序数据库中，保障用户快速获取雷达数据。</w:t>
      </w:r>
    </w:p>
    <w:p>
      <w:pPr>
        <w:pStyle w:val="Heading5"/>
        <w:keepNext/>
        <w:keepLines/>
        <w:widowControl w:val="0"/>
        <w:numPr>
          <w:ilvl w:val="4"/>
          <w:numId w:val="4"/>
        </w:numPr>
        <w:spacing w:before="280" w:after="290" w:line="376" w:lineRule="auto"/>
        <w:ind w:left="1008" w:hanging="1008"/>
        <w:jc w:val="both"/>
        <w:rPr>
          <w:rFonts w:hint="eastAsia"/>
          <w:highlight w:val="none"/>
        </w:rPr>
      </w:pPr>
      <w:r>
        <w:rPr>
          <w:rFonts w:hint="eastAsia"/>
          <w:highlight w:val="none"/>
        </w:rPr>
        <w:t>雷达组网液态垂直累积含水量产品</w:t>
      </w:r>
    </w:p>
    <w:p>
      <w:pPr>
        <w:pStyle w:val="NormalIndent"/>
        <w:ind w:firstLine="480"/>
        <w:rPr>
          <w:rFonts w:hint="eastAsia"/>
          <w:highlight w:val="none"/>
        </w:rPr>
      </w:pPr>
      <w:r>
        <w:rPr>
          <w:rFonts w:hint="eastAsia"/>
          <w:highlight w:val="none"/>
        </w:rPr>
        <w:t>针对天气雷达拼图系统V3.0组网液态垂直累积含水量产品，进行数据分块加速处理，将原始雷达资料文件解码并将数据分块，入库到时序数据库中，保障用户快速获取雷达数据。</w:t>
      </w:r>
    </w:p>
    <w:p>
      <w:pPr>
        <w:pStyle w:val="Heading5"/>
        <w:keepNext/>
        <w:keepLines/>
        <w:widowControl w:val="0"/>
        <w:numPr>
          <w:ilvl w:val="4"/>
          <w:numId w:val="4"/>
        </w:numPr>
        <w:spacing w:before="280" w:after="290" w:line="376" w:lineRule="auto"/>
        <w:ind w:left="1008" w:hanging="1008"/>
        <w:jc w:val="both"/>
        <w:rPr>
          <w:rFonts w:hint="eastAsia"/>
          <w:highlight w:val="none"/>
        </w:rPr>
      </w:pPr>
      <w:r>
        <w:rPr>
          <w:rFonts w:hint="eastAsia"/>
          <w:highlight w:val="none"/>
        </w:rPr>
        <w:t>模式要素计算处理模块</w:t>
      </w:r>
    </w:p>
    <w:p>
      <w:pPr>
        <w:pStyle w:val="NormalIndent"/>
        <w:ind w:firstLine="480"/>
        <w:rPr>
          <w:highlight w:val="none"/>
        </w:rPr>
      </w:pPr>
      <w:r>
        <w:rPr>
          <w:rFonts w:hint="eastAsia"/>
          <w:highlight w:val="none"/>
        </w:rPr>
        <w:t>接收来自消息接收与调度模块发送的基础要素数据与计算要求，并按照气象要素计算的规则，计算出以下物理量：2米相对湿度 24小时变压，24小时 48小时变温、风切变200-500、风切变200-850、风切变500-850，10米风场，3、6、12、24小时累加的降水要素（降水、大尺度降水、对流性降水、降雪、冻雨）。</w:t>
      </w:r>
    </w:p>
    <w:p>
      <w:pPr>
        <w:pStyle w:val="Heading4"/>
        <w:keepNext/>
        <w:keepLines/>
        <w:widowControl w:val="0"/>
        <w:numPr>
          <w:ilvl w:val="3"/>
          <w:numId w:val="4"/>
        </w:numPr>
        <w:spacing w:line="560" w:lineRule="exact"/>
        <w:ind w:left="862" w:hanging="862"/>
        <w:jc w:val="both"/>
        <w:rPr>
          <w:highlight w:val="none"/>
        </w:rPr>
      </w:pPr>
      <w:r>
        <w:rPr>
          <w:rFonts w:hint="eastAsia"/>
          <w:highlight w:val="none"/>
        </w:rPr>
        <w:t>短临业务数据可视化渲染预处理</w:t>
      </w:r>
    </w:p>
    <w:p>
      <w:pPr>
        <w:pStyle w:val="Heading5"/>
        <w:keepNext/>
        <w:keepLines/>
        <w:widowControl w:val="0"/>
        <w:numPr>
          <w:ilvl w:val="4"/>
          <w:numId w:val="4"/>
        </w:numPr>
        <w:spacing w:before="280" w:after="290" w:line="376" w:lineRule="auto"/>
        <w:ind w:left="1008" w:hanging="1008"/>
        <w:jc w:val="both"/>
        <w:rPr>
          <w:highlight w:val="none"/>
        </w:rPr>
      </w:pPr>
      <w:r>
        <w:rPr>
          <w:rFonts w:hint="eastAsia"/>
          <w:highlight w:val="none"/>
        </w:rPr>
        <w:t>数据预处理模块</w:t>
      </w:r>
    </w:p>
    <w:p>
      <w:pPr>
        <w:spacing w:line="560" w:lineRule="exact"/>
        <w:ind w:firstLine="420" w:firstLineChars="200"/>
        <w:rPr>
          <w:rFonts w:ascii="仿宋_GB2312" w:hAnsi="仿宋_GB2312" w:cs="仿宋_GB2312"/>
          <w:color w:val="000000"/>
          <w:szCs w:val="32"/>
          <w:highlight w:val="none"/>
        </w:rPr>
      </w:pPr>
      <w:r>
        <w:rPr>
          <w:rFonts w:ascii="仿宋_GB2312" w:hAnsi="仿宋_GB2312" w:cs="仿宋_GB2312" w:hint="eastAsia"/>
          <w:color w:val="000000"/>
          <w:szCs w:val="32"/>
          <w:highlight w:val="none"/>
        </w:rPr>
        <w:t>预处理模块主要负责生成数据的元数据信息。获取到单场数据后，提取单场数据的起止经纬度缺测值、偏移量、缩放比例，气象要素单位，并计算气象要素数值的最大值、最小值、平均值、中位数、和、方差、标准差等统计量，这些信息会写入到渲染文件的“更多信息”中，供前端快速渲染而不用再进行计算。</w:t>
      </w:r>
    </w:p>
    <w:p>
      <w:pPr>
        <w:pStyle w:val="NormalIndent"/>
        <w:ind w:firstLine="480"/>
        <w:rPr>
          <w:rFonts w:hint="eastAsia"/>
          <w:highlight w:val="none"/>
        </w:rPr>
      </w:pPr>
    </w:p>
    <w:p>
      <w:pPr>
        <w:pStyle w:val="Heading5"/>
        <w:keepNext/>
        <w:keepLines/>
        <w:widowControl w:val="0"/>
        <w:numPr>
          <w:ilvl w:val="4"/>
          <w:numId w:val="4"/>
        </w:numPr>
        <w:spacing w:before="280" w:after="290" w:line="376" w:lineRule="auto"/>
        <w:ind w:left="1008" w:hanging="1008"/>
        <w:jc w:val="both"/>
        <w:rPr>
          <w:highlight w:val="none"/>
        </w:rPr>
      </w:pPr>
      <w:r>
        <w:rPr>
          <w:rFonts w:hint="eastAsia"/>
          <w:highlight w:val="none"/>
        </w:rPr>
        <w:t>瓦片金字塔生成模块</w:t>
      </w:r>
    </w:p>
    <w:p>
      <w:pPr>
        <w:spacing w:line="560" w:lineRule="exact"/>
        <w:ind w:firstLine="420" w:firstLineChars="200"/>
        <w:rPr>
          <w:rFonts w:ascii="仿宋_GB2312" w:hAnsi="仿宋_GB2312" w:cs="仿宋_GB2312"/>
          <w:color w:val="000000"/>
          <w:szCs w:val="32"/>
          <w:highlight w:val="none"/>
        </w:rPr>
      </w:pPr>
      <w:r>
        <w:rPr>
          <w:rFonts w:ascii="仿宋_GB2312" w:hAnsi="仿宋_GB2312" w:cs="仿宋_GB2312" w:hint="eastAsia"/>
          <w:color w:val="000000"/>
          <w:szCs w:val="32"/>
          <w:highlight w:val="none"/>
        </w:rPr>
        <w:t>从消息接收与处理模块中获取单场数据，首先将原始数据作为金字塔的第一层数据，再按照设定的抽稀比例（n比1），对原始数据划分区域，保证每个小区域里有n个数据，并计算n个数据的平均值作为金字塔的第二层数据，这样依次类推，直到计算到设定的最低分辨率结束，则金字塔所有层次的数据计算完毕。</w:t>
      </w:r>
    </w:p>
    <w:p>
      <w:pPr>
        <w:pStyle w:val="NormalIndent"/>
        <w:ind w:firstLine="480"/>
        <w:rPr>
          <w:rFonts w:hint="eastAsia"/>
          <w:highlight w:val="none"/>
        </w:rPr>
      </w:pPr>
    </w:p>
    <w:p>
      <w:pPr>
        <w:pStyle w:val="Heading5"/>
        <w:keepNext/>
        <w:keepLines/>
        <w:widowControl w:val="0"/>
        <w:numPr>
          <w:ilvl w:val="4"/>
          <w:numId w:val="4"/>
        </w:numPr>
        <w:spacing w:before="280" w:after="290" w:line="376" w:lineRule="auto"/>
        <w:ind w:left="1008" w:hanging="1008"/>
        <w:jc w:val="both"/>
        <w:rPr>
          <w:highlight w:val="none"/>
        </w:rPr>
      </w:pPr>
      <w:r>
        <w:rPr>
          <w:rFonts w:hint="eastAsia"/>
          <w:highlight w:val="none"/>
        </w:rPr>
        <w:t>渲染文件生成模块</w:t>
      </w:r>
    </w:p>
    <w:p>
      <w:pPr>
        <w:spacing w:line="560" w:lineRule="exact"/>
        <w:ind w:firstLine="420" w:firstLineChars="200"/>
        <w:rPr>
          <w:rFonts w:ascii="仿宋_GB2312" w:hAnsi="仿宋_GB2312" w:cs="仿宋_GB2312"/>
          <w:color w:val="000000"/>
          <w:szCs w:val="32"/>
          <w:highlight w:val="none"/>
        </w:rPr>
      </w:pPr>
      <w:r>
        <w:rPr>
          <w:rFonts w:ascii="仿宋_GB2312" w:hAnsi="仿宋_GB2312" w:cs="仿宋_GB2312" w:hint="eastAsia"/>
          <w:color w:val="000000"/>
          <w:szCs w:val="32"/>
          <w:highlight w:val="none"/>
        </w:rPr>
        <w:t>按照CogTIFF文件的格式（文件头+标签目录+下一个标签+像素信息……）要求，将前面两个模块生成的信息添加到tiff文件中，并按照统一的命名要求对tiff文件进行命名，以便对tiff文件进行统一管理，并保证在短临场景下文件的快速查找。</w:t>
      </w:r>
    </w:p>
    <w:p>
      <w:pPr>
        <w:pStyle w:val="NormalIndent"/>
        <w:ind w:firstLine="480"/>
        <w:rPr>
          <w:rFonts w:hint="eastAsia"/>
          <w:highlight w:val="none"/>
        </w:rPr>
      </w:pPr>
    </w:p>
    <w:p>
      <w:pPr>
        <w:pStyle w:val="Heading5"/>
        <w:keepNext/>
        <w:keepLines/>
        <w:widowControl w:val="0"/>
        <w:numPr>
          <w:ilvl w:val="4"/>
          <w:numId w:val="4"/>
        </w:numPr>
        <w:spacing w:before="280" w:after="290" w:line="376" w:lineRule="auto"/>
        <w:ind w:left="1008" w:hanging="1008"/>
        <w:jc w:val="both"/>
        <w:rPr>
          <w:highlight w:val="none"/>
        </w:rPr>
      </w:pPr>
      <w:r>
        <w:rPr>
          <w:rFonts w:hint="eastAsia"/>
          <w:highlight w:val="none"/>
        </w:rPr>
        <w:t>渲染文件入库模块</w:t>
      </w:r>
    </w:p>
    <w:p>
      <w:pPr>
        <w:spacing w:line="560" w:lineRule="exact"/>
        <w:ind w:firstLine="420" w:firstLineChars="200"/>
        <w:rPr>
          <w:rFonts w:ascii="仿宋_GB2312" w:hAnsi="仿宋_GB2312" w:cs="仿宋_GB2312"/>
          <w:color w:val="000000"/>
          <w:szCs w:val="32"/>
          <w:highlight w:val="none"/>
        </w:rPr>
      </w:pPr>
      <w:r>
        <w:rPr>
          <w:rFonts w:ascii="仿宋_GB2312" w:hAnsi="仿宋_GB2312" w:cs="仿宋_GB2312" w:hint="eastAsia"/>
          <w:color w:val="000000"/>
          <w:szCs w:val="32"/>
          <w:highlight w:val="none"/>
        </w:rPr>
        <w:t>按照统一的存储路径规范，将上一个模块生成的tiff文件存储到分布式文件系统中。并将tiff文件的索引信息存储到空间数据库中，其中需要存储的索引信息包括文件名、文件格式、文件大小、收到时间、入库时间、资料标识、资料时间、存储路径等，以方便快速检索到对应的文件。</w:t>
      </w:r>
    </w:p>
    <w:p>
      <w:pPr>
        <w:pStyle w:val="NormalIndent"/>
        <w:ind w:firstLine="480"/>
        <w:rPr>
          <w:rFonts w:hint="eastAsia"/>
          <w:highlight w:val="none"/>
        </w:rPr>
      </w:pPr>
    </w:p>
    <w:p>
      <w:pPr>
        <w:pStyle w:val="Heading5"/>
        <w:keepNext/>
        <w:keepLines/>
        <w:widowControl w:val="0"/>
        <w:numPr>
          <w:ilvl w:val="4"/>
          <w:numId w:val="4"/>
        </w:numPr>
        <w:spacing w:before="280" w:after="290" w:line="376" w:lineRule="auto"/>
        <w:ind w:left="1008" w:hanging="1008"/>
        <w:jc w:val="both"/>
        <w:rPr>
          <w:highlight w:val="none"/>
        </w:rPr>
      </w:pPr>
      <w:r>
        <w:rPr>
          <w:rFonts w:hint="eastAsia"/>
          <w:highlight w:val="none"/>
        </w:rPr>
        <w:t>地面温湿风实时产品</w:t>
      </w:r>
    </w:p>
    <w:p>
      <w:pPr>
        <w:spacing w:line="560" w:lineRule="exact"/>
        <w:ind w:firstLine="420" w:firstLineChars="200"/>
        <w:rPr>
          <w:rFonts w:ascii="仿宋_GB2312" w:hAnsi="仿宋_GB2312" w:cs="仿宋_GB2312"/>
          <w:color w:val="000000"/>
          <w:szCs w:val="32"/>
          <w:highlight w:val="none"/>
        </w:rPr>
      </w:pPr>
      <w:r>
        <w:rPr>
          <w:rFonts w:ascii="仿宋_GB2312" w:hAnsi="仿宋_GB2312" w:cs="仿宋_GB2312" w:hint="eastAsia"/>
          <w:color w:val="000000"/>
          <w:szCs w:val="32"/>
          <w:highlight w:val="none"/>
        </w:rPr>
        <w:t>针对HRCLDAS中国逐小时温湿风实时产品，进行可视化渲染预处理，将原始文件数据解码并生成CogTIFF文件，文件存入NAS，文件索引存入索引库，将数据预处理后便于前端快速渲染。</w:t>
      </w:r>
    </w:p>
    <w:p>
      <w:pPr>
        <w:pStyle w:val="NormalIndent"/>
        <w:ind w:firstLine="480"/>
        <w:rPr>
          <w:rFonts w:hint="eastAsia"/>
          <w:highlight w:val="none"/>
        </w:rPr>
      </w:pPr>
    </w:p>
    <w:p>
      <w:pPr>
        <w:pStyle w:val="Heading5"/>
        <w:keepNext/>
        <w:keepLines/>
        <w:widowControl w:val="0"/>
        <w:numPr>
          <w:ilvl w:val="4"/>
          <w:numId w:val="4"/>
        </w:numPr>
        <w:spacing w:before="280" w:after="290" w:line="376" w:lineRule="auto"/>
        <w:ind w:left="1008" w:hanging="1008"/>
        <w:jc w:val="both"/>
        <w:rPr>
          <w:highlight w:val="none"/>
        </w:rPr>
      </w:pPr>
      <w:r>
        <w:rPr>
          <w:rFonts w:hint="eastAsia"/>
          <w:highlight w:val="none"/>
        </w:rPr>
        <w:t>地面雷暴大风产品</w:t>
      </w:r>
    </w:p>
    <w:p>
      <w:pPr>
        <w:spacing w:line="560" w:lineRule="exact"/>
        <w:ind w:firstLine="420" w:firstLineChars="200"/>
        <w:rPr>
          <w:rFonts w:ascii="仿宋_GB2312" w:hAnsi="仿宋_GB2312" w:cs="仿宋_GB2312"/>
          <w:color w:val="000000"/>
          <w:szCs w:val="32"/>
          <w:highlight w:val="none"/>
        </w:rPr>
      </w:pPr>
      <w:r>
        <w:rPr>
          <w:rFonts w:ascii="仿宋_GB2312" w:hAnsi="仿宋_GB2312" w:cs="仿宋_GB2312" w:hint="eastAsia"/>
          <w:color w:val="000000"/>
          <w:szCs w:val="32"/>
          <w:highlight w:val="none"/>
        </w:rPr>
        <w:t>针对中国逐小时雷暴大风实时产品、中国逐小时极大风实时产品，进行可视化渲染预处理，将原始文件数据解码并生成CogTIFF文件，文件存入NAS，文件索引存入索引库，将数据预处理后便于前端快速渲染。</w:t>
      </w:r>
    </w:p>
    <w:p>
      <w:pPr>
        <w:pStyle w:val="NormalIndent"/>
        <w:ind w:firstLine="480"/>
        <w:rPr>
          <w:rFonts w:hint="eastAsia"/>
          <w:highlight w:val="none"/>
        </w:rPr>
      </w:pPr>
    </w:p>
    <w:p>
      <w:pPr>
        <w:pStyle w:val="Heading5"/>
        <w:keepNext/>
        <w:keepLines/>
        <w:widowControl w:val="0"/>
        <w:numPr>
          <w:ilvl w:val="4"/>
          <w:numId w:val="4"/>
        </w:numPr>
        <w:spacing w:before="280" w:after="290" w:line="376" w:lineRule="auto"/>
        <w:ind w:left="1008" w:hanging="1008"/>
        <w:jc w:val="both"/>
        <w:rPr>
          <w:highlight w:val="none"/>
        </w:rPr>
      </w:pPr>
      <w:r>
        <w:rPr>
          <w:rFonts w:hint="eastAsia"/>
          <w:highlight w:val="none"/>
        </w:rPr>
        <w:t>地面降水产品</w:t>
      </w:r>
    </w:p>
    <w:p>
      <w:pPr>
        <w:spacing w:line="560" w:lineRule="exact"/>
        <w:ind w:firstLine="420" w:firstLineChars="200"/>
        <w:rPr>
          <w:rFonts w:ascii="仿宋_GB2312" w:hAnsi="仿宋_GB2312" w:cs="仿宋_GB2312"/>
          <w:color w:val="000000"/>
          <w:szCs w:val="32"/>
          <w:highlight w:val="none"/>
        </w:rPr>
      </w:pPr>
      <w:r>
        <w:rPr>
          <w:rFonts w:ascii="仿宋_GB2312" w:hAnsi="仿宋_GB2312" w:cs="仿宋_GB2312" w:hint="eastAsia"/>
          <w:color w:val="000000"/>
          <w:szCs w:val="32"/>
          <w:highlight w:val="none"/>
        </w:rPr>
        <w:t>针对CMPAS中国逐小时降水实时产品、CMPAS中国逐小时降水相态实时产品、CMPAS产品-逐10分钟累计降水产品（5km）、CMPAS产品-逐10分钟降水产品（5km）。</w:t>
      </w:r>
    </w:p>
    <w:p>
      <w:pPr>
        <w:pStyle w:val="NormalIndent"/>
        <w:ind w:firstLine="480"/>
        <w:rPr>
          <w:rFonts w:hint="eastAsia"/>
          <w:highlight w:val="none"/>
        </w:rPr>
      </w:pPr>
    </w:p>
    <w:p>
      <w:pPr>
        <w:pStyle w:val="Heading5"/>
        <w:keepNext/>
        <w:keepLines/>
        <w:widowControl w:val="0"/>
        <w:numPr>
          <w:ilvl w:val="4"/>
          <w:numId w:val="4"/>
        </w:numPr>
        <w:spacing w:before="280" w:after="290" w:line="376" w:lineRule="auto"/>
        <w:ind w:left="1008" w:hanging="1008"/>
        <w:jc w:val="both"/>
        <w:rPr>
          <w:highlight w:val="none"/>
        </w:rPr>
      </w:pPr>
      <w:r>
        <w:rPr>
          <w:rFonts w:hint="eastAsia"/>
          <w:highlight w:val="none"/>
        </w:rPr>
        <w:t>欧洲中心大气模式产品</w:t>
      </w:r>
    </w:p>
    <w:p>
      <w:pPr>
        <w:spacing w:line="560" w:lineRule="exact"/>
        <w:ind w:firstLine="420" w:firstLineChars="200"/>
        <w:rPr>
          <w:rFonts w:ascii="仿宋_GB2312" w:hAnsi="仿宋_GB2312" w:cs="仿宋_GB2312"/>
          <w:color w:val="000000"/>
          <w:szCs w:val="32"/>
          <w:highlight w:val="none"/>
        </w:rPr>
      </w:pPr>
      <w:r>
        <w:rPr>
          <w:rFonts w:ascii="仿宋_GB2312" w:hAnsi="仿宋_GB2312" w:cs="仿宋_GB2312" w:hint="eastAsia"/>
          <w:color w:val="000000"/>
          <w:szCs w:val="32"/>
          <w:highlight w:val="none"/>
        </w:rPr>
        <w:t>针对欧洲中心大气模式集合预报产品原始文件（C3E）、欧洲中心大气模式集合预报派生产品原始文件（C3Y）、欧洲中心大气模式确定性预报高分辨率产品原始文件（D1D），进行可视化渲染预处理，将原始文件数据解码并生成CogTIFF文件，文件存入NAS，文件索引存入索引库，将数据预处理后便于前端快速渲染。</w:t>
      </w:r>
    </w:p>
    <w:p>
      <w:pPr>
        <w:pStyle w:val="NormalIndent"/>
        <w:ind w:firstLine="480"/>
        <w:rPr>
          <w:rFonts w:hint="eastAsia"/>
          <w:highlight w:val="none"/>
        </w:rPr>
      </w:pPr>
    </w:p>
    <w:p>
      <w:pPr>
        <w:pStyle w:val="Heading5"/>
        <w:keepNext/>
        <w:keepLines/>
        <w:widowControl w:val="0"/>
        <w:numPr>
          <w:ilvl w:val="4"/>
          <w:numId w:val="4"/>
        </w:numPr>
        <w:spacing w:before="280" w:after="290" w:line="376" w:lineRule="auto"/>
        <w:ind w:left="1008" w:hanging="1008"/>
        <w:jc w:val="both"/>
        <w:rPr>
          <w:highlight w:val="none"/>
        </w:rPr>
      </w:pPr>
      <w:r>
        <w:rPr>
          <w:rFonts w:hint="eastAsia"/>
          <w:highlight w:val="none"/>
        </w:rPr>
        <w:t>欧洲中心海浪模式产品</w:t>
      </w:r>
    </w:p>
    <w:p>
      <w:pPr>
        <w:spacing w:line="560" w:lineRule="exact"/>
        <w:ind w:firstLine="420" w:firstLineChars="200"/>
        <w:rPr>
          <w:rFonts w:ascii="仿宋_GB2312" w:hAnsi="仿宋_GB2312" w:cs="仿宋_GB2312"/>
          <w:color w:val="000000"/>
          <w:szCs w:val="32"/>
          <w:highlight w:val="none"/>
        </w:rPr>
      </w:pPr>
      <w:r>
        <w:rPr>
          <w:rFonts w:ascii="仿宋_GB2312" w:hAnsi="仿宋_GB2312" w:cs="仿宋_GB2312" w:hint="eastAsia"/>
          <w:color w:val="000000"/>
          <w:szCs w:val="32"/>
          <w:highlight w:val="none"/>
        </w:rPr>
        <w:t>针对欧洲中心海浪模式确定性预报产品原始文件（C2P）、欧洲中心海浪模式集合预报产品（C4U），进行可视化渲染预处理，将原始文件数据解码并生成CogTIFF文件，文件存入NAS，文件索引存入索引库，将数据预处理后便于前端快速渲染。</w:t>
      </w:r>
    </w:p>
    <w:p>
      <w:pPr>
        <w:pStyle w:val="NormalIndent"/>
        <w:ind w:firstLine="480"/>
        <w:rPr>
          <w:rFonts w:hint="eastAsia"/>
          <w:highlight w:val="none"/>
        </w:rPr>
      </w:pPr>
    </w:p>
    <w:p>
      <w:pPr>
        <w:pStyle w:val="Heading5"/>
        <w:keepNext/>
        <w:keepLines/>
        <w:widowControl w:val="0"/>
        <w:numPr>
          <w:ilvl w:val="4"/>
          <w:numId w:val="4"/>
        </w:numPr>
        <w:spacing w:before="280" w:after="290" w:line="376" w:lineRule="auto"/>
        <w:ind w:left="1008" w:hanging="1008"/>
        <w:jc w:val="both"/>
        <w:rPr>
          <w:highlight w:val="none"/>
        </w:rPr>
      </w:pPr>
      <w:r>
        <w:rPr>
          <w:rFonts w:hint="eastAsia"/>
          <w:highlight w:val="none"/>
        </w:rPr>
        <w:t>美国GFS系统产品</w:t>
      </w:r>
    </w:p>
    <w:p>
      <w:pPr>
        <w:spacing w:line="560" w:lineRule="exact"/>
        <w:ind w:firstLine="420" w:firstLineChars="200"/>
        <w:rPr>
          <w:rFonts w:ascii="仿宋_GB2312" w:hAnsi="仿宋_GB2312" w:cs="仿宋_GB2312"/>
          <w:color w:val="000000"/>
          <w:szCs w:val="32"/>
          <w:highlight w:val="none"/>
        </w:rPr>
      </w:pPr>
      <w:r>
        <w:rPr>
          <w:rFonts w:ascii="仿宋_GB2312" w:hAnsi="仿宋_GB2312" w:cs="仿宋_GB2312" w:hint="eastAsia"/>
          <w:color w:val="000000"/>
          <w:szCs w:val="32"/>
          <w:highlight w:val="none"/>
        </w:rPr>
        <w:t>针对美国GFS全球预报系统产品（原始文件0.25×0.25）、GRAPES_GFS 0.25度原始分辨率产品原始文件，进行可视化渲染预处理，将原始文件数据解码并生成CogTIFF文件，文件存入NAS，文件索引存入索引库，将数据预处理后便于前端快速渲染。</w:t>
      </w:r>
    </w:p>
    <w:p>
      <w:pPr>
        <w:pStyle w:val="NormalIndent"/>
        <w:ind w:firstLine="480"/>
        <w:rPr>
          <w:rFonts w:hint="eastAsia"/>
          <w:highlight w:val="none"/>
        </w:rPr>
      </w:pPr>
    </w:p>
    <w:p>
      <w:pPr>
        <w:pStyle w:val="Heading5"/>
        <w:keepNext/>
        <w:keepLines/>
        <w:widowControl w:val="0"/>
        <w:numPr>
          <w:ilvl w:val="4"/>
          <w:numId w:val="4"/>
        </w:numPr>
        <w:spacing w:before="280" w:after="290" w:line="376" w:lineRule="auto"/>
        <w:ind w:left="1008" w:hanging="1008"/>
        <w:jc w:val="both"/>
        <w:rPr>
          <w:highlight w:val="none"/>
        </w:rPr>
      </w:pPr>
      <w:r>
        <w:rPr>
          <w:rFonts w:hint="eastAsia"/>
          <w:highlight w:val="none"/>
        </w:rPr>
        <w:t>中国气象局模式产品</w:t>
      </w:r>
    </w:p>
    <w:p>
      <w:pPr>
        <w:spacing w:line="560" w:lineRule="exact"/>
        <w:ind w:firstLine="420" w:firstLineChars="200"/>
        <w:rPr>
          <w:rFonts w:ascii="仿宋_GB2312" w:hAnsi="仿宋_GB2312" w:cs="仿宋_GB2312" w:hint="eastAsia"/>
          <w:color w:val="000000"/>
          <w:szCs w:val="32"/>
          <w:highlight w:val="none"/>
        </w:rPr>
      </w:pPr>
      <w:r>
        <w:rPr>
          <w:rFonts w:ascii="仿宋_GB2312" w:hAnsi="仿宋_GB2312" w:cs="仿宋_GB2312" w:hint="eastAsia"/>
          <w:color w:val="000000"/>
          <w:szCs w:val="32"/>
          <w:highlight w:val="none"/>
        </w:rPr>
        <w:t>针对中国气象局地球系统数值预报中心CMA-GFS 全球海洋气象数值预报子系统产品（0.1°）、中国气象局区域模式CMA-MESO数值预报产品原始文件（0.03×0.03)、CMA_MESO_V6.0 一公里分辨率预报产品原始文件，进行可视化渲染预处理，将原始文件数据解码并生成CogTIFF文件，文件存入NAS，文件索引存入索引库，将数据预处理后便于前端快速渲染。</w:t>
      </w:r>
    </w:p>
    <w:p>
      <w:pPr>
        <w:pStyle w:val="Heading4"/>
        <w:keepNext/>
        <w:keepLines/>
        <w:widowControl w:val="0"/>
        <w:numPr>
          <w:ilvl w:val="3"/>
          <w:numId w:val="4"/>
        </w:numPr>
        <w:spacing w:line="560" w:lineRule="exact"/>
        <w:ind w:left="862" w:hanging="862"/>
        <w:jc w:val="both"/>
        <w:rPr>
          <w:highlight w:val="none"/>
        </w:rPr>
      </w:pPr>
      <w:r>
        <w:rPr>
          <w:rFonts w:hint="eastAsia"/>
          <w:highlight w:val="none"/>
        </w:rPr>
        <w:t>短临业务数据可视化多投影转换处理</w:t>
      </w:r>
    </w:p>
    <w:p>
      <w:pPr>
        <w:pStyle w:val="Heading5"/>
        <w:keepNext/>
        <w:keepLines/>
        <w:widowControl w:val="0"/>
        <w:numPr>
          <w:ilvl w:val="4"/>
          <w:numId w:val="4"/>
        </w:numPr>
        <w:spacing w:before="280" w:after="290" w:line="376" w:lineRule="auto"/>
        <w:ind w:left="1008" w:hanging="1008"/>
        <w:jc w:val="both"/>
        <w:rPr>
          <w:highlight w:val="none"/>
        </w:rPr>
      </w:pPr>
      <w:r>
        <w:rPr>
          <w:rFonts w:hint="eastAsia"/>
          <w:highlight w:val="none"/>
        </w:rPr>
        <w:t>消息接收与处理模块</w:t>
      </w:r>
    </w:p>
    <w:p>
      <w:pPr>
        <w:spacing w:line="560" w:lineRule="exact"/>
        <w:ind w:firstLine="420" w:firstLineChars="200"/>
        <w:rPr>
          <w:rFonts w:ascii="仿宋_GB2312" w:hAnsi="仿宋_GB2312" w:cs="仿宋_GB2312"/>
          <w:color w:val="000000"/>
          <w:szCs w:val="32"/>
          <w:highlight w:val="none"/>
        </w:rPr>
      </w:pPr>
      <w:r>
        <w:rPr>
          <w:rFonts w:ascii="仿宋_GB2312" w:hAnsi="仿宋_GB2312" w:cs="仿宋_GB2312" w:hint="eastAsia"/>
          <w:color w:val="000000"/>
          <w:szCs w:val="32"/>
          <w:highlight w:val="none"/>
        </w:rPr>
        <w:t>接收来自消息发送模块的消息，并且根据消息中的资料名称和气象要素确定该气象要素是否要做多投影转换，以及需要做哪些投影转换，并将相应的投影转换指令发送给对应的投影转换模块。</w:t>
      </w:r>
    </w:p>
    <w:p>
      <w:pPr>
        <w:pStyle w:val="NormalIndent"/>
        <w:ind w:firstLine="480"/>
        <w:rPr>
          <w:rFonts w:hint="eastAsia"/>
          <w:highlight w:val="none"/>
        </w:rPr>
      </w:pPr>
    </w:p>
    <w:p>
      <w:pPr>
        <w:pStyle w:val="Heading5"/>
        <w:keepNext/>
        <w:keepLines/>
        <w:widowControl w:val="0"/>
        <w:numPr>
          <w:ilvl w:val="4"/>
          <w:numId w:val="4"/>
        </w:numPr>
        <w:spacing w:before="280" w:after="290" w:line="376" w:lineRule="auto"/>
        <w:ind w:left="1008" w:hanging="1008"/>
        <w:jc w:val="both"/>
        <w:rPr>
          <w:highlight w:val="none"/>
        </w:rPr>
      </w:pPr>
      <w:r>
        <w:rPr>
          <w:rFonts w:hint="eastAsia"/>
          <w:highlight w:val="none"/>
        </w:rPr>
        <w:t>兰勃特投影转换模块</w:t>
      </w:r>
    </w:p>
    <w:p>
      <w:pPr>
        <w:spacing w:line="560" w:lineRule="exact"/>
        <w:ind w:firstLine="420" w:firstLineChars="200"/>
        <w:rPr>
          <w:rFonts w:ascii="仿宋_GB2312" w:hAnsi="仿宋_GB2312" w:cs="仿宋_GB2312"/>
          <w:color w:val="000000"/>
          <w:szCs w:val="32"/>
          <w:highlight w:val="none"/>
        </w:rPr>
      </w:pPr>
      <w:r>
        <w:rPr>
          <w:rFonts w:ascii="仿宋_GB2312" w:hAnsi="仿宋_GB2312" w:cs="仿宋_GB2312" w:hint="eastAsia"/>
          <w:color w:val="000000"/>
          <w:szCs w:val="32"/>
          <w:highlight w:val="none"/>
        </w:rPr>
        <w:t>接收到来自消息接收与处理模块的指令后，首先读取存储好的tif文件，再定义投影参数：标准纬线、中央经线、原点维度、假东和假北、椭球体参数等，最后利用地理空间数据处理库GDAL将等经纬投影的tif文件转换为上述投影参数的兰勃特投影的tif文件，以满足短临场景下中纬度地区的天气分析和预报需求。</w:t>
      </w:r>
    </w:p>
    <w:p>
      <w:pPr>
        <w:pStyle w:val="NormalIndent"/>
        <w:ind w:firstLine="480"/>
        <w:rPr>
          <w:rFonts w:hint="eastAsia"/>
          <w:highlight w:val="none"/>
        </w:rPr>
      </w:pPr>
    </w:p>
    <w:p>
      <w:pPr>
        <w:pStyle w:val="Heading5"/>
        <w:keepNext/>
        <w:keepLines/>
        <w:widowControl w:val="0"/>
        <w:numPr>
          <w:ilvl w:val="4"/>
          <w:numId w:val="4"/>
        </w:numPr>
        <w:spacing w:before="280" w:after="290" w:line="376" w:lineRule="auto"/>
        <w:ind w:left="1008" w:hanging="1008"/>
        <w:jc w:val="both"/>
        <w:rPr>
          <w:highlight w:val="none"/>
        </w:rPr>
      </w:pPr>
      <w:r>
        <w:rPr>
          <w:rFonts w:hint="eastAsia"/>
          <w:highlight w:val="none"/>
        </w:rPr>
        <w:t>墨卡托投影转换模块</w:t>
      </w:r>
    </w:p>
    <w:p>
      <w:pPr>
        <w:spacing w:line="560" w:lineRule="exact"/>
        <w:ind w:firstLine="420" w:firstLineChars="200"/>
        <w:rPr>
          <w:rFonts w:ascii="仿宋_GB2312" w:hAnsi="仿宋_GB2312" w:cs="仿宋_GB2312" w:hint="eastAsia"/>
          <w:color w:val="000000"/>
          <w:szCs w:val="32"/>
          <w:highlight w:val="none"/>
        </w:rPr>
      </w:pPr>
      <w:r>
        <w:rPr>
          <w:rFonts w:ascii="仿宋_GB2312" w:hAnsi="仿宋_GB2312" w:cs="仿宋_GB2312" w:hint="eastAsia"/>
          <w:color w:val="000000"/>
          <w:szCs w:val="32"/>
          <w:highlight w:val="none"/>
        </w:rPr>
        <w:t>接收到来自消息接收与处理模块的指令后，首先读取存储好的tif文件，再定义投影参数：中央经线、原点纬度、假东和假北、椭球体参数等，设置目标投影为“EPSG:3857”，最后利用地理空间数据处理库GDAL将等经纬投影的tif文件转换为上述投影参数的墨卡托投影的tif文件。</w:t>
      </w:r>
    </w:p>
    <w:bookmarkEnd w:id="93"/>
    <w:p>
      <w:pPr>
        <w:pStyle w:val="Heading3"/>
        <w:keepNext/>
        <w:keepLines/>
        <w:widowControl w:val="0"/>
        <w:numPr>
          <w:ilvl w:val="2"/>
          <w:numId w:val="4"/>
        </w:numPr>
        <w:spacing w:line="560" w:lineRule="atLeast"/>
        <w:ind w:left="720" w:hanging="720"/>
        <w:jc w:val="both"/>
        <w:rPr>
          <w:rFonts w:hint="eastAsia"/>
        </w:rPr>
      </w:pPr>
      <w:bookmarkStart w:id="94" w:name="_Toc16914"/>
      <w:bookmarkStart w:id="95" w:name="_Toc32316"/>
      <w:bookmarkStart w:id="96" w:name="_Toc5957"/>
      <w:bookmarkStart w:id="97" w:name="_Toc13088"/>
      <w:r>
        <w:rPr>
          <w:rFonts w:hint="eastAsia"/>
        </w:rPr>
        <w:t>数据空间化处理子系统</w:t>
      </w:r>
      <w:bookmarkEnd w:id="94"/>
      <w:bookmarkEnd w:id="95"/>
      <w:bookmarkEnd w:id="96"/>
      <w:bookmarkEnd w:id="97"/>
    </w:p>
    <w:p>
      <w:pPr>
        <w:pStyle w:val="Heading4"/>
        <w:keepNext/>
        <w:keepLines/>
        <w:widowControl w:val="0"/>
        <w:numPr>
          <w:ilvl w:val="3"/>
          <w:numId w:val="4"/>
        </w:numPr>
        <w:spacing w:line="560" w:lineRule="exact"/>
        <w:ind w:left="862" w:hanging="862"/>
        <w:jc w:val="both"/>
        <w:rPr>
          <w:rFonts w:hint="eastAsia"/>
          <w:highlight w:val="none"/>
        </w:rPr>
      </w:pPr>
      <w:r>
        <w:rPr>
          <w:rFonts w:hint="eastAsia"/>
          <w:highlight w:val="none"/>
          <w:lang w:val="en-US" w:eastAsia="zh-CN"/>
        </w:rPr>
        <w:t>空间元数据体系构建</w:t>
      </w:r>
    </w:p>
    <w:p>
      <w:pPr>
        <w:pStyle w:val="Heading5"/>
        <w:keepNext/>
        <w:keepLines/>
        <w:widowControl w:val="0"/>
        <w:numPr>
          <w:ilvl w:val="4"/>
          <w:numId w:val="4"/>
        </w:numPr>
        <w:spacing w:before="0" w:after="0" w:line="560" w:lineRule="exact"/>
        <w:ind w:left="1009" w:hanging="1009"/>
        <w:jc w:val="both"/>
        <w:rPr>
          <w:rFonts w:ascii="Times New Roman" w:eastAsia="宋体" w:hAnsi="Times New Roman" w:cs="Times New Roman" w:hint="eastAsia"/>
          <w:highlight w:val="none"/>
        </w:rPr>
      </w:pPr>
      <w:r>
        <w:rPr>
          <w:rFonts w:ascii="Times New Roman" w:eastAsia="宋体" w:hAnsi="Times New Roman" w:cs="Times New Roman" w:hint="eastAsia"/>
          <w:b/>
          <w:bCs/>
          <w:highlight w:val="none"/>
        </w:rPr>
        <w:t>空间元数据</w:t>
      </w:r>
      <w:r>
        <w:rPr>
          <w:rFonts w:ascii="Times New Roman" w:eastAsia="宋体" w:hAnsi="Times New Roman" w:cs="Times New Roman" w:hint="eastAsia"/>
          <w:b/>
          <w:bCs/>
          <w:highlight w:val="none"/>
          <w:lang w:val="en-US" w:eastAsia="zh-CN"/>
        </w:rPr>
        <w:t>处理流程设计</w:t>
      </w:r>
    </w:p>
    <w:p>
      <w:pPr>
        <w:spacing w:line="572" w:lineRule="exact"/>
        <w:ind w:firstLine="420" w:firstLineChars="200"/>
      </w:pPr>
      <w:r>
        <w:rPr>
          <w:rFonts w:hint="eastAsia"/>
        </w:rPr>
        <w:t>构建适合于短临业务数据体系的空间元数据描述模型，实现元数据的结构、内容和语义描述，系统构建地球变化大数据体系多学科元数据的层级框架、模块分组、数据元素、值域范围等内容。制定通用元数据中的核心元素，及其多学科领域数据描述扩展机制，利用XML置标语言，构建元数据标准Schema及其机器可读文档。</w:t>
      </w:r>
    </w:p>
    <w:p>
      <w:pPr>
        <w:pStyle w:val="Heading5"/>
        <w:keepNext/>
        <w:keepLines/>
        <w:widowControl w:val="0"/>
        <w:numPr>
          <w:ilvl w:val="4"/>
          <w:numId w:val="4"/>
        </w:numPr>
        <w:spacing w:before="0" w:after="0" w:line="560" w:lineRule="exact"/>
        <w:ind w:left="1009" w:hanging="1009"/>
        <w:jc w:val="both"/>
        <w:rPr>
          <w:rFonts w:ascii="Times New Roman" w:eastAsia="宋体" w:hAnsi="Times New Roman" w:cs="Times New Roman" w:hint="eastAsia"/>
          <w:highlight w:val="none"/>
        </w:rPr>
      </w:pPr>
      <w:r>
        <w:rPr>
          <w:rFonts w:ascii="Times New Roman" w:eastAsia="宋体" w:hAnsi="Times New Roman" w:cs="Times New Roman" w:hint="eastAsia"/>
          <w:b/>
          <w:bCs/>
          <w:highlight w:val="none"/>
        </w:rPr>
        <w:t>格点资料元数据提取</w:t>
      </w:r>
    </w:p>
    <w:p>
      <w:pPr>
        <w:spacing w:line="572" w:lineRule="exact"/>
        <w:ind w:firstLine="420" w:firstLineChars="200"/>
        <w:rPr>
          <w:rFonts w:cs="仿宋_GB2312"/>
          <w:szCs w:val="32"/>
        </w:rPr>
      </w:pPr>
      <w:r>
        <w:rPr>
          <w:rFonts w:cs="仿宋_GB2312" w:hint="eastAsia"/>
          <w:szCs w:val="32"/>
        </w:rPr>
        <w:t>实现将格点资料的四级编码、要素、空间范围、维度（起报、预报、样本、经度、纬度、层次等）、尺寸、分辨率、起始时间、常年值等元数据信息注册到系统中，用于ELT加载模块的入库标识。</w:t>
      </w:r>
    </w:p>
    <w:p>
      <w:pPr>
        <w:pStyle w:val="Heading5"/>
        <w:keepNext/>
        <w:keepLines/>
        <w:widowControl w:val="0"/>
        <w:numPr>
          <w:ilvl w:val="4"/>
          <w:numId w:val="4"/>
        </w:numPr>
        <w:spacing w:before="0" w:after="0" w:line="560" w:lineRule="exact"/>
        <w:ind w:left="1009" w:hanging="1009"/>
        <w:jc w:val="both"/>
        <w:rPr>
          <w:rFonts w:ascii="Times New Roman" w:eastAsia="宋体" w:hAnsi="Times New Roman" w:cs="Times New Roman" w:hint="eastAsia"/>
          <w:highlight w:val="none"/>
        </w:rPr>
      </w:pPr>
      <w:r>
        <w:rPr>
          <w:rFonts w:ascii="Times New Roman" w:eastAsia="宋体" w:hAnsi="Times New Roman" w:cs="Times New Roman" w:hint="eastAsia"/>
          <w:b/>
          <w:bCs/>
          <w:highlight w:val="none"/>
        </w:rPr>
        <w:t>卫星资料元数据提取</w:t>
      </w:r>
    </w:p>
    <w:p>
      <w:pPr>
        <w:spacing w:line="572" w:lineRule="exact"/>
        <w:ind w:firstLine="420" w:firstLineChars="200"/>
        <w:rPr>
          <w:rFonts w:cs="仿宋_GB2312"/>
          <w:szCs w:val="32"/>
        </w:rPr>
      </w:pPr>
      <w:r>
        <w:rPr>
          <w:rFonts w:cs="仿宋_GB2312" w:hint="eastAsia"/>
          <w:szCs w:val="32"/>
        </w:rPr>
        <w:t>将卫星资料的四级编码、仪器型号、空间范围、产品类型、尺寸、分辨率等元数据信息注册到系统中，用于ELT加载模块的入库标识。</w:t>
      </w:r>
    </w:p>
    <w:p>
      <w:pPr>
        <w:pStyle w:val="Heading5"/>
        <w:keepNext/>
        <w:keepLines/>
        <w:widowControl w:val="0"/>
        <w:numPr>
          <w:ilvl w:val="4"/>
          <w:numId w:val="4"/>
        </w:numPr>
        <w:spacing w:before="0" w:after="0" w:line="560" w:lineRule="exact"/>
        <w:ind w:left="1009" w:hanging="1009"/>
        <w:jc w:val="both"/>
        <w:rPr>
          <w:rFonts w:ascii="Times New Roman" w:eastAsia="宋体" w:hAnsi="Times New Roman" w:cs="Times New Roman" w:hint="eastAsia"/>
          <w:highlight w:val="none"/>
        </w:rPr>
      </w:pPr>
      <w:r>
        <w:rPr>
          <w:rFonts w:ascii="Times New Roman" w:eastAsia="宋体" w:hAnsi="Times New Roman" w:cs="Times New Roman" w:hint="eastAsia"/>
          <w:b/>
          <w:bCs/>
          <w:highlight w:val="none"/>
        </w:rPr>
        <w:t>基础地理信息元数据提取</w:t>
      </w:r>
    </w:p>
    <w:p>
      <w:pPr>
        <w:spacing w:line="572" w:lineRule="exact"/>
        <w:ind w:firstLine="420" w:firstLineChars="200"/>
        <w:rPr>
          <w:rFonts w:cs="仿宋_GB2312" w:hint="eastAsia"/>
          <w:szCs w:val="32"/>
        </w:rPr>
      </w:pPr>
      <w:r>
        <w:rPr>
          <w:rFonts w:cs="仿宋_GB2312" w:hint="eastAsia"/>
          <w:szCs w:val="32"/>
        </w:rPr>
        <w:t>实现将基础地理信息资料的四级编码、</w:t>
      </w:r>
      <w:r>
        <w:rPr>
          <w:rFonts w:cs="仿宋_GB2312"/>
          <w:szCs w:val="32"/>
        </w:rPr>
        <w:t>数据集名称</w:t>
      </w:r>
      <w:r>
        <w:rPr>
          <w:rFonts w:cs="仿宋_GB2312" w:hint="eastAsia"/>
          <w:szCs w:val="32"/>
        </w:rPr>
        <w:t>、</w:t>
      </w:r>
      <w:r>
        <w:rPr>
          <w:rFonts w:cs="仿宋_GB2312"/>
          <w:szCs w:val="32"/>
        </w:rPr>
        <w:t>数据集摘要</w:t>
      </w:r>
      <w:r>
        <w:rPr>
          <w:rFonts w:cs="仿宋_GB2312" w:hint="eastAsia"/>
          <w:szCs w:val="32"/>
        </w:rPr>
        <w:t>、</w:t>
      </w:r>
      <w:r>
        <w:rPr>
          <w:rFonts w:cs="仿宋_GB2312"/>
          <w:szCs w:val="32"/>
        </w:rPr>
        <w:t>关键词</w:t>
      </w:r>
      <w:r>
        <w:rPr>
          <w:rFonts w:cs="仿宋_GB2312" w:hint="eastAsia"/>
          <w:szCs w:val="32"/>
        </w:rPr>
        <w:t>、</w:t>
      </w:r>
      <w:r>
        <w:rPr>
          <w:rFonts w:cs="仿宋_GB2312"/>
          <w:szCs w:val="32"/>
        </w:rPr>
        <w:t>数据类别</w:t>
      </w:r>
      <w:r>
        <w:rPr>
          <w:rFonts w:cs="仿宋_GB2312" w:hint="eastAsia"/>
          <w:szCs w:val="32"/>
        </w:rPr>
        <w:t>、</w:t>
      </w:r>
      <w:r>
        <w:rPr>
          <w:rFonts w:cs="仿宋_GB2312"/>
          <w:szCs w:val="32"/>
        </w:rPr>
        <w:t>空间范围</w:t>
      </w:r>
      <w:r>
        <w:rPr>
          <w:rFonts w:cs="仿宋_GB2312" w:hint="eastAsia"/>
          <w:szCs w:val="32"/>
        </w:rPr>
        <w:t>、</w:t>
      </w:r>
      <w:r>
        <w:rPr>
          <w:rFonts w:cs="仿宋_GB2312"/>
          <w:szCs w:val="32"/>
        </w:rPr>
        <w:t>空间分辨率</w:t>
      </w:r>
      <w:r>
        <w:rPr>
          <w:rFonts w:cs="仿宋_GB2312" w:hint="eastAsia"/>
          <w:szCs w:val="32"/>
        </w:rPr>
        <w:t>、</w:t>
      </w:r>
      <w:r>
        <w:rPr>
          <w:rFonts w:cs="仿宋_GB2312"/>
          <w:szCs w:val="32"/>
        </w:rPr>
        <w:t>坐标系</w:t>
      </w:r>
      <w:r>
        <w:rPr>
          <w:rFonts w:cs="仿宋_GB2312" w:hint="eastAsia"/>
          <w:szCs w:val="32"/>
        </w:rPr>
        <w:t>、</w:t>
      </w:r>
      <w:r>
        <w:rPr>
          <w:rFonts w:cs="仿宋_GB2312"/>
          <w:szCs w:val="32"/>
        </w:rPr>
        <w:t>投影信息</w:t>
      </w:r>
      <w:r>
        <w:rPr>
          <w:rFonts w:cs="仿宋_GB2312" w:hint="eastAsia"/>
          <w:szCs w:val="32"/>
        </w:rPr>
        <w:t>、</w:t>
      </w:r>
      <w:r>
        <w:rPr>
          <w:rFonts w:cs="仿宋_GB2312"/>
          <w:szCs w:val="32"/>
        </w:rPr>
        <w:t>时间范围</w:t>
      </w:r>
      <w:r>
        <w:rPr>
          <w:rFonts w:cs="仿宋_GB2312" w:hint="eastAsia"/>
          <w:szCs w:val="32"/>
        </w:rPr>
        <w:t>、</w:t>
      </w:r>
      <w:r>
        <w:rPr>
          <w:rFonts w:cs="仿宋_GB2312"/>
          <w:szCs w:val="32"/>
        </w:rPr>
        <w:t>时间分辨率</w:t>
      </w:r>
      <w:r>
        <w:rPr>
          <w:rFonts w:cs="仿宋_GB2312" w:hint="eastAsia"/>
          <w:szCs w:val="32"/>
        </w:rPr>
        <w:t>、</w:t>
      </w:r>
      <w:r>
        <w:rPr>
          <w:rFonts w:cs="仿宋_GB2312"/>
          <w:szCs w:val="32"/>
        </w:rPr>
        <w:t>数据来源</w:t>
      </w:r>
      <w:r>
        <w:rPr>
          <w:rFonts w:cs="仿宋_GB2312" w:hint="eastAsia"/>
          <w:szCs w:val="32"/>
        </w:rPr>
        <w:t>、</w:t>
      </w:r>
      <w:r>
        <w:rPr>
          <w:rFonts w:cs="仿宋_GB2312"/>
          <w:szCs w:val="32"/>
        </w:rPr>
        <w:t>数据处理方法</w:t>
      </w:r>
      <w:r>
        <w:rPr>
          <w:rFonts w:cs="仿宋_GB2312" w:hint="eastAsia"/>
          <w:szCs w:val="32"/>
        </w:rPr>
        <w:t>等元数据信息注册到系统中，用于ELT加载模块的入库标识。</w:t>
      </w:r>
    </w:p>
    <w:p>
      <w:pPr>
        <w:pStyle w:val="Heading5"/>
        <w:keepNext/>
        <w:keepLines/>
        <w:widowControl w:val="0"/>
        <w:numPr>
          <w:ilvl w:val="4"/>
          <w:numId w:val="4"/>
        </w:numPr>
        <w:spacing w:before="0" w:after="0" w:line="560" w:lineRule="exact"/>
        <w:ind w:left="1009" w:hanging="1009"/>
        <w:jc w:val="both"/>
        <w:rPr>
          <w:rFonts w:ascii="Times New Roman" w:eastAsia="宋体" w:hAnsi="Times New Roman" w:cs="Times New Roman" w:hint="eastAsia"/>
          <w:highlight w:val="none"/>
        </w:rPr>
      </w:pPr>
      <w:r>
        <w:rPr>
          <w:rFonts w:ascii="Times New Roman" w:eastAsia="宋体" w:hAnsi="Times New Roman" w:cs="Times New Roman" w:hint="eastAsia"/>
          <w:b/>
          <w:bCs/>
          <w:highlight w:val="none"/>
        </w:rPr>
        <w:t>空间元数据存储与索引模块</w:t>
      </w:r>
    </w:p>
    <w:p>
      <w:pPr>
        <w:spacing w:line="572" w:lineRule="exact"/>
        <w:ind w:firstLine="420" w:firstLineChars="200"/>
        <w:rPr>
          <w:rFonts w:cs="仿宋_GB2312"/>
          <w:szCs w:val="32"/>
        </w:rPr>
      </w:pPr>
      <w:r>
        <w:rPr>
          <w:rFonts w:cs="仿宋_GB2312" w:hint="eastAsia"/>
          <w:szCs w:val="32"/>
        </w:rPr>
        <w:t>采用 PostgreSQL+PostGIS 实现结构化存储，支持空间范围查询（如B树/R树索引）；结合分布式搜索引擎提供全文检索（如按变量名、时间范围搜索）；通过版本控制记录元数据变更历史，并设计高效API支持动态查询。该模块确保气象数据可快速发现、精准定位，并保障元数据的完整性与可追溯性。</w:t>
      </w:r>
    </w:p>
    <w:p>
      <w:pPr>
        <w:pStyle w:val="Heading5"/>
        <w:keepNext/>
        <w:keepLines/>
        <w:widowControl w:val="0"/>
        <w:numPr>
          <w:ilvl w:val="4"/>
          <w:numId w:val="4"/>
        </w:numPr>
        <w:spacing w:before="0" w:after="0" w:line="560" w:lineRule="exact"/>
        <w:ind w:left="1009" w:hanging="1009"/>
        <w:jc w:val="both"/>
        <w:rPr>
          <w:rFonts w:ascii="Times New Roman" w:eastAsia="宋体" w:hAnsi="Times New Roman" w:cs="Times New Roman" w:hint="eastAsia"/>
          <w:highlight w:val="none"/>
        </w:rPr>
      </w:pPr>
      <w:r>
        <w:rPr>
          <w:rFonts w:ascii="Times New Roman" w:eastAsia="宋体" w:hAnsi="Times New Roman" w:cs="Times New Roman" w:hint="eastAsia"/>
          <w:b/>
          <w:bCs/>
          <w:highlight w:val="none"/>
        </w:rPr>
        <w:t>空间元数据质量控制与验证模块</w:t>
      </w:r>
    </w:p>
    <w:p>
      <w:pPr>
        <w:spacing w:line="572" w:lineRule="exact"/>
        <w:ind w:firstLine="420" w:firstLineChars="200"/>
        <w:rPr>
          <w:rFonts w:cs="仿宋_GB2312"/>
          <w:szCs w:val="32"/>
        </w:rPr>
      </w:pPr>
      <w:r>
        <w:rPr>
          <w:rFonts w:cs="仿宋_GB2312" w:hint="eastAsia"/>
          <w:szCs w:val="32"/>
        </w:rPr>
        <w:t>基于规则实现自动化校验，确保空间元数据完整性（如必填字段、时空范围合规）和逻辑合理性（如海拔与温度负相关）；通过数据溯源记录处理历史，支持版本回溯；结合交叉验证（如站点对比、多源数据一致性分析）评估准确性，并生成可视化质量报告，最终保障气象空间元数据的可靠性与业务可用性。</w:t>
      </w:r>
    </w:p>
    <w:p>
      <w:pPr>
        <w:pStyle w:val="Heading5"/>
        <w:keepNext/>
        <w:keepLines/>
        <w:widowControl w:val="0"/>
        <w:numPr>
          <w:ilvl w:val="4"/>
          <w:numId w:val="4"/>
        </w:numPr>
        <w:spacing w:before="0" w:after="0" w:line="560" w:lineRule="exact"/>
        <w:ind w:left="1009" w:hanging="1009"/>
        <w:jc w:val="both"/>
        <w:rPr>
          <w:rFonts w:ascii="Times New Roman" w:eastAsia="宋体" w:hAnsi="Times New Roman" w:cs="Times New Roman" w:hint="eastAsia"/>
          <w:highlight w:val="none"/>
        </w:rPr>
      </w:pPr>
      <w:r>
        <w:rPr>
          <w:rFonts w:ascii="Times New Roman" w:eastAsia="宋体" w:hAnsi="Times New Roman" w:cs="Times New Roman" w:hint="eastAsia"/>
          <w:b/>
          <w:bCs/>
          <w:highlight w:val="none"/>
        </w:rPr>
        <w:t>空间元数据服务与共享模块</w:t>
      </w:r>
    </w:p>
    <w:p>
      <w:pPr>
        <w:spacing w:line="572" w:lineRule="exact"/>
        <w:ind w:firstLine="420" w:firstLineChars="200"/>
        <w:rPr>
          <w:rFonts w:cs="仿宋_GB2312"/>
          <w:szCs w:val="32"/>
        </w:rPr>
      </w:pPr>
      <w:r>
        <w:rPr>
          <w:rFonts w:cs="仿宋_GB2312" w:hint="eastAsia"/>
          <w:szCs w:val="32"/>
        </w:rPr>
        <w:t>基于OGC CSW标准构建分布式元数据目录服务，支持RESTful API和GraphQL双协议接口，实现跨系统互操作。</w:t>
      </w:r>
    </w:p>
    <w:p>
      <w:pPr>
        <w:pStyle w:val="Heading5"/>
        <w:keepNext/>
        <w:keepLines/>
        <w:widowControl w:val="0"/>
        <w:numPr>
          <w:ilvl w:val="4"/>
          <w:numId w:val="4"/>
        </w:numPr>
        <w:spacing w:before="0" w:after="0" w:line="560" w:lineRule="exact"/>
        <w:ind w:left="1009" w:hanging="1009"/>
        <w:jc w:val="both"/>
        <w:rPr>
          <w:rFonts w:ascii="Times New Roman" w:eastAsia="宋体" w:hAnsi="Times New Roman" w:cs="Times New Roman" w:hint="eastAsia"/>
          <w:highlight w:val="none"/>
        </w:rPr>
      </w:pPr>
      <w:r>
        <w:rPr>
          <w:rFonts w:ascii="Times New Roman" w:eastAsia="宋体" w:hAnsi="Times New Roman" w:cs="Times New Roman" w:hint="eastAsia"/>
          <w:b/>
          <w:bCs/>
          <w:highlight w:val="none"/>
        </w:rPr>
        <w:t>空间元数据可视化与分析模块</w:t>
      </w:r>
    </w:p>
    <w:p>
      <w:pPr>
        <w:spacing w:line="572" w:lineRule="exact"/>
        <w:ind w:firstLine="420" w:firstLineChars="200"/>
        <w:rPr>
          <w:rFonts w:cs="仿宋_GB2312"/>
          <w:szCs w:val="32"/>
        </w:rPr>
      </w:pPr>
      <w:r>
        <w:rPr>
          <w:rFonts w:cs="仿宋_GB2312" w:hint="eastAsia"/>
          <w:szCs w:val="32"/>
        </w:rPr>
        <w:t>基于WebGL和Cesium构建三维时空可视化平台，实现气象要素的多维度动态渲染与交互式探索。模块集成热力图、流场图、等值面等多模态展示方式，支持从宏观趋势到微观特征的跨尺度分析。</w:t>
      </w:r>
    </w:p>
    <w:p>
      <w:pPr>
        <w:pStyle w:val="Heading5"/>
        <w:keepNext/>
        <w:keepLines/>
        <w:widowControl w:val="0"/>
        <w:numPr>
          <w:ilvl w:val="4"/>
          <w:numId w:val="4"/>
        </w:numPr>
        <w:spacing w:before="0" w:after="0" w:line="560" w:lineRule="exact"/>
        <w:ind w:left="1009" w:hanging="1009"/>
        <w:jc w:val="both"/>
        <w:rPr>
          <w:rFonts w:ascii="Times New Roman" w:eastAsia="宋体" w:hAnsi="Times New Roman" w:cs="Times New Roman" w:hint="eastAsia"/>
          <w:highlight w:val="none"/>
        </w:rPr>
      </w:pPr>
      <w:r>
        <w:rPr>
          <w:rFonts w:ascii="Times New Roman" w:eastAsia="宋体" w:hAnsi="Times New Roman" w:cs="Times New Roman" w:hint="eastAsia"/>
          <w:b/>
          <w:bCs/>
          <w:highlight w:val="none"/>
        </w:rPr>
        <w:t>空间元数据安全与权限管理模块</w:t>
      </w:r>
    </w:p>
    <w:p>
      <w:pPr>
        <w:spacing w:line="572" w:lineRule="exact"/>
        <w:ind w:firstLine="420" w:firstLineChars="200"/>
        <w:rPr>
          <w:rFonts w:ascii="Times New Roman" w:eastAsia="宋体" w:hAnsi="Times New Roman" w:cs="Times New Roman" w:hint="eastAsia"/>
        </w:rPr>
      </w:pPr>
      <w:r>
        <w:rPr>
          <w:rFonts w:cs="仿宋_GB2312" w:hint="eastAsia"/>
          <w:szCs w:val="32"/>
        </w:rPr>
        <w:t>包括权限分配‌，根据用户角色和职责，合理分配访问权限，确保只有授权用户才能访问特定的元数据信息。访问控制‌，实施细粒度的访问控制策略，限制用户对元数据的操作权限，防止未经授权的访问和操作。日志记录‌，记录用户的访问行为和操作日志，以便于审计和追踪，确保数据的安全性和合规性。身份验证‌，基于CA证书建立身份验证机制，确保用户身份的真实性和可靠性。</w:t>
      </w:r>
    </w:p>
    <w:p>
      <w:pPr>
        <w:pStyle w:val="Heading3"/>
        <w:keepNext/>
        <w:keepLines/>
        <w:widowControl w:val="0"/>
        <w:numPr>
          <w:ilvl w:val="2"/>
          <w:numId w:val="4"/>
        </w:numPr>
        <w:bidi w:val="0"/>
        <w:spacing w:line="560" w:lineRule="atLeast"/>
        <w:ind w:left="720" w:hanging="720"/>
        <w:jc w:val="both"/>
        <w:rPr>
          <w:rFonts w:hint="default"/>
          <w:highlight w:val="none"/>
          <w:lang w:val="en-US"/>
        </w:rPr>
      </w:pPr>
      <w:bookmarkStart w:id="98" w:name="_Toc31180"/>
      <w:bookmarkStart w:id="99" w:name="_Toc7124"/>
      <w:bookmarkStart w:id="100" w:name="_Toc26744"/>
      <w:bookmarkStart w:id="101" w:name="_Toc4591"/>
      <w:r>
        <w:rPr>
          <w:rFonts w:hint="default"/>
          <w:highlight w:val="none"/>
          <w:lang w:val="en-US" w:eastAsia="zh-CN"/>
        </w:rPr>
        <w:t>短临业务备份能力提升子系统</w:t>
      </w:r>
      <w:bookmarkEnd w:id="98"/>
      <w:bookmarkEnd w:id="99"/>
      <w:bookmarkEnd w:id="100"/>
      <w:bookmarkEnd w:id="101"/>
    </w:p>
    <w:p>
      <w:pPr>
        <w:pStyle w:val="Heading4"/>
        <w:keepNext/>
        <w:keepLines/>
        <w:widowControl w:val="0"/>
        <w:numPr>
          <w:ilvl w:val="3"/>
          <w:numId w:val="4"/>
        </w:numPr>
        <w:spacing w:line="560" w:lineRule="exact"/>
        <w:ind w:left="862" w:hanging="862"/>
        <w:jc w:val="both"/>
        <w:rPr>
          <w:rFonts w:cs="Times New Roman" w:hint="default"/>
          <w:highlight w:val="none"/>
          <w:lang w:val="en-US"/>
        </w:rPr>
      </w:pPr>
      <w:r>
        <w:rPr>
          <w:rFonts w:cs="Times New Roman" w:hint="eastAsia"/>
          <w:b/>
          <w:bCs/>
          <w:highlight w:val="none"/>
        </w:rPr>
        <w:t>短临业务备份支撑能力升级</w:t>
      </w:r>
    </w:p>
    <w:p>
      <w:pPr>
        <w:pStyle w:val="Heading5"/>
        <w:keepNext/>
        <w:keepLines/>
        <w:widowControl w:val="0"/>
        <w:numPr>
          <w:ilvl w:val="4"/>
          <w:numId w:val="4"/>
        </w:numPr>
        <w:spacing w:before="0" w:after="0" w:line="560" w:lineRule="exact"/>
        <w:ind w:left="1009" w:hanging="1009"/>
        <w:jc w:val="both"/>
        <w:rPr>
          <w:rFonts w:hint="eastAsia"/>
          <w:highlight w:val="none"/>
        </w:rPr>
      </w:pPr>
      <w:r>
        <w:rPr>
          <w:rFonts w:hint="eastAsia"/>
          <w:highlight w:val="none"/>
        </w:rPr>
        <w:t>短临业务算法元数据备份</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实现主备中心短临业务应用算法元数据备份，包括算法的镜像包、算法基本信息、贡献者信息、知识产权信息、运行环境配置、运行命令、运行参数等相关信息同步到备份中心。</w:t>
      </w:r>
    </w:p>
    <w:p>
      <w:pPr>
        <w:pStyle w:val="Heading5"/>
        <w:keepNext/>
        <w:keepLines/>
        <w:widowControl w:val="0"/>
        <w:numPr>
          <w:ilvl w:val="4"/>
          <w:numId w:val="4"/>
        </w:numPr>
        <w:spacing w:before="0" w:after="0" w:line="560" w:lineRule="exact"/>
        <w:ind w:left="1009" w:hanging="1009"/>
        <w:jc w:val="both"/>
        <w:rPr>
          <w:rFonts w:hint="eastAsia"/>
          <w:highlight w:val="none"/>
        </w:rPr>
      </w:pPr>
      <w:r>
        <w:rPr>
          <w:rFonts w:hint="eastAsia"/>
          <w:highlight w:val="none"/>
        </w:rPr>
        <w:t>短临业务算法实体备份</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实现主备中心短临业务应用算法实体备份。包括镜像的中文名称、英文名称、版本号、操作系统、操作系统版本、CPU架构、所属系统、注册人、创建/修改时间、加载状态、审核状态、升级状态、操作信息等相关信息同步到备份中心。在主备中心使用MD5校验文件正确性。</w:t>
      </w:r>
    </w:p>
    <w:p>
      <w:pPr>
        <w:pStyle w:val="Heading5"/>
        <w:keepNext/>
        <w:keepLines/>
        <w:widowControl w:val="0"/>
        <w:numPr>
          <w:ilvl w:val="4"/>
          <w:numId w:val="4"/>
        </w:numPr>
        <w:spacing w:before="0" w:after="0" w:line="560" w:lineRule="exact"/>
        <w:ind w:left="1009" w:hanging="1009"/>
        <w:jc w:val="both"/>
        <w:rPr>
          <w:rFonts w:hint="eastAsia"/>
          <w:highlight w:val="none"/>
        </w:rPr>
      </w:pPr>
      <w:r>
        <w:rPr>
          <w:rFonts w:hint="eastAsia"/>
          <w:highlight w:val="none"/>
        </w:rPr>
        <w:t>短临算法配置信息备份</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实现主备中心短临业务算法配置信息的备份，主要包括版本号、开发语言、是否发送DI/EI、输入输出、算法知识产权、镜像配置、运行命令、参数信息、私有配置信息等相关信息同步到备份中心。</w:t>
      </w:r>
    </w:p>
    <w:p>
      <w:pPr>
        <w:pStyle w:val="Heading5"/>
        <w:keepNext/>
        <w:keepLines/>
        <w:widowControl w:val="0"/>
        <w:numPr>
          <w:ilvl w:val="4"/>
          <w:numId w:val="4"/>
        </w:numPr>
        <w:spacing w:before="0" w:after="0" w:line="560" w:lineRule="exact"/>
        <w:ind w:left="1009" w:hanging="1009"/>
        <w:jc w:val="both"/>
        <w:rPr>
          <w:rFonts w:hint="eastAsia"/>
          <w:highlight w:val="none"/>
        </w:rPr>
      </w:pPr>
      <w:r>
        <w:rPr>
          <w:rFonts w:hint="eastAsia"/>
          <w:highlight w:val="none"/>
        </w:rPr>
        <w:t>短临算法调度策略备份</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实现主备中心短临业务算法调度策略的备份，主要包括任务名称、运行频率、输入、输出等相关信息同步到备份中心。</w:t>
      </w:r>
    </w:p>
    <w:p>
      <w:pPr>
        <w:pStyle w:val="Heading5"/>
        <w:keepNext/>
        <w:keepLines/>
        <w:widowControl w:val="0"/>
        <w:numPr>
          <w:ilvl w:val="4"/>
          <w:numId w:val="4"/>
        </w:numPr>
        <w:spacing w:before="0" w:after="0" w:line="560" w:lineRule="exact"/>
        <w:ind w:left="1009" w:hanging="1009"/>
        <w:jc w:val="both"/>
        <w:rPr>
          <w:rFonts w:hint="eastAsia"/>
          <w:highlight w:val="none"/>
        </w:rPr>
      </w:pPr>
      <w:r>
        <w:rPr>
          <w:rFonts w:hint="eastAsia"/>
          <w:highlight w:val="none"/>
        </w:rPr>
        <w:t>短临业务客户端运行环境备份</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实现主备中心短临业务客户端系统运行环境的备份，包括系统级参数、系统账户/账户组、系统软件/服务配置、目录环境、系统环境变量等各类系统环境的分类、管理、自动同步，为业务的应急切换随时做好系统环境主备中心一致的准备。</w:t>
      </w:r>
    </w:p>
    <w:p>
      <w:pPr>
        <w:pStyle w:val="Heading5"/>
        <w:keepNext/>
        <w:keepLines/>
        <w:widowControl w:val="0"/>
        <w:numPr>
          <w:ilvl w:val="4"/>
          <w:numId w:val="4"/>
        </w:numPr>
        <w:spacing w:before="0" w:after="0" w:line="560" w:lineRule="exact"/>
        <w:ind w:left="1009" w:hanging="1009"/>
        <w:jc w:val="both"/>
        <w:rPr>
          <w:rFonts w:hint="eastAsia"/>
          <w:highlight w:val="none"/>
        </w:rPr>
      </w:pPr>
      <w:r>
        <w:rPr>
          <w:rFonts w:hint="eastAsia"/>
          <w:highlight w:val="none"/>
        </w:rPr>
        <w:t>短临业务客户端应用软件备份</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基于摘要算法实现主备中心短临业务客户端应用软件对比，并存储对比结果。基于对比结果实现支撑系统软件信息的同步，通过Socket与备份中心连接，并将变更版本数据提交到备份中心的服务器，备份中心接收到主中心发送的应用软件资源版本同步请求后，调用备份业务应用系统的客户端更新版本资源信息的同步更新。</w:t>
      </w:r>
    </w:p>
    <w:p>
      <w:pPr>
        <w:pStyle w:val="Heading5"/>
        <w:keepNext/>
        <w:keepLines/>
        <w:widowControl w:val="0"/>
        <w:numPr>
          <w:ilvl w:val="4"/>
          <w:numId w:val="4"/>
        </w:numPr>
        <w:spacing w:before="0" w:after="0" w:line="560" w:lineRule="exact"/>
        <w:ind w:left="1009" w:hanging="1009"/>
        <w:jc w:val="both"/>
        <w:rPr>
          <w:rFonts w:hint="eastAsia"/>
          <w:highlight w:val="none"/>
        </w:rPr>
      </w:pPr>
      <w:r>
        <w:rPr>
          <w:rFonts w:hint="eastAsia"/>
          <w:highlight w:val="none"/>
        </w:rPr>
        <w:t>短临业务元数据一致性校验</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实现对主备中心短临业务元数据，按照数据库、索引、表等多个维度进行检查和比对，定位出主备元数据差异性。</w:t>
      </w:r>
    </w:p>
    <w:p>
      <w:pPr>
        <w:pStyle w:val="Heading4"/>
        <w:keepNext/>
        <w:keepLines/>
        <w:widowControl w:val="0"/>
        <w:numPr>
          <w:ilvl w:val="3"/>
          <w:numId w:val="4"/>
        </w:numPr>
        <w:spacing w:line="560" w:lineRule="exact"/>
        <w:ind w:left="862" w:hanging="862"/>
        <w:jc w:val="both"/>
        <w:rPr>
          <w:rFonts w:cs="Times New Roman" w:hint="eastAsia"/>
          <w:highlight w:val="none"/>
        </w:rPr>
      </w:pPr>
      <w:r>
        <w:rPr>
          <w:rFonts w:cs="Times New Roman" w:hint="eastAsia"/>
          <w:b/>
          <w:bCs/>
          <w:highlight w:val="none"/>
        </w:rPr>
        <w:t>短临业务切换支撑能力升级</w:t>
      </w:r>
    </w:p>
    <w:p>
      <w:pPr>
        <w:pStyle w:val="Heading5"/>
        <w:keepNext/>
        <w:keepLines/>
        <w:widowControl w:val="0"/>
        <w:numPr>
          <w:ilvl w:val="4"/>
          <w:numId w:val="4"/>
        </w:numPr>
        <w:spacing w:before="0" w:after="0" w:line="560" w:lineRule="exact"/>
        <w:ind w:left="1009" w:hanging="1009"/>
        <w:jc w:val="both"/>
        <w:rPr>
          <w:rFonts w:hint="eastAsia"/>
          <w:highlight w:val="none"/>
        </w:rPr>
      </w:pPr>
      <w:r>
        <w:rPr>
          <w:rFonts w:hint="eastAsia"/>
          <w:highlight w:val="none"/>
        </w:rPr>
        <w:t>短临业务通信数据源切换</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实现短临业务通信数据源的切换，构建短临监测预报预警等系统切换逻辑定义转化为系统可解析并执行的工作流。通过作业流定义，划分任务组、子作业流等。基于WEB页面创建切换流程，实现在界面上对作业流和作业流便捷管理。</w:t>
      </w:r>
    </w:p>
    <w:p>
      <w:pPr>
        <w:pStyle w:val="Heading5"/>
        <w:keepNext/>
        <w:keepLines/>
        <w:widowControl w:val="0"/>
        <w:numPr>
          <w:ilvl w:val="4"/>
          <w:numId w:val="4"/>
        </w:numPr>
        <w:spacing w:before="0" w:after="0" w:line="560" w:lineRule="exact"/>
        <w:ind w:left="1009" w:hanging="1009"/>
        <w:jc w:val="both"/>
        <w:rPr>
          <w:rFonts w:hint="eastAsia"/>
          <w:highlight w:val="none"/>
        </w:rPr>
      </w:pPr>
      <w:r>
        <w:rPr>
          <w:rFonts w:hint="eastAsia"/>
          <w:highlight w:val="none"/>
        </w:rPr>
        <w:t>短临业务产品服务接口切换</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实现短临业务服务接口的切换；将切换前检查、主备切换、切换后确认脚本分别进行原子化封装得到对应的原子；通过原子的编辑操作，配置切换任务运行环境、账户、脚本、权限等信息，实现短临业务切换逻辑定义转化为系统可解析并执行的工作流。</w:t>
      </w:r>
    </w:p>
    <w:p>
      <w:pPr>
        <w:pStyle w:val="Heading5"/>
        <w:keepNext/>
        <w:keepLines/>
        <w:widowControl w:val="0"/>
        <w:numPr>
          <w:ilvl w:val="4"/>
          <w:numId w:val="4"/>
        </w:numPr>
        <w:spacing w:before="0" w:after="0" w:line="560" w:lineRule="exact"/>
        <w:ind w:left="1009" w:hanging="1009"/>
        <w:jc w:val="both"/>
        <w:rPr>
          <w:rFonts w:hint="eastAsia"/>
          <w:highlight w:val="none"/>
        </w:rPr>
      </w:pPr>
      <w:r>
        <w:rPr>
          <w:rFonts w:hint="eastAsia"/>
          <w:highlight w:val="none"/>
        </w:rPr>
        <w:t>切换视图</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实现短临业务主备切换的应急指挥能力。构建切换展示视图，根据不同的场景展示，包括领导视图、指挥视图、操作视图。</w:t>
      </w:r>
    </w:p>
    <w:p>
      <w:pPr>
        <w:pStyle w:val="Heading5"/>
        <w:keepNext/>
        <w:keepLines/>
        <w:widowControl w:val="0"/>
        <w:numPr>
          <w:ilvl w:val="4"/>
          <w:numId w:val="4"/>
        </w:numPr>
        <w:spacing w:before="0" w:after="0" w:line="560" w:lineRule="exact"/>
        <w:ind w:left="1009" w:hanging="1009"/>
        <w:jc w:val="both"/>
        <w:rPr>
          <w:rFonts w:hint="eastAsia"/>
          <w:highlight w:val="none"/>
        </w:rPr>
      </w:pPr>
      <w:r>
        <w:rPr>
          <w:rFonts w:hint="eastAsia"/>
          <w:highlight w:val="none"/>
        </w:rPr>
        <w:t>短临运维业务系统软件主备切换管理模块</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实现主备短临运维业务系统软件在主备业务环节自动化切换，提供可视化系统界面，对执行任务进行流程化编排和详细的跟踪日志记录。</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default"/>
          <w:color w:val="000000"/>
          <w:szCs w:val="32"/>
          <w:highlight w:val="none"/>
        </w:rPr>
      </w:pPr>
      <w:r>
        <w:rPr>
          <w:rFonts w:ascii="仿宋_GB2312" w:eastAsia="宋体" w:hAnsi="仿宋_GB2312" w:cs="仿宋_GB2312" w:hint="eastAsia"/>
          <w:color w:val="000000"/>
          <w:szCs w:val="32"/>
          <w:highlight w:val="none"/>
          <w:lang w:val="en-US"/>
        </w:rPr>
        <w:t>依托实时监控系统，持续采集设备状态、数据流等关键参数，通过算法模型分析异常特征与发展趋势</w:t>
      </w:r>
      <w:r>
        <w:rPr>
          <w:rFonts w:ascii="仿宋_GB2312" w:eastAsia="宋体" w:hAnsi="仿宋_GB2312" w:cs="仿宋_GB2312" w:hint="eastAsia"/>
          <w:color w:val="000000"/>
          <w:szCs w:val="32"/>
          <w:highlight w:val="none"/>
          <w:lang w:val="en-US" w:eastAsia="zh-CN"/>
        </w:rPr>
        <w:t>，</w:t>
      </w:r>
      <w:r>
        <w:rPr>
          <w:rFonts w:ascii="仿宋_GB2312" w:eastAsia="宋体" w:hAnsi="仿宋_GB2312" w:cs="仿宋_GB2312" w:hint="eastAsia"/>
          <w:color w:val="000000"/>
          <w:szCs w:val="32"/>
          <w:highlight w:val="none"/>
          <w:lang w:val="en-US"/>
        </w:rPr>
        <w:t>实现短临</w:t>
      </w:r>
      <w:r>
        <w:rPr>
          <w:rFonts w:ascii="仿宋_GB2312" w:eastAsia="宋体" w:hAnsi="仿宋_GB2312" w:cs="仿宋_GB2312" w:hint="eastAsia"/>
          <w:color w:val="000000"/>
          <w:szCs w:val="32"/>
          <w:highlight w:val="none"/>
          <w:lang w:val="en-US" w:eastAsia="zh-CN"/>
        </w:rPr>
        <w:t>系统</w:t>
      </w:r>
      <w:r>
        <w:rPr>
          <w:rFonts w:ascii="仿宋_GB2312" w:eastAsia="宋体" w:hAnsi="仿宋_GB2312" w:cs="仿宋_GB2312" w:hint="eastAsia"/>
          <w:color w:val="000000"/>
          <w:szCs w:val="32"/>
          <w:highlight w:val="none"/>
          <w:lang w:val="en-US"/>
        </w:rPr>
        <w:t>故障自动感知</w:t>
      </w:r>
      <w:r>
        <w:rPr>
          <w:rFonts w:ascii="仿宋_GB2312" w:eastAsia="宋体" w:hAnsi="仿宋_GB2312" w:cs="仿宋_GB2312" w:hint="eastAsia"/>
          <w:color w:val="000000"/>
          <w:szCs w:val="32"/>
          <w:highlight w:val="none"/>
          <w:lang w:val="en-US" w:eastAsia="zh-CN"/>
        </w:rPr>
        <w:t>和智能决策。</w:t>
      </w:r>
    </w:p>
    <w:p>
      <w:pPr>
        <w:pStyle w:val="Heading5"/>
        <w:keepNext/>
        <w:keepLines/>
        <w:widowControl w:val="0"/>
        <w:numPr>
          <w:ilvl w:val="4"/>
          <w:numId w:val="4"/>
        </w:numPr>
        <w:spacing w:before="0" w:after="0" w:line="560" w:lineRule="exact"/>
        <w:ind w:left="1009" w:hanging="1009"/>
        <w:jc w:val="both"/>
        <w:rPr>
          <w:rFonts w:hint="eastAsia"/>
          <w:highlight w:val="none"/>
        </w:rPr>
      </w:pPr>
      <w:r>
        <w:rPr>
          <w:rFonts w:hint="eastAsia"/>
          <w:highlight w:val="none"/>
        </w:rPr>
        <w:t>切换报告</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实现短临业务切换报告自动化生成能力，报告内容包括演练信息统计、自动化用时统计、应用切换回切耗时统计、演练流程、演练步骤、异常汇总，执行结果等重要内容。</w:t>
      </w:r>
    </w:p>
    <w:p>
      <w:pPr>
        <w:pStyle w:val="Heading5"/>
        <w:keepNext/>
        <w:keepLines/>
        <w:widowControl w:val="0"/>
        <w:numPr>
          <w:ilvl w:val="4"/>
          <w:numId w:val="4"/>
        </w:numPr>
        <w:spacing w:before="0" w:after="0" w:line="560" w:lineRule="exact"/>
        <w:ind w:left="1009" w:hanging="1009"/>
        <w:jc w:val="both"/>
        <w:rPr>
          <w:rFonts w:hint="eastAsia"/>
          <w:highlight w:val="none"/>
        </w:rPr>
      </w:pPr>
      <w:r>
        <w:rPr>
          <w:rFonts w:hint="eastAsia"/>
          <w:highlight w:val="none"/>
        </w:rPr>
        <w:t>应急预案管理</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rPr>
        <w:t>实现短临业务应急预案管理，根据切换流程自动形式应急预案、支持多人在线编写结构化预案，可配置案应急组织，根据事件类型和等级，分别关联处置流程场景等能力。</w:t>
      </w:r>
    </w:p>
    <w:p>
      <w:pPr>
        <w:pStyle w:val="NormalIndent"/>
        <w:ind w:left="0" w:firstLine="0" w:leftChars="0" w:firstLineChars="0"/>
        <w:rPr>
          <w:rFonts w:ascii="仿宋_GB2312" w:eastAsia="宋体" w:hAnsi="仿宋_GB2312" w:cs="仿宋_GB2312" w:hint="eastAsia"/>
          <w:color w:val="000000"/>
          <w:szCs w:val="32"/>
          <w:highlight w:val="none"/>
          <w:lang w:val="en-US"/>
        </w:rPr>
      </w:pPr>
    </w:p>
    <w:p>
      <w:pPr>
        <w:pStyle w:val="Heading2"/>
        <w:keepNext/>
        <w:keepLines/>
        <w:widowControl w:val="0"/>
        <w:numPr>
          <w:ilvl w:val="1"/>
          <w:numId w:val="4"/>
        </w:numPr>
        <w:spacing w:line="560" w:lineRule="exact"/>
        <w:ind w:left="573" w:hanging="573"/>
        <w:jc w:val="both"/>
        <w:rPr>
          <w:rFonts w:hint="eastAsia"/>
          <w:highlight w:val="none"/>
        </w:rPr>
      </w:pPr>
      <w:bookmarkStart w:id="102" w:name="_Toc116994391"/>
      <w:bookmarkEnd w:id="102"/>
      <w:bookmarkStart w:id="103" w:name="_Toc116994354"/>
      <w:bookmarkEnd w:id="103"/>
      <w:bookmarkStart w:id="104" w:name="_Toc116994419"/>
      <w:bookmarkEnd w:id="104"/>
      <w:bookmarkStart w:id="105" w:name="_Toc116994383"/>
      <w:bookmarkEnd w:id="105"/>
      <w:bookmarkStart w:id="106" w:name="_Toc116994443"/>
      <w:bookmarkEnd w:id="106"/>
      <w:bookmarkStart w:id="107" w:name="_Toc116994471"/>
      <w:bookmarkEnd w:id="107"/>
      <w:bookmarkStart w:id="108" w:name="_Toc116994510"/>
      <w:bookmarkEnd w:id="108"/>
      <w:bookmarkStart w:id="109" w:name="_Toc116994437"/>
      <w:bookmarkEnd w:id="109"/>
      <w:bookmarkStart w:id="110" w:name="_Toc116994401"/>
      <w:bookmarkEnd w:id="110"/>
      <w:bookmarkStart w:id="111" w:name="_Toc116994262"/>
      <w:bookmarkEnd w:id="111"/>
      <w:bookmarkStart w:id="112" w:name="_Toc116994395"/>
      <w:bookmarkEnd w:id="112"/>
      <w:bookmarkStart w:id="113" w:name="_Toc116994269"/>
      <w:bookmarkEnd w:id="113"/>
      <w:bookmarkStart w:id="114" w:name="_Toc116994472"/>
      <w:bookmarkEnd w:id="114"/>
      <w:bookmarkStart w:id="115" w:name="_Toc116994438"/>
      <w:bookmarkEnd w:id="115"/>
      <w:bookmarkStart w:id="116" w:name="_Toc116994516"/>
      <w:bookmarkEnd w:id="116"/>
      <w:bookmarkStart w:id="117" w:name="_Toc116994435"/>
      <w:bookmarkEnd w:id="117"/>
      <w:bookmarkStart w:id="118" w:name="_Toc116994466"/>
      <w:bookmarkEnd w:id="118"/>
      <w:bookmarkStart w:id="119" w:name="_Toc116994407"/>
      <w:bookmarkEnd w:id="119"/>
      <w:bookmarkStart w:id="120" w:name="_Toc116994271"/>
      <w:bookmarkEnd w:id="120"/>
      <w:bookmarkStart w:id="121" w:name="_Toc116994484"/>
      <w:bookmarkEnd w:id="121"/>
      <w:bookmarkStart w:id="122" w:name="_Toc116994418"/>
      <w:bookmarkEnd w:id="122"/>
      <w:bookmarkStart w:id="123" w:name="_Toc116994268"/>
      <w:bookmarkEnd w:id="123"/>
      <w:bookmarkStart w:id="124" w:name="_Toc116994482"/>
      <w:bookmarkEnd w:id="124"/>
      <w:bookmarkStart w:id="125" w:name="_Toc116994410"/>
      <w:bookmarkEnd w:id="125"/>
      <w:bookmarkStart w:id="126" w:name="_Toc116994387"/>
      <w:bookmarkEnd w:id="126"/>
      <w:bookmarkStart w:id="127" w:name="_Toc116994496"/>
      <w:bookmarkEnd w:id="127"/>
      <w:bookmarkStart w:id="128" w:name="_Toc116994358"/>
      <w:bookmarkEnd w:id="128"/>
      <w:bookmarkStart w:id="129" w:name="_Toc116994365"/>
      <w:bookmarkEnd w:id="129"/>
      <w:bookmarkStart w:id="130" w:name="_Toc116994483"/>
      <w:bookmarkEnd w:id="130"/>
      <w:bookmarkStart w:id="131" w:name="_Toc116994337"/>
      <w:bookmarkEnd w:id="131"/>
      <w:bookmarkStart w:id="132" w:name="_Toc116994477"/>
      <w:bookmarkEnd w:id="132"/>
      <w:bookmarkStart w:id="133" w:name="_Toc116994336"/>
      <w:bookmarkEnd w:id="133"/>
      <w:bookmarkStart w:id="134" w:name="_Toc116994430"/>
      <w:bookmarkEnd w:id="134"/>
      <w:bookmarkStart w:id="135" w:name="_Toc116994447"/>
      <w:bookmarkEnd w:id="135"/>
      <w:bookmarkStart w:id="136" w:name="_Toc116994429"/>
      <w:bookmarkEnd w:id="136"/>
      <w:bookmarkStart w:id="137" w:name="_Toc116994480"/>
      <w:bookmarkEnd w:id="137"/>
      <w:bookmarkStart w:id="138" w:name="_Toc116994369"/>
      <w:bookmarkEnd w:id="138"/>
      <w:bookmarkStart w:id="139" w:name="_Toc116994394"/>
      <w:bookmarkEnd w:id="139"/>
      <w:bookmarkStart w:id="140" w:name="_Toc116994509"/>
      <w:bookmarkEnd w:id="140"/>
      <w:bookmarkStart w:id="141" w:name="_Toc116994265"/>
      <w:bookmarkEnd w:id="141"/>
      <w:bookmarkStart w:id="142" w:name="_Toc116994445"/>
      <w:bookmarkEnd w:id="142"/>
      <w:bookmarkStart w:id="143" w:name="_Toc116994464"/>
      <w:bookmarkEnd w:id="143"/>
      <w:bookmarkStart w:id="144" w:name="_Toc116994346"/>
      <w:bookmarkEnd w:id="144"/>
      <w:bookmarkStart w:id="145" w:name="_Toc116994422"/>
      <w:bookmarkEnd w:id="145"/>
      <w:bookmarkStart w:id="146" w:name="_Toc116994457"/>
      <w:bookmarkEnd w:id="146"/>
      <w:bookmarkStart w:id="147" w:name="_Toc116994359"/>
      <w:bookmarkEnd w:id="147"/>
      <w:bookmarkStart w:id="148" w:name="_Toc116994350"/>
      <w:bookmarkEnd w:id="148"/>
      <w:bookmarkStart w:id="149" w:name="_Toc116994414"/>
      <w:bookmarkEnd w:id="149"/>
      <w:bookmarkStart w:id="150" w:name="_Toc116994442"/>
      <w:bookmarkEnd w:id="150"/>
      <w:bookmarkStart w:id="151" w:name="_Toc116994398"/>
      <w:bookmarkEnd w:id="151"/>
      <w:bookmarkStart w:id="152" w:name="_Toc116994468"/>
      <w:bookmarkEnd w:id="152"/>
      <w:bookmarkStart w:id="153" w:name="_Toc116994441"/>
      <w:bookmarkEnd w:id="153"/>
      <w:bookmarkStart w:id="154" w:name="_Toc116994373"/>
      <w:bookmarkEnd w:id="154"/>
      <w:bookmarkStart w:id="155" w:name="_Toc116994459"/>
      <w:bookmarkEnd w:id="155"/>
      <w:bookmarkStart w:id="156" w:name="_Toc116994473"/>
      <w:bookmarkEnd w:id="156"/>
      <w:bookmarkStart w:id="157" w:name="_Toc116994371"/>
      <w:bookmarkEnd w:id="157"/>
      <w:bookmarkStart w:id="158" w:name="_Toc116994434"/>
      <w:bookmarkEnd w:id="158"/>
      <w:bookmarkStart w:id="159" w:name="_Toc116994504"/>
      <w:bookmarkEnd w:id="159"/>
      <w:bookmarkStart w:id="160" w:name="_Toc116994324"/>
      <w:bookmarkEnd w:id="160"/>
      <w:bookmarkStart w:id="161" w:name="_Toc116994467"/>
      <w:bookmarkEnd w:id="161"/>
      <w:bookmarkStart w:id="162" w:name="_Toc116994488"/>
      <w:bookmarkEnd w:id="162"/>
      <w:bookmarkStart w:id="163" w:name="_Toc116994470"/>
      <w:bookmarkEnd w:id="163"/>
      <w:bookmarkStart w:id="164" w:name="_Toc116994427"/>
      <w:bookmarkEnd w:id="164"/>
      <w:bookmarkStart w:id="165" w:name="_Toc116994379"/>
      <w:bookmarkEnd w:id="165"/>
      <w:bookmarkStart w:id="166" w:name="_Toc116994444"/>
      <w:bookmarkEnd w:id="166"/>
      <w:bookmarkStart w:id="167" w:name="_Toc116994424"/>
      <w:bookmarkEnd w:id="167"/>
      <w:bookmarkStart w:id="168" w:name="_Toc116994440"/>
      <w:bookmarkEnd w:id="168"/>
      <w:bookmarkStart w:id="169" w:name="_Toc116994351"/>
      <w:bookmarkEnd w:id="169"/>
      <w:bookmarkStart w:id="170" w:name="_Toc116994479"/>
      <w:bookmarkEnd w:id="170"/>
      <w:bookmarkStart w:id="171" w:name="_Toc116994389"/>
      <w:bookmarkEnd w:id="171"/>
      <w:bookmarkStart w:id="172" w:name="_Toc116994493"/>
      <w:bookmarkEnd w:id="172"/>
      <w:bookmarkStart w:id="173" w:name="_Toc116994326"/>
      <w:bookmarkEnd w:id="173"/>
      <w:bookmarkStart w:id="174" w:name="_Toc116994409"/>
      <w:bookmarkEnd w:id="174"/>
      <w:bookmarkStart w:id="175" w:name="_Toc116994417"/>
      <w:bookmarkEnd w:id="175"/>
      <w:bookmarkStart w:id="176" w:name="_Toc116994370"/>
      <w:bookmarkEnd w:id="176"/>
      <w:bookmarkStart w:id="177" w:name="_Toc116994323"/>
      <w:bookmarkEnd w:id="177"/>
      <w:bookmarkStart w:id="178" w:name="_Toc116994462"/>
      <w:bookmarkEnd w:id="178"/>
      <w:bookmarkStart w:id="179" w:name="_Toc116994512"/>
      <w:bookmarkEnd w:id="179"/>
      <w:bookmarkStart w:id="180" w:name="_Toc116994368"/>
      <w:bookmarkEnd w:id="180"/>
      <w:bookmarkStart w:id="181" w:name="_Toc116994460"/>
      <w:bookmarkEnd w:id="181"/>
      <w:bookmarkStart w:id="182" w:name="_Toc116994377"/>
      <w:bookmarkEnd w:id="182"/>
      <w:bookmarkStart w:id="183" w:name="_Toc116994412"/>
      <w:bookmarkEnd w:id="183"/>
      <w:bookmarkStart w:id="184" w:name="_Toc116994376"/>
      <w:bookmarkEnd w:id="184"/>
      <w:bookmarkStart w:id="185" w:name="_Toc116994353"/>
      <w:bookmarkEnd w:id="185"/>
      <w:bookmarkStart w:id="186" w:name="_Toc116994355"/>
      <w:bookmarkEnd w:id="186"/>
      <w:bookmarkStart w:id="187" w:name="_Toc116994469"/>
      <w:bookmarkEnd w:id="187"/>
      <w:bookmarkStart w:id="188" w:name="_Toc116994420"/>
      <w:bookmarkEnd w:id="188"/>
      <w:bookmarkStart w:id="189" w:name="_Toc116994349"/>
      <w:bookmarkEnd w:id="189"/>
      <w:bookmarkStart w:id="190" w:name="_Toc116994431"/>
      <w:bookmarkEnd w:id="190"/>
      <w:bookmarkStart w:id="191" w:name="_Toc116994258"/>
      <w:bookmarkEnd w:id="191"/>
      <w:bookmarkStart w:id="192" w:name="_Toc116994511"/>
      <w:bookmarkEnd w:id="192"/>
      <w:bookmarkStart w:id="193" w:name="_Toc116994375"/>
      <w:bookmarkEnd w:id="193"/>
      <w:bookmarkStart w:id="194" w:name="_Toc116994439"/>
      <w:bookmarkEnd w:id="194"/>
      <w:bookmarkStart w:id="195" w:name="_Toc116994426"/>
      <w:bookmarkEnd w:id="195"/>
      <w:bookmarkStart w:id="196" w:name="_Toc116994406"/>
      <w:bookmarkEnd w:id="196"/>
      <w:bookmarkStart w:id="197" w:name="_Toc116994335"/>
      <w:bookmarkEnd w:id="197"/>
      <w:bookmarkStart w:id="198" w:name="_Toc116994367"/>
      <w:bookmarkEnd w:id="198"/>
      <w:bookmarkStart w:id="199" w:name="_Toc116994266"/>
      <w:bookmarkEnd w:id="199"/>
      <w:bookmarkStart w:id="200" w:name="_Toc116994362"/>
      <w:bookmarkEnd w:id="200"/>
      <w:bookmarkStart w:id="201" w:name="_Toc116994478"/>
      <w:bookmarkEnd w:id="201"/>
      <w:bookmarkStart w:id="202" w:name="_Toc116994474"/>
      <w:bookmarkEnd w:id="202"/>
      <w:bookmarkStart w:id="203" w:name="_Toc116994451"/>
      <w:bookmarkEnd w:id="203"/>
      <w:bookmarkStart w:id="204" w:name="_Toc116994436"/>
      <w:bookmarkEnd w:id="204"/>
      <w:bookmarkStart w:id="205" w:name="_Toc116994356"/>
      <w:bookmarkEnd w:id="205"/>
      <w:bookmarkStart w:id="206" w:name="_Toc116994475"/>
      <w:bookmarkEnd w:id="206"/>
      <w:bookmarkStart w:id="207" w:name="_Toc116994519"/>
      <w:bookmarkEnd w:id="207"/>
      <w:bookmarkStart w:id="208" w:name="_Toc116994428"/>
      <w:bookmarkEnd w:id="208"/>
      <w:bookmarkStart w:id="209" w:name="_Toc116994487"/>
      <w:bookmarkEnd w:id="209"/>
      <w:bookmarkStart w:id="210" w:name="_Toc116994333"/>
      <w:bookmarkEnd w:id="210"/>
      <w:bookmarkStart w:id="211" w:name="_Toc116994513"/>
      <w:bookmarkEnd w:id="211"/>
      <w:bookmarkStart w:id="212" w:name="_Toc116994360"/>
      <w:bookmarkEnd w:id="212"/>
      <w:bookmarkStart w:id="213" w:name="_Toc116994433"/>
      <w:bookmarkEnd w:id="213"/>
      <w:bookmarkStart w:id="214" w:name="_Toc116994393"/>
      <w:bookmarkEnd w:id="214"/>
      <w:bookmarkStart w:id="215" w:name="_Toc116994396"/>
      <w:bookmarkEnd w:id="215"/>
      <w:bookmarkStart w:id="216" w:name="_Toc116994476"/>
      <w:bookmarkEnd w:id="216"/>
      <w:bookmarkStart w:id="217" w:name="_Toc116994503"/>
      <w:bookmarkEnd w:id="217"/>
      <w:bookmarkStart w:id="218" w:name="_Toc116994502"/>
      <w:bookmarkEnd w:id="218"/>
      <w:bookmarkStart w:id="219" w:name="_Toc116994450"/>
      <w:bookmarkEnd w:id="219"/>
      <w:bookmarkStart w:id="220" w:name="_Toc116994372"/>
      <w:bookmarkEnd w:id="220"/>
      <w:bookmarkStart w:id="221" w:name="_Toc116994329"/>
      <w:bookmarkEnd w:id="221"/>
      <w:bookmarkStart w:id="222" w:name="_Toc116994494"/>
      <w:bookmarkEnd w:id="222"/>
      <w:bookmarkStart w:id="223" w:name="_Toc116994465"/>
      <w:bookmarkEnd w:id="223"/>
      <w:bookmarkStart w:id="224" w:name="_Toc116994382"/>
      <w:bookmarkEnd w:id="224"/>
      <w:bookmarkStart w:id="225" w:name="_Toc116994501"/>
      <w:bookmarkEnd w:id="225"/>
      <w:bookmarkStart w:id="226" w:name="_Toc116994515"/>
      <w:bookmarkEnd w:id="226"/>
      <w:bookmarkStart w:id="227" w:name="_Toc116994455"/>
      <w:bookmarkEnd w:id="227"/>
      <w:bookmarkStart w:id="228" w:name="_Toc116994339"/>
      <w:bookmarkEnd w:id="228"/>
      <w:bookmarkStart w:id="229" w:name="_Toc116994260"/>
      <w:bookmarkEnd w:id="229"/>
      <w:bookmarkStart w:id="230" w:name="_Toc116994449"/>
      <w:bookmarkEnd w:id="230"/>
      <w:bookmarkStart w:id="231" w:name="_Toc116994514"/>
      <w:bookmarkEnd w:id="231"/>
      <w:bookmarkStart w:id="232" w:name="_Toc116994380"/>
      <w:bookmarkEnd w:id="232"/>
      <w:bookmarkStart w:id="233" w:name="_Toc116994263"/>
      <w:bookmarkEnd w:id="233"/>
      <w:bookmarkStart w:id="234" w:name="_Toc116994507"/>
      <w:bookmarkEnd w:id="234"/>
      <w:bookmarkStart w:id="235" w:name="_Toc116994499"/>
      <w:bookmarkEnd w:id="235"/>
      <w:bookmarkStart w:id="236" w:name="_Toc116994334"/>
      <w:bookmarkEnd w:id="236"/>
      <w:bookmarkStart w:id="237" w:name="_Toc116994390"/>
      <w:bookmarkEnd w:id="237"/>
      <w:bookmarkStart w:id="238" w:name="_Toc116994361"/>
      <w:bookmarkEnd w:id="238"/>
      <w:bookmarkStart w:id="239" w:name="_Toc116994270"/>
      <w:bookmarkEnd w:id="239"/>
      <w:bookmarkStart w:id="240" w:name="_Toc116994461"/>
      <w:bookmarkEnd w:id="240"/>
      <w:bookmarkStart w:id="241" w:name="_Toc116994366"/>
      <w:bookmarkEnd w:id="241"/>
      <w:bookmarkStart w:id="242" w:name="_Toc116994332"/>
      <w:bookmarkEnd w:id="242"/>
      <w:bookmarkStart w:id="243" w:name="_Toc116994364"/>
      <w:bookmarkEnd w:id="243"/>
      <w:bookmarkStart w:id="244" w:name="_Toc116994257"/>
      <w:bookmarkEnd w:id="244"/>
      <w:bookmarkStart w:id="245" w:name="_Toc116994400"/>
      <w:bookmarkEnd w:id="245"/>
      <w:bookmarkStart w:id="246" w:name="_Toc116994345"/>
      <w:bookmarkEnd w:id="246"/>
      <w:bookmarkStart w:id="247" w:name="_Toc116994402"/>
      <w:bookmarkEnd w:id="247"/>
      <w:bookmarkStart w:id="248" w:name="_Toc116994508"/>
      <w:bookmarkEnd w:id="248"/>
      <w:bookmarkStart w:id="249" w:name="_Toc116994446"/>
      <w:bookmarkEnd w:id="249"/>
      <w:bookmarkStart w:id="250" w:name="_Toc116994348"/>
      <w:bookmarkEnd w:id="250"/>
      <w:bookmarkStart w:id="251" w:name="_Toc116994404"/>
      <w:bookmarkEnd w:id="251"/>
      <w:bookmarkStart w:id="252" w:name="_Toc116994452"/>
      <w:bookmarkEnd w:id="252"/>
      <w:bookmarkStart w:id="253" w:name="_Toc116994340"/>
      <w:bookmarkEnd w:id="253"/>
      <w:bookmarkStart w:id="254" w:name="_Toc116994264"/>
      <w:bookmarkEnd w:id="254"/>
      <w:bookmarkStart w:id="255" w:name="_Toc116994423"/>
      <w:bookmarkEnd w:id="255"/>
      <w:bookmarkStart w:id="256" w:name="_Toc116994456"/>
      <w:bookmarkEnd w:id="256"/>
      <w:bookmarkStart w:id="257" w:name="_Toc116994517"/>
      <w:bookmarkEnd w:id="257"/>
      <w:bookmarkStart w:id="258" w:name="_Toc116994386"/>
      <w:bookmarkEnd w:id="258"/>
      <w:bookmarkStart w:id="259" w:name="_Toc116994378"/>
      <w:bookmarkEnd w:id="259"/>
      <w:bookmarkStart w:id="260" w:name="_Toc116994486"/>
      <w:bookmarkEnd w:id="260"/>
      <w:bookmarkStart w:id="261" w:name="_Toc116994328"/>
      <w:bookmarkEnd w:id="261"/>
      <w:bookmarkStart w:id="262" w:name="_Toc116994485"/>
      <w:bookmarkEnd w:id="262"/>
      <w:bookmarkStart w:id="263" w:name="_Toc116994256"/>
      <w:bookmarkEnd w:id="263"/>
      <w:bookmarkStart w:id="264" w:name="_Toc116994331"/>
      <w:bookmarkEnd w:id="264"/>
      <w:bookmarkStart w:id="265" w:name="_Toc116994405"/>
      <w:bookmarkEnd w:id="265"/>
      <w:bookmarkStart w:id="266" w:name="_Toc116994347"/>
      <w:bookmarkEnd w:id="266"/>
      <w:bookmarkStart w:id="267" w:name="_Toc116994338"/>
      <w:bookmarkEnd w:id="267"/>
      <w:bookmarkStart w:id="268" w:name="_Toc116994341"/>
      <w:bookmarkEnd w:id="268"/>
      <w:bookmarkStart w:id="269" w:name="_Toc116994384"/>
      <w:bookmarkEnd w:id="269"/>
      <w:bookmarkStart w:id="270" w:name="_Toc116994458"/>
      <w:bookmarkEnd w:id="270"/>
      <w:bookmarkStart w:id="271" w:name="_Toc116994416"/>
      <w:bookmarkEnd w:id="271"/>
      <w:bookmarkStart w:id="272" w:name="_Toc116994411"/>
      <w:bookmarkEnd w:id="272"/>
      <w:bookmarkStart w:id="273" w:name="_Toc116994432"/>
      <w:bookmarkEnd w:id="273"/>
      <w:bookmarkStart w:id="274" w:name="_Toc116994343"/>
      <w:bookmarkEnd w:id="274"/>
      <w:bookmarkStart w:id="275" w:name="_Toc116994330"/>
      <w:bookmarkEnd w:id="275"/>
      <w:bookmarkStart w:id="276" w:name="_Toc116994357"/>
      <w:bookmarkEnd w:id="276"/>
      <w:bookmarkStart w:id="277" w:name="_Toc116994363"/>
      <w:bookmarkEnd w:id="277"/>
      <w:bookmarkStart w:id="278" w:name="_Toc116994448"/>
      <w:bookmarkEnd w:id="278"/>
      <w:bookmarkStart w:id="279" w:name="_Toc116994342"/>
      <w:bookmarkEnd w:id="279"/>
      <w:bookmarkStart w:id="280" w:name="_Toc116994489"/>
      <w:bookmarkEnd w:id="280"/>
      <w:bookmarkStart w:id="281" w:name="_Toc116994413"/>
      <w:bookmarkEnd w:id="281"/>
      <w:bookmarkStart w:id="282" w:name="_Toc116994518"/>
      <w:bookmarkEnd w:id="282"/>
      <w:bookmarkStart w:id="283" w:name="_Toc116994403"/>
      <w:bookmarkEnd w:id="283"/>
      <w:bookmarkStart w:id="284" w:name="_Toc116994497"/>
      <w:bookmarkEnd w:id="284"/>
      <w:bookmarkStart w:id="285" w:name="_Toc116994408"/>
      <w:bookmarkEnd w:id="285"/>
      <w:bookmarkStart w:id="286" w:name="_Toc116994325"/>
      <w:bookmarkEnd w:id="286"/>
      <w:bookmarkStart w:id="287" w:name="_Toc116994415"/>
      <w:bookmarkEnd w:id="287"/>
      <w:bookmarkStart w:id="288" w:name="_Toc116994454"/>
      <w:bookmarkEnd w:id="288"/>
      <w:bookmarkStart w:id="289" w:name="_Toc116994385"/>
      <w:bookmarkEnd w:id="289"/>
      <w:bookmarkStart w:id="290" w:name="_Toc116994322"/>
      <w:bookmarkEnd w:id="290"/>
      <w:bookmarkStart w:id="291" w:name="_Toc116994267"/>
      <w:bookmarkEnd w:id="291"/>
      <w:bookmarkStart w:id="292" w:name="_Toc116994492"/>
      <w:bookmarkEnd w:id="292"/>
      <w:bookmarkStart w:id="293" w:name="_Toc116994453"/>
      <w:bookmarkEnd w:id="293"/>
      <w:bookmarkStart w:id="294" w:name="_Toc116994374"/>
      <w:bookmarkEnd w:id="294"/>
      <w:bookmarkStart w:id="295" w:name="_Toc116994495"/>
      <w:bookmarkEnd w:id="295"/>
      <w:bookmarkStart w:id="296" w:name="_Toc116994381"/>
      <w:bookmarkEnd w:id="296"/>
      <w:bookmarkStart w:id="297" w:name="_Toc116994500"/>
      <w:bookmarkEnd w:id="297"/>
      <w:bookmarkStart w:id="298" w:name="_Toc116994261"/>
      <w:bookmarkEnd w:id="298"/>
      <w:bookmarkStart w:id="299" w:name="_Toc116994505"/>
      <w:bookmarkEnd w:id="299"/>
      <w:bookmarkStart w:id="300" w:name="_Toc116994491"/>
      <w:bookmarkEnd w:id="300"/>
      <w:bookmarkStart w:id="301" w:name="_Toc116994352"/>
      <w:bookmarkEnd w:id="301"/>
      <w:bookmarkStart w:id="302" w:name="_Toc116994321"/>
      <w:bookmarkEnd w:id="302"/>
      <w:bookmarkStart w:id="303" w:name="_Toc116994344"/>
      <w:bookmarkEnd w:id="303"/>
      <w:bookmarkStart w:id="304" w:name="_Toc116994498"/>
      <w:bookmarkEnd w:id="304"/>
      <w:bookmarkStart w:id="305" w:name="_Toc116994421"/>
      <w:bookmarkEnd w:id="305"/>
      <w:bookmarkStart w:id="306" w:name="_Toc116994463"/>
      <w:bookmarkEnd w:id="306"/>
      <w:bookmarkStart w:id="307" w:name="_Toc519239690"/>
      <w:bookmarkEnd w:id="307"/>
      <w:bookmarkStart w:id="308" w:name="_Toc116994399"/>
      <w:bookmarkEnd w:id="308"/>
      <w:bookmarkStart w:id="309" w:name="_Toc116994425"/>
      <w:bookmarkEnd w:id="309"/>
      <w:bookmarkStart w:id="310" w:name="_Toc116994259"/>
      <w:bookmarkEnd w:id="310"/>
      <w:bookmarkStart w:id="311" w:name="_Toc116994490"/>
      <w:bookmarkEnd w:id="311"/>
      <w:bookmarkStart w:id="312" w:name="_Toc116994397"/>
      <w:bookmarkEnd w:id="312"/>
      <w:bookmarkStart w:id="313" w:name="_Toc116994506"/>
      <w:bookmarkEnd w:id="313"/>
      <w:bookmarkStart w:id="314" w:name="_Toc116994388"/>
      <w:bookmarkEnd w:id="314"/>
      <w:bookmarkStart w:id="315" w:name="_Toc116994481"/>
      <w:bookmarkEnd w:id="315"/>
      <w:bookmarkStart w:id="316" w:name="_Toc116994327"/>
      <w:bookmarkEnd w:id="316"/>
      <w:bookmarkStart w:id="317" w:name="_Toc116994392"/>
      <w:bookmarkEnd w:id="317"/>
      <w:bookmarkStart w:id="318" w:name="_Toc27220"/>
      <w:bookmarkStart w:id="319" w:name="_Toc119829548"/>
      <w:bookmarkStart w:id="320" w:name="_Toc22269"/>
      <w:bookmarkStart w:id="321" w:name="_Toc15289"/>
      <w:bookmarkStart w:id="322" w:name="_Toc18493"/>
      <w:bookmarkStart w:id="323" w:name="_Toc254983216"/>
      <w:bookmarkStart w:id="324" w:name="_Toc8498"/>
      <w:r>
        <w:rPr>
          <w:rFonts w:hint="eastAsia"/>
          <w:highlight w:val="none"/>
        </w:rPr>
        <w:t>非功能性要求</w:t>
      </w:r>
      <w:bookmarkEnd w:id="318"/>
      <w:bookmarkEnd w:id="319"/>
      <w:bookmarkEnd w:id="320"/>
      <w:bookmarkEnd w:id="321"/>
      <w:bookmarkEnd w:id="322"/>
      <w:bookmarkEnd w:id="323"/>
      <w:bookmarkEnd w:id="324"/>
    </w:p>
    <w:p>
      <w:pPr>
        <w:pStyle w:val="Heading3"/>
        <w:keepNext/>
        <w:keepLines/>
        <w:widowControl w:val="0"/>
        <w:numPr>
          <w:ilvl w:val="2"/>
          <w:numId w:val="4"/>
        </w:numPr>
        <w:spacing w:line="560" w:lineRule="atLeast"/>
        <w:ind w:left="720" w:hanging="720"/>
        <w:jc w:val="both"/>
        <w:rPr>
          <w:rFonts w:hint="eastAsia"/>
          <w:highlight w:val="none"/>
        </w:rPr>
      </w:pPr>
      <w:bookmarkStart w:id="325" w:name="_Toc1794"/>
      <w:bookmarkStart w:id="326" w:name="_Toc15874"/>
      <w:bookmarkStart w:id="327" w:name="_Toc27720"/>
      <w:bookmarkStart w:id="328" w:name="_Toc8939"/>
      <w:r>
        <w:rPr>
          <w:rFonts w:hint="eastAsia"/>
          <w:highlight w:val="none"/>
        </w:rPr>
        <w:t>时效性</w:t>
      </w:r>
      <w:bookmarkEnd w:id="325"/>
      <w:bookmarkEnd w:id="326"/>
      <w:bookmarkEnd w:id="327"/>
      <w:bookmarkEnd w:id="328"/>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bookmarkStart w:id="329" w:name="_Toc528863368"/>
      <w:bookmarkStart w:id="330" w:name="_Toc24220"/>
      <w:bookmarkStart w:id="331" w:name="_Toc119829550"/>
      <w:r>
        <w:rPr>
          <w:rFonts w:ascii="仿宋_GB2312" w:eastAsia="宋体" w:hAnsi="仿宋_GB2312" w:cs="仿宋_GB2312" w:hint="eastAsia"/>
          <w:color w:val="000000"/>
          <w:szCs w:val="32"/>
          <w:highlight w:val="none"/>
          <w:lang w:val="en-US" w:eastAsia="zh-CN"/>
        </w:rPr>
        <w:t>本项目的运行需要高可靠性、海量数据交互能力的网络交互系统和高性能、安全的数据计算机系统来支撑实现，系统的性能需求包括：保证系统可以满足通常业务的数据流量和响应时间要求，系统能够承载峰值时的最大负荷。具体如下：</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仿宋_GB2312" w:eastAsia="宋体" w:hAnsi="仿宋_GB2312" w:cs="仿宋_GB2312" w:hint="eastAsia"/>
          <w:color w:val="000000"/>
          <w:szCs w:val="32"/>
          <w:highlight w:val="none"/>
        </w:rPr>
      </w:pPr>
      <w:r>
        <w:rPr>
          <w:rFonts w:ascii="仿宋_GB2312" w:eastAsia="宋体" w:hAnsi="仿宋_GB2312" w:cs="仿宋_GB2312" w:hint="eastAsia"/>
          <w:color w:val="000000"/>
          <w:szCs w:val="32"/>
          <w:highlight w:val="none"/>
          <w:lang w:val="en-US" w:eastAsia="zh-CN"/>
        </w:rPr>
        <w:t>数据传输与处理方面，数据收集能力需达到每小时大于1TB，国省共享每小时大于300GB，可支撑每小时大于50万个文件的数据处理，且数据传输过程中内容不发生改变，数据源端与目的端一致性达到100%。数据解码入库及时效性需满足多类需求，一个时次的结构化、非结构化数据解码入库时效＜30s，1GB单个GRIB、NC等半结构化格式文件入索引库时效＜600s；短临业务相关的雷达资料处理入时序库时效＜10s，其可视化渲染时效＜300ms；全国短临业务运行指标采集时效≤5秒。各类资料处理效率需达到指定标准，格点资料、卫星资料及雷达资料处理速度均为100个/分钟，闪电资料处理速度为1万条/分钟。</w:t>
      </w:r>
    </w:p>
    <w:p>
      <w:pPr>
        <w:keepNext w:val="0"/>
        <w:keepLines w:val="0"/>
        <w:pageBreakBefore w:val="0"/>
        <w:widowControl w:val="0"/>
        <w:kinsoku/>
        <w:wordWrap/>
        <w:overflowPunct/>
        <w:topLinePunct w:val="0"/>
        <w:autoSpaceDE/>
        <w:autoSpaceDN/>
        <w:bidi w:val="0"/>
        <w:spacing w:line="560" w:lineRule="exact"/>
        <w:ind w:firstLine="420" w:firstLineChars="200"/>
        <w:textAlignment w:val="auto"/>
        <w:rPr>
          <w:rFonts w:ascii="Times New Roman" w:eastAsia="宋体" w:hAnsi="Times New Roman" w:cs="Times New Roman" w:hint="eastAsia"/>
          <w:strike/>
          <w:dstrike w:val="0"/>
          <w:highlight w:val="none"/>
        </w:rPr>
      </w:pPr>
      <w:r>
        <w:rPr>
          <w:rFonts w:ascii="仿宋_GB2312" w:eastAsia="宋体" w:hAnsi="仿宋_GB2312" w:cs="仿宋_GB2312" w:hint="eastAsia"/>
          <w:color w:val="000000"/>
          <w:szCs w:val="32"/>
          <w:highlight w:val="none"/>
          <w:lang w:val="en-US" w:eastAsia="zh-CN"/>
        </w:rPr>
        <w:t>响应时效与系统可用性方面，高并发处理时CPU和内存利用率不超过90%，系统恢复点目标（RPO）为1小时，恢复时间目标（RTO）为2小时，确保系统稳定高效运行。</w:t>
      </w:r>
    </w:p>
    <w:p>
      <w:pPr>
        <w:pStyle w:val="Heading3"/>
        <w:keepNext/>
        <w:keepLines/>
        <w:widowControl w:val="0"/>
        <w:numPr>
          <w:ilvl w:val="2"/>
          <w:numId w:val="4"/>
        </w:numPr>
        <w:spacing w:line="560" w:lineRule="atLeast"/>
        <w:ind w:left="720" w:hanging="720"/>
        <w:jc w:val="both"/>
        <w:rPr>
          <w:rFonts w:hint="eastAsia"/>
          <w:highlight w:val="none"/>
        </w:rPr>
      </w:pPr>
      <w:bookmarkStart w:id="332" w:name="_Toc10852"/>
      <w:bookmarkStart w:id="333" w:name="_Toc696"/>
      <w:bookmarkStart w:id="334" w:name="_Toc7235"/>
      <w:bookmarkStart w:id="335" w:name="_Toc9941"/>
      <w:r>
        <w:rPr>
          <w:rFonts w:hint="eastAsia"/>
          <w:highlight w:val="none"/>
        </w:rPr>
        <w:t>系统稳定性</w:t>
      </w:r>
      <w:bookmarkEnd w:id="329"/>
      <w:bookmarkEnd w:id="330"/>
      <w:bookmarkEnd w:id="331"/>
      <w:bookmarkEnd w:id="332"/>
      <w:bookmarkEnd w:id="333"/>
      <w:bookmarkEnd w:id="334"/>
      <w:bookmarkEnd w:id="335"/>
    </w:p>
    <w:p>
      <w:pPr>
        <w:snapToGrid w:val="0"/>
        <w:ind w:firstLine="420"/>
        <w:rPr>
          <w:rFonts w:ascii="宋体" w:hAnsi="宋体"/>
          <w:szCs w:val="21"/>
          <w:highlight w:val="none"/>
        </w:rPr>
      </w:pPr>
      <w:r>
        <w:rPr>
          <w:rFonts w:ascii="宋体" w:hAnsi="宋体" w:hint="eastAsia"/>
          <w:color w:val="000000"/>
          <w:szCs w:val="21"/>
          <w:highlight w:val="none"/>
        </w:rPr>
        <w:t>本项目设计</w:t>
      </w:r>
      <w:r>
        <w:rPr>
          <w:rFonts w:ascii="宋体" w:hAnsi="宋体"/>
          <w:szCs w:val="21"/>
          <w:highlight w:val="none"/>
        </w:rPr>
        <w:t>实现上要考虑系统长期运行的稳定性和可靠性。软件在运行期间，针对任何一个重要操作，都必须具有判断错误的能力，必要时可以进行</w:t>
      </w:r>
      <w:r>
        <w:rPr>
          <w:rFonts w:ascii="宋体" w:hAnsi="宋体" w:hint="eastAsia"/>
          <w:szCs w:val="21"/>
          <w:highlight w:val="none"/>
        </w:rPr>
        <w:t>完整的回退或</w:t>
      </w:r>
      <w:r>
        <w:rPr>
          <w:rFonts w:ascii="宋体" w:hAnsi="宋体"/>
          <w:szCs w:val="21"/>
          <w:highlight w:val="none"/>
        </w:rPr>
        <w:t>恢复性操作</w:t>
      </w:r>
      <w:r>
        <w:rPr>
          <w:rFonts w:ascii="宋体" w:hAnsi="宋体" w:hint="eastAsia"/>
          <w:szCs w:val="21"/>
          <w:highlight w:val="none"/>
        </w:rPr>
        <w:t>来避免宕机</w:t>
      </w:r>
      <w:r>
        <w:rPr>
          <w:rFonts w:ascii="宋体" w:hAnsi="宋体"/>
          <w:szCs w:val="21"/>
          <w:highlight w:val="none"/>
        </w:rPr>
        <w:t>，否则要发出报警消息，以便于人工干预。</w:t>
      </w:r>
    </w:p>
    <w:p>
      <w:pPr>
        <w:snapToGrid w:val="0"/>
        <w:ind w:firstLine="420"/>
        <w:rPr>
          <w:rFonts w:ascii="宋体" w:hAnsi="宋体" w:hint="eastAsia"/>
          <w:szCs w:val="21"/>
          <w:highlight w:val="none"/>
        </w:rPr>
      </w:pPr>
      <w:r>
        <w:rPr>
          <w:rFonts w:ascii="宋体" w:hAnsi="宋体" w:hint="eastAsia"/>
          <w:szCs w:val="21"/>
          <w:highlight w:val="none"/>
        </w:rPr>
        <w:t>本系统需要提供7*24小时不间断服务，因此，</w:t>
      </w:r>
      <w:r>
        <w:rPr>
          <w:rFonts w:ascii="宋体" w:hAnsi="宋体"/>
          <w:szCs w:val="21"/>
          <w:highlight w:val="none"/>
        </w:rPr>
        <w:t>无论是计算机</w:t>
      </w:r>
      <w:r>
        <w:rPr>
          <w:rFonts w:ascii="宋体" w:hAnsi="宋体" w:hint="eastAsia"/>
          <w:szCs w:val="21"/>
          <w:highlight w:val="none"/>
        </w:rPr>
        <w:t>软件和</w:t>
      </w:r>
      <w:r>
        <w:rPr>
          <w:rFonts w:ascii="宋体" w:hAnsi="宋体"/>
          <w:szCs w:val="21"/>
          <w:highlight w:val="none"/>
        </w:rPr>
        <w:t>硬件系统都必须具有较高的可靠性</w:t>
      </w:r>
      <w:r>
        <w:rPr>
          <w:rFonts w:ascii="宋体" w:hAnsi="宋体" w:hint="eastAsia"/>
          <w:szCs w:val="21"/>
          <w:highlight w:val="none"/>
        </w:rPr>
        <w:t>，及发生</w:t>
      </w:r>
      <w:r>
        <w:rPr>
          <w:rFonts w:ascii="宋体" w:hAnsi="宋体"/>
          <w:szCs w:val="21"/>
          <w:highlight w:val="none"/>
        </w:rPr>
        <w:t>故障后快速恢复的能力。具体要求如下：</w:t>
      </w:r>
    </w:p>
    <w:p>
      <w:pPr>
        <w:snapToGrid w:val="0"/>
        <w:ind w:firstLine="420"/>
        <w:rPr>
          <w:rFonts w:ascii="宋体" w:hAnsi="宋体" w:hint="eastAsia"/>
          <w:szCs w:val="21"/>
          <w:highlight w:val="none"/>
        </w:rPr>
      </w:pPr>
      <w:r>
        <w:rPr>
          <w:rFonts w:ascii="宋体" w:hAnsi="宋体" w:hint="eastAsia"/>
          <w:szCs w:val="21"/>
          <w:highlight w:val="none"/>
        </w:rPr>
        <w:t>（1）</w:t>
      </w:r>
      <w:r>
        <w:rPr>
          <w:rFonts w:ascii="宋体" w:hAnsi="宋体"/>
          <w:szCs w:val="21"/>
          <w:highlight w:val="none"/>
        </w:rPr>
        <w:t>在支撑平台可靠性的保证下，关键高可用业务系统在3分钟内</w:t>
      </w:r>
      <w:r>
        <w:rPr>
          <w:rFonts w:ascii="宋体" w:hAnsi="宋体" w:hint="eastAsia"/>
          <w:szCs w:val="21"/>
          <w:highlight w:val="none"/>
        </w:rPr>
        <w:t>快速</w:t>
      </w:r>
      <w:r>
        <w:rPr>
          <w:rFonts w:ascii="宋体" w:hAnsi="宋体"/>
          <w:szCs w:val="21"/>
          <w:highlight w:val="none"/>
        </w:rPr>
        <w:t>恢复运行状态。</w:t>
      </w:r>
    </w:p>
    <w:p>
      <w:pPr>
        <w:snapToGrid w:val="0"/>
        <w:ind w:firstLine="420"/>
        <w:rPr>
          <w:rFonts w:ascii="宋体" w:hAnsi="宋体" w:hint="eastAsia"/>
          <w:szCs w:val="21"/>
          <w:highlight w:val="none"/>
        </w:rPr>
      </w:pPr>
      <w:r>
        <w:rPr>
          <w:rFonts w:ascii="宋体" w:hAnsi="宋体" w:hint="eastAsia"/>
          <w:szCs w:val="21"/>
          <w:highlight w:val="none"/>
        </w:rPr>
        <w:t>（</w:t>
      </w:r>
      <w:r>
        <w:rPr>
          <w:rFonts w:ascii="宋体" w:hAnsi="宋体"/>
          <w:szCs w:val="21"/>
          <w:highlight w:val="none"/>
        </w:rPr>
        <w:t>2</w:t>
      </w:r>
      <w:r>
        <w:rPr>
          <w:rFonts w:ascii="宋体" w:hAnsi="宋体" w:hint="eastAsia"/>
          <w:szCs w:val="21"/>
          <w:highlight w:val="none"/>
        </w:rPr>
        <w:t>）年故障总时间小于12小时，故障恢复时间小于1小时。</w:t>
      </w:r>
    </w:p>
    <w:p>
      <w:pPr>
        <w:snapToGrid w:val="0"/>
        <w:ind w:firstLine="420"/>
        <w:rPr>
          <w:rFonts w:ascii="宋体" w:hAnsi="宋体" w:hint="eastAsia"/>
          <w:szCs w:val="21"/>
          <w:highlight w:val="none"/>
        </w:rPr>
      </w:pPr>
      <w:r>
        <w:rPr>
          <w:rFonts w:ascii="宋体" w:hAnsi="宋体" w:hint="eastAsia"/>
          <w:szCs w:val="21"/>
          <w:highlight w:val="none"/>
        </w:rPr>
        <w:t>（</w:t>
      </w:r>
      <w:r>
        <w:rPr>
          <w:rFonts w:ascii="宋体" w:hAnsi="宋体"/>
          <w:szCs w:val="21"/>
          <w:highlight w:val="none"/>
        </w:rPr>
        <w:t>3</w:t>
      </w:r>
      <w:r>
        <w:rPr>
          <w:rFonts w:ascii="宋体" w:hAnsi="宋体" w:hint="eastAsia"/>
          <w:szCs w:val="21"/>
          <w:highlight w:val="none"/>
        </w:rPr>
        <w:t>）成熟性标准：</w:t>
      </w:r>
    </w:p>
    <w:p>
      <w:pPr>
        <w:numPr>
          <w:ilvl w:val="1"/>
          <w:numId w:val="0"/>
        </w:numPr>
        <w:tabs>
          <w:tab w:val="left" w:pos="840"/>
        </w:tabs>
        <w:snapToGrid w:val="0"/>
        <w:ind w:left="1134" w:hanging="340"/>
        <w:rPr>
          <w:rFonts w:ascii="宋体" w:hAnsi="宋体" w:hint="eastAsia"/>
          <w:szCs w:val="21"/>
          <w:highlight w:val="none"/>
        </w:rPr>
      </w:pPr>
      <w:r>
        <w:rPr>
          <w:rFonts w:ascii="宋体" w:hAnsi="宋体" w:hint="eastAsia"/>
          <w:szCs w:val="21"/>
          <w:highlight w:val="none"/>
        </w:rPr>
        <w:t>7*24小时业务运行期间，平均故障间隔时间（MTBF：</w:t>
      </w:r>
      <w:r>
        <w:rPr>
          <w:rFonts w:ascii="宋体" w:hAnsi="宋体" w:cs="Arial"/>
          <w:szCs w:val="21"/>
          <w:highlight w:val="none"/>
        </w:rPr>
        <w:t>Me</w:t>
      </w:r>
      <w:r>
        <w:rPr>
          <w:rFonts w:ascii="宋体" w:hAnsi="宋体" w:cs="Arial" w:hint="eastAsia"/>
          <w:szCs w:val="21"/>
          <w:highlight w:val="none"/>
        </w:rPr>
        <w:t>a</w:t>
      </w:r>
      <w:r>
        <w:rPr>
          <w:rFonts w:ascii="宋体" w:hAnsi="宋体" w:cs="Arial"/>
          <w:szCs w:val="21"/>
          <w:highlight w:val="none"/>
        </w:rPr>
        <w:t xml:space="preserve">n Time </w:t>
      </w:r>
      <w:r>
        <w:rPr>
          <w:rFonts w:ascii="宋体" w:hAnsi="宋体" w:cs="Arial" w:hint="eastAsia"/>
          <w:szCs w:val="21"/>
          <w:highlight w:val="none"/>
        </w:rPr>
        <w:t>B</w:t>
      </w:r>
      <w:r>
        <w:rPr>
          <w:rFonts w:ascii="宋体" w:hAnsi="宋体" w:cs="Arial"/>
          <w:szCs w:val="21"/>
          <w:highlight w:val="none"/>
        </w:rPr>
        <w:t>etween F</w:t>
      </w:r>
      <w:r>
        <w:rPr>
          <w:rFonts w:ascii="宋体" w:hAnsi="宋体" w:cs="Arial" w:hint="eastAsia"/>
          <w:szCs w:val="21"/>
          <w:highlight w:val="none"/>
        </w:rPr>
        <w:t>a</w:t>
      </w:r>
      <w:r>
        <w:rPr>
          <w:rFonts w:ascii="宋体" w:hAnsi="宋体" w:cs="Arial"/>
          <w:szCs w:val="21"/>
          <w:highlight w:val="none"/>
        </w:rPr>
        <w:t>ilure</w:t>
      </w:r>
      <w:r>
        <w:rPr>
          <w:rFonts w:ascii="宋体" w:hAnsi="宋体" w:hint="eastAsia"/>
          <w:szCs w:val="21"/>
          <w:highlight w:val="none"/>
        </w:rPr>
        <w:t>）不小于1个月。</w:t>
      </w:r>
    </w:p>
    <w:p>
      <w:pPr>
        <w:snapToGrid w:val="0"/>
        <w:ind w:firstLine="420"/>
        <w:rPr>
          <w:rFonts w:ascii="宋体" w:hAnsi="宋体"/>
          <w:szCs w:val="21"/>
          <w:highlight w:val="none"/>
        </w:rPr>
      </w:pPr>
      <w:r>
        <w:rPr>
          <w:rFonts w:ascii="宋体" w:hAnsi="宋体" w:hint="eastAsia"/>
          <w:szCs w:val="21"/>
          <w:highlight w:val="none"/>
        </w:rPr>
        <w:t>（</w:t>
      </w:r>
      <w:r>
        <w:rPr>
          <w:rFonts w:ascii="宋体" w:hAnsi="宋体"/>
          <w:szCs w:val="21"/>
          <w:highlight w:val="none"/>
        </w:rPr>
        <w:t>4</w:t>
      </w:r>
      <w:r>
        <w:rPr>
          <w:rFonts w:ascii="宋体" w:hAnsi="宋体" w:hint="eastAsia"/>
          <w:szCs w:val="21"/>
          <w:highlight w:val="none"/>
        </w:rPr>
        <w:t>）容错性标准：</w:t>
      </w:r>
    </w:p>
    <w:p>
      <w:pPr>
        <w:numPr>
          <w:ilvl w:val="1"/>
          <w:numId w:val="0"/>
        </w:numPr>
        <w:tabs>
          <w:tab w:val="left" w:pos="840"/>
        </w:tabs>
        <w:snapToGrid w:val="0"/>
        <w:ind w:left="1134" w:hanging="340"/>
        <w:rPr>
          <w:rFonts w:ascii="宋体" w:hAnsi="宋体"/>
          <w:szCs w:val="21"/>
          <w:highlight w:val="none"/>
        </w:rPr>
      </w:pPr>
      <w:r>
        <w:rPr>
          <w:rFonts w:ascii="宋体" w:hAnsi="宋体" w:hint="eastAsia"/>
          <w:szCs w:val="21"/>
          <w:highlight w:val="none"/>
        </w:rPr>
        <w:t>关键进程偶发故障恢复率100％；</w:t>
      </w:r>
    </w:p>
    <w:p>
      <w:pPr>
        <w:numPr>
          <w:ilvl w:val="1"/>
          <w:numId w:val="0"/>
        </w:numPr>
        <w:tabs>
          <w:tab w:val="left" w:pos="840"/>
        </w:tabs>
        <w:snapToGrid w:val="0"/>
        <w:ind w:left="1134" w:hanging="340"/>
        <w:rPr>
          <w:rFonts w:ascii="宋体" w:hAnsi="宋体"/>
          <w:szCs w:val="21"/>
          <w:highlight w:val="none"/>
        </w:rPr>
      </w:pPr>
      <w:r>
        <w:rPr>
          <w:rFonts w:ascii="宋体" w:hAnsi="宋体" w:hint="eastAsia"/>
          <w:szCs w:val="21"/>
          <w:highlight w:val="none"/>
        </w:rPr>
        <w:t>主机单点故障恢复率100％；</w:t>
      </w:r>
    </w:p>
    <w:p>
      <w:pPr>
        <w:numPr>
          <w:ilvl w:val="1"/>
          <w:numId w:val="0"/>
        </w:numPr>
        <w:tabs>
          <w:tab w:val="left" w:pos="840"/>
        </w:tabs>
        <w:snapToGrid w:val="0"/>
        <w:ind w:left="1134" w:hanging="340"/>
        <w:rPr>
          <w:rFonts w:ascii="宋体" w:hAnsi="宋体" w:hint="eastAsia"/>
          <w:szCs w:val="21"/>
          <w:highlight w:val="none"/>
        </w:rPr>
      </w:pPr>
      <w:r>
        <w:rPr>
          <w:rFonts w:ascii="宋体" w:hAnsi="宋体" w:hint="eastAsia"/>
          <w:szCs w:val="21"/>
          <w:highlight w:val="none"/>
        </w:rPr>
        <w:t>任一节点故障后，其它节点可接替该节点的业务进行服务。</w:t>
      </w:r>
    </w:p>
    <w:p>
      <w:pPr>
        <w:pStyle w:val="Heading3"/>
        <w:keepNext/>
        <w:keepLines/>
        <w:widowControl w:val="0"/>
        <w:numPr>
          <w:ilvl w:val="2"/>
          <w:numId w:val="4"/>
        </w:numPr>
        <w:spacing w:line="560" w:lineRule="atLeast"/>
        <w:ind w:left="720" w:hanging="720"/>
        <w:jc w:val="both"/>
        <w:rPr>
          <w:rFonts w:hint="eastAsia"/>
          <w:highlight w:val="none"/>
        </w:rPr>
      </w:pPr>
      <w:bookmarkStart w:id="336" w:name="_Toc28011"/>
      <w:bookmarkStart w:id="337" w:name="_Toc119829551"/>
      <w:bookmarkStart w:id="338" w:name="_Toc30"/>
      <w:bookmarkStart w:id="339" w:name="_Toc171811043"/>
      <w:bookmarkStart w:id="340" w:name="_Toc29133"/>
      <w:bookmarkStart w:id="341" w:name="_Toc4185"/>
      <w:bookmarkStart w:id="342" w:name="_Toc17788"/>
      <w:r>
        <w:rPr>
          <w:rFonts w:hint="eastAsia"/>
          <w:highlight w:val="none"/>
        </w:rPr>
        <w:t>易操作性</w:t>
      </w:r>
      <w:bookmarkEnd w:id="336"/>
      <w:bookmarkEnd w:id="337"/>
      <w:bookmarkEnd w:id="338"/>
      <w:bookmarkEnd w:id="339"/>
      <w:bookmarkEnd w:id="340"/>
      <w:bookmarkEnd w:id="341"/>
      <w:bookmarkEnd w:id="342"/>
    </w:p>
    <w:p>
      <w:pPr>
        <w:ind w:firstLine="420" w:firstLineChars="200"/>
        <w:rPr>
          <w:rFonts w:ascii="宋体" w:hAnsi="宋体" w:hint="eastAsia"/>
          <w:color w:val="000000"/>
          <w:highlight w:val="none"/>
        </w:rPr>
      </w:pPr>
      <w:r>
        <w:rPr>
          <w:rFonts w:ascii="宋体" w:hAnsi="宋体" w:hint="eastAsia"/>
          <w:color w:val="000000"/>
          <w:highlight w:val="none"/>
        </w:rPr>
        <w:t>为便于操作人员的人工干预，系统中有关运行参数的修改，应提供直观、方便的修改界面；系统出现中断时，重新启动方便快捷，自动检查和运行未完成作业。</w:t>
      </w:r>
    </w:p>
    <w:p>
      <w:pPr>
        <w:pStyle w:val="Heading3"/>
        <w:keepNext/>
        <w:keepLines/>
        <w:widowControl w:val="0"/>
        <w:numPr>
          <w:ilvl w:val="2"/>
          <w:numId w:val="4"/>
        </w:numPr>
        <w:spacing w:line="560" w:lineRule="atLeast"/>
        <w:ind w:left="720" w:hanging="720"/>
        <w:jc w:val="both"/>
        <w:rPr>
          <w:rFonts w:hint="eastAsia"/>
          <w:highlight w:val="none"/>
        </w:rPr>
      </w:pPr>
      <w:bookmarkStart w:id="343" w:name="_Toc3226"/>
      <w:bookmarkStart w:id="344" w:name="_Toc20032"/>
      <w:bookmarkStart w:id="345" w:name="_Toc119829553"/>
      <w:bookmarkStart w:id="346" w:name="_Toc18009"/>
      <w:bookmarkStart w:id="347" w:name="_Toc6790"/>
      <w:bookmarkStart w:id="348" w:name="_Toc1234353039"/>
      <w:bookmarkStart w:id="349" w:name="_Toc25218"/>
      <w:r>
        <w:rPr>
          <w:rFonts w:hint="eastAsia"/>
          <w:highlight w:val="none"/>
        </w:rPr>
        <w:t>可维护性</w:t>
      </w:r>
      <w:bookmarkEnd w:id="343"/>
      <w:bookmarkEnd w:id="344"/>
      <w:bookmarkEnd w:id="345"/>
      <w:bookmarkEnd w:id="346"/>
      <w:bookmarkEnd w:id="347"/>
      <w:bookmarkEnd w:id="348"/>
      <w:bookmarkEnd w:id="349"/>
    </w:p>
    <w:p>
      <w:pPr>
        <w:ind w:firstLine="420"/>
        <w:rPr>
          <w:rFonts w:ascii="宋体" w:hAnsi="宋体"/>
          <w:highlight w:val="none"/>
        </w:rPr>
      </w:pPr>
      <w:r>
        <w:rPr>
          <w:rFonts w:ascii="宋体" w:hAnsi="宋体"/>
          <w:highlight w:val="none"/>
        </w:rPr>
        <w:t>应具有较好的可扩展性，为进一步的扩充和改造提供方便。除了要求软件本身具有良好的维护性外，还应当拥有离线的维护环境，以便在不影响正常业务的情况下进行软件的维护工作。对软件设计的要求应包括软件的易分析性、</w:t>
      </w:r>
      <w:r>
        <w:rPr>
          <w:rFonts w:ascii="宋体" w:hAnsi="宋体" w:hint="eastAsia"/>
          <w:highlight w:val="none"/>
        </w:rPr>
        <w:t>易改变性、</w:t>
      </w:r>
      <w:r>
        <w:rPr>
          <w:rFonts w:ascii="宋体" w:hAnsi="宋体"/>
          <w:highlight w:val="none"/>
        </w:rPr>
        <w:t>稳定性和易测试性</w:t>
      </w:r>
      <w:r>
        <w:rPr>
          <w:rFonts w:ascii="宋体" w:hAnsi="宋体" w:hint="eastAsia"/>
          <w:highlight w:val="none"/>
        </w:rPr>
        <w:t>。</w:t>
      </w:r>
    </w:p>
    <w:p>
      <w:pPr>
        <w:numPr>
          <w:ilvl w:val="1"/>
          <w:numId w:val="5"/>
        </w:numPr>
        <w:rPr>
          <w:rFonts w:ascii="宋体" w:hAnsi="宋体"/>
          <w:highlight w:val="none"/>
        </w:rPr>
      </w:pPr>
      <w:r>
        <w:rPr>
          <w:rFonts w:ascii="宋体" w:hAnsi="宋体" w:hint="eastAsia"/>
          <w:highlight w:val="none"/>
        </w:rPr>
        <w:t>易分析性标准：</w:t>
      </w:r>
    </w:p>
    <w:p>
      <w:pPr>
        <w:pStyle w:val="ListBullet2"/>
        <w:widowControl w:val="0"/>
        <w:numPr>
          <w:ilvl w:val="0"/>
          <w:numId w:val="6"/>
        </w:numPr>
        <w:tabs>
          <w:tab w:val="left" w:pos="780"/>
        </w:tabs>
        <w:ind w:left="780" w:hanging="360"/>
        <w:jc w:val="both"/>
        <w:rPr>
          <w:rFonts w:ascii="宋体" w:hAnsi="宋体"/>
          <w:highlight w:val="none"/>
        </w:rPr>
      </w:pPr>
      <w:r>
        <w:rPr>
          <w:rFonts w:ascii="宋体" w:hAnsi="宋体" w:hint="eastAsia"/>
          <w:highlight w:val="none"/>
        </w:rPr>
        <w:t>所有应用软件能够捕获到的计算机系统故障或应用软件错误都应在尽可能低的级别上探查和捕获并以适当的形式记录或向操作员发送错误状态与报告；</w:t>
      </w:r>
    </w:p>
    <w:p>
      <w:pPr>
        <w:pStyle w:val="ListBullet2"/>
        <w:widowControl w:val="0"/>
        <w:numPr>
          <w:ilvl w:val="0"/>
          <w:numId w:val="6"/>
        </w:numPr>
        <w:tabs>
          <w:tab w:val="left" w:pos="780"/>
        </w:tabs>
        <w:ind w:left="780" w:hanging="360"/>
        <w:jc w:val="both"/>
        <w:rPr>
          <w:rFonts w:ascii="宋体" w:hAnsi="宋体"/>
          <w:highlight w:val="none"/>
        </w:rPr>
      </w:pPr>
      <w:r>
        <w:rPr>
          <w:rFonts w:ascii="宋体" w:hAnsi="宋体" w:hint="eastAsia"/>
          <w:highlight w:val="none"/>
        </w:rPr>
        <w:t>错误状态和报告（或消息）应是统一编码、结构化和自描述的。即从错误状态码和错误消息正文串即可判断软件捕获到的错误的位置、类型和可能的原因；</w:t>
      </w:r>
    </w:p>
    <w:p>
      <w:pPr>
        <w:pStyle w:val="ListBullet2"/>
        <w:widowControl w:val="0"/>
        <w:numPr>
          <w:ilvl w:val="0"/>
          <w:numId w:val="6"/>
        </w:numPr>
        <w:tabs>
          <w:tab w:val="left" w:pos="780"/>
        </w:tabs>
        <w:ind w:left="780" w:hanging="360"/>
        <w:jc w:val="both"/>
        <w:rPr>
          <w:rFonts w:ascii="宋体" w:hAnsi="宋体"/>
          <w:highlight w:val="none"/>
        </w:rPr>
      </w:pPr>
      <w:r>
        <w:rPr>
          <w:rFonts w:ascii="宋体" w:hAnsi="宋体" w:hint="eastAsia"/>
          <w:highlight w:val="none"/>
        </w:rPr>
        <w:t>错误报告（或消息）对于可预知（即可与程序的控制流程同步捕获到）的错误应能定位到独立的处理步骤或函数，不可预知（即不可与程序的控制流程同步捕获到）的错误应能定位到模块或进程。</w:t>
      </w:r>
    </w:p>
    <w:p>
      <w:pPr>
        <w:numPr>
          <w:ilvl w:val="1"/>
          <w:numId w:val="5"/>
        </w:numPr>
        <w:rPr>
          <w:rFonts w:ascii="宋体" w:hAnsi="宋体"/>
          <w:highlight w:val="none"/>
        </w:rPr>
      </w:pPr>
      <w:r>
        <w:rPr>
          <w:rFonts w:ascii="宋体" w:hAnsi="宋体" w:hint="eastAsia"/>
          <w:highlight w:val="none"/>
        </w:rPr>
        <w:t>易改变性标准：</w:t>
      </w:r>
    </w:p>
    <w:p>
      <w:pPr>
        <w:pStyle w:val="ListBullet2"/>
        <w:widowControl w:val="0"/>
        <w:numPr>
          <w:ilvl w:val="0"/>
          <w:numId w:val="6"/>
        </w:numPr>
        <w:tabs>
          <w:tab w:val="left" w:pos="780"/>
        </w:tabs>
        <w:ind w:left="780" w:hanging="360"/>
        <w:jc w:val="both"/>
        <w:rPr>
          <w:rFonts w:ascii="宋体" w:hAnsi="宋体"/>
          <w:highlight w:val="none"/>
        </w:rPr>
      </w:pPr>
      <w:r>
        <w:rPr>
          <w:rFonts w:ascii="宋体" w:hAnsi="宋体" w:hint="eastAsia"/>
          <w:highlight w:val="none"/>
        </w:rPr>
        <w:t>处理软件的任务及其任务环境参数可从外部配置和修改，并可从数据库中自动生成；</w:t>
      </w:r>
    </w:p>
    <w:p>
      <w:pPr>
        <w:pStyle w:val="ListBullet2"/>
        <w:widowControl w:val="0"/>
        <w:numPr>
          <w:ilvl w:val="0"/>
          <w:numId w:val="6"/>
        </w:numPr>
        <w:tabs>
          <w:tab w:val="left" w:pos="780"/>
        </w:tabs>
        <w:ind w:left="780" w:hanging="360"/>
        <w:jc w:val="both"/>
        <w:rPr>
          <w:rFonts w:ascii="宋体" w:hAnsi="宋体"/>
          <w:highlight w:val="none"/>
        </w:rPr>
      </w:pPr>
      <w:r>
        <w:rPr>
          <w:rFonts w:ascii="宋体" w:hAnsi="宋体" w:hint="eastAsia"/>
          <w:highlight w:val="none"/>
        </w:rPr>
        <w:t>公用接口（包括错误状态码、常数等）结构应统一说明，所有对这些接口说明的引用都应当指向同一个说明实体。</w:t>
      </w:r>
    </w:p>
    <w:p>
      <w:pPr>
        <w:numPr>
          <w:ilvl w:val="1"/>
          <w:numId w:val="5"/>
        </w:numPr>
        <w:rPr>
          <w:rFonts w:ascii="宋体" w:hAnsi="宋体"/>
          <w:highlight w:val="none"/>
        </w:rPr>
      </w:pPr>
      <w:r>
        <w:rPr>
          <w:rFonts w:ascii="宋体" w:hAnsi="宋体" w:hint="eastAsia"/>
          <w:highlight w:val="none"/>
        </w:rPr>
        <w:t>稳定性标准：</w:t>
      </w:r>
    </w:p>
    <w:p>
      <w:pPr>
        <w:pStyle w:val="ListBullet2"/>
        <w:widowControl w:val="0"/>
        <w:numPr>
          <w:ilvl w:val="0"/>
          <w:numId w:val="6"/>
        </w:numPr>
        <w:tabs>
          <w:tab w:val="left" w:pos="780"/>
        </w:tabs>
        <w:ind w:left="780" w:hanging="360"/>
        <w:jc w:val="both"/>
        <w:rPr>
          <w:rFonts w:ascii="宋体" w:hAnsi="宋体"/>
          <w:highlight w:val="none"/>
        </w:rPr>
      </w:pPr>
      <w:r>
        <w:rPr>
          <w:rFonts w:ascii="宋体" w:hAnsi="宋体" w:hint="eastAsia"/>
          <w:highlight w:val="none"/>
        </w:rPr>
        <w:t>软件模块整体上应是结构化、层次化和功能单一的；</w:t>
      </w:r>
    </w:p>
    <w:p>
      <w:pPr>
        <w:pStyle w:val="ListBullet2"/>
        <w:widowControl w:val="0"/>
        <w:numPr>
          <w:ilvl w:val="0"/>
          <w:numId w:val="6"/>
        </w:numPr>
        <w:tabs>
          <w:tab w:val="left" w:pos="780"/>
        </w:tabs>
        <w:ind w:left="780" w:hanging="360"/>
        <w:jc w:val="both"/>
        <w:rPr>
          <w:rFonts w:ascii="宋体" w:hAnsi="宋体"/>
          <w:highlight w:val="none"/>
        </w:rPr>
      </w:pPr>
      <w:r>
        <w:rPr>
          <w:rFonts w:ascii="宋体" w:hAnsi="宋体" w:hint="eastAsia"/>
          <w:highlight w:val="none"/>
        </w:rPr>
        <w:t>软件模块的处理和接口应是封装的。即处理的改变仅影响其所在的模块，接口的改变仅影响使用该接口的模块。</w:t>
      </w:r>
    </w:p>
    <w:p>
      <w:pPr>
        <w:numPr>
          <w:ilvl w:val="1"/>
          <w:numId w:val="5"/>
        </w:numPr>
        <w:rPr>
          <w:rFonts w:ascii="宋体" w:hAnsi="宋体"/>
          <w:highlight w:val="none"/>
        </w:rPr>
      </w:pPr>
      <w:r>
        <w:rPr>
          <w:rFonts w:ascii="宋体" w:hAnsi="宋体" w:hint="eastAsia"/>
          <w:highlight w:val="none"/>
        </w:rPr>
        <w:t>易测试性标准：</w:t>
      </w:r>
    </w:p>
    <w:p>
      <w:pPr>
        <w:pStyle w:val="ListBullet2"/>
        <w:widowControl w:val="0"/>
        <w:numPr>
          <w:ilvl w:val="0"/>
          <w:numId w:val="6"/>
        </w:numPr>
        <w:tabs>
          <w:tab w:val="left" w:pos="780"/>
        </w:tabs>
        <w:ind w:left="780" w:hanging="360"/>
        <w:jc w:val="both"/>
        <w:rPr>
          <w:rFonts w:ascii="宋体" w:hAnsi="宋体"/>
          <w:highlight w:val="none"/>
        </w:rPr>
      </w:pPr>
      <w:r>
        <w:rPr>
          <w:rFonts w:ascii="宋体" w:hAnsi="宋体" w:hint="eastAsia"/>
          <w:highlight w:val="none"/>
        </w:rPr>
        <w:t>软件接口是标准化的；</w:t>
      </w:r>
    </w:p>
    <w:p>
      <w:pPr>
        <w:pStyle w:val="ListBullet2"/>
        <w:widowControl w:val="0"/>
        <w:numPr>
          <w:ilvl w:val="0"/>
          <w:numId w:val="6"/>
        </w:numPr>
        <w:tabs>
          <w:tab w:val="left" w:pos="780"/>
        </w:tabs>
        <w:ind w:left="780" w:hanging="360"/>
        <w:jc w:val="both"/>
        <w:rPr>
          <w:rFonts w:ascii="宋体" w:hAnsi="宋体"/>
          <w:highlight w:val="none"/>
        </w:rPr>
      </w:pPr>
      <w:r>
        <w:rPr>
          <w:rFonts w:ascii="宋体" w:hAnsi="宋体" w:hint="eastAsia"/>
          <w:highlight w:val="none"/>
        </w:rPr>
        <w:t>测试程序有测试模拟和工具软件支持，可自动或半自动执行；</w:t>
      </w:r>
    </w:p>
    <w:p>
      <w:pPr>
        <w:ind w:firstLine="420" w:firstLineChars="200"/>
        <w:rPr>
          <w:rFonts w:ascii="宋体" w:hAnsi="宋体" w:hint="eastAsia"/>
          <w:highlight w:val="none"/>
        </w:rPr>
      </w:pPr>
      <w:r>
        <w:rPr>
          <w:rFonts w:ascii="宋体" w:hAnsi="宋体" w:hint="eastAsia"/>
          <w:highlight w:val="none"/>
        </w:rPr>
        <w:t>测试程序是可固化和可重复的。</w:t>
      </w:r>
    </w:p>
    <w:p>
      <w:pPr>
        <w:pStyle w:val="Heading3"/>
        <w:keepNext/>
        <w:keepLines/>
        <w:widowControl w:val="0"/>
        <w:numPr>
          <w:ilvl w:val="2"/>
          <w:numId w:val="4"/>
        </w:numPr>
        <w:spacing w:line="560" w:lineRule="atLeast"/>
        <w:ind w:left="720" w:hanging="720"/>
        <w:jc w:val="both"/>
        <w:rPr>
          <w:rFonts w:hint="eastAsia"/>
          <w:highlight w:val="none"/>
        </w:rPr>
      </w:pPr>
      <w:bookmarkStart w:id="350" w:name="_Toc2669"/>
      <w:bookmarkStart w:id="351" w:name="_Toc119829554"/>
      <w:bookmarkStart w:id="352" w:name="_Toc17583"/>
      <w:bookmarkStart w:id="353" w:name="_Toc29203"/>
      <w:bookmarkStart w:id="354" w:name="_Toc13328"/>
      <w:bookmarkStart w:id="355" w:name="_Toc22234"/>
      <w:bookmarkStart w:id="356" w:name="_Toc1079496453"/>
      <w:r>
        <w:rPr>
          <w:rFonts w:hint="eastAsia"/>
          <w:highlight w:val="none"/>
        </w:rPr>
        <w:t>规范性</w:t>
      </w:r>
      <w:bookmarkEnd w:id="350"/>
      <w:bookmarkEnd w:id="351"/>
      <w:bookmarkEnd w:id="352"/>
      <w:bookmarkEnd w:id="353"/>
      <w:bookmarkEnd w:id="354"/>
      <w:bookmarkEnd w:id="355"/>
      <w:bookmarkEnd w:id="356"/>
    </w:p>
    <w:p>
      <w:pPr>
        <w:ind w:firstLine="420" w:firstLineChars="200"/>
        <w:rPr>
          <w:rFonts w:ascii="宋体" w:hAnsi="宋体"/>
          <w:highlight w:val="none"/>
        </w:rPr>
      </w:pPr>
      <w:r>
        <w:rPr>
          <w:rFonts w:ascii="宋体" w:hAnsi="宋体" w:hint="eastAsia"/>
          <w:color w:val="000000"/>
          <w:highlight w:val="none"/>
        </w:rPr>
        <w:t>本系统的设计须采用相关技术标准规范，严格遵循软件工程规范化的设计原则，不同的设计阶段进行严格的设计评审及完成相应的设计文档等，对整个设计过程进行规范化的管理和控制。</w:t>
      </w:r>
    </w:p>
    <w:p>
      <w:pPr>
        <w:pStyle w:val="Heading2"/>
        <w:keepNext/>
        <w:keepLines/>
        <w:widowControl w:val="0"/>
        <w:numPr>
          <w:ilvl w:val="1"/>
          <w:numId w:val="4"/>
        </w:numPr>
        <w:spacing w:line="560" w:lineRule="exact"/>
        <w:ind w:left="573" w:hanging="573"/>
        <w:jc w:val="both"/>
        <w:rPr>
          <w:highlight w:val="none"/>
        </w:rPr>
      </w:pPr>
      <w:bookmarkStart w:id="357" w:name="_Toc391375334"/>
      <w:bookmarkStart w:id="358" w:name="_Toc173723971"/>
      <w:bookmarkStart w:id="359" w:name="_Toc15800"/>
      <w:bookmarkStart w:id="360" w:name="_Toc173723790"/>
      <w:bookmarkStart w:id="361" w:name="_Toc974"/>
      <w:bookmarkStart w:id="362" w:name="_Toc10983"/>
      <w:bookmarkStart w:id="363" w:name="_Toc395794200"/>
      <w:bookmarkStart w:id="364" w:name="_Toc173723837"/>
      <w:bookmarkStart w:id="365" w:name="_Toc5605"/>
      <w:bookmarkStart w:id="366" w:name="_Toc1155035715"/>
      <w:bookmarkStart w:id="367" w:name="_Toc119829555"/>
      <w:bookmarkStart w:id="368" w:name="_Toc171218560"/>
      <w:bookmarkStart w:id="369" w:name="_Toc4806"/>
      <w:bookmarkStart w:id="370" w:name="_Toc173724504"/>
      <w:r>
        <w:rPr>
          <w:rFonts w:hint="eastAsia"/>
          <w:highlight w:val="none"/>
        </w:rPr>
        <w:t>故障处理要求</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pPr>
        <w:pStyle w:val="Heading3"/>
        <w:keepNext/>
        <w:keepLines/>
        <w:widowControl w:val="0"/>
        <w:numPr>
          <w:ilvl w:val="2"/>
          <w:numId w:val="4"/>
        </w:numPr>
        <w:spacing w:line="560" w:lineRule="atLeast"/>
        <w:ind w:left="720" w:hanging="720"/>
        <w:jc w:val="both"/>
        <w:rPr>
          <w:highlight w:val="none"/>
        </w:rPr>
      </w:pPr>
      <w:bookmarkStart w:id="371" w:name="_Toc119829556"/>
      <w:bookmarkStart w:id="372" w:name="_Toc17097"/>
      <w:bookmarkStart w:id="373" w:name="_Toc1580576772"/>
      <w:bookmarkStart w:id="374" w:name="_Toc30831"/>
      <w:bookmarkStart w:id="375" w:name="_Toc23135"/>
      <w:bookmarkStart w:id="376" w:name="_Toc17645"/>
      <w:bookmarkStart w:id="377" w:name="_Toc391375335"/>
      <w:bookmarkStart w:id="378" w:name="_Toc12354"/>
      <w:bookmarkStart w:id="379" w:name="_Toc395794201"/>
      <w:r>
        <w:rPr>
          <w:rFonts w:hint="eastAsia"/>
          <w:highlight w:val="none"/>
        </w:rPr>
        <w:t>软件系统出错处理</w:t>
      </w:r>
      <w:bookmarkEnd w:id="371"/>
      <w:bookmarkEnd w:id="372"/>
      <w:bookmarkEnd w:id="373"/>
      <w:bookmarkEnd w:id="374"/>
      <w:bookmarkEnd w:id="375"/>
      <w:bookmarkEnd w:id="376"/>
      <w:bookmarkEnd w:id="377"/>
      <w:bookmarkEnd w:id="378"/>
      <w:bookmarkEnd w:id="379"/>
    </w:p>
    <w:p>
      <w:pPr>
        <w:ind w:firstLine="420" w:firstLineChars="200"/>
        <w:rPr>
          <w:rFonts w:ascii="宋体" w:hAnsi="宋体"/>
          <w:highlight w:val="none"/>
        </w:rPr>
      </w:pPr>
      <w:r>
        <w:rPr>
          <w:rFonts w:ascii="宋体" w:hAnsi="宋体" w:hint="eastAsia"/>
          <w:highlight w:val="none"/>
        </w:rPr>
        <w:t>当各类业务处理服务出错后，提供处理状态回滚，记录错误日志，为故障处理提供依据。可采用人工干预的方式重新启动服务，继续执行尚未完成的作业。</w:t>
      </w:r>
    </w:p>
    <w:p>
      <w:pPr>
        <w:pStyle w:val="Heading3"/>
        <w:keepNext/>
        <w:keepLines/>
        <w:widowControl w:val="0"/>
        <w:numPr>
          <w:ilvl w:val="2"/>
          <w:numId w:val="4"/>
        </w:numPr>
        <w:spacing w:line="560" w:lineRule="atLeast"/>
        <w:ind w:left="720" w:hanging="720"/>
        <w:jc w:val="both"/>
        <w:rPr>
          <w:highlight w:val="none"/>
        </w:rPr>
      </w:pPr>
      <w:bookmarkStart w:id="380" w:name="_Toc25297"/>
      <w:bookmarkStart w:id="381" w:name="_Toc381093614"/>
      <w:bookmarkStart w:id="382" w:name="_Toc119829557"/>
      <w:bookmarkStart w:id="383" w:name="_Toc26961"/>
      <w:bookmarkStart w:id="384" w:name="_Toc395794202"/>
      <w:bookmarkStart w:id="385" w:name="_Toc2334"/>
      <w:bookmarkStart w:id="386" w:name="_Toc5641"/>
      <w:bookmarkStart w:id="387" w:name="_Toc13091"/>
      <w:bookmarkStart w:id="388" w:name="_Toc391375336"/>
      <w:r>
        <w:rPr>
          <w:rFonts w:hint="eastAsia"/>
          <w:highlight w:val="none"/>
        </w:rPr>
        <w:t>系统容错与数据备份</w:t>
      </w:r>
      <w:bookmarkEnd w:id="380"/>
      <w:bookmarkEnd w:id="381"/>
      <w:bookmarkEnd w:id="382"/>
      <w:bookmarkEnd w:id="383"/>
      <w:bookmarkEnd w:id="384"/>
      <w:bookmarkEnd w:id="385"/>
      <w:bookmarkEnd w:id="386"/>
      <w:bookmarkEnd w:id="387"/>
      <w:bookmarkEnd w:id="388"/>
    </w:p>
    <w:p>
      <w:pPr>
        <w:ind w:firstLine="420" w:firstLineChars="200"/>
        <w:rPr>
          <w:rFonts w:ascii="宋体" w:hAnsi="宋体" w:hint="eastAsia"/>
          <w:highlight w:val="none"/>
        </w:rPr>
      </w:pPr>
      <w:r>
        <w:rPr>
          <w:rFonts w:ascii="宋体" w:hAnsi="宋体" w:hint="eastAsia"/>
          <w:highlight w:val="none"/>
        </w:rPr>
        <w:t>包括服务器和存储设备在内的主要设备和易损件都要有备份和容错机制；有备份设备或备件的，应当做到热备份并可以自动切换，当无法做到的，要做好切换准备，可以手动切换和恢复；系统软件备份运行版本，应用程序要备份当前运行版本，应用数据要定期进行备份。</w:t>
      </w:r>
    </w:p>
    <w:p>
      <w:pPr>
        <w:pStyle w:val="Heading2"/>
        <w:keepNext/>
        <w:keepLines/>
        <w:widowControl w:val="0"/>
        <w:numPr>
          <w:ilvl w:val="1"/>
          <w:numId w:val="4"/>
        </w:numPr>
        <w:spacing w:line="560" w:lineRule="exact"/>
        <w:ind w:left="573" w:hanging="573"/>
        <w:jc w:val="both"/>
        <w:rPr>
          <w:highlight w:val="none"/>
        </w:rPr>
      </w:pPr>
      <w:bookmarkStart w:id="389" w:name="_Toc173723972"/>
      <w:bookmarkStart w:id="390" w:name="_Toc17338"/>
      <w:bookmarkStart w:id="391" w:name="_Toc12647"/>
      <w:bookmarkStart w:id="392" w:name="_Toc173723791"/>
      <w:bookmarkStart w:id="393" w:name="_Toc17056"/>
      <w:bookmarkStart w:id="394" w:name="_Toc395794203"/>
      <w:bookmarkStart w:id="395" w:name="_Toc391375340"/>
      <w:bookmarkStart w:id="396" w:name="_Toc173724505"/>
      <w:bookmarkStart w:id="397" w:name="_Toc171218561"/>
      <w:bookmarkStart w:id="398" w:name="_Toc173723838"/>
      <w:bookmarkStart w:id="399" w:name="_Toc181"/>
      <w:bookmarkStart w:id="400" w:name="_Toc22750"/>
      <w:bookmarkStart w:id="401" w:name="_Toc1244135144"/>
      <w:bookmarkStart w:id="402" w:name="_Toc119829558"/>
      <w:r>
        <w:rPr>
          <w:rFonts w:hint="eastAsia"/>
          <w:highlight w:val="none"/>
        </w:rPr>
        <w:t>其他专门要求</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pPr>
        <w:pStyle w:val="Heading3"/>
        <w:keepNext/>
        <w:keepLines/>
        <w:widowControl w:val="0"/>
        <w:numPr>
          <w:ilvl w:val="2"/>
          <w:numId w:val="4"/>
        </w:numPr>
        <w:spacing w:line="560" w:lineRule="atLeast"/>
        <w:ind w:left="720" w:hanging="720"/>
        <w:jc w:val="both"/>
        <w:rPr>
          <w:highlight w:val="none"/>
        </w:rPr>
      </w:pPr>
      <w:bookmarkStart w:id="403" w:name="_Toc426703487"/>
      <w:bookmarkEnd w:id="403"/>
      <w:bookmarkStart w:id="404" w:name="_Toc426703486"/>
      <w:bookmarkEnd w:id="404"/>
      <w:bookmarkStart w:id="405" w:name="_Toc426703489"/>
      <w:bookmarkEnd w:id="405"/>
      <w:bookmarkStart w:id="406" w:name="_Toc426703488"/>
      <w:bookmarkEnd w:id="406"/>
      <w:bookmarkStart w:id="407" w:name="_Toc426703490"/>
      <w:bookmarkEnd w:id="407"/>
      <w:bookmarkStart w:id="408" w:name="_Toc9291"/>
      <w:bookmarkStart w:id="409" w:name="_Toc3403"/>
      <w:bookmarkStart w:id="410" w:name="_Toc119829559"/>
      <w:bookmarkStart w:id="411" w:name="_Toc131094369"/>
      <w:bookmarkStart w:id="412" w:name="_Toc21881"/>
      <w:bookmarkStart w:id="413" w:name="_Toc8959"/>
      <w:bookmarkStart w:id="414" w:name="_Toc391375342"/>
      <w:bookmarkStart w:id="415" w:name="_Toc395794205"/>
      <w:bookmarkStart w:id="416" w:name="_Toc8501"/>
      <w:bookmarkStart w:id="417" w:name="_Toc86812814"/>
      <w:bookmarkStart w:id="418" w:name="_Toc391375343"/>
      <w:bookmarkStart w:id="419" w:name="_Toc395794207"/>
      <w:bookmarkStart w:id="420" w:name="_Toc90990259"/>
      <w:r>
        <w:rPr>
          <w:rFonts w:hint="eastAsia"/>
          <w:highlight w:val="none"/>
        </w:rPr>
        <w:t>安全性要求</w:t>
      </w:r>
      <w:bookmarkEnd w:id="408"/>
      <w:bookmarkEnd w:id="409"/>
      <w:bookmarkEnd w:id="410"/>
      <w:bookmarkEnd w:id="411"/>
      <w:bookmarkEnd w:id="412"/>
      <w:bookmarkEnd w:id="413"/>
      <w:bookmarkEnd w:id="414"/>
      <w:bookmarkEnd w:id="415"/>
      <w:bookmarkEnd w:id="416"/>
    </w:p>
    <w:p>
      <w:pPr>
        <w:pStyle w:val="ListBullet2"/>
        <w:numPr>
          <w:ilvl w:val="0"/>
          <w:numId w:val="0"/>
        </w:numPr>
        <w:ind w:firstLine="420" w:firstLineChars="200"/>
        <w:rPr>
          <w:rFonts w:ascii="宋体" w:hAnsi="宋体" w:cs="宋体" w:hint="eastAsia"/>
          <w:highlight w:val="none"/>
        </w:rPr>
      </w:pPr>
      <w:r>
        <w:rPr>
          <w:rFonts w:ascii="宋体" w:hAnsi="宋体" w:cs="宋体" w:hint="eastAsia"/>
          <w:highlight w:val="none"/>
          <w:lang w:val="zh-CN"/>
        </w:rPr>
        <w:t>本项目将确保在信息安全和数据保护方面具备充分的保障措施，</w:t>
      </w:r>
      <w:r>
        <w:rPr>
          <w:rFonts w:ascii="宋体" w:hAnsi="宋体" w:cs="宋体" w:hint="eastAsia"/>
          <w:highlight w:val="none"/>
        </w:rPr>
        <w:t>所有软件应符合</w:t>
      </w:r>
      <w:r>
        <w:rPr>
          <w:rFonts w:ascii="宋体" w:hAnsi="宋体" w:cs="宋体" w:hint="eastAsia"/>
          <w:highlight w:val="none"/>
          <w:lang w:eastAsia="zh-CN"/>
        </w:rPr>
        <w:t>三</w:t>
      </w:r>
      <w:r>
        <w:rPr>
          <w:rFonts w:ascii="宋体" w:hAnsi="宋体" w:cs="宋体" w:hint="eastAsia"/>
          <w:highlight w:val="none"/>
        </w:rPr>
        <w:t>等保安全标准，通过安全评估。具体要求如下：</w:t>
      </w:r>
    </w:p>
    <w:p>
      <w:pPr>
        <w:pStyle w:val="ListBullet2"/>
        <w:numPr>
          <w:ilvl w:val="0"/>
          <w:numId w:val="0"/>
        </w:numPr>
        <w:ind w:firstLine="420" w:firstLineChars="200"/>
        <w:rPr>
          <w:rFonts w:ascii="宋体" w:hAnsi="宋体" w:cs="宋体" w:hint="eastAsia"/>
          <w:highlight w:val="none"/>
        </w:rPr>
      </w:pPr>
      <w:r>
        <w:rPr>
          <w:rFonts w:ascii="宋体" w:hAnsi="宋体" w:cs="宋体" w:hint="eastAsia"/>
          <w:highlight w:val="none"/>
        </w:rPr>
        <w:t>（1）网络/系统安全监测</w:t>
      </w:r>
    </w:p>
    <w:p>
      <w:pPr>
        <w:pStyle w:val="ListBullet2"/>
        <w:numPr>
          <w:ilvl w:val="0"/>
          <w:numId w:val="0"/>
        </w:numPr>
        <w:ind w:firstLine="420" w:firstLineChars="200"/>
        <w:rPr>
          <w:rFonts w:ascii="宋体" w:hAnsi="宋体" w:cs="宋体" w:hint="eastAsia"/>
          <w:highlight w:val="none"/>
        </w:rPr>
      </w:pPr>
      <w:r>
        <w:rPr>
          <w:rFonts w:ascii="宋体" w:hAnsi="宋体" w:cs="宋体" w:hint="eastAsia"/>
          <w:highlight w:val="none"/>
        </w:rPr>
        <w:t>确保网络上的信息和资源不被非授权的用户通过物理连接进入系统所使用，修改或破坏。</w:t>
      </w:r>
    </w:p>
    <w:p>
      <w:pPr>
        <w:pStyle w:val="ListBullet2"/>
        <w:numPr>
          <w:ilvl w:val="0"/>
          <w:numId w:val="0"/>
        </w:numPr>
        <w:ind w:firstLine="420" w:firstLineChars="200"/>
        <w:rPr>
          <w:rFonts w:ascii="宋体" w:hAnsi="宋体" w:cs="宋体" w:hint="eastAsia"/>
          <w:highlight w:val="none"/>
        </w:rPr>
      </w:pPr>
      <w:r>
        <w:rPr>
          <w:rFonts w:ascii="宋体" w:hAnsi="宋体" w:cs="宋体" w:hint="eastAsia"/>
          <w:highlight w:val="none"/>
        </w:rPr>
        <w:t>在应用服务器以及数据库服务器上定制适当的用户口令策略，开通系统的审计和日志功能，对关键行为进行记录，并能够删除不必要的用户组。</w:t>
      </w:r>
    </w:p>
    <w:p>
      <w:pPr>
        <w:pStyle w:val="ListBullet2"/>
        <w:numPr>
          <w:ilvl w:val="0"/>
          <w:numId w:val="0"/>
        </w:numPr>
        <w:ind w:firstLine="420" w:firstLineChars="200"/>
        <w:rPr>
          <w:rFonts w:ascii="宋体" w:hAnsi="宋体" w:cs="宋体" w:hint="eastAsia"/>
          <w:highlight w:val="none"/>
        </w:rPr>
      </w:pPr>
      <w:r>
        <w:rPr>
          <w:rFonts w:ascii="宋体" w:hAnsi="宋体" w:cs="宋体" w:hint="eastAsia"/>
          <w:highlight w:val="none"/>
        </w:rPr>
        <w:t>（2）网络/系统安全检查</w:t>
      </w:r>
    </w:p>
    <w:p>
      <w:pPr>
        <w:pStyle w:val="ListBullet2"/>
        <w:numPr>
          <w:ilvl w:val="0"/>
          <w:numId w:val="0"/>
        </w:numPr>
        <w:ind w:firstLine="420" w:firstLineChars="200"/>
        <w:rPr>
          <w:rFonts w:ascii="宋体" w:hAnsi="宋体" w:cs="宋体" w:hint="eastAsia"/>
          <w:highlight w:val="none"/>
        </w:rPr>
      </w:pPr>
      <w:r>
        <w:rPr>
          <w:rFonts w:ascii="宋体" w:hAnsi="宋体" w:cs="宋体" w:hint="eastAsia"/>
          <w:highlight w:val="none"/>
        </w:rPr>
        <w:t>能够检测重要服务器上只开通必要的服务，而且服务的配置是合法的。</w:t>
      </w:r>
    </w:p>
    <w:p>
      <w:pPr>
        <w:pStyle w:val="ListBullet2"/>
        <w:numPr>
          <w:ilvl w:val="0"/>
          <w:numId w:val="0"/>
        </w:numPr>
        <w:ind w:firstLine="420" w:firstLineChars="200"/>
        <w:rPr>
          <w:rFonts w:ascii="宋体" w:hAnsi="宋体" w:cs="宋体" w:hint="eastAsia"/>
          <w:highlight w:val="none"/>
        </w:rPr>
      </w:pPr>
      <w:r>
        <w:rPr>
          <w:rFonts w:ascii="宋体" w:hAnsi="宋体" w:cs="宋体" w:hint="eastAsia"/>
          <w:highlight w:val="none"/>
        </w:rPr>
        <w:t>能够检测网络设备的配置合法。</w:t>
      </w:r>
    </w:p>
    <w:p>
      <w:pPr>
        <w:pStyle w:val="ListBullet2"/>
        <w:numPr>
          <w:ilvl w:val="0"/>
          <w:numId w:val="0"/>
        </w:numPr>
        <w:ind w:firstLine="420" w:firstLineChars="200"/>
        <w:rPr>
          <w:rFonts w:ascii="宋体" w:hAnsi="宋体" w:cs="宋体" w:hint="eastAsia"/>
          <w:highlight w:val="none"/>
        </w:rPr>
      </w:pPr>
      <w:r>
        <w:rPr>
          <w:rFonts w:ascii="宋体" w:hAnsi="宋体" w:cs="宋体" w:hint="eastAsia"/>
          <w:highlight w:val="none"/>
        </w:rPr>
        <w:t>（3）身份认证和授权</w:t>
      </w:r>
    </w:p>
    <w:p>
      <w:pPr>
        <w:pStyle w:val="ListBullet2"/>
        <w:numPr>
          <w:ilvl w:val="0"/>
          <w:numId w:val="0"/>
        </w:numPr>
        <w:ind w:firstLine="420" w:firstLineChars="200"/>
        <w:rPr>
          <w:rFonts w:ascii="宋体" w:hAnsi="宋体" w:cs="宋体" w:hint="eastAsia"/>
          <w:highlight w:val="none"/>
        </w:rPr>
      </w:pPr>
      <w:r>
        <w:rPr>
          <w:rFonts w:ascii="宋体" w:hAnsi="宋体" w:cs="宋体" w:hint="eastAsia"/>
          <w:highlight w:val="none"/>
        </w:rPr>
        <w:t>保证身份认证和授权的有效性，支持用户名/密码方式的认证，用户可以查看重置密码历史。</w:t>
      </w:r>
    </w:p>
    <w:p>
      <w:pPr>
        <w:pStyle w:val="ListBullet2"/>
        <w:numPr>
          <w:ilvl w:val="0"/>
          <w:numId w:val="0"/>
        </w:numPr>
        <w:ind w:firstLine="420" w:firstLineChars="200"/>
        <w:rPr>
          <w:rFonts w:ascii="宋体" w:hAnsi="宋体" w:cs="宋体" w:hint="eastAsia"/>
          <w:highlight w:val="none"/>
        </w:rPr>
      </w:pPr>
      <w:r>
        <w:rPr>
          <w:rFonts w:ascii="宋体" w:hAnsi="宋体" w:cs="宋体" w:hint="eastAsia"/>
          <w:highlight w:val="none"/>
        </w:rPr>
        <w:t>（4）数据安全性</w:t>
      </w:r>
    </w:p>
    <w:p>
      <w:pPr>
        <w:pStyle w:val="ListBullet2"/>
        <w:numPr>
          <w:ilvl w:val="0"/>
          <w:numId w:val="0"/>
        </w:numPr>
        <w:ind w:firstLine="420" w:firstLineChars="200"/>
        <w:rPr>
          <w:rFonts w:ascii="宋体" w:hAnsi="宋体" w:cs="宋体" w:hint="eastAsia"/>
          <w:highlight w:val="none"/>
        </w:rPr>
      </w:pPr>
      <w:r>
        <w:rPr>
          <w:rFonts w:ascii="宋体" w:hAnsi="宋体" w:cs="宋体" w:hint="eastAsia"/>
          <w:highlight w:val="none"/>
        </w:rPr>
        <w:t>能够保证接收和发送的数据完全一致，并保证不同系统之间数据交换的及时性和准确性。</w:t>
      </w:r>
    </w:p>
    <w:p>
      <w:pPr>
        <w:pStyle w:val="ListBullet2"/>
        <w:numPr>
          <w:ilvl w:val="0"/>
          <w:numId w:val="0"/>
        </w:numPr>
        <w:ind w:firstLine="420" w:firstLineChars="200"/>
        <w:rPr>
          <w:rFonts w:ascii="宋体" w:hAnsi="宋体" w:cs="宋体" w:hint="eastAsia"/>
          <w:highlight w:val="none"/>
        </w:rPr>
      </w:pPr>
      <w:r>
        <w:rPr>
          <w:rFonts w:ascii="宋体" w:hAnsi="宋体" w:cs="宋体" w:hint="eastAsia"/>
          <w:highlight w:val="none"/>
        </w:rPr>
        <w:t>能够合理利用数据库权限控制机制以及数据冗余方式保证应用数据的安全性。</w:t>
      </w:r>
    </w:p>
    <w:p>
      <w:pPr>
        <w:pStyle w:val="ListBullet2"/>
        <w:numPr>
          <w:ilvl w:val="0"/>
          <w:numId w:val="0"/>
        </w:numPr>
        <w:ind w:firstLine="420" w:firstLineChars="200"/>
        <w:rPr>
          <w:rFonts w:ascii="宋体" w:hAnsi="宋体" w:cs="宋体"/>
        </w:rPr>
      </w:pPr>
      <w:r>
        <w:rPr>
          <w:rFonts w:ascii="宋体" w:hAnsi="宋体" w:cs="宋体" w:hint="eastAsia"/>
        </w:rPr>
        <w:t>（5）密码应用安全性</w:t>
      </w:r>
    </w:p>
    <w:p>
      <w:pPr>
        <w:pStyle w:val="ListBullet2"/>
        <w:numPr>
          <w:ilvl w:val="0"/>
          <w:numId w:val="0"/>
        </w:numPr>
        <w:ind w:firstLine="420" w:firstLineChars="200"/>
        <w:rPr>
          <w:rFonts w:ascii="宋体" w:hAnsi="宋体" w:cs="宋体" w:hint="eastAsia"/>
          <w:highlight w:val="none"/>
        </w:rPr>
      </w:pPr>
      <w:r>
        <w:rPr>
          <w:rFonts w:ascii="宋体" w:hAnsi="宋体" w:cs="宋体" w:hint="eastAsia"/>
        </w:rPr>
        <w:t>须配合商用密码应用安全性评估(简称“密评”)，必要时对项目进行相应整改，保证密码应用的合规性、正确性和有效性。</w:t>
      </w:r>
    </w:p>
    <w:bookmarkEnd w:id="417"/>
    <w:bookmarkEnd w:id="418"/>
    <w:bookmarkEnd w:id="419"/>
    <w:bookmarkEnd w:id="420"/>
    <w:p>
      <w:pPr>
        <w:pStyle w:val="Heading3"/>
        <w:keepNext/>
        <w:keepLines/>
        <w:widowControl w:val="0"/>
        <w:numPr>
          <w:ilvl w:val="2"/>
          <w:numId w:val="4"/>
        </w:numPr>
        <w:spacing w:line="560" w:lineRule="atLeast"/>
        <w:ind w:left="720" w:hanging="720"/>
        <w:jc w:val="both"/>
        <w:rPr>
          <w:rFonts w:hint="eastAsia"/>
          <w:highlight w:val="none"/>
        </w:rPr>
      </w:pPr>
      <w:bookmarkStart w:id="421" w:name="_Toc161475271"/>
      <w:bookmarkStart w:id="422" w:name="_Toc1988998443"/>
      <w:bookmarkStart w:id="423" w:name="_Toc176757447"/>
      <w:bookmarkStart w:id="424" w:name="_Toc138148071"/>
      <w:bookmarkStart w:id="425" w:name="_Toc176762294"/>
      <w:bookmarkStart w:id="426" w:name="_Toc31568"/>
      <w:bookmarkStart w:id="427" w:name="_Toc176762809"/>
      <w:bookmarkStart w:id="428" w:name="_Toc12709"/>
      <w:bookmarkStart w:id="429" w:name="_Toc6552"/>
      <w:bookmarkStart w:id="430" w:name="_Toc119829562"/>
      <w:bookmarkStart w:id="431" w:name="_Toc16448"/>
      <w:bookmarkStart w:id="432" w:name="_Toc25235"/>
      <w:r>
        <w:rPr>
          <w:rFonts w:hint="eastAsia"/>
          <w:highlight w:val="none"/>
        </w:rPr>
        <w:t>设计约束与要求</w:t>
      </w:r>
      <w:bookmarkEnd w:id="421"/>
      <w:bookmarkEnd w:id="422"/>
      <w:bookmarkEnd w:id="423"/>
      <w:bookmarkEnd w:id="424"/>
      <w:bookmarkEnd w:id="425"/>
      <w:bookmarkEnd w:id="426"/>
      <w:bookmarkEnd w:id="427"/>
      <w:bookmarkEnd w:id="428"/>
      <w:bookmarkEnd w:id="429"/>
      <w:bookmarkEnd w:id="430"/>
      <w:bookmarkEnd w:id="431"/>
      <w:bookmarkEnd w:id="432"/>
    </w:p>
    <w:p>
      <w:pPr>
        <w:keepNext w:val="0"/>
        <w:keepLines w:val="0"/>
        <w:pageBreakBefore w:val="0"/>
        <w:widowControl w:val="0"/>
        <w:numPr>
          <w:ilvl w:val="0"/>
          <w:numId w:val="7"/>
        </w:numPr>
        <w:kinsoku/>
        <w:wordWrap/>
        <w:overflowPunct/>
        <w:topLinePunct w:val="0"/>
        <w:autoSpaceDE/>
        <w:autoSpaceDN/>
        <w:bidi w:val="0"/>
        <w:adjustRightInd w:val="0"/>
        <w:snapToGrid w:val="0"/>
        <w:ind w:left="0" w:firstLine="315" w:leftChars="0" w:firstLineChars="150"/>
        <w:textAlignment w:val="auto"/>
        <w:rPr>
          <w:rFonts w:ascii="宋体" w:hAnsi="宋体" w:hint="eastAsia"/>
          <w:highlight w:val="none"/>
        </w:rPr>
      </w:pPr>
      <w:r>
        <w:rPr>
          <w:rFonts w:ascii="宋体" w:hAnsi="宋体" w:cs="宋体" w:hint="eastAsia"/>
          <w:highlight w:val="none"/>
        </w:rPr>
        <w:t>遵循现有天擎系统建设标准规范，并依托现有版本进行迭代建设。</w:t>
      </w:r>
    </w:p>
    <w:p>
      <w:pPr>
        <w:keepNext w:val="0"/>
        <w:keepLines w:val="0"/>
        <w:pageBreakBefore w:val="0"/>
        <w:widowControl w:val="0"/>
        <w:numPr>
          <w:ilvl w:val="0"/>
          <w:numId w:val="7"/>
        </w:numPr>
        <w:kinsoku/>
        <w:wordWrap/>
        <w:overflowPunct/>
        <w:topLinePunct w:val="0"/>
        <w:autoSpaceDE/>
        <w:autoSpaceDN/>
        <w:bidi w:val="0"/>
        <w:adjustRightInd w:val="0"/>
        <w:snapToGrid w:val="0"/>
        <w:ind w:left="0" w:firstLine="315" w:leftChars="0" w:firstLineChars="150"/>
        <w:textAlignment w:val="auto"/>
        <w:rPr>
          <w:rFonts w:ascii="宋体" w:hAnsi="宋体"/>
          <w:highlight w:val="none"/>
        </w:rPr>
      </w:pPr>
      <w:r>
        <w:rPr>
          <w:rFonts w:ascii="宋体" w:hAnsi="宋体" w:cs="宋体" w:hint="eastAsia"/>
          <w:highlight w:val="none"/>
        </w:rPr>
        <w:t>部署资源应支持现有的硬件环境，及未来的国产化底层环境。</w:t>
      </w:r>
    </w:p>
    <w:p>
      <w:pPr>
        <w:keepNext w:val="0"/>
        <w:keepLines w:val="0"/>
        <w:pageBreakBefore w:val="0"/>
        <w:widowControl w:val="0"/>
        <w:numPr>
          <w:ilvl w:val="0"/>
          <w:numId w:val="7"/>
        </w:numPr>
        <w:kinsoku/>
        <w:wordWrap/>
        <w:overflowPunct/>
        <w:topLinePunct w:val="0"/>
        <w:autoSpaceDE/>
        <w:autoSpaceDN/>
        <w:bidi w:val="0"/>
        <w:adjustRightInd w:val="0"/>
        <w:snapToGrid w:val="0"/>
        <w:ind w:left="0" w:firstLine="315" w:leftChars="0" w:firstLineChars="150"/>
        <w:textAlignment w:val="auto"/>
        <w:rPr>
          <w:rFonts w:ascii="宋体" w:hAnsi="宋体"/>
          <w:highlight w:val="none"/>
        </w:rPr>
      </w:pPr>
      <w:r>
        <w:rPr>
          <w:rFonts w:ascii="宋体" w:hAnsi="宋体" w:cs="宋体" w:hint="eastAsia"/>
          <w:highlight w:val="none"/>
        </w:rPr>
        <w:t>采用成熟可靠的技术、遵循通用开放的标准，构建安全、可靠、实时、易用的服务平台。</w:t>
      </w:r>
    </w:p>
    <w:p>
      <w:pPr>
        <w:keepNext w:val="0"/>
        <w:keepLines w:val="0"/>
        <w:pageBreakBefore w:val="0"/>
        <w:widowControl w:val="0"/>
        <w:numPr>
          <w:ilvl w:val="0"/>
          <w:numId w:val="7"/>
        </w:numPr>
        <w:kinsoku/>
        <w:wordWrap/>
        <w:overflowPunct/>
        <w:topLinePunct w:val="0"/>
        <w:autoSpaceDE/>
        <w:autoSpaceDN/>
        <w:bidi w:val="0"/>
        <w:adjustRightInd w:val="0"/>
        <w:snapToGrid w:val="0"/>
        <w:ind w:left="0" w:firstLine="315" w:leftChars="0" w:firstLineChars="150"/>
        <w:textAlignment w:val="auto"/>
        <w:rPr>
          <w:rFonts w:ascii="宋体" w:hAnsi="宋体"/>
          <w:highlight w:val="none"/>
        </w:rPr>
      </w:pPr>
      <w:r>
        <w:rPr>
          <w:rFonts w:ascii="宋体" w:hAnsi="宋体" w:cs="宋体" w:hint="eastAsia"/>
          <w:highlight w:val="none"/>
        </w:rPr>
        <w:t>在技术实现上要满足系统后台运行环境支持</w:t>
      </w:r>
      <w:r>
        <w:rPr>
          <w:rFonts w:ascii="宋体" w:hAnsi="宋体" w:cs="宋体"/>
          <w:highlight w:val="none"/>
        </w:rPr>
        <w:t>Linux</w:t>
      </w:r>
      <w:r>
        <w:rPr>
          <w:rFonts w:ascii="宋体" w:hAnsi="宋体" w:cs="宋体" w:hint="eastAsia"/>
          <w:highlight w:val="none"/>
        </w:rPr>
        <w:t>等主流操作系统，部署环境支持云平台；服务器、存储和虚拟化软件技术产品与现有云平台软硬件环境完全兼容、无缝整合、协同工作，不影响原有业务运行。</w:t>
      </w:r>
    </w:p>
    <w:p>
      <w:pPr>
        <w:keepNext w:val="0"/>
        <w:keepLines w:val="0"/>
        <w:pageBreakBefore w:val="0"/>
        <w:widowControl w:val="0"/>
        <w:numPr>
          <w:ilvl w:val="0"/>
          <w:numId w:val="7"/>
        </w:numPr>
        <w:kinsoku/>
        <w:wordWrap/>
        <w:overflowPunct/>
        <w:topLinePunct w:val="0"/>
        <w:autoSpaceDE/>
        <w:autoSpaceDN/>
        <w:bidi w:val="0"/>
        <w:adjustRightInd w:val="0"/>
        <w:snapToGrid w:val="0"/>
        <w:ind w:left="0" w:firstLine="315" w:leftChars="0" w:firstLineChars="150"/>
        <w:textAlignment w:val="auto"/>
        <w:rPr>
          <w:rFonts w:ascii="宋体" w:hAnsi="宋体"/>
          <w:highlight w:val="none"/>
        </w:rPr>
      </w:pPr>
      <w:r>
        <w:rPr>
          <w:rFonts w:ascii="宋体" w:hAnsi="宋体" w:cs="宋体" w:hint="eastAsia"/>
          <w:highlight w:val="none"/>
        </w:rPr>
        <w:t>网站开发语言推荐采用Java</w:t>
      </w:r>
      <w:r>
        <w:rPr>
          <w:rFonts w:ascii="宋体" w:hAnsi="宋体" w:hint="eastAsia"/>
          <w:highlight w:val="none"/>
        </w:rPr>
        <w:t>，数据存储管理功能开发总体不超过2种开发语言，推荐使用JAVA或C/C++。</w:t>
      </w:r>
    </w:p>
    <w:p>
      <w:pPr>
        <w:keepNext w:val="0"/>
        <w:keepLines w:val="0"/>
        <w:pageBreakBefore w:val="0"/>
        <w:widowControl w:val="0"/>
        <w:numPr>
          <w:ilvl w:val="0"/>
          <w:numId w:val="7"/>
        </w:numPr>
        <w:kinsoku/>
        <w:wordWrap/>
        <w:overflowPunct/>
        <w:topLinePunct w:val="0"/>
        <w:autoSpaceDE/>
        <w:autoSpaceDN/>
        <w:bidi w:val="0"/>
        <w:adjustRightInd w:val="0"/>
        <w:snapToGrid w:val="0"/>
        <w:ind w:left="0" w:firstLine="315" w:leftChars="0" w:firstLineChars="150"/>
        <w:textAlignment w:val="auto"/>
        <w:rPr>
          <w:rFonts w:ascii="宋体" w:hAnsi="宋体"/>
          <w:highlight w:val="none"/>
        </w:rPr>
      </w:pPr>
      <w:r>
        <w:rPr>
          <w:rFonts w:ascii="宋体" w:hAnsi="宋体" w:cs="宋体" w:hint="eastAsia"/>
          <w:highlight w:val="none"/>
        </w:rPr>
        <w:t>相关</w:t>
      </w:r>
      <w:r>
        <w:rPr>
          <w:rFonts w:ascii="宋体" w:hAnsi="宋体" w:cs="宋体"/>
          <w:highlight w:val="none"/>
        </w:rPr>
        <w:t>web</w:t>
      </w:r>
      <w:r>
        <w:rPr>
          <w:rFonts w:ascii="宋体" w:hAnsi="宋体" w:cs="宋体" w:hint="eastAsia"/>
          <w:highlight w:val="none"/>
        </w:rPr>
        <w:t>系统支持并兼容微软</w:t>
      </w:r>
      <w:r>
        <w:rPr>
          <w:rFonts w:ascii="宋体" w:hAnsi="宋体" w:cs="宋体"/>
          <w:highlight w:val="none"/>
        </w:rPr>
        <w:t>IE</w:t>
      </w:r>
      <w:r>
        <w:rPr>
          <w:rFonts w:ascii="宋体" w:hAnsi="宋体" w:cs="宋体" w:hint="eastAsia"/>
          <w:highlight w:val="none"/>
        </w:rPr>
        <w:t>、</w:t>
      </w:r>
      <w:r>
        <w:rPr>
          <w:rFonts w:ascii="宋体" w:hAnsi="宋体" w:cs="宋体"/>
          <w:highlight w:val="none"/>
        </w:rPr>
        <w:t>Google</w:t>
      </w:r>
      <w:r>
        <w:rPr>
          <w:rFonts w:ascii="宋体" w:hAnsi="宋体" w:cs="宋体" w:hint="eastAsia"/>
          <w:highlight w:val="none"/>
        </w:rPr>
        <w:t>和</w:t>
      </w:r>
      <w:r>
        <w:rPr>
          <w:rFonts w:ascii="宋体" w:hAnsi="宋体" w:cs="宋体"/>
          <w:highlight w:val="none"/>
        </w:rPr>
        <w:t>Firefox</w:t>
      </w:r>
      <w:r>
        <w:rPr>
          <w:rFonts w:ascii="宋体" w:hAnsi="宋体" w:cs="宋体" w:hint="eastAsia"/>
          <w:highlight w:val="none"/>
        </w:rPr>
        <w:t>等主流浏览器的最新版本。</w:t>
      </w:r>
    </w:p>
    <w:p>
      <w:pPr>
        <w:keepNext w:val="0"/>
        <w:keepLines w:val="0"/>
        <w:pageBreakBefore w:val="0"/>
        <w:widowControl w:val="0"/>
        <w:numPr>
          <w:ilvl w:val="0"/>
          <w:numId w:val="7"/>
        </w:numPr>
        <w:kinsoku/>
        <w:wordWrap/>
        <w:overflowPunct/>
        <w:topLinePunct w:val="0"/>
        <w:autoSpaceDE/>
        <w:autoSpaceDN/>
        <w:bidi w:val="0"/>
        <w:adjustRightInd w:val="0"/>
        <w:snapToGrid w:val="0"/>
        <w:ind w:left="0" w:firstLine="315" w:leftChars="0" w:firstLineChars="150"/>
        <w:textAlignment w:val="auto"/>
        <w:rPr>
          <w:rFonts w:ascii="宋体" w:hAnsi="宋体"/>
          <w:highlight w:val="none"/>
        </w:rPr>
      </w:pPr>
      <w:r>
        <w:rPr>
          <w:rFonts w:ascii="宋体" w:hAnsi="宋体" w:hint="eastAsia"/>
          <w:highlight w:val="none"/>
        </w:rPr>
        <w:t>符合《气象信息化标准》，包括气象数据分类与编码、气象数据元、气象核心元数据、气象数据文件命名规范、气象数据传输规范、气象元数据同步规范、气象数据存储结构规范、气象数据服务接口标准、气象应用系统开发规范、公共云数据管理规范等。</w:t>
      </w:r>
    </w:p>
    <w:p>
      <w:pPr>
        <w:pStyle w:val="Heading1"/>
        <w:keepNext/>
        <w:keepLines/>
        <w:widowControl w:val="0"/>
        <w:numPr>
          <w:ilvl w:val="0"/>
          <w:numId w:val="4"/>
        </w:numPr>
        <w:spacing w:line="560" w:lineRule="exact"/>
        <w:ind w:left="431" w:hanging="431"/>
        <w:jc w:val="both"/>
        <w:rPr>
          <w:rFonts w:hint="eastAsia"/>
          <w:highlight w:val="none"/>
        </w:rPr>
      </w:pPr>
      <w:bookmarkStart w:id="433" w:name="_Toc166187013"/>
      <w:bookmarkStart w:id="434" w:name="_Toc11082"/>
      <w:bookmarkStart w:id="435" w:name="_Toc23769"/>
      <w:bookmarkStart w:id="436" w:name="_Toc14774"/>
      <w:bookmarkStart w:id="437" w:name="_Toc525292944"/>
      <w:bookmarkStart w:id="438" w:name="_Toc2161"/>
      <w:bookmarkStart w:id="439" w:name="_Toc28455"/>
      <w:bookmarkStart w:id="440" w:name="_Toc89681331"/>
      <w:bookmarkStart w:id="441" w:name="_Toc89681580"/>
      <w:bookmarkStart w:id="442" w:name="_Toc525198871"/>
      <w:r>
        <w:rPr>
          <w:rFonts w:hint="eastAsia"/>
          <w:highlight w:val="none"/>
        </w:rPr>
        <w:t>技术服务要求</w:t>
      </w:r>
      <w:bookmarkEnd w:id="433"/>
      <w:bookmarkEnd w:id="434"/>
      <w:bookmarkEnd w:id="435"/>
      <w:bookmarkEnd w:id="436"/>
      <w:bookmarkEnd w:id="437"/>
      <w:bookmarkEnd w:id="438"/>
      <w:bookmarkEnd w:id="439"/>
      <w:bookmarkEnd w:id="440"/>
      <w:bookmarkEnd w:id="441"/>
      <w:bookmarkEnd w:id="442"/>
    </w:p>
    <w:p>
      <w:pPr>
        <w:pStyle w:val="Heading2"/>
        <w:keepNext/>
        <w:keepLines/>
        <w:widowControl w:val="0"/>
        <w:numPr>
          <w:ilvl w:val="1"/>
          <w:numId w:val="4"/>
        </w:numPr>
        <w:spacing w:line="560" w:lineRule="exact"/>
        <w:ind w:left="425" w:hanging="425"/>
        <w:jc w:val="both"/>
        <w:rPr>
          <w:rFonts w:hint="eastAsia"/>
          <w:highlight w:val="none"/>
        </w:rPr>
      </w:pPr>
      <w:bookmarkStart w:id="443" w:name="_Toc24238"/>
      <w:bookmarkStart w:id="444" w:name="_Toc31636"/>
      <w:bookmarkStart w:id="445" w:name="_Toc119829563"/>
      <w:bookmarkStart w:id="446" w:name="_Toc21792"/>
      <w:bookmarkStart w:id="447" w:name="_Toc27628"/>
      <w:bookmarkStart w:id="448" w:name="_Toc1366382299"/>
      <w:bookmarkStart w:id="449" w:name="_Toc17401"/>
      <w:r>
        <w:rPr>
          <w:rFonts w:hint="eastAsia"/>
          <w:highlight w:val="none"/>
        </w:rPr>
        <w:t>进度要求</w:t>
      </w:r>
      <w:bookmarkEnd w:id="443"/>
      <w:bookmarkEnd w:id="444"/>
      <w:bookmarkEnd w:id="445"/>
      <w:bookmarkEnd w:id="446"/>
      <w:bookmarkEnd w:id="447"/>
      <w:bookmarkEnd w:id="448"/>
      <w:bookmarkEnd w:id="449"/>
    </w:p>
    <w:p>
      <w:pPr>
        <w:snapToGrid w:val="0"/>
        <w:ind w:firstLine="482"/>
        <w:rPr>
          <w:rFonts w:ascii="宋体" w:hAnsi="宋体"/>
          <w:szCs w:val="21"/>
          <w:highlight w:val="none"/>
        </w:rPr>
      </w:pPr>
      <w:bookmarkStart w:id="450" w:name="_Toc119829564"/>
      <w:bookmarkStart w:id="451" w:name="_Toc17972"/>
      <w:bookmarkStart w:id="452" w:name="_Toc1744661922"/>
      <w:r>
        <w:rPr>
          <w:rFonts w:ascii="宋体" w:hAnsi="宋体" w:hint="eastAsia"/>
          <w:szCs w:val="21"/>
          <w:highlight w:val="none"/>
        </w:rPr>
        <w:t>建设项目的研制要求完全按软件工程的方法和过程实施，其研制过程主要包括需求分析、概要设计、详细设计与编码调试、系统集成与测试、系统部署与初验、试运行、系统验收七</w:t>
      </w:r>
      <w:r>
        <w:rPr>
          <w:rFonts w:ascii="宋体" w:hAnsi="宋体"/>
          <w:highlight w:val="none"/>
        </w:rPr>
        <w:t>个阶段</w:t>
      </w:r>
      <w:r>
        <w:rPr>
          <w:rFonts w:ascii="宋体" w:hAnsi="宋体" w:hint="eastAsia"/>
          <w:szCs w:val="21"/>
          <w:highlight w:val="none"/>
        </w:rPr>
        <w:t>，研制周期12个月内。</w:t>
      </w:r>
      <w:r>
        <w:rPr>
          <w:rFonts w:ascii="宋体" w:hAnsi="宋体" w:hint="eastAsia"/>
          <w:szCs w:val="21"/>
        </w:rPr>
        <w:t>本项目验收按照国标的软件工程相关规定执行。乙方完成软件安装测试(包括各软件分系统的功能和性能测试、软件集成)后，由乙方委托具备相关资质的第三方进行测试，出具测试大纲、测试方案、测试数据及测试报告。测试结果经甲方审定满足要求后，进行现场初步验收移交。届时，乙方将向甲方提交全部技术文档，甲方组成资料审查小组对技术文档的完整性与正确性进行审查。</w:t>
      </w:r>
      <w:r>
        <w:rPr>
          <w:rFonts w:ascii="宋体" w:hAnsi="宋体" w:hint="eastAsia"/>
          <w:szCs w:val="21"/>
          <w:highlight w:val="none"/>
        </w:rPr>
        <w:t>下表给出了任务各阶段的进度要求：</w:t>
      </w:r>
    </w:p>
    <w:p>
      <w:pPr>
        <w:spacing w:before="156" w:beforeLines="50"/>
        <w:ind w:firstLine="425"/>
        <w:jc w:val="center"/>
        <w:rPr>
          <w:rFonts w:ascii="宋体" w:hAnsi="宋体"/>
          <w:highlight w:val="none"/>
        </w:rPr>
      </w:pPr>
      <w:r>
        <w:rPr>
          <w:rFonts w:ascii="宋体" w:hAnsi="宋体"/>
          <w:highlight w:val="none"/>
        </w:rPr>
        <w:t>表</w:t>
      </w:r>
      <w:r>
        <w:rPr>
          <w:rFonts w:ascii="宋体" w:hAnsi="宋体" w:hint="eastAsia"/>
          <w:highlight w:val="none"/>
        </w:rPr>
        <w:t>5-1项目开发进度表</w:t>
      </w:r>
    </w:p>
    <w:tbl>
      <w:tblPr>
        <w:tblStyle w:val="TableNormal"/>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46"/>
        <w:gridCol w:w="1276"/>
        <w:gridCol w:w="5103"/>
      </w:tblGrid>
      <w:tr>
        <w:tblPrEx>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2146" w:type="dxa"/>
            <w:noWrap w:val="0"/>
            <w:vAlign w:val="center"/>
          </w:tcPr>
          <w:p>
            <w:pPr>
              <w:snapToGrid w:val="0"/>
              <w:spacing w:before="156" w:beforeLines="50"/>
              <w:jc w:val="center"/>
              <w:rPr>
                <w:rFonts w:ascii="宋体" w:eastAsia="宋体" w:hAnsi="宋体"/>
                <w:szCs w:val="21"/>
                <w:highlight w:val="none"/>
              </w:rPr>
            </w:pPr>
            <w:r>
              <w:rPr>
                <w:rFonts w:ascii="宋体" w:eastAsia="宋体" w:hAnsi="宋体"/>
                <w:szCs w:val="21"/>
                <w:highlight w:val="none"/>
              </w:rPr>
              <w:t>软件研发过程</w:t>
            </w:r>
          </w:p>
        </w:tc>
        <w:tc>
          <w:tcPr>
            <w:tcW w:w="1276" w:type="dxa"/>
            <w:noWrap w:val="0"/>
            <w:vAlign w:val="center"/>
          </w:tcPr>
          <w:p>
            <w:pPr>
              <w:snapToGrid w:val="0"/>
              <w:jc w:val="center"/>
              <w:rPr>
                <w:rFonts w:ascii="宋体" w:eastAsia="宋体" w:hAnsi="宋体"/>
                <w:szCs w:val="21"/>
                <w:highlight w:val="none"/>
              </w:rPr>
            </w:pPr>
            <w:r>
              <w:rPr>
                <w:rFonts w:ascii="宋体" w:eastAsia="宋体" w:hAnsi="宋体"/>
                <w:szCs w:val="21"/>
                <w:highlight w:val="none"/>
              </w:rPr>
              <w:t>进度要求</w:t>
            </w:r>
          </w:p>
          <w:p>
            <w:pPr>
              <w:snapToGrid w:val="0"/>
              <w:jc w:val="center"/>
              <w:rPr>
                <w:rFonts w:ascii="宋体" w:eastAsia="宋体" w:hAnsi="宋体"/>
                <w:szCs w:val="21"/>
                <w:highlight w:val="none"/>
              </w:rPr>
            </w:pPr>
            <w:r>
              <w:rPr>
                <w:rFonts w:ascii="宋体" w:eastAsia="宋体" w:hAnsi="宋体"/>
                <w:szCs w:val="21"/>
                <w:highlight w:val="none"/>
              </w:rPr>
              <w:t>（月数）</w:t>
            </w:r>
          </w:p>
        </w:tc>
        <w:tc>
          <w:tcPr>
            <w:tcW w:w="5103" w:type="dxa"/>
            <w:noWrap w:val="0"/>
            <w:vAlign w:val="center"/>
          </w:tcPr>
          <w:p>
            <w:pPr>
              <w:snapToGrid w:val="0"/>
              <w:spacing w:before="156" w:beforeLines="50"/>
              <w:jc w:val="center"/>
              <w:rPr>
                <w:rFonts w:ascii="宋体" w:eastAsia="宋体" w:hAnsi="宋体"/>
                <w:szCs w:val="21"/>
                <w:highlight w:val="none"/>
              </w:rPr>
            </w:pPr>
            <w:r>
              <w:rPr>
                <w:rFonts w:ascii="宋体" w:eastAsia="宋体" w:hAnsi="宋体"/>
                <w:szCs w:val="21"/>
                <w:highlight w:val="none"/>
              </w:rPr>
              <w:t>基本要求</w:t>
            </w:r>
          </w:p>
        </w:tc>
      </w:tr>
      <w:tr>
        <w:tblPrEx>
          <w:tblW w:w="8525" w:type="dxa"/>
          <w:jc w:val="center"/>
          <w:tblLayout w:type="fixed"/>
          <w:tblCellMar>
            <w:top w:w="0" w:type="dxa"/>
            <w:left w:w="108" w:type="dxa"/>
            <w:bottom w:w="0" w:type="dxa"/>
            <w:right w:w="108" w:type="dxa"/>
          </w:tblCellMar>
        </w:tblPrEx>
        <w:trPr>
          <w:jc w:val="center"/>
        </w:trPr>
        <w:tc>
          <w:tcPr>
            <w:tcW w:w="2146" w:type="dxa"/>
            <w:noWrap w:val="0"/>
            <w:vAlign w:val="center"/>
          </w:tcPr>
          <w:p>
            <w:pPr>
              <w:snapToGrid w:val="0"/>
              <w:spacing w:before="156" w:beforeLines="50"/>
              <w:rPr>
                <w:rFonts w:ascii="宋体" w:eastAsia="宋体" w:hAnsi="宋体"/>
                <w:szCs w:val="21"/>
                <w:highlight w:val="none"/>
              </w:rPr>
            </w:pPr>
            <w:r>
              <w:rPr>
                <w:rFonts w:ascii="宋体" w:eastAsia="宋体" w:hAnsi="宋体"/>
                <w:szCs w:val="21"/>
                <w:highlight w:val="none"/>
              </w:rPr>
              <w:t>需求分析</w:t>
            </w:r>
          </w:p>
        </w:tc>
        <w:tc>
          <w:tcPr>
            <w:tcW w:w="1276" w:type="dxa"/>
            <w:noWrap w:val="0"/>
            <w:vAlign w:val="center"/>
          </w:tcPr>
          <w:p>
            <w:pPr>
              <w:snapToGrid w:val="0"/>
              <w:spacing w:before="156" w:beforeLines="50"/>
              <w:jc w:val="center"/>
              <w:rPr>
                <w:rFonts w:ascii="宋体" w:eastAsia="宋体" w:hAnsi="宋体"/>
                <w:szCs w:val="21"/>
                <w:highlight w:val="none"/>
              </w:rPr>
            </w:pPr>
            <w:r>
              <w:rPr>
                <w:rFonts w:ascii="宋体" w:eastAsia="宋体" w:hAnsi="宋体"/>
                <w:szCs w:val="21"/>
                <w:highlight w:val="none"/>
              </w:rPr>
              <w:t>2</w:t>
            </w:r>
          </w:p>
        </w:tc>
        <w:tc>
          <w:tcPr>
            <w:tcW w:w="5103" w:type="dxa"/>
            <w:noWrap w:val="0"/>
            <w:vAlign w:val="center"/>
          </w:tcPr>
          <w:p>
            <w:pPr>
              <w:snapToGrid w:val="0"/>
              <w:spacing w:before="156" w:beforeLines="50"/>
              <w:rPr>
                <w:rFonts w:ascii="宋体" w:eastAsia="宋体" w:hAnsi="宋体"/>
                <w:szCs w:val="21"/>
                <w:highlight w:val="none"/>
              </w:rPr>
            </w:pPr>
            <w:r>
              <w:rPr>
                <w:rFonts w:ascii="宋体" w:eastAsia="宋体" w:hAnsi="宋体"/>
                <w:szCs w:val="21"/>
                <w:highlight w:val="none"/>
              </w:rPr>
              <w:t>完成任务书中所有软件功能的分析，提交软件需求阶段应提交的各类文档，通过评审</w:t>
            </w:r>
          </w:p>
        </w:tc>
      </w:tr>
      <w:tr>
        <w:tblPrEx>
          <w:tblW w:w="8525" w:type="dxa"/>
          <w:jc w:val="center"/>
          <w:tblLayout w:type="fixed"/>
          <w:tblCellMar>
            <w:top w:w="0" w:type="dxa"/>
            <w:left w:w="108" w:type="dxa"/>
            <w:bottom w:w="0" w:type="dxa"/>
            <w:right w:w="108" w:type="dxa"/>
          </w:tblCellMar>
        </w:tblPrEx>
        <w:trPr>
          <w:jc w:val="center"/>
        </w:trPr>
        <w:tc>
          <w:tcPr>
            <w:tcW w:w="2146" w:type="dxa"/>
            <w:noWrap w:val="0"/>
            <w:vAlign w:val="center"/>
          </w:tcPr>
          <w:p>
            <w:pPr>
              <w:snapToGrid w:val="0"/>
              <w:spacing w:before="156" w:beforeLines="50"/>
              <w:rPr>
                <w:rFonts w:ascii="宋体" w:eastAsia="宋体" w:hAnsi="宋体"/>
                <w:szCs w:val="21"/>
                <w:highlight w:val="none"/>
              </w:rPr>
            </w:pPr>
            <w:r>
              <w:rPr>
                <w:rFonts w:ascii="宋体" w:eastAsia="宋体" w:hAnsi="宋体"/>
                <w:szCs w:val="21"/>
                <w:highlight w:val="none"/>
              </w:rPr>
              <w:t>概要设计</w:t>
            </w:r>
          </w:p>
        </w:tc>
        <w:tc>
          <w:tcPr>
            <w:tcW w:w="1276" w:type="dxa"/>
            <w:noWrap w:val="0"/>
            <w:vAlign w:val="center"/>
          </w:tcPr>
          <w:p>
            <w:pPr>
              <w:snapToGrid w:val="0"/>
              <w:spacing w:before="156" w:beforeLines="50"/>
              <w:jc w:val="center"/>
              <w:rPr>
                <w:rFonts w:ascii="宋体" w:eastAsia="宋体" w:hAnsi="宋体"/>
                <w:szCs w:val="21"/>
                <w:highlight w:val="none"/>
              </w:rPr>
            </w:pPr>
            <w:r>
              <w:rPr>
                <w:rFonts w:ascii="宋体" w:eastAsia="宋体" w:hAnsi="宋体"/>
                <w:szCs w:val="21"/>
                <w:highlight w:val="none"/>
              </w:rPr>
              <w:t>1</w:t>
            </w:r>
          </w:p>
        </w:tc>
        <w:tc>
          <w:tcPr>
            <w:tcW w:w="5103" w:type="dxa"/>
            <w:noWrap w:val="0"/>
            <w:vAlign w:val="center"/>
          </w:tcPr>
          <w:p>
            <w:pPr>
              <w:snapToGrid w:val="0"/>
              <w:spacing w:before="156" w:beforeLines="50"/>
              <w:rPr>
                <w:rFonts w:ascii="宋体" w:eastAsia="宋体" w:hAnsi="宋体"/>
                <w:szCs w:val="21"/>
                <w:highlight w:val="none"/>
              </w:rPr>
            </w:pPr>
            <w:r>
              <w:rPr>
                <w:rFonts w:ascii="宋体" w:eastAsia="宋体" w:hAnsi="宋体"/>
                <w:szCs w:val="21"/>
                <w:highlight w:val="none"/>
              </w:rPr>
              <w:t>完成任务书中所有软件功能的设计，提交概要设计阶段应提交的各类文档，提供客户端原型设计，通过评审</w:t>
            </w:r>
          </w:p>
        </w:tc>
      </w:tr>
      <w:tr>
        <w:tblPrEx>
          <w:tblW w:w="8525" w:type="dxa"/>
          <w:jc w:val="center"/>
          <w:tblLayout w:type="fixed"/>
          <w:tblCellMar>
            <w:top w:w="0" w:type="dxa"/>
            <w:left w:w="108" w:type="dxa"/>
            <w:bottom w:w="0" w:type="dxa"/>
            <w:right w:w="108" w:type="dxa"/>
          </w:tblCellMar>
        </w:tblPrEx>
        <w:trPr>
          <w:jc w:val="center"/>
        </w:trPr>
        <w:tc>
          <w:tcPr>
            <w:tcW w:w="2146" w:type="dxa"/>
            <w:noWrap w:val="0"/>
            <w:vAlign w:val="center"/>
          </w:tcPr>
          <w:p>
            <w:pPr>
              <w:snapToGrid w:val="0"/>
              <w:spacing w:before="156" w:beforeLines="50"/>
              <w:rPr>
                <w:rFonts w:ascii="宋体" w:eastAsia="宋体" w:hAnsi="宋体"/>
                <w:szCs w:val="21"/>
                <w:highlight w:val="none"/>
              </w:rPr>
            </w:pPr>
            <w:r>
              <w:rPr>
                <w:rFonts w:ascii="宋体" w:eastAsia="宋体" w:hAnsi="宋体"/>
                <w:szCs w:val="21"/>
                <w:highlight w:val="none"/>
              </w:rPr>
              <w:t>详细设计与编码调试</w:t>
            </w:r>
          </w:p>
        </w:tc>
        <w:tc>
          <w:tcPr>
            <w:tcW w:w="1276" w:type="dxa"/>
            <w:noWrap w:val="0"/>
            <w:vAlign w:val="center"/>
          </w:tcPr>
          <w:p>
            <w:pPr>
              <w:snapToGrid w:val="0"/>
              <w:spacing w:before="156" w:beforeLines="50"/>
              <w:jc w:val="center"/>
              <w:rPr>
                <w:rFonts w:ascii="宋体" w:eastAsia="宋体" w:hAnsi="宋体"/>
                <w:szCs w:val="21"/>
                <w:highlight w:val="none"/>
              </w:rPr>
            </w:pPr>
            <w:r>
              <w:rPr>
                <w:rFonts w:ascii="宋体" w:eastAsia="宋体" w:hAnsi="宋体"/>
                <w:szCs w:val="21"/>
                <w:highlight w:val="none"/>
              </w:rPr>
              <w:t>5</w:t>
            </w:r>
          </w:p>
        </w:tc>
        <w:tc>
          <w:tcPr>
            <w:tcW w:w="5103" w:type="dxa"/>
            <w:noWrap w:val="0"/>
            <w:vAlign w:val="center"/>
          </w:tcPr>
          <w:p>
            <w:pPr>
              <w:snapToGrid w:val="0"/>
              <w:spacing w:before="156" w:beforeLines="50"/>
              <w:rPr>
                <w:rFonts w:ascii="宋体" w:eastAsia="宋体" w:hAnsi="宋体"/>
                <w:szCs w:val="21"/>
                <w:highlight w:val="none"/>
              </w:rPr>
            </w:pPr>
            <w:r>
              <w:rPr>
                <w:rFonts w:ascii="宋体" w:eastAsia="宋体" w:hAnsi="宋体"/>
                <w:szCs w:val="21"/>
                <w:highlight w:val="none"/>
              </w:rPr>
              <w:t>完成详细设计、程序编码、调试和单元测试，要求签订合同后8个月实现建设主体功能的开发上线</w:t>
            </w:r>
          </w:p>
        </w:tc>
      </w:tr>
      <w:tr>
        <w:tblPrEx>
          <w:tblW w:w="8525" w:type="dxa"/>
          <w:jc w:val="center"/>
          <w:tblLayout w:type="fixed"/>
          <w:tblCellMar>
            <w:top w:w="0" w:type="dxa"/>
            <w:left w:w="108" w:type="dxa"/>
            <w:bottom w:w="0" w:type="dxa"/>
            <w:right w:w="108" w:type="dxa"/>
          </w:tblCellMar>
        </w:tblPrEx>
        <w:trPr>
          <w:jc w:val="center"/>
        </w:trPr>
        <w:tc>
          <w:tcPr>
            <w:tcW w:w="2146" w:type="dxa"/>
            <w:noWrap w:val="0"/>
            <w:vAlign w:val="center"/>
          </w:tcPr>
          <w:p>
            <w:pPr>
              <w:snapToGrid w:val="0"/>
              <w:spacing w:before="156" w:beforeLines="50"/>
              <w:rPr>
                <w:rFonts w:ascii="宋体" w:eastAsia="宋体" w:hAnsi="宋体"/>
                <w:szCs w:val="21"/>
                <w:highlight w:val="none"/>
              </w:rPr>
            </w:pPr>
            <w:r>
              <w:rPr>
                <w:rFonts w:ascii="宋体" w:eastAsia="宋体" w:hAnsi="宋体"/>
                <w:szCs w:val="21"/>
                <w:highlight w:val="none"/>
              </w:rPr>
              <w:t>测试方案</w:t>
            </w:r>
          </w:p>
        </w:tc>
        <w:tc>
          <w:tcPr>
            <w:tcW w:w="1276" w:type="dxa"/>
            <w:noWrap w:val="0"/>
            <w:vAlign w:val="center"/>
          </w:tcPr>
          <w:p>
            <w:pPr>
              <w:snapToGrid w:val="0"/>
              <w:spacing w:before="156" w:beforeLines="50"/>
              <w:jc w:val="center"/>
              <w:rPr>
                <w:rFonts w:ascii="宋体" w:eastAsia="宋体" w:hAnsi="宋体"/>
                <w:szCs w:val="21"/>
                <w:highlight w:val="none"/>
              </w:rPr>
            </w:pPr>
            <w:r>
              <w:rPr>
                <w:rFonts w:ascii="宋体" w:eastAsia="宋体" w:hAnsi="宋体"/>
                <w:szCs w:val="21"/>
                <w:highlight w:val="none"/>
              </w:rPr>
              <w:t>1</w:t>
            </w:r>
          </w:p>
        </w:tc>
        <w:tc>
          <w:tcPr>
            <w:tcW w:w="5103" w:type="dxa"/>
            <w:noWrap w:val="0"/>
            <w:vAlign w:val="center"/>
          </w:tcPr>
          <w:p>
            <w:pPr>
              <w:snapToGrid w:val="0"/>
              <w:spacing w:before="156" w:beforeLines="50"/>
              <w:rPr>
                <w:rFonts w:ascii="宋体" w:eastAsia="宋体" w:hAnsi="宋体"/>
                <w:szCs w:val="21"/>
                <w:highlight w:val="none"/>
              </w:rPr>
            </w:pPr>
            <w:r>
              <w:rPr>
                <w:rFonts w:ascii="宋体" w:eastAsia="宋体" w:hAnsi="宋体"/>
                <w:szCs w:val="21"/>
                <w:highlight w:val="none"/>
              </w:rPr>
              <w:t>完成测试方案编制，按照系统工程安全等保测评标准，通过安全评估，并通过评审</w:t>
            </w:r>
          </w:p>
        </w:tc>
      </w:tr>
      <w:tr>
        <w:tblPrEx>
          <w:tblW w:w="8525" w:type="dxa"/>
          <w:jc w:val="center"/>
          <w:tblLayout w:type="fixed"/>
          <w:tblCellMar>
            <w:top w:w="0" w:type="dxa"/>
            <w:left w:w="108" w:type="dxa"/>
            <w:bottom w:w="0" w:type="dxa"/>
            <w:right w:w="108" w:type="dxa"/>
          </w:tblCellMar>
        </w:tblPrEx>
        <w:trPr>
          <w:jc w:val="center"/>
        </w:trPr>
        <w:tc>
          <w:tcPr>
            <w:tcW w:w="2146" w:type="dxa"/>
            <w:noWrap w:val="0"/>
            <w:vAlign w:val="center"/>
          </w:tcPr>
          <w:p>
            <w:pPr>
              <w:snapToGrid w:val="0"/>
              <w:spacing w:before="156" w:beforeLines="50"/>
              <w:rPr>
                <w:rFonts w:ascii="宋体" w:eastAsia="宋体" w:hAnsi="宋体"/>
                <w:szCs w:val="21"/>
                <w:highlight w:val="none"/>
              </w:rPr>
            </w:pPr>
            <w:r>
              <w:rPr>
                <w:rFonts w:ascii="宋体" w:eastAsia="宋体" w:hAnsi="宋体"/>
                <w:szCs w:val="21"/>
                <w:highlight w:val="none"/>
              </w:rPr>
              <w:t>系统部署与初验</w:t>
            </w:r>
          </w:p>
        </w:tc>
        <w:tc>
          <w:tcPr>
            <w:tcW w:w="1276" w:type="dxa"/>
            <w:noWrap w:val="0"/>
            <w:vAlign w:val="center"/>
          </w:tcPr>
          <w:p>
            <w:pPr>
              <w:snapToGrid w:val="0"/>
              <w:spacing w:before="156" w:beforeLines="50"/>
              <w:jc w:val="center"/>
              <w:rPr>
                <w:rFonts w:ascii="宋体" w:eastAsia="宋体" w:hAnsi="宋体"/>
                <w:szCs w:val="21"/>
                <w:highlight w:val="none"/>
              </w:rPr>
            </w:pPr>
            <w:r>
              <w:rPr>
                <w:rFonts w:ascii="宋体" w:eastAsia="宋体" w:hAnsi="宋体"/>
                <w:szCs w:val="21"/>
                <w:highlight w:val="none"/>
              </w:rPr>
              <w:t>2</w:t>
            </w:r>
          </w:p>
        </w:tc>
        <w:tc>
          <w:tcPr>
            <w:tcW w:w="5103" w:type="dxa"/>
            <w:noWrap w:val="0"/>
            <w:vAlign w:val="center"/>
          </w:tcPr>
          <w:p>
            <w:pPr>
              <w:snapToGrid w:val="0"/>
              <w:spacing w:before="156" w:beforeLines="50"/>
              <w:rPr>
                <w:rFonts w:ascii="宋体" w:eastAsia="宋体" w:hAnsi="宋体"/>
                <w:szCs w:val="21"/>
                <w:highlight w:val="none"/>
              </w:rPr>
            </w:pPr>
            <w:r>
              <w:rPr>
                <w:rFonts w:ascii="宋体" w:eastAsia="宋体" w:hAnsi="宋体"/>
                <w:szCs w:val="21"/>
                <w:highlight w:val="none"/>
              </w:rPr>
              <w:t>完成系统功能确认测试、运行环境配置、系统应用集成与部署和系统初验</w:t>
            </w:r>
          </w:p>
        </w:tc>
      </w:tr>
      <w:tr>
        <w:tblPrEx>
          <w:tblW w:w="8525" w:type="dxa"/>
          <w:jc w:val="center"/>
          <w:tblLayout w:type="fixed"/>
          <w:tblCellMar>
            <w:top w:w="0" w:type="dxa"/>
            <w:left w:w="108" w:type="dxa"/>
            <w:bottom w:w="0" w:type="dxa"/>
            <w:right w:w="108" w:type="dxa"/>
          </w:tblCellMar>
        </w:tblPrEx>
        <w:trPr>
          <w:jc w:val="center"/>
        </w:trPr>
        <w:tc>
          <w:tcPr>
            <w:tcW w:w="2146" w:type="dxa"/>
            <w:noWrap w:val="0"/>
            <w:vAlign w:val="center"/>
          </w:tcPr>
          <w:p>
            <w:pPr>
              <w:snapToGrid w:val="0"/>
              <w:spacing w:before="156" w:beforeLines="50"/>
              <w:rPr>
                <w:rFonts w:ascii="宋体" w:eastAsia="宋体" w:hAnsi="宋体"/>
                <w:szCs w:val="21"/>
                <w:highlight w:val="none"/>
              </w:rPr>
            </w:pPr>
            <w:r>
              <w:rPr>
                <w:rFonts w:ascii="宋体" w:eastAsia="宋体" w:hAnsi="宋体"/>
                <w:szCs w:val="21"/>
                <w:highlight w:val="none"/>
              </w:rPr>
              <w:t>试运行</w:t>
            </w:r>
          </w:p>
        </w:tc>
        <w:tc>
          <w:tcPr>
            <w:tcW w:w="1276" w:type="dxa"/>
            <w:noWrap w:val="0"/>
            <w:vAlign w:val="center"/>
          </w:tcPr>
          <w:p>
            <w:pPr>
              <w:snapToGrid w:val="0"/>
              <w:spacing w:before="156" w:beforeLines="50"/>
              <w:jc w:val="center"/>
              <w:rPr>
                <w:rFonts w:ascii="宋体" w:eastAsia="宋体" w:hAnsi="宋体"/>
                <w:szCs w:val="21"/>
                <w:highlight w:val="none"/>
              </w:rPr>
            </w:pPr>
            <w:r>
              <w:rPr>
                <w:rFonts w:ascii="宋体" w:eastAsia="宋体" w:hAnsi="宋体"/>
                <w:szCs w:val="21"/>
                <w:highlight w:val="none"/>
              </w:rPr>
              <w:t>1</w:t>
            </w:r>
          </w:p>
        </w:tc>
        <w:tc>
          <w:tcPr>
            <w:tcW w:w="5103" w:type="dxa"/>
            <w:noWrap w:val="0"/>
            <w:vAlign w:val="center"/>
          </w:tcPr>
          <w:p>
            <w:pPr>
              <w:snapToGrid w:val="0"/>
              <w:spacing w:before="156" w:beforeLines="50"/>
              <w:rPr>
                <w:rFonts w:ascii="宋体" w:eastAsia="宋体" w:hAnsi="宋体"/>
                <w:szCs w:val="21"/>
                <w:highlight w:val="none"/>
              </w:rPr>
            </w:pPr>
            <w:r>
              <w:rPr>
                <w:rFonts w:ascii="宋体" w:eastAsia="宋体" w:hAnsi="宋体" w:cs="宋体"/>
                <w:kern w:val="0"/>
                <w:highlight w:val="none"/>
              </w:rPr>
              <w:t>完成1个月</w:t>
            </w:r>
            <w:r>
              <w:rPr>
                <w:rFonts w:ascii="宋体" w:eastAsia="宋体" w:hAnsi="宋体" w:cs="宋体" w:hint="eastAsia"/>
                <w:kern w:val="0"/>
                <w:highlight w:val="none"/>
                <w:lang w:val="en-US" w:eastAsia="zh-CN"/>
              </w:rPr>
              <w:t>以上</w:t>
            </w:r>
            <w:r>
              <w:rPr>
                <w:rFonts w:ascii="宋体" w:eastAsia="宋体" w:hAnsi="宋体" w:cs="宋体"/>
                <w:kern w:val="0"/>
                <w:highlight w:val="none"/>
              </w:rPr>
              <w:t>的连续无重大故障试运行。</w:t>
            </w:r>
          </w:p>
        </w:tc>
      </w:tr>
      <w:tr>
        <w:tblPrEx>
          <w:tblW w:w="8525" w:type="dxa"/>
          <w:jc w:val="center"/>
          <w:tblLayout w:type="fixed"/>
          <w:tblCellMar>
            <w:top w:w="0" w:type="dxa"/>
            <w:left w:w="108" w:type="dxa"/>
            <w:bottom w:w="0" w:type="dxa"/>
            <w:right w:w="108" w:type="dxa"/>
          </w:tblCellMar>
        </w:tblPrEx>
        <w:trPr>
          <w:jc w:val="center"/>
        </w:trPr>
        <w:tc>
          <w:tcPr>
            <w:tcW w:w="2146" w:type="dxa"/>
            <w:noWrap w:val="0"/>
            <w:vAlign w:val="center"/>
          </w:tcPr>
          <w:p>
            <w:pPr>
              <w:snapToGrid w:val="0"/>
              <w:spacing w:before="156" w:beforeLines="50"/>
              <w:rPr>
                <w:rFonts w:ascii="宋体" w:eastAsia="宋体" w:hAnsi="宋体"/>
                <w:szCs w:val="21"/>
                <w:highlight w:val="none"/>
              </w:rPr>
            </w:pPr>
            <w:r>
              <w:rPr>
                <w:rFonts w:ascii="宋体" w:eastAsia="宋体" w:hAnsi="宋体"/>
                <w:szCs w:val="21"/>
                <w:highlight w:val="none"/>
              </w:rPr>
              <w:t>系统终验</w:t>
            </w:r>
          </w:p>
        </w:tc>
        <w:tc>
          <w:tcPr>
            <w:tcW w:w="1276" w:type="dxa"/>
            <w:noWrap w:val="0"/>
            <w:vAlign w:val="center"/>
          </w:tcPr>
          <w:p>
            <w:pPr>
              <w:snapToGrid w:val="0"/>
              <w:spacing w:before="156" w:beforeLines="50"/>
              <w:jc w:val="center"/>
              <w:rPr>
                <w:rFonts w:ascii="宋体" w:eastAsia="宋体" w:hAnsi="宋体"/>
                <w:szCs w:val="21"/>
                <w:highlight w:val="none"/>
              </w:rPr>
            </w:pPr>
          </w:p>
        </w:tc>
        <w:tc>
          <w:tcPr>
            <w:tcW w:w="5103" w:type="dxa"/>
            <w:noWrap w:val="0"/>
            <w:vAlign w:val="center"/>
          </w:tcPr>
          <w:p>
            <w:pPr>
              <w:snapToGrid w:val="0"/>
              <w:spacing w:before="156" w:beforeLines="50"/>
              <w:rPr>
                <w:rFonts w:ascii="宋体" w:eastAsia="宋体" w:hAnsi="宋体"/>
                <w:szCs w:val="21"/>
                <w:highlight w:val="none"/>
              </w:rPr>
            </w:pPr>
            <w:r>
              <w:rPr>
                <w:rFonts w:ascii="宋体" w:eastAsia="宋体" w:hAnsi="宋体"/>
                <w:szCs w:val="21"/>
                <w:highlight w:val="none"/>
              </w:rPr>
              <w:t>完成系统最终验收、培训并移交。</w:t>
            </w:r>
          </w:p>
        </w:tc>
      </w:tr>
    </w:tbl>
    <w:p>
      <w:pPr>
        <w:pStyle w:val="Heading2"/>
        <w:keepNext/>
        <w:keepLines/>
        <w:widowControl w:val="0"/>
        <w:numPr>
          <w:ilvl w:val="1"/>
          <w:numId w:val="4"/>
        </w:numPr>
        <w:spacing w:line="560" w:lineRule="exact"/>
        <w:ind w:left="432" w:hanging="432"/>
        <w:jc w:val="both"/>
        <w:rPr>
          <w:highlight w:val="none"/>
        </w:rPr>
      </w:pPr>
      <w:bookmarkStart w:id="453" w:name="_Toc16377"/>
      <w:bookmarkStart w:id="454" w:name="_Toc15223"/>
      <w:bookmarkStart w:id="455" w:name="_Toc23843"/>
      <w:bookmarkStart w:id="456" w:name="_Toc14634"/>
      <w:r>
        <w:rPr>
          <w:rFonts w:hint="eastAsia"/>
          <w:highlight w:val="none"/>
        </w:rPr>
        <w:t>软件交付物要求</w:t>
      </w:r>
      <w:bookmarkEnd w:id="450"/>
      <w:bookmarkEnd w:id="451"/>
      <w:bookmarkEnd w:id="452"/>
      <w:bookmarkEnd w:id="453"/>
      <w:bookmarkEnd w:id="454"/>
      <w:bookmarkEnd w:id="455"/>
      <w:bookmarkEnd w:id="456"/>
    </w:p>
    <w:p>
      <w:pPr>
        <w:snapToGrid w:val="0"/>
        <w:spacing w:before="156" w:beforeLines="50"/>
        <w:ind w:firstLine="420"/>
        <w:rPr>
          <w:rFonts w:ascii="宋体" w:hAnsi="宋体" w:cs="等线" w:hint="eastAsia"/>
          <w:szCs w:val="21"/>
          <w:highlight w:val="none"/>
        </w:rPr>
      </w:pPr>
      <w:r>
        <w:rPr>
          <w:rFonts w:ascii="宋体" w:hAnsi="宋体" w:cs="等线" w:hint="eastAsia"/>
          <w:szCs w:val="21"/>
          <w:highlight w:val="none"/>
        </w:rPr>
        <w:t>软件交付物</w:t>
      </w:r>
      <w:r>
        <w:rPr>
          <w:rFonts w:ascii="宋体" w:hAnsi="宋体" w:cs="等线"/>
          <w:szCs w:val="21"/>
          <w:highlight w:val="none"/>
        </w:rPr>
        <w:t>提供电子版</w:t>
      </w:r>
      <w:r>
        <w:rPr>
          <w:rFonts w:ascii="宋体" w:hAnsi="宋体" w:cs="等线" w:hint="eastAsia"/>
          <w:szCs w:val="21"/>
          <w:highlight w:val="none"/>
        </w:rPr>
        <w:t>1</w:t>
      </w:r>
      <w:r>
        <w:rPr>
          <w:rFonts w:ascii="宋体" w:hAnsi="宋体" w:cs="等线"/>
          <w:szCs w:val="21"/>
          <w:highlight w:val="none"/>
        </w:rPr>
        <w:t>套，硬拷贝</w:t>
      </w:r>
      <w:r>
        <w:rPr>
          <w:rFonts w:ascii="宋体" w:hAnsi="宋体" w:cs="等线" w:hint="eastAsia"/>
          <w:szCs w:val="21"/>
          <w:highlight w:val="none"/>
        </w:rPr>
        <w:t>1</w:t>
      </w:r>
      <w:r>
        <w:rPr>
          <w:rFonts w:ascii="宋体" w:hAnsi="宋体" w:cs="等线"/>
          <w:szCs w:val="21"/>
          <w:highlight w:val="none"/>
        </w:rPr>
        <w:t>套，文档交付物中重要的技术文档应按工程管理办法要求通过专家评审。</w:t>
      </w:r>
    </w:p>
    <w:p>
      <w:pPr>
        <w:pStyle w:val="NormalIndent"/>
        <w:ind w:firstLineChars="0"/>
        <w:rPr>
          <w:rFonts w:ascii="宋体" w:hAnsi="宋体" w:hint="eastAsia"/>
          <w:highlight w:val="none"/>
        </w:rPr>
      </w:pPr>
      <w:r>
        <w:rPr>
          <w:rFonts w:ascii="宋体" w:hAnsi="宋体" w:hint="eastAsia"/>
          <w:highlight w:val="none"/>
        </w:rPr>
        <w:t>（1）产品交付物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1985"/>
        <w:gridCol w:w="6626"/>
      </w:tblGrid>
      <w:tr>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jc w:val="center"/>
        </w:trPr>
        <w:tc>
          <w:tcPr>
            <w:tcW w:w="1985" w:type="dxa"/>
            <w:shd w:val="pct10" w:color="auto" w:fill="auto"/>
            <w:noWrap w:val="0"/>
            <w:vAlign w:val="top"/>
          </w:tcPr>
          <w:p>
            <w:pPr>
              <w:pStyle w:val="B"/>
              <w:spacing w:before="156" w:beforeLines="50" w:line="360" w:lineRule="auto"/>
              <w:rPr>
                <w:rFonts w:ascii="宋体" w:eastAsia="宋体" w:hAnsi="宋体"/>
                <w:highlight w:val="none"/>
              </w:rPr>
            </w:pPr>
            <w:r>
              <w:rPr>
                <w:rFonts w:ascii="宋体" w:eastAsia="宋体" w:hAnsi="宋体"/>
                <w:highlight w:val="none"/>
              </w:rPr>
              <w:t>序号</w:t>
            </w:r>
          </w:p>
        </w:tc>
        <w:tc>
          <w:tcPr>
            <w:tcW w:w="6626" w:type="dxa"/>
            <w:shd w:val="pct10" w:color="auto" w:fill="auto"/>
            <w:noWrap w:val="0"/>
            <w:vAlign w:val="top"/>
          </w:tcPr>
          <w:p>
            <w:pPr>
              <w:pStyle w:val="B"/>
              <w:spacing w:before="156" w:beforeLines="50" w:line="360" w:lineRule="auto"/>
              <w:rPr>
                <w:rFonts w:ascii="宋体" w:eastAsia="宋体" w:hAnsi="宋体"/>
                <w:highlight w:val="none"/>
              </w:rPr>
            </w:pPr>
            <w:r>
              <w:rPr>
                <w:rFonts w:ascii="宋体" w:eastAsia="宋体" w:hAnsi="宋体"/>
                <w:highlight w:val="none"/>
              </w:rPr>
              <w:t>产品名称</w:t>
            </w:r>
          </w:p>
        </w:tc>
      </w:tr>
      <w:tr>
        <w:tblPrEx>
          <w:tblW w:w="0" w:type="auto"/>
          <w:jc w:val="center"/>
          <w:tblLayout w:type="fixed"/>
          <w:tblCellMar>
            <w:top w:w="0" w:type="dxa"/>
            <w:left w:w="108" w:type="dxa"/>
            <w:bottom w:w="0" w:type="dxa"/>
            <w:right w:w="108" w:type="dxa"/>
          </w:tblCellMar>
        </w:tblPrEx>
        <w:trPr>
          <w:jc w:val="center"/>
        </w:trPr>
        <w:tc>
          <w:tcPr>
            <w:tcW w:w="1985" w:type="dxa"/>
            <w:noWrap w:val="0"/>
            <w:vAlign w:val="top"/>
          </w:tcPr>
          <w:p>
            <w:pPr>
              <w:snapToGrid w:val="0"/>
              <w:spacing w:before="156" w:beforeLines="50"/>
              <w:jc w:val="center"/>
              <w:rPr>
                <w:rFonts w:ascii="宋体" w:eastAsia="宋体" w:hAnsi="宋体"/>
                <w:szCs w:val="21"/>
                <w:highlight w:val="none"/>
              </w:rPr>
            </w:pPr>
            <w:r>
              <w:rPr>
                <w:rFonts w:ascii="宋体" w:eastAsia="宋体" w:hAnsi="宋体"/>
                <w:szCs w:val="21"/>
                <w:highlight w:val="none"/>
              </w:rPr>
              <w:t>1</w:t>
            </w:r>
          </w:p>
        </w:tc>
        <w:tc>
          <w:tcPr>
            <w:tcW w:w="6626" w:type="dxa"/>
            <w:noWrap w:val="0"/>
            <w:vAlign w:val="top"/>
          </w:tcPr>
          <w:p>
            <w:pPr>
              <w:snapToGrid w:val="0"/>
              <w:spacing w:before="156" w:beforeLines="50"/>
              <w:rPr>
                <w:rFonts w:ascii="宋体" w:eastAsia="宋体" w:hAnsi="宋体"/>
                <w:szCs w:val="21"/>
                <w:highlight w:val="none"/>
              </w:rPr>
            </w:pPr>
            <w:r>
              <w:rPr>
                <w:rFonts w:ascii="宋体" w:eastAsia="宋体" w:hAnsi="宋体"/>
                <w:szCs w:val="21"/>
                <w:highlight w:val="none"/>
              </w:rPr>
              <w:t>应用软件安装包</w:t>
            </w:r>
          </w:p>
        </w:tc>
      </w:tr>
      <w:tr>
        <w:tblPrEx>
          <w:tblW w:w="0" w:type="auto"/>
          <w:jc w:val="center"/>
          <w:tblLayout w:type="fixed"/>
          <w:tblCellMar>
            <w:top w:w="0" w:type="dxa"/>
            <w:left w:w="108" w:type="dxa"/>
            <w:bottom w:w="0" w:type="dxa"/>
            <w:right w:w="108" w:type="dxa"/>
          </w:tblCellMar>
        </w:tblPrEx>
        <w:trPr>
          <w:jc w:val="center"/>
        </w:trPr>
        <w:tc>
          <w:tcPr>
            <w:tcW w:w="1985" w:type="dxa"/>
            <w:noWrap w:val="0"/>
            <w:vAlign w:val="top"/>
          </w:tcPr>
          <w:p>
            <w:pPr>
              <w:snapToGrid w:val="0"/>
              <w:spacing w:before="156" w:beforeLines="50"/>
              <w:jc w:val="center"/>
              <w:rPr>
                <w:rFonts w:ascii="宋体" w:eastAsia="宋体" w:hAnsi="宋体"/>
                <w:szCs w:val="21"/>
                <w:highlight w:val="none"/>
              </w:rPr>
            </w:pPr>
            <w:r>
              <w:rPr>
                <w:rFonts w:ascii="宋体" w:eastAsia="宋体" w:hAnsi="宋体"/>
                <w:szCs w:val="21"/>
                <w:highlight w:val="none"/>
              </w:rPr>
              <w:t>2</w:t>
            </w:r>
          </w:p>
        </w:tc>
        <w:tc>
          <w:tcPr>
            <w:tcW w:w="6626" w:type="dxa"/>
            <w:noWrap w:val="0"/>
            <w:vAlign w:val="top"/>
          </w:tcPr>
          <w:p>
            <w:pPr>
              <w:snapToGrid w:val="0"/>
              <w:spacing w:before="156" w:beforeLines="50"/>
              <w:rPr>
                <w:rFonts w:ascii="宋体" w:eastAsia="宋体" w:hAnsi="宋体"/>
                <w:szCs w:val="21"/>
                <w:highlight w:val="none"/>
              </w:rPr>
            </w:pPr>
            <w:r>
              <w:rPr>
                <w:rFonts w:ascii="宋体" w:eastAsia="宋体" w:hAnsi="宋体"/>
                <w:szCs w:val="21"/>
                <w:highlight w:val="none"/>
              </w:rPr>
              <w:t>源代码、工程文件及程序说明</w:t>
            </w:r>
          </w:p>
        </w:tc>
      </w:tr>
    </w:tbl>
    <w:p>
      <w:pPr>
        <w:pStyle w:val="NormalIndent"/>
        <w:ind w:firstLineChars="0"/>
        <w:rPr>
          <w:rFonts w:ascii="宋体" w:hAnsi="宋体" w:hint="eastAsia"/>
          <w:highlight w:val="none"/>
        </w:rPr>
      </w:pPr>
      <w:r>
        <w:rPr>
          <w:rFonts w:ascii="宋体" w:hAnsi="宋体" w:hint="eastAsia"/>
          <w:highlight w:val="none"/>
        </w:rPr>
        <w:t>（2）文档交付物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1951"/>
        <w:gridCol w:w="3786"/>
        <w:gridCol w:w="2870"/>
      </w:tblGrid>
      <w:tr>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jc w:val="center"/>
        </w:trPr>
        <w:tc>
          <w:tcPr>
            <w:tcW w:w="1951" w:type="dxa"/>
            <w:shd w:val="pct10" w:color="auto" w:fill="auto"/>
            <w:noWrap w:val="0"/>
            <w:vAlign w:val="top"/>
          </w:tcPr>
          <w:p>
            <w:pPr>
              <w:pStyle w:val="B"/>
              <w:spacing w:before="156" w:beforeLines="50" w:line="360" w:lineRule="auto"/>
              <w:rPr>
                <w:rFonts w:ascii="宋体" w:eastAsia="宋体" w:hAnsi="宋体"/>
                <w:highlight w:val="none"/>
              </w:rPr>
            </w:pPr>
            <w:r>
              <w:rPr>
                <w:rFonts w:ascii="宋体" w:eastAsia="宋体" w:hAnsi="宋体"/>
                <w:highlight w:val="none"/>
              </w:rPr>
              <w:t>工作内容</w:t>
            </w:r>
          </w:p>
        </w:tc>
        <w:tc>
          <w:tcPr>
            <w:tcW w:w="3786" w:type="dxa"/>
            <w:shd w:val="pct10" w:color="auto" w:fill="auto"/>
            <w:noWrap w:val="0"/>
            <w:vAlign w:val="top"/>
          </w:tcPr>
          <w:p>
            <w:pPr>
              <w:pStyle w:val="B"/>
              <w:spacing w:before="156" w:beforeLines="50" w:line="360" w:lineRule="auto"/>
              <w:rPr>
                <w:rFonts w:ascii="宋体" w:eastAsia="宋体" w:hAnsi="宋体"/>
                <w:highlight w:val="none"/>
              </w:rPr>
            </w:pPr>
            <w:r>
              <w:rPr>
                <w:rFonts w:ascii="宋体" w:eastAsia="宋体" w:hAnsi="宋体"/>
                <w:highlight w:val="none"/>
              </w:rPr>
              <w:t>技术文档</w:t>
            </w:r>
          </w:p>
        </w:tc>
        <w:tc>
          <w:tcPr>
            <w:tcW w:w="2870" w:type="dxa"/>
            <w:shd w:val="pct10" w:color="auto" w:fill="auto"/>
            <w:noWrap w:val="0"/>
            <w:vAlign w:val="top"/>
          </w:tcPr>
          <w:p>
            <w:pPr>
              <w:pStyle w:val="B"/>
              <w:spacing w:before="156" w:beforeLines="50" w:line="360" w:lineRule="auto"/>
              <w:rPr>
                <w:rFonts w:ascii="宋体" w:eastAsia="宋体" w:hAnsi="宋体"/>
                <w:highlight w:val="none"/>
              </w:rPr>
            </w:pPr>
            <w:r>
              <w:rPr>
                <w:rFonts w:ascii="宋体" w:eastAsia="宋体" w:hAnsi="宋体"/>
                <w:highlight w:val="none"/>
              </w:rPr>
              <w:t>管理文档</w:t>
            </w:r>
          </w:p>
        </w:tc>
      </w:tr>
      <w:tr>
        <w:tblPrEx>
          <w:tblW w:w="0" w:type="auto"/>
          <w:jc w:val="center"/>
          <w:tblLayout w:type="fixed"/>
          <w:tblCellMar>
            <w:top w:w="0" w:type="dxa"/>
            <w:left w:w="108" w:type="dxa"/>
            <w:bottom w:w="0" w:type="dxa"/>
            <w:right w:w="108" w:type="dxa"/>
          </w:tblCellMar>
        </w:tblPrEx>
        <w:trPr>
          <w:jc w:val="center"/>
        </w:trPr>
        <w:tc>
          <w:tcPr>
            <w:tcW w:w="1951" w:type="dxa"/>
            <w:noWrap w:val="0"/>
            <w:vAlign w:val="top"/>
          </w:tcPr>
          <w:p>
            <w:pPr>
              <w:snapToGrid w:val="0"/>
              <w:spacing w:before="156" w:beforeLines="50"/>
              <w:jc w:val="center"/>
              <w:rPr>
                <w:rFonts w:ascii="宋体" w:eastAsia="宋体" w:hAnsi="宋体"/>
                <w:szCs w:val="21"/>
                <w:highlight w:val="none"/>
              </w:rPr>
            </w:pPr>
            <w:r>
              <w:rPr>
                <w:rFonts w:ascii="宋体" w:eastAsia="宋体" w:hAnsi="宋体"/>
                <w:szCs w:val="21"/>
                <w:highlight w:val="none"/>
              </w:rPr>
              <w:t>需求分析</w:t>
            </w:r>
          </w:p>
        </w:tc>
        <w:tc>
          <w:tcPr>
            <w:tcW w:w="3786" w:type="dxa"/>
            <w:noWrap w:val="0"/>
            <w:vAlign w:val="top"/>
          </w:tcPr>
          <w:p>
            <w:pPr>
              <w:snapToGrid w:val="0"/>
              <w:spacing w:before="156" w:beforeLines="50"/>
              <w:rPr>
                <w:rFonts w:ascii="宋体" w:eastAsia="宋体" w:hAnsi="宋体"/>
                <w:szCs w:val="21"/>
                <w:highlight w:val="none"/>
              </w:rPr>
            </w:pPr>
            <w:r>
              <w:rPr>
                <w:rFonts w:ascii="宋体" w:eastAsia="宋体" w:hAnsi="宋体"/>
                <w:szCs w:val="21"/>
                <w:highlight w:val="none"/>
              </w:rPr>
              <w:t>软件需求规格说明书</w:t>
            </w:r>
          </w:p>
        </w:tc>
        <w:tc>
          <w:tcPr>
            <w:tcW w:w="2870" w:type="dxa"/>
            <w:noWrap w:val="0"/>
            <w:vAlign w:val="top"/>
          </w:tcPr>
          <w:p>
            <w:pPr>
              <w:snapToGrid w:val="0"/>
              <w:spacing w:before="156" w:beforeLines="50"/>
              <w:rPr>
                <w:rFonts w:ascii="宋体" w:eastAsia="宋体" w:hAnsi="宋体"/>
                <w:szCs w:val="21"/>
                <w:highlight w:val="none"/>
              </w:rPr>
            </w:pPr>
            <w:r>
              <w:rPr>
                <w:rFonts w:ascii="宋体" w:eastAsia="宋体" w:hAnsi="宋体"/>
                <w:szCs w:val="21"/>
                <w:highlight w:val="none"/>
              </w:rPr>
              <w:t>软件开发计划</w:t>
            </w:r>
          </w:p>
        </w:tc>
      </w:tr>
      <w:tr>
        <w:tblPrEx>
          <w:tblW w:w="0" w:type="auto"/>
          <w:jc w:val="center"/>
          <w:tblLayout w:type="fixed"/>
          <w:tblCellMar>
            <w:top w:w="0" w:type="dxa"/>
            <w:left w:w="108" w:type="dxa"/>
            <w:bottom w:w="0" w:type="dxa"/>
            <w:right w:w="108" w:type="dxa"/>
          </w:tblCellMar>
        </w:tblPrEx>
        <w:trPr>
          <w:jc w:val="center"/>
        </w:trPr>
        <w:tc>
          <w:tcPr>
            <w:tcW w:w="1951" w:type="dxa"/>
            <w:noWrap w:val="0"/>
            <w:vAlign w:val="top"/>
          </w:tcPr>
          <w:p>
            <w:pPr>
              <w:snapToGrid w:val="0"/>
              <w:spacing w:before="156" w:beforeLines="50"/>
              <w:jc w:val="center"/>
              <w:rPr>
                <w:rFonts w:ascii="宋体" w:eastAsia="宋体" w:hAnsi="宋体"/>
                <w:szCs w:val="21"/>
                <w:highlight w:val="none"/>
              </w:rPr>
            </w:pPr>
            <w:r>
              <w:rPr>
                <w:rFonts w:ascii="宋体" w:eastAsia="宋体" w:hAnsi="宋体"/>
                <w:szCs w:val="21"/>
                <w:highlight w:val="none"/>
              </w:rPr>
              <w:t>设计和开发</w:t>
            </w:r>
          </w:p>
        </w:tc>
        <w:tc>
          <w:tcPr>
            <w:tcW w:w="3786" w:type="dxa"/>
            <w:noWrap w:val="0"/>
            <w:vAlign w:val="top"/>
          </w:tcPr>
          <w:p>
            <w:pPr>
              <w:snapToGrid w:val="0"/>
              <w:spacing w:before="156" w:beforeLines="50"/>
              <w:rPr>
                <w:rFonts w:ascii="宋体" w:eastAsia="宋体" w:hAnsi="宋体"/>
                <w:szCs w:val="21"/>
                <w:highlight w:val="none"/>
              </w:rPr>
            </w:pPr>
            <w:r>
              <w:rPr>
                <w:rFonts w:ascii="宋体" w:eastAsia="宋体" w:hAnsi="宋体"/>
                <w:szCs w:val="21"/>
                <w:highlight w:val="none"/>
              </w:rPr>
              <w:t>概要设计说明书</w:t>
            </w:r>
          </w:p>
        </w:tc>
        <w:tc>
          <w:tcPr>
            <w:tcW w:w="2870" w:type="dxa"/>
            <w:noWrap w:val="0"/>
            <w:vAlign w:val="top"/>
          </w:tcPr>
          <w:p>
            <w:pPr>
              <w:snapToGrid w:val="0"/>
              <w:spacing w:before="156" w:beforeLines="50"/>
              <w:rPr>
                <w:rFonts w:ascii="宋体" w:eastAsia="宋体" w:hAnsi="宋体"/>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1951" w:type="dxa"/>
            <w:vMerge w:val="restart"/>
            <w:noWrap w:val="0"/>
            <w:vAlign w:val="top"/>
          </w:tcPr>
          <w:p>
            <w:pPr>
              <w:snapToGrid w:val="0"/>
              <w:spacing w:before="156" w:beforeLines="50"/>
              <w:jc w:val="center"/>
              <w:rPr>
                <w:rFonts w:ascii="宋体" w:eastAsia="宋体" w:hAnsi="宋体"/>
                <w:szCs w:val="21"/>
                <w:highlight w:val="none"/>
              </w:rPr>
            </w:pPr>
            <w:r>
              <w:rPr>
                <w:rFonts w:ascii="宋体" w:eastAsia="宋体" w:hAnsi="宋体"/>
                <w:szCs w:val="21"/>
                <w:highlight w:val="none"/>
              </w:rPr>
              <w:t>测试</w:t>
            </w:r>
          </w:p>
        </w:tc>
        <w:tc>
          <w:tcPr>
            <w:tcW w:w="3786" w:type="dxa"/>
            <w:noWrap w:val="0"/>
            <w:vAlign w:val="top"/>
          </w:tcPr>
          <w:p>
            <w:pPr>
              <w:snapToGrid w:val="0"/>
              <w:spacing w:before="156" w:beforeLines="50"/>
              <w:rPr>
                <w:rFonts w:ascii="宋体" w:eastAsia="宋体" w:hAnsi="宋体"/>
                <w:szCs w:val="21"/>
                <w:highlight w:val="none"/>
              </w:rPr>
            </w:pPr>
            <w:r>
              <w:rPr>
                <w:rFonts w:ascii="宋体" w:eastAsia="宋体" w:hAnsi="宋体"/>
                <w:szCs w:val="21"/>
                <w:highlight w:val="none"/>
              </w:rPr>
              <w:t>软件测试方案</w:t>
            </w:r>
          </w:p>
        </w:tc>
        <w:tc>
          <w:tcPr>
            <w:tcW w:w="2870" w:type="dxa"/>
            <w:vMerge w:val="restart"/>
            <w:noWrap w:val="0"/>
            <w:vAlign w:val="top"/>
          </w:tcPr>
          <w:p>
            <w:pPr>
              <w:snapToGrid w:val="0"/>
              <w:spacing w:before="156" w:beforeLines="50"/>
              <w:rPr>
                <w:rFonts w:ascii="宋体" w:eastAsia="宋体" w:hAnsi="宋体"/>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1951" w:type="dxa"/>
            <w:vMerge/>
            <w:noWrap w:val="0"/>
            <w:vAlign w:val="top"/>
          </w:tcPr>
          <w:p>
            <w:pPr>
              <w:snapToGrid w:val="0"/>
              <w:spacing w:before="156" w:beforeLines="50"/>
              <w:jc w:val="center"/>
              <w:rPr>
                <w:rFonts w:ascii="宋体" w:eastAsia="宋体" w:hAnsi="宋体"/>
                <w:szCs w:val="21"/>
                <w:highlight w:val="none"/>
              </w:rPr>
            </w:pPr>
          </w:p>
        </w:tc>
        <w:tc>
          <w:tcPr>
            <w:tcW w:w="3786" w:type="dxa"/>
            <w:noWrap w:val="0"/>
            <w:vAlign w:val="top"/>
          </w:tcPr>
          <w:p>
            <w:pPr>
              <w:snapToGrid w:val="0"/>
              <w:spacing w:before="156" w:beforeLines="50"/>
              <w:rPr>
                <w:rFonts w:ascii="宋体" w:eastAsia="宋体" w:hAnsi="宋体"/>
                <w:szCs w:val="21"/>
                <w:highlight w:val="none"/>
              </w:rPr>
            </w:pPr>
            <w:r>
              <w:rPr>
                <w:rFonts w:ascii="宋体" w:eastAsia="宋体" w:hAnsi="宋体"/>
                <w:szCs w:val="21"/>
                <w:highlight w:val="none"/>
              </w:rPr>
              <w:t>软件测试报告</w:t>
            </w:r>
          </w:p>
        </w:tc>
        <w:tc>
          <w:tcPr>
            <w:tcW w:w="2870" w:type="dxa"/>
            <w:vMerge/>
            <w:noWrap w:val="0"/>
            <w:vAlign w:val="top"/>
          </w:tcPr>
          <w:p>
            <w:pPr>
              <w:snapToGrid w:val="0"/>
              <w:spacing w:before="156" w:beforeLines="50"/>
              <w:rPr>
                <w:rFonts w:ascii="宋体" w:eastAsia="宋体" w:hAnsi="宋体"/>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1951" w:type="dxa"/>
            <w:vMerge w:val="restart"/>
            <w:noWrap w:val="0"/>
            <w:vAlign w:val="top"/>
          </w:tcPr>
          <w:p>
            <w:pPr>
              <w:snapToGrid w:val="0"/>
              <w:spacing w:before="156" w:beforeLines="50"/>
              <w:jc w:val="center"/>
              <w:rPr>
                <w:rFonts w:ascii="宋体" w:eastAsia="宋体" w:hAnsi="宋体"/>
                <w:szCs w:val="21"/>
                <w:highlight w:val="none"/>
              </w:rPr>
            </w:pPr>
            <w:r>
              <w:rPr>
                <w:rFonts w:ascii="宋体" w:eastAsia="宋体" w:hAnsi="宋体"/>
                <w:szCs w:val="21"/>
                <w:highlight w:val="none"/>
              </w:rPr>
              <w:t>初验</w:t>
            </w:r>
          </w:p>
        </w:tc>
        <w:tc>
          <w:tcPr>
            <w:tcW w:w="3786" w:type="dxa"/>
            <w:noWrap w:val="0"/>
            <w:vAlign w:val="top"/>
          </w:tcPr>
          <w:p>
            <w:pPr>
              <w:snapToGrid w:val="0"/>
              <w:spacing w:before="156" w:beforeLines="50"/>
              <w:rPr>
                <w:rFonts w:ascii="宋体" w:eastAsia="宋体" w:hAnsi="宋体"/>
                <w:szCs w:val="21"/>
                <w:highlight w:val="none"/>
              </w:rPr>
            </w:pPr>
            <w:r>
              <w:rPr>
                <w:rFonts w:ascii="宋体" w:eastAsia="宋体" w:hAnsi="宋体"/>
                <w:szCs w:val="21"/>
                <w:highlight w:val="none"/>
              </w:rPr>
              <w:t>用户手册</w:t>
            </w:r>
          </w:p>
        </w:tc>
        <w:tc>
          <w:tcPr>
            <w:tcW w:w="2870" w:type="dxa"/>
            <w:vMerge w:val="restart"/>
            <w:noWrap w:val="0"/>
            <w:vAlign w:val="top"/>
          </w:tcPr>
          <w:p>
            <w:pPr>
              <w:snapToGrid w:val="0"/>
              <w:spacing w:before="156" w:beforeLines="50"/>
              <w:rPr>
                <w:rFonts w:ascii="宋体" w:eastAsia="宋体" w:hAnsi="宋体"/>
                <w:szCs w:val="21"/>
                <w:highlight w:val="none"/>
              </w:rPr>
            </w:pPr>
            <w:r>
              <w:rPr>
                <w:rFonts w:ascii="宋体" w:eastAsia="宋体" w:hAnsi="宋体"/>
                <w:szCs w:val="21"/>
                <w:highlight w:val="none"/>
              </w:rPr>
              <w:t>初验申请</w:t>
            </w:r>
          </w:p>
        </w:tc>
      </w:tr>
      <w:tr>
        <w:tblPrEx>
          <w:tblW w:w="0" w:type="auto"/>
          <w:jc w:val="center"/>
          <w:tblLayout w:type="fixed"/>
          <w:tblCellMar>
            <w:top w:w="0" w:type="dxa"/>
            <w:left w:w="108" w:type="dxa"/>
            <w:bottom w:w="0" w:type="dxa"/>
            <w:right w:w="108" w:type="dxa"/>
          </w:tblCellMar>
        </w:tblPrEx>
        <w:trPr>
          <w:jc w:val="center"/>
        </w:trPr>
        <w:tc>
          <w:tcPr>
            <w:tcW w:w="1951" w:type="dxa"/>
            <w:vMerge/>
            <w:noWrap w:val="0"/>
            <w:vAlign w:val="top"/>
          </w:tcPr>
          <w:p>
            <w:pPr>
              <w:snapToGrid w:val="0"/>
              <w:spacing w:before="156" w:beforeLines="50"/>
              <w:jc w:val="center"/>
              <w:rPr>
                <w:rFonts w:ascii="宋体" w:eastAsia="宋体" w:hAnsi="宋体"/>
                <w:szCs w:val="21"/>
                <w:highlight w:val="none"/>
              </w:rPr>
            </w:pPr>
          </w:p>
        </w:tc>
        <w:tc>
          <w:tcPr>
            <w:tcW w:w="3786" w:type="dxa"/>
            <w:noWrap w:val="0"/>
            <w:vAlign w:val="top"/>
          </w:tcPr>
          <w:p>
            <w:pPr>
              <w:snapToGrid w:val="0"/>
              <w:spacing w:before="156" w:beforeLines="50"/>
              <w:rPr>
                <w:rFonts w:ascii="宋体" w:eastAsia="宋体" w:hAnsi="宋体"/>
                <w:szCs w:val="21"/>
                <w:highlight w:val="none"/>
              </w:rPr>
            </w:pPr>
            <w:r>
              <w:rPr>
                <w:rFonts w:ascii="宋体" w:eastAsia="宋体" w:hAnsi="宋体"/>
                <w:szCs w:val="21"/>
                <w:highlight w:val="none"/>
              </w:rPr>
              <w:t>运行维护手册</w:t>
            </w:r>
          </w:p>
        </w:tc>
        <w:tc>
          <w:tcPr>
            <w:tcW w:w="2870" w:type="dxa"/>
            <w:vMerge/>
            <w:noWrap w:val="0"/>
            <w:vAlign w:val="top"/>
          </w:tcPr>
          <w:p>
            <w:pPr>
              <w:snapToGrid w:val="0"/>
              <w:spacing w:before="156" w:beforeLines="50"/>
              <w:rPr>
                <w:rFonts w:ascii="宋体" w:eastAsia="宋体" w:hAnsi="宋体"/>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1951" w:type="dxa"/>
            <w:vMerge/>
            <w:noWrap w:val="0"/>
            <w:vAlign w:val="top"/>
          </w:tcPr>
          <w:p>
            <w:pPr>
              <w:snapToGrid w:val="0"/>
              <w:spacing w:before="156" w:beforeLines="50"/>
              <w:jc w:val="center"/>
              <w:rPr>
                <w:rFonts w:ascii="宋体" w:eastAsia="宋体" w:hAnsi="宋体"/>
                <w:szCs w:val="21"/>
                <w:highlight w:val="none"/>
              </w:rPr>
            </w:pPr>
          </w:p>
        </w:tc>
        <w:tc>
          <w:tcPr>
            <w:tcW w:w="3786" w:type="dxa"/>
            <w:noWrap w:val="0"/>
            <w:vAlign w:val="top"/>
          </w:tcPr>
          <w:p>
            <w:pPr>
              <w:snapToGrid w:val="0"/>
              <w:spacing w:before="156" w:beforeLines="50"/>
              <w:rPr>
                <w:rFonts w:ascii="宋体" w:eastAsia="宋体" w:hAnsi="宋体"/>
                <w:szCs w:val="21"/>
                <w:highlight w:val="none"/>
              </w:rPr>
            </w:pPr>
            <w:r>
              <w:rPr>
                <w:rFonts w:ascii="宋体" w:eastAsia="宋体" w:hAnsi="宋体"/>
                <w:szCs w:val="21"/>
                <w:highlight w:val="none"/>
              </w:rPr>
              <w:t>系统部署及配置说明书</w:t>
            </w:r>
          </w:p>
        </w:tc>
        <w:tc>
          <w:tcPr>
            <w:tcW w:w="2870" w:type="dxa"/>
            <w:vMerge/>
            <w:noWrap w:val="0"/>
            <w:vAlign w:val="top"/>
          </w:tcPr>
          <w:p>
            <w:pPr>
              <w:snapToGrid w:val="0"/>
              <w:spacing w:before="156" w:beforeLines="50"/>
              <w:rPr>
                <w:rFonts w:ascii="宋体" w:eastAsia="宋体" w:hAnsi="宋体"/>
                <w:szCs w:val="21"/>
                <w:highlight w:val="none"/>
              </w:rPr>
            </w:pPr>
          </w:p>
        </w:tc>
      </w:tr>
      <w:tr>
        <w:tblPrEx>
          <w:tblW w:w="0" w:type="auto"/>
          <w:jc w:val="center"/>
          <w:tblLayout w:type="fixed"/>
          <w:tblCellMar>
            <w:top w:w="0" w:type="dxa"/>
            <w:left w:w="108" w:type="dxa"/>
            <w:bottom w:w="0" w:type="dxa"/>
            <w:right w:w="108" w:type="dxa"/>
          </w:tblCellMar>
        </w:tblPrEx>
        <w:trPr>
          <w:trHeight w:val="573"/>
          <w:jc w:val="center"/>
        </w:trPr>
        <w:tc>
          <w:tcPr>
            <w:tcW w:w="1951" w:type="dxa"/>
            <w:vMerge w:val="restart"/>
            <w:noWrap w:val="0"/>
            <w:vAlign w:val="top"/>
          </w:tcPr>
          <w:p>
            <w:pPr>
              <w:snapToGrid w:val="0"/>
              <w:spacing w:before="156" w:beforeLines="50"/>
              <w:jc w:val="center"/>
              <w:rPr>
                <w:rFonts w:ascii="宋体" w:eastAsia="宋体" w:hAnsi="宋体"/>
                <w:szCs w:val="21"/>
                <w:highlight w:val="none"/>
              </w:rPr>
            </w:pPr>
            <w:r>
              <w:rPr>
                <w:rFonts w:ascii="宋体" w:eastAsia="宋体" w:hAnsi="宋体"/>
                <w:szCs w:val="21"/>
                <w:highlight w:val="none"/>
              </w:rPr>
              <w:t>试运行</w:t>
            </w:r>
          </w:p>
        </w:tc>
        <w:tc>
          <w:tcPr>
            <w:tcW w:w="3786" w:type="dxa"/>
            <w:tcBorders>
              <w:bottom w:val="single" w:sz="4" w:space="0" w:color="auto"/>
            </w:tcBorders>
            <w:noWrap w:val="0"/>
            <w:vAlign w:val="top"/>
          </w:tcPr>
          <w:p>
            <w:pPr>
              <w:snapToGrid w:val="0"/>
              <w:spacing w:before="156" w:beforeLines="50"/>
              <w:rPr>
                <w:rFonts w:ascii="宋体" w:eastAsia="宋体" w:hAnsi="宋体" w:hint="default"/>
                <w:highlight w:val="none"/>
              </w:rPr>
            </w:pPr>
            <w:r>
              <w:rPr>
                <w:rFonts w:ascii="宋体" w:eastAsia="宋体" w:hAnsi="宋体"/>
                <w:highlight w:val="none"/>
              </w:rPr>
              <w:t>试运行评估报告</w:t>
            </w:r>
            <w:r>
              <w:rPr>
                <w:rFonts w:ascii="宋体" w:eastAsia="宋体" w:hAnsi="宋体" w:hint="eastAsia"/>
                <w:highlight w:val="none"/>
                <w:lang w:val="en-US" w:eastAsia="zh-CN"/>
              </w:rPr>
              <w:t>及问题汇总表</w:t>
            </w:r>
          </w:p>
        </w:tc>
        <w:tc>
          <w:tcPr>
            <w:tcW w:w="2870" w:type="dxa"/>
            <w:tcBorders>
              <w:bottom w:val="single" w:sz="4" w:space="0" w:color="auto"/>
            </w:tcBorders>
            <w:noWrap w:val="0"/>
            <w:vAlign w:val="top"/>
          </w:tcPr>
          <w:p>
            <w:pPr>
              <w:snapToGrid w:val="0"/>
              <w:spacing w:before="156" w:beforeLines="50"/>
              <w:rPr>
                <w:rFonts w:ascii="宋体" w:eastAsia="宋体" w:hAnsi="宋体"/>
                <w:szCs w:val="21"/>
                <w:highlight w:val="none"/>
              </w:rPr>
            </w:pPr>
          </w:p>
        </w:tc>
      </w:tr>
      <w:tr>
        <w:tblPrEx>
          <w:tblW w:w="0" w:type="auto"/>
          <w:jc w:val="center"/>
          <w:tblLayout w:type="fixed"/>
          <w:tblCellMar>
            <w:top w:w="0" w:type="dxa"/>
            <w:left w:w="108" w:type="dxa"/>
            <w:bottom w:w="0" w:type="dxa"/>
            <w:right w:w="108" w:type="dxa"/>
          </w:tblCellMar>
        </w:tblPrEx>
        <w:trPr>
          <w:trHeight w:val="1077"/>
          <w:jc w:val="center"/>
        </w:trPr>
        <w:tc>
          <w:tcPr>
            <w:tcW w:w="1951" w:type="dxa"/>
            <w:vMerge/>
            <w:noWrap w:val="0"/>
            <w:vAlign w:val="top"/>
          </w:tcPr>
          <w:p>
            <w:pPr>
              <w:snapToGrid w:val="0"/>
              <w:spacing w:before="156" w:beforeLines="50"/>
              <w:jc w:val="center"/>
              <w:rPr>
                <w:rFonts w:ascii="宋体" w:eastAsia="宋体" w:hAnsi="宋体"/>
                <w:szCs w:val="21"/>
                <w:highlight w:val="none"/>
              </w:rPr>
            </w:pPr>
          </w:p>
        </w:tc>
        <w:tc>
          <w:tcPr>
            <w:tcW w:w="3786" w:type="dxa"/>
            <w:tcBorders>
              <w:top w:val="single" w:sz="4" w:space="0" w:color="auto"/>
            </w:tcBorders>
            <w:noWrap w:val="0"/>
            <w:vAlign w:val="top"/>
          </w:tcPr>
          <w:p>
            <w:pPr>
              <w:snapToGrid w:val="0"/>
              <w:spacing w:before="156" w:beforeLines="50"/>
              <w:rPr>
                <w:rFonts w:ascii="宋体" w:eastAsia="宋体" w:hAnsi="宋体" w:hint="eastAsia"/>
                <w:highlight w:val="none"/>
              </w:rPr>
            </w:pPr>
            <w:r>
              <w:rPr>
                <w:rFonts w:ascii="宋体" w:eastAsia="宋体" w:hAnsi="宋体" w:hint="eastAsia"/>
                <w:highlight w:val="none"/>
                <w:lang w:val="en-US" w:eastAsia="zh-CN"/>
              </w:rPr>
              <w:t>试运行和质量保证期的故障报告单</w:t>
            </w:r>
          </w:p>
        </w:tc>
        <w:tc>
          <w:tcPr>
            <w:tcW w:w="2870" w:type="dxa"/>
            <w:tcBorders>
              <w:top w:val="single" w:sz="4" w:space="0" w:color="auto"/>
            </w:tcBorders>
            <w:noWrap w:val="0"/>
            <w:vAlign w:val="top"/>
          </w:tcPr>
          <w:p>
            <w:pPr>
              <w:snapToGrid w:val="0"/>
              <w:spacing w:before="156" w:beforeLines="50"/>
              <w:rPr>
                <w:rFonts w:ascii="宋体" w:eastAsia="宋体" w:hAnsi="宋体"/>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1951" w:type="dxa"/>
            <w:noWrap w:val="0"/>
            <w:vAlign w:val="top"/>
          </w:tcPr>
          <w:p>
            <w:pPr>
              <w:snapToGrid w:val="0"/>
              <w:spacing w:before="156" w:beforeLines="50"/>
              <w:jc w:val="center"/>
              <w:rPr>
                <w:rFonts w:ascii="宋体" w:eastAsia="宋体" w:hAnsi="宋体"/>
                <w:szCs w:val="21"/>
                <w:highlight w:val="none"/>
              </w:rPr>
            </w:pPr>
            <w:r>
              <w:rPr>
                <w:rFonts w:ascii="宋体" w:eastAsia="宋体" w:hAnsi="宋体"/>
                <w:szCs w:val="21"/>
                <w:highlight w:val="none"/>
              </w:rPr>
              <w:t>培训</w:t>
            </w:r>
          </w:p>
        </w:tc>
        <w:tc>
          <w:tcPr>
            <w:tcW w:w="3786" w:type="dxa"/>
            <w:noWrap w:val="0"/>
            <w:vAlign w:val="top"/>
          </w:tcPr>
          <w:p>
            <w:pPr>
              <w:snapToGrid w:val="0"/>
              <w:spacing w:before="156" w:beforeLines="50"/>
              <w:rPr>
                <w:rFonts w:ascii="宋体" w:eastAsia="宋体" w:hAnsi="宋体"/>
                <w:szCs w:val="21"/>
                <w:highlight w:val="none"/>
              </w:rPr>
            </w:pPr>
            <w:r>
              <w:rPr>
                <w:rFonts w:ascii="宋体" w:eastAsia="宋体" w:hAnsi="宋体"/>
                <w:szCs w:val="21"/>
                <w:highlight w:val="none"/>
              </w:rPr>
              <w:t>培训教程</w:t>
            </w:r>
          </w:p>
        </w:tc>
        <w:tc>
          <w:tcPr>
            <w:tcW w:w="2870" w:type="dxa"/>
            <w:noWrap w:val="0"/>
            <w:vAlign w:val="top"/>
          </w:tcPr>
          <w:p>
            <w:pPr>
              <w:snapToGrid w:val="0"/>
              <w:spacing w:before="156" w:beforeLines="50"/>
              <w:rPr>
                <w:rFonts w:ascii="宋体" w:eastAsia="宋体" w:hAnsi="宋体"/>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1951" w:type="dxa"/>
            <w:vMerge w:val="restart"/>
            <w:noWrap w:val="0"/>
            <w:vAlign w:val="top"/>
          </w:tcPr>
          <w:p>
            <w:pPr>
              <w:snapToGrid w:val="0"/>
              <w:spacing w:before="156" w:beforeLines="50"/>
              <w:jc w:val="center"/>
              <w:rPr>
                <w:rFonts w:ascii="宋体" w:eastAsia="宋体" w:hAnsi="宋体"/>
                <w:szCs w:val="21"/>
                <w:highlight w:val="none"/>
              </w:rPr>
            </w:pPr>
            <w:r>
              <w:rPr>
                <w:rFonts w:ascii="宋体" w:eastAsia="宋体" w:hAnsi="宋体"/>
                <w:szCs w:val="21"/>
                <w:highlight w:val="none"/>
              </w:rPr>
              <w:t>终验</w:t>
            </w:r>
          </w:p>
        </w:tc>
        <w:tc>
          <w:tcPr>
            <w:tcW w:w="3786" w:type="dxa"/>
            <w:noWrap w:val="0"/>
            <w:vAlign w:val="top"/>
          </w:tcPr>
          <w:p>
            <w:pPr>
              <w:snapToGrid w:val="0"/>
              <w:spacing w:before="156" w:beforeLines="50"/>
              <w:rPr>
                <w:rFonts w:ascii="宋体" w:eastAsia="宋体" w:hAnsi="宋体"/>
                <w:szCs w:val="21"/>
                <w:highlight w:val="none"/>
              </w:rPr>
            </w:pPr>
            <w:r>
              <w:rPr>
                <w:rFonts w:ascii="宋体" w:eastAsia="宋体" w:hAnsi="宋体"/>
                <w:szCs w:val="21"/>
                <w:highlight w:val="none"/>
              </w:rPr>
              <w:t>验收报告</w:t>
            </w:r>
          </w:p>
        </w:tc>
        <w:tc>
          <w:tcPr>
            <w:tcW w:w="2870" w:type="dxa"/>
            <w:vMerge w:val="restart"/>
            <w:noWrap w:val="0"/>
            <w:vAlign w:val="top"/>
          </w:tcPr>
          <w:p>
            <w:pPr>
              <w:snapToGrid w:val="0"/>
              <w:spacing w:before="156" w:beforeLines="50"/>
              <w:rPr>
                <w:rFonts w:ascii="宋体" w:eastAsia="宋体" w:hAnsi="宋体"/>
                <w:szCs w:val="21"/>
                <w:highlight w:val="none"/>
              </w:rPr>
            </w:pPr>
            <w:r>
              <w:rPr>
                <w:rFonts w:ascii="宋体" w:eastAsia="宋体" w:hAnsi="宋体"/>
                <w:szCs w:val="21"/>
                <w:highlight w:val="none"/>
              </w:rPr>
              <w:t>终验申请</w:t>
            </w:r>
          </w:p>
        </w:tc>
      </w:tr>
      <w:tr>
        <w:tblPrEx>
          <w:tblW w:w="0" w:type="auto"/>
          <w:jc w:val="center"/>
          <w:tblLayout w:type="fixed"/>
          <w:tblCellMar>
            <w:top w:w="0" w:type="dxa"/>
            <w:left w:w="108" w:type="dxa"/>
            <w:bottom w:w="0" w:type="dxa"/>
            <w:right w:w="108" w:type="dxa"/>
          </w:tblCellMar>
        </w:tblPrEx>
        <w:trPr>
          <w:jc w:val="center"/>
        </w:trPr>
        <w:tc>
          <w:tcPr>
            <w:tcW w:w="1951" w:type="dxa"/>
            <w:vMerge/>
            <w:noWrap w:val="0"/>
            <w:vAlign w:val="top"/>
          </w:tcPr>
          <w:p>
            <w:pPr>
              <w:snapToGrid w:val="0"/>
              <w:spacing w:before="156" w:beforeLines="50"/>
              <w:jc w:val="center"/>
              <w:rPr>
                <w:rFonts w:ascii="宋体" w:eastAsia="宋体" w:hAnsi="宋体"/>
                <w:szCs w:val="21"/>
                <w:highlight w:val="none"/>
              </w:rPr>
            </w:pPr>
          </w:p>
        </w:tc>
        <w:tc>
          <w:tcPr>
            <w:tcW w:w="3786" w:type="dxa"/>
            <w:noWrap w:val="0"/>
            <w:vAlign w:val="top"/>
          </w:tcPr>
          <w:p>
            <w:pPr>
              <w:snapToGrid w:val="0"/>
              <w:spacing w:before="156" w:beforeLines="50"/>
              <w:rPr>
                <w:rFonts w:ascii="宋体" w:eastAsia="宋体" w:hAnsi="宋体"/>
                <w:szCs w:val="21"/>
                <w:highlight w:val="none"/>
              </w:rPr>
            </w:pPr>
            <w:r>
              <w:rPr>
                <w:rFonts w:ascii="宋体" w:eastAsia="宋体" w:hAnsi="宋体"/>
                <w:szCs w:val="21"/>
                <w:highlight w:val="none"/>
              </w:rPr>
              <w:t>技术总结报告</w:t>
            </w:r>
          </w:p>
        </w:tc>
        <w:tc>
          <w:tcPr>
            <w:tcW w:w="2870" w:type="dxa"/>
            <w:vMerge/>
            <w:noWrap w:val="0"/>
            <w:vAlign w:val="top"/>
          </w:tcPr>
          <w:p>
            <w:pPr>
              <w:snapToGrid w:val="0"/>
              <w:spacing w:before="156" w:beforeLines="50"/>
              <w:rPr>
                <w:rFonts w:ascii="宋体" w:eastAsia="宋体" w:hAnsi="宋体"/>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1951" w:type="dxa"/>
            <w:vMerge w:val="restart"/>
            <w:noWrap w:val="0"/>
            <w:vAlign w:val="top"/>
          </w:tcPr>
          <w:p>
            <w:pPr>
              <w:snapToGrid w:val="0"/>
              <w:spacing w:before="156" w:beforeLines="50"/>
              <w:jc w:val="center"/>
              <w:rPr>
                <w:rFonts w:ascii="宋体" w:eastAsia="宋体" w:hAnsi="宋体"/>
                <w:szCs w:val="21"/>
                <w:highlight w:val="none"/>
              </w:rPr>
            </w:pPr>
            <w:r>
              <w:rPr>
                <w:rFonts w:ascii="宋体" w:eastAsia="宋体" w:hAnsi="宋体"/>
                <w:szCs w:val="21"/>
                <w:highlight w:val="none"/>
              </w:rPr>
              <w:t>其他</w:t>
            </w:r>
          </w:p>
        </w:tc>
        <w:tc>
          <w:tcPr>
            <w:tcW w:w="3786" w:type="dxa"/>
            <w:vMerge w:val="restart"/>
            <w:noWrap w:val="0"/>
            <w:vAlign w:val="top"/>
          </w:tcPr>
          <w:p>
            <w:pPr>
              <w:snapToGrid w:val="0"/>
              <w:spacing w:before="156" w:beforeLines="50"/>
              <w:rPr>
                <w:rFonts w:ascii="宋体" w:eastAsia="宋体" w:hAnsi="宋体"/>
                <w:szCs w:val="21"/>
                <w:highlight w:val="none"/>
              </w:rPr>
            </w:pPr>
          </w:p>
        </w:tc>
        <w:tc>
          <w:tcPr>
            <w:tcW w:w="2870" w:type="dxa"/>
            <w:noWrap w:val="0"/>
            <w:vAlign w:val="top"/>
          </w:tcPr>
          <w:p>
            <w:pPr>
              <w:snapToGrid w:val="0"/>
              <w:spacing w:before="156" w:beforeLines="50"/>
              <w:rPr>
                <w:rFonts w:ascii="宋体" w:eastAsia="宋体" w:hAnsi="宋体"/>
                <w:szCs w:val="21"/>
                <w:highlight w:val="none"/>
              </w:rPr>
            </w:pPr>
            <w:r>
              <w:rPr>
                <w:rFonts w:ascii="宋体" w:eastAsia="宋体" w:hAnsi="宋体"/>
                <w:szCs w:val="21"/>
                <w:highlight w:val="none"/>
              </w:rPr>
              <w:t>项目周报</w:t>
            </w:r>
          </w:p>
        </w:tc>
      </w:tr>
      <w:tr>
        <w:tblPrEx>
          <w:tblW w:w="0" w:type="auto"/>
          <w:jc w:val="center"/>
          <w:tblLayout w:type="fixed"/>
          <w:tblCellMar>
            <w:top w:w="0" w:type="dxa"/>
            <w:left w:w="108" w:type="dxa"/>
            <w:bottom w:w="0" w:type="dxa"/>
            <w:right w:w="108" w:type="dxa"/>
          </w:tblCellMar>
        </w:tblPrEx>
        <w:trPr>
          <w:jc w:val="center"/>
        </w:trPr>
        <w:tc>
          <w:tcPr>
            <w:tcW w:w="1951" w:type="dxa"/>
            <w:vMerge/>
            <w:noWrap w:val="0"/>
            <w:vAlign w:val="top"/>
          </w:tcPr>
          <w:p>
            <w:pPr>
              <w:snapToGrid w:val="0"/>
              <w:spacing w:before="156" w:beforeLines="50"/>
              <w:rPr>
                <w:rFonts w:ascii="宋体" w:eastAsia="宋体" w:hAnsi="宋体"/>
                <w:szCs w:val="21"/>
                <w:highlight w:val="none"/>
              </w:rPr>
            </w:pPr>
          </w:p>
        </w:tc>
        <w:tc>
          <w:tcPr>
            <w:tcW w:w="3786" w:type="dxa"/>
            <w:vMerge/>
            <w:noWrap w:val="0"/>
            <w:vAlign w:val="top"/>
          </w:tcPr>
          <w:p>
            <w:pPr>
              <w:snapToGrid w:val="0"/>
              <w:spacing w:before="156" w:beforeLines="50"/>
              <w:rPr>
                <w:rFonts w:ascii="宋体" w:eastAsia="宋体" w:hAnsi="宋体"/>
                <w:szCs w:val="21"/>
                <w:highlight w:val="none"/>
              </w:rPr>
            </w:pPr>
          </w:p>
        </w:tc>
        <w:tc>
          <w:tcPr>
            <w:tcW w:w="2870" w:type="dxa"/>
            <w:noWrap w:val="0"/>
            <w:vAlign w:val="top"/>
          </w:tcPr>
          <w:p>
            <w:pPr>
              <w:snapToGrid w:val="0"/>
              <w:spacing w:before="156" w:beforeLines="50"/>
              <w:rPr>
                <w:rFonts w:ascii="宋体" w:eastAsia="宋体" w:hAnsi="宋体"/>
                <w:szCs w:val="21"/>
                <w:highlight w:val="none"/>
              </w:rPr>
            </w:pPr>
            <w:r>
              <w:rPr>
                <w:rFonts w:ascii="宋体" w:eastAsia="宋体" w:hAnsi="宋体"/>
                <w:szCs w:val="21"/>
                <w:highlight w:val="none"/>
              </w:rPr>
              <w:t>会议纪要</w:t>
            </w:r>
          </w:p>
        </w:tc>
      </w:tr>
    </w:tbl>
    <w:p>
      <w:pPr>
        <w:pStyle w:val="Heading2"/>
        <w:keepNext/>
        <w:keepLines/>
        <w:widowControl w:val="0"/>
        <w:numPr>
          <w:ilvl w:val="1"/>
          <w:numId w:val="4"/>
        </w:numPr>
        <w:spacing w:line="560" w:lineRule="exact"/>
        <w:ind w:left="432" w:hanging="432"/>
        <w:jc w:val="both"/>
        <w:rPr>
          <w:rFonts w:hint="eastAsia"/>
          <w:highlight w:val="none"/>
        </w:rPr>
      </w:pPr>
      <w:bookmarkStart w:id="457" w:name="_Toc119829565"/>
      <w:bookmarkStart w:id="458" w:name="_Toc6495"/>
      <w:bookmarkStart w:id="459" w:name="_Toc791206916"/>
      <w:bookmarkStart w:id="460" w:name="_Toc28745"/>
      <w:bookmarkStart w:id="461" w:name="_Toc5290"/>
      <w:bookmarkStart w:id="462" w:name="_Toc27981"/>
      <w:bookmarkStart w:id="463" w:name="_Toc29535"/>
      <w:r>
        <w:rPr>
          <w:rFonts w:hint="eastAsia"/>
          <w:highlight w:val="none"/>
        </w:rPr>
        <w:t>项目组织与管理要求</w:t>
      </w:r>
      <w:bookmarkEnd w:id="457"/>
      <w:bookmarkEnd w:id="458"/>
      <w:bookmarkEnd w:id="459"/>
      <w:bookmarkEnd w:id="460"/>
      <w:bookmarkEnd w:id="461"/>
      <w:bookmarkEnd w:id="462"/>
      <w:bookmarkEnd w:id="463"/>
    </w:p>
    <w:p>
      <w:pPr>
        <w:pStyle w:val="Heading3"/>
        <w:keepNext/>
        <w:keepLines/>
        <w:widowControl w:val="0"/>
        <w:numPr>
          <w:ilvl w:val="2"/>
          <w:numId w:val="4"/>
        </w:numPr>
        <w:spacing w:line="560" w:lineRule="atLeast"/>
        <w:ind w:left="575" w:hanging="575"/>
        <w:jc w:val="both"/>
        <w:rPr>
          <w:rFonts w:hint="eastAsia"/>
          <w:highlight w:val="none"/>
        </w:rPr>
      </w:pPr>
      <w:bookmarkStart w:id="464" w:name="_Toc25461"/>
      <w:bookmarkStart w:id="465" w:name="_Toc119829566"/>
      <w:bookmarkStart w:id="466" w:name="_Toc11445"/>
      <w:bookmarkStart w:id="467" w:name="_Toc31139"/>
      <w:bookmarkStart w:id="468" w:name="_Toc1608"/>
      <w:bookmarkStart w:id="469" w:name="_Toc595894988"/>
      <w:bookmarkStart w:id="470" w:name="_Toc9620"/>
      <w:r>
        <w:rPr>
          <w:rFonts w:hint="eastAsia"/>
          <w:highlight w:val="none"/>
        </w:rPr>
        <w:t>编制软件开发实施进度计划并组织实施</w:t>
      </w:r>
      <w:bookmarkEnd w:id="464"/>
      <w:bookmarkEnd w:id="465"/>
      <w:bookmarkEnd w:id="466"/>
      <w:bookmarkEnd w:id="467"/>
      <w:bookmarkEnd w:id="468"/>
      <w:bookmarkEnd w:id="469"/>
      <w:bookmarkEnd w:id="470"/>
    </w:p>
    <w:p>
      <w:pPr>
        <w:pStyle w:val="NormalIndent"/>
        <w:numPr>
          <w:ilvl w:val="0"/>
          <w:numId w:val="8"/>
        </w:numPr>
        <w:ind w:firstLineChars="0"/>
        <w:rPr>
          <w:rFonts w:ascii="宋体" w:hAnsi="宋体" w:hint="eastAsia"/>
          <w:highlight w:val="none"/>
        </w:rPr>
      </w:pPr>
      <w:r>
        <w:rPr>
          <w:rFonts w:ascii="宋体" w:hAnsi="宋体" w:hint="eastAsia"/>
          <w:highlight w:val="none"/>
        </w:rPr>
        <w:t>提供软件开发实施详细计划。</w:t>
      </w:r>
    </w:p>
    <w:p>
      <w:pPr>
        <w:pStyle w:val="NormalIndent"/>
        <w:numPr>
          <w:ilvl w:val="0"/>
          <w:numId w:val="8"/>
        </w:numPr>
        <w:ind w:firstLineChars="0"/>
        <w:rPr>
          <w:rFonts w:ascii="宋体" w:hAnsi="宋体" w:hint="eastAsia"/>
          <w:highlight w:val="none"/>
        </w:rPr>
      </w:pPr>
      <w:r>
        <w:rPr>
          <w:rFonts w:ascii="宋体" w:hAnsi="宋体" w:hint="eastAsia"/>
          <w:highlight w:val="none"/>
        </w:rPr>
        <w:t>每周向甲方提供工作实施进展情况，并提出相关建议。</w:t>
      </w:r>
    </w:p>
    <w:p>
      <w:pPr>
        <w:pStyle w:val="NormalIndent"/>
        <w:numPr>
          <w:ilvl w:val="0"/>
          <w:numId w:val="8"/>
        </w:numPr>
        <w:ind w:firstLineChars="0"/>
        <w:rPr>
          <w:rFonts w:ascii="宋体" w:hAnsi="宋体" w:hint="eastAsia"/>
          <w:highlight w:val="none"/>
        </w:rPr>
      </w:pPr>
      <w:r>
        <w:rPr>
          <w:rFonts w:ascii="宋体" w:hAnsi="宋体" w:hint="eastAsia"/>
          <w:highlight w:val="none"/>
        </w:rPr>
        <w:t>解决软件开发实施过程中出现的各种技术问题。</w:t>
      </w:r>
    </w:p>
    <w:p>
      <w:pPr>
        <w:pStyle w:val="NormalIndent"/>
        <w:numPr>
          <w:ilvl w:val="0"/>
          <w:numId w:val="8"/>
        </w:numPr>
        <w:ind w:firstLineChars="0"/>
        <w:rPr>
          <w:rFonts w:ascii="宋体" w:hAnsi="宋体" w:hint="eastAsia"/>
          <w:highlight w:val="none"/>
        </w:rPr>
      </w:pPr>
      <w:r>
        <w:rPr>
          <w:rFonts w:ascii="宋体" w:hAnsi="宋体" w:hint="eastAsia"/>
          <w:highlight w:val="none"/>
        </w:rPr>
        <w:t>协助甲方处理实施过程中出现的质量事故。</w:t>
      </w:r>
    </w:p>
    <w:p>
      <w:pPr>
        <w:pStyle w:val="NormalIndent"/>
        <w:numPr>
          <w:ilvl w:val="0"/>
          <w:numId w:val="8"/>
        </w:numPr>
        <w:ind w:firstLineChars="0"/>
        <w:rPr>
          <w:rFonts w:ascii="宋体" w:hAnsi="宋体" w:hint="eastAsia"/>
          <w:highlight w:val="none"/>
        </w:rPr>
      </w:pPr>
      <w:r>
        <w:rPr>
          <w:rFonts w:ascii="宋体" w:hAnsi="宋体" w:hint="eastAsia"/>
          <w:highlight w:val="none"/>
        </w:rPr>
        <w:t>计划周密，当项目建设过程中出现变化时，要能及时做出调整。</w:t>
      </w:r>
    </w:p>
    <w:p>
      <w:pPr>
        <w:pStyle w:val="NormalIndent"/>
        <w:numPr>
          <w:ilvl w:val="0"/>
          <w:numId w:val="8"/>
        </w:numPr>
        <w:ind w:firstLineChars="0"/>
        <w:rPr>
          <w:rFonts w:ascii="宋体" w:hAnsi="宋体" w:hint="eastAsia"/>
          <w:highlight w:val="none"/>
        </w:rPr>
      </w:pPr>
      <w:r>
        <w:rPr>
          <w:rFonts w:ascii="宋体" w:hAnsi="宋体" w:hint="eastAsia"/>
          <w:highlight w:val="none"/>
        </w:rPr>
        <w:t>要有规范的整体项目管理、项目质量管理和进度管理机制。</w:t>
      </w:r>
    </w:p>
    <w:p>
      <w:pPr>
        <w:pStyle w:val="Heading3"/>
        <w:keepNext/>
        <w:keepLines/>
        <w:widowControl w:val="0"/>
        <w:numPr>
          <w:ilvl w:val="2"/>
          <w:numId w:val="4"/>
        </w:numPr>
        <w:spacing w:line="560" w:lineRule="atLeast"/>
        <w:ind w:left="575" w:hanging="575"/>
        <w:jc w:val="both"/>
        <w:rPr>
          <w:rFonts w:hint="eastAsia"/>
          <w:highlight w:val="none"/>
        </w:rPr>
      </w:pPr>
      <w:bookmarkStart w:id="471" w:name="_Toc16752"/>
      <w:bookmarkStart w:id="472" w:name="_Toc27007"/>
      <w:bookmarkStart w:id="473" w:name="_Toc119829567"/>
      <w:bookmarkStart w:id="474" w:name="_Toc14050"/>
      <w:bookmarkStart w:id="475" w:name="_Toc10812"/>
      <w:bookmarkStart w:id="476" w:name="_Toc1490817355"/>
      <w:bookmarkStart w:id="477" w:name="_Toc9563"/>
      <w:r>
        <w:rPr>
          <w:rFonts w:hint="eastAsia"/>
          <w:highlight w:val="none"/>
        </w:rPr>
        <w:t>进行项目开发的日常组织、管理、协调</w:t>
      </w:r>
      <w:bookmarkEnd w:id="471"/>
      <w:bookmarkEnd w:id="472"/>
      <w:bookmarkEnd w:id="473"/>
      <w:bookmarkEnd w:id="474"/>
      <w:bookmarkEnd w:id="475"/>
      <w:bookmarkEnd w:id="476"/>
      <w:bookmarkEnd w:id="477"/>
    </w:p>
    <w:p>
      <w:pPr>
        <w:pStyle w:val="NormalIndent"/>
        <w:numPr>
          <w:ilvl w:val="0"/>
          <w:numId w:val="9"/>
        </w:numPr>
        <w:ind w:firstLineChars="0"/>
        <w:rPr>
          <w:rFonts w:ascii="宋体" w:hAnsi="宋体" w:hint="eastAsia"/>
          <w:highlight w:val="none"/>
        </w:rPr>
      </w:pPr>
      <w:r>
        <w:rPr>
          <w:rFonts w:ascii="宋体" w:hAnsi="宋体" w:hint="eastAsia"/>
          <w:highlight w:val="none"/>
        </w:rPr>
        <w:t>参加甲方组织的与项目建设有关的各类会议。</w:t>
      </w:r>
    </w:p>
    <w:p>
      <w:pPr>
        <w:pStyle w:val="NormalIndent"/>
        <w:numPr>
          <w:ilvl w:val="0"/>
          <w:numId w:val="9"/>
        </w:numPr>
        <w:ind w:firstLineChars="0"/>
        <w:rPr>
          <w:rFonts w:ascii="宋体" w:hAnsi="宋体" w:hint="eastAsia"/>
          <w:highlight w:val="none"/>
        </w:rPr>
      </w:pPr>
      <w:r>
        <w:rPr>
          <w:rFonts w:ascii="宋体" w:hAnsi="宋体" w:hint="eastAsia"/>
          <w:highlight w:val="none"/>
        </w:rPr>
        <w:t>要遵循相应的项目管理规范，并有相应的项目管理文档。</w:t>
      </w:r>
    </w:p>
    <w:p>
      <w:pPr>
        <w:pStyle w:val="NormalIndent"/>
        <w:numPr>
          <w:ilvl w:val="0"/>
          <w:numId w:val="9"/>
        </w:numPr>
        <w:ind w:firstLineChars="0"/>
        <w:rPr>
          <w:rFonts w:ascii="宋体" w:hAnsi="宋体" w:hint="eastAsia"/>
          <w:highlight w:val="none"/>
        </w:rPr>
      </w:pPr>
      <w:r>
        <w:rPr>
          <w:rFonts w:ascii="宋体" w:hAnsi="宋体" w:hint="eastAsia"/>
          <w:highlight w:val="none"/>
        </w:rPr>
        <w:t>对项目建设任务中出现的调整，要及时做出安排，并尊重甲方的安排。</w:t>
      </w:r>
    </w:p>
    <w:p>
      <w:pPr>
        <w:pStyle w:val="Heading2"/>
        <w:keepNext/>
        <w:keepLines/>
        <w:widowControl w:val="0"/>
        <w:numPr>
          <w:ilvl w:val="1"/>
          <w:numId w:val="4"/>
        </w:numPr>
        <w:spacing w:line="560" w:lineRule="exact"/>
        <w:ind w:left="432" w:hanging="432"/>
        <w:jc w:val="both"/>
        <w:rPr>
          <w:rFonts w:hint="eastAsia"/>
          <w:highlight w:val="none"/>
        </w:rPr>
      </w:pPr>
      <w:bookmarkStart w:id="478" w:name="_Toc10778"/>
      <w:bookmarkStart w:id="479" w:name="_Toc26640"/>
      <w:bookmarkStart w:id="480" w:name="_Toc22525"/>
      <w:bookmarkStart w:id="481" w:name="_Toc18542"/>
      <w:bookmarkStart w:id="482" w:name="_Toc1475575936"/>
      <w:bookmarkStart w:id="483" w:name="_Toc701"/>
      <w:bookmarkStart w:id="484" w:name="_Toc119829568"/>
      <w:r>
        <w:rPr>
          <w:rFonts w:hint="eastAsia"/>
          <w:highlight w:val="none"/>
        </w:rPr>
        <w:t>项目的人员及组织机构要求</w:t>
      </w:r>
      <w:bookmarkEnd w:id="478"/>
      <w:bookmarkEnd w:id="479"/>
      <w:bookmarkEnd w:id="480"/>
      <w:bookmarkEnd w:id="481"/>
      <w:bookmarkEnd w:id="482"/>
      <w:bookmarkEnd w:id="483"/>
      <w:bookmarkEnd w:id="484"/>
    </w:p>
    <w:p>
      <w:pPr>
        <w:pStyle w:val="NormalIndent"/>
        <w:ind w:firstLine="480"/>
        <w:rPr>
          <w:rFonts w:ascii="宋体" w:hAnsi="宋体" w:hint="eastAsia"/>
          <w:highlight w:val="none"/>
        </w:rPr>
      </w:pPr>
      <w:r>
        <w:rPr>
          <w:rFonts w:ascii="宋体" w:hAnsi="宋体" w:hint="eastAsia"/>
          <w:highlight w:val="none"/>
        </w:rPr>
        <w:t>乙方必须成立合理的组织机构，建立健全保障设计、开发工作顺利实施的各项管理制度和质量保证体系，安排好足够的高素质人才参加本项目工作。</w:t>
      </w:r>
    </w:p>
    <w:p>
      <w:pPr>
        <w:pStyle w:val="NormalIndent"/>
        <w:ind w:firstLine="480"/>
        <w:rPr>
          <w:rFonts w:ascii="宋体" w:hAnsi="宋体" w:hint="eastAsia"/>
          <w:highlight w:val="none"/>
        </w:rPr>
      </w:pPr>
      <w:r>
        <w:rPr>
          <w:rFonts w:ascii="宋体" w:hAnsi="宋体" w:hint="eastAsia"/>
          <w:highlight w:val="none"/>
        </w:rPr>
        <w:t>在组织机构中应明确各岗位的职责、任职资格及成果，确保项目顺利实施，应分别配备有项目经理、技术负责人承担本项目工作，项目经理和技术负责人都应具有3年以上软件管理或开发的经验，负责并完成过至少3个服务类软件设计的经验。技术人员必须具有两年以上相关项目软件设计、开发和集成经验，能够与用户进行良好的沟通。</w:t>
      </w:r>
    </w:p>
    <w:p>
      <w:pPr>
        <w:pStyle w:val="NormalIndent"/>
        <w:ind w:firstLine="480"/>
        <w:rPr>
          <w:rFonts w:ascii="宋体" w:eastAsia="宋体" w:hAnsi="宋体" w:cs="Times New Roman" w:hint="eastAsia"/>
          <w:highlight w:val="none"/>
        </w:rPr>
      </w:pPr>
      <w:bookmarkStart w:id="485" w:name="_Toc166187020"/>
      <w:bookmarkStart w:id="486" w:name="_Toc2843"/>
      <w:bookmarkStart w:id="487" w:name="_Toc89681338"/>
      <w:bookmarkStart w:id="488" w:name="_Toc89681587"/>
      <w:r>
        <w:rPr>
          <w:rFonts w:ascii="宋体" w:eastAsia="宋体" w:hAnsi="宋体" w:cs="Times New Roman" w:hint="eastAsia"/>
          <w:highlight w:val="none"/>
        </w:rPr>
        <w:t>乙方应组成</w:t>
      </w:r>
      <w:r>
        <w:rPr>
          <w:rFonts w:ascii="宋体" w:eastAsia="宋体" w:hAnsi="宋体" w:cs="Times New Roman" w:hint="eastAsia"/>
          <w:highlight w:val="none"/>
          <w:lang w:val="en-US" w:eastAsia="zh-CN"/>
        </w:rPr>
        <w:t>8</w:t>
      </w:r>
      <w:r>
        <w:rPr>
          <w:rFonts w:ascii="宋体" w:eastAsia="宋体" w:hAnsi="宋体" w:cs="Times New Roman" w:hint="eastAsia"/>
          <w:highlight w:val="none"/>
        </w:rPr>
        <w:t>人</w:t>
      </w:r>
      <w:r>
        <w:rPr>
          <w:rFonts w:ascii="宋体" w:eastAsia="宋体" w:hAnsi="宋体" w:cs="Times New Roman" w:hint="eastAsia"/>
          <w:highlight w:val="none"/>
          <w:lang w:val="en-US" w:eastAsia="zh-CN"/>
        </w:rPr>
        <w:t>以上</w:t>
      </w:r>
      <w:r>
        <w:rPr>
          <w:rFonts w:ascii="宋体" w:eastAsia="宋体" w:hAnsi="宋体" w:cs="Times New Roman" w:hint="eastAsia"/>
          <w:highlight w:val="none"/>
        </w:rPr>
        <w:t>的服务团队，并确保服务于本项目核心技术人员及主要开发人员稳定</w:t>
      </w:r>
      <w:r>
        <w:rPr>
          <w:rFonts w:ascii="宋体" w:eastAsia="宋体" w:hAnsi="宋体" w:cs="Times New Roman" w:hint="eastAsia"/>
          <w:highlight w:val="none"/>
        </w:rPr>
        <w:t>，</w:t>
      </w:r>
      <w:r>
        <w:rPr>
          <w:rFonts w:ascii="宋体" w:eastAsia="宋体" w:hAnsi="宋体" w:cs="Times New Roman" w:hint="eastAsia"/>
          <w:highlight w:val="none"/>
          <w:lang w:val="en-US" w:eastAsia="zh-CN"/>
        </w:rPr>
        <w:t>至少5人以上</w:t>
      </w:r>
      <w:r>
        <w:rPr>
          <w:rFonts w:ascii="宋体" w:eastAsia="宋体" w:hAnsi="宋体" w:cs="Times New Roman" w:hint="eastAsia"/>
          <w:highlight w:val="none"/>
        </w:rPr>
        <w:t>在中国气象局驻场开发，未经甲方允许不得调整核心团队成员，甲方有权要求更换乙方项目团队成员。此外，乙方应确保在开发建设中能适应甲方需求变更，如需要开发的工作任务可能有</w:t>
      </w:r>
      <w:r>
        <w:rPr>
          <w:rFonts w:ascii="宋体" w:eastAsia="宋体" w:hAnsi="宋体" w:cs="Times New Roman" w:hint="eastAsia"/>
          <w:highlight w:val="none"/>
          <w:lang w:val="en-US" w:eastAsia="zh-CN"/>
        </w:rPr>
        <w:t>2</w:t>
      </w:r>
      <w:r>
        <w:rPr>
          <w:rFonts w:ascii="宋体" w:eastAsia="宋体" w:hAnsi="宋体" w:cs="Times New Roman" w:hint="eastAsia"/>
          <w:highlight w:val="none"/>
        </w:rPr>
        <w:t>0%以内的增加和变更。</w:t>
      </w:r>
    </w:p>
    <w:p>
      <w:pPr>
        <w:pStyle w:val="Heading2"/>
        <w:keepNext/>
        <w:keepLines/>
        <w:widowControl w:val="0"/>
        <w:numPr>
          <w:ilvl w:val="1"/>
          <w:numId w:val="4"/>
        </w:numPr>
        <w:snapToGrid w:val="0"/>
        <w:spacing w:before="0" w:after="0" w:line="560" w:lineRule="exact"/>
        <w:ind w:left="573" w:hanging="573"/>
        <w:jc w:val="both"/>
        <w:rPr>
          <w:szCs w:val="21"/>
          <w:highlight w:val="none"/>
        </w:rPr>
      </w:pPr>
      <w:bookmarkStart w:id="489" w:name="_Toc15534"/>
      <w:bookmarkStart w:id="490" w:name="_Toc15668"/>
      <w:bookmarkStart w:id="491" w:name="_Toc27386"/>
      <w:bookmarkStart w:id="492" w:name="_Toc13608"/>
      <w:r>
        <w:rPr>
          <w:rFonts w:ascii="黑体" w:hAnsi="黑体" w:hint="eastAsia"/>
          <w:sz w:val="28"/>
          <w:szCs w:val="28"/>
          <w:highlight w:val="none"/>
        </w:rPr>
        <w:t>培训要求</w:t>
      </w:r>
      <w:bookmarkEnd w:id="485"/>
      <w:bookmarkEnd w:id="486"/>
      <w:bookmarkEnd w:id="489"/>
      <w:bookmarkEnd w:id="490"/>
      <w:bookmarkEnd w:id="491"/>
      <w:bookmarkEnd w:id="492"/>
    </w:p>
    <w:p>
      <w:pPr>
        <w:pStyle w:val="NormalIndent"/>
        <w:snapToGrid w:val="0"/>
        <w:ind w:firstLineChars="0"/>
        <w:rPr>
          <w:rFonts w:ascii="宋体" w:hAnsi="宋体" w:hint="eastAsia"/>
          <w:szCs w:val="21"/>
          <w:highlight w:val="none"/>
        </w:rPr>
      </w:pPr>
      <w:r>
        <w:rPr>
          <w:rFonts w:ascii="宋体" w:hAnsi="宋体" w:hint="eastAsia"/>
          <w:szCs w:val="21"/>
          <w:highlight w:val="none"/>
        </w:rPr>
        <w:t>1）培训方式应包括现场培训和集中培训，并应在进行培训之前向招标人提交一份详细的培训计划。</w:t>
      </w:r>
    </w:p>
    <w:p>
      <w:pPr>
        <w:pStyle w:val="NormalIndent"/>
        <w:snapToGrid w:val="0"/>
        <w:ind w:firstLineChars="0"/>
        <w:rPr>
          <w:rFonts w:ascii="宋体" w:hAnsi="宋体" w:hint="eastAsia"/>
          <w:szCs w:val="21"/>
          <w:highlight w:val="none"/>
        </w:rPr>
      </w:pPr>
      <w:r>
        <w:rPr>
          <w:rFonts w:ascii="宋体" w:hAnsi="宋体" w:hint="eastAsia"/>
          <w:szCs w:val="21"/>
          <w:highlight w:val="none"/>
        </w:rPr>
        <w:t>2）中标人应以培训目标的实现为目的组织培训，确保每一位系统使用人员能够掌握本软件知识、独立、熟练地完成操作，保证系统用户能够独立处理软件系统故障、开展软件调优。培养系统技术人员掌握本任务书涉及的中间件服务，达到自主可控目标。</w:t>
      </w:r>
    </w:p>
    <w:p>
      <w:pPr>
        <w:pStyle w:val="NormalIndent"/>
        <w:snapToGrid w:val="0"/>
        <w:ind w:firstLineChars="0"/>
        <w:rPr>
          <w:rFonts w:ascii="宋体" w:eastAsia="宋体" w:hAnsi="宋体" w:cs="Times New Roman" w:hint="eastAsia"/>
          <w:szCs w:val="21"/>
          <w:highlight w:val="none"/>
        </w:rPr>
      </w:pPr>
      <w:r>
        <w:rPr>
          <w:rFonts w:ascii="宋体" w:eastAsia="宋体" w:hAnsi="宋体" w:cs="Times New Roman" w:hint="eastAsia"/>
          <w:szCs w:val="21"/>
          <w:highlight w:val="none"/>
        </w:rPr>
        <w:t>3）集中培训地点由招标人根据本项目实际情况确定，培训形式包括但不限于现场与集中培训及远程培训。确保培训次数不少于3次，每次培训时间不少于1天，培训人次不少于10人次，具体培训时间由招标人与中标人根据项目进展情况协商确定。</w:t>
      </w:r>
    </w:p>
    <w:p>
      <w:pPr>
        <w:pStyle w:val="NormalIndent"/>
        <w:snapToGrid w:val="0"/>
        <w:ind w:firstLineChars="0"/>
        <w:rPr>
          <w:rFonts w:ascii="宋体" w:hAnsi="宋体" w:hint="eastAsia"/>
          <w:szCs w:val="21"/>
          <w:highlight w:val="none"/>
        </w:rPr>
      </w:pPr>
      <w:r>
        <w:rPr>
          <w:rFonts w:ascii="宋体" w:hAnsi="宋体" w:hint="eastAsia"/>
          <w:szCs w:val="21"/>
          <w:highlight w:val="none"/>
        </w:rPr>
        <w:t>4）中标人负责为培训搭建所需的环境，并提供培训教材等相关用品。</w:t>
      </w:r>
    </w:p>
    <w:p>
      <w:pPr>
        <w:pStyle w:val="Heading2"/>
        <w:keepNext/>
        <w:keepLines/>
        <w:widowControl w:val="0"/>
        <w:numPr>
          <w:ilvl w:val="1"/>
          <w:numId w:val="4"/>
        </w:numPr>
        <w:snapToGrid w:val="0"/>
        <w:spacing w:before="0" w:after="0" w:line="560" w:lineRule="exact"/>
        <w:ind w:left="573" w:hanging="573"/>
        <w:jc w:val="both"/>
        <w:rPr>
          <w:rFonts w:ascii="黑体" w:hAnsi="黑体"/>
          <w:sz w:val="28"/>
          <w:szCs w:val="28"/>
          <w:highlight w:val="none"/>
        </w:rPr>
      </w:pPr>
      <w:bookmarkStart w:id="493" w:name="_Toc166187021"/>
      <w:bookmarkStart w:id="494" w:name="_Toc20133"/>
      <w:bookmarkStart w:id="495" w:name="_Toc16637"/>
      <w:bookmarkStart w:id="496" w:name="_Toc16436"/>
      <w:bookmarkStart w:id="497" w:name="_Toc6614"/>
      <w:bookmarkStart w:id="498" w:name="_Toc26871"/>
      <w:r>
        <w:rPr>
          <w:rFonts w:ascii="黑体" w:hAnsi="黑体" w:hint="eastAsia"/>
          <w:sz w:val="28"/>
          <w:szCs w:val="28"/>
          <w:highlight w:val="none"/>
        </w:rPr>
        <w:t>安全保密要求</w:t>
      </w:r>
      <w:bookmarkEnd w:id="493"/>
      <w:bookmarkEnd w:id="494"/>
      <w:bookmarkEnd w:id="495"/>
      <w:bookmarkEnd w:id="496"/>
      <w:bookmarkEnd w:id="497"/>
      <w:bookmarkEnd w:id="498"/>
    </w:p>
    <w:p>
      <w:pPr>
        <w:pStyle w:val="NormalIndent"/>
        <w:snapToGrid w:val="0"/>
        <w:ind w:firstLineChars="0"/>
        <w:rPr>
          <w:rFonts w:ascii="宋体" w:hAnsi="宋体" w:hint="eastAsia"/>
          <w:szCs w:val="21"/>
          <w:highlight w:val="none"/>
        </w:rPr>
      </w:pPr>
      <w:r>
        <w:rPr>
          <w:rFonts w:ascii="宋体" w:hAnsi="宋体" w:hint="eastAsia"/>
          <w:szCs w:val="21"/>
          <w:highlight w:val="none"/>
        </w:rPr>
        <w:t>投标人必须对项目技术文件以及由招标人提供的所有内部材料、技术文档和信息予以保密。投标人必须遵守与招标人签订的保密协议，未经招标人书面许可，投标人不得以任何形式向第三方透露本项目标书以及本项目的任何内容。</w:t>
      </w:r>
    </w:p>
    <w:p>
      <w:pPr>
        <w:pStyle w:val="Heading2"/>
        <w:keepNext/>
        <w:keepLines/>
        <w:widowControl w:val="0"/>
        <w:numPr>
          <w:ilvl w:val="1"/>
          <w:numId w:val="4"/>
        </w:numPr>
        <w:snapToGrid w:val="0"/>
        <w:spacing w:before="0" w:after="0" w:line="560" w:lineRule="exact"/>
        <w:ind w:left="573" w:hanging="573"/>
        <w:jc w:val="both"/>
        <w:rPr>
          <w:rFonts w:ascii="黑体" w:hAnsi="黑体"/>
          <w:sz w:val="28"/>
          <w:szCs w:val="28"/>
          <w:highlight w:val="none"/>
        </w:rPr>
      </w:pPr>
      <w:bookmarkStart w:id="499" w:name="_Toc166187022"/>
      <w:bookmarkStart w:id="500" w:name="_Toc8467"/>
      <w:bookmarkStart w:id="501" w:name="_Toc10464"/>
      <w:bookmarkStart w:id="502" w:name="_Toc25602"/>
      <w:bookmarkStart w:id="503" w:name="_Toc15512"/>
      <w:bookmarkStart w:id="504" w:name="_Toc6787"/>
      <w:r>
        <w:rPr>
          <w:rFonts w:ascii="黑体" w:hAnsi="黑体" w:hint="eastAsia"/>
          <w:sz w:val="28"/>
          <w:szCs w:val="28"/>
          <w:highlight w:val="none"/>
        </w:rPr>
        <w:t>售后服务要求</w:t>
      </w:r>
      <w:bookmarkEnd w:id="499"/>
      <w:bookmarkEnd w:id="500"/>
      <w:bookmarkEnd w:id="501"/>
      <w:bookmarkEnd w:id="502"/>
      <w:bookmarkEnd w:id="503"/>
      <w:bookmarkEnd w:id="504"/>
    </w:p>
    <w:p>
      <w:pPr>
        <w:pStyle w:val="NormalIndent"/>
        <w:snapToGrid w:val="0"/>
        <w:ind w:firstLineChars="0"/>
        <w:rPr>
          <w:rFonts w:ascii="宋体" w:eastAsia="宋体" w:hAnsi="宋体" w:cs="Times New Roman" w:hint="eastAsia"/>
          <w:szCs w:val="21"/>
          <w:highlight w:val="none"/>
        </w:rPr>
      </w:pPr>
      <w:r>
        <w:rPr>
          <w:rFonts w:ascii="宋体" w:eastAsia="宋体" w:hAnsi="宋体" w:cs="Times New Roman" w:hint="eastAsia"/>
          <w:szCs w:val="21"/>
          <w:highlight w:val="none"/>
        </w:rPr>
        <w:t>应用系统软件通过全部测试并终验后，进入</w:t>
      </w:r>
      <w:r>
        <w:rPr>
          <w:rFonts w:ascii="宋体" w:eastAsia="宋体" w:hAnsi="宋体" w:cs="Times New Roman" w:hint="eastAsia"/>
          <w:szCs w:val="21"/>
          <w:highlight w:val="none"/>
          <w:lang w:val="en-US" w:eastAsia="zh-CN"/>
        </w:rPr>
        <w:t>2</w:t>
      </w:r>
      <w:r>
        <w:rPr>
          <w:rFonts w:ascii="宋体" w:eastAsia="宋体" w:hAnsi="宋体" w:cs="Times New Roman" w:hint="eastAsia"/>
          <w:szCs w:val="21"/>
          <w:highlight w:val="none"/>
        </w:rPr>
        <w:t>年质保期。质保期期间中标人需提供免费驻场技术支持（主要技术人员至少</w:t>
      </w:r>
      <w:r>
        <w:rPr>
          <w:rFonts w:ascii="宋体" w:eastAsia="宋体" w:hAnsi="宋体" w:cs="Times New Roman" w:hint="eastAsia"/>
          <w:szCs w:val="21"/>
          <w:highlight w:val="none"/>
          <w:lang w:val="en-US" w:eastAsia="zh-CN"/>
        </w:rPr>
        <w:t>3</w:t>
      </w:r>
      <w:r>
        <w:rPr>
          <w:rFonts w:ascii="宋体" w:eastAsia="宋体" w:hAnsi="宋体" w:cs="Times New Roman" w:hint="eastAsia"/>
          <w:szCs w:val="21"/>
          <w:highlight w:val="none"/>
        </w:rPr>
        <w:t>人）。质保期满后提供3年免费技术支持服务，期间产生的费用由中标人承担。</w:t>
      </w:r>
    </w:p>
    <w:p>
      <w:pPr>
        <w:pStyle w:val="NormalIndent"/>
        <w:snapToGrid w:val="0"/>
        <w:ind w:firstLineChars="0"/>
        <w:rPr>
          <w:rFonts w:ascii="宋体" w:hAnsi="宋体" w:hint="eastAsia"/>
          <w:szCs w:val="21"/>
          <w:highlight w:val="none"/>
        </w:rPr>
      </w:pPr>
      <w:r>
        <w:rPr>
          <w:rFonts w:ascii="宋体" w:hAnsi="宋体" w:hint="eastAsia"/>
          <w:szCs w:val="21"/>
          <w:highlight w:val="none"/>
        </w:rPr>
        <w:t>质保期期间，中标人对部署的系统提供售后保障服务。系统发生异常情况，在接到招标人的通知后，中标人技术人员应提供7*24小时的服务响应，随时进行电话应答；30分钟内完成远程登录诊断。需要现场解决的问题，中标人技术人员须在1小时内到达现场故障排查。</w:t>
      </w:r>
    </w:p>
    <w:p>
      <w:pPr>
        <w:pStyle w:val="NormalIndent"/>
        <w:snapToGrid w:val="0"/>
        <w:ind w:firstLineChars="0"/>
        <w:rPr>
          <w:rFonts w:ascii="宋体" w:hAnsi="宋体" w:hint="eastAsia"/>
          <w:szCs w:val="21"/>
          <w:highlight w:val="none"/>
        </w:rPr>
      </w:pPr>
      <w:r>
        <w:rPr>
          <w:rFonts w:ascii="宋体" w:hAnsi="宋体" w:hint="eastAsia"/>
          <w:szCs w:val="21"/>
          <w:highlight w:val="none"/>
        </w:rPr>
        <w:t>质保期后，中标人提供每周5天*8小时的远程或现场运维支持，并以合理价格提供软件功能改进技术服务。</w:t>
      </w:r>
    </w:p>
    <w:p>
      <w:pPr>
        <w:pStyle w:val="Heading2"/>
        <w:keepNext/>
        <w:keepLines/>
        <w:widowControl w:val="0"/>
        <w:numPr>
          <w:ilvl w:val="1"/>
          <w:numId w:val="4"/>
        </w:numPr>
        <w:snapToGrid w:val="0"/>
        <w:spacing w:before="0" w:after="0" w:line="560" w:lineRule="exact"/>
        <w:ind w:left="573" w:hanging="573"/>
        <w:jc w:val="both"/>
        <w:rPr>
          <w:rFonts w:ascii="黑体" w:hAnsi="黑体"/>
          <w:sz w:val="28"/>
          <w:szCs w:val="28"/>
          <w:highlight w:val="none"/>
        </w:rPr>
      </w:pPr>
      <w:bookmarkStart w:id="505" w:name="_Toc8624"/>
      <w:bookmarkStart w:id="506" w:name="_Toc30223"/>
      <w:bookmarkStart w:id="507" w:name="_Toc3049"/>
      <w:bookmarkStart w:id="508" w:name="_Toc25163"/>
      <w:bookmarkStart w:id="509" w:name="_Toc27292"/>
      <w:bookmarkStart w:id="510" w:name="_Toc166187023"/>
      <w:r>
        <w:rPr>
          <w:rFonts w:ascii="黑体" w:hAnsi="黑体" w:hint="eastAsia"/>
          <w:sz w:val="28"/>
          <w:szCs w:val="28"/>
          <w:highlight w:val="none"/>
        </w:rPr>
        <w:t>知识产权要求</w:t>
      </w:r>
      <w:bookmarkEnd w:id="505"/>
      <w:bookmarkEnd w:id="506"/>
      <w:bookmarkEnd w:id="507"/>
      <w:bookmarkEnd w:id="508"/>
      <w:bookmarkEnd w:id="509"/>
      <w:bookmarkEnd w:id="510"/>
    </w:p>
    <w:p>
      <w:pPr>
        <w:pStyle w:val="NormalIndent"/>
        <w:snapToGrid w:val="0"/>
        <w:ind w:firstLineChars="0"/>
        <w:rPr>
          <w:rFonts w:ascii="宋体" w:hAnsi="宋体" w:hint="eastAsia"/>
          <w:szCs w:val="21"/>
          <w:highlight w:val="none"/>
        </w:rPr>
      </w:pPr>
      <w:r>
        <w:rPr>
          <w:rFonts w:ascii="宋体" w:hAnsi="宋体" w:hint="eastAsia"/>
          <w:szCs w:val="21"/>
          <w:highlight w:val="none"/>
        </w:rPr>
        <w:t>全部及/或任何部分的相关知识产权，包括相关权益，归招标人所有。中标人有不可争议的义务确保招标人依据本次采购所获得的知识产权不存在任何瑕疵并且可以不受限制地行使相关权利，包括各项延伸权利。若因此发生任何争议均由中标人独自承担全部及/或任何责任，包括但不限于应当承担其自身及招标人为排除任何争议或瑕疵所应当或所需支付的一切相关/或由此引起的费用。</w:t>
      </w:r>
    </w:p>
    <w:p>
      <w:pPr>
        <w:pStyle w:val="NormalIndent"/>
        <w:snapToGrid w:val="0"/>
        <w:ind w:firstLineChars="0"/>
        <w:rPr>
          <w:rFonts w:ascii="宋体" w:hAnsi="宋体" w:hint="eastAsia"/>
          <w:szCs w:val="21"/>
          <w:highlight w:val="none"/>
        </w:rPr>
      </w:pPr>
      <w:r>
        <w:rPr>
          <w:rFonts w:ascii="宋体" w:hAnsi="宋体" w:hint="eastAsia"/>
          <w:szCs w:val="21"/>
          <w:highlight w:val="none"/>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或任何责任，包括但不限于应当承担其自身及招标人为排除任何争议及/或赔偿侵权所应当或所需支付的一切相关及/或由此引起的费用。</w:t>
      </w:r>
    </w:p>
    <w:p>
      <w:pPr>
        <w:pStyle w:val="Heading2"/>
        <w:keepNext/>
        <w:keepLines/>
        <w:widowControl w:val="0"/>
        <w:numPr>
          <w:ilvl w:val="1"/>
          <w:numId w:val="4"/>
        </w:numPr>
        <w:snapToGrid w:val="0"/>
        <w:spacing w:before="0" w:after="0" w:line="560" w:lineRule="exact"/>
        <w:ind w:left="573" w:hanging="573"/>
        <w:jc w:val="both"/>
        <w:rPr>
          <w:rFonts w:ascii="黑体" w:hAnsi="黑体" w:hint="eastAsia"/>
          <w:sz w:val="28"/>
          <w:szCs w:val="28"/>
          <w:highlight w:val="none"/>
        </w:rPr>
      </w:pPr>
      <w:bookmarkStart w:id="511" w:name="_Toc28131"/>
      <w:bookmarkStart w:id="512" w:name="_Toc26645"/>
      <w:bookmarkStart w:id="513" w:name="_Toc28878"/>
      <w:bookmarkStart w:id="514" w:name="_Toc27117"/>
      <w:bookmarkStart w:id="515" w:name="_Toc6657"/>
      <w:bookmarkStart w:id="516" w:name="_Toc166187024"/>
      <w:r>
        <w:rPr>
          <w:rFonts w:ascii="黑体" w:hAnsi="黑体" w:hint="eastAsia"/>
          <w:sz w:val="28"/>
          <w:szCs w:val="28"/>
          <w:highlight w:val="none"/>
        </w:rPr>
        <w:t>技术支持要求</w:t>
      </w:r>
      <w:bookmarkEnd w:id="511"/>
      <w:bookmarkEnd w:id="512"/>
      <w:bookmarkEnd w:id="513"/>
      <w:bookmarkEnd w:id="514"/>
      <w:bookmarkEnd w:id="515"/>
      <w:bookmarkEnd w:id="516"/>
    </w:p>
    <w:p>
      <w:pPr>
        <w:pStyle w:val="NormalIndent"/>
        <w:snapToGrid w:val="0"/>
        <w:ind w:firstLineChars="0"/>
        <w:rPr>
          <w:rFonts w:ascii="宋体" w:hAnsi="宋体"/>
          <w:szCs w:val="21"/>
          <w:highlight w:val="none"/>
        </w:rPr>
      </w:pPr>
      <w:r>
        <w:rPr>
          <w:rFonts w:ascii="宋体" w:hAnsi="宋体" w:hint="eastAsia"/>
          <w:szCs w:val="21"/>
          <w:highlight w:val="none"/>
        </w:rPr>
        <w:t>中标人需要为招标人提供与本项目设计、开发和集成有关的各类技术咨询服务，协助招标人预见本项目设计、开发和系统集成工作中和项目其他建设工作中可能发生的问题和困难，并向招标人提出解决的办法或建议。</w:t>
      </w:r>
    </w:p>
    <w:p>
      <w:pPr>
        <w:pStyle w:val="NormalIndent"/>
        <w:snapToGrid w:val="0"/>
        <w:ind w:firstLineChars="0"/>
        <w:rPr>
          <w:rFonts w:ascii="宋体" w:hAnsi="宋体" w:hint="eastAsia"/>
          <w:szCs w:val="21"/>
          <w:highlight w:val="none"/>
        </w:rPr>
      </w:pPr>
      <w:r>
        <w:rPr>
          <w:rFonts w:ascii="宋体" w:hAnsi="宋体" w:hint="eastAsia"/>
          <w:szCs w:val="21"/>
          <w:highlight w:val="none"/>
        </w:rPr>
        <w:t>在系统的运行维护阶段提供技术支持。对运行过程中出现的新问题提供建议和解决方案。维护工期范围内由运维工作产生的一切费用，包括运维项目验收、评审过程产生的费用均由中标人一方承担。</w:t>
      </w:r>
    </w:p>
    <w:p>
      <w:pPr>
        <w:pStyle w:val="NormalIndent"/>
        <w:snapToGrid w:val="0"/>
        <w:ind w:firstLineChars="0"/>
        <w:rPr>
          <w:rFonts w:ascii="宋体" w:hAnsi="宋体"/>
          <w:szCs w:val="21"/>
          <w:highlight w:val="none"/>
        </w:rPr>
      </w:pPr>
      <w:r>
        <w:rPr>
          <w:rFonts w:ascii="宋体" w:hAnsi="宋体" w:hint="eastAsia"/>
          <w:szCs w:val="21"/>
          <w:highlight w:val="none"/>
        </w:rPr>
        <w:t>提供其他与项目相关的技术服务，积极协助配合招标人开展与项目有关的工作。</w:t>
      </w:r>
    </w:p>
    <w:p>
      <w:pPr>
        <w:pStyle w:val="NormalIndent"/>
        <w:snapToGrid w:val="0"/>
        <w:ind w:firstLineChars="0"/>
        <w:rPr>
          <w:rFonts w:ascii="宋体" w:hAnsi="宋体"/>
          <w:szCs w:val="21"/>
          <w:highlight w:val="none"/>
        </w:rPr>
      </w:pPr>
      <w:r>
        <w:rPr>
          <w:rFonts w:ascii="宋体" w:hAnsi="宋体" w:hint="eastAsia"/>
          <w:szCs w:val="21"/>
          <w:highlight w:val="none"/>
        </w:rPr>
        <w:t>技术支持工作需要及时、有效，充分满足项目建设的需求。</w:t>
      </w:r>
    </w:p>
    <w:bookmarkEnd w:id="487"/>
    <w:bookmarkEnd w:id="488"/>
    <w:p>
      <w:pPr>
        <w:snapToGrid w:val="0"/>
        <w:spacing w:line="360" w:lineRule="auto"/>
        <w:jc w:val="left"/>
        <w:rPr>
          <w:rFonts w:ascii="宋体" w:eastAsia="宋体" w:hAnsi="宋体" w:cs="Times New Roman"/>
          <w:szCs w:val="21"/>
        </w:rPr>
      </w:pPr>
    </w:p>
    <w:p w:rsidR="00A77B3E"/>
    <w:p>
      <w:pPr>
        <w:spacing w:before="156" w:beforeLines="50" w:line="360" w:lineRule="auto"/>
        <w:jc w:val="center"/>
        <w:outlineLvl w:val="1"/>
        <w:rPr>
          <w:rFonts w:ascii="宋体" w:hAnsi="宋体"/>
          <w:b/>
          <w:sz w:val="30"/>
          <w:szCs w:val="30"/>
        </w:rPr>
        <w:sectPr>
          <w:footerReference w:type="default" r:id="rId6"/>
          <w:pgSz w:w="11906" w:h="16838"/>
          <w:pgMar w:top="1418" w:right="1418" w:bottom="1418" w:left="1701" w:header="851" w:footer="851" w:gutter="0"/>
          <w:cols w:space="708"/>
          <w:docGrid w:type="linesAndChars" w:linePitch="312"/>
        </w:sectPr>
      </w:pPr>
      <w:bookmarkEnd w:id="60"/>
    </w:p>
    <w:p>
      <w:pPr>
        <w:adjustRightInd w:val="0"/>
        <w:snapToGrid w:val="0"/>
        <w:spacing w:line="360" w:lineRule="auto"/>
        <w:jc w:val="left"/>
        <w:rPr>
          <w:rFonts w:ascii="宋体" w:hAnsi="宋体"/>
          <w:bCs/>
          <w:szCs w:val="21"/>
        </w:rPr>
      </w:pPr>
      <w:bookmarkStart w:id="517" w:name="投标被拒绝条款专用部分_JJTK"/>
    </w:p>
    <w:p>
      <w:pPr>
        <w:spacing w:before="156" w:beforeLines="50" w:line="360" w:lineRule="auto"/>
        <w:jc w:val="center"/>
        <w:outlineLvl w:val="1"/>
        <w:rPr>
          <w:rFonts w:ascii="宋体" w:hAnsi="宋体"/>
          <w:b/>
          <w:sz w:val="30"/>
          <w:szCs w:val="30"/>
        </w:rPr>
      </w:pPr>
      <w:r>
        <w:rPr>
          <w:rFonts w:ascii="宋体" w:hAnsi="宋体" w:hint="eastAsia"/>
          <w:b/>
          <w:sz w:val="30"/>
          <w:szCs w:val="30"/>
        </w:rPr>
        <w:t>第八章  投标被拒绝条款专用部分</w:t>
      </w:r>
    </w:p>
    <w:p>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sz w:val="18"/>
                <w:szCs w:val="18"/>
              </w:rPr>
            </w:pPr>
          </w:p>
        </w:tc>
        <w:tc>
          <w:tcPr>
            <w:tcW w:w="7347" w:type="dxa"/>
          </w:tcPr>
          <w:p>
            <w:pPr>
              <w:numPr>
                <w:ilvl w:val="12"/>
                <w:numId w:val="0"/>
              </w:numPr>
              <w:tabs>
                <w:tab w:val="left" w:pos="709"/>
              </w:tabs>
              <w:spacing w:line="360" w:lineRule="auto"/>
              <w:jc w:val="left"/>
              <w:rPr>
                <w:rFonts w:ascii="宋体" w:hAnsi="宋体" w:hint="eastAsia"/>
                <w:sz w:val="18"/>
                <w:szCs w:val="18"/>
              </w:rPr>
            </w:pPr>
            <w:r>
              <w:rPr>
                <w:rFonts w:ascii="宋体" w:hAnsi="宋体" w:hint="eastAsia"/>
                <w:sz w:val="18"/>
                <w:szCs w:val="18"/>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sz w:val="18"/>
                <w:szCs w:val="18"/>
              </w:rPr>
            </w:pPr>
          </w:p>
        </w:tc>
        <w:tc>
          <w:tcPr>
            <w:tcW w:w="7347" w:type="dxa"/>
            <w:vAlign w:val="center"/>
          </w:tcPr>
          <w:p>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lang w:val="en-US" w:eastAsia="zh-CN"/>
              </w:rPr>
              <w:t xml:space="preserve">无 </w:t>
            </w:r>
          </w:p>
        </w:tc>
      </w:tr>
    </w:tbl>
    <w:p>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pPr>
        <w:spacing w:line="360" w:lineRule="auto"/>
        <w:ind w:firstLine="3066" w:firstLineChars="1460"/>
        <w:jc w:val="left"/>
        <w:rPr>
          <w:b/>
          <w:bCs/>
          <w:szCs w:val="21"/>
        </w:rPr>
      </w:pPr>
    </w:p>
    <w:p w:rsidR="00A77B3E"/>
    <w:p>
      <w:pPr>
        <w:adjustRightInd w:val="0"/>
        <w:snapToGrid w:val="0"/>
        <w:spacing w:line="360" w:lineRule="auto"/>
        <w:jc w:val="left"/>
        <w:rPr>
          <w:rFonts w:ascii="宋体" w:hAnsi="宋体"/>
          <w:bCs/>
          <w:szCs w:val="21"/>
        </w:rPr>
        <w:sectPr>
          <w:headerReference w:type="default" r:id="rId7"/>
          <w:footerReference w:type="default" r:id="rId8"/>
          <w:pgSz w:w="11906" w:h="16838"/>
          <w:pgMar w:top="1440" w:right="1800" w:bottom="1440" w:left="1800" w:header="851" w:footer="992" w:gutter="0"/>
          <w:cols w:space="708"/>
          <w:docGrid w:type="lines" w:linePitch="312"/>
        </w:sectPr>
      </w:pPr>
      <w:bookmarkEnd w:id="517"/>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adjustRightInd w:val="0"/>
        <w:snapToGrid w:val="0"/>
        <w:spacing w:line="360" w:lineRule="auto"/>
        <w:jc w:val="left"/>
        <w:rPr>
          <w:rFonts w:ascii="宋体" w:hAnsi="宋体"/>
          <w:bCs/>
          <w:szCs w:val="21"/>
        </w:rPr>
      </w:pPr>
      <w:bookmarkStart w:id="518" w:name="采购公告合同部分_ZBGGHT"/>
    </w:p>
    <w:p>
      <w:pPr>
        <w:spacing w:line="360" w:lineRule="auto"/>
        <w:jc w:val="center"/>
        <w:outlineLvl w:val="0"/>
        <w:rPr>
          <w:b/>
          <w:sz w:val="48"/>
          <w:szCs w:val="36"/>
        </w:rPr>
      </w:pPr>
      <w:r>
        <w:rPr>
          <w:rFonts w:hint="eastAsia"/>
          <w:b/>
          <w:sz w:val="48"/>
          <w:szCs w:val="36"/>
        </w:rPr>
        <w:t>第三分册：采购合同</w:t>
      </w:r>
    </w:p>
    <w:p>
      <w:pPr>
        <w:spacing w:line="360" w:lineRule="auto"/>
        <w:rPr>
          <w:b/>
          <w:bCs/>
          <w:sz w:val="28"/>
          <w:szCs w:val="28"/>
        </w:rPr>
      </w:pPr>
    </w:p>
    <w:p>
      <w:pPr>
        <w:numPr>
          <w:ilvl w:val="0"/>
          <w:numId w:val="15"/>
        </w:numPr>
        <w:spacing w:line="360" w:lineRule="auto"/>
        <w:ind w:firstLine="3066" w:firstLineChars="1460"/>
        <w:jc w:val="left"/>
        <w:rPr>
          <w:b/>
          <w:bCs/>
          <w:szCs w:val="21"/>
        </w:rPr>
      </w:pPr>
      <w:r>
        <w:rPr>
          <w:rFonts w:hint="eastAsia"/>
          <w:b/>
          <w:bCs/>
          <w:szCs w:val="21"/>
        </w:rPr>
        <w:t xml:space="preserve"> 采购合同</w:t>
      </w:r>
    </w:p>
    <w:p>
      <w:pPr>
        <w:spacing w:line="360" w:lineRule="auto"/>
        <w:ind w:left="1680" w:firstLine="420"/>
        <w:jc w:val="left"/>
        <w:rPr>
          <w:b/>
          <w:bCs/>
          <w:szCs w:val="21"/>
        </w:rPr>
      </w:pPr>
      <w:r>
        <w:rPr>
          <w:rFonts w:hint="eastAsia"/>
          <w:b/>
          <w:bCs/>
          <w:szCs w:val="21"/>
        </w:rPr>
        <w:t>必须明确合同金额支付条件及支付比例</w:t>
      </w:r>
    </w:p>
    <w:p>
      <w:pPr>
        <w:snapToGrid w:val="0"/>
        <w:spacing w:line="360" w:lineRule="auto"/>
        <w:ind w:right="560"/>
        <w:jc w:val="left"/>
        <w:rPr>
          <w:b/>
          <w:color w:val="BFBFBF" w:themeColor="background1" w:themeShade="BF"/>
          <w:sz w:val="28"/>
          <w:szCs w:val="28"/>
        </w:rPr>
      </w:pPr>
      <w:r>
        <w:rPr>
          <w:rFonts w:ascii="宋体" w:hAnsi="宋体"/>
          <w:szCs w:val="21"/>
        </w:rPr>
        <w:br w:type="page"/>
      </w:r>
    </w:p>
    <w:p>
      <w:pPr>
        <w:snapToGrid w:val="0"/>
        <w:spacing w:line="360" w:lineRule="auto"/>
        <w:jc w:val="left"/>
        <w:rPr>
          <w:b/>
          <w:color w:val="BFBFBF" w:themeColor="background1" w:themeShade="BF"/>
          <w:sz w:val="28"/>
          <w:szCs w:val="28"/>
        </w:rPr>
      </w:pPr>
    </w:p>
    <w:p>
      <w:pPr>
        <w:pStyle w:val="10"/>
        <w:numPr>
          <w:ilvl w:val="0"/>
          <w:numId w:val="0"/>
        </w:numPr>
        <w:tabs>
          <w:tab w:val="left" w:pos="1573"/>
        </w:tabs>
        <w:adjustRightInd w:val="0"/>
        <w:snapToGrid w:val="0"/>
        <w:spacing w:line="360" w:lineRule="auto"/>
        <w:ind w:left="494" w:hanging="494" w:hangingChars="235"/>
      </w:pPr>
    </w:p>
    <w:p>
      <w:pPr>
        <w:snapToGrid w:val="0"/>
        <w:spacing w:line="360" w:lineRule="auto"/>
        <w:jc w:val="center"/>
        <w:rPr>
          <w:b/>
          <w:sz w:val="28"/>
          <w:szCs w:val="28"/>
        </w:rPr>
      </w:pPr>
    </w:p>
    <w:p>
      <w:pPr>
        <w:snapToGrid w:val="0"/>
        <w:spacing w:line="360" w:lineRule="auto"/>
        <w:jc w:val="center"/>
        <w:rPr>
          <w:b/>
          <w:sz w:val="28"/>
          <w:szCs w:val="28"/>
        </w:rPr>
      </w:pPr>
    </w:p>
    <w:p>
      <w:pPr>
        <w:snapToGrid w:val="0"/>
        <w:spacing w:line="360" w:lineRule="auto"/>
        <w:jc w:val="center"/>
        <w:rPr>
          <w:b/>
          <w:bCs/>
          <w:sz w:val="30"/>
          <w:szCs w:val="30"/>
        </w:rPr>
      </w:pPr>
    </w:p>
    <w:p>
      <w:pPr>
        <w:snapToGrid w:val="0"/>
        <w:spacing w:line="360" w:lineRule="auto"/>
        <w:jc w:val="center"/>
        <w:rPr>
          <w:b/>
          <w:bCs/>
          <w:sz w:val="30"/>
          <w:szCs w:val="30"/>
        </w:rPr>
      </w:pPr>
    </w:p>
    <w:p>
      <w:pPr>
        <w:snapToGrid w:val="0"/>
        <w:spacing w:line="360" w:lineRule="auto"/>
        <w:jc w:val="center"/>
        <w:rPr>
          <w:b/>
          <w:bCs/>
          <w:sz w:val="30"/>
          <w:szCs w:val="30"/>
        </w:rPr>
      </w:pPr>
    </w:p>
    <w:p>
      <w:pPr>
        <w:snapToGrid w:val="0"/>
        <w:spacing w:line="360" w:lineRule="auto"/>
        <w:jc w:val="center"/>
        <w:rPr>
          <w:b/>
          <w:bCs/>
          <w:sz w:val="36"/>
          <w:szCs w:val="36"/>
        </w:rPr>
      </w:pPr>
      <w:r>
        <w:rPr>
          <w:rFonts w:hint="eastAsia"/>
          <w:b/>
          <w:bCs/>
          <w:sz w:val="36"/>
          <w:szCs w:val="36"/>
        </w:rPr>
        <w:t>合同协议书</w:t>
      </w:r>
    </w:p>
    <w:p>
      <w:pPr>
        <w:snapToGrid w:val="0"/>
        <w:spacing w:line="360" w:lineRule="auto"/>
        <w:rPr>
          <w:sz w:val="28"/>
          <w:szCs w:val="28"/>
        </w:rPr>
      </w:pPr>
    </w:p>
    <w:p>
      <w:pPr>
        <w:snapToGrid w:val="0"/>
        <w:spacing w:line="360" w:lineRule="auto"/>
        <w:rPr>
          <w:szCs w:val="21"/>
        </w:rPr>
      </w:pPr>
    </w:p>
    <w:p>
      <w:pPr>
        <w:snapToGrid w:val="0"/>
        <w:spacing w:line="360" w:lineRule="auto"/>
        <w:rPr>
          <w:szCs w:val="21"/>
        </w:rPr>
      </w:pPr>
    </w:p>
    <w:p>
      <w:pPr>
        <w:snapToGrid w:val="0"/>
        <w:spacing w:line="360" w:lineRule="auto"/>
        <w:rPr>
          <w:szCs w:val="21"/>
        </w:rPr>
      </w:pPr>
    </w:p>
    <w:p>
      <w:pPr>
        <w:snapToGrid w:val="0"/>
        <w:spacing w:line="360" w:lineRule="auto"/>
        <w:rPr>
          <w:szCs w:val="21"/>
        </w:rPr>
      </w:pPr>
    </w:p>
    <w:p>
      <w:pPr>
        <w:snapToGrid w:val="0"/>
        <w:spacing w:line="360" w:lineRule="auto"/>
        <w:rPr>
          <w:sz w:val="28"/>
          <w:szCs w:val="28"/>
        </w:rPr>
      </w:pPr>
      <w:r>
        <w:rPr>
          <w:rFonts w:hint="eastAsia"/>
          <w:sz w:val="28"/>
          <w:szCs w:val="28"/>
        </w:rPr>
        <w:t>项目名称：________________________________________</w:t>
      </w:r>
    </w:p>
    <w:p>
      <w:pPr>
        <w:snapToGrid w:val="0"/>
        <w:spacing w:line="360" w:lineRule="auto"/>
        <w:rPr>
          <w:sz w:val="28"/>
          <w:szCs w:val="28"/>
        </w:rPr>
      </w:pPr>
      <w:r>
        <w:rPr>
          <w:rFonts w:hint="eastAsia"/>
          <w:sz w:val="28"/>
          <w:szCs w:val="28"/>
        </w:rPr>
        <w:t>项目编号：________________________________________</w:t>
      </w:r>
    </w:p>
    <w:p>
      <w:pPr>
        <w:snapToGrid w:val="0"/>
        <w:spacing w:line="360" w:lineRule="auto"/>
        <w:rPr>
          <w:sz w:val="28"/>
          <w:szCs w:val="28"/>
        </w:rPr>
      </w:pPr>
      <w:r>
        <w:rPr>
          <w:rFonts w:hint="eastAsia"/>
          <w:sz w:val="28"/>
          <w:szCs w:val="28"/>
        </w:rPr>
        <w:t>合同编号：________________________________________</w:t>
      </w:r>
    </w:p>
    <w:p>
      <w:pPr>
        <w:snapToGrid w:val="0"/>
        <w:spacing w:line="360" w:lineRule="auto"/>
        <w:rPr>
          <w:szCs w:val="21"/>
        </w:rPr>
      </w:pPr>
      <w:r>
        <w:rPr>
          <w:szCs w:val="21"/>
        </w:rPr>
        <w:t xml:space="preserve">    </w:t>
      </w:r>
    </w:p>
    <w:p>
      <w:pPr>
        <w:snapToGrid w:val="0"/>
        <w:spacing w:line="360" w:lineRule="auto"/>
        <w:rPr>
          <w:szCs w:val="21"/>
        </w:rPr>
      </w:pPr>
    </w:p>
    <w:p>
      <w:pPr>
        <w:snapToGrid w:val="0"/>
        <w:spacing w:line="360" w:lineRule="auto"/>
        <w:rPr>
          <w:sz w:val="28"/>
          <w:szCs w:val="28"/>
        </w:rPr>
      </w:pPr>
      <w:r>
        <w:rPr>
          <w:rFonts w:hint="eastAsia"/>
          <w:sz w:val="28"/>
          <w:szCs w:val="28"/>
        </w:rPr>
        <w:t>甲方：_____</w:t>
      </w:r>
      <w:r>
        <w:rPr>
          <w:rFonts w:hint="eastAsia"/>
          <w:sz w:val="28"/>
          <w:szCs w:val="28"/>
          <w:u w:val="single"/>
        </w:rPr>
        <w:t>国家</w:t>
      </w:r>
      <w:r>
        <w:rPr>
          <w:sz w:val="28"/>
          <w:szCs w:val="28"/>
          <w:u w:val="single"/>
        </w:rPr>
        <w:t>气象信息中心</w:t>
      </w:r>
      <w:r>
        <w:rPr>
          <w:rFonts w:hint="eastAsia"/>
          <w:sz w:val="28"/>
          <w:szCs w:val="28"/>
        </w:rPr>
        <w:t>________________</w:t>
      </w:r>
    </w:p>
    <w:p>
      <w:pPr>
        <w:snapToGrid w:val="0"/>
        <w:spacing w:line="360" w:lineRule="auto"/>
        <w:rPr>
          <w:sz w:val="28"/>
          <w:szCs w:val="28"/>
        </w:rPr>
      </w:pPr>
      <w:r>
        <w:rPr>
          <w:rFonts w:hint="eastAsia"/>
          <w:sz w:val="28"/>
          <w:szCs w:val="28"/>
        </w:rPr>
        <w:t>乙方：______________________________________</w:t>
      </w:r>
    </w:p>
    <w:p>
      <w:pPr>
        <w:tabs>
          <w:tab w:val="left" w:pos="1573"/>
        </w:tabs>
        <w:adjustRightInd w:val="0"/>
        <w:snapToGrid w:val="0"/>
        <w:spacing w:line="360" w:lineRule="auto"/>
        <w:rPr>
          <w:rFonts w:ascii="仿宋_GB2312" w:eastAsia="仿宋_GB2312"/>
          <w:b/>
          <w:sz w:val="28"/>
        </w:rPr>
      </w:pPr>
      <w:r>
        <w:rPr>
          <w:b/>
          <w:sz w:val="28"/>
          <w:szCs w:val="28"/>
        </w:rPr>
        <w:br w:type="page"/>
      </w:r>
      <w:r>
        <w:rPr>
          <w:rFonts w:ascii="仿宋_GB2312" w:eastAsia="仿宋_GB2312"/>
          <w:b/>
          <w:sz w:val="28"/>
        </w:rPr>
        <w:t xml:space="preserve"> </w:t>
      </w:r>
      <w:r>
        <w:rPr>
          <w:rFonts w:ascii="宋体" w:hAnsi="宋体" w:hint="eastAsia"/>
          <w:szCs w:val="21"/>
        </w:rPr>
        <w:t xml:space="preserve">    </w:t>
      </w:r>
      <w:r>
        <w:rPr>
          <w:rFonts w:ascii="仿宋_GB2312" w:eastAsia="仿宋_GB2312" w:hint="eastAsia"/>
        </w:rPr>
        <w:t xml:space="preserve"> </w:t>
      </w:r>
      <w:r>
        <w:rPr>
          <w:rFonts w:ascii="宋体" w:hAnsi="宋体" w:hint="eastAsia"/>
          <w:szCs w:val="21"/>
        </w:rPr>
        <w:t>_____</w:t>
      </w:r>
      <w:r>
        <w:rPr>
          <w:rFonts w:ascii="宋体" w:hAnsi="宋体" w:hint="eastAsia"/>
          <w:szCs w:val="21"/>
          <w:u w:val="single"/>
        </w:rPr>
        <w:t>国家</w:t>
      </w:r>
      <w:r>
        <w:rPr>
          <w:rFonts w:ascii="宋体" w:hAnsi="宋体"/>
          <w:szCs w:val="21"/>
          <w:u w:val="single"/>
        </w:rPr>
        <w:t>气象信息中心</w:t>
      </w:r>
      <w:r>
        <w:rPr>
          <w:rFonts w:ascii="宋体" w:hAnsi="宋体" w:hint="eastAsia"/>
          <w:szCs w:val="21"/>
        </w:rPr>
        <w:t>______(以下简</w:t>
      </w:r>
      <w:r>
        <w:rPr>
          <w:rFonts w:hint="eastAsia"/>
          <w:szCs w:val="21"/>
        </w:rPr>
        <w:t>称“甲方”)在本项目中所需货物和服务由</w:t>
      </w:r>
      <w:r>
        <w:rPr>
          <w:rFonts w:hint="eastAsia"/>
          <w:szCs w:val="21"/>
          <w:u w:val="single"/>
        </w:rPr>
        <w:t>中国气象局政府采购中心</w:t>
      </w:r>
      <w:r>
        <w:rPr>
          <w:rFonts w:hint="eastAsia"/>
          <w:szCs w:val="21"/>
        </w:rPr>
        <w:t>在境内进行公开招标，经评审委员会评定，确定________________________(以下简称“乙方”)为中标人。</w:t>
      </w:r>
    </w:p>
    <w:p>
      <w:pPr>
        <w:snapToGrid w:val="0"/>
        <w:spacing w:line="360" w:lineRule="auto"/>
        <w:ind w:firstLine="420"/>
        <w:rPr>
          <w:rFonts w:ascii="宋体" w:hAnsi="宋体"/>
          <w:szCs w:val="21"/>
        </w:rPr>
      </w:pPr>
      <w:r>
        <w:rPr>
          <w:rFonts w:ascii="仿宋_GB2312" w:eastAsia="仿宋_GB2312" w:hint="eastAsia"/>
        </w:rPr>
        <w:t xml:space="preserve">    </w:t>
      </w:r>
      <w:r>
        <w:rPr>
          <w:rFonts w:ascii="宋体" w:hAnsi="宋体" w:hint="eastAsia"/>
          <w:szCs w:val="21"/>
        </w:rPr>
        <w:t>甲乙双方</w:t>
      </w:r>
      <w:r>
        <w:rPr>
          <w:rFonts w:hint="eastAsia"/>
          <w:szCs w:val="21"/>
        </w:rPr>
        <w:t>根据《中华人民共和国民法典》、《中华人民共和国政府采购法》、《中华人民共和国招标投标法》等相关法律法规以及本项目招标文件的规定，经平等协商，</w:t>
      </w:r>
      <w:r>
        <w:rPr>
          <w:rFonts w:ascii="宋体" w:hAnsi="宋体" w:hint="eastAsia"/>
          <w:szCs w:val="21"/>
        </w:rPr>
        <w:t>同意按下述条款和条件签署________________________ 采购合同(以下简称“合同”)。</w:t>
      </w:r>
    </w:p>
    <w:p>
      <w:pPr>
        <w:adjustRightInd w:val="0"/>
        <w:spacing w:line="360" w:lineRule="auto"/>
        <w:ind w:firstLine="420" w:firstLineChars="200"/>
        <w:outlineLvl w:val="1"/>
        <w:rPr>
          <w:rFonts w:ascii="宋体" w:hAnsi="宋体"/>
          <w:b/>
          <w:szCs w:val="21"/>
        </w:rPr>
      </w:pPr>
      <w:r>
        <w:rPr>
          <w:rFonts w:ascii="宋体" w:hAnsi="宋体" w:hint="eastAsia"/>
          <w:b/>
          <w:szCs w:val="21"/>
        </w:rPr>
        <w:t>一、定义</w:t>
      </w:r>
    </w:p>
    <w:p>
      <w:pPr>
        <w:snapToGrid w:val="0"/>
        <w:spacing w:line="360" w:lineRule="auto"/>
        <w:ind w:firstLine="420" w:firstLineChars="200"/>
        <w:rPr>
          <w:rFonts w:ascii="宋体" w:hAnsi="宋体"/>
          <w:szCs w:val="21"/>
        </w:rPr>
      </w:pPr>
      <w:r>
        <w:rPr>
          <w:rFonts w:ascii="宋体" w:hAnsi="宋体" w:hint="eastAsia"/>
          <w:szCs w:val="21"/>
        </w:rPr>
        <w:t>本合同下列术语应解释为：</w:t>
      </w:r>
    </w:p>
    <w:p>
      <w:pPr>
        <w:snapToGrid w:val="0"/>
        <w:spacing w:line="360" w:lineRule="auto"/>
        <w:ind w:firstLine="420" w:firstLineChars="200"/>
        <w:rPr>
          <w:rFonts w:ascii="宋体" w:hAnsi="宋体"/>
          <w:szCs w:val="21"/>
        </w:rPr>
      </w:pPr>
      <w:r>
        <w:rPr>
          <w:rFonts w:ascii="宋体" w:hAnsi="宋体"/>
          <w:szCs w:val="21"/>
        </w:rPr>
        <w:t>1.1</w:t>
      </w:r>
      <w:r>
        <w:rPr>
          <w:rFonts w:ascii="宋体" w:hAnsi="宋体" w:hint="eastAsia"/>
          <w:szCs w:val="21"/>
        </w:rPr>
        <w:t>合同要素</w:t>
      </w:r>
    </w:p>
    <w:p>
      <w:pPr>
        <w:snapToGrid w:val="0"/>
        <w:spacing w:line="360" w:lineRule="auto"/>
        <w:ind w:firstLine="420" w:firstLineChars="200"/>
        <w:rPr>
          <w:rFonts w:ascii="宋体" w:hAnsi="宋体"/>
          <w:szCs w:val="21"/>
        </w:rPr>
      </w:pPr>
      <w:r>
        <w:rPr>
          <w:rFonts w:ascii="宋体" w:hAnsi="宋体"/>
          <w:szCs w:val="21"/>
        </w:rPr>
        <w:t>(a)</w:t>
      </w:r>
      <w:r>
        <w:rPr>
          <w:rFonts w:ascii="宋体" w:hAnsi="宋体" w:hint="eastAsia"/>
          <w:szCs w:val="21"/>
        </w:rPr>
        <w:t>“合同”系指甲乙双方签署的、合同格式中载明的甲乙双方所达成的协议，包括所有的附件、附录和上述文件所提到的构成合同的所有文件。</w:t>
      </w:r>
    </w:p>
    <w:p>
      <w:pPr>
        <w:tabs>
          <w:tab w:val="left" w:pos="1260"/>
        </w:tabs>
        <w:snapToGrid w:val="0"/>
        <w:spacing w:line="360" w:lineRule="auto"/>
        <w:ind w:firstLine="420" w:firstLineChars="200"/>
        <w:rPr>
          <w:rFonts w:ascii="宋体" w:hAnsi="宋体"/>
          <w:szCs w:val="21"/>
        </w:rPr>
      </w:pPr>
      <w:r>
        <w:rPr>
          <w:rFonts w:ascii="宋体" w:hAnsi="宋体"/>
          <w:szCs w:val="21"/>
        </w:rPr>
        <w:t>(b)</w:t>
      </w:r>
      <w:r>
        <w:rPr>
          <w:rFonts w:ascii="宋体" w:hAnsi="宋体" w:hint="eastAsia"/>
          <w:szCs w:val="21"/>
        </w:rPr>
        <w:t>“合同价”系指根据合同规定乙方在正确地完全履行合同义务后甲方</w:t>
      </w:r>
    </w:p>
    <w:p>
      <w:pPr>
        <w:tabs>
          <w:tab w:val="left" w:pos="1260"/>
        </w:tabs>
        <w:snapToGrid w:val="0"/>
        <w:spacing w:line="360" w:lineRule="auto"/>
        <w:rPr>
          <w:rFonts w:ascii="宋体" w:hAnsi="宋体"/>
          <w:szCs w:val="21"/>
        </w:rPr>
      </w:pPr>
      <w:r>
        <w:rPr>
          <w:rFonts w:ascii="宋体" w:hAnsi="宋体" w:hint="eastAsia"/>
          <w:szCs w:val="21"/>
        </w:rPr>
        <w:t>应支付给乙方的价格。</w:t>
      </w:r>
    </w:p>
    <w:p>
      <w:pPr>
        <w:snapToGrid w:val="0"/>
        <w:spacing w:line="360" w:lineRule="auto"/>
        <w:ind w:firstLine="420" w:firstLineChars="200"/>
        <w:rPr>
          <w:rFonts w:ascii="宋体" w:hAnsi="宋体"/>
          <w:szCs w:val="21"/>
        </w:rPr>
      </w:pPr>
      <w:r>
        <w:rPr>
          <w:rFonts w:ascii="宋体" w:hAnsi="宋体"/>
          <w:szCs w:val="21"/>
        </w:rPr>
        <w:t xml:space="preserve">(c) </w:t>
      </w:r>
      <w:r>
        <w:rPr>
          <w:rFonts w:ascii="宋体" w:hAnsi="宋体" w:hint="eastAsia"/>
          <w:szCs w:val="21"/>
        </w:rPr>
        <w:t>“合同条款”系指本合同条款。</w:t>
      </w:r>
    </w:p>
    <w:p>
      <w:pPr>
        <w:snapToGrid w:val="0"/>
        <w:spacing w:line="360" w:lineRule="auto"/>
        <w:ind w:firstLine="420" w:firstLineChars="200"/>
        <w:rPr>
          <w:rFonts w:ascii="宋体" w:hAnsi="宋体"/>
          <w:szCs w:val="21"/>
        </w:rPr>
      </w:pPr>
      <w:r>
        <w:rPr>
          <w:rFonts w:ascii="宋体" w:hAnsi="宋体"/>
          <w:szCs w:val="21"/>
        </w:rPr>
        <w:t xml:space="preserve">(d) </w:t>
      </w:r>
      <w:r>
        <w:rPr>
          <w:rFonts w:ascii="宋体" w:hAnsi="宋体" w:hint="eastAsia"/>
          <w:szCs w:val="21"/>
        </w:rPr>
        <w:t>“技术要求”指的是招标文件中的技术要求。</w:t>
      </w:r>
    </w:p>
    <w:p>
      <w:pPr>
        <w:snapToGrid w:val="0"/>
        <w:spacing w:line="360" w:lineRule="auto"/>
        <w:ind w:left="531" w:hanging="52" w:leftChars="228" w:hangingChars="25"/>
        <w:rPr>
          <w:rFonts w:ascii="宋体" w:hAnsi="宋体"/>
          <w:szCs w:val="21"/>
        </w:rPr>
      </w:pPr>
      <w:r>
        <w:rPr>
          <w:rFonts w:ascii="宋体" w:hAnsi="宋体"/>
          <w:szCs w:val="21"/>
        </w:rPr>
        <w:t xml:space="preserve">1.2 </w:t>
      </w:r>
      <w:r>
        <w:rPr>
          <w:rFonts w:ascii="宋体" w:hAnsi="宋体" w:hint="eastAsia"/>
          <w:szCs w:val="21"/>
        </w:rPr>
        <w:t>实体</w:t>
      </w:r>
    </w:p>
    <w:p>
      <w:pPr>
        <w:snapToGrid w:val="0"/>
        <w:spacing w:line="360" w:lineRule="auto"/>
        <w:ind w:firstLine="420" w:firstLineChars="200"/>
        <w:rPr>
          <w:rFonts w:ascii="宋体" w:hAnsi="宋体"/>
          <w:szCs w:val="21"/>
        </w:rPr>
      </w:pPr>
      <w:r>
        <w:rPr>
          <w:rFonts w:ascii="宋体" w:hAnsi="宋体"/>
          <w:szCs w:val="21"/>
        </w:rPr>
        <w:t>(a)</w:t>
      </w:r>
      <w:r>
        <w:rPr>
          <w:rFonts w:ascii="宋体" w:hAnsi="宋体" w:hint="eastAsia"/>
          <w:szCs w:val="21"/>
        </w:rPr>
        <w:t>“甲方”系指购买货物和服务的单位或其指定的采购代理。</w:t>
      </w:r>
    </w:p>
    <w:p>
      <w:pPr>
        <w:snapToGrid w:val="0"/>
        <w:spacing w:line="360" w:lineRule="auto"/>
        <w:ind w:firstLine="420" w:firstLineChars="200"/>
        <w:rPr>
          <w:rFonts w:ascii="宋体" w:hAnsi="宋体"/>
          <w:szCs w:val="21"/>
        </w:rPr>
      </w:pPr>
      <w:r>
        <w:rPr>
          <w:rFonts w:ascii="宋体" w:hAnsi="宋体"/>
          <w:szCs w:val="21"/>
        </w:rPr>
        <w:t>(b)</w:t>
      </w:r>
      <w:r>
        <w:rPr>
          <w:rFonts w:ascii="宋体" w:hAnsi="宋体" w:hint="eastAsia"/>
          <w:szCs w:val="21"/>
        </w:rPr>
        <w:t>“乙方”系指提供本合同项下货物/服务的公司或实体。</w:t>
      </w:r>
    </w:p>
    <w:p>
      <w:pPr>
        <w:tabs>
          <w:tab w:val="left" w:pos="1155"/>
        </w:tabs>
        <w:snapToGrid w:val="0"/>
        <w:spacing w:line="360" w:lineRule="auto"/>
        <w:ind w:firstLine="420" w:firstLineChars="200"/>
        <w:rPr>
          <w:rFonts w:ascii="宋体" w:hAnsi="宋体"/>
          <w:szCs w:val="21"/>
        </w:rPr>
      </w:pPr>
      <w:r>
        <w:rPr>
          <w:rFonts w:ascii="宋体" w:hAnsi="宋体"/>
          <w:szCs w:val="21"/>
        </w:rPr>
        <w:t xml:space="preserve">(c) </w:t>
      </w:r>
      <w:r>
        <w:rPr>
          <w:rFonts w:ascii="宋体" w:hAnsi="宋体" w:hint="eastAsia"/>
          <w:szCs w:val="21"/>
        </w:rPr>
        <w:t>“最终用户”系指授权甲方采购合同项下货物和服务的使用单位。</w:t>
      </w:r>
    </w:p>
    <w:p>
      <w:pPr>
        <w:snapToGrid w:val="0"/>
        <w:spacing w:line="360" w:lineRule="auto"/>
        <w:ind w:firstLine="420" w:firstLineChars="200"/>
        <w:rPr>
          <w:rFonts w:ascii="宋体" w:hAnsi="宋体"/>
          <w:szCs w:val="21"/>
        </w:rPr>
      </w:pPr>
      <w:r>
        <w:rPr>
          <w:rFonts w:ascii="宋体" w:hAnsi="宋体"/>
          <w:szCs w:val="21"/>
        </w:rPr>
        <w:t>(d)</w:t>
      </w:r>
      <w:r>
        <w:rPr>
          <w:rFonts w:ascii="宋体" w:hAnsi="宋体" w:hint="eastAsia"/>
          <w:szCs w:val="21"/>
        </w:rPr>
        <w:t>“项目现场代表”由甲方任命的代表，负责执行甲方在项目现场的合</w:t>
      </w:r>
    </w:p>
    <w:p>
      <w:pPr>
        <w:snapToGrid w:val="0"/>
        <w:spacing w:line="360" w:lineRule="auto"/>
        <w:rPr>
          <w:rFonts w:ascii="宋体" w:hAnsi="宋体"/>
          <w:szCs w:val="21"/>
        </w:rPr>
      </w:pPr>
      <w:r>
        <w:rPr>
          <w:rFonts w:ascii="宋体" w:hAnsi="宋体" w:hint="eastAsia"/>
          <w:szCs w:val="21"/>
        </w:rPr>
        <w:t>同义务。</w:t>
      </w:r>
    </w:p>
    <w:p>
      <w:pPr>
        <w:snapToGrid w:val="0"/>
        <w:spacing w:line="360" w:lineRule="auto"/>
        <w:ind w:firstLine="420" w:firstLineChars="200"/>
        <w:rPr>
          <w:rFonts w:ascii="宋体" w:hAnsi="宋体"/>
          <w:szCs w:val="21"/>
        </w:rPr>
      </w:pPr>
      <w:r>
        <w:rPr>
          <w:rFonts w:ascii="宋体" w:hAnsi="宋体"/>
          <w:szCs w:val="21"/>
        </w:rPr>
        <w:t xml:space="preserve">1.3  </w:t>
      </w:r>
      <w:r>
        <w:rPr>
          <w:rFonts w:ascii="宋体" w:hAnsi="宋体" w:hint="eastAsia"/>
          <w:szCs w:val="21"/>
        </w:rPr>
        <w:t>事项</w:t>
      </w:r>
    </w:p>
    <w:p>
      <w:pPr>
        <w:snapToGrid w:val="0"/>
        <w:spacing w:line="360" w:lineRule="auto"/>
        <w:ind w:firstLine="420" w:firstLineChars="200"/>
        <w:rPr>
          <w:rFonts w:ascii="宋体" w:hAnsi="宋体"/>
          <w:szCs w:val="21"/>
        </w:rPr>
      </w:pPr>
      <w:r>
        <w:rPr>
          <w:rFonts w:ascii="宋体" w:hAnsi="宋体"/>
          <w:szCs w:val="21"/>
        </w:rPr>
        <w:t>(a)</w:t>
      </w:r>
      <w:r>
        <w:rPr>
          <w:rFonts w:ascii="宋体" w:hAnsi="宋体" w:hint="eastAsia"/>
          <w:szCs w:val="21"/>
        </w:rPr>
        <w:t xml:space="preserve"> “软件”指的是使得系统可以按照特定的方式进行运行或执行特定的操作的指令。详见合同附件</w:t>
      </w:r>
    </w:p>
    <w:p>
      <w:pPr>
        <w:snapToGrid w:val="0"/>
        <w:spacing w:line="360" w:lineRule="auto"/>
        <w:ind w:firstLine="420" w:firstLineChars="200"/>
        <w:rPr>
          <w:rFonts w:ascii="宋体" w:hAnsi="宋体"/>
          <w:szCs w:val="21"/>
        </w:rPr>
      </w:pPr>
      <w:r>
        <w:rPr>
          <w:rFonts w:ascii="宋体" w:hAnsi="宋体"/>
          <w:szCs w:val="21"/>
        </w:rPr>
        <w:t xml:space="preserve">(b) </w:t>
      </w:r>
      <w:r>
        <w:rPr>
          <w:rFonts w:ascii="宋体" w:hAnsi="宋体" w:hint="eastAsia"/>
          <w:szCs w:val="21"/>
        </w:rPr>
        <w:t>“服务”系指根据合同规定，乙方应提供的技术、管理和其它服务，包括但不限于：管理和质量保证、运输、保险、检验、现场准备、安装、集成、调试、培训、维修、技术支持等。详见合同附件。</w:t>
      </w:r>
    </w:p>
    <w:p>
      <w:pPr>
        <w:snapToGrid w:val="0"/>
        <w:spacing w:line="360" w:lineRule="auto"/>
        <w:ind w:firstLine="420" w:firstLineChars="200"/>
        <w:rPr>
          <w:rFonts w:ascii="宋体" w:hAnsi="宋体"/>
          <w:szCs w:val="21"/>
        </w:rPr>
      </w:pPr>
      <w:r>
        <w:rPr>
          <w:rFonts w:ascii="宋体" w:hAnsi="宋体"/>
          <w:szCs w:val="21"/>
        </w:rPr>
        <w:t xml:space="preserve">(c) </w:t>
      </w:r>
      <w:r>
        <w:rPr>
          <w:rFonts w:ascii="宋体" w:hAnsi="宋体" w:hint="eastAsia"/>
          <w:szCs w:val="21"/>
        </w:rPr>
        <w:t>“资料”指乙方在合同项下，向甲方提供的所有印刷或打印的文件，通过任何方式（包括声像或文本）和任何媒介向甲方提供的各种指令性和信息性的帮助，但不包括口头指导</w:t>
      </w:r>
    </w:p>
    <w:p>
      <w:pPr>
        <w:tabs>
          <w:tab w:val="left" w:pos="1800"/>
        </w:tabs>
        <w:snapToGrid w:val="0"/>
        <w:spacing w:line="360" w:lineRule="auto"/>
        <w:ind w:firstLine="420" w:firstLineChars="200"/>
        <w:rPr>
          <w:rFonts w:ascii="宋体" w:hAnsi="宋体"/>
          <w:szCs w:val="21"/>
        </w:rPr>
      </w:pPr>
      <w:r>
        <w:rPr>
          <w:rFonts w:ascii="宋体" w:hAnsi="宋体"/>
          <w:szCs w:val="21"/>
        </w:rPr>
        <w:t>(d)</w:t>
      </w:r>
      <w:r>
        <w:rPr>
          <w:rFonts w:ascii="宋体" w:hAnsi="宋体" w:hint="eastAsia"/>
          <w:szCs w:val="21"/>
        </w:rPr>
        <w:t>“知识产权”指本合同涉及的任何及所有的著作权、商标权、专利权和其它智力成果的和专有的权利和利益。</w:t>
      </w:r>
    </w:p>
    <w:p>
      <w:pPr>
        <w:tabs>
          <w:tab w:val="left" w:pos="1800"/>
        </w:tabs>
        <w:snapToGrid w:val="0"/>
        <w:spacing w:line="360" w:lineRule="auto"/>
        <w:ind w:firstLine="420" w:firstLineChars="200"/>
        <w:rPr>
          <w:rFonts w:ascii="宋体" w:hAnsi="宋体"/>
          <w:szCs w:val="21"/>
        </w:rPr>
      </w:pPr>
      <w:r>
        <w:rPr>
          <w:rFonts w:ascii="宋体" w:hAnsi="宋体" w:hint="eastAsia"/>
          <w:szCs w:val="21"/>
        </w:rPr>
        <w:t>(e</w:t>
      </w:r>
      <w:r>
        <w:rPr>
          <w:rFonts w:ascii="宋体" w:hAnsi="宋体"/>
          <w:szCs w:val="21"/>
        </w:rPr>
        <w:t>）</w:t>
      </w:r>
      <w:r>
        <w:rPr>
          <w:rFonts w:ascii="宋体" w:hAnsi="宋体" w:hint="eastAsia"/>
          <w:szCs w:val="21"/>
        </w:rPr>
        <w:t>“预付款保函”指由银行向甲方开具的预付款保函，有效期截至时间不得早于合同最终验收时间。</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(f）“履约保函”指由银行向甲方开具的履约保函，有效期截止时间不得早于合同最终验收时间。</w:t>
      </w:r>
    </w:p>
    <w:p>
      <w:pPr>
        <w:snapToGrid w:val="0"/>
        <w:spacing w:line="360" w:lineRule="auto"/>
        <w:ind w:firstLine="420" w:firstLineChars="200"/>
        <w:rPr>
          <w:rFonts w:ascii="宋体" w:hAnsi="宋体"/>
          <w:szCs w:val="21"/>
        </w:rPr>
      </w:pPr>
      <w:r>
        <w:rPr>
          <w:rFonts w:ascii="宋体" w:hAnsi="宋体"/>
          <w:szCs w:val="21"/>
        </w:rPr>
        <w:t>1.4</w:t>
      </w:r>
      <w:r>
        <w:rPr>
          <w:rFonts w:ascii="宋体" w:hAnsi="宋体" w:hint="eastAsia"/>
          <w:szCs w:val="21"/>
        </w:rPr>
        <w:t>活动</w:t>
      </w:r>
    </w:p>
    <w:p>
      <w:pPr>
        <w:snapToGrid w:val="0"/>
        <w:spacing w:line="360" w:lineRule="auto"/>
        <w:ind w:firstLine="420" w:firstLineChars="200"/>
        <w:rPr>
          <w:rFonts w:ascii="宋体" w:hAnsi="宋体"/>
          <w:szCs w:val="21"/>
        </w:rPr>
      </w:pPr>
      <w:r>
        <w:rPr>
          <w:rFonts w:ascii="宋体" w:hAnsi="宋体"/>
          <w:szCs w:val="21"/>
        </w:rPr>
        <w:t xml:space="preserve">(a) </w:t>
      </w:r>
      <w:r>
        <w:rPr>
          <w:rFonts w:ascii="宋体" w:hAnsi="宋体" w:hint="eastAsia"/>
          <w:szCs w:val="21"/>
        </w:rPr>
        <w:t>“交付”是指乙方按照合同规定，向甲方提供货物/服务。</w:t>
      </w:r>
    </w:p>
    <w:p>
      <w:pPr>
        <w:snapToGrid w:val="0"/>
        <w:spacing w:line="360" w:lineRule="auto"/>
        <w:ind w:firstLine="420" w:firstLineChars="200"/>
        <w:rPr>
          <w:rFonts w:ascii="宋体" w:hAnsi="宋体"/>
          <w:szCs w:val="21"/>
        </w:rPr>
      </w:pPr>
      <w:r>
        <w:rPr>
          <w:rFonts w:ascii="宋体" w:hAnsi="宋体"/>
          <w:szCs w:val="21"/>
        </w:rPr>
        <w:t xml:space="preserve">(b) </w:t>
      </w:r>
      <w:r>
        <w:rPr>
          <w:rFonts w:ascii="宋体" w:hAnsi="宋体" w:hint="eastAsia"/>
          <w:szCs w:val="21"/>
        </w:rPr>
        <w:t>“调试”指乙方在完成了安装之后，为准备验收而进行的运转测试，详见合同附件的技术要求</w:t>
      </w:r>
    </w:p>
    <w:p>
      <w:pPr>
        <w:snapToGrid w:val="0"/>
        <w:spacing w:line="360" w:lineRule="auto"/>
        <w:ind w:firstLine="420" w:firstLineChars="200"/>
        <w:rPr>
          <w:rFonts w:ascii="宋体" w:hAnsi="宋体"/>
          <w:szCs w:val="21"/>
        </w:rPr>
      </w:pPr>
      <w:r>
        <w:rPr>
          <w:rFonts w:ascii="宋体" w:hAnsi="宋体"/>
          <w:szCs w:val="21"/>
        </w:rPr>
        <w:t xml:space="preserve">(c) </w:t>
      </w:r>
      <w:r>
        <w:rPr>
          <w:rFonts w:ascii="宋体" w:hAnsi="宋体" w:hint="eastAsia"/>
          <w:szCs w:val="21"/>
        </w:rPr>
        <w:t>“验收”是指所有合同项下所供货物/服务在测试中达到合同附件规定的技术性能指标后，甲方予以接受。</w:t>
      </w:r>
    </w:p>
    <w:p>
      <w:pPr>
        <w:snapToGrid w:val="0"/>
        <w:spacing w:line="360" w:lineRule="auto"/>
        <w:ind w:firstLine="420" w:firstLineChars="200"/>
        <w:rPr>
          <w:rFonts w:ascii="宋体" w:hAnsi="宋体"/>
          <w:szCs w:val="21"/>
        </w:rPr>
      </w:pPr>
      <w:r>
        <w:rPr>
          <w:rFonts w:ascii="宋体" w:hAnsi="宋体"/>
          <w:szCs w:val="21"/>
        </w:rPr>
        <w:t xml:space="preserve">1.5  </w:t>
      </w:r>
      <w:r>
        <w:rPr>
          <w:rFonts w:ascii="宋体" w:hAnsi="宋体" w:hint="eastAsia"/>
          <w:szCs w:val="21"/>
        </w:rPr>
        <w:t>地点和时间</w:t>
      </w:r>
    </w:p>
    <w:p>
      <w:pPr>
        <w:snapToGrid w:val="0"/>
        <w:spacing w:line="360" w:lineRule="auto"/>
        <w:ind w:firstLine="420" w:firstLineChars="200"/>
        <w:rPr>
          <w:rFonts w:ascii="宋体" w:hAnsi="宋体"/>
          <w:szCs w:val="21"/>
        </w:rPr>
      </w:pPr>
      <w:r>
        <w:rPr>
          <w:rFonts w:ascii="宋体" w:hAnsi="宋体"/>
          <w:szCs w:val="21"/>
        </w:rPr>
        <w:t xml:space="preserve">(a) </w:t>
      </w:r>
      <w:r>
        <w:rPr>
          <w:rFonts w:ascii="宋体" w:hAnsi="宋体" w:hint="eastAsia"/>
          <w:szCs w:val="21"/>
        </w:rPr>
        <w:t>“项目现场”指的是货物/服务交付和安装的场所。</w:t>
      </w:r>
    </w:p>
    <w:p>
      <w:pPr>
        <w:snapToGrid w:val="0"/>
        <w:spacing w:line="360" w:lineRule="auto"/>
        <w:ind w:firstLine="420" w:firstLineChars="200"/>
        <w:rPr>
          <w:rFonts w:ascii="宋体" w:hAnsi="宋体"/>
          <w:szCs w:val="21"/>
        </w:rPr>
      </w:pPr>
      <w:r>
        <w:rPr>
          <w:rFonts w:ascii="宋体" w:hAnsi="宋体"/>
          <w:szCs w:val="21"/>
        </w:rPr>
        <w:t xml:space="preserve">(b) </w:t>
      </w:r>
      <w:r>
        <w:rPr>
          <w:rFonts w:ascii="宋体" w:hAnsi="宋体" w:hint="eastAsia"/>
          <w:szCs w:val="21"/>
        </w:rPr>
        <w:t>“天”指日历天数。</w:t>
      </w:r>
    </w:p>
    <w:p>
      <w:pPr>
        <w:snapToGrid w:val="0"/>
        <w:spacing w:line="360" w:lineRule="auto"/>
        <w:ind w:firstLine="420" w:firstLineChars="200"/>
        <w:rPr>
          <w:rFonts w:ascii="宋体" w:hAnsi="宋体"/>
          <w:szCs w:val="21"/>
        </w:rPr>
      </w:pPr>
      <w:r>
        <w:rPr>
          <w:rFonts w:ascii="宋体" w:hAnsi="宋体"/>
          <w:szCs w:val="21"/>
        </w:rPr>
        <w:t xml:space="preserve">(c) </w:t>
      </w:r>
      <w:r>
        <w:rPr>
          <w:rFonts w:ascii="宋体" w:hAnsi="宋体" w:hint="eastAsia"/>
          <w:szCs w:val="21"/>
        </w:rPr>
        <w:t>“周”指按中国习惯开始的连续七天</w:t>
      </w:r>
    </w:p>
    <w:p>
      <w:pPr>
        <w:snapToGrid w:val="0"/>
        <w:spacing w:line="360" w:lineRule="auto"/>
        <w:ind w:firstLine="420" w:firstLineChars="200"/>
        <w:rPr>
          <w:rFonts w:ascii="宋体" w:hAnsi="宋体"/>
          <w:szCs w:val="21"/>
        </w:rPr>
      </w:pPr>
      <w:r>
        <w:rPr>
          <w:rFonts w:ascii="宋体" w:hAnsi="宋体"/>
          <w:szCs w:val="21"/>
        </w:rPr>
        <w:t xml:space="preserve">(d) </w:t>
      </w:r>
      <w:r>
        <w:rPr>
          <w:rFonts w:ascii="宋体" w:hAnsi="宋体" w:hint="eastAsia"/>
          <w:szCs w:val="21"/>
        </w:rPr>
        <w:t>“年”指连续的</w:t>
      </w:r>
      <w:r>
        <w:rPr>
          <w:rFonts w:ascii="宋体" w:hAnsi="宋体"/>
          <w:szCs w:val="21"/>
        </w:rPr>
        <w:t>12</w:t>
      </w:r>
      <w:r>
        <w:rPr>
          <w:rFonts w:ascii="宋体" w:hAnsi="宋体" w:hint="eastAsia"/>
          <w:szCs w:val="21"/>
        </w:rPr>
        <w:t>个月。</w:t>
      </w:r>
    </w:p>
    <w:p>
      <w:pPr>
        <w:snapToGrid w:val="0"/>
        <w:spacing w:line="360" w:lineRule="auto"/>
        <w:ind w:firstLine="432"/>
        <w:rPr>
          <w:rFonts w:ascii="宋体" w:hAnsi="宋体"/>
          <w:szCs w:val="21"/>
        </w:rPr>
      </w:pPr>
      <w:r>
        <w:rPr>
          <w:rFonts w:ascii="宋体" w:hAnsi="宋体"/>
          <w:szCs w:val="21"/>
        </w:rPr>
        <w:t xml:space="preserve">(e) </w:t>
      </w:r>
      <w:r>
        <w:rPr>
          <w:rFonts w:ascii="宋体" w:hAnsi="宋体" w:hint="eastAsia"/>
          <w:szCs w:val="21"/>
        </w:rPr>
        <w:t>“保证期”是指自合同验收合格之日起一定时间内，乙方保证所供产品的适当和稳定运行，并负责消除存在的任何缺陷。</w:t>
      </w:r>
    </w:p>
    <w:p>
      <w:pPr>
        <w:snapToGrid w:val="0"/>
        <w:spacing w:line="360" w:lineRule="auto"/>
        <w:ind w:firstLine="412" w:firstLineChars="196"/>
        <w:rPr>
          <w:rFonts w:ascii="宋体" w:hAnsi="宋体"/>
          <w:szCs w:val="21"/>
        </w:rPr>
      </w:pPr>
      <w:r>
        <w:rPr>
          <w:rFonts w:ascii="宋体" w:hAnsi="宋体" w:hint="eastAsia"/>
          <w:szCs w:val="21"/>
        </w:rPr>
        <w:t>双方确定：本合同及相关附件中所涉及的有关名词和技术术语，其定义和解释如下：</w:t>
      </w:r>
    </w:p>
    <w:p>
      <w:pPr>
        <w:snapToGrid w:val="0"/>
        <w:spacing w:line="360" w:lineRule="auto"/>
        <w:rPr>
          <w:rFonts w:ascii="宋体" w:hAnsi="宋体"/>
          <w:szCs w:val="21"/>
        </w:rPr>
      </w:pPr>
      <w:r>
        <w:rPr>
          <w:rFonts w:ascii="宋体" w:hAnsi="宋体" w:hint="eastAsia"/>
          <w:szCs w:val="21"/>
        </w:rPr>
        <w:t xml:space="preserve">     1．</w:t>
      </w:r>
      <w:r>
        <w:rPr>
          <w:rFonts w:ascii="宋体" w:hAnsi="宋体" w:hint="eastAsia"/>
          <w:szCs w:val="21"/>
          <w:u w:val="single"/>
        </w:rPr>
        <w:t xml:space="preserve">              </w:t>
      </w:r>
      <w:r>
        <w:rPr>
          <w:rFonts w:ascii="宋体" w:hAnsi="宋体" w:hint="eastAsia"/>
          <w:color w:val="000000"/>
          <w:szCs w:val="21"/>
          <w:u w:val="single"/>
        </w:rPr>
        <w:t xml:space="preserve">   </w:t>
      </w:r>
      <w:r>
        <w:rPr>
          <w:rFonts w:ascii="宋体" w:hAnsi="宋体" w:hint="eastAsia"/>
          <w:szCs w:val="21"/>
          <w:u w:val="single"/>
        </w:rPr>
        <w:t xml:space="preserve">                       </w:t>
      </w:r>
    </w:p>
    <w:p>
      <w:pPr>
        <w:snapToGrid w:val="0"/>
        <w:spacing w:line="360" w:lineRule="auto"/>
        <w:rPr>
          <w:rFonts w:ascii="宋体" w:hAnsi="宋体"/>
          <w:szCs w:val="21"/>
          <w:u w:val="single"/>
        </w:rPr>
      </w:pPr>
      <w:r>
        <w:rPr>
          <w:rFonts w:ascii="宋体" w:hAnsi="宋体" w:hint="eastAsia"/>
          <w:szCs w:val="21"/>
        </w:rPr>
        <w:t xml:space="preserve">     2．</w:t>
      </w:r>
      <w:r>
        <w:rPr>
          <w:rFonts w:ascii="宋体" w:hAnsi="宋体" w:hint="eastAsia"/>
          <w:szCs w:val="21"/>
          <w:u w:val="single"/>
        </w:rPr>
        <w:t xml:space="preserve">                                      </w:t>
      </w:r>
    </w:p>
    <w:p>
      <w:pPr>
        <w:snapToGrid w:val="0"/>
        <w:spacing w:line="360" w:lineRule="auto"/>
        <w:ind w:firstLine="432"/>
        <w:rPr>
          <w:rFonts w:ascii="宋体" w:hAnsi="宋体"/>
          <w:b/>
          <w:szCs w:val="21"/>
        </w:rPr>
      </w:pPr>
    </w:p>
    <w:p>
      <w:pPr>
        <w:adjustRightInd w:val="0"/>
        <w:spacing w:line="360" w:lineRule="auto"/>
        <w:ind w:firstLine="420" w:firstLineChars="200"/>
        <w:outlineLvl w:val="1"/>
        <w:rPr>
          <w:rFonts w:ascii="宋体" w:hAnsi="宋体"/>
          <w:b/>
          <w:szCs w:val="21"/>
        </w:rPr>
      </w:pPr>
      <w:r>
        <w:rPr>
          <w:rFonts w:ascii="宋体" w:hAnsi="宋体" w:hint="eastAsia"/>
          <w:b/>
          <w:szCs w:val="21"/>
        </w:rPr>
        <w:t>二</w:t>
      </w:r>
      <w:r>
        <w:rPr>
          <w:rFonts w:ascii="宋体" w:hAnsi="宋体"/>
          <w:b/>
          <w:szCs w:val="21"/>
        </w:rPr>
        <w:t>、</w:t>
      </w:r>
      <w:r>
        <w:rPr>
          <w:rFonts w:ascii="宋体" w:hAnsi="宋体" w:hint="eastAsia"/>
          <w:b/>
          <w:szCs w:val="21"/>
        </w:rPr>
        <w:t>合同文件</w:t>
      </w:r>
    </w:p>
    <w:p>
      <w:pPr>
        <w:snapToGrid w:val="0"/>
        <w:spacing w:line="360" w:lineRule="auto"/>
        <w:ind w:firstLine="420" w:firstLineChars="200"/>
        <w:rPr>
          <w:rFonts w:ascii="宋体" w:hAnsi="宋体"/>
          <w:szCs w:val="21"/>
        </w:rPr>
      </w:pPr>
      <w:r>
        <w:rPr>
          <w:rFonts w:ascii="宋体" w:hAnsi="宋体" w:hint="eastAsia"/>
          <w:szCs w:val="21"/>
        </w:rPr>
        <w:t>本合同所附下列文件是构成本合同不可分割的部分：</w:t>
      </w:r>
    </w:p>
    <w:p>
      <w:pPr>
        <w:snapToGrid w:val="0"/>
        <w:spacing w:line="360" w:lineRule="auto"/>
        <w:ind w:firstLine="315" w:firstLineChars="150"/>
        <w:rPr>
          <w:rFonts w:ascii="宋体" w:hAnsi="宋体"/>
          <w:szCs w:val="21"/>
        </w:rPr>
      </w:pPr>
      <w:r>
        <w:rPr>
          <w:rFonts w:ascii="宋体" w:hAnsi="宋体" w:hint="eastAsia"/>
          <w:szCs w:val="21"/>
        </w:rPr>
        <w:t>（一）本项目招标文件、中标人的投标文件；</w:t>
      </w:r>
    </w:p>
    <w:p>
      <w:pPr>
        <w:snapToGrid w:val="0"/>
        <w:spacing w:line="360" w:lineRule="auto"/>
        <w:ind w:firstLine="315" w:firstLineChars="150"/>
        <w:rPr>
          <w:rFonts w:ascii="宋体" w:hAnsi="宋体"/>
          <w:szCs w:val="21"/>
        </w:rPr>
      </w:pPr>
      <w:r>
        <w:rPr>
          <w:rFonts w:ascii="宋体" w:hAnsi="宋体" w:hint="eastAsia"/>
          <w:szCs w:val="21"/>
        </w:rPr>
        <w:t>（二）投标人提交的投标函格式</w:t>
      </w:r>
    </w:p>
    <w:p>
      <w:pPr>
        <w:snapToGrid w:val="0"/>
        <w:spacing w:line="360" w:lineRule="auto"/>
        <w:ind w:firstLine="315" w:firstLineChars="150"/>
        <w:rPr>
          <w:rFonts w:ascii="宋体" w:hAnsi="宋体"/>
          <w:szCs w:val="21"/>
        </w:rPr>
      </w:pPr>
      <w:r>
        <w:rPr>
          <w:rFonts w:ascii="宋体" w:hAnsi="宋体" w:hint="eastAsia"/>
          <w:szCs w:val="21"/>
        </w:rPr>
        <w:t>（三）软件开发及设备、系统软件购置响应及报价表</w:t>
      </w:r>
    </w:p>
    <w:p>
      <w:pPr>
        <w:snapToGrid w:val="0"/>
        <w:spacing w:line="360" w:lineRule="auto"/>
        <w:ind w:firstLine="315" w:firstLineChars="150"/>
        <w:rPr>
          <w:rFonts w:ascii="宋体" w:hAnsi="宋体"/>
          <w:szCs w:val="21"/>
        </w:rPr>
      </w:pPr>
      <w:r>
        <w:rPr>
          <w:rFonts w:ascii="宋体" w:hAnsi="宋体" w:hint="eastAsia"/>
          <w:szCs w:val="21"/>
        </w:rPr>
        <w:t>（四）项目实施方案</w:t>
      </w:r>
    </w:p>
    <w:p>
      <w:pPr>
        <w:snapToGrid w:val="0"/>
        <w:spacing w:line="360" w:lineRule="auto"/>
        <w:ind w:firstLine="315" w:firstLineChars="150"/>
        <w:rPr>
          <w:rFonts w:ascii="宋体" w:hAnsi="宋体"/>
          <w:szCs w:val="21"/>
        </w:rPr>
      </w:pPr>
      <w:r>
        <w:rPr>
          <w:rFonts w:ascii="宋体" w:hAnsi="宋体" w:hint="eastAsia"/>
          <w:szCs w:val="21"/>
        </w:rPr>
        <w:t>（五）培训方案</w:t>
      </w:r>
    </w:p>
    <w:p>
      <w:pPr>
        <w:snapToGrid w:val="0"/>
        <w:spacing w:line="360" w:lineRule="auto"/>
        <w:ind w:firstLine="315" w:firstLineChars="150"/>
        <w:rPr>
          <w:rFonts w:ascii="宋体" w:hAnsi="宋体"/>
          <w:szCs w:val="21"/>
        </w:rPr>
      </w:pPr>
      <w:r>
        <w:rPr>
          <w:rFonts w:ascii="宋体" w:hAnsi="宋体" w:hint="eastAsia"/>
          <w:szCs w:val="21"/>
        </w:rPr>
        <w:t>（六）验收办法</w:t>
      </w:r>
    </w:p>
    <w:p>
      <w:pPr>
        <w:snapToGrid w:val="0"/>
        <w:spacing w:line="360" w:lineRule="auto"/>
        <w:ind w:firstLine="315" w:firstLineChars="150"/>
        <w:rPr>
          <w:rFonts w:ascii="宋体" w:hAnsi="宋体"/>
          <w:szCs w:val="21"/>
        </w:rPr>
      </w:pPr>
      <w:r>
        <w:rPr>
          <w:rFonts w:ascii="宋体" w:hAnsi="宋体" w:hint="eastAsia"/>
          <w:szCs w:val="21"/>
        </w:rPr>
        <w:t>（七）中标通知书</w:t>
      </w:r>
    </w:p>
    <w:p>
      <w:pPr>
        <w:snapToGrid w:val="0"/>
        <w:spacing w:line="360" w:lineRule="auto"/>
        <w:ind w:firstLine="315" w:firstLineChars="150"/>
        <w:rPr>
          <w:rFonts w:ascii="宋体" w:hAnsi="宋体"/>
          <w:szCs w:val="21"/>
        </w:rPr>
      </w:pPr>
      <w:r>
        <w:rPr>
          <w:rFonts w:ascii="宋体" w:hAnsi="宋体" w:hint="eastAsia"/>
          <w:szCs w:val="21"/>
        </w:rPr>
        <w:t>（八）调试、安装、交付（货）时间地点一览表</w:t>
      </w:r>
    </w:p>
    <w:p>
      <w:pPr>
        <w:adjustRightInd w:val="0"/>
        <w:spacing w:line="360" w:lineRule="auto"/>
        <w:ind w:firstLine="420" w:firstLineChars="200"/>
        <w:outlineLvl w:val="1"/>
        <w:rPr>
          <w:rFonts w:ascii="宋体" w:hAnsi="宋体"/>
          <w:b/>
          <w:szCs w:val="21"/>
        </w:rPr>
      </w:pPr>
      <w:r>
        <w:rPr>
          <w:rFonts w:ascii="宋体" w:hAnsi="宋体" w:hint="eastAsia"/>
          <w:b/>
          <w:szCs w:val="21"/>
        </w:rPr>
        <w:t>三、合同范围和条件</w:t>
      </w:r>
    </w:p>
    <w:p>
      <w:pPr>
        <w:snapToGrid w:val="0"/>
        <w:spacing w:line="360" w:lineRule="auto"/>
        <w:ind w:firstLine="420" w:firstLineChars="200"/>
        <w:rPr>
          <w:rFonts w:ascii="宋体" w:hAnsi="宋体"/>
          <w:szCs w:val="21"/>
        </w:rPr>
      </w:pPr>
      <w:r>
        <w:rPr>
          <w:rFonts w:ascii="宋体" w:hAnsi="宋体" w:hint="eastAsia"/>
          <w:szCs w:val="21"/>
        </w:rPr>
        <w:t>本合同的范围和条件应与上述合同文件的规定相一致。</w:t>
      </w:r>
    </w:p>
    <w:p>
      <w:pPr>
        <w:adjustRightInd w:val="0"/>
        <w:spacing w:line="360" w:lineRule="auto"/>
        <w:ind w:firstLine="420" w:firstLineChars="200"/>
        <w:outlineLvl w:val="1"/>
        <w:rPr>
          <w:rFonts w:ascii="宋体" w:hAnsi="宋体"/>
          <w:b/>
          <w:szCs w:val="21"/>
        </w:rPr>
      </w:pPr>
      <w:r>
        <w:rPr>
          <w:rFonts w:ascii="宋体" w:hAnsi="宋体" w:hint="eastAsia"/>
          <w:b/>
          <w:szCs w:val="21"/>
        </w:rPr>
        <w:t>四、合同标的</w:t>
      </w:r>
    </w:p>
    <w:p>
      <w:pPr>
        <w:snapToGrid w:val="0"/>
        <w:spacing w:line="360" w:lineRule="auto"/>
        <w:ind w:firstLine="420" w:firstLineChars="200"/>
        <w:rPr>
          <w:rFonts w:ascii="宋体" w:hAnsi="宋体"/>
          <w:szCs w:val="21"/>
        </w:rPr>
      </w:pPr>
      <w:r>
        <w:rPr>
          <w:rFonts w:ascii="宋体" w:hAnsi="宋体" w:hint="eastAsia"/>
          <w:szCs w:val="21"/>
        </w:rPr>
        <w:t>本合同所提供的软件及数量详见合同标的清单（同投标文件中投标软件数量、价格表，下同）。</w:t>
      </w:r>
    </w:p>
    <w:p>
      <w:pPr>
        <w:snapToGrid w:val="0"/>
        <w:spacing w:line="360" w:lineRule="auto"/>
        <w:ind w:firstLine="420" w:firstLineChars="200"/>
        <w:rPr>
          <w:rFonts w:ascii="宋体" w:hAnsi="宋体"/>
          <w:szCs w:val="21"/>
        </w:rPr>
      </w:pPr>
      <w:r>
        <w:rPr>
          <w:rFonts w:ascii="宋体" w:hAnsi="宋体" w:hint="eastAsia"/>
          <w:szCs w:val="21"/>
        </w:rPr>
        <w:t>合同标的清单</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131"/>
        <w:gridCol w:w="993"/>
        <w:gridCol w:w="1864"/>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snapToGrid w:val="0"/>
              <w:spacing w:line="360" w:lineRule="auto"/>
              <w:jc w:val="center"/>
              <w:rPr>
                <w:szCs w:val="21"/>
              </w:rPr>
            </w:pPr>
            <w:r>
              <w:rPr>
                <w:rFonts w:ascii="宋体" w:hAnsi="宋体"/>
                <w:szCs w:val="21"/>
              </w:rPr>
              <w:t>No.</w:t>
            </w:r>
          </w:p>
        </w:tc>
        <w:tc>
          <w:tcPr>
            <w:tcW w:w="2131" w:type="dxa"/>
            <w:vAlign w:val="center"/>
          </w:tcPr>
          <w:p>
            <w:pPr>
              <w:tabs>
                <w:tab w:val="left" w:pos="1573"/>
              </w:tabs>
              <w:autoSpaceDE w:val="0"/>
              <w:autoSpaceDN w:val="0"/>
              <w:snapToGrid w:val="0"/>
              <w:spacing w:line="360" w:lineRule="auto"/>
              <w:jc w:val="center"/>
              <w:rPr>
                <w:szCs w:val="21"/>
              </w:rPr>
            </w:pPr>
            <w:r>
              <w:rPr>
                <w:rFonts w:ascii="宋体" w:hAnsi="宋体" w:hint="eastAsia"/>
                <w:szCs w:val="21"/>
              </w:rPr>
              <w:t>开发的软件名称及规格</w:t>
            </w:r>
          </w:p>
        </w:tc>
        <w:tc>
          <w:tcPr>
            <w:tcW w:w="993" w:type="dxa"/>
            <w:vAlign w:val="center"/>
          </w:tcPr>
          <w:p>
            <w:pPr>
              <w:tabs>
                <w:tab w:val="left" w:pos="1573"/>
              </w:tabs>
              <w:autoSpaceDE w:val="0"/>
              <w:autoSpaceDN w:val="0"/>
              <w:snapToGrid w:val="0"/>
              <w:spacing w:line="360" w:lineRule="auto"/>
              <w:jc w:val="center"/>
              <w:rPr>
                <w:szCs w:val="21"/>
              </w:rPr>
            </w:pPr>
            <w:r>
              <w:rPr>
                <w:rFonts w:ascii="宋体" w:hAnsi="宋体" w:hint="eastAsia"/>
                <w:szCs w:val="21"/>
              </w:rPr>
              <w:t>数量</w:t>
            </w:r>
          </w:p>
        </w:tc>
        <w:tc>
          <w:tcPr>
            <w:tcW w:w="1864" w:type="dxa"/>
            <w:vAlign w:val="center"/>
          </w:tcPr>
          <w:p>
            <w:pPr>
              <w:tabs>
                <w:tab w:val="left" w:pos="1573"/>
              </w:tabs>
              <w:autoSpaceDE w:val="0"/>
              <w:autoSpaceDN w:val="0"/>
              <w:snapToGrid w:val="0"/>
              <w:spacing w:line="360" w:lineRule="auto"/>
              <w:jc w:val="center"/>
              <w:rPr>
                <w:szCs w:val="21"/>
              </w:rPr>
            </w:pPr>
            <w:r>
              <w:rPr>
                <w:rFonts w:ascii="宋体" w:hAnsi="宋体" w:hint="eastAsia"/>
                <w:szCs w:val="21"/>
              </w:rPr>
              <w:t>品牌</w:t>
            </w:r>
          </w:p>
        </w:tc>
        <w:tc>
          <w:tcPr>
            <w:tcW w:w="750" w:type="dxa"/>
            <w:vAlign w:val="center"/>
          </w:tcPr>
          <w:p>
            <w:pPr>
              <w:tabs>
                <w:tab w:val="left" w:pos="1573"/>
              </w:tabs>
              <w:autoSpaceDE w:val="0"/>
              <w:autoSpaceDN w:val="0"/>
              <w:snapToGrid w:val="0"/>
              <w:spacing w:line="360" w:lineRule="auto"/>
              <w:jc w:val="center"/>
              <w:rPr>
                <w:szCs w:val="21"/>
              </w:rPr>
            </w:pPr>
            <w:r>
              <w:rPr>
                <w:rFonts w:ascii="宋体" w:hAnsi="宋体" w:hint="eastAsia"/>
                <w:szCs w:val="21"/>
              </w:rPr>
              <w:t>单价（元）</w:t>
            </w:r>
          </w:p>
        </w:tc>
        <w:tc>
          <w:tcPr>
            <w:tcW w:w="1275" w:type="dxa"/>
            <w:vAlign w:val="center"/>
          </w:tcPr>
          <w:p>
            <w:pPr>
              <w:tabs>
                <w:tab w:val="left" w:pos="1573"/>
              </w:tabs>
              <w:autoSpaceDE w:val="0"/>
              <w:autoSpaceDN w:val="0"/>
              <w:snapToGrid w:val="0"/>
              <w:spacing w:line="360" w:lineRule="auto"/>
              <w:jc w:val="center"/>
              <w:rPr>
                <w:rFonts w:ascii="宋体" w:hAnsi="宋体"/>
                <w:szCs w:val="21"/>
              </w:rPr>
            </w:pPr>
            <w:r>
              <w:rPr>
                <w:rFonts w:ascii="宋体" w:hAnsi="宋体" w:hint="eastAsia"/>
                <w:szCs w:val="21"/>
              </w:rPr>
              <w:t>合同最终验收时间</w:t>
            </w: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snapToGrid w:val="0"/>
              <w:spacing w:line="360" w:lineRule="auto"/>
              <w:rPr>
                <w:rFonts w:ascii="宋体" w:hAnsi="宋体"/>
                <w:szCs w:val="21"/>
              </w:rPr>
            </w:pPr>
          </w:p>
        </w:tc>
        <w:tc>
          <w:tcPr>
            <w:tcW w:w="2131" w:type="dxa"/>
            <w:vAlign w:val="center"/>
          </w:tcPr>
          <w:p>
            <w:pPr>
              <w:tabs>
                <w:tab w:val="left" w:pos="1573"/>
              </w:tabs>
              <w:autoSpaceDE w:val="0"/>
              <w:autoSpaceDN w:val="0"/>
              <w:snapToGrid w:val="0"/>
              <w:spacing w:line="360" w:lineRule="auto"/>
              <w:rPr>
                <w:rFonts w:ascii="宋体" w:hAnsi="宋体"/>
                <w:szCs w:val="21"/>
              </w:rPr>
            </w:pPr>
          </w:p>
        </w:tc>
        <w:tc>
          <w:tcPr>
            <w:tcW w:w="993" w:type="dxa"/>
            <w:vAlign w:val="center"/>
          </w:tcPr>
          <w:p>
            <w:pPr>
              <w:tabs>
                <w:tab w:val="left" w:pos="1573"/>
              </w:tabs>
              <w:autoSpaceDE w:val="0"/>
              <w:autoSpaceDN w:val="0"/>
              <w:snapToGrid w:val="0"/>
              <w:spacing w:line="360" w:lineRule="auto"/>
              <w:rPr>
                <w:rFonts w:ascii="宋体" w:hAnsi="宋体"/>
                <w:szCs w:val="21"/>
              </w:rPr>
            </w:pPr>
          </w:p>
        </w:tc>
        <w:tc>
          <w:tcPr>
            <w:tcW w:w="1864" w:type="dxa"/>
            <w:vAlign w:val="center"/>
          </w:tcPr>
          <w:p>
            <w:pPr>
              <w:tabs>
                <w:tab w:val="left" w:pos="1573"/>
              </w:tabs>
              <w:autoSpaceDE w:val="0"/>
              <w:autoSpaceDN w:val="0"/>
              <w:snapToGrid w:val="0"/>
              <w:spacing w:line="360" w:lineRule="auto"/>
              <w:rPr>
                <w:rFonts w:ascii="宋体" w:hAnsi="宋体"/>
                <w:szCs w:val="21"/>
              </w:rPr>
            </w:pPr>
          </w:p>
        </w:tc>
        <w:tc>
          <w:tcPr>
            <w:tcW w:w="750" w:type="dxa"/>
            <w:vAlign w:val="center"/>
          </w:tcPr>
          <w:p>
            <w:pPr>
              <w:tabs>
                <w:tab w:val="left" w:pos="1573"/>
              </w:tabs>
              <w:autoSpaceDE w:val="0"/>
              <w:autoSpaceDN w:val="0"/>
              <w:snapToGrid w:val="0"/>
              <w:spacing w:line="360" w:lineRule="auto"/>
              <w:rPr>
                <w:rFonts w:ascii="宋体" w:hAnsi="宋体"/>
                <w:szCs w:val="21"/>
              </w:rPr>
            </w:pPr>
          </w:p>
        </w:tc>
        <w:tc>
          <w:tcPr>
            <w:tcW w:w="1275" w:type="dxa"/>
            <w:vAlign w:val="center"/>
          </w:tcPr>
          <w:p>
            <w:pPr>
              <w:tabs>
                <w:tab w:val="left" w:pos="1573"/>
              </w:tabs>
              <w:autoSpaceDE w:val="0"/>
              <w:autoSpaceDN w:val="0"/>
              <w:snapToGrid w:val="0"/>
              <w:spacing w:line="360" w:lineRule="auto"/>
              <w:rPr>
                <w:rFonts w:ascii="宋体" w:hAnsi="宋体"/>
                <w:szCs w:val="21"/>
              </w:rPr>
            </w:pP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snapToGrid w:val="0"/>
              <w:spacing w:line="360" w:lineRule="auto"/>
              <w:rPr>
                <w:rFonts w:ascii="宋体" w:hAnsi="宋体"/>
                <w:szCs w:val="21"/>
              </w:rPr>
            </w:pPr>
          </w:p>
        </w:tc>
        <w:tc>
          <w:tcPr>
            <w:tcW w:w="2131" w:type="dxa"/>
            <w:vAlign w:val="center"/>
          </w:tcPr>
          <w:p>
            <w:pPr>
              <w:tabs>
                <w:tab w:val="left" w:pos="1573"/>
              </w:tabs>
              <w:autoSpaceDE w:val="0"/>
              <w:autoSpaceDN w:val="0"/>
              <w:snapToGrid w:val="0"/>
              <w:spacing w:line="360" w:lineRule="auto"/>
              <w:rPr>
                <w:rFonts w:ascii="宋体" w:hAnsi="宋体"/>
                <w:szCs w:val="21"/>
              </w:rPr>
            </w:pPr>
          </w:p>
        </w:tc>
        <w:tc>
          <w:tcPr>
            <w:tcW w:w="993" w:type="dxa"/>
            <w:vAlign w:val="center"/>
          </w:tcPr>
          <w:p>
            <w:pPr>
              <w:tabs>
                <w:tab w:val="left" w:pos="1573"/>
              </w:tabs>
              <w:autoSpaceDE w:val="0"/>
              <w:autoSpaceDN w:val="0"/>
              <w:snapToGrid w:val="0"/>
              <w:spacing w:line="360" w:lineRule="auto"/>
              <w:rPr>
                <w:rFonts w:ascii="宋体" w:hAnsi="宋体"/>
                <w:szCs w:val="21"/>
              </w:rPr>
            </w:pPr>
          </w:p>
        </w:tc>
        <w:tc>
          <w:tcPr>
            <w:tcW w:w="1864" w:type="dxa"/>
            <w:vAlign w:val="center"/>
          </w:tcPr>
          <w:p>
            <w:pPr>
              <w:tabs>
                <w:tab w:val="left" w:pos="1573"/>
              </w:tabs>
              <w:autoSpaceDE w:val="0"/>
              <w:autoSpaceDN w:val="0"/>
              <w:snapToGrid w:val="0"/>
              <w:spacing w:line="360" w:lineRule="auto"/>
              <w:rPr>
                <w:rFonts w:ascii="宋体" w:hAnsi="宋体"/>
                <w:szCs w:val="21"/>
              </w:rPr>
            </w:pPr>
          </w:p>
        </w:tc>
        <w:tc>
          <w:tcPr>
            <w:tcW w:w="750" w:type="dxa"/>
            <w:vAlign w:val="center"/>
          </w:tcPr>
          <w:p>
            <w:pPr>
              <w:tabs>
                <w:tab w:val="left" w:pos="1573"/>
              </w:tabs>
              <w:autoSpaceDE w:val="0"/>
              <w:autoSpaceDN w:val="0"/>
              <w:snapToGrid w:val="0"/>
              <w:spacing w:line="360" w:lineRule="auto"/>
              <w:rPr>
                <w:rFonts w:ascii="宋体" w:hAnsi="宋体"/>
                <w:szCs w:val="21"/>
              </w:rPr>
            </w:pPr>
          </w:p>
        </w:tc>
        <w:tc>
          <w:tcPr>
            <w:tcW w:w="1275" w:type="dxa"/>
            <w:vAlign w:val="center"/>
          </w:tcPr>
          <w:p>
            <w:pPr>
              <w:tabs>
                <w:tab w:val="left" w:pos="1573"/>
              </w:tabs>
              <w:autoSpaceDE w:val="0"/>
              <w:autoSpaceDN w:val="0"/>
              <w:snapToGrid w:val="0"/>
              <w:spacing w:line="360" w:lineRule="auto"/>
              <w:rPr>
                <w:rFonts w:ascii="宋体" w:hAnsi="宋体"/>
                <w:szCs w:val="21"/>
              </w:rPr>
            </w:pPr>
          </w:p>
        </w:tc>
      </w:tr>
    </w:tbl>
    <w:p>
      <w:pPr>
        <w:adjustRightInd w:val="0"/>
        <w:spacing w:line="360" w:lineRule="auto"/>
        <w:ind w:firstLine="420" w:firstLineChars="200"/>
        <w:outlineLvl w:val="1"/>
        <w:rPr>
          <w:rFonts w:ascii="宋体" w:hAnsi="宋体"/>
          <w:b/>
          <w:szCs w:val="21"/>
        </w:rPr>
      </w:pPr>
      <w:r>
        <w:rPr>
          <w:rFonts w:ascii="宋体" w:hAnsi="宋体" w:hint="eastAsia"/>
          <w:b/>
          <w:szCs w:val="21"/>
        </w:rPr>
        <w:t>五、合同金额</w:t>
      </w:r>
    </w:p>
    <w:p>
      <w:pPr>
        <w:snapToGrid w:val="0"/>
        <w:spacing w:line="360" w:lineRule="auto"/>
        <w:ind w:firstLine="420" w:firstLineChars="200"/>
        <w:rPr>
          <w:rFonts w:ascii="宋体" w:hAnsi="宋体"/>
          <w:szCs w:val="21"/>
        </w:rPr>
      </w:pPr>
      <w:r>
        <w:rPr>
          <w:rFonts w:ascii="宋体" w:hAnsi="宋体" w:hint="eastAsia"/>
          <w:szCs w:val="21"/>
        </w:rPr>
        <w:t>根据上述合同文件要求，合同的总金额为人民币：___________元 (大写)，___________元（小写），分项价格详见合同货物清单（附件一）。</w:t>
      </w:r>
    </w:p>
    <w:p>
      <w:pPr>
        <w:adjustRightInd w:val="0"/>
        <w:spacing w:line="360" w:lineRule="auto"/>
        <w:ind w:firstLine="420" w:firstLineChars="200"/>
        <w:outlineLvl w:val="1"/>
        <w:rPr>
          <w:rFonts w:ascii="宋体" w:hAnsi="宋体"/>
          <w:b/>
          <w:szCs w:val="21"/>
        </w:rPr>
      </w:pPr>
      <w:r>
        <w:rPr>
          <w:rFonts w:ascii="宋体" w:hAnsi="宋体" w:hint="eastAsia"/>
          <w:b/>
          <w:szCs w:val="21"/>
        </w:rPr>
        <w:t>六、付款方式</w:t>
      </w:r>
    </w:p>
    <w:p>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签订本</w:t>
      </w:r>
      <w:r>
        <w:rPr>
          <w:rFonts w:ascii="宋体" w:hAnsi="宋体"/>
          <w:szCs w:val="21"/>
        </w:rPr>
        <w:t>合同后</w:t>
      </w:r>
      <w:r>
        <w:rPr>
          <w:rFonts w:ascii="宋体" w:hAnsi="宋体"/>
          <w:szCs w:val="21"/>
          <w:u w:val="single"/>
        </w:rPr>
        <w:t>10</w:t>
      </w:r>
      <w:r>
        <w:rPr>
          <w:rFonts w:ascii="宋体" w:hAnsi="宋体" w:hint="eastAsia"/>
          <w:szCs w:val="21"/>
        </w:rPr>
        <w:t>个工作日内，乙方向甲方提供合同总金额</w:t>
      </w:r>
      <w:r>
        <w:rPr>
          <w:rFonts w:ascii="宋体" w:hAnsi="宋体"/>
          <w:szCs w:val="21"/>
          <w:u w:val="single"/>
        </w:rPr>
        <w:t>50%</w:t>
      </w:r>
      <w:r>
        <w:rPr>
          <w:rFonts w:ascii="宋体" w:hAnsi="宋体" w:hint="eastAsia"/>
          <w:szCs w:val="21"/>
        </w:rPr>
        <w:t>的预付款保函，即人民币</w:t>
      </w:r>
      <w:r>
        <w:rPr>
          <w:rFonts w:ascii="宋体" w:hAnsi="宋体"/>
          <w:szCs w:val="21"/>
          <w:u w:val="single"/>
        </w:rPr>
        <w:t xml:space="preserve">        </w:t>
      </w:r>
      <w:r>
        <w:rPr>
          <w:rFonts w:ascii="宋体" w:hAnsi="宋体"/>
          <w:szCs w:val="21"/>
        </w:rPr>
        <w:t>(大写)，</w:t>
      </w:r>
      <w:r>
        <w:rPr>
          <w:rFonts w:ascii="宋体" w:hAnsi="宋体"/>
          <w:szCs w:val="21"/>
          <w:u w:val="single"/>
        </w:rPr>
        <w:t xml:space="preserve">        </w:t>
      </w:r>
      <w:r>
        <w:rPr>
          <w:rFonts w:ascii="宋体" w:hAnsi="宋体" w:hint="eastAsia"/>
          <w:szCs w:val="21"/>
        </w:rPr>
        <w:t>元</w:t>
      </w:r>
      <w:r>
        <w:rPr>
          <w:rFonts w:ascii="宋体" w:hAnsi="宋体"/>
          <w:szCs w:val="21"/>
        </w:rPr>
        <w:t>(小写)，</w:t>
      </w:r>
      <w:r>
        <w:rPr>
          <w:rFonts w:ascii="宋体" w:hAnsi="宋体" w:hint="eastAsia"/>
          <w:szCs w:val="21"/>
        </w:rPr>
        <w:t>有效期截止</w:t>
      </w:r>
      <w:r>
        <w:rPr>
          <w:rFonts w:ascii="宋体" w:hAnsi="宋体"/>
          <w:szCs w:val="21"/>
          <w:u w:val="single"/>
        </w:rPr>
        <w:t xml:space="preserve">_  </w:t>
      </w:r>
      <w:r>
        <w:rPr>
          <w:rFonts w:ascii="宋体" w:hAnsi="宋体"/>
          <w:szCs w:val="21"/>
        </w:rPr>
        <w:t>_年_</w:t>
      </w:r>
      <w:r>
        <w:rPr>
          <w:rFonts w:ascii="宋体" w:hAnsi="宋体"/>
          <w:szCs w:val="21"/>
          <w:u w:val="single"/>
        </w:rPr>
        <w:t xml:space="preserve">  </w:t>
      </w:r>
      <w:r>
        <w:rPr>
          <w:rFonts w:ascii="宋体" w:hAnsi="宋体"/>
          <w:szCs w:val="21"/>
        </w:rPr>
        <w:t>_月_</w:t>
      </w:r>
      <w:r>
        <w:rPr>
          <w:rFonts w:ascii="宋体" w:hAnsi="宋体"/>
          <w:szCs w:val="21"/>
          <w:u w:val="single"/>
        </w:rPr>
        <w:t xml:space="preserve">   </w:t>
      </w:r>
      <w:r>
        <w:rPr>
          <w:rFonts w:ascii="宋体" w:hAnsi="宋体" w:hint="eastAsia"/>
          <w:szCs w:val="21"/>
        </w:rPr>
        <w:t>日。甲方收到上述预付款保函后</w:t>
      </w:r>
      <w:r>
        <w:rPr>
          <w:rFonts w:ascii="宋体" w:hAnsi="宋体"/>
          <w:szCs w:val="21"/>
          <w:u w:val="single"/>
        </w:rPr>
        <w:t>10</w:t>
      </w:r>
      <w:r>
        <w:rPr>
          <w:rFonts w:ascii="宋体" w:hAnsi="宋体" w:hint="eastAsia"/>
          <w:szCs w:val="21"/>
        </w:rPr>
        <w:t>个工作日内向乙方支付合同总金额的</w:t>
      </w:r>
      <w:r>
        <w:rPr>
          <w:rFonts w:ascii="宋体" w:hAnsi="宋体"/>
          <w:szCs w:val="21"/>
          <w:u w:val="single"/>
        </w:rPr>
        <w:t>90%</w:t>
      </w:r>
      <w:r>
        <w:rPr>
          <w:rFonts w:ascii="宋体" w:hAnsi="宋体" w:hint="eastAsia"/>
          <w:szCs w:val="21"/>
        </w:rPr>
        <w:t>，即人民币</w:t>
      </w:r>
      <w:r>
        <w:rPr>
          <w:rFonts w:ascii="宋体" w:hAnsi="宋体"/>
          <w:szCs w:val="21"/>
          <w:u w:val="single"/>
        </w:rPr>
        <w:t xml:space="preserve"> </w:t>
      </w:r>
      <w:r>
        <w:rPr>
          <w:rFonts w:ascii="宋体" w:hAnsi="宋体" w:hint="eastAsia"/>
          <w:szCs w:val="21"/>
          <w:u w:val="single"/>
        </w:rPr>
        <w:t xml:space="preserve">    </w:t>
      </w:r>
      <w:r>
        <w:rPr>
          <w:rFonts w:ascii="宋体" w:hAnsi="宋体"/>
          <w:szCs w:val="21"/>
        </w:rPr>
        <w:t>(大写),</w:t>
      </w:r>
      <w:r>
        <w:rPr>
          <w:rFonts w:ascii="宋体" w:hAnsi="宋体"/>
          <w:szCs w:val="21"/>
          <w:u w:val="single"/>
        </w:rPr>
        <w:t xml:space="preserve">          </w:t>
      </w:r>
      <w:r>
        <w:rPr>
          <w:rFonts w:ascii="宋体" w:hAnsi="宋体" w:hint="eastAsia"/>
          <w:szCs w:val="21"/>
        </w:rPr>
        <w:t>元</w:t>
      </w:r>
      <w:r>
        <w:rPr>
          <w:rFonts w:ascii="宋体" w:hAnsi="宋体"/>
          <w:szCs w:val="21"/>
        </w:rPr>
        <w:t>(小写)。</w:t>
      </w:r>
    </w:p>
    <w:p>
      <w:pPr>
        <w:spacing w:line="360" w:lineRule="auto"/>
        <w:ind w:firstLine="420" w:firstLineChars="200"/>
        <w:jc w:val="left"/>
        <w:rPr>
          <w:szCs w:val="21"/>
        </w:rPr>
      </w:pPr>
      <w:r>
        <w:rPr>
          <w:rFonts w:ascii="宋体" w:hAnsi="宋体" w:hint="eastAsia"/>
          <w:szCs w:val="21"/>
        </w:rPr>
        <w:t>2</w:t>
      </w:r>
      <w:r>
        <w:rPr>
          <w:rFonts w:ascii="宋体" w:hAnsi="宋体"/>
          <w:szCs w:val="21"/>
        </w:rPr>
        <w:t>、</w:t>
      </w:r>
      <w:r>
        <w:rPr>
          <w:rFonts w:ascii="宋体" w:hAnsi="宋体" w:hint="eastAsia"/>
          <w:szCs w:val="21"/>
        </w:rPr>
        <w:t>项目初验合格且收到初验合格证明后</w:t>
      </w:r>
      <w:r>
        <w:rPr>
          <w:rFonts w:ascii="宋体" w:hAnsi="宋体"/>
          <w:szCs w:val="21"/>
          <w:u w:val="single"/>
        </w:rPr>
        <w:t>10</w:t>
      </w:r>
      <w:r>
        <w:rPr>
          <w:rFonts w:ascii="宋体" w:hAnsi="宋体" w:hint="eastAsia"/>
          <w:szCs w:val="21"/>
        </w:rPr>
        <w:t>个工作日内，</w:t>
      </w:r>
      <w:r>
        <w:rPr>
          <w:rFonts w:hint="eastAsia"/>
          <w:szCs w:val="21"/>
        </w:rPr>
        <w:t>甲方退还乙方该预付款保函。同时，乙方向甲方提供合同总金额</w:t>
      </w:r>
      <w:r>
        <w:rPr>
          <w:rFonts w:hint="eastAsia"/>
          <w:szCs w:val="21"/>
          <w:u w:val="single"/>
        </w:rPr>
        <w:t>10%</w:t>
      </w:r>
      <w:r>
        <w:rPr>
          <w:rFonts w:hint="eastAsia"/>
          <w:szCs w:val="21"/>
        </w:rPr>
        <w:t>的履约保函，即人民币</w:t>
      </w:r>
      <w:r>
        <w:rPr>
          <w:rFonts w:hint="eastAsia"/>
          <w:szCs w:val="21"/>
          <w:u w:val="single"/>
        </w:rPr>
        <w:t xml:space="preserve">         </w:t>
      </w:r>
      <w:r>
        <w:rPr>
          <w:rFonts w:hint="eastAsia"/>
          <w:szCs w:val="21"/>
        </w:rPr>
        <w:t>元（大写）：</w:t>
      </w:r>
      <w:r>
        <w:rPr>
          <w:rFonts w:hint="eastAsia"/>
          <w:szCs w:val="21"/>
          <w:u w:val="single"/>
        </w:rPr>
        <w:t xml:space="preserve">          </w:t>
      </w:r>
      <w:r>
        <w:rPr>
          <w:rFonts w:hint="eastAsia"/>
          <w:szCs w:val="21"/>
        </w:rPr>
        <w:t>元（小写），</w:t>
      </w:r>
      <w:r>
        <w:rPr>
          <w:rFonts w:ascii="宋体" w:hAnsi="宋体" w:hint="eastAsia"/>
          <w:szCs w:val="21"/>
        </w:rPr>
        <w:t>有效期截止</w:t>
      </w:r>
      <w:r>
        <w:rPr>
          <w:rFonts w:ascii="宋体" w:hAnsi="宋体" w:hint="eastAsia"/>
          <w:szCs w:val="21"/>
          <w:u w:val="single"/>
        </w:rPr>
        <w:t xml:space="preserve">_  </w:t>
      </w:r>
      <w:r>
        <w:rPr>
          <w:rFonts w:ascii="宋体" w:hAnsi="宋体" w:hint="eastAsia"/>
          <w:szCs w:val="21"/>
        </w:rPr>
        <w:t>_年_</w:t>
      </w:r>
      <w:r>
        <w:rPr>
          <w:rFonts w:ascii="宋体" w:hAnsi="宋体" w:hint="eastAsia"/>
          <w:szCs w:val="21"/>
          <w:u w:val="single"/>
        </w:rPr>
        <w:t xml:space="preserve">  </w:t>
      </w:r>
      <w:r>
        <w:rPr>
          <w:rFonts w:ascii="宋体" w:hAnsi="宋体" w:hint="eastAsia"/>
          <w:szCs w:val="21"/>
        </w:rPr>
        <w:t>_月_</w:t>
      </w:r>
      <w:r>
        <w:rPr>
          <w:rFonts w:ascii="宋体" w:hAnsi="宋体" w:hint="eastAsia"/>
          <w:szCs w:val="21"/>
          <w:u w:val="single"/>
        </w:rPr>
        <w:t xml:space="preserve">   </w:t>
      </w:r>
      <w:r>
        <w:rPr>
          <w:rFonts w:ascii="宋体" w:hAnsi="宋体" w:hint="eastAsia"/>
          <w:szCs w:val="21"/>
        </w:rPr>
        <w:t>日</w:t>
      </w:r>
      <w:r>
        <w:rPr>
          <w:rFonts w:hint="eastAsia"/>
          <w:szCs w:val="21"/>
        </w:rPr>
        <w:t>。甲方收到上述履约保函后</w:t>
      </w:r>
      <w:r>
        <w:rPr>
          <w:rFonts w:hint="eastAsia"/>
          <w:szCs w:val="21"/>
          <w:u w:val="single"/>
        </w:rPr>
        <w:t>10</w:t>
      </w:r>
      <w:r>
        <w:rPr>
          <w:rFonts w:hint="eastAsia"/>
          <w:szCs w:val="21"/>
        </w:rPr>
        <w:t>个工作日内向</w:t>
      </w:r>
      <w:r>
        <w:rPr>
          <w:rFonts w:asciiTheme="minorHAnsi" w:hAnsiTheme="minorHAnsi" w:hint="eastAsia"/>
          <w:szCs w:val="21"/>
        </w:rPr>
        <w:t>乙方支付合同总金额的</w:t>
      </w:r>
      <w:r>
        <w:rPr>
          <w:rFonts w:hint="eastAsia"/>
          <w:szCs w:val="21"/>
          <w:u w:val="single"/>
        </w:rPr>
        <w:t>10</w:t>
      </w:r>
      <w:r>
        <w:rPr>
          <w:rFonts w:asciiTheme="minorHAnsi" w:hAnsiTheme="minorHAnsi" w:hint="eastAsia"/>
          <w:szCs w:val="21"/>
          <w:u w:val="single"/>
        </w:rPr>
        <w:t xml:space="preserve"> %</w:t>
      </w:r>
      <w:r>
        <w:rPr>
          <w:rFonts w:asciiTheme="minorHAnsi" w:hAnsiTheme="minorHAnsi" w:hint="eastAsia"/>
          <w:szCs w:val="21"/>
        </w:rPr>
        <w:t>，即人民币：</w:t>
      </w:r>
      <w:r>
        <w:rPr>
          <w:rFonts w:hint="eastAsia"/>
          <w:szCs w:val="21"/>
          <w:u w:val="single"/>
        </w:rPr>
        <w:t xml:space="preserve">         </w:t>
      </w:r>
      <w:r>
        <w:rPr>
          <w:rFonts w:asciiTheme="minorHAnsi" w:hAnsiTheme="minorHAnsi" w:hint="eastAsia"/>
          <w:szCs w:val="21"/>
        </w:rPr>
        <w:t>元（大写）：</w:t>
      </w:r>
      <w:r>
        <w:rPr>
          <w:rFonts w:hint="eastAsia"/>
          <w:szCs w:val="21"/>
          <w:u w:val="single"/>
        </w:rPr>
        <w:t xml:space="preserve">           </w:t>
      </w:r>
      <w:r>
        <w:rPr>
          <w:rFonts w:asciiTheme="minorHAnsi" w:hAnsiTheme="minorHAnsi" w:hint="eastAsia"/>
          <w:szCs w:val="21"/>
        </w:rPr>
        <w:t>元（小写）；</w:t>
      </w:r>
    </w:p>
    <w:p>
      <w:pPr>
        <w:snapToGrid w:val="0"/>
        <w:spacing w:line="360" w:lineRule="auto"/>
        <w:ind w:firstLine="420" w:firstLineChars="200"/>
        <w:rPr>
          <w:rFonts w:ascii="宋体" w:hAnsi="宋体"/>
          <w:szCs w:val="21"/>
        </w:rPr>
      </w:pPr>
      <w:r>
        <w:rPr>
          <w:rFonts w:ascii="宋体" w:hAnsi="宋体" w:hint="eastAsia"/>
          <w:szCs w:val="21"/>
        </w:rPr>
        <w:t>3</w:t>
      </w:r>
      <w:r>
        <w:rPr>
          <w:rFonts w:ascii="宋体" w:hAnsi="宋体"/>
          <w:szCs w:val="21"/>
        </w:rPr>
        <w:t>、项目</w:t>
      </w:r>
      <w:r>
        <w:rPr>
          <w:rFonts w:ascii="宋体" w:hAnsi="宋体" w:hint="eastAsia"/>
          <w:szCs w:val="21"/>
        </w:rPr>
        <w:t>终验</w:t>
      </w:r>
      <w:r>
        <w:rPr>
          <w:rFonts w:ascii="宋体" w:hAnsi="宋体"/>
          <w:szCs w:val="21"/>
        </w:rPr>
        <w:t>合格且收到</w:t>
      </w:r>
      <w:r>
        <w:rPr>
          <w:rFonts w:ascii="宋体" w:hAnsi="宋体" w:hint="eastAsia"/>
          <w:szCs w:val="21"/>
        </w:rPr>
        <w:t>终验</w:t>
      </w:r>
      <w:r>
        <w:rPr>
          <w:rFonts w:ascii="宋体" w:hAnsi="宋体"/>
          <w:szCs w:val="21"/>
        </w:rPr>
        <w:t>合格证明</w:t>
      </w:r>
      <w:r>
        <w:rPr>
          <w:rFonts w:ascii="宋体" w:hAnsi="宋体"/>
          <w:szCs w:val="21"/>
          <w:u w:val="single"/>
        </w:rPr>
        <w:t>10</w:t>
      </w:r>
      <w:r>
        <w:rPr>
          <w:rFonts w:ascii="宋体" w:hAnsi="宋体" w:hint="eastAsia"/>
          <w:szCs w:val="21"/>
        </w:rPr>
        <w:t>个工作日内，甲方向乙方退还该履约保函。</w:t>
      </w:r>
    </w:p>
    <w:p>
      <w:pPr>
        <w:snapToGrid w:val="0"/>
        <w:spacing w:line="360" w:lineRule="auto"/>
        <w:ind w:firstLine="420" w:firstLineChars="200"/>
        <w:rPr>
          <w:rFonts w:ascii="宋体" w:hAnsi="宋体"/>
          <w:szCs w:val="21"/>
        </w:rPr>
      </w:pPr>
      <w:r>
        <w:rPr>
          <w:rFonts w:ascii="宋体" w:hAnsi="宋体" w:hint="eastAsia"/>
          <w:szCs w:val="21"/>
        </w:rPr>
        <w:t>4</w:t>
      </w:r>
      <w:r>
        <w:rPr>
          <w:rFonts w:ascii="宋体" w:hAnsi="宋体"/>
          <w:szCs w:val="21"/>
        </w:rPr>
        <w:t>、上述付款条件满足，但项目资金未完全下达，则付款时间延后为资金下达后</w:t>
      </w:r>
      <w:r>
        <w:rPr>
          <w:rFonts w:ascii="宋体" w:hAnsi="宋体"/>
          <w:szCs w:val="21"/>
          <w:u w:val="single"/>
        </w:rPr>
        <w:t>15</w:t>
      </w:r>
      <w:r>
        <w:rPr>
          <w:rFonts w:ascii="宋体" w:hAnsi="宋体" w:hint="eastAsia"/>
          <w:szCs w:val="21"/>
        </w:rPr>
        <w:t>个工作日内。</w:t>
      </w:r>
    </w:p>
    <w:p>
      <w:pPr>
        <w:adjustRightInd w:val="0"/>
        <w:spacing w:line="360" w:lineRule="auto"/>
        <w:ind w:firstLine="420" w:firstLineChars="200"/>
        <w:outlineLvl w:val="1"/>
        <w:rPr>
          <w:rFonts w:ascii="宋体" w:hAnsi="宋体"/>
          <w:b/>
          <w:szCs w:val="21"/>
        </w:rPr>
      </w:pPr>
      <w:r>
        <w:rPr>
          <w:rFonts w:ascii="宋体" w:hAnsi="宋体" w:hint="eastAsia"/>
          <w:b/>
          <w:szCs w:val="21"/>
        </w:rPr>
        <w:t>七、交货时间和交货地点</w:t>
      </w:r>
    </w:p>
    <w:p>
      <w:pPr>
        <w:snapToGrid w:val="0"/>
        <w:spacing w:line="360" w:lineRule="auto"/>
        <w:ind w:firstLine="407" w:firstLineChars="194"/>
        <w:rPr>
          <w:rFonts w:ascii="宋体" w:hAnsi="宋体"/>
          <w:szCs w:val="21"/>
        </w:rPr>
      </w:pPr>
      <w:r>
        <w:rPr>
          <w:rFonts w:ascii="宋体" w:hAnsi="宋体" w:hint="eastAsia"/>
          <w:szCs w:val="21"/>
        </w:rPr>
        <w:t>乙方应当按以下方式向甲方交付合同标的物：</w:t>
      </w:r>
    </w:p>
    <w:p>
      <w:pPr>
        <w:tabs>
          <w:tab w:val="left" w:pos="540"/>
        </w:tabs>
        <w:snapToGrid w:val="0"/>
        <w:spacing w:line="360" w:lineRule="auto"/>
        <w:rPr>
          <w:rFonts w:ascii="宋体" w:hAnsi="宋体"/>
          <w:szCs w:val="21"/>
        </w:rPr>
      </w:pPr>
      <w:r>
        <w:rPr>
          <w:rFonts w:ascii="宋体" w:hAnsi="宋体"/>
          <w:szCs w:val="21"/>
        </w:rPr>
        <w:t xml:space="preserve">     1．乙方交付内容：</w:t>
      </w:r>
      <w:r>
        <w:rPr>
          <w:rFonts w:ascii="宋体" w:hAnsi="宋体"/>
          <w:szCs w:val="21"/>
          <w:u w:val="single"/>
        </w:rPr>
        <w:t xml:space="preserve">   需求分析报</w:t>
      </w:r>
      <w:r>
        <w:rPr>
          <w:rFonts w:ascii="宋体" w:hAnsi="宋体" w:hint="eastAsia"/>
          <w:szCs w:val="21"/>
          <w:u w:val="single"/>
        </w:rPr>
        <w:t xml:space="preserve">告，概要设计报告，详细设计报告，技术规格说明书，技术开发文档（含源代码），测试报告，验收文档，使用操作说明手册，安装维护手册 （根据具体项目罗列） </w:t>
      </w:r>
      <w:r>
        <w:rPr>
          <w:rFonts w:ascii="宋体" w:hAnsi="宋体" w:hint="eastAsia"/>
          <w:szCs w:val="21"/>
        </w:rPr>
        <w:t>。</w:t>
      </w:r>
    </w:p>
    <w:p>
      <w:pPr>
        <w:snapToGrid w:val="0"/>
        <w:spacing w:line="360" w:lineRule="auto"/>
        <w:rPr>
          <w:rFonts w:ascii="宋体" w:hAnsi="宋体"/>
          <w:szCs w:val="21"/>
        </w:rPr>
      </w:pPr>
      <w:r>
        <w:rPr>
          <w:rFonts w:ascii="宋体" w:hAnsi="宋体" w:hint="eastAsia"/>
          <w:szCs w:val="21"/>
        </w:rPr>
        <w:t xml:space="preserve">     2．交付的时间及地点：</w:t>
      </w:r>
      <w:r>
        <w:rPr>
          <w:rFonts w:ascii="宋体" w:hAnsi="宋体" w:hint="eastAsia"/>
          <w:szCs w:val="21"/>
          <w:u w:val="single"/>
        </w:rPr>
        <w:t xml:space="preserve">    </w:t>
      </w:r>
    </w:p>
    <w:p>
      <w:pPr>
        <w:snapToGrid w:val="0"/>
        <w:spacing w:line="360" w:lineRule="auto"/>
        <w:ind w:firstLine="412" w:firstLineChars="196"/>
        <w:rPr>
          <w:rFonts w:ascii="宋体" w:hAnsi="宋体"/>
          <w:szCs w:val="21"/>
        </w:rPr>
      </w:pPr>
      <w:r>
        <w:rPr>
          <w:rFonts w:ascii="宋体" w:hAnsi="宋体" w:hint="eastAsia"/>
          <w:szCs w:val="21"/>
        </w:rPr>
        <w:t>乙方应在本合同生效后</w:t>
      </w:r>
      <w:r>
        <w:rPr>
          <w:rFonts w:ascii="宋体" w:hAnsi="宋体" w:hint="eastAsia"/>
          <w:kern w:val="0"/>
          <w:szCs w:val="21"/>
        </w:rPr>
        <w:t xml:space="preserve">   </w:t>
      </w:r>
      <w:r>
        <w:rPr>
          <w:rFonts w:ascii="宋体" w:hAnsi="宋体" w:hint="eastAsia"/>
          <w:szCs w:val="21"/>
        </w:rPr>
        <w:t>日内在甲方所在地向甲方提交研究开发计划。研究开发计划应包括以下主要内容：</w:t>
      </w:r>
    </w:p>
    <w:p>
      <w:pPr>
        <w:snapToGrid w:val="0"/>
        <w:spacing w:line="360" w:lineRule="auto"/>
        <w:ind w:left="785" w:hanging="785" w:hangingChars="374"/>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1.                      </w:t>
      </w:r>
    </w:p>
    <w:p>
      <w:pPr>
        <w:snapToGrid w:val="0"/>
        <w:spacing w:line="360" w:lineRule="auto"/>
        <w:ind w:left="735" w:leftChars="350"/>
        <w:rPr>
          <w:rFonts w:ascii="宋体" w:hAnsi="宋体"/>
          <w:szCs w:val="21"/>
          <w:u w:val="single"/>
        </w:rPr>
      </w:pPr>
      <w:r>
        <w:rPr>
          <w:rFonts w:ascii="宋体" w:hAnsi="宋体" w:hint="eastAsia"/>
          <w:szCs w:val="21"/>
          <w:u w:val="single"/>
        </w:rPr>
        <w:t xml:space="preserve">  2.                      </w:t>
      </w:r>
    </w:p>
    <w:p>
      <w:pPr>
        <w:snapToGrid w:val="0"/>
        <w:spacing w:line="360" w:lineRule="auto"/>
        <w:ind w:left="735" w:leftChars="350"/>
        <w:rPr>
          <w:rFonts w:ascii="宋体" w:hAnsi="宋体"/>
          <w:szCs w:val="21"/>
          <w:u w:val="single"/>
        </w:rPr>
      </w:pPr>
      <w:r>
        <w:rPr>
          <w:rFonts w:ascii="宋体" w:hAnsi="宋体" w:hint="eastAsia"/>
          <w:szCs w:val="21"/>
          <w:u w:val="single"/>
        </w:rPr>
        <w:t xml:space="preserve">        </w:t>
      </w:r>
      <w:r>
        <w:rPr>
          <w:rFonts w:ascii="宋体" w:hAnsi="宋体"/>
          <w:szCs w:val="21"/>
          <w:u w:val="single"/>
        </w:rPr>
        <w:t>………</w:t>
      </w:r>
      <w:r>
        <w:rPr>
          <w:rFonts w:ascii="宋体" w:hAnsi="宋体" w:hint="eastAsia"/>
          <w:szCs w:val="21"/>
          <w:u w:val="single"/>
        </w:rPr>
        <w:t xml:space="preserve">            </w:t>
      </w:r>
    </w:p>
    <w:p>
      <w:pPr>
        <w:snapToGrid w:val="0"/>
        <w:spacing w:line="360" w:lineRule="auto"/>
        <w:ind w:firstLine="420" w:firstLineChars="200"/>
        <w:rPr>
          <w:rFonts w:ascii="宋体" w:hAnsi="宋体"/>
          <w:b/>
          <w:szCs w:val="21"/>
        </w:rPr>
      </w:pPr>
    </w:p>
    <w:p>
      <w:pPr>
        <w:adjustRightInd w:val="0"/>
        <w:spacing w:line="360" w:lineRule="auto"/>
        <w:ind w:firstLine="420" w:firstLineChars="200"/>
        <w:outlineLvl w:val="1"/>
        <w:rPr>
          <w:rFonts w:ascii="宋体" w:hAnsi="宋体"/>
          <w:b/>
          <w:szCs w:val="21"/>
        </w:rPr>
      </w:pPr>
      <w:r>
        <w:rPr>
          <w:rFonts w:ascii="宋体" w:hAnsi="宋体" w:hint="eastAsia"/>
          <w:b/>
          <w:szCs w:val="21"/>
        </w:rPr>
        <w:t>八、原产地</w:t>
      </w:r>
    </w:p>
    <w:p>
      <w:pPr>
        <w:snapToGrid w:val="0"/>
        <w:spacing w:line="360" w:lineRule="auto"/>
        <w:ind w:firstLine="420" w:firstLineChars="200"/>
        <w:rPr>
          <w:rFonts w:ascii="宋体" w:hAnsi="宋体"/>
          <w:szCs w:val="21"/>
        </w:rPr>
      </w:pPr>
      <w:r>
        <w:rPr>
          <w:rFonts w:ascii="宋体" w:hAnsi="宋体" w:hint="eastAsia"/>
          <w:szCs w:val="21"/>
        </w:rPr>
        <w:t>本合同项下所提供的服务应来自于中华人民共和国或是与中华人民共和国有正常贸易往来的国家（以下简称“合格来源国”）和地区。</w:t>
      </w:r>
    </w:p>
    <w:p>
      <w:pPr>
        <w:adjustRightInd w:val="0"/>
        <w:spacing w:line="360" w:lineRule="auto"/>
        <w:ind w:firstLine="420" w:firstLineChars="200"/>
        <w:outlineLvl w:val="1"/>
        <w:rPr>
          <w:rFonts w:ascii="宋体" w:hAnsi="宋体"/>
          <w:b/>
          <w:szCs w:val="21"/>
        </w:rPr>
      </w:pPr>
      <w:r>
        <w:rPr>
          <w:rFonts w:ascii="宋体" w:hAnsi="宋体" w:hint="eastAsia"/>
          <w:b/>
          <w:szCs w:val="21"/>
        </w:rPr>
        <w:t>九、标准</w:t>
      </w:r>
    </w:p>
    <w:p>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、本合同交付物应符合合同附件技术要求所述的标准。如果没有提及适用标准，则应符合货物</w:t>
      </w:r>
      <w:r>
        <w:rPr>
          <w:rFonts w:ascii="宋体" w:hAnsi="宋体"/>
          <w:szCs w:val="21"/>
        </w:rPr>
        <w:t>/</w:t>
      </w:r>
      <w:r>
        <w:rPr>
          <w:rFonts w:ascii="宋体" w:hAnsi="宋体" w:hint="eastAsia"/>
          <w:szCs w:val="21"/>
        </w:rPr>
        <w:t>服务来源国适用的官方标准。这些标准必须是有关机构发布的最新版本的标准。</w:t>
      </w:r>
    </w:p>
    <w:p>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、除非技术规格中另有规定，计量单位均采用中华人民共和国法定计量单位。</w:t>
      </w:r>
    </w:p>
    <w:p>
      <w:pPr>
        <w:tabs>
          <w:tab w:val="left" w:pos="1573"/>
        </w:tabs>
        <w:adjustRightInd w:val="0"/>
        <w:snapToGrid w:val="0"/>
        <w:spacing w:line="360" w:lineRule="auto"/>
        <w:ind w:firstLine="420" w:firstLineChars="200"/>
        <w:outlineLvl w:val="1"/>
        <w:rPr>
          <w:rFonts w:ascii="宋体" w:hAnsi="宋体"/>
          <w:b/>
          <w:szCs w:val="21"/>
        </w:rPr>
      </w:pPr>
      <w:r>
        <w:rPr>
          <w:rFonts w:ascii="宋体" w:hAnsi="宋体" w:hint="eastAsia"/>
          <w:b/>
          <w:szCs w:val="21"/>
        </w:rPr>
        <w:t>十、甲方的权利和义务</w:t>
      </w:r>
    </w:p>
    <w:p>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1、甲方积极参与处理项目的管理、需求、沟通、验收等过程，推动项目按计划进行。</w:t>
      </w:r>
    </w:p>
    <w:p>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2、甲方安排项目负责人或项目小组全面配合乙方的工作，与乙方共同推进项目、解决问题、保障进度。</w:t>
      </w:r>
    </w:p>
    <w:p>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3、参与整个项目全过程，协助配合乙方做好需求调研、方案设计及现场等工作，对各项业务的需求报告及时确认，组织相关部门参加各阶段验收工作。</w:t>
      </w:r>
    </w:p>
    <w:p>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 xml:space="preserve">4、协调各业务部门配合乙方开展工作，保证乙方及时得到业务相关的技术资料、数据资料， </w:t>
      </w:r>
      <w:r>
        <w:rPr>
          <w:rFonts w:ascii="宋体" w:hAnsi="宋体" w:hint="eastAsia"/>
          <w:szCs w:val="21"/>
        </w:rPr>
        <w:t>提供业务咨询，并提供现场安装的条件与支持。</w:t>
      </w:r>
    </w:p>
    <w:p>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、按照工作计划进度，及时接受乙方的验收申请，组织并完成验收工作。</w:t>
      </w:r>
    </w:p>
    <w:p>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、甲方应按合同规定的付款条件内，按时支付合同款项。</w:t>
      </w:r>
    </w:p>
    <w:p>
      <w:pPr>
        <w:tabs>
          <w:tab w:val="left" w:pos="1573"/>
        </w:tabs>
        <w:adjustRightInd w:val="0"/>
        <w:snapToGrid w:val="0"/>
        <w:spacing w:line="360" w:lineRule="auto"/>
        <w:ind w:firstLine="420" w:firstLineChars="200"/>
        <w:outlineLvl w:val="1"/>
        <w:rPr>
          <w:rFonts w:ascii="宋体" w:hAnsi="宋体"/>
          <w:b/>
          <w:szCs w:val="21"/>
        </w:rPr>
      </w:pPr>
      <w:r>
        <w:rPr>
          <w:rFonts w:ascii="宋体" w:hAnsi="宋体" w:hint="eastAsia"/>
          <w:b/>
          <w:szCs w:val="21"/>
        </w:rPr>
        <w:t>十一、乙方的权利和义务</w:t>
      </w:r>
    </w:p>
    <w:p>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l、合同正式生效后指定专门人员成立项目组，该项目组全面负责整个项目过程，指定现场实施具体负责人，与甲方项目负责人一起全权负责项目管理和协调项目中出现的问题，管理项目进度、需求变更、协调本方资源等多方面的工作。</w:t>
      </w:r>
    </w:p>
    <w:p>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2、确定项目组下设的软件开发及实施人员。项目组的人员变化及时通知甲方，对于不能胜任人员根据甲方要求及时调换。</w:t>
      </w:r>
    </w:p>
    <w:p>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3、在甲方配合下根据本合同及附件各项要求完成软件的需求分析、设计、开发、测试和实施工作，及时发现并解决软件问题，不断完善达到软件需求和验收标准的规定。项目建设各阶段评审发生的评审费、文档印刷费等费用由乙方承担。</w:t>
      </w:r>
    </w:p>
    <w:p>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4、乙方需安排合理的项目组织机构和人员，确保项目规范性和沟通通畅。开展进度管理机制，每周向甲方提供工作开发进展情况，并提出相关建议。</w:t>
      </w:r>
    </w:p>
    <w:p>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5、乙方负责对甲方业务人员进行系统操作培训，对甲方技术人员进行系统安装培训和系统维护培训。</w:t>
      </w:r>
    </w:p>
    <w:p>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6、在整个项目的建设过程中，乙方按照合同和验收要求，提交相应的文档。对项目过程中的变更事项，由双方单位协商调整并以书面确认，最终以相应的正式变更协议为准。</w:t>
      </w:r>
    </w:p>
    <w:p>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7、系统正式运行后，定期回访用户，当软件出现重大缺陷问题井影响到甲方实际应用时需及时响应并派人到现场解决。</w:t>
      </w:r>
    </w:p>
    <w:p>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8、工作现场严格遵守甲方的规定。</w:t>
      </w:r>
    </w:p>
    <w:p>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 xml:space="preserve">9、当遇到“ </w:t>
      </w:r>
      <w:r>
        <w:rPr>
          <w:rFonts w:ascii="宋体" w:hAnsi="宋体" w:hint="eastAsia"/>
          <w:szCs w:val="21"/>
        </w:rPr>
        <w:t>不可抗力”</w:t>
      </w:r>
      <w:r>
        <w:rPr>
          <w:rFonts w:ascii="宋体" w:hAnsi="宋体"/>
          <w:szCs w:val="21"/>
        </w:rPr>
        <w:t xml:space="preserve"> </w:t>
      </w:r>
      <w:r>
        <w:rPr>
          <w:rFonts w:ascii="宋体" w:hAnsi="宋体" w:hint="eastAsia"/>
          <w:szCs w:val="21"/>
        </w:rPr>
        <w:t>的影响不能按计划实施，有权提出</w:t>
      </w:r>
      <w:r>
        <w:rPr>
          <w:rFonts w:ascii="宋体" w:hAnsi="宋体"/>
          <w:szCs w:val="21"/>
        </w:rPr>
        <w:t>工程</w:t>
      </w:r>
      <w:r>
        <w:rPr>
          <w:rFonts w:ascii="宋体" w:hAnsi="宋体" w:hint="eastAsia"/>
          <w:szCs w:val="21"/>
        </w:rPr>
        <w:t>延期申请。</w:t>
      </w:r>
    </w:p>
    <w:p>
      <w:pPr>
        <w:tabs>
          <w:tab w:val="left" w:pos="480"/>
          <w:tab w:val="left" w:pos="1573"/>
        </w:tabs>
        <w:adjustRightInd w:val="0"/>
        <w:snapToGrid w:val="0"/>
        <w:spacing w:line="360" w:lineRule="auto"/>
        <w:ind w:firstLine="420" w:firstLineChars="200"/>
        <w:rPr>
          <w:rFonts w:ascii="宋体" w:hAnsi="宋体"/>
          <w:szCs w:val="21"/>
        </w:rPr>
      </w:pPr>
      <w:r>
        <w:rPr>
          <w:rFonts w:ascii="宋体" w:hAnsi="宋体" w:hint="eastAsia"/>
          <w:szCs w:val="21"/>
        </w:rPr>
        <w:t>10、乙方保证不在产品及相关服务中设置任何形式的后门程序、未公开接口或特权访问通道，不通过技术手段远程控制甲方系统或设备，未经甲方同意不修改系统配置、删除数据或中断服务。一旦发现设置后门或非法获取数据，甲方有权立即终止合同。若因上述行为导致数据泄露、系统故障，乙方需赔偿全部直接损失（包括数据恢复费用、业务中断损失、监管罚款等），并承担因此产生的法律责任。</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未经甲方书面同意，乙方不得单方面要求升级、更换产品或服务，不得因甲方拒绝升级而降低服务质量或中断服务。如涉及增加或改进安全性的软件升级问题，乙方应当在其刚开始应用该等软件时的第一时间内告知甲方，经甲方同意后应立即主动地、无条件地给与免费更新并调试完好。</w:t>
      </w:r>
    </w:p>
    <w:p>
      <w:pPr>
        <w:tabs>
          <w:tab w:val="left" w:pos="480"/>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w:t>
      </w:r>
      <w:r>
        <w:rPr>
          <w:rFonts w:ascii="宋体" w:hAnsi="宋体" w:hint="eastAsia"/>
          <w:szCs w:val="21"/>
          <w:lang w:bidi="ar"/>
        </w:rPr>
        <w:t>除基于法院判决、行政命令或经甲方书面授权外，乙方不得以任何形式（包括但不限于复制、发布、公开、共享、转让、许可、展示等）向任何第三方披露源代码、算法、软件程序、开发文档、实施方案、拓扑图、技术架构、接口规范等信息。如乙方违反约定，应立即停止披露行为，采取有效措施消除影响。</w:t>
      </w:r>
    </w:p>
    <w:p>
      <w:pPr>
        <w:adjustRightInd w:val="0"/>
        <w:spacing w:line="360" w:lineRule="auto"/>
        <w:ind w:firstLine="420" w:firstLineChars="200"/>
        <w:outlineLvl w:val="1"/>
        <w:rPr>
          <w:rFonts w:ascii="宋体" w:hAnsi="宋体"/>
          <w:b/>
          <w:szCs w:val="21"/>
        </w:rPr>
      </w:pPr>
      <w:r>
        <w:rPr>
          <w:rFonts w:ascii="宋体" w:hAnsi="宋体" w:hint="eastAsia"/>
          <w:b/>
          <w:szCs w:val="21"/>
        </w:rPr>
        <w:t>十二、使用合同文件和资料</w:t>
      </w:r>
    </w:p>
    <w:p>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没有甲方事先书面同意，乙方不得将由甲方或代表甲方提供的有关合同或任何合同条文、规格、计划、图纸或资料提供给与履行本合同无关的任何其他人。即使向与履行本合同有关的人员提供，也应注意保密并限于履行合同必须的范围。</w:t>
      </w:r>
    </w:p>
    <w:p>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、没有甲方事先书面同意，除了履行本合同之外，乙方不应使用合同所列举的任何文件和资料。</w:t>
      </w:r>
    </w:p>
    <w:p>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、除了合同本身以外，合同所列举的任何文件是甲方的财产。如果甲方有要求，乙方在完成合同后应将这些文件及全部复制件还给甲方。</w:t>
      </w:r>
    </w:p>
    <w:p>
      <w:pPr>
        <w:snapToGrid w:val="0"/>
        <w:spacing w:line="360" w:lineRule="auto"/>
        <w:ind w:firstLine="420" w:firstLineChars="200"/>
        <w:rPr>
          <w:rFonts w:ascii="宋体" w:hAnsi="宋体"/>
          <w:szCs w:val="21"/>
        </w:rPr>
      </w:pPr>
      <w:r>
        <w:rPr>
          <w:rFonts w:ascii="宋体" w:hAnsi="宋体" w:hint="eastAsia"/>
          <w:szCs w:val="21"/>
          <w:lang w:bidi="ar"/>
        </w:rPr>
        <w:t>4、除基于法院判决、行政命令或经甲方书面授权外，乙方不得以任何形式（包括但不限于复制、发布、公开、共享、转让、许可、展示等）向任何第三方披露源代码、算法、软件程序、开发文档、实施方案、拓扑图、技术架构、接口规范等资料。如乙方违反约定，应立即停止披露行为，采取有效措施消除影响。</w:t>
      </w:r>
    </w:p>
    <w:p>
      <w:pPr>
        <w:snapToGrid w:val="0"/>
        <w:spacing w:line="360" w:lineRule="auto"/>
        <w:ind w:firstLine="420" w:firstLineChars="200"/>
        <w:rPr>
          <w:rFonts w:ascii="宋体" w:hAnsi="宋体"/>
          <w:szCs w:val="21"/>
        </w:rPr>
      </w:pPr>
      <w:r>
        <w:rPr>
          <w:rFonts w:ascii="宋体" w:hAnsi="宋体" w:hint="eastAsia"/>
          <w:szCs w:val="21"/>
        </w:rPr>
        <w:t>5、对于在合同履行过程中所获得或了解的商业秘密，任何一方应承担保密义务。未经对方事先的书面许可，任何一方不得利用或披露这些信息。</w:t>
      </w:r>
    </w:p>
    <w:p>
      <w:pPr>
        <w:snapToGrid w:val="0"/>
        <w:spacing w:line="360" w:lineRule="auto"/>
        <w:ind w:firstLine="420" w:firstLineChars="200"/>
        <w:rPr>
          <w:rFonts w:ascii="宋体" w:hAnsi="宋体"/>
          <w:szCs w:val="21"/>
        </w:rPr>
      </w:pPr>
      <w:r>
        <w:rPr>
          <w:rFonts w:ascii="宋体" w:hAnsi="宋体" w:hint="eastAsia"/>
          <w:szCs w:val="21"/>
        </w:rPr>
        <w:t>6、保密义务不适用于下列信息：</w:t>
      </w:r>
    </w:p>
    <w:p>
      <w:pPr>
        <w:snapToGrid w:val="0"/>
        <w:spacing w:line="360" w:lineRule="auto"/>
        <w:ind w:firstLine="420" w:firstLineChars="200"/>
        <w:rPr>
          <w:rFonts w:ascii="宋体" w:hAnsi="宋体"/>
          <w:szCs w:val="21"/>
        </w:rPr>
      </w:pPr>
      <w:r>
        <w:rPr>
          <w:rFonts w:ascii="宋体" w:hAnsi="宋体" w:hint="eastAsia"/>
          <w:szCs w:val="21"/>
        </w:rPr>
        <w:t>（1）现在或以后进入公共领域的信息；</w:t>
      </w:r>
    </w:p>
    <w:p>
      <w:pPr>
        <w:snapToGrid w:val="0"/>
        <w:spacing w:line="360" w:lineRule="auto"/>
        <w:ind w:firstLine="420" w:firstLineChars="200"/>
        <w:rPr>
          <w:rFonts w:ascii="宋体" w:hAnsi="宋体"/>
          <w:szCs w:val="21"/>
        </w:rPr>
      </w:pPr>
      <w:r>
        <w:rPr>
          <w:rFonts w:ascii="宋体" w:hAnsi="宋体" w:hint="eastAsia"/>
          <w:szCs w:val="21"/>
        </w:rPr>
        <w:t>（2）能够证明在泄露时已被一方当事人持有</w:t>
      </w:r>
      <w:r>
        <w:rPr>
          <w:rFonts w:ascii="宋体" w:hAnsi="宋体"/>
          <w:szCs w:val="21"/>
        </w:rPr>
        <w:t>,</w:t>
      </w:r>
      <w:r>
        <w:rPr>
          <w:rFonts w:ascii="宋体" w:hAnsi="宋体" w:hint="eastAsia"/>
          <w:szCs w:val="21"/>
        </w:rPr>
        <w:t>而且并非是以前直接或间接地从另一方获得的信息；</w:t>
      </w:r>
    </w:p>
    <w:p>
      <w:pPr>
        <w:snapToGrid w:val="0"/>
        <w:spacing w:line="360" w:lineRule="auto"/>
        <w:ind w:firstLine="420" w:firstLineChars="200"/>
        <w:rPr>
          <w:rFonts w:ascii="宋体" w:hAnsi="宋体"/>
          <w:szCs w:val="21"/>
        </w:rPr>
      </w:pPr>
      <w:r>
        <w:rPr>
          <w:rFonts w:ascii="宋体" w:hAnsi="宋体" w:hint="eastAsia"/>
          <w:szCs w:val="21"/>
        </w:rPr>
        <w:t>（3）一方当事人合法地从第三方获得并且也不对此承担保密义务的信息。</w:t>
      </w:r>
    </w:p>
    <w:p>
      <w:pPr>
        <w:adjustRightInd w:val="0"/>
        <w:spacing w:line="360" w:lineRule="auto"/>
        <w:ind w:firstLine="420" w:firstLineChars="200"/>
        <w:outlineLvl w:val="1"/>
        <w:rPr>
          <w:rFonts w:ascii="宋体" w:hAnsi="宋体"/>
          <w:b/>
          <w:szCs w:val="21"/>
        </w:rPr>
      </w:pPr>
      <w:r>
        <w:rPr>
          <w:rFonts w:ascii="宋体" w:hAnsi="宋体" w:hint="eastAsia"/>
          <w:b/>
          <w:szCs w:val="21"/>
        </w:rPr>
        <w:t>十三、知识产权</w:t>
      </w:r>
    </w:p>
    <w:p>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乙方应保证，甲方在中华人民共和国使用该系统或系统的任何一部分时，免受第三方提出的侵犯其知识产权的索赔或诉讼。如发生第三人指控甲方实施的技术侵权的，乙方应当提供有利证据进行解释，确保交付甲方的研究开发成果不存在技术侵权情况。</w:t>
      </w:r>
    </w:p>
    <w:p>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如果甲方在使用该系统或系统的任何一部分时被任何第三方诉称侵犯了该第三方知识产权或任何其它权利，甲方应立即通知乙方。乙方应负责处理这一指控并应以乙方的名义自负费用向起诉方提出抗辩。由此可能产生的一切法律责任和经济责任均由乙方承担。甲方将尽可能地对乙方抗辩给予协助，由此发生的费用由乙方承担。甲方因此承担连带赔偿责任的，甲方可向乙方追偿。</w:t>
      </w:r>
    </w:p>
    <w:p>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、如果甲方发现任何第三方在甲方被许可的范围内非法使用甲方获得的知识产权，甲方应毫不延迟地通知乙方。乙方应在收到甲方通知后</w:t>
      </w:r>
      <w:r>
        <w:rPr>
          <w:rFonts w:ascii="宋体" w:hAnsi="宋体"/>
          <w:szCs w:val="21"/>
        </w:rPr>
        <w:t>14</w:t>
      </w:r>
      <w:r>
        <w:rPr>
          <w:rFonts w:ascii="宋体" w:hAnsi="宋体" w:hint="eastAsia"/>
          <w:szCs w:val="21"/>
        </w:rPr>
        <w:t>日内采取适当行动以制止非法使用行为；否则，如果甲方要求，乙方应授权甲方根据中国法律规定对该第三方提起诉讼，并给甲方尽可能的协助。甲方应负担诉讼中发生的全部费用，并有权获得判决给付的全部赔偿。</w:t>
      </w:r>
    </w:p>
    <w:p>
      <w:pPr>
        <w:snapToGrid w:val="0"/>
        <w:spacing w:line="360" w:lineRule="auto"/>
        <w:ind w:firstLine="412" w:firstLineChars="196"/>
        <w:rPr>
          <w:rFonts w:ascii="宋体" w:hAnsi="宋体"/>
          <w:szCs w:val="21"/>
        </w:rPr>
      </w:pPr>
      <w:r>
        <w:rPr>
          <w:rFonts w:ascii="宋体" w:hAnsi="宋体"/>
          <w:szCs w:val="21"/>
        </w:rPr>
        <w:t>4</w:t>
      </w:r>
      <w:r>
        <w:rPr>
          <w:rFonts w:ascii="宋体" w:hAnsi="宋体" w:hint="eastAsia"/>
          <w:szCs w:val="21"/>
        </w:rPr>
        <w:t>、双方确定，因履行本合同所产生的研究开发成果及其相关知识产权权利归属，按下列第</w:t>
      </w:r>
      <w:r>
        <w:rPr>
          <w:rFonts w:ascii="宋体" w:hAnsi="宋体" w:hint="eastAsia"/>
          <w:szCs w:val="21"/>
          <w:u w:val="single"/>
        </w:rPr>
        <w:t xml:space="preserve">     </w:t>
      </w:r>
      <w:r>
        <w:rPr>
          <w:rFonts w:ascii="宋体" w:hAnsi="宋体" w:hint="eastAsia"/>
          <w:szCs w:val="21"/>
        </w:rPr>
        <w:t>种方式处理：</w:t>
      </w:r>
    </w:p>
    <w:p>
      <w:pPr>
        <w:snapToGrid w:val="0"/>
        <w:spacing w:line="360" w:lineRule="auto"/>
        <w:rPr>
          <w:rFonts w:ascii="宋体" w:hAnsi="宋体"/>
          <w:szCs w:val="21"/>
        </w:rPr>
      </w:pPr>
      <w:r>
        <w:rPr>
          <w:rFonts w:ascii="宋体" w:hAnsi="宋体" w:hint="eastAsia"/>
          <w:szCs w:val="21"/>
        </w:rPr>
        <w:t xml:space="preserve">    （1）</w:t>
      </w:r>
      <w:r>
        <w:rPr>
          <w:rFonts w:ascii="宋体" w:hAnsi="宋体" w:hint="eastAsia"/>
          <w:szCs w:val="21"/>
          <w:u w:val="single"/>
        </w:rPr>
        <w:t xml:space="preserve">  </w:t>
      </w:r>
      <w:r>
        <w:rPr>
          <w:rFonts w:ascii="宋体" w:hAnsi="宋体" w:cs="宋体" w:hint="eastAsia"/>
          <w:szCs w:val="21"/>
          <w:u w:val="single"/>
        </w:rPr>
        <w:t xml:space="preserve">      </w:t>
      </w:r>
      <w:r>
        <w:rPr>
          <w:rFonts w:ascii="宋体" w:hAnsi="宋体" w:hint="eastAsia"/>
          <w:szCs w:val="21"/>
          <w:u w:val="single"/>
        </w:rPr>
        <w:t xml:space="preserve">    </w:t>
      </w:r>
      <w:r>
        <w:rPr>
          <w:rFonts w:ascii="宋体" w:hAnsi="宋体" w:hint="eastAsia"/>
          <w:szCs w:val="21"/>
        </w:rPr>
        <w:t>（甲、乙、双）方享有申请专利的权利。</w:t>
      </w:r>
    </w:p>
    <w:p>
      <w:pPr>
        <w:snapToGrid w:val="0"/>
        <w:spacing w:line="360" w:lineRule="auto"/>
        <w:rPr>
          <w:rFonts w:ascii="宋体" w:hAnsi="宋体"/>
          <w:szCs w:val="21"/>
          <w:u w:val="single"/>
        </w:rPr>
      </w:pPr>
      <w:r>
        <w:rPr>
          <w:rFonts w:ascii="宋体" w:hAnsi="宋体" w:hint="eastAsia"/>
          <w:szCs w:val="21"/>
        </w:rPr>
        <w:t xml:space="preserve">    专利权取得后的使用和有关利益分配方式如下：</w:t>
      </w:r>
      <w:r>
        <w:rPr>
          <w:rFonts w:ascii="宋体" w:hAnsi="宋体" w:hint="eastAsia"/>
          <w:szCs w:val="21"/>
          <w:u w:val="single"/>
        </w:rPr>
        <w:t xml:space="preserve">                  </w:t>
      </w:r>
    </w:p>
    <w:p>
      <w:pPr>
        <w:snapToGrid w:val="0"/>
        <w:spacing w:line="360" w:lineRule="auto"/>
        <w:ind w:firstLine="420" w:firstLineChars="200"/>
        <w:rPr>
          <w:rFonts w:ascii="宋体" w:hAnsi="宋体"/>
          <w:szCs w:val="21"/>
        </w:rPr>
      </w:pPr>
      <w:r>
        <w:rPr>
          <w:rFonts w:ascii="宋体" w:hAnsi="宋体" w:hint="eastAsia"/>
          <w:szCs w:val="21"/>
        </w:rPr>
        <w:t>（2）按技术秘密方式处理。有关使用和转让的权利归属及由此产生的利益按以下约定处理：</w:t>
      </w:r>
    </w:p>
    <w:p>
      <w:pPr>
        <w:snapToGrid w:val="0"/>
        <w:spacing w:line="360" w:lineRule="auto"/>
        <w:rPr>
          <w:rFonts w:ascii="宋体" w:hAnsi="宋体"/>
          <w:szCs w:val="21"/>
          <w:u w:val="single"/>
        </w:rPr>
      </w:pPr>
      <w:r>
        <w:rPr>
          <w:rFonts w:ascii="宋体" w:hAnsi="宋体" w:hint="eastAsia"/>
          <w:szCs w:val="21"/>
        </w:rPr>
        <w:t xml:space="preserve">   技术秘密的使用权：</w:t>
      </w:r>
      <w:r>
        <w:rPr>
          <w:rFonts w:ascii="宋体" w:hAnsi="宋体" w:hint="eastAsia"/>
          <w:szCs w:val="21"/>
          <w:u w:val="single"/>
        </w:rPr>
        <w:t xml:space="preserve">                                      </w:t>
      </w:r>
    </w:p>
    <w:p>
      <w:pPr>
        <w:snapToGrid w:val="0"/>
        <w:spacing w:line="360" w:lineRule="auto"/>
        <w:rPr>
          <w:rFonts w:ascii="宋体" w:hAnsi="宋体"/>
          <w:szCs w:val="21"/>
          <w:u w:val="single"/>
        </w:rPr>
      </w:pPr>
      <w:r>
        <w:rPr>
          <w:rFonts w:ascii="宋体" w:hAnsi="宋体" w:hint="eastAsia"/>
          <w:szCs w:val="21"/>
        </w:rPr>
        <w:t xml:space="preserve">   技术秘密的转让权：</w:t>
      </w:r>
      <w:r>
        <w:rPr>
          <w:rFonts w:ascii="宋体" w:hAnsi="宋体" w:hint="eastAsia"/>
          <w:szCs w:val="21"/>
          <w:u w:val="single"/>
        </w:rPr>
        <w:t xml:space="preserve">                                      </w:t>
      </w:r>
    </w:p>
    <w:p>
      <w:pPr>
        <w:snapToGrid w:val="0"/>
        <w:spacing w:line="360" w:lineRule="auto"/>
        <w:rPr>
          <w:rFonts w:ascii="宋体" w:hAnsi="宋体"/>
          <w:szCs w:val="21"/>
          <w:u w:val="single"/>
        </w:rPr>
      </w:pPr>
      <w:r>
        <w:rPr>
          <w:rFonts w:ascii="宋体" w:hAnsi="宋体" w:hint="eastAsia"/>
          <w:szCs w:val="21"/>
        </w:rPr>
        <w:t xml:space="preserve">   相关利益的分配办法：</w:t>
      </w:r>
      <w:r>
        <w:rPr>
          <w:rFonts w:ascii="宋体" w:hAnsi="宋体" w:hint="eastAsia"/>
          <w:szCs w:val="21"/>
          <w:u w:val="single"/>
        </w:rPr>
        <w:t xml:space="preserve">                                    </w:t>
      </w:r>
    </w:p>
    <w:p>
      <w:pPr>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、双方对本合同有关的知识产权权利归属特别约定如下：</w:t>
      </w:r>
      <w:r>
        <w:rPr>
          <w:rFonts w:ascii="宋体" w:hAnsi="宋体" w:hint="eastAsia"/>
          <w:szCs w:val="21"/>
          <w:u w:val="single"/>
        </w:rPr>
        <w:t xml:space="preserve">  本项目建设成果的知识产权归甲方所有（根据项目情况填写）  </w:t>
      </w:r>
      <w:r>
        <w:rPr>
          <w:rFonts w:ascii="宋体" w:hAnsi="宋体" w:hint="eastAsia"/>
          <w:szCs w:val="21"/>
        </w:rPr>
        <w:t>。</w:t>
      </w:r>
    </w:p>
    <w:p>
      <w:pPr>
        <w:adjustRightInd w:val="0"/>
        <w:spacing w:line="360" w:lineRule="auto"/>
        <w:ind w:firstLine="420" w:firstLineChars="200"/>
        <w:outlineLvl w:val="1"/>
        <w:rPr>
          <w:rFonts w:ascii="宋体" w:hAnsi="宋体"/>
          <w:b/>
          <w:szCs w:val="21"/>
        </w:rPr>
      </w:pPr>
      <w:r>
        <w:rPr>
          <w:rFonts w:ascii="宋体" w:hAnsi="宋体" w:hint="eastAsia"/>
          <w:b/>
          <w:szCs w:val="21"/>
        </w:rPr>
        <w:t>十四、验收和交付</w:t>
      </w:r>
    </w:p>
    <w:p>
      <w:pPr>
        <w:snapToGrid w:val="0"/>
        <w:spacing w:line="360" w:lineRule="auto"/>
        <w:ind w:firstLine="420" w:firstLineChars="200"/>
        <w:rPr>
          <w:rFonts w:ascii="宋体" w:hAnsi="宋体"/>
          <w:szCs w:val="21"/>
          <w:u w:val="single"/>
        </w:rPr>
      </w:pPr>
      <w:r>
        <w:rPr>
          <w:rFonts w:ascii="宋体" w:hAnsi="宋体" w:hint="eastAsia"/>
          <w:szCs w:val="21"/>
        </w:rPr>
        <w:t>1、双方确定，按以下标准及方法对乙方完成的成果进行验收：</w:t>
      </w:r>
      <w:r>
        <w:rPr>
          <w:rFonts w:ascii="宋体" w:hAnsi="宋体" w:hint="eastAsia"/>
          <w:szCs w:val="21"/>
          <w:u w:val="single"/>
        </w:rPr>
        <w:t xml:space="preserve">  按照本合同附件的技术规格和要求及项目需求分析说明书和概要设计报告对乙方研究开发成果进行验收 （根据具体项目确定）。</w:t>
      </w:r>
    </w:p>
    <w:p>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、现场初步验收移交</w:t>
      </w:r>
    </w:p>
    <w:p>
      <w:pPr>
        <w:snapToGrid w:val="0"/>
        <w:spacing w:line="360" w:lineRule="auto"/>
        <w:ind w:firstLine="420" w:firstLineChars="200"/>
        <w:rPr>
          <w:rFonts w:ascii="宋体" w:hAnsi="宋体"/>
          <w:szCs w:val="21"/>
        </w:rPr>
      </w:pPr>
      <w:r>
        <w:rPr>
          <w:rFonts w:ascii="宋体" w:hAnsi="宋体" w:hint="eastAsia"/>
          <w:szCs w:val="21"/>
        </w:rPr>
        <w:t>本项目验收按照国标的软件工程相关规定执行。乙方完成软件安装测试(包括各软件分系统的功能和性能测试、软件集成)后，由乙方委托具备相关资质的第三方进行测试，出具测试大纲、测试方案、测试数据及测试报告。测试结果经甲方审定满足要求后，进行现场初步验收移交。届时，乙方将向甲方提交全部技术文档，甲方组成资料审查小组对技术文档的完整性与正确性进行审查。</w:t>
      </w:r>
    </w:p>
    <w:p>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、正式验收交付</w:t>
      </w:r>
    </w:p>
    <w:p>
      <w:pPr>
        <w:snapToGrid w:val="0"/>
        <w:spacing w:line="360" w:lineRule="auto"/>
        <w:ind w:firstLine="420" w:firstLineChars="200"/>
        <w:rPr>
          <w:rFonts w:ascii="宋体" w:hAnsi="宋体"/>
          <w:szCs w:val="21"/>
        </w:rPr>
      </w:pPr>
      <w:r>
        <w:rPr>
          <w:rFonts w:ascii="宋体" w:hAnsi="宋体" w:hint="eastAsia"/>
          <w:szCs w:val="21"/>
        </w:rPr>
        <w:t>软件初步验收移交后进行为期</w:t>
      </w:r>
      <w:r>
        <w:rPr>
          <w:rFonts w:ascii="宋体" w:hAnsi="宋体" w:hint="eastAsia"/>
          <w:szCs w:val="21"/>
          <w:lang w:val="en-US" w:eastAsia="zh-CN"/>
        </w:rPr>
        <w:t>一</w:t>
      </w:r>
      <w:r>
        <w:rPr>
          <w:rFonts w:ascii="宋体" w:hAnsi="宋体" w:hint="eastAsia"/>
          <w:szCs w:val="21"/>
        </w:rPr>
        <w:t>个月</w:t>
      </w:r>
      <w:r>
        <w:rPr>
          <w:rFonts w:ascii="宋体" w:hAnsi="宋体" w:hint="eastAsia"/>
          <w:szCs w:val="21"/>
          <w:lang w:val="en-US" w:eastAsia="zh-CN"/>
        </w:rPr>
        <w:t>以上</w:t>
      </w:r>
      <w:r>
        <w:rPr>
          <w:rFonts w:ascii="宋体" w:hAnsi="宋体" w:hint="eastAsia"/>
          <w:szCs w:val="21"/>
        </w:rPr>
        <w:t>的试运行考核，考核期满并满足软件开发任务书要求后，乙方提出验收申请，经甲方认定具备验收条件，由甲方组织正式验收交付。</w:t>
      </w:r>
    </w:p>
    <w:p>
      <w:pPr>
        <w:adjustRightInd w:val="0"/>
        <w:spacing w:line="360" w:lineRule="auto"/>
        <w:ind w:firstLine="420" w:firstLineChars="200"/>
        <w:outlineLvl w:val="1"/>
        <w:rPr>
          <w:rFonts w:ascii="宋体" w:hAnsi="宋体"/>
          <w:b/>
          <w:szCs w:val="21"/>
        </w:rPr>
      </w:pPr>
      <w:r>
        <w:rPr>
          <w:rFonts w:ascii="宋体" w:hAnsi="宋体" w:hint="eastAsia"/>
          <w:b/>
          <w:szCs w:val="21"/>
        </w:rPr>
        <w:t>十五、质量保证</w:t>
      </w:r>
    </w:p>
    <w:p>
      <w:pPr>
        <w:snapToGrid w:val="0"/>
        <w:spacing w:line="360" w:lineRule="auto"/>
        <w:ind w:firstLine="420" w:firstLineChars="200"/>
        <w:rPr>
          <w:rFonts w:ascii="宋体" w:hAnsi="宋体"/>
          <w:szCs w:val="21"/>
        </w:rPr>
      </w:pPr>
      <w:r>
        <w:rPr>
          <w:rFonts w:ascii="宋体" w:hAnsi="宋体" w:hint="eastAsia"/>
          <w:szCs w:val="21"/>
        </w:rPr>
        <w:t>按照国标的软件工程化和质量保证要求执行。</w:t>
      </w:r>
    </w:p>
    <w:p>
      <w:pPr>
        <w:adjustRightInd w:val="0"/>
        <w:spacing w:line="360" w:lineRule="auto"/>
        <w:ind w:firstLine="420" w:firstLineChars="200"/>
        <w:outlineLvl w:val="1"/>
        <w:rPr>
          <w:rFonts w:ascii="宋体" w:hAnsi="宋体"/>
          <w:b/>
          <w:szCs w:val="21"/>
        </w:rPr>
      </w:pPr>
      <w:bookmarkStart w:id="519" w:name="_Toc200437498"/>
      <w:bookmarkStart w:id="520" w:name="_Toc171226498"/>
      <w:bookmarkStart w:id="521" w:name="_Toc147224299"/>
      <w:r>
        <w:rPr>
          <w:rFonts w:ascii="宋体" w:hAnsi="宋体" w:hint="eastAsia"/>
          <w:b/>
          <w:szCs w:val="21"/>
        </w:rPr>
        <w:t>十六、</w:t>
      </w:r>
      <w:r>
        <w:rPr>
          <w:rFonts w:ascii="宋体" w:hAnsi="宋体"/>
          <w:b/>
          <w:szCs w:val="21"/>
        </w:rPr>
        <w:t>技术服务</w:t>
      </w:r>
      <w:bookmarkEnd w:id="519"/>
      <w:bookmarkEnd w:id="520"/>
      <w:bookmarkEnd w:id="521"/>
    </w:p>
    <w:p>
      <w:pPr>
        <w:snapToGrid w:val="0"/>
        <w:spacing w:line="360" w:lineRule="auto"/>
        <w:ind w:left="317" w:firstLine="101" w:leftChars="151" w:firstLineChars="48"/>
        <w:rPr>
          <w:rFonts w:ascii="宋体" w:hAnsi="宋体"/>
          <w:szCs w:val="21"/>
        </w:rPr>
      </w:pPr>
      <w:r>
        <w:rPr>
          <w:rFonts w:ascii="宋体" w:hAnsi="宋体"/>
          <w:szCs w:val="21"/>
        </w:rPr>
        <w:t>1</w:t>
      </w:r>
      <w:r>
        <w:rPr>
          <w:rFonts w:ascii="宋体" w:hAnsi="宋体" w:hint="eastAsia"/>
          <w:szCs w:val="21"/>
        </w:rPr>
        <w:t>、</w:t>
      </w:r>
      <w:r>
        <w:rPr>
          <w:rFonts w:ascii="宋体" w:hAnsi="宋体"/>
          <w:szCs w:val="21"/>
        </w:rPr>
        <w:t>技术培训</w:t>
      </w:r>
    </w:p>
    <w:p>
      <w:pPr>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乙方免费对甲方的操作人员进行技术培训（操作、维护）。甲、乙双方共同商定培训计划，乙方负责组织实施，并要对培训人员进行考核。</w:t>
      </w:r>
    </w:p>
    <w:p>
      <w:pPr>
        <w:snapToGrid w:val="0"/>
        <w:spacing w:line="360" w:lineRule="auto"/>
        <w:ind w:firstLine="420" w:firstLineChars="200"/>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w:t>
      </w:r>
      <w:r>
        <w:rPr>
          <w:rFonts w:ascii="宋体" w:hAnsi="宋体"/>
          <w:szCs w:val="21"/>
        </w:rPr>
        <w:t>技术培训要有专人负责、编写专门的教材。所需设备和资料均由乙方无偿提供。</w:t>
      </w:r>
    </w:p>
    <w:p>
      <w:pPr>
        <w:snapToGrid w:val="0"/>
        <w:spacing w:line="360" w:lineRule="auto"/>
        <w:ind w:firstLine="414" w:firstLineChars="197"/>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w:t>
      </w:r>
      <w:r>
        <w:rPr>
          <w:rFonts w:ascii="宋体" w:hAnsi="宋体"/>
          <w:szCs w:val="21"/>
        </w:rPr>
        <w:t>培训具体事宜可根据研制进展情况由甲、乙双方另行商定。</w:t>
      </w:r>
    </w:p>
    <w:p>
      <w:pPr>
        <w:snapToGrid w:val="0"/>
        <w:spacing w:line="360" w:lineRule="auto"/>
        <w:ind w:left="317" w:firstLine="101" w:leftChars="151" w:firstLineChars="48"/>
        <w:rPr>
          <w:rFonts w:ascii="宋体" w:hAnsi="宋体"/>
          <w:szCs w:val="21"/>
        </w:rPr>
      </w:pPr>
      <w:r>
        <w:rPr>
          <w:rFonts w:ascii="宋体" w:hAnsi="宋体"/>
          <w:szCs w:val="21"/>
        </w:rPr>
        <w:t>2</w:t>
      </w:r>
      <w:r>
        <w:rPr>
          <w:rFonts w:ascii="宋体" w:hAnsi="宋体" w:hint="eastAsia"/>
          <w:szCs w:val="21"/>
        </w:rPr>
        <w:t>、</w:t>
      </w:r>
      <w:r>
        <w:rPr>
          <w:rFonts w:ascii="宋体" w:hAnsi="宋体"/>
          <w:szCs w:val="21"/>
        </w:rPr>
        <w:t>技术服务</w:t>
      </w:r>
    </w:p>
    <w:p>
      <w:pPr>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从系统通过验收之日起开始计算，</w:t>
      </w:r>
      <w:r>
        <w:rPr>
          <w:rFonts w:ascii="宋体" w:hAnsi="宋体" w:hint="eastAsia"/>
          <w:szCs w:val="21"/>
        </w:rPr>
        <w:t>乙</w:t>
      </w:r>
      <w:r>
        <w:rPr>
          <w:rFonts w:ascii="宋体" w:hAnsi="宋体"/>
          <w:szCs w:val="21"/>
        </w:rPr>
        <w:t>方应对提交的软件产品提供为期</w:t>
      </w:r>
      <w:r>
        <w:rPr>
          <w:rFonts w:ascii="宋体" w:hAnsi="宋体" w:hint="eastAsia"/>
          <w:szCs w:val="21"/>
        </w:rPr>
        <w:t>五</w:t>
      </w:r>
      <w:r>
        <w:rPr>
          <w:rFonts w:ascii="宋体" w:hAnsi="宋体"/>
          <w:szCs w:val="21"/>
        </w:rPr>
        <w:t>年的</w:t>
      </w:r>
      <w:r>
        <w:rPr>
          <w:rFonts w:ascii="宋体" w:hAnsi="宋体" w:hint="eastAsia"/>
          <w:szCs w:val="21"/>
        </w:rPr>
        <w:t>免费</w:t>
      </w:r>
      <w:r>
        <w:rPr>
          <w:rFonts w:ascii="宋体" w:hAnsi="宋体"/>
          <w:szCs w:val="21"/>
        </w:rPr>
        <w:t>系统维护期（其中</w:t>
      </w:r>
      <w:r>
        <w:rPr>
          <w:rFonts w:ascii="宋体" w:hAnsi="宋体" w:hint="eastAsia"/>
          <w:szCs w:val="21"/>
        </w:rPr>
        <w:t>前两年</w:t>
      </w:r>
      <w:r>
        <w:rPr>
          <w:rFonts w:ascii="宋体" w:hAnsi="宋体"/>
          <w:szCs w:val="21"/>
        </w:rPr>
        <w:t>为质量保证期）。在质量保证期内，</w:t>
      </w:r>
      <w:r>
        <w:rPr>
          <w:rFonts w:ascii="宋体" w:hAnsi="宋体" w:hint="eastAsia"/>
          <w:szCs w:val="21"/>
        </w:rPr>
        <w:t>乙</w:t>
      </w:r>
      <w:r>
        <w:rPr>
          <w:rFonts w:ascii="宋体" w:hAnsi="宋体"/>
          <w:szCs w:val="21"/>
        </w:rPr>
        <w:t>方应向</w:t>
      </w:r>
      <w:r>
        <w:rPr>
          <w:rFonts w:ascii="宋体" w:hAnsi="宋体" w:hint="eastAsia"/>
          <w:szCs w:val="21"/>
        </w:rPr>
        <w:t>甲方</w:t>
      </w:r>
      <w:r>
        <w:rPr>
          <w:rFonts w:ascii="宋体" w:hAnsi="宋体"/>
          <w:szCs w:val="21"/>
        </w:rPr>
        <w:t>提供7*24小时的服务响应，保证</w:t>
      </w:r>
      <w:r>
        <w:rPr>
          <w:rFonts w:ascii="宋体" w:hAnsi="宋体" w:hint="eastAsia"/>
          <w:szCs w:val="21"/>
        </w:rPr>
        <w:t>甲</w:t>
      </w:r>
      <w:r>
        <w:rPr>
          <w:rFonts w:ascii="宋体" w:hAnsi="宋体"/>
          <w:szCs w:val="21"/>
        </w:rPr>
        <w:t>方可以随时找到相应的技术人员，如有必要，要在1小时之内赶到现场予以技术支持；在本期内</w:t>
      </w:r>
      <w:r>
        <w:rPr>
          <w:rFonts w:ascii="宋体" w:hAnsi="宋体" w:hint="eastAsia"/>
          <w:szCs w:val="21"/>
        </w:rPr>
        <w:t>乙</w:t>
      </w:r>
      <w:r>
        <w:rPr>
          <w:rFonts w:ascii="宋体" w:hAnsi="宋体"/>
          <w:szCs w:val="21"/>
        </w:rPr>
        <w:t>方应对系统提供必要的升级和缺陷修改。在系统维护期内，若发生实质性需求变更，</w:t>
      </w:r>
      <w:r>
        <w:rPr>
          <w:rFonts w:ascii="宋体" w:hAnsi="宋体" w:hint="eastAsia"/>
          <w:szCs w:val="21"/>
        </w:rPr>
        <w:t>乙</w:t>
      </w:r>
      <w:r>
        <w:rPr>
          <w:rFonts w:ascii="宋体" w:hAnsi="宋体"/>
          <w:szCs w:val="21"/>
        </w:rPr>
        <w:t>方应以优惠的价格对系统进行修改。在质量保证期结束后，</w:t>
      </w:r>
      <w:r>
        <w:rPr>
          <w:rFonts w:ascii="宋体" w:hAnsi="宋体" w:hint="eastAsia"/>
          <w:szCs w:val="21"/>
        </w:rPr>
        <w:t>乙</w:t>
      </w:r>
      <w:r>
        <w:rPr>
          <w:rFonts w:ascii="宋体" w:hAnsi="宋体"/>
          <w:szCs w:val="21"/>
        </w:rPr>
        <w:t>方应向</w:t>
      </w:r>
      <w:r>
        <w:rPr>
          <w:rFonts w:ascii="宋体" w:hAnsi="宋体" w:hint="eastAsia"/>
          <w:szCs w:val="21"/>
        </w:rPr>
        <w:t>甲</w:t>
      </w:r>
      <w:r>
        <w:rPr>
          <w:rFonts w:ascii="宋体" w:hAnsi="宋体"/>
          <w:szCs w:val="21"/>
        </w:rPr>
        <w:t>方提供7*8小时的服务响应，保证</w:t>
      </w:r>
      <w:r>
        <w:rPr>
          <w:rFonts w:ascii="宋体" w:hAnsi="宋体" w:hint="eastAsia"/>
          <w:szCs w:val="21"/>
        </w:rPr>
        <w:t>甲</w:t>
      </w:r>
      <w:r>
        <w:rPr>
          <w:rFonts w:ascii="宋体" w:hAnsi="宋体"/>
          <w:szCs w:val="21"/>
        </w:rPr>
        <w:t>方可以随时找到相应的技术人员，如有必要，要在12小时之内赶到现场予以技术支持。</w:t>
      </w:r>
    </w:p>
    <w:p>
      <w:pPr>
        <w:snapToGrid w:val="0"/>
        <w:spacing w:line="360" w:lineRule="auto"/>
        <w:ind w:firstLine="412" w:firstLineChars="196"/>
        <w:rPr>
          <w:rFonts w:ascii="宋体" w:hAnsi="宋体"/>
          <w:szCs w:val="21"/>
        </w:rPr>
      </w:pPr>
      <w:r>
        <w:rPr>
          <w:rFonts w:ascii="宋体" w:hAnsi="宋体" w:hint="eastAsia"/>
          <w:szCs w:val="21"/>
        </w:rPr>
        <w:t>（2）</w:t>
      </w:r>
      <w:r>
        <w:rPr>
          <w:rFonts w:ascii="宋体" w:hAnsi="宋体"/>
          <w:szCs w:val="21"/>
        </w:rPr>
        <w:t>乙方应建立技术服务制度，与甲方协商维护约定，定期走访用户，进行巡检服务。</w:t>
      </w:r>
    </w:p>
    <w:p>
      <w:pPr>
        <w:snapToGrid w:val="0"/>
        <w:spacing w:line="360" w:lineRule="auto"/>
        <w:ind w:firstLine="412" w:firstLineChars="196"/>
        <w:rPr>
          <w:rFonts w:ascii="宋体" w:hAnsi="宋体"/>
          <w:szCs w:val="21"/>
        </w:rPr>
      </w:pPr>
      <w:r>
        <w:rPr>
          <w:rFonts w:ascii="宋体" w:hAnsi="宋体" w:hint="eastAsia"/>
          <w:szCs w:val="21"/>
        </w:rPr>
        <w:t>（3）双方确定，乙方应在向甲方交付合同标的</w:t>
      </w:r>
      <w:r>
        <w:rPr>
          <w:rFonts w:ascii="宋体" w:hAnsi="宋体"/>
          <w:szCs w:val="21"/>
        </w:rPr>
        <w:t>物</w:t>
      </w:r>
      <w:r>
        <w:rPr>
          <w:rFonts w:ascii="宋体" w:hAnsi="宋体" w:hint="eastAsia"/>
          <w:szCs w:val="21"/>
        </w:rPr>
        <w:t>后，根据甲方的请求，为甲方指定的人员提供技术指导和培训，或提供与使用该研究开发成果相关的技术服务。</w:t>
      </w:r>
    </w:p>
    <w:p>
      <w:pPr>
        <w:snapToGrid w:val="0"/>
        <w:spacing w:line="360" w:lineRule="auto"/>
        <w:rPr>
          <w:rFonts w:ascii="宋体" w:hAnsi="宋体"/>
          <w:szCs w:val="21"/>
          <w:u w:val="single"/>
        </w:rPr>
      </w:pPr>
      <w:r>
        <w:rPr>
          <w:rFonts w:ascii="宋体" w:hAnsi="宋体" w:hint="eastAsia"/>
          <w:szCs w:val="21"/>
        </w:rPr>
        <w:t xml:space="preserve">    技术服务和指导内容：</w:t>
      </w:r>
      <w:r>
        <w:rPr>
          <w:rFonts w:ascii="宋体" w:hAnsi="宋体" w:hint="eastAsia"/>
          <w:szCs w:val="21"/>
          <w:u w:val="single"/>
        </w:rPr>
        <w:t xml:space="preserve">                              </w:t>
      </w:r>
    </w:p>
    <w:p>
      <w:pPr>
        <w:snapToGrid w:val="0"/>
        <w:spacing w:line="360" w:lineRule="auto"/>
        <w:rPr>
          <w:rFonts w:ascii="宋体" w:hAnsi="宋体"/>
          <w:szCs w:val="21"/>
          <w:u w:val="single"/>
        </w:rPr>
      </w:pPr>
      <w:r>
        <w:rPr>
          <w:rFonts w:ascii="宋体" w:hAnsi="宋体" w:hint="eastAsia"/>
          <w:szCs w:val="21"/>
        </w:rPr>
        <w:t xml:space="preserve">    地点和方式：</w:t>
      </w:r>
      <w:r>
        <w:rPr>
          <w:rFonts w:ascii="宋体" w:hAnsi="宋体" w:hint="eastAsia"/>
          <w:szCs w:val="21"/>
          <w:u w:val="single"/>
        </w:rPr>
        <w:t xml:space="preserve">                                      </w:t>
      </w:r>
    </w:p>
    <w:p>
      <w:pPr>
        <w:snapToGrid w:val="0"/>
        <w:spacing w:line="360" w:lineRule="auto"/>
        <w:ind w:firstLine="420" w:firstLineChars="200"/>
        <w:rPr>
          <w:rFonts w:ascii="宋体" w:hAnsi="宋体"/>
          <w:szCs w:val="21"/>
        </w:rPr>
      </w:pPr>
      <w:r>
        <w:rPr>
          <w:rFonts w:ascii="宋体" w:hAnsi="宋体" w:hint="eastAsia"/>
          <w:szCs w:val="21"/>
        </w:rPr>
        <w:t>费用及支付方式：</w:t>
      </w:r>
      <w:r>
        <w:rPr>
          <w:rFonts w:ascii="宋体" w:hAnsi="宋体" w:hint="eastAsia"/>
          <w:szCs w:val="21"/>
          <w:u w:val="single"/>
        </w:rPr>
        <w:t xml:space="preserve">                                  </w:t>
      </w:r>
    </w:p>
    <w:p>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w:t>
      </w:r>
      <w:r>
        <w:rPr>
          <w:rFonts w:ascii="宋体" w:hAnsi="宋体"/>
          <w:szCs w:val="21"/>
        </w:rPr>
        <w:t>服务项目</w:t>
      </w:r>
    </w:p>
    <w:p>
      <w:pPr>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协助甲方完成竣工图设计。</w:t>
      </w:r>
    </w:p>
    <w:p>
      <w:pPr>
        <w:snapToGrid w:val="0"/>
        <w:spacing w:line="360" w:lineRule="auto"/>
        <w:ind w:firstLine="420" w:firstLineChars="200"/>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w:t>
      </w:r>
      <w:r>
        <w:rPr>
          <w:rFonts w:ascii="宋体" w:hAnsi="宋体"/>
          <w:szCs w:val="21"/>
        </w:rPr>
        <w:t>免费</w:t>
      </w:r>
      <w:r>
        <w:rPr>
          <w:rFonts w:ascii="宋体" w:hAnsi="宋体" w:hint="eastAsia"/>
          <w:szCs w:val="21"/>
        </w:rPr>
        <w:t>维护五</w:t>
      </w:r>
      <w:r>
        <w:rPr>
          <w:rFonts w:ascii="宋体" w:hAnsi="宋体"/>
          <w:szCs w:val="21"/>
        </w:rPr>
        <w:t>年。</w:t>
      </w:r>
      <w:r>
        <w:rPr>
          <w:rFonts w:ascii="宋体" w:hAnsi="宋体" w:hint="eastAsia"/>
          <w:szCs w:val="21"/>
        </w:rPr>
        <w:t>维护</w:t>
      </w:r>
      <w:r>
        <w:rPr>
          <w:rFonts w:ascii="宋体" w:hAnsi="宋体"/>
          <w:szCs w:val="21"/>
        </w:rPr>
        <w:t>期结束后，提供有偿优惠服务，只收取工本费。</w:t>
      </w:r>
    </w:p>
    <w:p>
      <w:pPr>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w:t>
      </w:r>
      <w:r>
        <w:rPr>
          <w:rFonts w:ascii="宋体" w:hAnsi="宋体"/>
          <w:szCs w:val="21"/>
        </w:rPr>
        <w:t>资料项目</w:t>
      </w:r>
    </w:p>
    <w:p>
      <w:pPr>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提供软件设计方案；</w:t>
      </w:r>
    </w:p>
    <w:p>
      <w:pPr>
        <w:snapToGrid w:val="0"/>
        <w:spacing w:line="360" w:lineRule="auto"/>
        <w:ind w:firstLine="420" w:firstLineChars="200"/>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w:t>
      </w:r>
      <w:r>
        <w:rPr>
          <w:rFonts w:ascii="宋体" w:hAnsi="宋体"/>
          <w:szCs w:val="21"/>
        </w:rPr>
        <w:t>软件设计文档（含需求分析、概要设计、详细设计、编码）、数据库设计说明、软件测试计划、软件测试方案；</w:t>
      </w:r>
    </w:p>
    <w:p>
      <w:pPr>
        <w:snapToGrid w:val="0"/>
        <w:spacing w:line="360" w:lineRule="auto"/>
        <w:ind w:firstLine="420" w:firstLineChars="200"/>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w:t>
      </w:r>
      <w:r>
        <w:rPr>
          <w:rFonts w:ascii="宋体" w:hAnsi="宋体"/>
          <w:szCs w:val="21"/>
        </w:rPr>
        <w:t>软件用户手册</w:t>
      </w:r>
      <w:r>
        <w:rPr>
          <w:rFonts w:ascii="宋体" w:hAnsi="宋体" w:hint="eastAsia"/>
          <w:szCs w:val="21"/>
        </w:rPr>
        <w:t>（包含二次开发内容）</w:t>
      </w:r>
      <w:r>
        <w:rPr>
          <w:rFonts w:ascii="宋体" w:hAnsi="宋体"/>
          <w:szCs w:val="21"/>
        </w:rPr>
        <w:t>、系统维护手册（包括故障查找和排除指南）；</w:t>
      </w:r>
    </w:p>
    <w:p>
      <w:pPr>
        <w:snapToGrid w:val="0"/>
        <w:spacing w:line="360" w:lineRule="auto"/>
        <w:ind w:firstLine="420" w:firstLineChars="200"/>
        <w:rPr>
          <w:rFonts w:ascii="宋体" w:hAnsi="宋体"/>
          <w:szCs w:val="21"/>
        </w:rPr>
      </w:pPr>
      <w:r>
        <w:rPr>
          <w:rFonts w:ascii="宋体" w:hAnsi="宋体" w:hint="eastAsia"/>
          <w:szCs w:val="21"/>
        </w:rPr>
        <w:t>（</w:t>
      </w:r>
      <w:r>
        <w:rPr>
          <w:rFonts w:ascii="宋体" w:hAnsi="宋体"/>
          <w:szCs w:val="21"/>
        </w:rPr>
        <w:t>4</w:t>
      </w:r>
      <w:r>
        <w:rPr>
          <w:rFonts w:ascii="宋体" w:hAnsi="宋体" w:hint="eastAsia"/>
          <w:szCs w:val="21"/>
        </w:rPr>
        <w:t>）</w:t>
      </w:r>
      <w:r>
        <w:rPr>
          <w:rFonts w:ascii="宋体" w:hAnsi="宋体"/>
          <w:szCs w:val="21"/>
        </w:rPr>
        <w:t>全部软件源代码、可执行代码等（以上文档提供电子版</w:t>
      </w:r>
      <w:r>
        <w:rPr>
          <w:rFonts w:ascii="宋体" w:hAnsi="宋体" w:hint="eastAsia"/>
          <w:szCs w:val="21"/>
        </w:rPr>
        <w:t>x</w:t>
      </w:r>
      <w:r>
        <w:rPr>
          <w:rFonts w:ascii="宋体" w:hAnsi="宋体"/>
          <w:szCs w:val="21"/>
        </w:rPr>
        <w:t>套，硬拷贝</w:t>
      </w:r>
      <w:r>
        <w:rPr>
          <w:rFonts w:ascii="宋体" w:hAnsi="宋体" w:hint="eastAsia"/>
          <w:szCs w:val="21"/>
        </w:rPr>
        <w:t>x</w:t>
      </w:r>
      <w:r>
        <w:rPr>
          <w:rFonts w:ascii="宋体" w:hAnsi="宋体"/>
          <w:szCs w:val="21"/>
        </w:rPr>
        <w:t>套）</w:t>
      </w:r>
      <w:r>
        <w:rPr>
          <w:rFonts w:ascii="宋体" w:hAnsi="宋体" w:hint="eastAsia"/>
          <w:szCs w:val="21"/>
        </w:rPr>
        <w:t>。</w:t>
      </w:r>
    </w:p>
    <w:p>
      <w:pPr>
        <w:snapToGrid w:val="0"/>
        <w:spacing w:line="360" w:lineRule="auto"/>
        <w:ind w:firstLine="420" w:firstLineChars="200"/>
        <w:rPr>
          <w:rFonts w:ascii="宋体" w:hAnsi="宋体"/>
          <w:iCs/>
          <w:szCs w:val="21"/>
        </w:rPr>
      </w:pPr>
      <w:r>
        <w:rPr>
          <w:rFonts w:ascii="宋体" w:hAnsi="宋体" w:hint="eastAsia"/>
          <w:iCs/>
          <w:szCs w:val="21"/>
        </w:rPr>
        <w:t>（</w:t>
      </w:r>
      <w:r>
        <w:rPr>
          <w:rFonts w:ascii="宋体" w:hAnsi="宋体"/>
          <w:iCs/>
          <w:szCs w:val="21"/>
        </w:rPr>
        <w:t>5</w:t>
      </w:r>
      <w:r>
        <w:rPr>
          <w:rFonts w:ascii="宋体" w:hAnsi="宋体" w:hint="eastAsia"/>
          <w:iCs/>
          <w:szCs w:val="21"/>
        </w:rPr>
        <w:t>）所有资料均需提供中文版</w:t>
      </w:r>
    </w:p>
    <w:p>
      <w:pPr>
        <w:adjustRightInd w:val="0"/>
        <w:spacing w:line="360" w:lineRule="auto"/>
        <w:ind w:firstLine="420" w:firstLineChars="200"/>
        <w:outlineLvl w:val="1"/>
        <w:rPr>
          <w:rFonts w:ascii="宋体" w:hAnsi="宋体"/>
          <w:b/>
          <w:szCs w:val="21"/>
        </w:rPr>
      </w:pPr>
      <w:bookmarkStart w:id="522" w:name="_Toc200437499"/>
      <w:bookmarkStart w:id="523" w:name="_Toc147224300"/>
      <w:bookmarkStart w:id="524" w:name="_Toc171226499"/>
      <w:r>
        <w:rPr>
          <w:rFonts w:ascii="宋体" w:hAnsi="宋体" w:hint="eastAsia"/>
          <w:b/>
          <w:szCs w:val="21"/>
        </w:rPr>
        <w:t>十七、</w:t>
      </w:r>
      <w:r>
        <w:rPr>
          <w:rFonts w:ascii="宋体" w:hAnsi="宋体"/>
          <w:b/>
          <w:szCs w:val="21"/>
        </w:rPr>
        <w:t>成果约定</w:t>
      </w:r>
      <w:bookmarkEnd w:id="522"/>
      <w:bookmarkEnd w:id="523"/>
      <w:bookmarkEnd w:id="524"/>
    </w:p>
    <w:p>
      <w:pPr>
        <w:snapToGrid w:val="0"/>
        <w:spacing w:line="360" w:lineRule="auto"/>
        <w:ind w:firstLine="514" w:firstLineChars="245"/>
        <w:rPr>
          <w:rFonts w:ascii="宋体" w:hAnsi="宋体"/>
          <w:szCs w:val="21"/>
        </w:rPr>
      </w:pPr>
      <w:r>
        <w:rPr>
          <w:rFonts w:ascii="宋体" w:hAnsi="宋体" w:hint="eastAsia"/>
          <w:szCs w:val="21"/>
        </w:rPr>
        <w:t>1、乙</w:t>
      </w:r>
      <w:r>
        <w:rPr>
          <w:rFonts w:ascii="宋体" w:hAnsi="宋体"/>
          <w:szCs w:val="21"/>
        </w:rPr>
        <w:t>方提供的软件产品中，不得引用或复制未经第三方授权的代码和数据，并承担由此而导致的全部法律责任。</w:t>
      </w:r>
    </w:p>
    <w:p>
      <w:pPr>
        <w:snapToGrid w:val="0"/>
        <w:spacing w:line="360" w:lineRule="auto"/>
        <w:ind w:firstLine="514" w:firstLineChars="245"/>
        <w:rPr>
          <w:rFonts w:ascii="宋体" w:hAnsi="宋体"/>
          <w:szCs w:val="21"/>
        </w:rPr>
      </w:pPr>
      <w:r>
        <w:rPr>
          <w:rFonts w:ascii="宋体" w:hAnsi="宋体"/>
          <w:szCs w:val="21"/>
        </w:rPr>
        <w:t>2</w:t>
      </w:r>
      <w:r>
        <w:rPr>
          <w:rFonts w:ascii="宋体" w:hAnsi="宋体" w:hint="eastAsia"/>
          <w:szCs w:val="21"/>
        </w:rPr>
        <w:t>、</w:t>
      </w:r>
      <w:r>
        <w:rPr>
          <w:rFonts w:ascii="宋体" w:hAnsi="宋体"/>
          <w:szCs w:val="21"/>
        </w:rPr>
        <w:t>项目中软件成果和产权归甲方所有，未经甲方同意</w:t>
      </w:r>
      <w:r>
        <w:rPr>
          <w:rFonts w:ascii="宋体" w:hAnsi="宋体" w:hint="eastAsia"/>
          <w:szCs w:val="21"/>
        </w:rPr>
        <w:t>乙</w:t>
      </w:r>
      <w:r>
        <w:rPr>
          <w:rFonts w:ascii="宋体" w:hAnsi="宋体"/>
          <w:szCs w:val="21"/>
        </w:rPr>
        <w:t>方不得转移或使用。系统通过验收后，所有文档、软件和资料由甲方统一归档。</w:t>
      </w:r>
    </w:p>
    <w:p>
      <w:pPr>
        <w:snapToGrid w:val="0"/>
        <w:spacing w:line="360" w:lineRule="auto"/>
        <w:ind w:firstLine="514" w:firstLineChars="245"/>
        <w:rPr>
          <w:rFonts w:ascii="宋体" w:hAnsi="宋体"/>
          <w:szCs w:val="21"/>
        </w:rPr>
      </w:pPr>
      <w:r>
        <w:rPr>
          <w:rFonts w:ascii="宋体" w:hAnsi="宋体" w:hint="eastAsia"/>
          <w:szCs w:val="21"/>
        </w:rPr>
        <w:t>3、</w:t>
      </w:r>
      <w:r>
        <w:rPr>
          <w:rFonts w:ascii="宋体" w:hAnsi="宋体"/>
          <w:szCs w:val="21"/>
        </w:rPr>
        <w:t>项目中由甲方提供的算法和方法所对应的软件成果和产权归甲方所有，乙方不得未经甲方同意转移或使用。</w:t>
      </w:r>
    </w:p>
    <w:p>
      <w:pPr>
        <w:snapToGrid w:val="0"/>
        <w:spacing w:line="360" w:lineRule="auto"/>
        <w:ind w:firstLine="514" w:firstLineChars="245"/>
        <w:rPr>
          <w:rFonts w:ascii="宋体" w:hAnsi="宋体"/>
          <w:szCs w:val="21"/>
        </w:rPr>
      </w:pPr>
      <w:r>
        <w:rPr>
          <w:rFonts w:ascii="宋体" w:hAnsi="宋体"/>
          <w:szCs w:val="21"/>
        </w:rPr>
        <w:t>4</w:t>
      </w:r>
      <w:r>
        <w:rPr>
          <w:rFonts w:ascii="宋体" w:hAnsi="宋体" w:hint="eastAsia"/>
          <w:szCs w:val="21"/>
        </w:rPr>
        <w:t>、乙方完成本合同项目的研究开发人员享有在有关技术成果文件上写明技术成果完成者的权利和取得有关荣誉证书、奖励的权利。</w:t>
      </w:r>
    </w:p>
    <w:p>
      <w:pPr>
        <w:snapToGrid w:val="0"/>
        <w:spacing w:line="360" w:lineRule="auto"/>
        <w:ind w:firstLine="514" w:firstLineChars="245"/>
        <w:rPr>
          <w:rFonts w:ascii="宋体" w:hAnsi="宋体"/>
          <w:szCs w:val="21"/>
        </w:rPr>
      </w:pPr>
      <w:r>
        <w:rPr>
          <w:rFonts w:ascii="宋体" w:hAnsi="宋体"/>
          <w:szCs w:val="21"/>
        </w:rPr>
        <w:t>5</w:t>
      </w:r>
      <w:r>
        <w:rPr>
          <w:rFonts w:ascii="宋体" w:hAnsi="宋体" w:hint="eastAsia"/>
          <w:szCs w:val="21"/>
        </w:rPr>
        <w:t>、乙方利用合同经</w:t>
      </w:r>
      <w:r>
        <w:rPr>
          <w:rFonts w:ascii="宋体" w:hAnsi="宋体"/>
          <w:szCs w:val="21"/>
        </w:rPr>
        <w:t>费</w:t>
      </w:r>
      <w:r>
        <w:rPr>
          <w:rFonts w:ascii="宋体" w:hAnsi="宋体" w:hint="eastAsia"/>
          <w:szCs w:val="21"/>
        </w:rPr>
        <w:t>所购置与研究开发工作有关的设备、器材、资料等财产，归</w:t>
      </w:r>
      <w:r>
        <w:rPr>
          <w:rFonts w:ascii="宋体" w:hAnsi="宋体"/>
          <w:szCs w:val="21"/>
        </w:rPr>
        <w:t xml:space="preserve">                （甲、乙、双）方所有。</w:t>
      </w:r>
    </w:p>
    <w:p>
      <w:pPr>
        <w:adjustRightInd w:val="0"/>
        <w:spacing w:line="360" w:lineRule="auto"/>
        <w:ind w:firstLine="420" w:firstLineChars="200"/>
        <w:outlineLvl w:val="1"/>
        <w:rPr>
          <w:rFonts w:ascii="宋体" w:hAnsi="宋体"/>
          <w:b/>
          <w:szCs w:val="21"/>
        </w:rPr>
      </w:pPr>
      <w:r>
        <w:rPr>
          <w:rFonts w:ascii="宋体" w:hAnsi="宋体" w:hint="eastAsia"/>
          <w:b/>
          <w:szCs w:val="21"/>
        </w:rPr>
        <w:t>十八、预付款保函及履约保函</w:t>
      </w:r>
    </w:p>
    <w:p>
      <w:pPr>
        <w:snapToGrid w:val="0"/>
        <w:spacing w:line="360" w:lineRule="auto"/>
        <w:ind w:firstLine="420" w:firstLineChars="200"/>
        <w:rPr>
          <w:rFonts w:ascii="宋体" w:hAnsi="宋体"/>
          <w:bCs/>
          <w:szCs w:val="21"/>
        </w:rPr>
      </w:pPr>
      <w:r>
        <w:rPr>
          <w:rFonts w:ascii="宋体" w:hAnsi="宋体" w:hint="eastAsia"/>
          <w:bCs/>
          <w:szCs w:val="21"/>
        </w:rPr>
        <w:t>详见</w:t>
      </w:r>
      <w:r>
        <w:rPr>
          <w:rFonts w:ascii="宋体" w:hAnsi="宋体" w:hint="eastAsia"/>
          <w:szCs w:val="21"/>
        </w:rPr>
        <w:t>“一、定义”及</w:t>
      </w:r>
      <w:r>
        <w:rPr>
          <w:rFonts w:ascii="宋体" w:hAnsi="宋体" w:hint="eastAsia"/>
          <w:bCs/>
          <w:szCs w:val="21"/>
        </w:rPr>
        <w:t>“六、付款方式”。</w:t>
      </w:r>
    </w:p>
    <w:p>
      <w:pPr>
        <w:pStyle w:val="NormalIndent"/>
        <w:adjustRightInd w:val="0"/>
        <w:snapToGrid w:val="0"/>
        <w:spacing w:line="360" w:lineRule="auto"/>
        <w:outlineLvl w:val="1"/>
        <w:rPr>
          <w:rFonts w:ascii="宋体" w:hAnsi="宋体"/>
          <w:b/>
          <w:szCs w:val="21"/>
        </w:rPr>
      </w:pPr>
      <w:r>
        <w:rPr>
          <w:rFonts w:ascii="宋体" w:hAnsi="宋体" w:hint="eastAsia"/>
          <w:b/>
          <w:szCs w:val="21"/>
        </w:rPr>
        <w:t>十九、审计及检查</w:t>
      </w:r>
    </w:p>
    <w:p>
      <w:pPr>
        <w:tabs>
          <w:tab w:val="left" w:pos="360"/>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如果甲方</w:t>
      </w:r>
      <w:r>
        <w:rPr>
          <w:rFonts w:ascii="宋体" w:hAnsi="宋体"/>
          <w:bCs/>
          <w:szCs w:val="21"/>
        </w:rPr>
        <w:t>或</w:t>
      </w:r>
      <w:r>
        <w:rPr>
          <w:rFonts w:ascii="宋体" w:hAnsi="宋体" w:hint="eastAsia"/>
          <w:bCs/>
          <w:szCs w:val="21"/>
        </w:rPr>
        <w:t>采购人要求，乙方</w:t>
      </w:r>
      <w:r>
        <w:rPr>
          <w:rFonts w:ascii="宋体" w:hAnsi="宋体"/>
          <w:bCs/>
          <w:szCs w:val="21"/>
        </w:rPr>
        <w:t>或</w:t>
      </w:r>
      <w:r>
        <w:rPr>
          <w:rFonts w:ascii="宋体" w:hAnsi="宋体" w:hint="eastAsia"/>
          <w:bCs/>
          <w:szCs w:val="21"/>
        </w:rPr>
        <w:t>中标人应允许甲方</w:t>
      </w:r>
      <w:r>
        <w:rPr>
          <w:rFonts w:ascii="宋体" w:hAnsi="宋体"/>
          <w:bCs/>
          <w:szCs w:val="21"/>
        </w:rPr>
        <w:t>或</w:t>
      </w:r>
      <w:r>
        <w:rPr>
          <w:rFonts w:ascii="宋体" w:hAnsi="宋体" w:hint="eastAsia"/>
          <w:bCs/>
          <w:szCs w:val="21"/>
        </w:rPr>
        <w:t>采购人检查乙方</w:t>
      </w:r>
      <w:r>
        <w:rPr>
          <w:rFonts w:ascii="宋体" w:hAnsi="宋体"/>
          <w:bCs/>
          <w:szCs w:val="21"/>
        </w:rPr>
        <w:t>或</w:t>
      </w:r>
      <w:r>
        <w:rPr>
          <w:rFonts w:ascii="宋体" w:hAnsi="宋体" w:hint="eastAsia"/>
          <w:bCs/>
          <w:szCs w:val="21"/>
        </w:rPr>
        <w:t>中标人与实施本合同有关的资金、账户和记录，并由甲方</w:t>
      </w:r>
      <w:r>
        <w:rPr>
          <w:rFonts w:ascii="宋体" w:hAnsi="宋体"/>
          <w:bCs/>
          <w:szCs w:val="21"/>
        </w:rPr>
        <w:t>或</w:t>
      </w:r>
      <w:r>
        <w:rPr>
          <w:rFonts w:ascii="宋体" w:hAnsi="宋体" w:hint="eastAsia"/>
          <w:bCs/>
          <w:szCs w:val="21"/>
        </w:rPr>
        <w:t>采购人指定的审计人员对其进行审计。</w:t>
      </w:r>
    </w:p>
    <w:p>
      <w:pPr>
        <w:adjustRightInd w:val="0"/>
        <w:spacing w:line="360" w:lineRule="auto"/>
        <w:ind w:firstLine="420" w:firstLineChars="200"/>
        <w:outlineLvl w:val="1"/>
        <w:rPr>
          <w:rFonts w:ascii="宋体" w:hAnsi="宋体"/>
          <w:b/>
          <w:szCs w:val="21"/>
        </w:rPr>
      </w:pPr>
      <w:r>
        <w:rPr>
          <w:rFonts w:ascii="宋体" w:hAnsi="宋体" w:hint="eastAsia"/>
          <w:b/>
          <w:szCs w:val="21"/>
        </w:rPr>
        <w:t>二十、违约责任</w:t>
      </w:r>
    </w:p>
    <w:p>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、乙方应按照合同附件中甲方规定的时间表交货和提供服务。</w:t>
      </w:r>
    </w:p>
    <w:p>
      <w:pPr>
        <w:tabs>
          <w:tab w:val="left" w:pos="885"/>
        </w:tabs>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履行合同过程中，如果乙方及其分包人遇到妨碍按时交货和提供服务的情况时，应及时以书面形式将拖延的事实、可能拖延的时间和原因通知甲方。甲方在收到乙方通知后，应尽快对情况进行评价，并确定是否酌情延长交货时间和提供服务以及是否收取误期赔偿费。延期应通过修改合同的方式由双方认可。</w:t>
      </w:r>
    </w:p>
    <w:p>
      <w:pPr>
        <w:snapToGrid w:val="0"/>
        <w:spacing w:line="360" w:lineRule="auto"/>
        <w:ind w:firstLine="420" w:firstLineChars="200"/>
        <w:rPr>
          <w:rFonts w:ascii="宋体" w:hAnsi="宋体"/>
          <w:szCs w:val="21"/>
        </w:rPr>
      </w:pPr>
      <w:r>
        <w:rPr>
          <w:rFonts w:ascii="宋体" w:hAnsi="宋体" w:hint="eastAsia"/>
          <w:szCs w:val="21"/>
        </w:rPr>
        <w:t>3、如果乙方没有按照合同规定的时间交货和提供服务，甲方应在不影响合同项下的其他补救措施的情况下，从合同价中扣除误期赔偿费。每延误七天迟交货物/服务，赔偿费按合同额的百分之一</w:t>
      </w:r>
      <w:r>
        <w:rPr>
          <w:rFonts w:ascii="宋体" w:hAnsi="宋体"/>
          <w:szCs w:val="21"/>
        </w:rPr>
        <w:t>(1</w:t>
      </w:r>
      <w:r>
        <w:rPr>
          <w:rFonts w:ascii="宋体" w:hAnsi="宋体" w:hint="eastAsia"/>
          <w:szCs w:val="21"/>
        </w:rPr>
        <w:t>％</w:t>
      </w:r>
      <w:r>
        <w:rPr>
          <w:rFonts w:ascii="宋体" w:hAnsi="宋体"/>
          <w:szCs w:val="21"/>
        </w:rPr>
        <w:t>)</w:t>
      </w:r>
      <w:r>
        <w:rPr>
          <w:rFonts w:ascii="宋体" w:hAnsi="宋体" w:hint="eastAsia"/>
          <w:szCs w:val="21"/>
        </w:rPr>
        <w:t>计收，不足七天按七天计算。直至交货或提供服务为止。</w:t>
      </w:r>
    </w:p>
    <w:p>
      <w:pPr>
        <w:snapToGrid w:val="0"/>
        <w:spacing w:line="360" w:lineRule="auto"/>
        <w:ind w:firstLine="412" w:firstLineChars="196"/>
        <w:rPr>
          <w:rFonts w:ascii="宋体" w:hAnsi="宋体"/>
          <w:szCs w:val="21"/>
        </w:rPr>
      </w:pPr>
      <w:r>
        <w:rPr>
          <w:rFonts w:ascii="宋体" w:hAnsi="宋体"/>
          <w:szCs w:val="21"/>
        </w:rPr>
        <w:t>4</w:t>
      </w:r>
      <w:r>
        <w:rPr>
          <w:rFonts w:ascii="宋体" w:hAnsi="宋体" w:hint="eastAsia"/>
          <w:szCs w:val="21"/>
        </w:rPr>
        <w:t xml:space="preserve">、双方确定：任何一方违反本合同约定，造成项目实施停滞、延误或失败的，按以下约定承担违约责任：   </w:t>
      </w:r>
    </w:p>
    <w:p>
      <w:pPr>
        <w:snapToGrid w:val="0"/>
        <w:spacing w:line="360" w:lineRule="auto"/>
        <w:ind w:firstLine="420" w:firstLineChars="200"/>
        <w:rPr>
          <w:rFonts w:ascii="宋体" w:hAnsi="宋体"/>
          <w:szCs w:val="21"/>
        </w:rPr>
      </w:pPr>
      <w:r>
        <w:rPr>
          <w:rFonts w:ascii="宋体" w:hAnsi="宋体" w:hint="eastAsia"/>
          <w:szCs w:val="21"/>
        </w:rPr>
        <w:t>（1）</w:t>
      </w:r>
      <w:r>
        <w:rPr>
          <w:rFonts w:ascii="宋体" w:hAnsi="宋体" w:hint="eastAsia"/>
          <w:kern w:val="0"/>
          <w:szCs w:val="21"/>
        </w:rPr>
        <w:t xml:space="preserve">   </w:t>
      </w:r>
      <w:r>
        <w:rPr>
          <w:rFonts w:ascii="宋体" w:hAnsi="宋体" w:hint="eastAsia"/>
          <w:szCs w:val="21"/>
        </w:rPr>
        <w:t>方违反本合同第</w:t>
      </w:r>
      <w:r>
        <w:rPr>
          <w:rFonts w:ascii="宋体" w:hAnsi="宋体" w:hint="eastAsia"/>
          <w:kern w:val="0"/>
          <w:szCs w:val="21"/>
        </w:rPr>
        <w:t xml:space="preserve">   </w:t>
      </w:r>
      <w:r>
        <w:rPr>
          <w:rFonts w:ascii="宋体" w:hAnsi="宋体" w:hint="eastAsia"/>
          <w:szCs w:val="21"/>
        </w:rPr>
        <w:t>条约定，应当</w:t>
      </w:r>
      <w:r>
        <w:rPr>
          <w:rFonts w:ascii="宋体" w:hAnsi="宋体" w:hint="eastAsia"/>
          <w:szCs w:val="21"/>
          <w:u w:val="single"/>
        </w:rPr>
        <w:t xml:space="preserve">  按照合同总额20%支付违约金，并承担由此导致的损失         </w:t>
      </w:r>
      <w:r>
        <w:rPr>
          <w:rFonts w:ascii="宋体" w:hAnsi="宋体" w:hint="eastAsia"/>
          <w:szCs w:val="21"/>
        </w:rPr>
        <w:t>（支付违约金或损失赔偿额的计算方法）。</w:t>
      </w:r>
    </w:p>
    <w:p>
      <w:pPr>
        <w:snapToGrid w:val="0"/>
        <w:spacing w:line="360" w:lineRule="auto"/>
        <w:ind w:firstLine="420" w:firstLineChars="200"/>
        <w:rPr>
          <w:rFonts w:ascii="宋体" w:hAnsi="宋体"/>
          <w:color w:val="0D0D0D"/>
          <w:szCs w:val="21"/>
          <w:u w:val="single"/>
        </w:rPr>
      </w:pPr>
      <w:r>
        <w:rPr>
          <w:rFonts w:ascii="宋体" w:hAnsi="宋体" w:hint="eastAsia"/>
          <w:szCs w:val="21"/>
        </w:rPr>
        <w:t>（2）</w:t>
      </w:r>
      <w:r>
        <w:rPr>
          <w:rFonts w:ascii="宋体" w:hAnsi="宋体" w:hint="eastAsia"/>
          <w:kern w:val="0"/>
          <w:szCs w:val="21"/>
        </w:rPr>
        <w:t xml:space="preserve">   </w:t>
      </w:r>
      <w:r>
        <w:rPr>
          <w:rFonts w:ascii="宋体" w:hAnsi="宋体" w:hint="eastAsia"/>
          <w:szCs w:val="21"/>
        </w:rPr>
        <w:t>方违反本合同第条</w:t>
      </w:r>
      <w:r>
        <w:rPr>
          <w:rFonts w:ascii="宋体" w:hAnsi="宋体" w:hint="eastAsia"/>
          <w:kern w:val="0"/>
          <w:szCs w:val="21"/>
        </w:rPr>
        <w:t xml:space="preserve">   </w:t>
      </w:r>
      <w:r>
        <w:rPr>
          <w:rFonts w:ascii="宋体" w:hAnsi="宋体" w:hint="eastAsia"/>
          <w:szCs w:val="21"/>
        </w:rPr>
        <w:t>约定，应当</w:t>
      </w:r>
      <w:r>
        <w:rPr>
          <w:rFonts w:ascii="宋体" w:hAnsi="宋体" w:hint="eastAsia"/>
          <w:szCs w:val="21"/>
          <w:u w:val="single"/>
        </w:rPr>
        <w:t xml:space="preserve"> </w:t>
      </w:r>
      <w:r>
        <w:rPr>
          <w:rFonts w:ascii="宋体" w:hAnsi="宋体"/>
          <w:color w:val="0D0D0D"/>
          <w:szCs w:val="21"/>
          <w:u w:val="single"/>
        </w:rPr>
        <w:t>处相关费用的0.</w:t>
      </w:r>
      <w:r>
        <w:rPr>
          <w:rFonts w:ascii="宋体" w:hAnsi="宋体" w:hint="eastAsia"/>
          <w:color w:val="0D0D0D"/>
          <w:szCs w:val="21"/>
          <w:u w:val="single"/>
        </w:rPr>
        <w:t>1</w:t>
      </w:r>
      <w:r>
        <w:rPr>
          <w:rFonts w:ascii="宋体" w:hAnsi="宋体"/>
          <w:color w:val="0D0D0D"/>
          <w:szCs w:val="21"/>
          <w:u w:val="single"/>
        </w:rPr>
        <w:t>%罚金</w:t>
      </w:r>
      <w:r>
        <w:rPr>
          <w:rFonts w:ascii="宋体" w:hAnsi="宋体" w:hint="eastAsia"/>
          <w:color w:val="0D0D0D"/>
          <w:szCs w:val="21"/>
          <w:u w:val="single"/>
        </w:rPr>
        <w:t>/3日</w:t>
      </w:r>
      <w:r>
        <w:rPr>
          <w:rFonts w:ascii="宋体" w:hAnsi="宋体"/>
          <w:color w:val="0D0D0D"/>
          <w:szCs w:val="21"/>
          <w:u w:val="single"/>
        </w:rPr>
        <w:t>，最多不超过1%。</w:t>
      </w:r>
      <w:r>
        <w:rPr>
          <w:rFonts w:ascii="宋体" w:hAnsi="宋体" w:hint="eastAsia"/>
          <w:color w:val="0D0D0D"/>
          <w:szCs w:val="21"/>
          <w:u w:val="single"/>
        </w:rPr>
        <w:t>赔偿数额累计达到或超过1%，甲方有权要求解除合同。</w:t>
      </w:r>
    </w:p>
    <w:p>
      <w:pPr>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kern w:val="0"/>
          <w:szCs w:val="21"/>
        </w:rPr>
        <w:t xml:space="preserve">   </w:t>
      </w:r>
      <w:r>
        <w:rPr>
          <w:rFonts w:ascii="宋体" w:hAnsi="宋体" w:hint="eastAsia"/>
          <w:szCs w:val="21"/>
        </w:rPr>
        <w:t>方违反本合同第</w:t>
      </w:r>
      <w:r>
        <w:rPr>
          <w:rFonts w:ascii="宋体" w:hAnsi="宋体" w:hint="eastAsia"/>
          <w:kern w:val="0"/>
          <w:szCs w:val="21"/>
        </w:rPr>
        <w:t xml:space="preserve">   </w:t>
      </w:r>
      <w:r>
        <w:rPr>
          <w:rFonts w:ascii="宋体" w:hAnsi="宋体" w:hint="eastAsia"/>
          <w:szCs w:val="21"/>
        </w:rPr>
        <w:t>条约定，由于甲方合同需求变更导致合同交付延迟，</w:t>
      </w:r>
      <w:r>
        <w:rPr>
          <w:rFonts w:ascii="宋体" w:hAnsi="宋体"/>
          <w:color w:val="0D0D0D"/>
          <w:szCs w:val="21"/>
        </w:rPr>
        <w:t>支付合同总额</w:t>
      </w:r>
      <w:r>
        <w:rPr>
          <w:rFonts w:ascii="宋体" w:hAnsi="宋体" w:hint="eastAsia"/>
          <w:color w:val="0D0D0D"/>
          <w:szCs w:val="21"/>
        </w:rPr>
        <w:t>不超过</w:t>
      </w:r>
      <w:r>
        <w:rPr>
          <w:rFonts w:ascii="宋体" w:hAnsi="宋体"/>
          <w:color w:val="0D0D0D"/>
          <w:szCs w:val="21"/>
        </w:rPr>
        <w:t>1%</w:t>
      </w:r>
      <w:r>
        <w:rPr>
          <w:rFonts w:ascii="宋体" w:hAnsi="宋体" w:hint="eastAsia"/>
          <w:color w:val="0D0D0D"/>
          <w:szCs w:val="21"/>
        </w:rPr>
        <w:t>损失赔偿费，由双方协商解决</w:t>
      </w:r>
      <w:r>
        <w:rPr>
          <w:rFonts w:ascii="宋体" w:hAnsi="宋体"/>
          <w:color w:val="0D0D0D"/>
          <w:szCs w:val="21"/>
        </w:rPr>
        <w:t>。</w:t>
      </w:r>
    </w:p>
    <w:p>
      <w:pPr>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hint="eastAsia"/>
          <w:kern w:val="0"/>
          <w:szCs w:val="21"/>
        </w:rPr>
        <w:t xml:space="preserve">   </w:t>
      </w:r>
      <w:r>
        <w:rPr>
          <w:rFonts w:ascii="宋体" w:hAnsi="宋体" w:hint="eastAsia"/>
          <w:szCs w:val="21"/>
        </w:rPr>
        <w:t>方违反本合同第</w:t>
      </w:r>
      <w:r>
        <w:rPr>
          <w:rFonts w:ascii="宋体" w:hAnsi="宋体" w:hint="eastAsia"/>
          <w:kern w:val="0"/>
          <w:szCs w:val="21"/>
        </w:rPr>
        <w:t xml:space="preserve">   </w:t>
      </w:r>
      <w:r>
        <w:rPr>
          <w:rFonts w:ascii="宋体" w:hAnsi="宋体" w:hint="eastAsia"/>
          <w:szCs w:val="21"/>
        </w:rPr>
        <w:t>条约定，应当</w:t>
      </w:r>
      <w:r>
        <w:rPr>
          <w:rFonts w:ascii="宋体" w:hAnsi="宋体" w:hint="eastAsia"/>
          <w:szCs w:val="21"/>
          <w:u w:val="single"/>
        </w:rPr>
        <w:t xml:space="preserve">             </w:t>
      </w:r>
      <w:r>
        <w:rPr>
          <w:rFonts w:ascii="宋体" w:hAnsi="宋体" w:hint="eastAsia"/>
          <w:szCs w:val="21"/>
        </w:rPr>
        <w:t>（支付违约金或损失赔偿额的计算方法）。</w:t>
      </w:r>
    </w:p>
    <w:p>
      <w:pPr>
        <w:snapToGrid w:val="0"/>
        <w:spacing w:line="360" w:lineRule="auto"/>
        <w:ind w:firstLine="420" w:firstLineChars="200"/>
        <w:jc w:val="left"/>
        <w:rPr>
          <w:rFonts w:ascii="宋体" w:hAnsi="宋体"/>
          <w:szCs w:val="21"/>
        </w:rPr>
      </w:pPr>
      <w:r>
        <w:rPr>
          <w:rFonts w:ascii="宋体" w:hAnsi="宋体" w:hint="eastAsia"/>
          <w:szCs w:val="21"/>
        </w:rPr>
        <w:t>（5）</w:t>
      </w:r>
      <w:r>
        <w:rPr>
          <w:rFonts w:ascii="宋体" w:hAnsi="宋体" w:hint="eastAsia"/>
          <w:kern w:val="0"/>
          <w:szCs w:val="21"/>
        </w:rPr>
        <w:t xml:space="preserve">   </w:t>
      </w:r>
      <w:r>
        <w:rPr>
          <w:rFonts w:ascii="宋体" w:hAnsi="宋体" w:hint="eastAsia"/>
          <w:szCs w:val="21"/>
        </w:rPr>
        <w:t>方违反本合同第</w:t>
      </w:r>
      <w:r>
        <w:rPr>
          <w:rFonts w:ascii="宋体" w:hAnsi="宋体" w:hint="eastAsia"/>
          <w:kern w:val="0"/>
          <w:szCs w:val="21"/>
        </w:rPr>
        <w:t xml:space="preserve">   </w:t>
      </w:r>
      <w:r>
        <w:rPr>
          <w:rFonts w:ascii="宋体" w:hAnsi="宋体" w:hint="eastAsia"/>
          <w:szCs w:val="21"/>
        </w:rPr>
        <w:t>条约定，应当</w:t>
      </w:r>
      <w:r>
        <w:rPr>
          <w:rFonts w:ascii="宋体" w:hAnsi="宋体" w:hint="eastAsia"/>
          <w:szCs w:val="21"/>
          <w:u w:val="single"/>
        </w:rPr>
        <w:t xml:space="preserve">              </w:t>
      </w:r>
      <w:r>
        <w:rPr>
          <w:rFonts w:ascii="宋体" w:hAnsi="宋体" w:hint="eastAsia"/>
          <w:szCs w:val="21"/>
        </w:rPr>
        <w:t>（支付违约金或损失赔偿额的计算方法）。</w:t>
      </w:r>
    </w:p>
    <w:p>
      <w:pPr>
        <w:snapToGrid w:val="0"/>
        <w:spacing w:line="360" w:lineRule="auto"/>
        <w:ind w:firstLine="420" w:firstLineChars="200"/>
        <w:jc w:val="left"/>
        <w:rPr>
          <w:rFonts w:ascii="宋体" w:hAnsi="宋体"/>
          <w:b/>
          <w:szCs w:val="21"/>
        </w:rPr>
      </w:pPr>
      <w:r>
        <w:rPr>
          <w:rFonts w:ascii="宋体" w:hAnsi="宋体" w:hint="eastAsia"/>
          <w:szCs w:val="21"/>
        </w:rPr>
        <w:t>（6）</w:t>
      </w:r>
      <w:r>
        <w:rPr>
          <w:rFonts w:ascii="宋体" w:hAnsi="宋体" w:hint="eastAsia"/>
          <w:kern w:val="0"/>
          <w:szCs w:val="21"/>
        </w:rPr>
        <w:t xml:space="preserve">   </w:t>
      </w:r>
      <w:r>
        <w:rPr>
          <w:rFonts w:ascii="宋体" w:hAnsi="宋体" w:hint="eastAsia"/>
          <w:szCs w:val="21"/>
        </w:rPr>
        <w:t>方违反本合同第</w:t>
      </w:r>
      <w:r>
        <w:rPr>
          <w:rFonts w:ascii="宋体" w:hAnsi="宋体" w:hint="eastAsia"/>
          <w:kern w:val="0"/>
          <w:szCs w:val="21"/>
        </w:rPr>
        <w:t xml:space="preserve">   </w:t>
      </w:r>
      <w:r>
        <w:rPr>
          <w:rFonts w:ascii="宋体" w:hAnsi="宋体" w:hint="eastAsia"/>
          <w:szCs w:val="21"/>
        </w:rPr>
        <w:t>条约定，应当</w:t>
      </w:r>
      <w:r>
        <w:rPr>
          <w:rFonts w:ascii="宋体" w:hAnsi="宋体" w:hint="eastAsia"/>
          <w:szCs w:val="21"/>
          <w:u w:val="single"/>
        </w:rPr>
        <w:t xml:space="preserve">                                                </w:t>
      </w:r>
      <w:r>
        <w:rPr>
          <w:rFonts w:ascii="宋体" w:hAnsi="宋体" w:hint="eastAsia"/>
          <w:color w:val="000000"/>
          <w:szCs w:val="21"/>
          <w:u w:val="single"/>
        </w:rPr>
        <w:t xml:space="preserve">    </w:t>
      </w:r>
      <w:r>
        <w:rPr>
          <w:rFonts w:ascii="宋体" w:hAnsi="宋体" w:hint="eastAsia"/>
          <w:szCs w:val="21"/>
          <w:u w:val="single"/>
        </w:rPr>
        <w:t xml:space="preserve">   </w:t>
      </w:r>
      <w:r>
        <w:rPr>
          <w:rFonts w:ascii="宋体" w:hAnsi="宋体" w:hint="eastAsia"/>
          <w:szCs w:val="21"/>
        </w:rPr>
        <w:t>（支付违约金或损失赔偿额的计算方法）。</w:t>
      </w:r>
    </w:p>
    <w:p>
      <w:pPr>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、在甲方对乙方违约而采取的任何补救措施不受影响的情况下，甲方可向乙方发出书面违约通知书，提出终止部分或全部合同：</w:t>
      </w:r>
    </w:p>
    <w:p>
      <w:pPr>
        <w:snapToGrid w:val="0"/>
        <w:spacing w:line="360" w:lineRule="auto"/>
        <w:ind w:firstLine="420" w:firstLineChars="200"/>
        <w:rPr>
          <w:rFonts w:ascii="宋体" w:hAnsi="宋体"/>
          <w:szCs w:val="21"/>
        </w:rPr>
      </w:pPr>
      <w:r>
        <w:rPr>
          <w:rFonts w:ascii="宋体" w:hAnsi="宋体"/>
          <w:szCs w:val="21"/>
        </w:rPr>
        <w:t xml:space="preserve">(l) </w:t>
      </w:r>
      <w:r>
        <w:rPr>
          <w:rFonts w:ascii="宋体" w:hAnsi="宋体" w:hint="eastAsia"/>
          <w:szCs w:val="21"/>
        </w:rPr>
        <w:t>如果乙方未能在合同规定的限期或甲方根据合同条款规定同意延长的限期内提供部分或全部货物和服务；</w:t>
      </w:r>
    </w:p>
    <w:p>
      <w:pPr>
        <w:snapToGrid w:val="0"/>
        <w:spacing w:line="360" w:lineRule="auto"/>
        <w:ind w:left="1260" w:hanging="1260"/>
        <w:rPr>
          <w:rFonts w:ascii="宋体" w:hAnsi="宋体"/>
          <w:szCs w:val="21"/>
        </w:rPr>
      </w:pPr>
      <w:r>
        <w:rPr>
          <w:rFonts w:ascii="宋体" w:hAnsi="宋体"/>
          <w:szCs w:val="21"/>
        </w:rPr>
        <w:t xml:space="preserve">    (2) </w:t>
      </w:r>
      <w:r>
        <w:rPr>
          <w:rFonts w:ascii="宋体" w:hAnsi="宋体" w:hint="eastAsia"/>
          <w:szCs w:val="21"/>
        </w:rPr>
        <w:t>如果乙方未能履行合同规定的其它任何义务。</w:t>
      </w:r>
    </w:p>
    <w:p>
      <w:pPr>
        <w:snapToGrid w:val="0"/>
        <w:spacing w:line="360" w:lineRule="auto"/>
        <w:ind w:firstLine="420" w:firstLineChars="200"/>
        <w:rPr>
          <w:rFonts w:ascii="宋体" w:hAnsi="宋体"/>
          <w:szCs w:val="21"/>
        </w:rPr>
      </w:pPr>
      <w:r>
        <w:rPr>
          <w:rFonts w:ascii="宋体" w:hAnsi="宋体"/>
          <w:szCs w:val="21"/>
        </w:rPr>
        <w:t xml:space="preserve">(3) </w:t>
      </w:r>
      <w:r>
        <w:rPr>
          <w:rFonts w:ascii="宋体" w:hAnsi="宋体" w:hint="eastAsia"/>
          <w:szCs w:val="21"/>
        </w:rPr>
        <w:t>如果甲方认为乙方在本合同的竞争和实施过程中有腐败和欺诈行为。为此目的，定义下述条件：</w:t>
      </w:r>
    </w:p>
    <w:p>
      <w:pPr>
        <w:snapToGrid w:val="0"/>
        <w:spacing w:line="360" w:lineRule="auto"/>
        <w:ind w:firstLine="420" w:firstLineChars="200"/>
        <w:rPr>
          <w:rFonts w:ascii="宋体" w:hAnsi="宋体"/>
          <w:szCs w:val="21"/>
        </w:rPr>
      </w:pPr>
      <w:r>
        <w:rPr>
          <w:rFonts w:ascii="宋体" w:hAnsi="宋体"/>
          <w:szCs w:val="21"/>
        </w:rPr>
        <w:t>(i)</w:t>
      </w:r>
      <w:r>
        <w:rPr>
          <w:rFonts w:ascii="宋体" w:hAnsi="宋体" w:hint="eastAsia"/>
          <w:szCs w:val="21"/>
        </w:rPr>
        <w:t>“腐败行为”是指提供、给予、接受或索取任何有价值的物品来影响公共官员在采购过程或合同实施过程中的行为；</w:t>
      </w:r>
      <w:r>
        <w:rPr>
          <w:rFonts w:ascii="宋体" w:hAnsi="宋体"/>
          <w:szCs w:val="21"/>
        </w:rPr>
        <w:t xml:space="preserve"> </w:t>
      </w:r>
    </w:p>
    <w:p>
      <w:pPr>
        <w:snapToGrid w:val="0"/>
        <w:spacing w:line="360" w:lineRule="auto"/>
        <w:ind w:firstLine="420" w:firstLineChars="200"/>
        <w:rPr>
          <w:rFonts w:ascii="宋体" w:hAnsi="宋体"/>
          <w:szCs w:val="21"/>
        </w:rPr>
      </w:pPr>
      <w:r>
        <w:rPr>
          <w:rFonts w:ascii="宋体" w:hAnsi="宋体"/>
          <w:szCs w:val="21"/>
        </w:rPr>
        <w:t>(ii)</w:t>
      </w:r>
      <w:r>
        <w:rPr>
          <w:rFonts w:ascii="宋体" w:hAnsi="宋体" w:hint="eastAsia"/>
          <w:szCs w:val="21"/>
        </w:rPr>
        <w:t>“欺诈行为”是指为了影响采购过程或合同实施过程而谎报事实，损害甲方的利益。</w:t>
      </w:r>
    </w:p>
    <w:p>
      <w:pPr>
        <w:tabs>
          <w:tab w:val="left" w:pos="1573"/>
        </w:tabs>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、如果甲方根据上述规定，终止了全部或部分合同，甲方可以依其认为适当的条件和方法购买与未交货物</w:t>
      </w:r>
      <w:r>
        <w:rPr>
          <w:rFonts w:ascii="宋体" w:hAnsi="宋体"/>
          <w:szCs w:val="21"/>
        </w:rPr>
        <w:t>/</w:t>
      </w:r>
      <w:r>
        <w:rPr>
          <w:rFonts w:ascii="宋体" w:hAnsi="宋体" w:hint="eastAsia"/>
          <w:szCs w:val="21"/>
        </w:rPr>
        <w:t>服务或类似的货物</w:t>
      </w:r>
      <w:r>
        <w:rPr>
          <w:rFonts w:ascii="宋体" w:hAnsi="宋体"/>
          <w:szCs w:val="21"/>
        </w:rPr>
        <w:t>/</w:t>
      </w:r>
      <w:r>
        <w:rPr>
          <w:rFonts w:ascii="宋体" w:hAnsi="宋体" w:hint="eastAsia"/>
          <w:szCs w:val="21"/>
        </w:rPr>
        <w:t>服务，乙方应对购买类似货物</w:t>
      </w:r>
      <w:r>
        <w:rPr>
          <w:rFonts w:ascii="宋体" w:hAnsi="宋体"/>
          <w:szCs w:val="21"/>
        </w:rPr>
        <w:t>/</w:t>
      </w:r>
      <w:r>
        <w:rPr>
          <w:rFonts w:ascii="宋体" w:hAnsi="宋体" w:hint="eastAsia"/>
          <w:szCs w:val="21"/>
        </w:rPr>
        <w:t>服务所超出的那部分费用负责。但是，乙方应继续执行合同中未终止的部分。</w:t>
      </w:r>
    </w:p>
    <w:p>
      <w:pPr>
        <w:snapToGrid w:val="0"/>
        <w:spacing w:line="360" w:lineRule="auto"/>
        <w:ind w:firstLine="420" w:firstLineChars="200"/>
        <w:rPr>
          <w:rFonts w:ascii="宋体" w:hAnsi="宋体"/>
          <w:szCs w:val="21"/>
        </w:rPr>
      </w:pPr>
    </w:p>
    <w:p>
      <w:pPr>
        <w:adjustRightInd w:val="0"/>
        <w:spacing w:line="360" w:lineRule="auto"/>
        <w:ind w:firstLine="420" w:firstLineChars="200"/>
        <w:outlineLvl w:val="1"/>
        <w:rPr>
          <w:rFonts w:ascii="宋体" w:hAnsi="宋体"/>
          <w:b/>
          <w:szCs w:val="21"/>
        </w:rPr>
      </w:pPr>
      <w:r>
        <w:rPr>
          <w:rFonts w:ascii="宋体" w:hAnsi="宋体" w:hint="eastAsia"/>
          <w:b/>
          <w:szCs w:val="21"/>
        </w:rPr>
        <w:t>二十一、联系方式</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甲方：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地址：              </w:t>
      </w:r>
      <w:r>
        <w:rPr>
          <w:rFonts w:ascii="宋体" w:hAnsi="宋体" w:hint="eastAsia"/>
          <w:szCs w:val="21"/>
        </w:rPr>
        <w:tab/>
      </w:r>
      <w:r>
        <w:rPr>
          <w:rFonts w:ascii="宋体" w:hAnsi="宋体" w:hint="eastAsia"/>
          <w:szCs w:val="21"/>
        </w:rPr>
        <w:t>邮编：</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电话：              </w:t>
      </w:r>
      <w:r>
        <w:rPr>
          <w:rFonts w:ascii="宋体" w:hAnsi="宋体" w:hint="eastAsia"/>
          <w:szCs w:val="21"/>
        </w:rPr>
        <w:tab/>
      </w:r>
      <w:r>
        <w:rPr>
          <w:rFonts w:ascii="宋体" w:hAnsi="宋体" w:hint="eastAsia"/>
          <w:szCs w:val="21"/>
        </w:rPr>
        <w:t>传真：              电子</w:t>
      </w:r>
      <w:r>
        <w:rPr>
          <w:rFonts w:ascii="宋体" w:hAnsi="宋体"/>
          <w:szCs w:val="21"/>
        </w:rPr>
        <w:t>邮箱：</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开户银行及账号：</w:t>
      </w:r>
    </w:p>
    <w:p>
      <w:pPr>
        <w:tabs>
          <w:tab w:val="left" w:pos="1573"/>
        </w:tabs>
        <w:adjustRightInd w:val="0"/>
        <w:snapToGrid w:val="0"/>
        <w:spacing w:line="360" w:lineRule="auto"/>
        <w:jc w:val="left"/>
        <w:rPr>
          <w:rFonts w:ascii="宋体" w:hAnsi="宋体"/>
          <w:szCs w:val="21"/>
        </w:rPr>
      </w:pP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乙方：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地址：              </w:t>
      </w:r>
      <w:r>
        <w:rPr>
          <w:rFonts w:ascii="宋体" w:hAnsi="宋体" w:hint="eastAsia"/>
          <w:szCs w:val="21"/>
        </w:rPr>
        <w:tab/>
      </w:r>
      <w:r>
        <w:rPr>
          <w:rFonts w:ascii="宋体" w:hAnsi="宋体" w:hint="eastAsia"/>
          <w:szCs w:val="21"/>
        </w:rPr>
        <w:t>邮编：</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电话：              </w:t>
      </w:r>
      <w:r>
        <w:rPr>
          <w:rFonts w:ascii="宋体" w:hAnsi="宋体" w:hint="eastAsia"/>
          <w:szCs w:val="21"/>
        </w:rPr>
        <w:tab/>
      </w:r>
      <w:r>
        <w:rPr>
          <w:rFonts w:ascii="宋体" w:hAnsi="宋体" w:hint="eastAsia"/>
          <w:szCs w:val="21"/>
        </w:rPr>
        <w:t>传真：              电子</w:t>
      </w:r>
      <w:r>
        <w:rPr>
          <w:rFonts w:ascii="宋体" w:hAnsi="宋体"/>
          <w:szCs w:val="21"/>
        </w:rPr>
        <w:t>邮箱：</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开户银行及账号：</w:t>
      </w:r>
    </w:p>
    <w:p>
      <w:pPr>
        <w:tabs>
          <w:tab w:val="left" w:pos="540"/>
        </w:tabs>
        <w:snapToGrid w:val="0"/>
        <w:spacing w:line="360" w:lineRule="auto"/>
        <w:ind w:firstLine="412" w:firstLineChars="196"/>
        <w:rPr>
          <w:rFonts w:ascii="宋体" w:hAnsi="宋体"/>
          <w:szCs w:val="21"/>
        </w:rPr>
      </w:pPr>
    </w:p>
    <w:p>
      <w:pPr>
        <w:tabs>
          <w:tab w:val="left" w:pos="540"/>
        </w:tabs>
        <w:snapToGrid w:val="0"/>
        <w:spacing w:line="360" w:lineRule="auto"/>
        <w:ind w:firstLine="412" w:firstLineChars="196"/>
        <w:rPr>
          <w:rFonts w:ascii="宋体" w:hAnsi="宋体"/>
          <w:szCs w:val="21"/>
        </w:rPr>
      </w:pPr>
      <w:r>
        <w:rPr>
          <w:rFonts w:ascii="宋体" w:hAnsi="宋体" w:hint="eastAsia"/>
          <w:szCs w:val="21"/>
        </w:rPr>
        <w:t xml:space="preserve">1、双方确定，在本合同有效期内，甲方指定  </w:t>
      </w:r>
      <w:r>
        <w:rPr>
          <w:rFonts w:ascii="宋体" w:hAnsi="宋体" w:hint="eastAsia"/>
          <w:kern w:val="0"/>
          <w:szCs w:val="21"/>
        </w:rPr>
        <w:t xml:space="preserve">   </w:t>
      </w:r>
      <w:r>
        <w:rPr>
          <w:rFonts w:ascii="宋体" w:hAnsi="宋体" w:hint="eastAsia"/>
          <w:szCs w:val="21"/>
        </w:rPr>
        <w:t>为甲方项目联系人，乙方指定</w:t>
      </w:r>
      <w:r>
        <w:rPr>
          <w:rFonts w:ascii="宋体" w:hAnsi="宋体" w:hint="eastAsia"/>
          <w:kern w:val="0"/>
          <w:szCs w:val="21"/>
        </w:rPr>
        <w:t xml:space="preserve">   </w:t>
      </w:r>
      <w:r>
        <w:rPr>
          <w:rFonts w:ascii="宋体" w:hAnsi="宋体" w:hint="eastAsia"/>
          <w:szCs w:val="21"/>
        </w:rPr>
        <w:t>为乙方项目联系人。项目联系人承担以下责任：</w:t>
      </w:r>
    </w:p>
    <w:p>
      <w:pPr>
        <w:snapToGrid w:val="0"/>
        <w:spacing w:line="360" w:lineRule="auto"/>
        <w:rPr>
          <w:rFonts w:ascii="宋体" w:hAnsi="宋体"/>
          <w:szCs w:val="21"/>
          <w:u w:val="single"/>
        </w:rPr>
      </w:pPr>
      <w:r>
        <w:rPr>
          <w:rFonts w:ascii="宋体" w:hAnsi="宋体" w:hint="eastAsia"/>
          <w:szCs w:val="21"/>
        </w:rPr>
        <w:t xml:space="preserve">     （1）</w:t>
      </w:r>
      <w:r>
        <w:rPr>
          <w:rFonts w:ascii="宋体" w:hAnsi="宋体" w:hint="eastAsia"/>
          <w:szCs w:val="21"/>
          <w:u w:val="single"/>
        </w:rPr>
        <w:t xml:space="preserve">  监督项目整体进度情况                                </w:t>
      </w:r>
    </w:p>
    <w:p>
      <w:pPr>
        <w:snapToGrid w:val="0"/>
        <w:spacing w:line="360" w:lineRule="auto"/>
        <w:rPr>
          <w:rFonts w:ascii="宋体" w:hAnsi="宋体"/>
          <w:szCs w:val="21"/>
          <w:u w:val="single"/>
        </w:rPr>
      </w:pPr>
      <w:r>
        <w:rPr>
          <w:rFonts w:ascii="宋体" w:hAnsi="宋体" w:hint="eastAsia"/>
          <w:szCs w:val="21"/>
        </w:rPr>
        <w:t xml:space="preserve">     （2）</w:t>
      </w:r>
      <w:r>
        <w:rPr>
          <w:rFonts w:ascii="宋体" w:hAnsi="宋体" w:hint="eastAsia"/>
          <w:szCs w:val="21"/>
          <w:u w:val="single"/>
        </w:rPr>
        <w:t xml:space="preserve">  协调各方人员的配合协作                              </w:t>
      </w:r>
    </w:p>
    <w:p>
      <w:pPr>
        <w:snapToGrid w:val="0"/>
        <w:spacing w:line="360" w:lineRule="auto"/>
        <w:rPr>
          <w:rFonts w:ascii="宋体" w:hAnsi="宋体"/>
          <w:szCs w:val="21"/>
          <w:u w:val="single"/>
        </w:rPr>
      </w:pPr>
      <w:r>
        <w:rPr>
          <w:rFonts w:ascii="宋体" w:hAnsi="宋体" w:hint="eastAsia"/>
          <w:szCs w:val="21"/>
        </w:rPr>
        <w:t xml:space="preserve">     （3）</w:t>
      </w:r>
      <w:r>
        <w:rPr>
          <w:rFonts w:ascii="宋体" w:hAnsi="宋体" w:hint="eastAsia"/>
          <w:szCs w:val="21"/>
          <w:u w:val="single"/>
        </w:rPr>
        <w:t xml:space="preserve">  负责技术项目交付实施                                </w:t>
      </w:r>
    </w:p>
    <w:p>
      <w:pPr>
        <w:snapToGrid w:val="0"/>
        <w:spacing w:line="360" w:lineRule="auto"/>
        <w:rPr>
          <w:rFonts w:ascii="宋体" w:hAnsi="宋体"/>
          <w:szCs w:val="21"/>
        </w:rPr>
      </w:pPr>
      <w:r>
        <w:rPr>
          <w:rFonts w:ascii="宋体" w:hAnsi="宋体" w:hint="eastAsia"/>
          <w:szCs w:val="21"/>
        </w:rPr>
        <w:t xml:space="preserve">    一方变更项目联系人的，应当及时以书面形式通知另一方。未及时通知并影响本合同履行或造成损失的，应承担相应的责任。</w:t>
      </w:r>
    </w:p>
    <w:p>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乙方在履行合同过程中，不得调整项目经理和软件开发人员。如出现相关人员离职、调动、生病等特殊情况，乙方应书面通知甲方，并与甲方协商一致后重新委派项目经理和软件开发人员。重新委派的人员能力、资质、软件开发经历等应与原人员相当，并向甲方提供相应资质证书。</w:t>
      </w:r>
    </w:p>
    <w:p>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、乙方在履行合同过程中，如甲方认为需要调整项目经理和软件开发人员的，应与乙方协商一致。</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、合同双方发出的与本合同有关的通知或回复均应发至上述通讯地址，付款或收款应使用上述账号，一方变更通讯地址或账号，应自变更之日起三个工作日内，将变更后的地址或</w:t>
      </w:r>
      <w:r>
        <w:rPr>
          <w:rFonts w:ascii="宋体" w:hAnsi="宋体"/>
          <w:szCs w:val="21"/>
        </w:rPr>
        <w:t>账号书面</w:t>
      </w:r>
      <w:r>
        <w:rPr>
          <w:rFonts w:ascii="宋体" w:hAnsi="宋体" w:hint="eastAsia"/>
          <w:szCs w:val="21"/>
        </w:rPr>
        <w:t>通知对方（书面通知</w:t>
      </w:r>
      <w:r>
        <w:rPr>
          <w:rFonts w:ascii="宋体" w:hAnsi="宋体"/>
          <w:szCs w:val="21"/>
        </w:rPr>
        <w:t>应说明变更理由，并</w:t>
      </w:r>
      <w:r>
        <w:rPr>
          <w:rFonts w:ascii="宋体" w:hAnsi="宋体" w:hint="eastAsia"/>
          <w:szCs w:val="21"/>
        </w:rPr>
        <w:t>有</w:t>
      </w:r>
      <w:r>
        <w:rPr>
          <w:rFonts w:ascii="宋体" w:hAnsi="宋体"/>
          <w:szCs w:val="21"/>
        </w:rPr>
        <w:t>法定代表人签字加盖单位公章和财务章）</w:t>
      </w:r>
      <w:r>
        <w:rPr>
          <w:rFonts w:ascii="宋体" w:hAnsi="宋体" w:hint="eastAsia"/>
          <w:szCs w:val="21"/>
        </w:rPr>
        <w:t>。变更方不履行通知义务的，应对此造成的一切后果承担法律责任。</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、上述发出通知、回复的费用由发出一方承担。</w:t>
      </w:r>
    </w:p>
    <w:p>
      <w:pPr>
        <w:pStyle w:val="NormalIndent"/>
        <w:adjustRightInd w:val="0"/>
        <w:snapToGrid w:val="0"/>
        <w:spacing w:line="360" w:lineRule="auto"/>
        <w:outlineLvl w:val="1"/>
        <w:rPr>
          <w:rFonts w:ascii="宋体" w:hAnsi="宋体"/>
          <w:b/>
          <w:szCs w:val="21"/>
        </w:rPr>
      </w:pPr>
      <w:r>
        <w:rPr>
          <w:rFonts w:ascii="宋体" w:hAnsi="宋体" w:hint="eastAsia"/>
          <w:b/>
          <w:szCs w:val="21"/>
        </w:rPr>
        <w:t>二十二、保密条款</w:t>
      </w:r>
    </w:p>
    <w:p>
      <w:pPr>
        <w:adjustRightInd w:val="0"/>
        <w:snapToGrid w:val="0"/>
        <w:spacing w:line="360" w:lineRule="auto"/>
        <w:ind w:firstLine="420" w:firstLineChars="200"/>
        <w:rPr>
          <w:rFonts w:ascii="宋体" w:hAnsi="宋体"/>
          <w:szCs w:val="21"/>
        </w:rPr>
      </w:pPr>
      <w:r>
        <w:rPr>
          <w:rFonts w:ascii="宋体" w:hAnsi="宋体" w:hint="eastAsia"/>
          <w:szCs w:val="21"/>
        </w:rPr>
        <w:t>1、任何一方对其获知的本合同及附件中其他各方的商业秘密和国家秘密负有保密义务。乙方必须对工程技术文件以及由甲方提供的所有内部资料、技术文档和信息予以保密。乙方必须遵守与甲方签订的保密协议，未经甲方书面许可，乙方不得以任何形式向第三方透露本工程标书以及本项目的任何内容。</w:t>
      </w:r>
    </w:p>
    <w:p>
      <w:pPr>
        <w:adjustRightInd w:val="0"/>
        <w:snapToGrid w:val="0"/>
        <w:spacing w:line="360" w:lineRule="auto"/>
        <w:ind w:firstLine="420" w:firstLineChars="200"/>
        <w:rPr>
          <w:rFonts w:ascii="宋体" w:hAnsi="宋体"/>
          <w:szCs w:val="21"/>
        </w:rPr>
      </w:pPr>
      <w:r>
        <w:rPr>
          <w:rFonts w:ascii="宋体" w:hAnsi="宋体"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hAnsi="宋体"/>
          <w:szCs w:val="21"/>
        </w:rPr>
      </w:pPr>
      <w:r>
        <w:rPr>
          <w:rFonts w:ascii="宋体" w:hAnsi="宋体"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firstLine="420" w:firstLineChars="200"/>
        <w:rPr>
          <w:rFonts w:ascii="宋体" w:hAnsi="宋体"/>
          <w:szCs w:val="21"/>
        </w:rPr>
      </w:pPr>
      <w:r>
        <w:rPr>
          <w:rFonts w:ascii="宋体" w:hAnsi="宋体"/>
          <w:szCs w:val="21"/>
        </w:rPr>
        <w:t>4、乙方承诺在项目执行过程中严格遵守《中华人民共和国网络安全法》和《中华人民共和国数据安全法》，确保项目涉及的气象数据的安全；乙方承诺在甲方指定地点驻场期间按照《国家气象信息中心外协单位驻场管理办法（试行）》的要求开展相关工作，签订相关安全协议书。项目所涉气象数据（或气象资料）仅</w:t>
      </w:r>
      <w:r>
        <w:rPr>
          <w:rFonts w:ascii="宋体" w:hAnsi="宋体" w:hint="eastAsia"/>
          <w:szCs w:val="21"/>
        </w:rPr>
        <w:t>供项目建设使用，乙方在项目执行过程中如发生气象数据丢失、私自转让或交易等行为，甲方将根据合同和相关法规向乙方要求赔偿并追究法律责任。</w:t>
      </w:r>
    </w:p>
    <w:p>
      <w:pPr>
        <w:tabs>
          <w:tab w:val="left" w:pos="1573"/>
        </w:tabs>
        <w:adjustRightInd w:val="0"/>
        <w:snapToGrid w:val="0"/>
        <w:spacing w:line="360" w:lineRule="auto"/>
        <w:ind w:firstLine="420" w:firstLineChars="200"/>
        <w:outlineLvl w:val="1"/>
        <w:rPr>
          <w:rFonts w:ascii="宋体" w:hAnsi="宋体"/>
          <w:b/>
          <w:szCs w:val="21"/>
        </w:rPr>
      </w:pPr>
      <w:r>
        <w:rPr>
          <w:rFonts w:ascii="宋体" w:hAnsi="宋体" w:hint="eastAsia"/>
          <w:b/>
          <w:szCs w:val="21"/>
        </w:rPr>
        <w:t>二十三、合同的解释和法律适用</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3、对本合同的任何解释均应以书面做出。</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pPr>
        <w:tabs>
          <w:tab w:val="left" w:pos="1573"/>
        </w:tabs>
        <w:adjustRightInd w:val="0"/>
        <w:snapToGrid w:val="0"/>
        <w:spacing w:line="360" w:lineRule="auto"/>
        <w:ind w:firstLine="420" w:firstLineChars="200"/>
        <w:outlineLvl w:val="1"/>
        <w:rPr>
          <w:rFonts w:ascii="宋体" w:hAnsi="宋体"/>
          <w:b/>
          <w:szCs w:val="21"/>
        </w:rPr>
      </w:pPr>
      <w:bookmarkStart w:id="525" w:name="_Toc86202608"/>
      <w:r>
        <w:rPr>
          <w:rFonts w:ascii="宋体" w:hAnsi="宋体" w:hint="eastAsia"/>
          <w:b/>
          <w:szCs w:val="21"/>
        </w:rPr>
        <w:t>二十四、权利的保留</w:t>
      </w:r>
      <w:bookmarkEnd w:id="525"/>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pacing w:line="360" w:lineRule="auto"/>
        <w:ind w:firstLine="420" w:firstLineChars="200"/>
        <w:outlineLvl w:val="1"/>
        <w:rPr>
          <w:rFonts w:ascii="宋体" w:hAnsi="宋体"/>
          <w:b/>
          <w:szCs w:val="21"/>
        </w:rPr>
      </w:pPr>
      <w:r>
        <w:rPr>
          <w:rFonts w:ascii="宋体" w:hAnsi="宋体" w:hint="eastAsia"/>
          <w:b/>
          <w:szCs w:val="21"/>
        </w:rPr>
        <w:t>二十五</w:t>
      </w:r>
      <w:r>
        <w:rPr>
          <w:rFonts w:ascii="宋体" w:hAnsi="宋体"/>
          <w:b/>
          <w:szCs w:val="21"/>
        </w:rPr>
        <w:t>、</w:t>
      </w:r>
      <w:r>
        <w:rPr>
          <w:rFonts w:ascii="宋体" w:hAnsi="宋体" w:hint="eastAsia"/>
          <w:b/>
          <w:szCs w:val="21"/>
        </w:rPr>
        <w:t>不可抗力</w:t>
      </w:r>
    </w:p>
    <w:p>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签约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w:t>
      </w:r>
      <w:r>
        <w:rPr>
          <w:rFonts w:ascii="宋体" w:hAnsi="宋体"/>
          <w:szCs w:val="21"/>
        </w:rPr>
        <w:t xml:space="preserve"> </w:t>
      </w:r>
      <w:r>
        <w:rPr>
          <w:rFonts w:ascii="宋体" w:hAnsi="宋体" w:hint="eastAsia"/>
          <w:szCs w:val="21"/>
        </w:rPr>
        <w:t>受阻一方应在不可抗力事件发生后尽快用电报、传真或电传通知对方，并于事件发生后</w:t>
      </w:r>
      <w:r>
        <w:rPr>
          <w:rFonts w:ascii="宋体" w:hAnsi="宋体"/>
          <w:szCs w:val="21"/>
        </w:rPr>
        <w:t>14</w:t>
      </w:r>
      <w:r>
        <w:rPr>
          <w:rFonts w:ascii="宋体" w:hAnsi="宋体" w:hint="eastAsia"/>
          <w:szCs w:val="21"/>
        </w:rPr>
        <w:t>天内将有关当局出具的证明文件用特快专递或挂号信寄给对方审阅确认。一旦不可抗力事件的影响持续</w:t>
      </w:r>
      <w:r>
        <w:rPr>
          <w:rFonts w:ascii="宋体" w:hAnsi="宋体"/>
          <w:szCs w:val="21"/>
        </w:rPr>
        <w:t>120</w:t>
      </w:r>
      <w:r>
        <w:rPr>
          <w:rFonts w:ascii="宋体" w:hAnsi="宋体" w:hint="eastAsia"/>
          <w:szCs w:val="21"/>
        </w:rPr>
        <w:t>天以上，双方应通过友好协商在合理的时间内达成进一步履行合同的协议，甲方也可考虑解除合同。</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adjustRightInd w:val="0"/>
        <w:spacing w:line="360" w:lineRule="auto"/>
        <w:ind w:firstLine="420" w:firstLineChars="200"/>
        <w:outlineLvl w:val="1"/>
        <w:rPr>
          <w:rFonts w:ascii="宋体" w:hAnsi="宋体"/>
          <w:b/>
          <w:szCs w:val="21"/>
        </w:rPr>
      </w:pPr>
      <w:r>
        <w:rPr>
          <w:rFonts w:ascii="宋体" w:hAnsi="宋体" w:hint="eastAsia"/>
          <w:b/>
          <w:szCs w:val="21"/>
        </w:rPr>
        <w:t>二十六、</w:t>
      </w:r>
      <w:bookmarkStart w:id="526" w:name="_Toc86202609"/>
      <w:r>
        <w:rPr>
          <w:rFonts w:ascii="宋体" w:hAnsi="宋体" w:hint="eastAsia"/>
          <w:b/>
          <w:szCs w:val="21"/>
        </w:rPr>
        <w:t>争议的解决</w:t>
      </w:r>
      <w:bookmarkEnd w:id="526"/>
    </w:p>
    <w:p>
      <w:pPr>
        <w:snapToGrid w:val="0"/>
        <w:spacing w:line="360" w:lineRule="auto"/>
        <w:ind w:firstLine="420" w:firstLineChars="200"/>
        <w:rPr>
          <w:rFonts w:ascii="宋体" w:hAnsi="宋体"/>
          <w:szCs w:val="21"/>
        </w:rPr>
      </w:pPr>
      <w:r>
        <w:rPr>
          <w:rFonts w:ascii="宋体" w:hAnsi="宋体" w:hint="eastAsia"/>
          <w:szCs w:val="21"/>
        </w:rPr>
        <w:t>1、合同双方可通过友好协商解决因解释﹑执行本合同所发生的和本合同有关的一切争议。如果经协商不能达成协议，则双方同意由</w:t>
      </w:r>
      <w:r>
        <w:rPr>
          <w:rFonts w:ascii="宋体" w:hAnsi="宋体" w:hint="eastAsia"/>
          <w:szCs w:val="21"/>
          <w:u w:val="single"/>
        </w:rPr>
        <w:t>北京仲裁委员会</w:t>
      </w:r>
      <w:r>
        <w:rPr>
          <w:rFonts w:ascii="宋体" w:hAnsi="宋体" w:hint="eastAsia"/>
          <w:szCs w:val="21"/>
        </w:rPr>
        <w:t>根据其现行有效的仲裁程序进行仲裁。仲裁裁决为最终裁决，对双方均具有约束力。仲裁费除仲裁机关另有裁决外的应由败诉方承担。</w:t>
      </w:r>
    </w:p>
    <w:p>
      <w:pPr>
        <w:snapToGrid w:val="0"/>
        <w:spacing w:line="360" w:lineRule="auto"/>
        <w:ind w:firstLine="420" w:firstLineChars="200"/>
        <w:rPr>
          <w:rFonts w:ascii="宋体" w:hAnsi="宋体"/>
          <w:szCs w:val="21"/>
        </w:rPr>
      </w:pPr>
      <w:r>
        <w:rPr>
          <w:rFonts w:ascii="宋体" w:hAnsi="宋体" w:hint="eastAsia"/>
          <w:szCs w:val="21"/>
        </w:rPr>
        <w:t>2、本</w:t>
      </w:r>
      <w:r>
        <w:rPr>
          <w:rFonts w:ascii="宋体" w:hAnsi="宋体"/>
          <w:szCs w:val="21"/>
        </w:rPr>
        <w:t>合同</w:t>
      </w:r>
      <w:r>
        <w:rPr>
          <w:rFonts w:ascii="宋体" w:hAnsi="宋体" w:hint="eastAsia"/>
          <w:szCs w:val="21"/>
        </w:rPr>
        <w:t>甲、乙双方一致认为，本</w:t>
      </w:r>
      <w:r>
        <w:rPr>
          <w:rFonts w:ascii="宋体" w:hAnsi="宋体"/>
          <w:szCs w:val="21"/>
        </w:rPr>
        <w:t>合同</w:t>
      </w:r>
      <w:r>
        <w:rPr>
          <w:rFonts w:ascii="宋体" w:hAnsi="宋体" w:hint="eastAsia"/>
          <w:szCs w:val="21"/>
        </w:rPr>
        <w:t>仅</w:t>
      </w:r>
      <w:r>
        <w:rPr>
          <w:rFonts w:ascii="宋体" w:hAnsi="宋体"/>
          <w:szCs w:val="21"/>
        </w:rPr>
        <w:t>属于</w:t>
      </w:r>
      <w:r>
        <w:rPr>
          <w:rFonts w:ascii="宋体" w:hAnsi="宋体" w:hint="eastAsia"/>
          <w:szCs w:val="21"/>
        </w:rPr>
        <w:t>甲、乙双方</w:t>
      </w:r>
      <w:r>
        <w:rPr>
          <w:rFonts w:ascii="宋体" w:hAnsi="宋体"/>
          <w:szCs w:val="21"/>
        </w:rPr>
        <w:t>之间的</w:t>
      </w:r>
      <w:r>
        <w:rPr>
          <w:rFonts w:ascii="宋体" w:hAnsi="宋体" w:hint="eastAsia"/>
          <w:szCs w:val="21"/>
        </w:rPr>
        <w:t>协议，任何</w:t>
      </w:r>
      <w:r>
        <w:rPr>
          <w:rFonts w:ascii="宋体" w:hAnsi="宋体"/>
          <w:szCs w:val="21"/>
        </w:rPr>
        <w:t>争议</w:t>
      </w:r>
      <w:r>
        <w:rPr>
          <w:rFonts w:ascii="宋体" w:hAnsi="宋体" w:hint="eastAsia"/>
          <w:szCs w:val="21"/>
        </w:rPr>
        <w:t>均只</w:t>
      </w:r>
      <w:r>
        <w:rPr>
          <w:rFonts w:ascii="宋体" w:hAnsi="宋体"/>
          <w:szCs w:val="21"/>
        </w:rPr>
        <w:t>应当</w:t>
      </w:r>
      <w:r>
        <w:rPr>
          <w:rFonts w:ascii="宋体" w:hAnsi="宋体" w:hint="eastAsia"/>
          <w:szCs w:val="21"/>
        </w:rPr>
        <w:t>按照本合同</w:t>
      </w:r>
      <w:r>
        <w:rPr>
          <w:rFonts w:ascii="宋体" w:hAnsi="宋体"/>
          <w:szCs w:val="21"/>
        </w:rPr>
        <w:t>的约定方式处理，</w:t>
      </w:r>
      <w:r>
        <w:rPr>
          <w:rFonts w:ascii="宋体" w:hAnsi="宋体" w:hint="eastAsia"/>
          <w:szCs w:val="21"/>
        </w:rPr>
        <w:t>任何情形下采购中心均</w:t>
      </w:r>
      <w:r>
        <w:rPr>
          <w:rFonts w:ascii="宋体" w:hAnsi="宋体"/>
          <w:szCs w:val="21"/>
        </w:rPr>
        <w:t>不应当成为该等争议的当事人，无论该等仲裁或诉讼均不得</w:t>
      </w:r>
      <w:r>
        <w:rPr>
          <w:rFonts w:ascii="宋体" w:hAnsi="宋体" w:hint="eastAsia"/>
          <w:szCs w:val="21"/>
        </w:rPr>
        <w:t>针</w:t>
      </w:r>
      <w:r>
        <w:rPr>
          <w:rFonts w:ascii="宋体" w:hAnsi="宋体"/>
          <w:szCs w:val="21"/>
        </w:rPr>
        <w:t>对</w:t>
      </w:r>
      <w:r>
        <w:rPr>
          <w:rFonts w:ascii="宋体" w:hAnsi="宋体" w:hint="eastAsia"/>
          <w:szCs w:val="21"/>
        </w:rPr>
        <w:t>采购中心</w:t>
      </w:r>
      <w:r>
        <w:rPr>
          <w:rFonts w:ascii="宋体" w:hAnsi="宋体"/>
          <w:szCs w:val="21"/>
        </w:rPr>
        <w:t>提起。</w:t>
      </w:r>
    </w:p>
    <w:p>
      <w:pPr>
        <w:snapToGrid w:val="0"/>
        <w:spacing w:line="360" w:lineRule="auto"/>
        <w:ind w:firstLine="420" w:firstLineChars="200"/>
        <w:rPr>
          <w:rFonts w:ascii="宋体" w:hAnsi="宋体"/>
          <w:szCs w:val="21"/>
        </w:rPr>
      </w:pPr>
      <w:r>
        <w:rPr>
          <w:rFonts w:ascii="宋体" w:hAnsi="宋体" w:hint="eastAsia"/>
          <w:szCs w:val="21"/>
        </w:rPr>
        <w:t>3、在争议解决期间，除了诉讼或仲裁进行过程中正在解决的那部分问题外，合同其余部分应继续履行。</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4、任何一方违约，守约方依据本合同第二十六条通过司法途径解决争端的，违约方应向守约方因此支付的仲裁费、鉴定费、评估费、保全费、公证费、复印费、差旅费、律师费等实现权利的所有费用。</w:t>
      </w:r>
    </w:p>
    <w:p>
      <w:pPr>
        <w:adjustRightInd w:val="0"/>
        <w:spacing w:line="360" w:lineRule="auto"/>
        <w:ind w:firstLine="420" w:firstLineChars="200"/>
        <w:outlineLvl w:val="1"/>
        <w:rPr>
          <w:rFonts w:ascii="宋体" w:hAnsi="宋体"/>
          <w:b/>
          <w:szCs w:val="21"/>
        </w:rPr>
      </w:pPr>
      <w:r>
        <w:rPr>
          <w:rFonts w:ascii="宋体" w:hAnsi="宋体" w:hint="eastAsia"/>
          <w:b/>
          <w:szCs w:val="21"/>
        </w:rPr>
        <w:t>二十七</w:t>
      </w:r>
      <w:r>
        <w:rPr>
          <w:rFonts w:ascii="宋体" w:hAnsi="宋体"/>
          <w:b/>
          <w:szCs w:val="21"/>
        </w:rPr>
        <w:t>、</w:t>
      </w:r>
      <w:r>
        <w:rPr>
          <w:rFonts w:ascii="宋体" w:hAnsi="宋体" w:hint="eastAsia"/>
          <w:b/>
          <w:szCs w:val="21"/>
        </w:rPr>
        <w:t>合同的</w:t>
      </w:r>
      <w:r>
        <w:rPr>
          <w:rFonts w:ascii="宋体" w:hAnsi="宋体"/>
          <w:b/>
          <w:szCs w:val="21"/>
        </w:rPr>
        <w:t>补充、</w:t>
      </w:r>
      <w:r>
        <w:rPr>
          <w:rFonts w:ascii="宋体" w:hAnsi="宋体" w:hint="eastAsia"/>
          <w:b/>
          <w:szCs w:val="21"/>
        </w:rPr>
        <w:t>修改和</w:t>
      </w:r>
      <w:r>
        <w:rPr>
          <w:rFonts w:ascii="宋体" w:hAnsi="宋体"/>
          <w:b/>
          <w:szCs w:val="21"/>
        </w:rPr>
        <w:t>变更</w:t>
      </w:r>
    </w:p>
    <w:p>
      <w:pPr>
        <w:snapToGrid w:val="0"/>
        <w:spacing w:line="360" w:lineRule="auto"/>
        <w:ind w:firstLine="514" w:firstLineChars="245"/>
        <w:rPr>
          <w:rFonts w:ascii="宋体" w:hAnsi="宋体"/>
          <w:szCs w:val="21"/>
        </w:rPr>
      </w:pPr>
      <w:r>
        <w:rPr>
          <w:rFonts w:ascii="宋体" w:hAnsi="宋体" w:hint="eastAsia"/>
          <w:szCs w:val="21"/>
        </w:rPr>
        <w:t>本合同的变更必须由双方协商一致，并以书面形式确定，并由乙方自签订补充合同之日起五日内报采购中心备案。但有下列情形之一的，一方可以向另一方提出变更合同权利与义务的请求，另一方应当在</w:t>
      </w:r>
      <w:r>
        <w:rPr>
          <w:rFonts w:ascii="宋体" w:hAnsi="宋体" w:hint="eastAsia"/>
          <w:kern w:val="0"/>
          <w:szCs w:val="21"/>
        </w:rPr>
        <w:t xml:space="preserve">   </w:t>
      </w:r>
      <w:r>
        <w:rPr>
          <w:rFonts w:ascii="宋体" w:hAnsi="宋体" w:hint="eastAsia"/>
          <w:szCs w:val="21"/>
        </w:rPr>
        <w:t>日内予以答复；逾期未予答复的，视为同意。</w:t>
      </w:r>
    </w:p>
    <w:p>
      <w:pPr>
        <w:snapToGrid w:val="0"/>
        <w:spacing w:line="360" w:lineRule="auto"/>
        <w:rPr>
          <w:rFonts w:ascii="宋体" w:hAnsi="宋体"/>
          <w:szCs w:val="21"/>
        </w:rPr>
      </w:pPr>
      <w:r>
        <w:rPr>
          <w:rFonts w:ascii="宋体" w:hAnsi="宋体" w:hint="eastAsia"/>
          <w:szCs w:val="21"/>
        </w:rPr>
        <w:t xml:space="preserve">     </w:t>
      </w:r>
      <w:r>
        <w:rPr>
          <w:rFonts w:ascii="宋体" w:hAnsi="宋体"/>
          <w:szCs w:val="21"/>
        </w:rPr>
        <w:t>(</w:t>
      </w:r>
      <w:r>
        <w:rPr>
          <w:rFonts w:ascii="宋体" w:hAnsi="宋体" w:hint="eastAsia"/>
          <w:szCs w:val="21"/>
        </w:rPr>
        <w:t>1)一方对原有技术需求及方案进行变动；</w:t>
      </w:r>
    </w:p>
    <w:p>
      <w:pPr>
        <w:snapToGrid w:val="0"/>
        <w:spacing w:line="360" w:lineRule="auto"/>
        <w:rPr>
          <w:rFonts w:ascii="宋体" w:hAnsi="宋体"/>
          <w:szCs w:val="21"/>
        </w:rPr>
      </w:pPr>
      <w:r>
        <w:rPr>
          <w:rFonts w:ascii="宋体" w:hAnsi="宋体" w:hint="eastAsia"/>
          <w:szCs w:val="21"/>
        </w:rPr>
        <w:t xml:space="preserve">     </w:t>
      </w:r>
      <w:r>
        <w:rPr>
          <w:rFonts w:ascii="宋体" w:hAnsi="宋体"/>
          <w:szCs w:val="21"/>
        </w:rPr>
        <w:t>(</w:t>
      </w:r>
      <w:r>
        <w:rPr>
          <w:rFonts w:ascii="宋体" w:hAnsi="宋体" w:hint="eastAsia"/>
          <w:szCs w:val="21"/>
        </w:rPr>
        <w:t>2)由于不可预见原因导致技术内容中部分内容无法实施或进程延迟；</w:t>
      </w:r>
    </w:p>
    <w:p>
      <w:pPr>
        <w:snapToGrid w:val="0"/>
        <w:spacing w:line="360" w:lineRule="auto"/>
        <w:rPr>
          <w:rFonts w:ascii="宋体" w:hAnsi="宋体"/>
          <w:szCs w:val="21"/>
        </w:rPr>
      </w:pPr>
      <w:r>
        <w:rPr>
          <w:rFonts w:ascii="宋体" w:hAnsi="宋体" w:hint="eastAsia"/>
          <w:szCs w:val="21"/>
        </w:rPr>
        <w:t xml:space="preserve">       </w:t>
      </w:r>
      <w:r>
        <w:rPr>
          <w:rFonts w:ascii="宋体" w:hAnsi="宋体"/>
          <w:szCs w:val="21"/>
        </w:rPr>
        <w:t>……</w:t>
      </w:r>
      <w:r>
        <w:rPr>
          <w:rFonts w:ascii="宋体" w:hAnsi="宋体" w:hint="eastAsia"/>
          <w:szCs w:val="21"/>
        </w:rPr>
        <w:t xml:space="preserve">         </w:t>
      </w:r>
      <w:r>
        <w:rPr>
          <w:rFonts w:ascii="宋体" w:hAnsi="宋体"/>
          <w:szCs w:val="21"/>
        </w:rPr>
        <w:t>……</w:t>
      </w:r>
      <w:r>
        <w:rPr>
          <w:rFonts w:ascii="宋体" w:hAnsi="宋体" w:hint="eastAsia"/>
          <w:szCs w:val="21"/>
        </w:rPr>
        <w:t xml:space="preserve">         </w:t>
      </w:r>
      <w:r>
        <w:rPr>
          <w:rFonts w:ascii="宋体" w:hAnsi="宋体"/>
          <w:szCs w:val="21"/>
        </w:rPr>
        <w:t>……</w:t>
      </w:r>
    </w:p>
    <w:p>
      <w:pPr>
        <w:adjustRightInd w:val="0"/>
        <w:spacing w:line="360" w:lineRule="auto"/>
        <w:ind w:firstLine="420" w:firstLineChars="200"/>
        <w:outlineLvl w:val="1"/>
        <w:rPr>
          <w:rFonts w:ascii="宋体" w:hAnsi="宋体"/>
          <w:b/>
          <w:szCs w:val="21"/>
        </w:rPr>
      </w:pPr>
      <w:r>
        <w:rPr>
          <w:rFonts w:ascii="宋体" w:hAnsi="宋体" w:hint="eastAsia"/>
          <w:b/>
          <w:szCs w:val="21"/>
        </w:rPr>
        <w:t>二十八、转让与</w:t>
      </w:r>
      <w:r>
        <w:rPr>
          <w:rFonts w:ascii="宋体" w:hAnsi="宋体"/>
          <w:b/>
          <w:szCs w:val="21"/>
        </w:rPr>
        <w:t>分包</w:t>
      </w:r>
    </w:p>
    <w:p>
      <w:pPr>
        <w:snapToGrid w:val="0"/>
        <w:spacing w:line="360" w:lineRule="auto"/>
        <w:ind w:firstLine="420" w:firstLineChars="200"/>
        <w:rPr>
          <w:rFonts w:ascii="宋体" w:hAnsi="宋体"/>
          <w:szCs w:val="21"/>
        </w:rPr>
      </w:pPr>
      <w:r>
        <w:rPr>
          <w:rFonts w:ascii="宋体" w:hAnsi="宋体" w:hint="eastAsia"/>
          <w:szCs w:val="21"/>
        </w:rPr>
        <w:t>1、本合同不允许转让，</w:t>
      </w:r>
      <w:r>
        <w:rPr>
          <w:rFonts w:ascii="宋体" w:hAnsi="宋体"/>
          <w:szCs w:val="21"/>
        </w:rPr>
        <w:t>不允许分包</w:t>
      </w:r>
      <w:r>
        <w:rPr>
          <w:rFonts w:ascii="宋体" w:hAnsi="宋体" w:hint="eastAsia"/>
          <w:szCs w:val="21"/>
        </w:rPr>
        <w:t>。</w:t>
      </w:r>
    </w:p>
    <w:p>
      <w:pPr>
        <w:snapToGrid w:val="0"/>
        <w:spacing w:line="360" w:lineRule="auto"/>
        <w:ind w:firstLine="420" w:firstLineChars="200"/>
        <w:rPr>
          <w:rFonts w:ascii="宋体" w:hAnsi="宋体"/>
          <w:szCs w:val="21"/>
        </w:rPr>
      </w:pPr>
      <w:r>
        <w:rPr>
          <w:rFonts w:ascii="宋体" w:hAnsi="宋体" w:hint="eastAsia"/>
          <w:szCs w:val="21"/>
        </w:rPr>
        <w:t>2、乙方不得在向甲方交付研究开发成果之前，自行将研究开发成果转让给第三人。</w:t>
      </w:r>
    </w:p>
    <w:p>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、乙方不得将本合同项目部分或全部研究开发工作转让第三人承担。</w:t>
      </w:r>
    </w:p>
    <w:p>
      <w:pPr>
        <w:pStyle w:val="20"/>
        <w:adjustRightInd w:val="0"/>
        <w:snapToGrid w:val="0"/>
        <w:spacing w:before="0" w:after="0"/>
        <w:ind w:left="0" w:firstLine="420" w:leftChars="0"/>
        <w:rPr>
          <w:rFonts w:ascii="宋体" w:hAnsi="宋体"/>
          <w:sz w:val="21"/>
          <w:szCs w:val="21"/>
        </w:rPr>
      </w:pPr>
      <w:r>
        <w:rPr>
          <w:rFonts w:ascii="宋体" w:hAnsi="宋体" w:hint="eastAsia"/>
          <w:sz w:val="21"/>
          <w:szCs w:val="21"/>
        </w:rPr>
        <w:t>4、</w:t>
      </w:r>
      <w:r>
        <w:rPr>
          <w:rFonts w:ascii="宋体" w:hAnsi="宋体"/>
          <w:sz w:val="21"/>
          <w:szCs w:val="21"/>
        </w:rPr>
        <w:t>乙方</w:t>
      </w:r>
      <w:r>
        <w:rPr>
          <w:rFonts w:ascii="宋体" w:hAnsi="宋体" w:hint="eastAsia"/>
          <w:sz w:val="21"/>
          <w:szCs w:val="21"/>
        </w:rPr>
        <w:t>未经甲方</w:t>
      </w:r>
      <w:r>
        <w:rPr>
          <w:rFonts w:ascii="宋体" w:hAnsi="宋体" w:hint="eastAsia"/>
          <w:sz w:val="21"/>
          <w:szCs w:val="21"/>
          <w:lang w:val="en-US"/>
        </w:rPr>
        <w:t>书面</w:t>
      </w:r>
      <w:r>
        <w:rPr>
          <w:rFonts w:ascii="宋体" w:hAnsi="宋体" w:hint="eastAsia"/>
          <w:sz w:val="21"/>
          <w:szCs w:val="21"/>
        </w:rPr>
        <w:t>允许不得转包、分包，亦不得将合同全部及任何权利、义务向第三方转让，否则将被视为严重违约，甲方有权决定终止或解除合同。该等情形即便由于任何原因实际存在，乙方将不被免除任何责任，且任何相关第三方由于合同转让、转包、分包所得到的知识产权均属无效取得，均应当归甲方所有。</w:t>
      </w:r>
    </w:p>
    <w:p>
      <w:pPr>
        <w:adjustRightInd w:val="0"/>
        <w:spacing w:line="360" w:lineRule="auto"/>
        <w:ind w:firstLine="420" w:firstLineChars="200"/>
        <w:outlineLvl w:val="1"/>
        <w:rPr>
          <w:rFonts w:ascii="宋体" w:hAnsi="宋体"/>
          <w:b/>
          <w:szCs w:val="21"/>
        </w:rPr>
      </w:pPr>
      <w:r>
        <w:rPr>
          <w:rFonts w:ascii="宋体" w:hAnsi="宋体" w:hint="eastAsia"/>
          <w:b/>
          <w:szCs w:val="21"/>
        </w:rPr>
        <w:t>二十九、合同的</w:t>
      </w:r>
      <w:r>
        <w:rPr>
          <w:rFonts w:ascii="宋体" w:hAnsi="宋体"/>
          <w:b/>
          <w:szCs w:val="21"/>
        </w:rPr>
        <w:t>终止</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1、本合同因下列原因而终止：</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（1）本合同正常履行完毕；</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（2）合同双方协议终止本合同的履行；</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（3）不可抗力事件导致本合同无法履行或履行不必要；</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（4）任何一方行使解除权，解除本合同。</w:t>
      </w:r>
    </w:p>
    <w:p>
      <w:pPr>
        <w:tabs>
          <w:tab w:val="left" w:pos="1573"/>
        </w:tabs>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、乙方有关</w:t>
      </w:r>
      <w:r>
        <w:rPr>
          <w:rFonts w:ascii="宋体" w:hAnsi="宋体"/>
          <w:szCs w:val="21"/>
        </w:rPr>
        <w:t>资质在</w:t>
      </w:r>
      <w:r>
        <w:rPr>
          <w:rFonts w:ascii="宋体" w:hAnsi="宋体" w:hint="eastAsia"/>
          <w:szCs w:val="21"/>
        </w:rPr>
        <w:t>合同执行</w:t>
      </w:r>
      <w:r>
        <w:rPr>
          <w:rFonts w:ascii="宋体" w:hAnsi="宋体"/>
          <w:szCs w:val="21"/>
        </w:rPr>
        <w:t>完</w:t>
      </w:r>
      <w:r>
        <w:rPr>
          <w:rFonts w:ascii="宋体" w:hAnsi="宋体" w:hint="eastAsia"/>
          <w:szCs w:val="21"/>
        </w:rPr>
        <w:t>毕之前到期的，应确保该资质有效期得到延长至合同执行完毕之后，或者取得有效期至执行合同完毕之后的更高等级的该资质，否则甲</w:t>
      </w:r>
      <w:r>
        <w:rPr>
          <w:rFonts w:ascii="宋体" w:hAnsi="宋体"/>
          <w:szCs w:val="21"/>
        </w:rPr>
        <w:t>方有权</w:t>
      </w:r>
      <w:r>
        <w:rPr>
          <w:rFonts w:ascii="宋体" w:hAnsi="宋体" w:hint="eastAsia"/>
          <w:szCs w:val="21"/>
        </w:rPr>
        <w:t>中止合同，并</w:t>
      </w:r>
      <w:r>
        <w:rPr>
          <w:rFonts w:ascii="宋体" w:hAnsi="宋体"/>
          <w:szCs w:val="21"/>
        </w:rPr>
        <w:t>追究</w:t>
      </w:r>
      <w:r>
        <w:rPr>
          <w:rFonts w:ascii="宋体" w:hAnsi="宋体" w:hint="eastAsia"/>
          <w:szCs w:val="21"/>
        </w:rPr>
        <w:t>乙</w:t>
      </w:r>
      <w:r>
        <w:rPr>
          <w:rFonts w:ascii="宋体" w:hAnsi="宋体"/>
          <w:szCs w:val="21"/>
        </w:rPr>
        <w:t>方的责任</w:t>
      </w:r>
      <w:r>
        <w:rPr>
          <w:rFonts w:ascii="宋体" w:hAnsi="宋体" w:hint="eastAsia"/>
          <w:szCs w:val="21"/>
        </w:rPr>
        <w:t>。</w:t>
      </w:r>
    </w:p>
    <w:p>
      <w:pPr>
        <w:tabs>
          <w:tab w:val="left" w:pos="1573"/>
        </w:tabs>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、若甲方在合同履行过程中发现乙方提供的货物和服务与投标文件中提供的技术指标不符，甲方有权终止合同，并有权反映至政府采购监管部门或财政部。</w:t>
      </w:r>
    </w:p>
    <w:p>
      <w:pPr>
        <w:tabs>
          <w:tab w:val="left" w:pos="1573"/>
        </w:tabs>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、对本合同终止有过错的一方应赔偿另一方因合同终止而受到的损失。对合同终止双方均无过错的，则各自承担所受到的损失。</w:t>
      </w:r>
    </w:p>
    <w:p>
      <w:pPr>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、如果乙方破产或无清偿能力，甲方可在任何时候以书面形式通知乙方，提出终止合同而不给乙方补偿。该终止合同将不损害或影响甲方已经采取或将要采取的任何行动或补救措施的权利。</w:t>
      </w:r>
    </w:p>
    <w:p>
      <w:pPr>
        <w:adjustRightInd w:val="0"/>
        <w:spacing w:line="360" w:lineRule="auto"/>
        <w:ind w:firstLine="420" w:firstLineChars="200"/>
        <w:outlineLvl w:val="1"/>
        <w:rPr>
          <w:rFonts w:ascii="宋体" w:hAnsi="宋体"/>
          <w:b/>
          <w:szCs w:val="21"/>
        </w:rPr>
      </w:pPr>
      <w:r>
        <w:rPr>
          <w:rFonts w:ascii="宋体" w:hAnsi="宋体" w:hint="eastAsia"/>
          <w:b/>
          <w:szCs w:val="21"/>
        </w:rPr>
        <w:t>三十、合同生效</w:t>
      </w:r>
    </w:p>
    <w:p>
      <w:pPr>
        <w:snapToGrid w:val="0"/>
        <w:spacing w:line="360" w:lineRule="auto"/>
        <w:ind w:firstLine="420" w:firstLineChars="200"/>
        <w:rPr>
          <w:rFonts w:ascii="宋体" w:hAnsi="宋体"/>
          <w:szCs w:val="21"/>
        </w:rPr>
      </w:pPr>
      <w:r>
        <w:rPr>
          <w:rFonts w:ascii="宋体" w:hAnsi="宋体" w:hint="eastAsia"/>
          <w:szCs w:val="21"/>
        </w:rPr>
        <w:t>本合同经双方法定代表人或授权代表签字盖章后生效。</w:t>
      </w:r>
    </w:p>
    <w:p>
      <w:pPr>
        <w:adjustRightInd w:val="0"/>
        <w:spacing w:line="360" w:lineRule="auto"/>
        <w:ind w:firstLine="420" w:firstLineChars="200"/>
        <w:outlineLvl w:val="1"/>
        <w:rPr>
          <w:rFonts w:ascii="宋体" w:hAnsi="宋体"/>
          <w:b/>
          <w:szCs w:val="21"/>
        </w:rPr>
      </w:pPr>
      <w:r>
        <w:rPr>
          <w:rFonts w:ascii="宋体" w:hAnsi="宋体" w:hint="eastAsia"/>
          <w:b/>
          <w:szCs w:val="21"/>
        </w:rPr>
        <w:t>三十一、其他约定</w:t>
      </w:r>
      <w:r>
        <w:rPr>
          <w:rFonts w:ascii="宋体" w:hAnsi="宋体"/>
          <w:b/>
          <w:szCs w:val="21"/>
        </w:rPr>
        <w:t>事项</w:t>
      </w:r>
    </w:p>
    <w:p>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、如果本合同的货物在进口时需要进口许可证的话，乙方负责办理进口许可证，费用自理。</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一方当事人未经另一方事先书面同意，不得将其在合同项下的权利或义务全部或部分转让给第三人，有关分包事项或服务委托等须事先取得采购中心书面同意并且须遵守相关法律、法规；有关联合投标须在本次招标允许的情况下并须符合本次招标的全部规定。</w:t>
      </w:r>
    </w:p>
    <w:p>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、本合同正本一式四份，甲、乙双方各执两份，每份正本具有同等法律效力，副本报财政部备案。</w:t>
      </w:r>
    </w:p>
    <w:p>
      <w:pPr>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、下述合同附件为本合同不可分割的部分并与本合同具有同等效力：</w:t>
      </w:r>
    </w:p>
    <w:p>
      <w:pPr>
        <w:snapToGrid w:val="0"/>
        <w:spacing w:line="360" w:lineRule="auto"/>
        <w:ind w:firstLine="420" w:firstLineChars="200"/>
        <w:rPr>
          <w:rFonts w:ascii="宋体" w:hAnsi="宋体"/>
          <w:szCs w:val="21"/>
        </w:rPr>
      </w:pPr>
      <w:r>
        <w:rPr>
          <w:rFonts w:ascii="宋体" w:hAnsi="宋体"/>
          <w:szCs w:val="21"/>
        </w:rPr>
        <w:t xml:space="preserve">(l) </w:t>
      </w:r>
      <w:r>
        <w:rPr>
          <w:rFonts w:ascii="宋体" w:hAnsi="宋体" w:hint="eastAsia"/>
          <w:szCs w:val="21"/>
        </w:rPr>
        <w:t>合同范围及分项价格一览表（服务，培训，维修和技术支持）</w:t>
      </w:r>
    </w:p>
    <w:p>
      <w:pPr>
        <w:snapToGrid w:val="0"/>
        <w:spacing w:line="360" w:lineRule="auto"/>
        <w:ind w:firstLine="420" w:firstLineChars="200"/>
        <w:rPr>
          <w:rFonts w:ascii="宋体" w:hAnsi="宋体"/>
          <w:szCs w:val="21"/>
        </w:rPr>
      </w:pPr>
      <w:r>
        <w:rPr>
          <w:rFonts w:ascii="宋体" w:hAnsi="宋体"/>
          <w:szCs w:val="21"/>
        </w:rPr>
        <w:t xml:space="preserve">(2) </w:t>
      </w:r>
      <w:r>
        <w:rPr>
          <w:rFonts w:ascii="宋体" w:hAnsi="宋体" w:hint="eastAsia"/>
          <w:szCs w:val="21"/>
        </w:rPr>
        <w:t>技术规格和技术服务要求（含集成服务、售后服务、培训等）</w:t>
      </w:r>
    </w:p>
    <w:p>
      <w:pPr>
        <w:snapToGrid w:val="0"/>
        <w:spacing w:line="360" w:lineRule="auto"/>
        <w:ind w:firstLine="420" w:firstLineChars="200"/>
        <w:rPr>
          <w:rFonts w:ascii="宋体" w:hAnsi="宋体"/>
          <w:szCs w:val="21"/>
        </w:rPr>
      </w:pPr>
      <w:r>
        <w:rPr>
          <w:rFonts w:ascii="宋体" w:hAnsi="宋体"/>
          <w:szCs w:val="21"/>
        </w:rPr>
        <w:t xml:space="preserve">(3) </w:t>
      </w:r>
      <w:r>
        <w:rPr>
          <w:rFonts w:ascii="宋体" w:hAnsi="宋体" w:hint="eastAsia"/>
          <w:szCs w:val="21"/>
        </w:rPr>
        <w:t>合同实施计划</w:t>
      </w:r>
    </w:p>
    <w:p>
      <w:pPr>
        <w:snapToGrid w:val="0"/>
        <w:spacing w:line="360" w:lineRule="auto"/>
        <w:ind w:firstLine="420" w:firstLineChars="200"/>
        <w:rPr>
          <w:rFonts w:ascii="宋体" w:hAnsi="宋体"/>
          <w:szCs w:val="21"/>
        </w:rPr>
      </w:pPr>
      <w:r>
        <w:rPr>
          <w:rFonts w:ascii="宋体" w:hAnsi="宋体"/>
          <w:szCs w:val="21"/>
        </w:rPr>
        <w:t xml:space="preserve">(5) </w:t>
      </w:r>
      <w:r>
        <w:rPr>
          <w:rFonts w:ascii="宋体" w:hAnsi="宋体" w:hint="eastAsia"/>
          <w:szCs w:val="21"/>
        </w:rPr>
        <w:t>履约保函</w:t>
      </w:r>
    </w:p>
    <w:p>
      <w:pPr>
        <w:tabs>
          <w:tab w:val="left" w:pos="735"/>
        </w:tabs>
        <w:snapToGrid w:val="0"/>
        <w:spacing w:line="360" w:lineRule="auto"/>
        <w:ind w:firstLine="420" w:firstLineChars="200"/>
        <w:jc w:val="left"/>
        <w:rPr>
          <w:rFonts w:ascii="宋体" w:hAnsi="宋体"/>
          <w:szCs w:val="21"/>
        </w:rPr>
      </w:pPr>
      <w:r>
        <w:rPr>
          <w:rFonts w:ascii="宋体" w:hAnsi="宋体"/>
          <w:szCs w:val="21"/>
        </w:rPr>
        <w:t xml:space="preserve">(6) </w:t>
      </w:r>
      <w:r>
        <w:rPr>
          <w:rFonts w:ascii="宋体" w:hAnsi="宋体" w:hint="eastAsia"/>
          <w:szCs w:val="21"/>
        </w:rPr>
        <w:t>付款</w:t>
      </w:r>
      <w:bookmarkStart w:id="527" w:name="_Toc89569904"/>
      <w:r>
        <w:rPr>
          <w:rFonts w:ascii="宋体" w:hAnsi="宋体" w:hint="eastAsia"/>
          <w:szCs w:val="21"/>
        </w:rPr>
        <w:t>计</w:t>
      </w:r>
      <w:bookmarkEnd w:id="527"/>
      <w:r>
        <w:rPr>
          <w:rFonts w:ascii="宋体" w:hAnsi="宋体" w:hint="eastAsia"/>
          <w:szCs w:val="21"/>
        </w:rPr>
        <w:t>划</w:t>
      </w:r>
    </w:p>
    <w:p>
      <w:pPr>
        <w:snapToGrid w:val="0"/>
        <w:spacing w:line="360" w:lineRule="auto"/>
        <w:ind w:firstLine="420" w:firstLineChars="200"/>
        <w:rPr>
          <w:rFonts w:ascii="宋体" w:hAnsi="宋体"/>
          <w:szCs w:val="21"/>
        </w:rPr>
      </w:pPr>
      <w:r>
        <w:rPr>
          <w:rFonts w:ascii="宋体" w:hAnsi="宋体"/>
          <w:szCs w:val="21"/>
        </w:rPr>
        <w:t xml:space="preserve">(7) </w:t>
      </w:r>
      <w:r>
        <w:rPr>
          <w:rFonts w:ascii="宋体" w:hAnsi="宋体" w:hint="eastAsia"/>
          <w:szCs w:val="21"/>
        </w:rPr>
        <w:t>中标通知书、投标文件、招标文件</w:t>
      </w:r>
    </w:p>
    <w:p>
      <w:pPr>
        <w:snapToGrid w:val="0"/>
        <w:spacing w:line="360" w:lineRule="auto"/>
        <w:ind w:firstLine="420" w:firstLineChars="200"/>
        <w:rPr>
          <w:rFonts w:ascii="宋体" w:hAnsi="宋体"/>
          <w:szCs w:val="21"/>
        </w:rPr>
      </w:pPr>
      <w:r>
        <w:rPr>
          <w:rFonts w:ascii="宋体" w:hAnsi="宋体" w:hint="eastAsia"/>
          <w:szCs w:val="21"/>
        </w:rPr>
        <w:t>(8) ……</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、本合同涉及的招标文件和投标文件，正本由中国气象局政府采购中心保存。</w:t>
      </w:r>
    </w:p>
    <w:p>
      <w:pPr>
        <w:adjustRightIn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 xml:space="preserve">、双方约定本合同其他相关事项为：               </w:t>
      </w:r>
    </w:p>
    <w:p>
      <w:pPr>
        <w:snapToGrid w:val="0"/>
        <w:spacing w:line="360" w:lineRule="auto"/>
        <w:ind w:firstLine="309" w:firstLineChars="147"/>
        <w:rPr>
          <w:rFonts w:ascii="宋体" w:hAnsi="宋体"/>
          <w:b/>
          <w:szCs w:val="21"/>
        </w:rPr>
      </w:pPr>
      <w:r>
        <w:rPr>
          <w:rFonts w:ascii="宋体" w:hAnsi="宋体" w:hint="eastAsia"/>
          <w:b/>
          <w:szCs w:val="21"/>
        </w:rPr>
        <w:t>甲方：                                   乙方：</w:t>
      </w:r>
    </w:p>
    <w:p>
      <w:pPr>
        <w:snapToGrid w:val="0"/>
        <w:spacing w:line="360" w:lineRule="auto"/>
        <w:ind w:firstLine="309" w:firstLineChars="147"/>
        <w:rPr>
          <w:rFonts w:ascii="宋体" w:hAnsi="宋体"/>
          <w:b/>
          <w:szCs w:val="21"/>
        </w:rPr>
      </w:pPr>
      <w:r>
        <w:rPr>
          <w:rFonts w:ascii="宋体" w:hAnsi="宋体" w:hint="eastAsia"/>
          <w:b/>
          <w:szCs w:val="21"/>
        </w:rPr>
        <w:t>单位名称：（盖章）                        单位名称：（盖章）</w:t>
      </w:r>
    </w:p>
    <w:p>
      <w:pPr>
        <w:snapToGrid w:val="0"/>
        <w:spacing w:line="360" w:lineRule="auto"/>
        <w:ind w:firstLine="309" w:firstLineChars="147"/>
        <w:rPr>
          <w:rFonts w:ascii="宋体" w:hAnsi="宋体"/>
          <w:b/>
          <w:szCs w:val="21"/>
        </w:rPr>
      </w:pPr>
      <w:r>
        <w:rPr>
          <w:rFonts w:ascii="宋体" w:hAnsi="宋体" w:hint="eastAsia"/>
          <w:b/>
          <w:szCs w:val="21"/>
        </w:rPr>
        <w:t>法定代表人/授权代表：                    法定代表人/授权代表：</w:t>
      </w:r>
    </w:p>
    <w:p>
      <w:pPr>
        <w:snapToGrid w:val="0"/>
        <w:spacing w:line="360" w:lineRule="auto"/>
        <w:ind w:firstLine="309" w:firstLineChars="147"/>
        <w:rPr>
          <w:rFonts w:ascii="宋体" w:hAnsi="宋体"/>
          <w:b/>
          <w:szCs w:val="21"/>
        </w:rPr>
      </w:pPr>
      <w:r>
        <w:rPr>
          <w:rFonts w:ascii="宋体" w:hAnsi="宋体" w:hint="eastAsia"/>
          <w:b/>
          <w:szCs w:val="21"/>
        </w:rPr>
        <w:t>经办人：                                 经办人：</w:t>
      </w:r>
    </w:p>
    <w:p>
      <w:pPr>
        <w:snapToGrid w:val="0"/>
        <w:spacing w:line="360" w:lineRule="auto"/>
        <w:ind w:firstLine="309" w:firstLineChars="147"/>
        <w:rPr>
          <w:rFonts w:ascii="宋体" w:hAnsi="宋体"/>
          <w:b/>
          <w:szCs w:val="21"/>
        </w:rPr>
      </w:pPr>
      <w:r>
        <w:rPr>
          <w:rFonts w:ascii="宋体" w:hAnsi="宋体" w:hint="eastAsia"/>
          <w:b/>
          <w:szCs w:val="21"/>
        </w:rPr>
        <w:t>签约日期：                               签约日期：</w:t>
      </w:r>
    </w:p>
    <w:p>
      <w:pPr>
        <w:pStyle w:val="10"/>
        <w:numPr>
          <w:ilvl w:val="0"/>
          <w:numId w:val="0"/>
        </w:numPr>
        <w:tabs>
          <w:tab w:val="left" w:pos="1573"/>
        </w:tabs>
        <w:adjustRightInd w:val="0"/>
        <w:snapToGrid w:val="0"/>
        <w:spacing w:line="560" w:lineRule="exact"/>
        <w:ind w:left="752" w:hanging="752" w:hangingChars="235"/>
        <w:rPr>
          <w:rFonts w:ascii="黑体" w:eastAsia="黑体" w:hAnsi="黑体" w:cs="黑体"/>
          <w:sz w:val="32"/>
          <w:szCs w:val="32"/>
        </w:rPr>
      </w:pPr>
      <w:r>
        <w:rPr>
          <w:rFonts w:ascii="黑体" w:eastAsia="黑体" w:hAnsi="黑体" w:cs="黑体" w:hint="eastAsia"/>
          <w:sz w:val="32"/>
          <w:szCs w:val="32"/>
        </w:rPr>
        <w:t>附件</w:t>
      </w:r>
    </w:p>
    <w:p>
      <w:pPr>
        <w:snapToGrid w:val="0"/>
        <w:spacing w:line="560" w:lineRule="exact"/>
        <w:jc w:val="center"/>
        <w:rPr>
          <w:b/>
          <w:sz w:val="28"/>
          <w:szCs w:val="28"/>
        </w:rPr>
      </w:pPr>
    </w:p>
    <w:p>
      <w:pPr>
        <w:snapToGrid w:val="0"/>
        <w:spacing w:line="560" w:lineRule="exact"/>
        <w:jc w:val="center"/>
        <w:rPr>
          <w:rFonts w:ascii="小标宋" w:eastAsia="小标宋" w:hAnsi="小标宋" w:cs="小标宋"/>
          <w:b/>
          <w:bCs/>
          <w:sz w:val="36"/>
          <w:szCs w:val="36"/>
        </w:rPr>
      </w:pPr>
      <w:r>
        <w:rPr>
          <w:rFonts w:ascii="小标宋" w:eastAsia="小标宋" w:hAnsi="小标宋" w:cs="小标宋" w:hint="eastAsia"/>
          <w:b/>
          <w:bCs/>
          <w:caps/>
          <w:sz w:val="48"/>
          <w:szCs w:val="48"/>
        </w:rPr>
        <w:t>廉</w:t>
      </w:r>
      <w:r>
        <w:rPr>
          <w:rFonts w:ascii="小标宋" w:eastAsia="小标宋" w:hAnsi="小标宋" w:cs="小标宋"/>
          <w:b/>
          <w:bCs/>
          <w:caps/>
          <w:sz w:val="48"/>
          <w:szCs w:val="48"/>
        </w:rPr>
        <w:t xml:space="preserve">  </w:t>
      </w:r>
      <w:r>
        <w:rPr>
          <w:rFonts w:ascii="小标宋" w:eastAsia="小标宋" w:hAnsi="小标宋" w:cs="小标宋" w:hint="eastAsia"/>
          <w:b/>
          <w:bCs/>
          <w:caps/>
          <w:sz w:val="48"/>
          <w:szCs w:val="48"/>
        </w:rPr>
        <w:t>洁</w:t>
      </w:r>
      <w:r>
        <w:rPr>
          <w:rFonts w:ascii="小标宋" w:eastAsia="小标宋" w:hAnsi="小标宋" w:cs="小标宋"/>
          <w:b/>
          <w:bCs/>
          <w:caps/>
          <w:sz w:val="48"/>
          <w:szCs w:val="48"/>
        </w:rPr>
        <w:t xml:space="preserve">  </w:t>
      </w:r>
      <w:r>
        <w:rPr>
          <w:rFonts w:ascii="小标宋" w:eastAsia="小标宋" w:hAnsi="小标宋" w:cs="小标宋" w:hint="eastAsia"/>
          <w:b/>
          <w:bCs/>
          <w:caps/>
          <w:sz w:val="48"/>
          <w:szCs w:val="48"/>
        </w:rPr>
        <w:t>协</w:t>
      </w:r>
      <w:r>
        <w:rPr>
          <w:rFonts w:ascii="小标宋" w:eastAsia="小标宋" w:hAnsi="小标宋" w:cs="小标宋"/>
          <w:b/>
          <w:bCs/>
          <w:caps/>
          <w:sz w:val="48"/>
          <w:szCs w:val="48"/>
        </w:rPr>
        <w:t xml:space="preserve">  </w:t>
      </w:r>
      <w:r>
        <w:rPr>
          <w:rFonts w:ascii="小标宋" w:eastAsia="小标宋" w:hAnsi="小标宋" w:cs="小标宋" w:hint="eastAsia"/>
          <w:b/>
          <w:bCs/>
          <w:caps/>
          <w:sz w:val="48"/>
          <w:szCs w:val="48"/>
        </w:rPr>
        <w:t>议</w:t>
      </w:r>
    </w:p>
    <w:p>
      <w:pPr>
        <w:snapToGrid w:val="0"/>
        <w:spacing w:line="560" w:lineRule="exact"/>
        <w:rPr>
          <w:szCs w:val="21"/>
        </w:rPr>
      </w:pPr>
    </w:p>
    <w:p>
      <w:pPr>
        <w:autoSpaceDE w:val="0"/>
        <w:autoSpaceDN w:val="0"/>
        <w:adjustRightInd w:val="0"/>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为加强合作中的廉政建设，规范合作中的各项活动，防止发生各种谋取不正当利益的违法违纪违规行为，保护国家、双方的合法权益，经双方协商一致，在签订合同的基础上，根据有关法律法规及双方关于廉政建设的有关规定，特订立本廉洁协议。</w:t>
      </w:r>
    </w:p>
    <w:p>
      <w:pPr>
        <w:spacing w:line="560" w:lineRule="exact"/>
        <w:ind w:firstLine="640" w:firstLineChars="200"/>
        <w:rPr>
          <w:rFonts w:ascii="仿宋_GB2312" w:eastAsia="仿宋_GB2312" w:hAnsi="宋体"/>
          <w:sz w:val="32"/>
          <w:szCs w:val="32"/>
        </w:rPr>
      </w:pPr>
      <w:r>
        <w:rPr>
          <w:rFonts w:ascii="黑体" w:eastAsia="黑体" w:hAnsi="黑体" w:cs="黑体" w:hint="eastAsia"/>
          <w:kern w:val="32"/>
          <w:sz w:val="32"/>
          <w:szCs w:val="32"/>
        </w:rPr>
        <w:t>一、</w:t>
      </w:r>
      <w:r>
        <w:rPr>
          <w:rFonts w:ascii="黑体" w:eastAsia="黑体" w:hAnsi="黑体" w:cs="黑体" w:hint="eastAsia"/>
          <w:sz w:val="32"/>
          <w:szCs w:val="32"/>
        </w:rPr>
        <w:t>双方共同责任</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（一）双方应严格遵守国家关于经济活动的有关法律法规、政策规章及双方关于廉政建设的有关规定。</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（二）坚持公平、公正、公开、诚信、透明的原则，不得为获得不正当利益损害双方利益。</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（三）建立健全自我制约制度，开展廉洁教育，监督并认真查处违法违纪违规行为。</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（四）发现对方在合同履行过程中存在违反本协议的行为，应及时提醒和敦促对方纠正；情节严重的，应向双方有关部门检举、揭发。</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二、</w:t>
      </w:r>
      <w:r>
        <w:rPr>
          <w:rFonts w:ascii="黑体" w:eastAsia="黑体" w:hAnsi="黑体" w:cs="黑体" w:hint="eastAsia"/>
          <w:sz w:val="32"/>
          <w:szCs w:val="32"/>
        </w:rPr>
        <w:t>甲方权利与义务</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（一）甲方有权对乙方在合同履行过程中的廉洁自律情况进行监督。</w:t>
      </w:r>
    </w:p>
    <w:p>
      <w:pPr>
        <w:spacing w:line="560" w:lineRule="exact"/>
        <w:ind w:firstLine="640" w:firstLineChars="200"/>
        <w:rPr>
          <w:rFonts w:ascii="仿宋_GB2312" w:eastAsia="仿宋_GB2312" w:hAnsi="宋体"/>
          <w:color w:val="FF0000"/>
          <w:sz w:val="32"/>
          <w:szCs w:val="32"/>
        </w:rPr>
      </w:pPr>
      <w:r>
        <w:rPr>
          <w:rFonts w:ascii="仿宋_GB2312" w:eastAsia="仿宋_GB2312" w:hAnsi="宋体" w:hint="eastAsia"/>
          <w:sz w:val="32"/>
          <w:szCs w:val="32"/>
        </w:rPr>
        <w:t>（二）甲方及其工作人员不得索要或接受乙方及其工作人员的钱物</w:t>
      </w:r>
      <w:r>
        <w:rPr>
          <w:rFonts w:ascii="仿宋_GB2312" w:eastAsia="仿宋_GB2312" w:hAnsi="宋体"/>
          <w:sz w:val="32"/>
          <w:szCs w:val="32"/>
        </w:rPr>
        <w:t>(</w:t>
      </w:r>
      <w:r>
        <w:rPr>
          <w:rFonts w:ascii="仿宋_GB2312" w:eastAsia="仿宋_GB2312" w:hAnsi="宋体" w:hint="eastAsia"/>
          <w:sz w:val="32"/>
          <w:szCs w:val="32"/>
        </w:rPr>
        <w:t>现金、有价证券、信用卡、礼金、奖金、补贴、物品等</w:t>
      </w:r>
      <w:r>
        <w:rPr>
          <w:rFonts w:ascii="仿宋_GB2312" w:eastAsia="仿宋_GB2312" w:hAnsi="宋体"/>
          <w:sz w:val="32"/>
          <w:szCs w:val="32"/>
        </w:rPr>
        <w:t>)</w:t>
      </w:r>
      <w:r>
        <w:rPr>
          <w:rFonts w:ascii="仿宋_GB2312" w:eastAsia="仿宋_GB2312" w:hAnsi="宋体" w:hint="eastAsia"/>
          <w:sz w:val="32"/>
          <w:szCs w:val="32"/>
        </w:rPr>
        <w:t>，不得在乙方报销任何应由甲方或个人支付的费用。</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（三）甲方及其工作人员不得接受乙方安排的可能影响公正工作的住宿、宴请和娱乐活动；不得接受乙方提供的合同规定外的通讯工具、交通工具和办公用品等。</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（四）甲方及其工作人员不得要求、暗示或者接受乙方为其住房装修、婚丧嫁娶活动、配偶子女的工作安排以及出国出境、旅游等提供便利。</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（五）甲方工作人员不得向乙方及相关单位介绍或推荐其关联亲属参加与合同有关的经济活动。</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（六）甲方工作人员不得违反规定向乙方推荐合作方。</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三、</w:t>
      </w:r>
      <w:r>
        <w:rPr>
          <w:rFonts w:ascii="黑体" w:eastAsia="黑体" w:hAnsi="黑体" w:cs="黑体" w:hint="eastAsia"/>
          <w:sz w:val="32"/>
          <w:szCs w:val="32"/>
        </w:rPr>
        <w:t>乙方权利与义务</w:t>
      </w:r>
    </w:p>
    <w:p>
      <w:pPr>
        <w:numPr>
          <w:ilvl w:val="0"/>
          <w:numId w:val="11"/>
        </w:num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乙方对甲方及其工作人员提出的合同规定外的要求，有权予以拒绝。</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（二）乙方不得以任何理由向甲方、甲方工作人员及其关联亲属馈赠钱物</w:t>
      </w:r>
      <w:r>
        <w:rPr>
          <w:rFonts w:ascii="仿宋_GB2312" w:eastAsia="仿宋_GB2312" w:hAnsi="宋体"/>
          <w:sz w:val="32"/>
          <w:szCs w:val="32"/>
        </w:rPr>
        <w:t>(</w:t>
      </w:r>
      <w:r>
        <w:rPr>
          <w:rFonts w:ascii="仿宋_GB2312" w:eastAsia="仿宋_GB2312" w:hAnsi="宋体" w:hint="eastAsia"/>
          <w:sz w:val="32"/>
          <w:szCs w:val="32"/>
        </w:rPr>
        <w:t>现金、有价证券、信用卡、礼金、奖金、补贴、物品等</w:t>
      </w:r>
      <w:r>
        <w:rPr>
          <w:rFonts w:ascii="仿宋_GB2312" w:eastAsia="仿宋_GB2312" w:hAnsi="宋体"/>
          <w:sz w:val="32"/>
          <w:szCs w:val="32"/>
        </w:rPr>
        <w:t>)</w:t>
      </w:r>
      <w:r>
        <w:rPr>
          <w:rFonts w:ascii="仿宋_GB2312" w:eastAsia="仿宋_GB2312" w:hAnsi="宋体" w:hint="eastAsia"/>
          <w:sz w:val="32"/>
          <w:szCs w:val="32"/>
        </w:rPr>
        <w:t>。</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（三）乙方不得以任何名义为甲方、甲方工作人员及其关联亲属报销应由甲方单位或个人支付的任何费用。</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（四）乙方不得以任何理由安排甲方、甲方工作人员及其关联亲属参加宴请及娱乐活动。</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（五）乙方不得为甲方、甲方工作人员及其关联亲属购置或提供合同规定外的通讯工具、交通工具和高档办公用品等。</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（六）乙方不得为甲方工作人员及其关联亲属提供任何形式的生活便利。</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（七）乙方不得存在其他影响甲方工作人员公正从业的有关行为。</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四、</w:t>
      </w:r>
      <w:r>
        <w:rPr>
          <w:rFonts w:ascii="黑体" w:eastAsia="黑体" w:hAnsi="黑体" w:cs="黑体" w:hint="eastAsia"/>
          <w:sz w:val="32"/>
          <w:szCs w:val="32"/>
        </w:rPr>
        <w:t>违约责任</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（一）双方人员如有违反本协议行为的，按照管理权限，由各自单位按照有关法律法规和规章制度进行处理。涉嫌犯罪的，移交司法机关追究刑事责任。</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（二）由甲</w:t>
      </w:r>
      <w:r>
        <w:rPr>
          <w:rFonts w:ascii="仿宋_GB2312" w:eastAsia="仿宋_GB2312" w:hAnsi="宋体"/>
          <w:sz w:val="32"/>
          <w:szCs w:val="32"/>
        </w:rPr>
        <w:t>/</w:t>
      </w:r>
      <w:r>
        <w:rPr>
          <w:rFonts w:ascii="仿宋_GB2312" w:eastAsia="仿宋_GB2312" w:hAnsi="宋体" w:hint="eastAsia"/>
          <w:sz w:val="32"/>
          <w:szCs w:val="32"/>
        </w:rPr>
        <w:t>乙方及所属人员违规造成对方损失的，由双方依据实际情况协调赔偿方式。</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五、</w:t>
      </w:r>
      <w:r>
        <w:rPr>
          <w:rFonts w:ascii="黑体" w:eastAsia="黑体" w:hAnsi="黑体" w:cs="黑体" w:hint="eastAsia"/>
          <w:sz w:val="32"/>
          <w:szCs w:val="32"/>
        </w:rPr>
        <w:t>其他</w:t>
      </w:r>
    </w:p>
    <w:p>
      <w:pPr>
        <w:widowControl/>
        <w:numPr>
          <w:ilvl w:val="0"/>
          <w:numId w:val="12"/>
        </w:numPr>
        <w:spacing w:line="560" w:lineRule="exact"/>
        <w:ind w:firstLine="640" w:firstLineChars="200"/>
        <w:jc w:val="left"/>
        <w:rPr>
          <w:rFonts w:ascii="仿宋_GB2312" w:eastAsia="仿宋_GB2312" w:hAnsi="宋体"/>
          <w:sz w:val="32"/>
          <w:szCs w:val="32"/>
        </w:rPr>
      </w:pPr>
      <w:r>
        <w:rPr>
          <w:rFonts w:ascii="仿宋_GB2312" w:eastAsia="仿宋_GB2312" w:hAnsi="宋体" w:hint="eastAsia"/>
          <w:sz w:val="32"/>
          <w:szCs w:val="32"/>
        </w:rPr>
        <w:t>为保证双方合法权益，双方特设立举报电话及举报邮箱：</w:t>
      </w:r>
    </w:p>
    <w:p>
      <w:pPr>
        <w:spacing w:line="560" w:lineRule="exact"/>
        <w:ind w:firstLine="640" w:firstLineChars="200"/>
        <w:rPr>
          <w:rFonts w:ascii="仿宋_GB2312" w:eastAsia="仿宋_GB2312" w:hAnsi="宋体"/>
          <w:sz w:val="32"/>
          <w:szCs w:val="32"/>
        </w:rPr>
      </w:pPr>
      <w:r>
        <w:rPr>
          <w:rFonts w:ascii="仿宋_GB2312" w:eastAsia="仿宋_GB2312" w:hAnsi="宋体"/>
          <w:sz w:val="32"/>
          <w:szCs w:val="32"/>
        </w:rPr>
        <w:t>1.</w:t>
      </w:r>
      <w:r>
        <w:rPr>
          <w:rFonts w:ascii="仿宋_GB2312" w:eastAsia="仿宋_GB2312" w:hAnsi="宋体" w:hint="eastAsia"/>
          <w:sz w:val="32"/>
          <w:szCs w:val="32"/>
        </w:rPr>
        <w:t>甲方：</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监督部门：国家气象信息中心纪委</w:t>
      </w:r>
      <w:r>
        <w:rPr>
          <w:rFonts w:ascii="仿宋_GB2312" w:eastAsia="仿宋_GB2312" w:hAnsi="宋体"/>
          <w:sz w:val="32"/>
          <w:szCs w:val="32"/>
        </w:rPr>
        <w:t xml:space="preserve">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联</w:t>
      </w:r>
      <w:r>
        <w:rPr>
          <w:rFonts w:ascii="仿宋_GB2312" w:eastAsia="仿宋_GB2312" w:hAnsi="宋体"/>
          <w:sz w:val="32"/>
          <w:szCs w:val="32"/>
        </w:rPr>
        <w:t xml:space="preserve"> </w:t>
      </w:r>
      <w:r>
        <w:rPr>
          <w:rFonts w:ascii="仿宋_GB2312" w:eastAsia="仿宋_GB2312" w:hAnsi="宋体" w:hint="eastAsia"/>
          <w:sz w:val="32"/>
          <w:szCs w:val="32"/>
        </w:rPr>
        <w:t>系</w:t>
      </w:r>
      <w:r>
        <w:rPr>
          <w:rFonts w:ascii="仿宋_GB2312" w:eastAsia="仿宋_GB2312" w:hAnsi="宋体"/>
          <w:sz w:val="32"/>
          <w:szCs w:val="32"/>
        </w:rPr>
        <w:t xml:space="preserve"> </w:t>
      </w:r>
      <w:r>
        <w:rPr>
          <w:rFonts w:ascii="仿宋_GB2312" w:eastAsia="仿宋_GB2312" w:hAnsi="宋体" w:hint="eastAsia"/>
          <w:sz w:val="32"/>
          <w:szCs w:val="32"/>
        </w:rPr>
        <w:t>人：杨根录</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举报电话：</w:t>
      </w:r>
      <w:r>
        <w:rPr>
          <w:rFonts w:ascii="仿宋_GB2312" w:eastAsia="仿宋_GB2312" w:hAnsi="宋体"/>
          <w:sz w:val="32"/>
          <w:szCs w:val="32"/>
        </w:rPr>
        <w:t xml:space="preserve">010-68406214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举报邮箱：</w:t>
      </w:r>
      <w:r>
        <w:rPr>
          <w:rFonts w:ascii="仿宋_GB2312" w:eastAsia="仿宋_GB2312" w:hAnsi="宋体"/>
          <w:sz w:val="32"/>
          <w:szCs w:val="32"/>
        </w:rPr>
        <w:t>yanggl@cma.gov.cn</w:t>
      </w:r>
    </w:p>
    <w:p>
      <w:pPr>
        <w:spacing w:line="560" w:lineRule="exact"/>
        <w:ind w:firstLine="640" w:firstLineChars="200"/>
        <w:rPr>
          <w:rFonts w:ascii="仿宋_GB2312" w:eastAsia="仿宋_GB2312" w:hAnsi="宋体"/>
          <w:sz w:val="32"/>
          <w:szCs w:val="32"/>
        </w:rPr>
      </w:pPr>
      <w:r>
        <w:rPr>
          <w:rFonts w:ascii="仿宋_GB2312" w:eastAsia="仿宋_GB2312" w:hAnsi="宋体"/>
          <w:sz w:val="32"/>
          <w:szCs w:val="32"/>
        </w:rPr>
        <w:t>2.</w:t>
      </w:r>
      <w:r>
        <w:rPr>
          <w:rFonts w:ascii="仿宋_GB2312" w:eastAsia="仿宋_GB2312" w:hAnsi="宋体" w:hint="eastAsia"/>
          <w:sz w:val="32"/>
          <w:szCs w:val="32"/>
        </w:rPr>
        <w:t>乙方：</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监督部门：</w:t>
      </w:r>
      <w:r>
        <w:rPr>
          <w:rFonts w:ascii="仿宋_GB2312" w:eastAsia="仿宋_GB2312" w:hAnsi="宋体"/>
          <w:sz w:val="32"/>
          <w:szCs w:val="32"/>
        </w:rPr>
        <w:t xml:space="preserve">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联</w:t>
      </w:r>
      <w:r>
        <w:rPr>
          <w:rFonts w:ascii="仿宋_GB2312" w:eastAsia="仿宋_GB2312" w:hAnsi="宋体"/>
          <w:sz w:val="32"/>
          <w:szCs w:val="32"/>
        </w:rPr>
        <w:t xml:space="preserve"> </w:t>
      </w:r>
      <w:r>
        <w:rPr>
          <w:rFonts w:ascii="仿宋_GB2312" w:eastAsia="仿宋_GB2312" w:hAnsi="宋体" w:hint="eastAsia"/>
          <w:sz w:val="32"/>
          <w:szCs w:val="32"/>
        </w:rPr>
        <w:t>系</w:t>
      </w:r>
      <w:r>
        <w:rPr>
          <w:rFonts w:ascii="仿宋_GB2312" w:eastAsia="仿宋_GB2312" w:hAnsi="宋体"/>
          <w:sz w:val="32"/>
          <w:szCs w:val="32"/>
        </w:rPr>
        <w:t xml:space="preserve"> </w:t>
      </w:r>
      <w:r>
        <w:rPr>
          <w:rFonts w:ascii="仿宋_GB2312" w:eastAsia="仿宋_GB2312" w:hAnsi="宋体" w:hint="eastAsia"/>
          <w:sz w:val="32"/>
          <w:szCs w:val="32"/>
        </w:rPr>
        <w:t>人：</w:t>
      </w:r>
      <w:r>
        <w:rPr>
          <w:rFonts w:ascii="仿宋_GB2312" w:eastAsia="仿宋_GB2312" w:hAnsi="宋体"/>
          <w:sz w:val="32"/>
          <w:szCs w:val="32"/>
        </w:rPr>
        <w:t xml:space="preserve">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举报电话：</w:t>
      </w:r>
      <w:r>
        <w:rPr>
          <w:rFonts w:ascii="仿宋_GB2312" w:eastAsia="仿宋_GB2312" w:hAnsi="宋体"/>
          <w:sz w:val="32"/>
          <w:szCs w:val="32"/>
        </w:rPr>
        <w:t xml:space="preserve">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举报邮箱：</w:t>
      </w:r>
      <w:r>
        <w:rPr>
          <w:rFonts w:ascii="仿宋_GB2312" w:eastAsia="仿宋_GB2312" w:hAnsi="宋体"/>
          <w:sz w:val="32"/>
          <w:szCs w:val="32"/>
        </w:rPr>
        <w:t xml:space="preserve"> </w:t>
      </w:r>
    </w:p>
    <w:p>
      <w:pPr>
        <w:spacing w:line="560" w:lineRule="exact"/>
        <w:ind w:firstLine="640" w:firstLineChars="200"/>
        <w:rPr>
          <w:rFonts w:ascii="仿宋_GB2312" w:eastAsia="仿宋_GB2312" w:hAnsi="宋体"/>
          <w:sz w:val="32"/>
          <w:szCs w:val="32"/>
        </w:rPr>
      </w:pPr>
      <w:r>
        <w:rPr>
          <w:rFonts w:ascii="仿宋_GB2312" w:eastAsia="仿宋_GB2312" w:hAnsi="宋体"/>
          <w:sz w:val="32"/>
          <w:szCs w:val="32"/>
        </w:rPr>
        <w:t>3.</w:t>
      </w:r>
      <w:r>
        <w:rPr>
          <w:rFonts w:ascii="仿宋_GB2312" w:eastAsia="仿宋_GB2312" w:hAnsi="宋体" w:hint="eastAsia"/>
          <w:sz w:val="32"/>
          <w:szCs w:val="32"/>
        </w:rPr>
        <w:t>对举报人的资料，双方应予以保密。</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（二）本协议作为合同补充内容，与合同具有同等法律效力。</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（三）本协议的有效期为合同双方签字盖章之日起至合同履行完成时止。但对隐蔽性强，后期发现属于该项目双方违法违纪违规行为的，应当按照本协议约定的相关规定执行。</w:t>
      </w:r>
    </w:p>
    <w:p>
      <w:pPr>
        <w:snapToGrid w:val="0"/>
        <w:spacing w:line="360" w:lineRule="auto"/>
        <w:jc w:val="center"/>
        <w:outlineLvl w:val="2"/>
        <w:rPr>
          <w:rFonts w:ascii="宋体" w:hAnsi="宋体"/>
          <w:szCs w:val="21"/>
        </w:rPr>
      </w:pPr>
    </w:p>
    <w:p>
      <w:pPr>
        <w:spacing w:line="360" w:lineRule="auto"/>
        <w:ind w:right="-210" w:rightChars="-100"/>
        <w:jc w:val="center"/>
      </w:pPr>
      <w:r>
        <w:t xml:space="preserve"> </w:t>
      </w:r>
    </w:p>
    <w:p>
      <w:pPr>
        <w:spacing w:line="360" w:lineRule="auto"/>
        <w:ind w:firstLine="3066" w:firstLineChars="1460"/>
        <w:jc w:val="left"/>
        <w:rPr>
          <w:b/>
          <w:bCs/>
          <w:szCs w:val="21"/>
        </w:rPr>
      </w:pPr>
    </w:p>
    <w:p w:rsidR="00A77B3E"/>
    <w:p>
      <w:pPr>
        <w:adjustRightInd w:val="0"/>
        <w:snapToGrid w:val="0"/>
        <w:spacing w:line="360" w:lineRule="auto"/>
        <w:jc w:val="left"/>
        <w:rPr>
          <w:rFonts w:ascii="宋体" w:hAnsi="宋体"/>
          <w:bCs/>
          <w:szCs w:val="21"/>
        </w:rPr>
      </w:pPr>
      <w:bookmarkEnd w:id="518"/>
    </w:p>
    <w:p>
      <w:pPr>
        <w:rPr>
          <w:rFonts w:ascii="Calibri" w:hAnsi="Calibri"/>
          <w:szCs w:val="22"/>
          <w:highlight w:val="none"/>
        </w:rPr>
      </w:pPr>
    </w:p>
    <w:p>
      <w:pPr>
        <w:spacing w:line="360" w:lineRule="auto"/>
        <w:jc w:val="left"/>
        <w:rPr>
          <w:b/>
          <w:bCs/>
          <w:sz w:val="44"/>
          <w:szCs w:val="44"/>
          <w:highlight w:val="none"/>
        </w:rPr>
      </w:pPr>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小标宋">
    <w:altName w:val="宋体"/>
    <w:panose1 w:val="00000000000000000000"/>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9223634"/>
    <w:multiLevelType w:val="singleLevel"/>
    <w:tmpl w:val="B9223634"/>
    <w:lvl w:ilvl="0">
      <w:start w:val="1"/>
      <w:numFmt w:val="bullet"/>
      <w:pStyle w:val="ListBullet2"/>
      <w:lvlText w:val=""/>
      <w:lvlJc w:val="left"/>
      <w:pPr>
        <w:tabs>
          <w:tab w:val="left" w:pos="780"/>
        </w:tabs>
        <w:ind w:left="780" w:hanging="360"/>
      </w:pPr>
      <w:rPr>
        <w:rFonts w:ascii="Wingdings" w:hAnsi="Wingdings" w:hint="default"/>
      </w:rPr>
    </w:lvl>
  </w:abstractNum>
  <w:abstractNum w:abstractNumId="1">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13DD946C"/>
    <w:multiLevelType w:val="singleLevel"/>
    <w:tmpl w:val="13DD946C"/>
    <w:lvl w:ilvl="0">
      <w:start w:val="9"/>
      <w:numFmt w:val="chineseCounting"/>
      <w:suff w:val="space"/>
      <w:lvlText w:val="第%1章"/>
      <w:lvlJc w:val="left"/>
      <w:rPr>
        <w:rFonts w:hint="eastAsia"/>
      </w:rPr>
    </w:lvl>
  </w:abstractNum>
  <w:abstractNum w:abstractNumId="5">
    <w:nsid w:val="143588AE"/>
    <w:multiLevelType w:val="singleLevel"/>
    <w:tmpl w:val="13DD946C"/>
    <w:lvl w:ilvl="0">
      <w:start w:val="9"/>
      <w:numFmt w:val="chineseCounting"/>
      <w:suff w:val="space"/>
      <w:lvlText w:val="第%1章"/>
      <w:lvlJc w:val="left"/>
      <w:rPr>
        <w:rFonts w:hint="eastAsia"/>
      </w:rPr>
    </w:lvl>
  </w:abstractNum>
  <w:abstractNum w:abstractNumId="6">
    <w:nsid w:val="18C26D2F"/>
    <w:multiLevelType w:val="multilevel"/>
    <w:tmpl w:val="18C26D2F"/>
    <w:lvl w:ilvl="0">
      <w:start w:val="1"/>
      <w:numFmt w:val="lowerLetter"/>
      <w:lvlText w:val="%1．"/>
      <w:lvlJc w:val="left"/>
      <w:pPr>
        <w:tabs>
          <w:tab w:val="left" w:pos="360"/>
        </w:tabs>
        <w:ind w:left="360" w:hanging="360"/>
      </w:pPr>
      <w:rPr>
        <w:rFonts w:hint="eastAsia"/>
      </w:rPr>
    </w:lvl>
    <w:lvl w:ilvl="1">
      <w:start w:val="1"/>
      <w:numFmt w:val="bullet"/>
      <w:lvlText w:val=""/>
      <w:lvlJc w:val="left"/>
      <w:pPr>
        <w:tabs>
          <w:tab w:val="left" w:pos="840"/>
        </w:tabs>
        <w:ind w:left="840" w:hanging="420"/>
      </w:pPr>
      <w:rPr>
        <w:rFonts w:ascii="Wingdings" w:hAnsi="Wingdings" w:hint="default"/>
      </w:rPr>
    </w:lvl>
    <w:lvl w:ilvl="2">
      <w:start w:val="1"/>
      <w:numFmt w:val="decimal"/>
      <w:lvlText w:val="（%3）"/>
      <w:lvlJc w:val="left"/>
      <w:pPr>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nsid w:val="1C3317EF"/>
    <w:multiLevelType w:val="multilevel"/>
    <w:tmpl w:val="1C3317EF"/>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5" w:hanging="575"/>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lvlText w:val="%1.%2.%3.%4.%5.%6."/>
      <w:lvlJc w:val="left"/>
      <w:pPr>
        <w:ind w:left="1151" w:hanging="1151"/>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abstractNum w:abstractNumId="8">
    <w:nsid w:val="2CFC927D"/>
    <w:multiLevelType w:val="singleLevel"/>
    <w:tmpl w:val="13DD946C"/>
    <w:lvl w:ilvl="0">
      <w:start w:val="9"/>
      <w:numFmt w:val="chineseCounting"/>
      <w:suff w:val="space"/>
      <w:lvlText w:val="第%1章"/>
      <w:lvlJc w:val="left"/>
      <w:rPr>
        <w:rFonts w:hint="eastAsia"/>
      </w:r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5AA4E4C1"/>
    <w:multiLevelType w:val="singleLevel"/>
    <w:tmpl w:val="5AA4E4C1"/>
    <w:lvl w:ilvl="0">
      <w:start w:val="1"/>
      <w:numFmt w:val="chineseCounting"/>
      <w:suff w:val="nothing"/>
      <w:lvlText w:val="（%1）"/>
      <w:lvlJc w:val="left"/>
      <w:rPr>
        <w:rFonts w:cs="Times New Roman"/>
      </w:rPr>
    </w:lvl>
  </w:abstractNum>
  <w:abstractNum w:abstractNumId="11">
    <w:nsid w:val="5DCE03AA"/>
    <w:multiLevelType w:val="multilevel"/>
    <w:tmpl w:val="5DCE03A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2">
    <w:nsid w:val="628C55F2"/>
    <w:multiLevelType w:val="multilevel"/>
    <w:tmpl w:val="628C55F2"/>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3">
    <w:nsid w:val="70C62427"/>
    <w:multiLevelType w:val="singleLevel"/>
    <w:tmpl w:val="70C62427"/>
    <w:lvl w:ilvl="0">
      <w:start w:val="1"/>
      <w:numFmt w:val="decimal"/>
      <w:suff w:val="nothing"/>
      <w:lvlText w:val="（%1）"/>
      <w:lvlJc w:val="left"/>
    </w:lvl>
  </w:abstractNum>
  <w:abstractNum w:abstractNumId="14">
    <w:nsid w:val="7DF7CD28"/>
    <w:multiLevelType w:val="singleLevel"/>
    <w:tmpl w:val="7DF7CD28"/>
    <w:lvl w:ilvl="0">
      <w:start w:val="1"/>
      <w:numFmt w:val="chineseCounting"/>
      <w:suff w:val="nothing"/>
      <w:lvlText w:val="（%1）"/>
      <w:lvlJc w:val="left"/>
      <w:rPr>
        <w:rFonts w:cs="Times New Roman" w:hint="eastAsia"/>
      </w:rPr>
    </w:lvl>
  </w:abstractNum>
  <w:num w:numId="1">
    <w:abstractNumId w:val="2"/>
  </w:num>
  <w:num w:numId="2">
    <w:abstractNumId w:val="1"/>
  </w:num>
  <w:num w:numId="3">
    <w:abstractNumId w:val="3"/>
  </w:num>
  <w:num w:numId="4">
    <w:abstractNumId w:val="7"/>
  </w:num>
  <w:num w:numId="5">
    <w:abstractNumId w:val="6"/>
  </w:num>
  <w:num w:numId="6">
    <w:abstractNumId w:val="0"/>
  </w:num>
  <w:num w:numId="7">
    <w:abstractNumId w:val="13"/>
  </w:num>
  <w:num w:numId="8">
    <w:abstractNumId w:val="11"/>
  </w:num>
  <w:num w:numId="9">
    <w:abstractNumId w:val="12"/>
  </w:num>
  <w:num w:numId="10">
    <w:abstractNumId w:val="4"/>
  </w:num>
  <w:num w:numId="11">
    <w:abstractNumId w:val="14"/>
  </w:num>
  <w:num w:numId="12">
    <w:abstractNumId w:val="10"/>
  </w:num>
  <w:num w:numId="13">
    <w:abstractNumId w:val="9"/>
  </w:num>
  <w:num w:numId="14">
    <w:abstractNumId w:val="5"/>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2736383"/>
    <w:rsid w:val="291772FD"/>
    <w:rsid w:val="2DD27016"/>
    <w:rsid w:val="3E5E12A1"/>
    <w:rsid w:val="42781119"/>
    <w:rsid w:val="436667A6"/>
    <w:rsid w:val="497A4294"/>
    <w:rsid w:val="4A936B87"/>
    <w:rsid w:val="4EBD5EAD"/>
    <w:rsid w:val="54A30F88"/>
    <w:rsid w:val="60BB7BEF"/>
    <w:rsid w:val="60C01CA8"/>
    <w:rsid w:val="66C40F62"/>
    <w:rsid w:val="73A06427"/>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Indent"/>
    <w:qFormat/>
    <w:pPr>
      <w:keepNext/>
      <w:keepLines/>
      <w:numPr>
        <w:ilvl w:val="4"/>
        <w:numId w:val="4"/>
      </w:numPr>
      <w:spacing w:before="280" w:after="290" w:line="376" w:lineRule="auto"/>
      <w:outlineLvl w:val="4"/>
    </w:pPr>
    <w:rPr>
      <w:rFonts w:asciiTheme="minorHAnsi" w:eastAsiaTheme="minorEastAsia" w:hAnsiTheme="minorHAnsi" w:cstheme="minorBidi"/>
      <w:b/>
      <w:bCs/>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NormalIndent">
    <w:name w:val="Normal Indent"/>
    <w:basedOn w:val="Normal"/>
    <w:qFormat/>
    <w:pPr>
      <w:ind w:firstLine="420" w:firstLineChars="200"/>
    </w:pPr>
    <w:rPr>
      <w:rFonts w:asciiTheme="minorHAnsi" w:eastAsiaTheme="minorEastAsia" w:hAnsiTheme="minorHAnsi" w:cstheme="minorBidi"/>
      <w:szCs w:val="22"/>
    </w:rPr>
  </w:style>
  <w:style w:type="paragraph" w:styleId="ListBullet2">
    <w:name w:val="List Bullet 2"/>
    <w:basedOn w:val="Normal"/>
    <w:pPr>
      <w:numPr>
        <w:numId w:val="6"/>
      </w:numPr>
    </w:pPr>
    <w:rPr>
      <w:rFonts w:asciiTheme="minorHAnsi" w:eastAsiaTheme="minorEastAsia" w:hAnsiTheme="minorHAnsi" w:cstheme="minorBidi"/>
      <w:szCs w:val="22"/>
    </w:rPr>
  </w:style>
  <w:style w:type="paragraph" w:customStyle="1" w:styleId="B">
    <w:name w:val="B表头样式"/>
    <w:next w:val="Normal"/>
    <w:qFormat/>
    <w:pPr>
      <w:jc w:val="center"/>
    </w:pPr>
    <w:rPr>
      <w:rFonts w:ascii="Calibri" w:eastAsia="黑体" w:hAnsi="Calibri"/>
      <w:b/>
      <w:kern w:val="2"/>
      <w:sz w:val="21"/>
      <w:szCs w:val="21"/>
      <w:lang w:eastAsia="zh-CN"/>
    </w:rPr>
  </w:style>
  <w:style w:type="paragraph" w:customStyle="1" w:styleId="20">
    <w:name w:val="正文字缩2字"/>
    <w:basedOn w:val="Normal"/>
    <w:link w:val="2Char"/>
    <w:qFormat/>
    <w:pPr>
      <w:spacing w:before="60" w:after="60" w:line="360" w:lineRule="auto"/>
      <w:ind w:left="200" w:firstLine="200" w:leftChars="200" w:firstLineChars="200"/>
    </w:pPr>
    <w:rPr>
      <w:sz w:val="24"/>
      <w:szCs w:val="24"/>
      <w:lang w:val="zh-CN"/>
    </w:rPr>
  </w:style>
  <w:style w:type="character" w:customStyle="1" w:styleId="2Char">
    <w:name w:val="正文字缩2字 Char"/>
    <w:link w:val="20"/>
    <w:qFormat/>
    <w:rPr>
      <w:kern w:val="2"/>
      <w:sz w:val="24"/>
      <w:szCs w:val="24"/>
      <w:lang w:val="zh-CN"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27294</Words>
  <Characters>28741</Characters>
  <Application>Microsoft Office Word</Application>
  <DocSecurity>0</DocSecurity>
  <Lines>231</Lines>
  <Paragraphs>65</Paragraphs>
  <ScaleCrop>false</ScaleCrop>
  <Company>中国气象局</Company>
  <LinksUpToDate>false</LinksUpToDate>
  <CharactersWithSpaces>28856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2026-03-17T07:28:27Z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