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vsd" ContentType="application/vnd.visio"/>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2025年短临工程睢县X波段相控阵天气雷达采购项目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ZQCD-25428</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2025年11月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睢县气象局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2025年短临工程睢县X波段相控阵天气雷达采购项目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ZQCD-25428</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合同签订后120天内交货，30天内完成安装调试并具备验收条件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河南睢县</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2025年12月04日 00:00:00</w:t>
      </w:r>
      <w:bookmarkEnd w:id="26"/>
      <w:r>
        <w:rPr>
          <w:rFonts w:ascii="宋体" w:hint="eastAsia"/>
          <w:szCs w:val="21"/>
          <w:highlight w:val="none"/>
        </w:rPr>
        <w:t>至</w:t>
      </w:r>
      <w:bookmarkStart w:id="27" w:name="项目公告_signUpLastTime"/>
      <w:r>
        <w:rPr>
          <w:rFonts w:ascii="宋体" w:hint="eastAsia"/>
          <w:szCs w:val="21"/>
          <w:highlight w:val="none"/>
        </w:rPr>
        <w:t>2025年12月12日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2025年12月25日 14:00:00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李梦杨</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睢县气象局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杨奇</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0371-65921273</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河南省郑州市金水区金水路5号院</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睢县气象局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不允许（仅针对以下产品：1、X波段双线偏振一维相控阵天气雷达不允许代理商投标）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不需要</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（1）标的：X波段双线偏振一维相控阵天气雷达，属于 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是，中标服务费：6.0万元。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780.000000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780.000000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销售合同必须包括X波段双线偏振一维相控阵天气雷达，每提供1份合同得1分，最多得5分。否则不得分。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针对本项目采购的X波段双线偏振一维相控阵天气雷达，承诺每提前30天交货的得1分，最多得1分。否则不得分。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针对投标人所投的X波段双线偏振一维相控阵天气雷达，每提供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2、除项目经理外至少3人具有2年及以上相关工作经验的，得2分；为本项目派出的技术人员至少3人具有1年及以上相关工作经验的，得1分；其他不得分。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标注#的重要指标共40项，每满足1项（如有多个下级指标，则每个下级指标均应满足）得1分，满分40分。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针对X波段双线偏振一维相控阵天气雷达，测试报告应涵盖高低温、高湿、电磁兼容性内容，每包含一项得1分，最多得3分。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spacing w:line="360" w:lineRule="auto"/>
        <w:jc w:val="center"/>
        <w:outlineLvl w:val="1"/>
        <w:rPr>
          <w:rFonts w:hint="eastAsia"/>
          <w:b/>
          <w:sz w:val="30"/>
          <w:szCs w:val="30"/>
          <w:highlight w:val="none"/>
        </w:rPr>
      </w:pPr>
      <w:r>
        <w:rPr>
          <w:bCs/>
          <w:szCs w:val="21"/>
          <w:highlight w:val="none"/>
        </w:rPr>
        <w:br w:type="page"/>
      </w:r>
      <w:bookmarkStart w:id="59" w:name="插入_采购需求书"/>
      <w:r>
        <w:rPr>
          <w:rFonts w:ascii="Times New Roman" w:eastAsia="宋体" w:hAnsi="Times New Roman" w:cs="Times New Roman" w:hint="eastAsia"/>
          <w:b/>
          <w:sz w:val="30"/>
          <w:szCs w:val="30"/>
          <w:highlight w:val="none"/>
        </w:rPr>
        <w:t>第</w:t>
      </w:r>
      <w:r>
        <w:rPr>
          <w:rFonts w:ascii="Times New Roman" w:eastAsia="宋体" w:hAnsi="Times New Roman" w:cs="Times New Roman" w:hint="eastAsia"/>
          <w:b/>
          <w:sz w:val="30"/>
          <w:szCs w:val="30"/>
          <w:highlight w:val="none"/>
          <w:lang w:val="en-US" w:eastAsia="zh-CN"/>
        </w:rPr>
        <w:t>七</w:t>
      </w:r>
      <w:r>
        <w:rPr>
          <w:rFonts w:ascii="Times New Roman" w:eastAsia="宋体" w:hAnsi="Times New Roman" w:cs="Times New Roman" w:hint="eastAsia"/>
          <w:b/>
          <w:sz w:val="30"/>
          <w:szCs w:val="30"/>
          <w:highlight w:val="none"/>
        </w:rPr>
        <w:t xml:space="preserve">章  </w:t>
      </w:r>
      <w:r>
        <w:rPr>
          <w:rFonts w:ascii="Times New Roman" w:eastAsia="宋体" w:hAnsi="Times New Roman" w:cs="Times New Roman" w:hint="eastAsia"/>
          <w:b/>
          <w:sz w:val="30"/>
          <w:szCs w:val="30"/>
          <w:highlight w:val="none"/>
          <w:lang w:val="en-US" w:eastAsia="zh-CN"/>
        </w:rPr>
        <w:t>采购需求</w:t>
      </w: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highlight w:val="green"/>
        </w:rPr>
      </w:pPr>
      <w:r>
        <w:rPr>
          <w:rFonts w:ascii="仿宋" w:eastAsia="仿宋" w:hAnsi="仿宋" w:cs="仿宋" w:hint="eastAsia"/>
          <w:sz w:val="28"/>
          <w:szCs w:val="20"/>
          <w:highlight w:val="green"/>
        </w:rPr>
        <w:t>三、技术性能指标</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按照《X波段双线偏振一维相控阵天气雷达系统功能规格需求书》（气测函〔20</w:t>
      </w:r>
      <w:r>
        <w:rPr>
          <w:rFonts w:ascii="仿宋" w:eastAsia="仿宋" w:hAnsi="仿宋" w:cs="仿宋" w:hint="eastAsia"/>
          <w:sz w:val="28"/>
          <w:szCs w:val="20"/>
          <w:lang w:val="en-US" w:eastAsia="zh-CN"/>
        </w:rPr>
        <w:t>24</w:t>
      </w:r>
      <w:r>
        <w:rPr>
          <w:rFonts w:ascii="仿宋" w:eastAsia="仿宋" w:hAnsi="仿宋" w:cs="仿宋" w:hint="eastAsia"/>
          <w:sz w:val="28"/>
          <w:szCs w:val="20"/>
        </w:rPr>
        <w:t>〕</w:t>
      </w:r>
      <w:r>
        <w:rPr>
          <w:rFonts w:ascii="仿宋" w:eastAsia="仿宋" w:hAnsi="仿宋" w:cs="仿宋" w:hint="eastAsia"/>
          <w:sz w:val="28"/>
          <w:szCs w:val="20"/>
          <w:lang w:val="en-US" w:eastAsia="zh-CN"/>
        </w:rPr>
        <w:t>302</w:t>
      </w:r>
      <w:r>
        <w:rPr>
          <w:rFonts w:ascii="仿宋" w:eastAsia="仿宋" w:hAnsi="仿宋" w:cs="仿宋" w:hint="eastAsia"/>
          <w:sz w:val="28"/>
          <w:szCs w:val="20"/>
        </w:rPr>
        <w:t>号）研制生产雷达。</w:t>
      </w:r>
    </w:p>
    <w:p>
      <w:pPr>
        <w:spacing w:line="560" w:lineRule="exact"/>
        <w:ind w:firstLine="560" w:firstLineChars="200"/>
        <w:outlineLvl w:val="1"/>
        <w:rPr>
          <w:rFonts w:ascii="仿宋" w:eastAsia="仿宋" w:hAnsi="仿宋" w:cs="仿宋" w:hint="eastAsia"/>
          <w:sz w:val="28"/>
          <w:szCs w:val="20"/>
        </w:rPr>
      </w:pPr>
      <w:r>
        <w:rPr>
          <w:rFonts w:ascii="仿宋" w:eastAsia="仿宋" w:hAnsi="仿宋" w:cs="仿宋" w:hint="eastAsia"/>
          <w:sz w:val="28"/>
          <w:szCs w:val="20"/>
        </w:rPr>
        <w:t>（一）</w:t>
      </w:r>
      <w:r>
        <w:rPr>
          <w:rFonts w:ascii="仿宋" w:eastAsia="仿宋" w:hAnsi="仿宋" w:cs="仿宋" w:hint="eastAsia"/>
          <w:sz w:val="28"/>
          <w:szCs w:val="20"/>
          <w:lang w:val="en-US" w:eastAsia="zh-CN"/>
        </w:rPr>
        <w:t>结构要求</w:t>
      </w:r>
    </w:p>
    <w:p>
      <w:pPr>
        <w:keepNext w:val="0"/>
        <w:keepLines w:val="0"/>
        <w:pageBreakBefore w:val="0"/>
        <w:widowControl w:val="0"/>
        <w:numPr>
          <w:ilvl w:val="1"/>
          <w:numId w:val="4"/>
        </w:numPr>
        <w:kinsoku/>
        <w:wordWrap/>
        <w:overflowPunct/>
        <w:topLinePunct w:val="0"/>
        <w:autoSpaceDE/>
        <w:autoSpaceDN/>
        <w:bidi w:val="0"/>
        <w:adjustRightInd/>
        <w:snapToGrid/>
        <w:spacing w:line="560" w:lineRule="exact"/>
        <w:ind w:firstLine="560" w:firstLineChars="200"/>
        <w:textAlignment w:val="auto"/>
        <w:outlineLvl w:val="2"/>
        <w:rPr>
          <w:rFonts w:ascii="仿宋" w:eastAsia="仿宋" w:hAnsi="仿宋" w:cs="仿宋" w:hint="eastAsia"/>
          <w:sz w:val="28"/>
          <w:szCs w:val="28"/>
        </w:rPr>
      </w:pPr>
      <w:r>
        <w:rPr>
          <w:rFonts w:ascii="仿宋" w:eastAsia="仿宋" w:hAnsi="仿宋" w:cs="仿宋" w:hint="eastAsia"/>
          <w:sz w:val="28"/>
          <w:szCs w:val="28"/>
          <w:lang w:val="en-US" w:eastAsia="zh-CN"/>
        </w:rPr>
        <w:t>系统组成</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一套完整的X波段双线偏振一维平面相控阵天气雷达系统包括：天线罩、天线、伺服、数字收发单元、标定单元、数字波束控制与合成单元、信号处理单元、监控与显示单元和附属设备等。</w:t>
      </w:r>
    </w:p>
    <w:p>
      <w:pPr>
        <w:keepNext w:val="0"/>
        <w:keepLines w:val="0"/>
        <w:pageBreakBefore w:val="0"/>
        <w:widowControl w:val="0"/>
        <w:numPr>
          <w:ilvl w:val="1"/>
          <w:numId w:val="4"/>
        </w:numPr>
        <w:kinsoku/>
        <w:wordWrap/>
        <w:overflowPunct/>
        <w:topLinePunct w:val="0"/>
        <w:autoSpaceDE/>
        <w:autoSpaceDN/>
        <w:bidi w:val="0"/>
        <w:adjustRightInd/>
        <w:snapToGrid/>
        <w:spacing w:line="560" w:lineRule="exact"/>
        <w:ind w:firstLine="560" w:firstLineChars="200"/>
        <w:textAlignment w:val="auto"/>
        <w:outlineLvl w:val="2"/>
        <w:rPr>
          <w:rFonts w:ascii="仿宋" w:eastAsia="仿宋" w:hAnsi="仿宋" w:cs="仿宋" w:hint="default"/>
          <w:sz w:val="28"/>
          <w:szCs w:val="28"/>
        </w:rPr>
      </w:pPr>
      <w:r>
        <w:rPr>
          <w:rFonts w:ascii="仿宋" w:eastAsia="仿宋" w:hAnsi="仿宋" w:cs="仿宋" w:hint="eastAsia"/>
          <w:sz w:val="28"/>
          <w:szCs w:val="28"/>
          <w:lang w:val="en-US" w:eastAsia="zh-CN"/>
        </w:rPr>
        <w:t>总体结构</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X波段双线偏振一维平面相控阵天气雷达在结构上分为本地系统和远程系统。图1为雷达系统结构框图。</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highlight w:val="yellow"/>
        </w:rPr>
      </w:pPr>
      <w:r>
        <w:rPr>
          <w:rFonts w:ascii="仿宋" w:eastAsia="仿宋" w:hAnsi="仿宋" w:cs="仿宋" w:hint="eastAsia"/>
          <w:sz w:val="28"/>
          <w:szCs w:val="28"/>
          <w:lang w:val="en-US" w:eastAsia="zh-CN"/>
        </w:rPr>
        <w:t>雷达本地系统主要包含天线罩、天线、伺服、数字收发单元、数字波束控制与合成单元、标定单元、信号处理单元和监控与显示单元。其中，数字收发单元、数字波束控制与合成单元、标定单元负责雷达的波束控制和信号收发，其它部分负责雷达天线转动控制、信号处理和状态监控。终端由通用计算机（或工作站）及显示器组成。其结构设计符合通用商业产品的设计标准。</w:t>
      </w:r>
    </w:p>
    <w:p>
      <w:pPr>
        <w:spacing w:line="240" w:lineRule="auto"/>
        <w:jc w:val="center"/>
      </w:pPr>
      <w: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4.5pt;height:219.3pt" o:oleicon="f" o:ole="" coordsize="21600,21600" o:preferrelative="t" filled="f" stroked="f">
            <v:imagedata r:id="rId6" o:title=""/>
            <o:lock v:ext="edit" aspectratio="t"/>
            <w10:anchorlock/>
          </v:shape>
          <o:OLEObject Type="Embed" ProgID="Visio.Drawing.11" ShapeID="_x0000_i1026" DrawAspect="Content" ObjectID="_1468075725" r:id="rId7"/>
        </w:object>
      </w:r>
    </w:p>
    <w:p>
      <w:pPr>
        <w:jc w:val="center"/>
        <w:rPr>
          <w:rFonts w:ascii="仿宋_GB2312" w:hint="eastAsia"/>
          <w:szCs w:val="28"/>
        </w:rPr>
      </w:pPr>
      <w:r>
        <w:rPr>
          <w:rFonts w:ascii="仿宋_GB2312" w:hint="eastAsia"/>
          <w:sz w:val="24"/>
          <w:szCs w:val="28"/>
        </w:rPr>
        <w:t>图1 雷达系统结构框图</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远程系统主要为远程终端，通过网络通信进行数据传输和雷达控制，可安装在用户要求的任意场所。</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本地监控与显示单元和远程终端之间采用标准的TCP/IP网络协议和RJ45硬件接口或光纤连接。</w:t>
      </w:r>
    </w:p>
    <w:p>
      <w:pPr>
        <w:numPr>
          <w:ilvl w:val="0"/>
          <w:numId w:val="5"/>
        </w:numPr>
        <w:spacing w:line="560" w:lineRule="exact"/>
        <w:ind w:firstLine="560" w:firstLineChars="200"/>
        <w:outlineLvl w:val="1"/>
        <w:rPr>
          <w:rFonts w:ascii="仿宋" w:eastAsia="仿宋" w:hAnsi="仿宋" w:cs="仿宋" w:hint="eastAsia"/>
          <w:sz w:val="28"/>
          <w:szCs w:val="20"/>
        </w:rPr>
      </w:pPr>
      <w:r>
        <w:rPr>
          <w:rFonts w:ascii="仿宋" w:eastAsia="仿宋" w:hAnsi="仿宋" w:cs="仿宋" w:hint="eastAsia"/>
          <w:sz w:val="28"/>
          <w:szCs w:val="20"/>
          <w:lang w:val="en-US" w:eastAsia="zh-CN"/>
        </w:rPr>
        <w:t>功能要求</w:t>
      </w:r>
    </w:p>
    <w:p>
      <w:pPr>
        <w:keepNext w:val="0"/>
        <w:keepLines w:val="0"/>
        <w:pageBreakBefore w:val="0"/>
        <w:widowControl w:val="0"/>
        <w:numPr>
          <w:ilvl w:val="1"/>
          <w:numId w:val="0"/>
        </w:numPr>
        <w:kinsoku/>
        <w:wordWrap/>
        <w:overflowPunct/>
        <w:topLinePunct w:val="0"/>
        <w:autoSpaceDE/>
        <w:autoSpaceDN/>
        <w:bidi w:val="0"/>
        <w:adjustRightInd/>
        <w:snapToGrid/>
        <w:spacing w:line="560" w:lineRule="exact"/>
        <w:ind w:left="0" w:firstLine="560" w:leftChars="0" w:firstLineChars="200"/>
        <w:textAlignment w:val="auto"/>
        <w:outlineLvl w:val="2"/>
        <w:rPr>
          <w:rFonts w:ascii="仿宋" w:eastAsia="仿宋" w:hAnsi="仿宋" w:cs="仿宋" w:hint="eastAsia"/>
          <w:sz w:val="28"/>
          <w:szCs w:val="28"/>
        </w:rPr>
      </w:pPr>
      <w:r>
        <w:rPr>
          <w:rFonts w:ascii="仿宋" w:eastAsia="仿宋" w:hAnsi="仿宋" w:cs="仿宋" w:hint="eastAsia"/>
          <w:kern w:val="2"/>
          <w:sz w:val="28"/>
          <w:szCs w:val="28"/>
          <w:lang w:val="en-US" w:eastAsia="zh-CN" w:bidi="ar-SA"/>
        </w:rPr>
        <w:t>2</w:t>
      </w:r>
      <w:r>
        <w:rPr>
          <w:rFonts w:ascii="仿宋" w:eastAsia="仿宋" w:hAnsi="仿宋" w:cs="仿宋" w:hint="default"/>
          <w:kern w:val="2"/>
          <w:sz w:val="28"/>
          <w:szCs w:val="28"/>
          <w:lang w:val="en-US" w:eastAsia="zh-CN" w:bidi="ar-SA"/>
        </w:rPr>
        <w:t>.1</w:t>
      </w:r>
      <w:r>
        <w:rPr>
          <w:rFonts w:ascii="仿宋" w:eastAsia="仿宋" w:hAnsi="仿宋" w:cs="仿宋" w:hint="eastAsia"/>
          <w:sz w:val="28"/>
          <w:szCs w:val="28"/>
          <w:lang w:val="en-US" w:eastAsia="zh-CN"/>
        </w:rPr>
        <w:t>概述</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X波段双线偏振一维平面相控阵天气雷达采用双线偏振同发同收全相参体制。应包括双发双收方式，即同时发射水平、垂直线偏振波，同时接收水平、垂直线偏振波。单发双收方式，即发射水平线偏振波，同时接收水平、垂直线偏振波；或发射垂直线偏振波，同时接收水平、垂直线偏振波。</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雷达应具有自动或人工干预检测和标定功能，并可根据标定结果对探测数据进行必要的修正以保证其准确性。</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X波段双线偏振一维平面相控阵天气雷达采用全固态数字收发单元、大动态数字接收机、低副瓣数字波束平面相控阵天线、实时图像显示等技术，具有高灵敏度、高可靠性、使用维护方便等特点。系统可连续自动运行，能在预置的扫描策略控制下覆盖指定体积空间以获得探测数据。雷达可根据标定结果对探测数据进行必要的修正以保证其准确性，并具备下列功能：</w:t>
      </w:r>
    </w:p>
    <w:p>
      <w:pPr>
        <w:keepNext w:val="0"/>
        <w:keepLines w:val="0"/>
        <w:pageBreakBefore w:val="0"/>
        <w:widowControl w:val="0"/>
        <w:numPr>
          <w:ilvl w:val="0"/>
          <w:numId w:val="6"/>
        </w:numPr>
        <w:kinsoku/>
        <w:wordWrap/>
        <w:overflowPunct/>
        <w:topLinePunct w:val="0"/>
        <w:autoSpaceDE/>
        <w:autoSpaceDN/>
        <w:bidi w:val="0"/>
        <w:adjustRightInd/>
        <w:snapToGrid/>
        <w:spacing w:line="560" w:lineRule="exact"/>
        <w:ind w:left="420" w:hanging="420" w:leftChars="0" w:firstLineChars="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产生微波脉冲信号并以双线偏振的形式发射的功能</w:t>
      </w:r>
    </w:p>
    <w:p>
      <w:pPr>
        <w:keepNext w:val="0"/>
        <w:keepLines w:val="0"/>
        <w:pageBreakBefore w:val="0"/>
        <w:widowControl w:val="0"/>
        <w:numPr>
          <w:ilvl w:val="0"/>
          <w:numId w:val="6"/>
        </w:numPr>
        <w:kinsoku/>
        <w:wordWrap/>
        <w:overflowPunct/>
        <w:topLinePunct w:val="0"/>
        <w:autoSpaceDE/>
        <w:autoSpaceDN/>
        <w:bidi w:val="0"/>
        <w:adjustRightInd/>
        <w:snapToGrid/>
        <w:spacing w:line="560" w:lineRule="exact"/>
        <w:ind w:left="420" w:hanging="420" w:leftChars="0" w:firstLineChars="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以双线偏振的形式接收，对气象回波进行处理，产生高质量数据的功能</w:t>
      </w:r>
    </w:p>
    <w:p>
      <w:pPr>
        <w:keepNext w:val="0"/>
        <w:keepLines w:val="0"/>
        <w:pageBreakBefore w:val="0"/>
        <w:widowControl w:val="0"/>
        <w:numPr>
          <w:ilvl w:val="0"/>
          <w:numId w:val="6"/>
        </w:numPr>
        <w:kinsoku/>
        <w:wordWrap/>
        <w:overflowPunct/>
        <w:topLinePunct w:val="0"/>
        <w:autoSpaceDE/>
        <w:autoSpaceDN/>
        <w:bidi w:val="0"/>
        <w:adjustRightInd/>
        <w:snapToGrid/>
        <w:spacing w:line="560" w:lineRule="exact"/>
        <w:ind w:left="420" w:hanging="420" w:leftChars="0" w:firstLineChars="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在线和离线标定功能（包含脉压得益、脉压损失、幅相校正等），实现关键参数的监测与校正</w:t>
      </w:r>
    </w:p>
    <w:p>
      <w:pPr>
        <w:keepNext w:val="0"/>
        <w:keepLines w:val="0"/>
        <w:pageBreakBefore w:val="0"/>
        <w:widowControl w:val="0"/>
        <w:numPr>
          <w:ilvl w:val="0"/>
          <w:numId w:val="6"/>
        </w:numPr>
        <w:kinsoku/>
        <w:wordWrap/>
        <w:overflowPunct/>
        <w:topLinePunct w:val="0"/>
        <w:autoSpaceDE/>
        <w:autoSpaceDN/>
        <w:bidi w:val="0"/>
        <w:adjustRightInd/>
        <w:snapToGrid/>
        <w:spacing w:line="560" w:lineRule="exact"/>
        <w:ind w:left="420" w:hanging="420" w:leftChars="0" w:firstLineChars="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自动故障检测和告警功能</w:t>
      </w:r>
    </w:p>
    <w:p>
      <w:pPr>
        <w:keepNext w:val="0"/>
        <w:keepLines w:val="0"/>
        <w:pageBreakBefore w:val="0"/>
        <w:widowControl w:val="0"/>
        <w:numPr>
          <w:ilvl w:val="0"/>
          <w:numId w:val="6"/>
        </w:numPr>
        <w:kinsoku/>
        <w:wordWrap/>
        <w:overflowPunct/>
        <w:topLinePunct w:val="0"/>
        <w:autoSpaceDE/>
        <w:autoSpaceDN/>
        <w:bidi w:val="0"/>
        <w:adjustRightInd/>
        <w:snapToGrid/>
        <w:spacing w:line="560" w:lineRule="exact"/>
        <w:ind w:left="420" w:hanging="420" w:leftChars="0" w:firstLineChars="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在本地和远程系统间自动实时传输数据和接受其指令的功能</w:t>
      </w:r>
    </w:p>
    <w:p>
      <w:pPr>
        <w:keepNext w:val="0"/>
        <w:keepLines w:val="0"/>
        <w:pageBreakBefore w:val="0"/>
        <w:widowControl w:val="0"/>
        <w:numPr>
          <w:ilvl w:val="0"/>
          <w:numId w:val="6"/>
        </w:numPr>
        <w:kinsoku/>
        <w:wordWrap/>
        <w:overflowPunct/>
        <w:topLinePunct w:val="0"/>
        <w:autoSpaceDE/>
        <w:autoSpaceDN/>
        <w:bidi w:val="0"/>
        <w:adjustRightInd/>
        <w:snapToGrid/>
        <w:spacing w:line="560" w:lineRule="exact"/>
        <w:ind w:left="420" w:hanging="420" w:leftChars="0" w:firstLineChars="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远程控制与实时监测功能</w:t>
      </w:r>
    </w:p>
    <w:p>
      <w:pPr>
        <w:keepNext w:val="0"/>
        <w:keepLines w:val="0"/>
        <w:pageBreakBefore w:val="0"/>
        <w:widowControl w:val="0"/>
        <w:numPr>
          <w:ilvl w:val="0"/>
          <w:numId w:val="6"/>
        </w:numPr>
        <w:kinsoku/>
        <w:wordWrap/>
        <w:overflowPunct/>
        <w:topLinePunct w:val="0"/>
        <w:autoSpaceDE/>
        <w:autoSpaceDN/>
        <w:bidi w:val="0"/>
        <w:adjustRightInd/>
        <w:snapToGrid/>
        <w:spacing w:line="560" w:lineRule="exact"/>
        <w:ind w:left="420" w:hanging="420" w:leftChars="0" w:firstLineChars="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组网协同控制功能，能够通过网络发送指令控制并调整雷达扫描策略</w:t>
      </w:r>
    </w:p>
    <w:p>
      <w:pPr>
        <w:keepNext w:val="0"/>
        <w:keepLines w:val="0"/>
        <w:pageBreakBefore w:val="0"/>
        <w:widowControl w:val="0"/>
        <w:numPr>
          <w:ilvl w:val="0"/>
          <w:numId w:val="6"/>
        </w:numPr>
        <w:kinsoku/>
        <w:wordWrap/>
        <w:overflowPunct/>
        <w:topLinePunct w:val="0"/>
        <w:autoSpaceDE/>
        <w:autoSpaceDN/>
        <w:bidi w:val="0"/>
        <w:adjustRightInd/>
        <w:snapToGrid/>
        <w:spacing w:line="560" w:lineRule="exact"/>
        <w:ind w:left="420" w:hanging="420" w:leftChars="0" w:firstLineChars="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通过参数设置实现基于径向的扫描策略</w:t>
      </w:r>
    </w:p>
    <w:p>
      <w:pPr>
        <w:keepNext w:val="0"/>
        <w:keepLines w:val="0"/>
        <w:pageBreakBefore w:val="0"/>
        <w:widowControl w:val="0"/>
        <w:numPr>
          <w:ilvl w:val="0"/>
          <w:numId w:val="6"/>
        </w:numPr>
        <w:kinsoku/>
        <w:wordWrap/>
        <w:overflowPunct/>
        <w:topLinePunct w:val="0"/>
        <w:autoSpaceDE/>
        <w:autoSpaceDN/>
        <w:bidi w:val="0"/>
        <w:adjustRightInd/>
        <w:snapToGrid/>
        <w:spacing w:line="560" w:lineRule="exact"/>
        <w:ind w:left="420" w:hanging="420" w:leftChars="0" w:firstLineChars="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能够按照要求的格式存储至少4min每个接收通道波束合成前和合成后的I/Q数据</w:t>
      </w:r>
    </w:p>
    <w:p>
      <w:pPr>
        <w:keepNext w:val="0"/>
        <w:keepLines w:val="0"/>
        <w:pageBreakBefore w:val="0"/>
        <w:widowControl w:val="0"/>
        <w:numPr>
          <w:ilvl w:val="1"/>
          <w:numId w:val="0"/>
        </w:numPr>
        <w:kinsoku/>
        <w:wordWrap/>
        <w:overflowPunct/>
        <w:topLinePunct w:val="0"/>
        <w:autoSpaceDE/>
        <w:autoSpaceDN/>
        <w:bidi w:val="0"/>
        <w:adjustRightInd/>
        <w:snapToGrid/>
        <w:spacing w:line="560" w:lineRule="exact"/>
        <w:ind w:left="0" w:firstLine="560" w:leftChars="0" w:firstLineChars="200"/>
        <w:textAlignment w:val="auto"/>
        <w:outlineLvl w:val="2"/>
        <w:rPr>
          <w:rFonts w:ascii="仿宋" w:eastAsia="仿宋" w:hAnsi="仿宋" w:cs="仿宋" w:hint="eastAsia"/>
          <w:sz w:val="28"/>
          <w:szCs w:val="28"/>
        </w:rPr>
      </w:pPr>
      <w:r>
        <w:rPr>
          <w:rFonts w:ascii="仿宋" w:eastAsia="仿宋" w:hAnsi="仿宋" w:cs="仿宋" w:hint="eastAsia"/>
          <w:kern w:val="2"/>
          <w:sz w:val="28"/>
          <w:szCs w:val="28"/>
          <w:lang w:val="en-US" w:eastAsia="zh-CN" w:bidi="ar-SA"/>
        </w:rPr>
        <w:t>2</w:t>
      </w:r>
      <w:r>
        <w:rPr>
          <w:rFonts w:ascii="仿宋" w:eastAsia="仿宋" w:hAnsi="仿宋" w:cs="仿宋" w:hint="default"/>
          <w:kern w:val="2"/>
          <w:sz w:val="28"/>
          <w:szCs w:val="28"/>
          <w:lang w:val="en-US" w:eastAsia="zh-CN" w:bidi="ar-SA"/>
        </w:rPr>
        <w:t>.2</w:t>
      </w:r>
      <w:r>
        <w:rPr>
          <w:rFonts w:ascii="仿宋" w:eastAsia="仿宋" w:hAnsi="仿宋" w:cs="仿宋" w:hint="eastAsia"/>
          <w:sz w:val="28"/>
          <w:szCs w:val="28"/>
          <w:lang w:val="en-US" w:eastAsia="zh-CN"/>
        </w:rPr>
        <w:t>天线功能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天线采用双线偏振平面相控阵天线，用于辐射微波能量和接收目标后向散射的微波信号。天线采用有源形式，天线与分布式数字收发单元相连接，通过控制各个信号通道幅度和相位，实现波束在垂直方向上的电子扫描，覆盖-2°～+60°扫描范围。</w:t>
      </w:r>
    </w:p>
    <w:p>
      <w:pPr>
        <w:keepNext w:val="0"/>
        <w:keepLines w:val="0"/>
        <w:pageBreakBefore w:val="0"/>
        <w:widowControl w:val="0"/>
        <w:numPr>
          <w:ilvl w:val="1"/>
          <w:numId w:val="0"/>
        </w:numPr>
        <w:kinsoku/>
        <w:wordWrap/>
        <w:overflowPunct/>
        <w:topLinePunct w:val="0"/>
        <w:autoSpaceDE/>
        <w:autoSpaceDN/>
        <w:bidi w:val="0"/>
        <w:adjustRightInd/>
        <w:snapToGrid/>
        <w:spacing w:line="560" w:lineRule="exact"/>
        <w:ind w:left="0" w:firstLine="560" w:leftChars="0" w:firstLineChars="200"/>
        <w:textAlignment w:val="auto"/>
        <w:outlineLvl w:val="2"/>
        <w:rPr>
          <w:rFonts w:ascii="仿宋" w:eastAsia="仿宋" w:hAnsi="仿宋" w:cs="仿宋" w:hint="eastAsia"/>
          <w:sz w:val="28"/>
          <w:szCs w:val="28"/>
        </w:rPr>
      </w:pPr>
      <w:r>
        <w:rPr>
          <w:rFonts w:ascii="仿宋" w:eastAsia="仿宋" w:hAnsi="仿宋" w:cs="仿宋" w:hint="eastAsia"/>
          <w:kern w:val="2"/>
          <w:sz w:val="28"/>
          <w:szCs w:val="28"/>
          <w:lang w:val="en-US" w:eastAsia="zh-CN" w:bidi="ar-SA"/>
        </w:rPr>
        <w:t>2</w:t>
      </w:r>
      <w:r>
        <w:rPr>
          <w:rFonts w:ascii="仿宋" w:eastAsia="仿宋" w:hAnsi="仿宋" w:cs="仿宋" w:hint="default"/>
          <w:kern w:val="2"/>
          <w:sz w:val="28"/>
          <w:szCs w:val="28"/>
          <w:lang w:val="en-US" w:eastAsia="zh-CN" w:bidi="ar-SA"/>
        </w:rPr>
        <w:t>.3</w:t>
      </w:r>
      <w:r>
        <w:rPr>
          <w:rFonts w:ascii="仿宋" w:eastAsia="仿宋" w:hAnsi="仿宋" w:cs="仿宋" w:hint="eastAsia"/>
          <w:sz w:val="28"/>
          <w:szCs w:val="28"/>
          <w:lang w:val="en-US" w:eastAsia="zh-CN"/>
        </w:rPr>
        <w:t>伺服功能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方位方向采用机械扫描，方位控制选用数字式伺服系统，高精度伺服电机驱动，实现360°连续旋转扫描。雷达应支持平面位置扫描、体积扫描、扇形扫描、定点扫描等多种扫描方式，各种扫描方式均由软件控制完成。俯仰方向机械转动采用电机驱动，伺服应具备使天线阵面法向在俯仰0°～90°转动和定位的能力。</w:t>
      </w:r>
    </w:p>
    <w:p>
      <w:pPr>
        <w:keepNext w:val="0"/>
        <w:keepLines w:val="0"/>
        <w:pageBreakBefore w:val="0"/>
        <w:widowControl w:val="0"/>
        <w:numPr>
          <w:ilvl w:val="1"/>
          <w:numId w:val="0"/>
        </w:numPr>
        <w:kinsoku/>
        <w:wordWrap/>
        <w:overflowPunct/>
        <w:topLinePunct w:val="0"/>
        <w:autoSpaceDE/>
        <w:autoSpaceDN/>
        <w:bidi w:val="0"/>
        <w:adjustRightInd/>
        <w:snapToGrid/>
        <w:spacing w:line="560" w:lineRule="exact"/>
        <w:ind w:left="0" w:firstLine="560" w:leftChars="0" w:firstLineChars="200"/>
        <w:textAlignment w:val="auto"/>
        <w:outlineLvl w:val="2"/>
        <w:rPr>
          <w:rFonts w:ascii="仿宋" w:eastAsia="仿宋" w:hAnsi="仿宋" w:cs="仿宋" w:hint="eastAsia"/>
          <w:sz w:val="28"/>
          <w:szCs w:val="28"/>
        </w:rPr>
      </w:pPr>
      <w:r>
        <w:rPr>
          <w:rFonts w:ascii="仿宋" w:eastAsia="仿宋" w:hAnsi="仿宋" w:cs="仿宋" w:hint="eastAsia"/>
          <w:kern w:val="2"/>
          <w:sz w:val="28"/>
          <w:szCs w:val="28"/>
          <w:lang w:val="en-US" w:eastAsia="zh-CN" w:bidi="ar-SA"/>
        </w:rPr>
        <w:t>2</w:t>
      </w:r>
      <w:r>
        <w:rPr>
          <w:rFonts w:ascii="仿宋" w:eastAsia="仿宋" w:hAnsi="仿宋" w:cs="仿宋" w:hint="default"/>
          <w:kern w:val="2"/>
          <w:sz w:val="28"/>
          <w:szCs w:val="28"/>
          <w:lang w:val="en-US" w:eastAsia="zh-CN" w:bidi="ar-SA"/>
        </w:rPr>
        <w:t>.4</w:t>
      </w:r>
      <w:r>
        <w:rPr>
          <w:rFonts w:ascii="仿宋" w:eastAsia="仿宋" w:hAnsi="仿宋" w:cs="仿宋" w:hint="eastAsia"/>
          <w:kern w:val="2"/>
          <w:sz w:val="28"/>
          <w:szCs w:val="28"/>
          <w:lang w:val="en-US" w:eastAsia="zh-CN" w:bidi="ar-SA"/>
        </w:rPr>
        <w:t>数字收发单元功能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数字收发单元采用全固态体制，完成发射信号由数字信号到模拟信号的转换，并进行上变频和功率放大；完成接收信号低噪声放大、下变频、滤波及数字采集等功能。</w:t>
      </w:r>
    </w:p>
    <w:p>
      <w:pPr>
        <w:pStyle w:val="Heading4"/>
        <w:keepNext/>
        <w:keepLines/>
        <w:pageBreakBefore w:val="0"/>
        <w:widowControl w:val="0"/>
        <w:kinsoku/>
        <w:wordWrap/>
        <w:overflowPunct/>
        <w:topLinePunct w:val="0"/>
        <w:autoSpaceDE/>
        <w:autoSpaceDN/>
        <w:bidi w:val="0"/>
        <w:adjustRightInd/>
        <w:snapToGrid/>
        <w:spacing w:before="0" w:after="0" w:line="560" w:lineRule="exact"/>
        <w:ind w:firstLine="560" w:firstLineChars="200"/>
        <w:textAlignment w:val="auto"/>
        <w:rPr>
          <w:rFonts w:ascii="仿宋" w:eastAsia="仿宋" w:hAnsi="仿宋" w:cs="仿宋" w:hint="eastAsia"/>
          <w:b w:val="0"/>
          <w:szCs w:val="28"/>
          <w:lang w:val="en-US" w:bidi="ar-SA"/>
        </w:rPr>
      </w:pPr>
      <w:r>
        <w:rPr>
          <w:rFonts w:ascii="仿宋" w:eastAsia="仿宋" w:hAnsi="仿宋" w:cs="仿宋" w:hint="eastAsia"/>
          <w:b w:val="0"/>
          <w:kern w:val="2"/>
          <w:sz w:val="28"/>
          <w:szCs w:val="28"/>
          <w:lang w:val="en-US" w:eastAsia="zh-CN" w:bidi="ar-SA"/>
        </w:rPr>
        <w:t>2.4.1发射单元功能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default"/>
          <w:sz w:val="28"/>
          <w:szCs w:val="28"/>
        </w:rPr>
      </w:pPr>
      <w:r>
        <w:rPr>
          <w:rFonts w:ascii="仿宋" w:eastAsia="仿宋" w:hAnsi="仿宋" w:cs="仿宋" w:hint="default"/>
          <w:sz w:val="28"/>
          <w:szCs w:val="28"/>
          <w:lang w:val="en-US" w:eastAsia="zh-CN"/>
        </w:rPr>
        <w:t>雷达采用分布式发射结构，每一个发射单元与对应天线单元相连接，通过有源方式在空间进行功率合成。雷达发射单元主要由上变频链路、功率放大器、收发开关、电源、故障检测及保护电路组成，用于产生雷达系统所需要的大功率射频信号。</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default"/>
          <w:sz w:val="28"/>
          <w:szCs w:val="28"/>
        </w:rPr>
      </w:pPr>
      <w:r>
        <w:rPr>
          <w:rFonts w:ascii="仿宋" w:eastAsia="仿宋" w:hAnsi="仿宋" w:cs="仿宋" w:hint="default"/>
          <w:sz w:val="28"/>
          <w:szCs w:val="28"/>
          <w:lang w:val="en-US" w:eastAsia="zh-CN"/>
        </w:rPr>
        <w:t>雷达发射单元采用全固态放大链功率合成的方式，将激励信号通过功率放大后，输出大功率微波信号。分布式发射单元输出的微波功率信号送入天线的每一个辐射单元，由天线向空间辐射；接收雷达监控单元的控制指令，完成对发射单元的各种控制，并向监控单元反馈发射单元的工作状态和故障信息。</w:t>
      </w:r>
    </w:p>
    <w:p>
      <w:pPr>
        <w:pStyle w:val="Heading4"/>
        <w:keepNext/>
        <w:keepLines/>
        <w:pageBreakBefore w:val="0"/>
        <w:widowControl w:val="0"/>
        <w:kinsoku/>
        <w:wordWrap/>
        <w:overflowPunct/>
        <w:topLinePunct w:val="0"/>
        <w:autoSpaceDE/>
        <w:autoSpaceDN/>
        <w:bidi w:val="0"/>
        <w:adjustRightInd/>
        <w:snapToGrid/>
        <w:spacing w:before="0" w:after="0" w:line="560" w:lineRule="exact"/>
        <w:ind w:firstLine="560" w:firstLineChars="200"/>
        <w:textAlignment w:val="auto"/>
        <w:rPr>
          <w:rFonts w:ascii="仿宋" w:eastAsia="仿宋" w:hAnsi="仿宋" w:cs="仿宋" w:hint="eastAsia"/>
          <w:b w:val="0"/>
          <w:szCs w:val="28"/>
          <w:lang w:val="en-US" w:bidi="ar-SA"/>
        </w:rPr>
      </w:pPr>
      <w:r>
        <w:rPr>
          <w:rFonts w:ascii="仿宋" w:eastAsia="仿宋" w:hAnsi="仿宋" w:cs="仿宋" w:hint="eastAsia"/>
          <w:b w:val="0"/>
          <w:kern w:val="2"/>
          <w:sz w:val="28"/>
          <w:szCs w:val="28"/>
          <w:lang w:val="en-US" w:eastAsia="zh-CN" w:bidi="ar-SA"/>
        </w:rPr>
        <w:t>2.4.2 接受单元功能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default"/>
          <w:sz w:val="28"/>
          <w:szCs w:val="28"/>
        </w:rPr>
      </w:pPr>
      <w:r>
        <w:rPr>
          <w:rFonts w:ascii="仿宋" w:eastAsia="仿宋" w:hAnsi="仿宋" w:cs="仿宋" w:hint="default"/>
          <w:sz w:val="28"/>
          <w:szCs w:val="28"/>
          <w:lang w:val="en-US" w:eastAsia="zh-CN"/>
        </w:rPr>
        <w:t>雷达采用分布式接收结构，每一个接收单元与相对应天线单元相连接。接收单元主要完成回波信号的低噪声放大、滤波、下变频和数字中频采样；接收雷达监控单元的控制指令，完成对接收单元的各种控制，并向监控单元反馈接收单元的工作状态和故障信息。</w:t>
      </w:r>
    </w:p>
    <w:p>
      <w:pPr>
        <w:keepNext w:val="0"/>
        <w:keepLines w:val="0"/>
        <w:pageBreakBefore w:val="0"/>
        <w:widowControl w:val="0"/>
        <w:numPr>
          <w:ilvl w:val="1"/>
          <w:numId w:val="0"/>
        </w:numPr>
        <w:kinsoku/>
        <w:wordWrap/>
        <w:overflowPunct/>
        <w:topLinePunct w:val="0"/>
        <w:autoSpaceDE/>
        <w:autoSpaceDN/>
        <w:bidi w:val="0"/>
        <w:adjustRightInd/>
        <w:snapToGrid/>
        <w:spacing w:line="560" w:lineRule="exact"/>
        <w:ind w:left="0" w:firstLine="560" w:leftChars="0" w:firstLineChars="200"/>
        <w:textAlignment w:val="auto"/>
        <w:outlineLvl w:val="2"/>
        <w:rPr>
          <w:rFonts w:ascii="仿宋" w:eastAsia="仿宋" w:hAnsi="仿宋" w:cs="仿宋" w:hint="eastAsia"/>
          <w:sz w:val="28"/>
          <w:szCs w:val="28"/>
        </w:rPr>
      </w:pPr>
      <w:r>
        <w:rPr>
          <w:rFonts w:ascii="仿宋" w:eastAsia="仿宋" w:hAnsi="仿宋" w:cs="仿宋" w:hint="eastAsia"/>
          <w:kern w:val="2"/>
          <w:sz w:val="28"/>
          <w:szCs w:val="28"/>
          <w:lang w:val="en-US" w:eastAsia="zh-CN" w:bidi="ar-SA"/>
        </w:rPr>
        <w:t>2</w:t>
      </w:r>
      <w:r>
        <w:rPr>
          <w:rFonts w:ascii="仿宋" w:eastAsia="仿宋" w:hAnsi="仿宋" w:cs="仿宋" w:hint="default"/>
          <w:kern w:val="2"/>
          <w:sz w:val="28"/>
          <w:szCs w:val="28"/>
          <w:lang w:val="en-US" w:eastAsia="zh-CN" w:bidi="ar-SA"/>
        </w:rPr>
        <w:t>.5</w:t>
      </w:r>
      <w:r>
        <w:rPr>
          <w:rFonts w:ascii="仿宋" w:eastAsia="仿宋" w:hAnsi="仿宋" w:cs="仿宋" w:hint="eastAsia"/>
          <w:kern w:val="2"/>
          <w:sz w:val="28"/>
          <w:szCs w:val="28"/>
          <w:lang w:val="en-US" w:eastAsia="zh-CN" w:bidi="ar-SA"/>
        </w:rPr>
        <w:t>数字波束控制与合成功能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数字波束控制与合成单元可根据终端指令控制每个收发单元的幅度和相位，使波束在工作范围内精准指向；幅度/相位控制应支持多种加权模式，使雷达的收发旁瓣受控，适用于不同场合；具备同时多波束接收能力，并可完成接收多波束数字合成。具备空间波束捷变功能。所有单元的波束控制与合成都应该是独立的。</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波束控制和合成在数字域上完成，并应具备宽发窄收和窄发窄收能力。</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能够对每个单元的幅相测量值进行处理，并能够记录和输出订正前和订正后的数据。</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能够对宽发导致的发射天线方向图变化进行订正。</w:t>
      </w:r>
    </w:p>
    <w:p>
      <w:pPr>
        <w:keepNext w:val="0"/>
        <w:keepLines w:val="0"/>
        <w:pageBreakBefore w:val="0"/>
        <w:widowControl w:val="0"/>
        <w:numPr>
          <w:ilvl w:val="1"/>
          <w:numId w:val="0"/>
        </w:numPr>
        <w:kinsoku/>
        <w:wordWrap/>
        <w:overflowPunct/>
        <w:topLinePunct w:val="0"/>
        <w:autoSpaceDE/>
        <w:autoSpaceDN/>
        <w:bidi w:val="0"/>
        <w:adjustRightInd/>
        <w:snapToGrid/>
        <w:spacing w:line="560" w:lineRule="exact"/>
        <w:ind w:left="0" w:firstLine="560" w:leftChars="0" w:firstLineChars="200"/>
        <w:textAlignment w:val="auto"/>
        <w:outlineLvl w:val="2"/>
        <w:rPr>
          <w:rFonts w:ascii="仿宋" w:eastAsia="仿宋" w:hAnsi="仿宋" w:cs="仿宋" w:hint="eastAsia"/>
          <w:sz w:val="28"/>
          <w:szCs w:val="28"/>
        </w:rPr>
      </w:pPr>
      <w:r>
        <w:rPr>
          <w:rFonts w:ascii="仿宋" w:eastAsia="仿宋" w:hAnsi="仿宋" w:cs="仿宋" w:hint="eastAsia"/>
          <w:kern w:val="2"/>
          <w:sz w:val="28"/>
          <w:szCs w:val="28"/>
          <w:lang w:val="en-US" w:eastAsia="zh-CN" w:bidi="ar-SA"/>
        </w:rPr>
        <w:t>2</w:t>
      </w:r>
      <w:r>
        <w:rPr>
          <w:rFonts w:ascii="仿宋" w:eastAsia="仿宋" w:hAnsi="仿宋" w:cs="仿宋" w:hint="default"/>
          <w:kern w:val="2"/>
          <w:sz w:val="28"/>
          <w:szCs w:val="28"/>
          <w:lang w:val="en-US" w:eastAsia="zh-CN" w:bidi="ar-SA"/>
        </w:rPr>
        <w:t>.6</w:t>
      </w:r>
      <w:r>
        <w:rPr>
          <w:rFonts w:ascii="仿宋" w:eastAsia="仿宋" w:hAnsi="仿宋" w:cs="仿宋" w:hint="eastAsia"/>
          <w:kern w:val="2"/>
          <w:sz w:val="28"/>
          <w:szCs w:val="28"/>
          <w:lang w:val="en-US" w:eastAsia="zh-CN" w:bidi="ar-SA"/>
        </w:rPr>
        <w:t>信号处理功能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信号处理单元具有多普勒和双线偏振信号的处理能力。信号处理主要包括脉冲压缩处理、积分处理、脉冲对处理（PPP）和快速傅里叶变换（FFT），可输出强度Z（滤波前和滤波后）、径向速度V、速度谱宽W、差分反射率因子ZDR、差分传播相移ΦDP、差分传播相移率KDP、相关系数ρhv和信噪比SNR等数据，同时具有速度退模糊和距离退折叠的能力。该模块还能向终端提供观测数据和状态信息等。</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信号处理单元对信号强度的估算，在距离上采用可由用户选择的按库累积平均，在方位角上采用累积平均。径向速度、速度谱宽的估算采用PPP、FFT或其他等效算法，并可使用双重频进行扫描。具有地物、电磁干扰、风电场等非气象回波识别和抑制的能力。</w:t>
      </w:r>
    </w:p>
    <w:p>
      <w:pPr>
        <w:keepNext w:val="0"/>
        <w:keepLines w:val="0"/>
        <w:pageBreakBefore w:val="0"/>
        <w:widowControl w:val="0"/>
        <w:numPr>
          <w:ilvl w:val="1"/>
          <w:numId w:val="0"/>
        </w:numPr>
        <w:kinsoku/>
        <w:wordWrap/>
        <w:overflowPunct/>
        <w:topLinePunct w:val="0"/>
        <w:autoSpaceDE/>
        <w:autoSpaceDN/>
        <w:bidi w:val="0"/>
        <w:adjustRightInd/>
        <w:snapToGrid/>
        <w:spacing w:line="560" w:lineRule="exact"/>
        <w:ind w:left="0" w:firstLine="560" w:leftChars="0" w:firstLineChars="200"/>
        <w:textAlignment w:val="auto"/>
        <w:outlineLvl w:val="2"/>
        <w:rPr>
          <w:rFonts w:ascii="仿宋" w:eastAsia="仿宋" w:hAnsi="仿宋" w:cs="仿宋" w:hint="eastAsia"/>
          <w:sz w:val="28"/>
          <w:szCs w:val="28"/>
        </w:rPr>
      </w:pPr>
      <w:r>
        <w:rPr>
          <w:rFonts w:ascii="仿宋" w:eastAsia="仿宋" w:hAnsi="仿宋" w:cs="仿宋" w:hint="eastAsia"/>
          <w:kern w:val="2"/>
          <w:sz w:val="28"/>
          <w:szCs w:val="28"/>
          <w:lang w:val="en-US" w:eastAsia="zh-CN" w:bidi="ar-SA"/>
        </w:rPr>
        <w:t>2</w:t>
      </w:r>
      <w:r>
        <w:rPr>
          <w:rFonts w:ascii="仿宋" w:eastAsia="仿宋" w:hAnsi="仿宋" w:cs="仿宋" w:hint="default"/>
          <w:kern w:val="2"/>
          <w:sz w:val="28"/>
          <w:szCs w:val="28"/>
          <w:lang w:val="en-US" w:eastAsia="zh-CN" w:bidi="ar-SA"/>
        </w:rPr>
        <w:t>.7</w:t>
      </w:r>
      <w:r>
        <w:rPr>
          <w:rFonts w:ascii="仿宋" w:eastAsia="仿宋" w:hAnsi="仿宋" w:cs="仿宋" w:hint="eastAsia"/>
          <w:kern w:val="2"/>
          <w:sz w:val="28"/>
          <w:szCs w:val="28"/>
          <w:lang w:val="en-US" w:eastAsia="zh-CN" w:bidi="ar-SA"/>
        </w:rPr>
        <w:t>雷达标定功能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系统应具有通过机内外仪表等设备开展系统主要参数指标的自动测试及标定的功能。标定功能按照在线标定、离线标定两类进行设计</w:t>
      </w:r>
      <w:bookmarkStart w:id="60" w:name="_Hlk14795891"/>
      <w:r>
        <w:rPr>
          <w:rFonts w:ascii="仿宋" w:eastAsia="仿宋" w:hAnsi="仿宋" w:cs="仿宋" w:hint="eastAsia"/>
          <w:sz w:val="28"/>
          <w:szCs w:val="28"/>
          <w:lang w:val="en-US" w:eastAsia="zh-CN"/>
        </w:rPr>
        <w:t>。雷达根据预先设置的测试程序，自动完成各项参数的测试和结果存储。</w:t>
      </w:r>
      <w:bookmarkEnd w:id="60"/>
      <w:r>
        <w:rPr>
          <w:rFonts w:ascii="仿宋" w:eastAsia="仿宋" w:hAnsi="仿宋" w:cs="仿宋" w:hint="eastAsia"/>
          <w:sz w:val="28"/>
          <w:szCs w:val="28"/>
          <w:lang w:val="en-US" w:eastAsia="zh-CN"/>
        </w:rPr>
        <w:t>标定结果设有独立告警门限并在记录文件中保存，在本地可保存不少于6个月的数据，并可在固定目录下查看历史标定记录。</w:t>
      </w:r>
    </w:p>
    <w:p>
      <w:pPr>
        <w:pStyle w:val="Heading4"/>
        <w:keepNext/>
        <w:keepLines/>
        <w:pageBreakBefore w:val="0"/>
        <w:widowControl w:val="0"/>
        <w:kinsoku/>
        <w:wordWrap/>
        <w:overflowPunct/>
        <w:topLinePunct w:val="0"/>
        <w:autoSpaceDE/>
        <w:autoSpaceDN/>
        <w:bidi w:val="0"/>
        <w:adjustRightInd/>
        <w:snapToGrid/>
        <w:spacing w:before="0" w:after="0" w:line="560" w:lineRule="exact"/>
        <w:ind w:firstLine="560" w:firstLineChars="200"/>
        <w:textAlignment w:val="auto"/>
        <w:rPr>
          <w:rFonts w:ascii="仿宋" w:eastAsia="仿宋" w:hAnsi="仿宋" w:cs="仿宋" w:hint="eastAsia"/>
          <w:b w:val="0"/>
          <w:szCs w:val="28"/>
          <w:lang w:val="en-US" w:bidi="ar-SA"/>
        </w:rPr>
      </w:pPr>
      <w:r>
        <w:rPr>
          <w:rFonts w:ascii="仿宋" w:eastAsia="仿宋" w:hAnsi="仿宋" w:cs="仿宋" w:hint="eastAsia"/>
          <w:b w:val="0"/>
          <w:kern w:val="2"/>
          <w:sz w:val="28"/>
          <w:szCs w:val="28"/>
          <w:lang w:val="en-US" w:eastAsia="zh-CN" w:bidi="ar-SA"/>
        </w:rPr>
        <w:t>2.7.1在线标定功能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default"/>
          <w:sz w:val="28"/>
          <w:szCs w:val="28"/>
        </w:rPr>
      </w:pPr>
      <w:r>
        <w:rPr>
          <w:rFonts w:ascii="仿宋" w:eastAsia="仿宋" w:hAnsi="仿宋" w:cs="仿宋" w:hint="default"/>
          <w:sz w:val="28"/>
          <w:szCs w:val="28"/>
          <w:lang w:val="en-US" w:eastAsia="zh-CN"/>
        </w:rPr>
        <w:t>（1）收发单元标定</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default"/>
          <w:sz w:val="28"/>
          <w:szCs w:val="28"/>
        </w:rPr>
      </w:pPr>
      <w:r>
        <w:rPr>
          <w:rFonts w:ascii="仿宋" w:eastAsia="仿宋" w:hAnsi="仿宋" w:cs="仿宋" w:hint="default"/>
          <w:sz w:val="28"/>
          <w:szCs w:val="28"/>
          <w:lang w:val="en-US" w:eastAsia="zh-CN"/>
        </w:rPr>
        <w:t>每个收发单元具备收发幅相测试能力，标定周期可任意设置，做完一次包含所有单元标定的时间不超过4min（标准型）、6min（增强型）。</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default"/>
          <w:sz w:val="28"/>
          <w:szCs w:val="28"/>
        </w:rPr>
      </w:pPr>
      <w:r>
        <w:rPr>
          <w:rFonts w:ascii="仿宋" w:eastAsia="仿宋" w:hAnsi="仿宋" w:cs="仿宋" w:hint="default"/>
          <w:sz w:val="28"/>
          <w:szCs w:val="28"/>
          <w:lang w:val="en-US" w:eastAsia="zh-CN"/>
        </w:rPr>
        <w:t>收发单元在线标定项包括但不限于发射峰值功率、接收噪声系数、相位噪声等。</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default"/>
          <w:sz w:val="28"/>
          <w:szCs w:val="28"/>
        </w:rPr>
      </w:pPr>
      <w:r>
        <w:rPr>
          <w:rFonts w:ascii="仿宋" w:eastAsia="仿宋" w:hAnsi="仿宋" w:cs="仿宋" w:hint="default"/>
          <w:sz w:val="28"/>
          <w:szCs w:val="28"/>
          <w:lang w:val="en-US" w:eastAsia="zh-CN"/>
        </w:rPr>
        <w:t>（2）系统标定</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default"/>
          <w:sz w:val="28"/>
          <w:szCs w:val="28"/>
          <w:lang w:val="en-US" w:eastAsia="zh-CN"/>
        </w:rPr>
        <w:t>系统在线标定应能够使用每个收发单元的测试数据通过特定算法形成系统标定结果，标定项目包括但不限于发射峰值功率、接收噪声系数、接收动态范围、系统相位噪声、回波强度、滤波前后功率比、径向速度、差分反射率因子、差分传播相移、通道间幅相一致性、标定常数等。雷达可依据标定结果自动修正偏差，提高雷达探测准确度</w:t>
      </w:r>
      <w:r>
        <w:rPr>
          <w:rFonts w:ascii="仿宋" w:eastAsia="仿宋" w:hAnsi="仿宋" w:cs="仿宋" w:hint="eastAsia"/>
          <w:sz w:val="28"/>
          <w:szCs w:val="28"/>
          <w:lang w:val="en-US" w:eastAsia="zh-CN"/>
        </w:rPr>
        <w:t>。</w:t>
      </w:r>
    </w:p>
    <w:p>
      <w:pPr>
        <w:pStyle w:val="Heading4"/>
        <w:keepNext/>
        <w:keepLines/>
        <w:pageBreakBefore w:val="0"/>
        <w:widowControl w:val="0"/>
        <w:kinsoku/>
        <w:wordWrap/>
        <w:overflowPunct/>
        <w:topLinePunct w:val="0"/>
        <w:autoSpaceDE/>
        <w:autoSpaceDN/>
        <w:bidi w:val="0"/>
        <w:adjustRightInd/>
        <w:snapToGrid/>
        <w:spacing w:before="0" w:after="0" w:line="560" w:lineRule="exact"/>
        <w:ind w:firstLine="560" w:firstLineChars="200"/>
        <w:textAlignment w:val="auto"/>
        <w:rPr>
          <w:rFonts w:ascii="仿宋" w:eastAsia="仿宋" w:hAnsi="仿宋" w:cs="仿宋" w:hint="eastAsia"/>
          <w:b w:val="0"/>
          <w:szCs w:val="28"/>
          <w:lang w:val="en-US" w:bidi="ar-SA"/>
        </w:rPr>
      </w:pPr>
      <w:r>
        <w:rPr>
          <w:rFonts w:ascii="仿宋" w:eastAsia="仿宋" w:hAnsi="仿宋" w:cs="仿宋" w:hint="eastAsia"/>
          <w:b w:val="0"/>
          <w:kern w:val="2"/>
          <w:sz w:val="28"/>
          <w:szCs w:val="28"/>
          <w:lang w:val="en-US" w:eastAsia="zh-CN" w:bidi="ar-SA"/>
        </w:rPr>
        <w:t>2.7.2离线标定功能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default"/>
          <w:sz w:val="28"/>
          <w:szCs w:val="28"/>
        </w:rPr>
      </w:pPr>
      <w:r>
        <w:rPr>
          <w:rFonts w:ascii="仿宋" w:eastAsia="仿宋" w:hAnsi="仿宋" w:cs="仿宋" w:hint="default"/>
          <w:sz w:val="28"/>
          <w:szCs w:val="28"/>
          <w:lang w:val="en-US" w:eastAsia="zh-CN"/>
        </w:rPr>
        <w:t>（1）收发单元标定</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default"/>
          <w:sz w:val="28"/>
          <w:szCs w:val="28"/>
        </w:rPr>
      </w:pPr>
      <w:r>
        <w:rPr>
          <w:rFonts w:ascii="仿宋" w:eastAsia="仿宋" w:hAnsi="仿宋" w:cs="仿宋" w:hint="default"/>
          <w:sz w:val="28"/>
          <w:szCs w:val="28"/>
          <w:lang w:val="en-US" w:eastAsia="zh-CN"/>
        </w:rPr>
        <w:t>收发单元离线标定项包括但不限于发射脉冲宽度、发射峰值功率、发射信号相位、发射脉冲射频频谱、发射输出极限改善因子、接收噪声系数、最小可测功率、接收动态范围、相位噪声等。</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default"/>
          <w:sz w:val="28"/>
          <w:szCs w:val="28"/>
        </w:rPr>
      </w:pPr>
      <w:r>
        <w:rPr>
          <w:rFonts w:ascii="仿宋" w:eastAsia="仿宋" w:hAnsi="仿宋" w:cs="仿宋" w:hint="default"/>
          <w:sz w:val="28"/>
          <w:szCs w:val="28"/>
          <w:lang w:val="en-US" w:eastAsia="zh-CN"/>
        </w:rPr>
        <w:t>根据离线标定结果订正在线标定误差。</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default"/>
          <w:sz w:val="28"/>
          <w:szCs w:val="28"/>
        </w:rPr>
      </w:pPr>
      <w:r>
        <w:rPr>
          <w:rFonts w:ascii="仿宋" w:eastAsia="仿宋" w:hAnsi="仿宋" w:cs="仿宋" w:hint="default"/>
          <w:sz w:val="28"/>
          <w:szCs w:val="28"/>
          <w:lang w:val="en-US" w:eastAsia="zh-CN"/>
        </w:rPr>
        <w:t>（2）系统标定</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default"/>
          <w:sz w:val="28"/>
          <w:szCs w:val="28"/>
        </w:rPr>
      </w:pPr>
      <w:r>
        <w:rPr>
          <w:rFonts w:ascii="仿宋" w:eastAsia="仿宋" w:hAnsi="仿宋" w:cs="仿宋" w:hint="default"/>
          <w:sz w:val="28"/>
          <w:szCs w:val="28"/>
          <w:lang w:val="en-US" w:eastAsia="zh-CN"/>
        </w:rPr>
        <w:t>系统离线标定主要采用远场方式，根据离线标定结果订正在线标定误差。标定项包括但不限于天线波束指向误差、发射脉冲宽度、等效全向辐射功率（EIRP）、发射脉冲射频频谱、发射输出极限改善因子、增益与噪声温度比（G/T）、最小可测功率、接收动态范围、脉冲压缩主副瓣比、系统相位噪声、地物对消能力、回波强度、径向速度、差分反射率因子、差分传播相移等。主要测试项目及测试方法包括：</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default"/>
          <w:sz w:val="28"/>
          <w:szCs w:val="28"/>
        </w:rPr>
      </w:pPr>
      <w:r>
        <w:rPr>
          <w:rFonts w:ascii="仿宋" w:eastAsia="仿宋" w:hAnsi="仿宋" w:cs="仿宋" w:hint="default"/>
          <w:sz w:val="28"/>
          <w:szCs w:val="28"/>
          <w:lang w:val="en-US" w:eastAsia="zh-CN"/>
        </w:rPr>
        <w:t>1）天线波束指向误差：采用太阳作为信号源或使用等效方法检查天线波束指向误差。</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default"/>
          <w:sz w:val="28"/>
          <w:szCs w:val="28"/>
        </w:rPr>
      </w:pPr>
      <w:r>
        <w:rPr>
          <w:rFonts w:ascii="仿宋" w:eastAsia="仿宋" w:hAnsi="仿宋" w:cs="仿宋" w:hint="default"/>
          <w:sz w:val="28"/>
          <w:szCs w:val="28"/>
          <w:lang w:val="en-US" w:eastAsia="zh-CN"/>
        </w:rPr>
        <w:t>2）发射脉冲宽度、EIRP、发射脉冲射频频谱、发射输出极限改善因子、G/T、最小可测功率、接收动态范围、脉冲压缩主副瓣比、系统相位噪声、回波强度、径向速度、差分反射率因子、差分传播相移：使用专用测量设备。</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default"/>
          <w:sz w:val="28"/>
          <w:szCs w:val="28"/>
        </w:rPr>
      </w:pPr>
      <w:r>
        <w:rPr>
          <w:rFonts w:ascii="仿宋" w:eastAsia="仿宋" w:hAnsi="仿宋" w:cs="仿宋" w:hint="default"/>
          <w:sz w:val="28"/>
          <w:szCs w:val="28"/>
          <w:lang w:val="en-US" w:eastAsia="zh-CN"/>
        </w:rPr>
        <w:t>3）地物对消能力：比较对消前和对消后的回波强度，检查系统对实际地物的抑制能力。</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default"/>
          <w:sz w:val="28"/>
          <w:szCs w:val="28"/>
        </w:rPr>
      </w:pPr>
      <w:r>
        <w:rPr>
          <w:rFonts w:ascii="仿宋" w:eastAsia="仿宋" w:hAnsi="仿宋" w:cs="仿宋" w:hint="default"/>
          <w:sz w:val="28"/>
          <w:szCs w:val="28"/>
          <w:lang w:val="en-US" w:eastAsia="zh-CN"/>
        </w:rPr>
        <w:t>4）金属球标定：使用标准反射金属球对回波强度、差分反射率因子、差分传播相移、相关系数进行标定。</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default"/>
          <w:sz w:val="28"/>
          <w:szCs w:val="28"/>
        </w:rPr>
      </w:pPr>
      <w:r>
        <w:rPr>
          <w:rFonts w:ascii="仿宋" w:eastAsia="仿宋" w:hAnsi="仿宋" w:cs="仿宋" w:hint="default"/>
          <w:sz w:val="28"/>
          <w:szCs w:val="28"/>
          <w:lang w:val="en-US" w:eastAsia="zh-CN"/>
        </w:rPr>
        <w:t>5）天顶法：采用小雨滴作为球形散射体检查两个极化的一致性。</w:t>
      </w:r>
    </w:p>
    <w:p>
      <w:pPr>
        <w:keepNext w:val="0"/>
        <w:keepLines w:val="0"/>
        <w:pageBreakBefore w:val="0"/>
        <w:widowControl w:val="0"/>
        <w:numPr>
          <w:ilvl w:val="1"/>
          <w:numId w:val="0"/>
        </w:numPr>
        <w:kinsoku/>
        <w:wordWrap/>
        <w:overflowPunct/>
        <w:topLinePunct w:val="0"/>
        <w:autoSpaceDE/>
        <w:autoSpaceDN/>
        <w:bidi w:val="0"/>
        <w:adjustRightInd/>
        <w:snapToGrid/>
        <w:spacing w:line="560" w:lineRule="exact"/>
        <w:ind w:left="0" w:firstLine="560" w:leftChars="0" w:firstLineChars="200"/>
        <w:textAlignment w:val="auto"/>
        <w:outlineLvl w:val="2"/>
        <w:rPr>
          <w:rFonts w:ascii="仿宋" w:eastAsia="仿宋" w:hAnsi="仿宋" w:cs="仿宋" w:hint="eastAsia"/>
          <w:sz w:val="28"/>
          <w:szCs w:val="28"/>
        </w:rPr>
      </w:pPr>
      <w:r>
        <w:rPr>
          <w:rFonts w:ascii="仿宋" w:eastAsia="仿宋" w:hAnsi="仿宋" w:cs="仿宋" w:hint="eastAsia"/>
          <w:kern w:val="2"/>
          <w:sz w:val="28"/>
          <w:szCs w:val="28"/>
          <w:lang w:val="en-US" w:eastAsia="zh-CN" w:bidi="ar-SA"/>
        </w:rPr>
        <w:t>2</w:t>
      </w:r>
      <w:r>
        <w:rPr>
          <w:rFonts w:ascii="仿宋" w:eastAsia="仿宋" w:hAnsi="仿宋" w:cs="仿宋" w:hint="default"/>
          <w:kern w:val="2"/>
          <w:sz w:val="28"/>
          <w:szCs w:val="28"/>
          <w:lang w:val="en-US" w:eastAsia="zh-CN" w:bidi="ar-SA"/>
        </w:rPr>
        <w:t>.8</w:t>
      </w:r>
      <w:r>
        <w:rPr>
          <w:rFonts w:ascii="仿宋" w:eastAsia="仿宋" w:hAnsi="仿宋" w:cs="仿宋" w:hint="eastAsia"/>
          <w:kern w:val="2"/>
          <w:sz w:val="28"/>
          <w:szCs w:val="28"/>
          <w:lang w:val="en-US" w:eastAsia="zh-CN" w:bidi="ar-SA"/>
        </w:rPr>
        <w:t>监控与显示功能</w:t>
      </w:r>
    </w:p>
    <w:p>
      <w:pPr>
        <w:pStyle w:val="Heading4"/>
        <w:keepNext/>
        <w:keepLines/>
        <w:pageBreakBefore w:val="0"/>
        <w:widowControl w:val="0"/>
        <w:kinsoku/>
        <w:wordWrap/>
        <w:overflowPunct/>
        <w:topLinePunct w:val="0"/>
        <w:autoSpaceDE/>
        <w:autoSpaceDN/>
        <w:bidi w:val="0"/>
        <w:adjustRightInd/>
        <w:snapToGrid/>
        <w:spacing w:before="0" w:after="0" w:line="560" w:lineRule="exact"/>
        <w:ind w:firstLine="560" w:firstLineChars="200"/>
        <w:textAlignment w:val="auto"/>
        <w:rPr>
          <w:rFonts w:ascii="仿宋" w:eastAsia="仿宋" w:hAnsi="仿宋" w:cs="仿宋" w:hint="eastAsia"/>
          <w:b w:val="0"/>
          <w:szCs w:val="28"/>
          <w:lang w:val="en-US" w:bidi="ar-SA"/>
        </w:rPr>
      </w:pPr>
      <w:r>
        <w:rPr>
          <w:rFonts w:ascii="仿宋" w:eastAsia="仿宋" w:hAnsi="仿宋" w:cs="仿宋" w:hint="eastAsia"/>
          <w:b w:val="0"/>
          <w:kern w:val="2"/>
          <w:sz w:val="28"/>
          <w:szCs w:val="28"/>
          <w:lang w:val="en-US" w:eastAsia="zh-CN" w:bidi="ar-SA"/>
        </w:rPr>
        <w:t>2.8.1 雷达及附属设备监测</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1）具备本地和远程在线监测，显示雷达自动测试结果，并上传基础参数的能力，其中基础参数包括但不限于：雷达静态参数、雷达运行模式参数、雷达在线标定参数等。</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2）完整记录适配参数变更、软件更迭等信息。</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3）雷达机内测试设备应实时监测对雷达工作有影响的因素，并根据影响情况分为有影响和严重影响两类，分别对应于一般告警和自动停机告警两种，并自动存储、上传工作状态和告警信息。</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4）对雷达运行环境状态参数进行在线采集、监测、显示、记录并上传，上传参数包括但不限于天线阵面温度、底座温度。</w:t>
      </w:r>
    </w:p>
    <w:p>
      <w:pPr>
        <w:pStyle w:val="Heading4"/>
        <w:keepNext/>
        <w:keepLines/>
        <w:pageBreakBefore w:val="0"/>
        <w:widowControl w:val="0"/>
        <w:kinsoku/>
        <w:wordWrap/>
        <w:overflowPunct/>
        <w:topLinePunct w:val="0"/>
        <w:autoSpaceDE/>
        <w:autoSpaceDN/>
        <w:bidi w:val="0"/>
        <w:adjustRightInd/>
        <w:snapToGrid/>
        <w:spacing w:before="0" w:after="0" w:line="560" w:lineRule="exact"/>
        <w:ind w:firstLine="560" w:firstLineChars="200"/>
        <w:textAlignment w:val="auto"/>
        <w:rPr>
          <w:rFonts w:ascii="仿宋" w:eastAsia="仿宋" w:hAnsi="仿宋" w:cs="仿宋" w:hint="eastAsia"/>
          <w:b w:val="0"/>
          <w:szCs w:val="28"/>
          <w:lang w:val="en-US" w:bidi="ar-SA"/>
        </w:rPr>
      </w:pPr>
      <w:r>
        <w:rPr>
          <w:rFonts w:ascii="仿宋" w:eastAsia="仿宋" w:hAnsi="仿宋" w:cs="仿宋" w:hint="eastAsia"/>
          <w:b w:val="0"/>
          <w:kern w:val="2"/>
          <w:sz w:val="28"/>
          <w:szCs w:val="28"/>
          <w:lang w:val="en-US" w:eastAsia="zh-CN" w:bidi="ar-SA"/>
        </w:rPr>
        <w:t>2.8.2远程控制功能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1）具备本地、远程监视和遥控能力，包括但不限于控制开关机、观测模式切换、查看标定结果、修改适配参数等。</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2）具有软件远程升级功能，并具有雷达运行与维护的远程支持能力，测试项包括但不限于伺服角度控制误差、天线波束指向误差、发射峰值功率、接收噪声系数、接收动态范围、脉冲压缩主副瓣比、系统相位噪声、滤波前后功率比、回波强度、径向速度、差分反射率因子、差分传播相移等。</w:t>
      </w:r>
    </w:p>
    <w:p>
      <w:pPr>
        <w:pStyle w:val="Heading4"/>
        <w:keepNext/>
        <w:keepLines/>
        <w:pageBreakBefore w:val="0"/>
        <w:widowControl w:val="0"/>
        <w:kinsoku/>
        <w:wordWrap/>
        <w:overflowPunct/>
        <w:topLinePunct w:val="0"/>
        <w:autoSpaceDE/>
        <w:autoSpaceDN/>
        <w:bidi w:val="0"/>
        <w:adjustRightInd/>
        <w:snapToGrid/>
        <w:spacing w:before="0" w:after="0" w:line="560" w:lineRule="exact"/>
        <w:ind w:firstLine="560" w:firstLineChars="200"/>
        <w:textAlignment w:val="auto"/>
        <w:rPr>
          <w:rFonts w:ascii="仿宋" w:eastAsia="仿宋" w:hAnsi="仿宋" w:cs="仿宋" w:hint="eastAsia"/>
          <w:b w:val="0"/>
          <w:szCs w:val="28"/>
          <w:lang w:val="en-US" w:bidi="ar-SA"/>
        </w:rPr>
      </w:pPr>
      <w:bookmarkStart w:id="61" w:name="_Toc524551142"/>
      <w:r>
        <w:rPr>
          <w:rFonts w:ascii="仿宋" w:eastAsia="仿宋" w:hAnsi="仿宋" w:cs="仿宋" w:hint="eastAsia"/>
          <w:b w:val="0"/>
          <w:kern w:val="2"/>
          <w:sz w:val="28"/>
          <w:szCs w:val="28"/>
          <w:lang w:val="en-US" w:eastAsia="zh-CN" w:bidi="ar-SA"/>
        </w:rPr>
        <w:t>2.8.3设备级质控及气象产品显示</w:t>
      </w:r>
      <w:bookmarkEnd w:id="61"/>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对基数据进行设备级质控，包括滤波、杂波校正因子（CCOR）门限、电磁干扰抑制、速度退模糊、距离退折叠、异常回波标记等。</w:t>
      </w:r>
      <w:bookmarkStart w:id="62" w:name="_Hlk19004266"/>
      <w:r>
        <w:rPr>
          <w:rFonts w:ascii="仿宋" w:eastAsia="仿宋" w:hAnsi="仿宋" w:cs="仿宋" w:hint="eastAsia"/>
          <w:sz w:val="28"/>
          <w:szCs w:val="28"/>
          <w:lang w:val="en-US" w:eastAsia="zh-CN"/>
        </w:rPr>
        <w:t>质控前后的基数据都具备存储功能。</w:t>
      </w:r>
      <w:bookmarkEnd w:id="62"/>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雷达能够输出强度（Z）、速度（V）、谱宽（W）、差分反射率因子（ZDR）、差分传播相移（ΦDP）、差分传播相移率（KDP）、相关系数（ρhv）、信噪比（SNR）等基本量，在单发双收模式下能够输出退偏振比（LDR）。</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雷达通过图形、图像方式将产品提供给用户，作天气现象分析和预报使用。</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1）气象产品实时图形显示；</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2）具备对监测的所有参数显示及超限告警提示显示功能等；</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3）气象产品查询；</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4）鼠标位置显示，数值及产品信息显示；</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5）数据分层显示；</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6）多仰角、多要素同时显示功能；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7）游标显示（方位、距离、高度和数值等）。</w:t>
      </w:r>
    </w:p>
    <w:p>
      <w:pPr>
        <w:pStyle w:val="Heading4"/>
        <w:keepNext/>
        <w:keepLines/>
        <w:pageBreakBefore w:val="0"/>
        <w:widowControl w:val="0"/>
        <w:kinsoku/>
        <w:wordWrap/>
        <w:overflowPunct/>
        <w:topLinePunct w:val="0"/>
        <w:autoSpaceDE/>
        <w:autoSpaceDN/>
        <w:bidi w:val="0"/>
        <w:adjustRightInd/>
        <w:snapToGrid/>
        <w:spacing w:before="0" w:after="0" w:line="560" w:lineRule="exact"/>
        <w:ind w:firstLine="560" w:firstLineChars="200"/>
        <w:textAlignment w:val="auto"/>
        <w:rPr>
          <w:rFonts w:ascii="仿宋" w:eastAsia="仿宋" w:hAnsi="仿宋" w:cs="仿宋" w:hint="eastAsia"/>
          <w:b w:val="0"/>
          <w:szCs w:val="28"/>
          <w:lang w:val="en-US" w:bidi="ar-SA"/>
        </w:rPr>
      </w:pPr>
      <w:r>
        <w:rPr>
          <w:rFonts w:ascii="仿宋" w:eastAsia="仿宋" w:hAnsi="仿宋" w:cs="仿宋" w:hint="eastAsia"/>
          <w:b w:val="0"/>
          <w:kern w:val="2"/>
          <w:sz w:val="28"/>
          <w:szCs w:val="28"/>
          <w:lang w:val="en-US" w:eastAsia="zh-CN" w:bidi="ar-SA"/>
        </w:rPr>
        <w:t>2.8.4授时功能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能够通过卫星授时或网络授时定期校准时间，使雷达时间准确度优于1s。</w:t>
      </w:r>
    </w:p>
    <w:p>
      <w:pPr>
        <w:numPr>
          <w:ilvl w:val="0"/>
          <w:numId w:val="5"/>
        </w:numPr>
        <w:spacing w:line="560" w:lineRule="exact"/>
        <w:ind w:firstLine="560" w:firstLineChars="200"/>
        <w:outlineLvl w:val="1"/>
        <w:rPr>
          <w:rFonts w:ascii="仿宋" w:eastAsia="仿宋" w:hAnsi="仿宋" w:cs="仿宋" w:hint="eastAsia"/>
          <w:sz w:val="28"/>
          <w:szCs w:val="20"/>
        </w:rPr>
      </w:pPr>
      <w:r>
        <w:rPr>
          <w:rFonts w:ascii="仿宋" w:eastAsia="仿宋" w:hAnsi="仿宋" w:cs="仿宋" w:hint="eastAsia"/>
          <w:sz w:val="28"/>
          <w:szCs w:val="20"/>
          <w:lang w:val="en-US" w:eastAsia="zh-CN"/>
        </w:rPr>
        <w:t>技术指标</w:t>
      </w:r>
    </w:p>
    <w:p>
      <w:pPr>
        <w:keepNext w:val="0"/>
        <w:keepLines w:val="0"/>
        <w:pageBreakBefore w:val="0"/>
        <w:widowControl w:val="0"/>
        <w:numPr>
          <w:ilvl w:val="1"/>
          <w:numId w:val="0"/>
        </w:numPr>
        <w:kinsoku/>
        <w:wordWrap/>
        <w:overflowPunct/>
        <w:topLinePunct w:val="0"/>
        <w:autoSpaceDE/>
        <w:autoSpaceDN/>
        <w:bidi w:val="0"/>
        <w:adjustRightInd/>
        <w:snapToGrid/>
        <w:spacing w:line="560" w:lineRule="exact"/>
        <w:ind w:left="0" w:firstLine="560" w:leftChars="0" w:firstLineChars="200"/>
        <w:textAlignment w:val="auto"/>
        <w:outlineLvl w:val="2"/>
        <w:rPr>
          <w:rFonts w:ascii="仿宋" w:eastAsia="仿宋" w:hAnsi="仿宋" w:cs="仿宋" w:hint="eastAsia"/>
          <w:sz w:val="28"/>
          <w:szCs w:val="28"/>
        </w:rPr>
      </w:pPr>
      <w:r>
        <w:rPr>
          <w:rFonts w:ascii="仿宋" w:eastAsia="仿宋" w:hAnsi="仿宋" w:cs="仿宋" w:hint="eastAsia"/>
          <w:kern w:val="2"/>
          <w:sz w:val="28"/>
          <w:szCs w:val="28"/>
          <w:lang w:val="en-US" w:eastAsia="zh-CN" w:bidi="ar-SA"/>
        </w:rPr>
        <w:t>3.1总体技术指标</w:t>
      </w:r>
    </w:p>
    <w:p>
      <w:pPr>
        <w:ind w:firstLine="560" w:firstLineChars="200"/>
        <w:rPr>
          <w:rFonts w:ascii="仿宋" w:eastAsia="仿宋" w:hAnsi="仿宋" w:cs="仿宋" w:hint="eastAsia"/>
          <w:sz w:val="28"/>
          <w:szCs w:val="28"/>
        </w:rPr>
      </w:pPr>
      <w:r>
        <w:rPr>
          <w:rFonts w:ascii="仿宋" w:eastAsia="仿宋" w:hAnsi="仿宋" w:cs="仿宋" w:hint="eastAsia"/>
          <w:sz w:val="28"/>
          <w:szCs w:val="28"/>
        </w:rPr>
        <w:t>总体技术指标包括：探测空间范围、气象要素测量范围、测量准确度等，具体指标见表1。</w:t>
      </w:r>
    </w:p>
    <w:p>
      <w:pPr>
        <w:widowControl/>
        <w:kinsoku w:val="0"/>
        <w:autoSpaceDE w:val="0"/>
        <w:autoSpaceDN w:val="0"/>
        <w:adjustRightInd w:val="0"/>
        <w:snapToGrid w:val="0"/>
        <w:spacing w:line="360" w:lineRule="auto"/>
        <w:ind w:firstLine="458"/>
        <w:jc w:val="center"/>
        <w:textAlignment w:val="baseline"/>
        <w:rPr>
          <w:rFonts w:ascii="Times New Roman" w:hAnsi="Times New Roman"/>
          <w:b/>
          <w:bCs/>
        </w:rPr>
      </w:pPr>
      <w:r>
        <w:rPr>
          <w:rFonts w:ascii="Times New Roman" w:hAnsi="Times New Roman" w:hint="eastAsia"/>
          <w:b/>
          <w:bCs/>
          <w:spacing w:val="-6"/>
          <w:sz w:val="24"/>
          <w:szCs w:val="24"/>
        </w:rPr>
        <w:t>表</w:t>
      </w:r>
      <w:r>
        <w:rPr>
          <w:rFonts w:ascii="Times New Roman" w:hAnsi="Times New Roman"/>
          <w:b/>
          <w:bCs/>
          <w:spacing w:val="-6"/>
          <w:sz w:val="24"/>
          <w:szCs w:val="24"/>
        </w:rPr>
        <w:t xml:space="preserve">1 </w:t>
      </w:r>
      <w:r>
        <w:rPr>
          <w:rFonts w:ascii="Times New Roman" w:hAnsi="Times New Roman" w:hint="eastAsia"/>
          <w:b/>
          <w:bCs/>
          <w:spacing w:val="-6"/>
          <w:sz w:val="24"/>
          <w:szCs w:val="24"/>
        </w:rPr>
        <w:t>总体技术指标表</w:t>
      </w:r>
    </w:p>
    <w:tbl>
      <w:tblPr>
        <w:tblStyle w:val="TableNormal0"/>
        <w:tblW w:w="5011"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
      <w:tblGrid>
        <w:gridCol w:w="886"/>
        <w:gridCol w:w="1328"/>
        <w:gridCol w:w="6116"/>
      </w:tblGrid>
      <w:tr>
        <w:tblPrEx>
          <w:tblW w:w="5011"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Ex>
        <w:trPr>
          <w:trHeight w:val="337"/>
        </w:trPr>
        <w:tc>
          <w:tcPr>
            <w:tcW w:w="1329" w:type="pct"/>
            <w:gridSpan w:val="2"/>
            <w:tcBorders>
              <w:bottom w:val="nil"/>
            </w:tcBorders>
            <w:vAlign w:val="center"/>
          </w:tcPr>
          <w:p>
            <w:pPr>
              <w:widowControl/>
              <w:kinsoku w:val="0"/>
              <w:autoSpaceDE w:val="0"/>
              <w:autoSpaceDN w:val="0"/>
              <w:adjustRightInd w:val="0"/>
              <w:snapToGrid w:val="0"/>
              <w:spacing w:line="360" w:lineRule="auto"/>
              <w:jc w:val="center"/>
              <w:textAlignment w:val="baseline"/>
              <w:rPr>
                <w:rFonts w:ascii="Times New Roman" w:hAnsi="Times New Roman"/>
                <w:b/>
                <w:bCs/>
              </w:rPr>
            </w:pPr>
            <w:r>
              <w:rPr>
                <w:rFonts w:ascii="Times New Roman" w:hAnsi="Times New Roman" w:hint="eastAsia"/>
                <w:b/>
                <w:bCs/>
                <w:sz w:val="24"/>
                <w:szCs w:val="24"/>
              </w:rPr>
              <w:t>项目</w:t>
            </w:r>
          </w:p>
        </w:tc>
        <w:tc>
          <w:tcPr>
            <w:tcW w:w="3670"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b/>
                <w:bCs/>
              </w:rPr>
            </w:pPr>
            <w:r>
              <w:rPr>
                <w:rFonts w:ascii="Times New Roman" w:hAnsi="Times New Roman" w:hint="eastAsia"/>
                <w:b/>
                <w:bCs/>
                <w:sz w:val="24"/>
                <w:szCs w:val="24"/>
              </w:rPr>
              <w:t>性能指标</w:t>
            </w:r>
          </w:p>
        </w:tc>
      </w:tr>
      <w:tr>
        <w:tblPrEx>
          <w:tblW w:w="5011" w:type="pct"/>
          <w:tblInd w:w="0" w:type="dxa"/>
          <w:tblCellMar>
            <w:top w:w="0" w:type="dxa"/>
            <w:left w:w="0" w:type="dxa"/>
            <w:bottom w:w="0" w:type="dxa"/>
            <w:right w:w="0" w:type="dxa"/>
          </w:tblCellMar>
        </w:tblPrEx>
        <w:trPr>
          <w:trHeight w:val="569"/>
        </w:trPr>
        <w:tc>
          <w:tcPr>
            <w:tcW w:w="1329" w:type="pct"/>
            <w:gridSpan w:val="2"/>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highlight w:val="yellow"/>
              </w:rPr>
              <w:t>#</w:t>
            </w:r>
            <w:r>
              <w:rPr>
                <w:rFonts w:ascii="Times New Roman" w:hAnsi="Times New Roman" w:hint="eastAsia"/>
                <w:sz w:val="24"/>
                <w:szCs w:val="24"/>
              </w:rPr>
              <w:t>雷达体制</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双线偏振一维全固态数字平面相控阵体制</w:t>
            </w:r>
          </w:p>
        </w:tc>
      </w:tr>
      <w:tr>
        <w:tblPrEx>
          <w:tblW w:w="5011" w:type="pct"/>
          <w:tblInd w:w="0" w:type="dxa"/>
          <w:tblCellMar>
            <w:top w:w="0" w:type="dxa"/>
            <w:left w:w="0" w:type="dxa"/>
            <w:bottom w:w="0" w:type="dxa"/>
            <w:right w:w="0" w:type="dxa"/>
          </w:tblCellMar>
        </w:tblPrEx>
        <w:trPr>
          <w:trHeight w:val="565"/>
        </w:trPr>
        <w:tc>
          <w:tcPr>
            <w:tcW w:w="1329" w:type="pct"/>
            <w:gridSpan w:val="2"/>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highlight w:val="yellow"/>
              </w:rPr>
              <w:t>#</w:t>
            </w:r>
            <w:r>
              <w:rPr>
                <w:rFonts w:ascii="Times New Roman" w:hAnsi="Times New Roman" w:hint="eastAsia"/>
                <w:sz w:val="24"/>
                <w:szCs w:val="24"/>
              </w:rPr>
              <w:t>收发模式</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双发双收、单发双收、宽发窄收、窄发窄收</w:t>
            </w:r>
          </w:p>
        </w:tc>
      </w:tr>
      <w:tr>
        <w:tblPrEx>
          <w:tblW w:w="5011" w:type="pct"/>
          <w:tblInd w:w="0" w:type="dxa"/>
          <w:tblCellMar>
            <w:top w:w="0" w:type="dxa"/>
            <w:left w:w="0" w:type="dxa"/>
            <w:bottom w:w="0" w:type="dxa"/>
            <w:right w:w="0" w:type="dxa"/>
          </w:tblCellMar>
        </w:tblPrEx>
        <w:trPr>
          <w:trHeight w:val="565"/>
        </w:trPr>
        <w:tc>
          <w:tcPr>
            <w:tcW w:w="1329" w:type="pct"/>
            <w:gridSpan w:val="2"/>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工作频率</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eastAsiaTheme="minorEastAsia"/>
                <w:sz w:val="24"/>
                <w:szCs w:val="24"/>
              </w:rPr>
              <w:t>9.3</w:t>
            </w:r>
            <w:r>
              <w:rPr>
                <w:rFonts w:ascii="Times New Roman" w:hAnsi="Times New Roman" w:eastAsiaTheme="minorEastAsia" w:hint="eastAsia"/>
                <w:sz w:val="24"/>
                <w:szCs w:val="24"/>
              </w:rPr>
              <w:t>～</w:t>
            </w:r>
            <w:r>
              <w:rPr>
                <w:rFonts w:ascii="Times New Roman" w:hAnsi="Times New Roman" w:eastAsiaTheme="minorEastAsia"/>
                <w:sz w:val="24"/>
                <w:szCs w:val="24"/>
              </w:rPr>
              <w:t>9.5</w:t>
            </w:r>
            <w:r>
              <w:rPr>
                <w:rFonts w:ascii="Times New Roman" w:hAnsi="Times New Roman"/>
                <w:sz w:val="24"/>
                <w:szCs w:val="24"/>
              </w:rPr>
              <w:t>GHz</w:t>
            </w:r>
            <w:r>
              <w:rPr>
                <w:rFonts w:ascii="Times New Roman" w:hAnsi="Times New Roman" w:hint="eastAsia"/>
                <w:sz w:val="24"/>
                <w:szCs w:val="24"/>
              </w:rPr>
              <w:t>，点频工作</w:t>
            </w:r>
          </w:p>
        </w:tc>
      </w:tr>
      <w:tr>
        <w:tblPrEx>
          <w:tblW w:w="5011" w:type="pct"/>
          <w:tblInd w:w="0" w:type="dxa"/>
          <w:tblCellMar>
            <w:top w:w="0" w:type="dxa"/>
            <w:left w:w="0" w:type="dxa"/>
            <w:bottom w:w="0" w:type="dxa"/>
            <w:right w:w="0" w:type="dxa"/>
          </w:tblCellMar>
        </w:tblPrEx>
        <w:trPr>
          <w:trHeight w:val="565"/>
        </w:trPr>
        <w:tc>
          <w:tcPr>
            <w:tcW w:w="1329" w:type="pct"/>
            <w:gridSpan w:val="2"/>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整机寿命</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15</w:t>
            </w:r>
            <w:r>
              <w:rPr>
                <w:rFonts w:ascii="Times New Roman" w:hAnsi="Times New Roman" w:hint="eastAsia"/>
                <w:sz w:val="24"/>
                <w:szCs w:val="24"/>
              </w:rPr>
              <w:t>年</w:t>
            </w:r>
          </w:p>
        </w:tc>
      </w:tr>
      <w:tr>
        <w:tblPrEx>
          <w:tblW w:w="5011" w:type="pct"/>
          <w:tblInd w:w="0" w:type="dxa"/>
          <w:tblCellMar>
            <w:top w:w="0" w:type="dxa"/>
            <w:left w:w="0" w:type="dxa"/>
            <w:bottom w:w="0" w:type="dxa"/>
            <w:right w:w="0" w:type="dxa"/>
          </w:tblCellMar>
        </w:tblPrEx>
        <w:trPr>
          <w:trHeight w:val="1224"/>
        </w:trPr>
        <w:tc>
          <w:tcPr>
            <w:tcW w:w="1329" w:type="pct"/>
            <w:gridSpan w:val="2"/>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探测距离范围</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强度：警戒≥</w:t>
            </w:r>
            <w:r>
              <w:rPr>
                <w:rFonts w:ascii="Times New Roman" w:hAnsi="Times New Roman"/>
                <w:sz w:val="24"/>
                <w:szCs w:val="24"/>
              </w:rPr>
              <w:t>120km</w:t>
            </w:r>
          </w:p>
          <w:p>
            <w:pPr>
              <w:widowControl/>
              <w:kinsoku w:val="0"/>
              <w:autoSpaceDE w:val="0"/>
              <w:autoSpaceDN w:val="0"/>
              <w:adjustRightInd w:val="0"/>
              <w:snapToGrid w:val="0"/>
              <w:spacing w:line="360" w:lineRule="auto"/>
              <w:ind w:left="105" w:firstLine="720" w:leftChars="50" w:firstLineChars="300"/>
              <w:textAlignment w:val="baseline"/>
              <w:rPr>
                <w:rFonts w:ascii="Times New Roman" w:hAnsi="Times New Roman"/>
              </w:rPr>
            </w:pPr>
            <w:r>
              <w:rPr>
                <w:rFonts w:ascii="Times New Roman" w:hAnsi="Times New Roman" w:hint="eastAsia"/>
                <w:sz w:val="24"/>
                <w:szCs w:val="24"/>
              </w:rPr>
              <w:t>定量≥</w:t>
            </w:r>
            <w:r>
              <w:rPr>
                <w:rFonts w:ascii="Times New Roman" w:hAnsi="Times New Roman"/>
                <w:sz w:val="24"/>
                <w:szCs w:val="24"/>
              </w:rPr>
              <w:t>60km</w:t>
            </w:r>
          </w:p>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速度：≥</w:t>
            </w:r>
            <w:r>
              <w:rPr>
                <w:rFonts w:ascii="Times New Roman" w:hAnsi="Times New Roman"/>
                <w:sz w:val="24"/>
                <w:szCs w:val="24"/>
              </w:rPr>
              <w:t>60km</w:t>
            </w:r>
          </w:p>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谱宽：≥</w:t>
            </w:r>
            <w:r>
              <w:rPr>
                <w:rFonts w:ascii="Times New Roman" w:hAnsi="Times New Roman"/>
                <w:sz w:val="24"/>
                <w:szCs w:val="24"/>
              </w:rPr>
              <w:t>60km</w:t>
            </w:r>
          </w:p>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偏振参数：≥</w:t>
            </w:r>
            <w:r>
              <w:rPr>
                <w:rFonts w:ascii="Times New Roman" w:hAnsi="Times New Roman"/>
                <w:sz w:val="24"/>
                <w:szCs w:val="24"/>
              </w:rPr>
              <w:t>60km</w:t>
            </w:r>
          </w:p>
        </w:tc>
      </w:tr>
      <w:tr>
        <w:tblPrEx>
          <w:tblW w:w="5011" w:type="pct"/>
          <w:tblInd w:w="0" w:type="dxa"/>
          <w:tblCellMar>
            <w:top w:w="0" w:type="dxa"/>
            <w:left w:w="0" w:type="dxa"/>
            <w:bottom w:w="0" w:type="dxa"/>
            <w:right w:w="0" w:type="dxa"/>
          </w:tblCellMar>
        </w:tblPrEx>
        <w:trPr>
          <w:trHeight w:val="565"/>
        </w:trPr>
        <w:tc>
          <w:tcPr>
            <w:tcW w:w="1329" w:type="pct"/>
            <w:gridSpan w:val="2"/>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highlight w:val="yellow"/>
              </w:rPr>
              <w:t>#</w:t>
            </w:r>
            <w:r>
              <w:rPr>
                <w:rFonts w:ascii="Times New Roman" w:hAnsi="Times New Roman" w:hint="eastAsia"/>
                <w:sz w:val="24"/>
                <w:szCs w:val="24"/>
              </w:rPr>
              <w:t>近距离盲区范围</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300</w:t>
            </w:r>
            <w:r>
              <w:rPr>
                <w:rFonts w:ascii="Times New Roman" w:hAnsi="Times New Roman" w:hint="eastAsia"/>
                <w:sz w:val="24"/>
                <w:szCs w:val="24"/>
              </w:rPr>
              <w:t>米</w:t>
            </w:r>
          </w:p>
        </w:tc>
      </w:tr>
      <w:tr>
        <w:tblPrEx>
          <w:tblW w:w="5011" w:type="pct"/>
          <w:tblInd w:w="0" w:type="dxa"/>
          <w:tblCellMar>
            <w:top w:w="0" w:type="dxa"/>
            <w:left w:w="0" w:type="dxa"/>
            <w:bottom w:w="0" w:type="dxa"/>
            <w:right w:w="0" w:type="dxa"/>
          </w:tblCellMar>
        </w:tblPrEx>
        <w:trPr>
          <w:trHeight w:val="659"/>
        </w:trPr>
        <w:tc>
          <w:tcPr>
            <w:tcW w:w="1329" w:type="pct"/>
            <w:gridSpan w:val="2"/>
            <w:vMerge w:val="restar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highlight w:val="yellow"/>
              </w:rPr>
              <w:t>#</w:t>
            </w:r>
            <w:r>
              <w:rPr>
                <w:rFonts w:ascii="Times New Roman" w:hAnsi="Times New Roman" w:hint="eastAsia"/>
                <w:sz w:val="24"/>
                <w:szCs w:val="24"/>
              </w:rPr>
              <w:t>可探测的最小反射率因子</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8dBZ</w:t>
            </w:r>
            <w:r>
              <w:rPr>
                <w:rFonts w:ascii="Times New Roman" w:hAnsi="Times New Roman" w:hint="eastAsia"/>
                <w:sz w:val="24"/>
                <w:szCs w:val="24"/>
              </w:rPr>
              <w:t>（</w:t>
            </w:r>
            <w:r>
              <w:rPr>
                <w:rFonts w:ascii="Times New Roman" w:hAnsi="Times New Roman"/>
                <w:sz w:val="24"/>
                <w:szCs w:val="24"/>
              </w:rPr>
              <w:t>3</w:t>
            </w:r>
            <w:r>
              <w:rPr>
                <w:rFonts w:ascii="Times New Roman" w:hAnsi="Times New Roman" w:hint="eastAsia"/>
                <w:sz w:val="24"/>
                <w:szCs w:val="24"/>
              </w:rPr>
              <w:t>千米处、脉宽</w:t>
            </w:r>
            <w:r>
              <w:rPr>
                <w:rFonts w:ascii="Times New Roman" w:hAnsi="Times New Roman"/>
                <w:sz w:val="24"/>
                <w:szCs w:val="24"/>
              </w:rPr>
              <w:t>0.5μs</w:t>
            </w:r>
            <w:r>
              <w:rPr>
                <w:rFonts w:ascii="Times New Roman" w:hAnsi="Times New Roman" w:hint="eastAsia"/>
                <w:sz w:val="24"/>
                <w:szCs w:val="24"/>
              </w:rPr>
              <w:t>、分辨率</w:t>
            </w:r>
            <w:r>
              <w:rPr>
                <w:rFonts w:ascii="Times New Roman" w:hAnsi="Times New Roman"/>
                <w:sz w:val="24"/>
                <w:szCs w:val="24"/>
              </w:rPr>
              <w:t>75m</w:t>
            </w:r>
            <w:r>
              <w:rPr>
                <w:rFonts w:ascii="Times New Roman" w:hAnsi="Times New Roman" w:hint="eastAsia"/>
                <w:sz w:val="24"/>
                <w:szCs w:val="24"/>
              </w:rPr>
              <w:t>、法向、单极化）</w:t>
            </w:r>
          </w:p>
        </w:tc>
      </w:tr>
      <w:tr>
        <w:tblPrEx>
          <w:tblW w:w="5011" w:type="pct"/>
          <w:tblInd w:w="0" w:type="dxa"/>
          <w:tblCellMar>
            <w:top w:w="0" w:type="dxa"/>
            <w:left w:w="0" w:type="dxa"/>
            <w:bottom w:w="0" w:type="dxa"/>
            <w:right w:w="0" w:type="dxa"/>
          </w:tblCellMar>
        </w:tblPrEx>
        <w:trPr>
          <w:trHeight w:val="364"/>
        </w:trPr>
        <w:tc>
          <w:tcPr>
            <w:tcW w:w="1329" w:type="pct"/>
            <w:gridSpan w:val="2"/>
            <w:vMerge/>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5dBZ</w:t>
            </w:r>
            <w:r>
              <w:rPr>
                <w:rFonts w:ascii="Times New Roman" w:hAnsi="Times New Roman" w:hint="eastAsia"/>
                <w:sz w:val="24"/>
                <w:szCs w:val="24"/>
              </w:rPr>
              <w:t>（</w:t>
            </w:r>
            <w:r>
              <w:rPr>
                <w:rFonts w:ascii="Times New Roman" w:hAnsi="Times New Roman"/>
                <w:sz w:val="24"/>
                <w:szCs w:val="24"/>
              </w:rPr>
              <w:t>12</w:t>
            </w:r>
            <w:r>
              <w:rPr>
                <w:rFonts w:ascii="Times New Roman" w:hAnsi="Times New Roman" w:hint="eastAsia"/>
                <w:sz w:val="24"/>
                <w:szCs w:val="24"/>
              </w:rPr>
              <w:t>千米处、脉宽</w:t>
            </w:r>
            <w:r>
              <w:rPr>
                <w:rFonts w:ascii="Times New Roman" w:hAnsi="Times New Roman"/>
                <w:sz w:val="24"/>
                <w:szCs w:val="24"/>
              </w:rPr>
              <w:t>20μs</w:t>
            </w:r>
            <w:r>
              <w:rPr>
                <w:rFonts w:ascii="Times New Roman" w:hAnsi="Times New Roman" w:hint="eastAsia"/>
                <w:sz w:val="24"/>
                <w:szCs w:val="24"/>
              </w:rPr>
              <w:t>、分辨率</w:t>
            </w:r>
            <w:r>
              <w:rPr>
                <w:rFonts w:ascii="Times New Roman" w:hAnsi="Times New Roman"/>
                <w:sz w:val="24"/>
                <w:szCs w:val="24"/>
              </w:rPr>
              <w:t>75m</w:t>
            </w:r>
            <w:r>
              <w:rPr>
                <w:rFonts w:ascii="Times New Roman" w:hAnsi="Times New Roman" w:hint="eastAsia"/>
                <w:sz w:val="24"/>
                <w:szCs w:val="24"/>
              </w:rPr>
              <w:t>、法向、单极化）</w:t>
            </w:r>
          </w:p>
        </w:tc>
      </w:tr>
      <w:tr>
        <w:tblPrEx>
          <w:tblW w:w="5011" w:type="pct"/>
          <w:tblInd w:w="0" w:type="dxa"/>
          <w:tblCellMar>
            <w:top w:w="0" w:type="dxa"/>
            <w:left w:w="0" w:type="dxa"/>
            <w:bottom w:w="0" w:type="dxa"/>
            <w:right w:w="0" w:type="dxa"/>
          </w:tblCellMar>
        </w:tblPrEx>
        <w:trPr>
          <w:trHeight w:val="679"/>
        </w:trPr>
        <w:tc>
          <w:tcPr>
            <w:tcW w:w="1329" w:type="pct"/>
            <w:gridSpan w:val="2"/>
            <w:vMerge/>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11dBZ</w:t>
            </w:r>
            <w:r>
              <w:rPr>
                <w:rFonts w:ascii="Times New Roman" w:hAnsi="Times New Roman" w:hint="eastAsia"/>
                <w:sz w:val="24"/>
                <w:szCs w:val="24"/>
              </w:rPr>
              <w:t>（</w:t>
            </w:r>
            <w:r>
              <w:rPr>
                <w:rFonts w:ascii="Times New Roman" w:hAnsi="Times New Roman"/>
                <w:sz w:val="24"/>
                <w:szCs w:val="24"/>
              </w:rPr>
              <w:t>50</w:t>
            </w:r>
            <w:r>
              <w:rPr>
                <w:rFonts w:ascii="Times New Roman" w:hAnsi="Times New Roman" w:hint="eastAsia"/>
                <w:sz w:val="24"/>
                <w:szCs w:val="24"/>
              </w:rPr>
              <w:t>千米处、脉宽</w:t>
            </w:r>
            <w:r>
              <w:rPr>
                <w:rFonts w:ascii="Times New Roman" w:hAnsi="Times New Roman"/>
                <w:sz w:val="24"/>
                <w:szCs w:val="24"/>
              </w:rPr>
              <w:t>100μs</w:t>
            </w:r>
            <w:r>
              <w:rPr>
                <w:rFonts w:ascii="Times New Roman" w:hAnsi="Times New Roman" w:hint="eastAsia"/>
                <w:sz w:val="24"/>
                <w:szCs w:val="24"/>
              </w:rPr>
              <w:t>、分辨率</w:t>
            </w:r>
            <w:r>
              <w:rPr>
                <w:rFonts w:ascii="Times New Roman" w:hAnsi="Times New Roman"/>
                <w:sz w:val="24"/>
                <w:szCs w:val="24"/>
              </w:rPr>
              <w:t>75m</w:t>
            </w:r>
            <w:r>
              <w:rPr>
                <w:rFonts w:ascii="Times New Roman" w:hAnsi="Times New Roman" w:hint="eastAsia"/>
                <w:sz w:val="24"/>
                <w:szCs w:val="24"/>
              </w:rPr>
              <w:t>、法向、单极化）</w:t>
            </w:r>
          </w:p>
        </w:tc>
      </w:tr>
      <w:tr>
        <w:tblPrEx>
          <w:tblW w:w="5011" w:type="pct"/>
          <w:tblInd w:w="0" w:type="dxa"/>
          <w:tblCellMar>
            <w:top w:w="0" w:type="dxa"/>
            <w:left w:w="0" w:type="dxa"/>
            <w:bottom w:w="0" w:type="dxa"/>
            <w:right w:w="0" w:type="dxa"/>
          </w:tblCellMar>
        </w:tblPrEx>
        <w:trPr>
          <w:trHeight w:val="747"/>
        </w:trPr>
        <w:tc>
          <w:tcPr>
            <w:tcW w:w="1329" w:type="pct"/>
            <w:gridSpan w:val="2"/>
            <w:vMerge/>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16dBZ</w:t>
            </w:r>
            <w:r>
              <w:rPr>
                <w:rFonts w:ascii="Times New Roman" w:hAnsi="Times New Roman" w:hint="eastAsia"/>
                <w:sz w:val="24"/>
                <w:szCs w:val="24"/>
              </w:rPr>
              <w:t>（</w:t>
            </w:r>
            <w:r>
              <w:rPr>
                <w:rFonts w:ascii="Times New Roman" w:hAnsi="Times New Roman"/>
                <w:sz w:val="24"/>
                <w:szCs w:val="24"/>
              </w:rPr>
              <w:t>3</w:t>
            </w:r>
            <w:r>
              <w:rPr>
                <w:rFonts w:ascii="Times New Roman" w:hAnsi="Times New Roman" w:hint="eastAsia"/>
                <w:sz w:val="24"/>
                <w:szCs w:val="24"/>
              </w:rPr>
              <w:t>千米处、脉宽</w:t>
            </w:r>
            <w:r>
              <w:rPr>
                <w:rFonts w:ascii="Times New Roman" w:hAnsi="Times New Roman"/>
                <w:sz w:val="24"/>
                <w:szCs w:val="24"/>
              </w:rPr>
              <w:t>0.5μs</w:t>
            </w:r>
            <w:r>
              <w:rPr>
                <w:rFonts w:ascii="Times New Roman" w:hAnsi="Times New Roman" w:hint="eastAsia"/>
                <w:sz w:val="24"/>
                <w:szCs w:val="24"/>
              </w:rPr>
              <w:t>、分辨率</w:t>
            </w:r>
            <w:r>
              <w:rPr>
                <w:rFonts w:ascii="Times New Roman" w:hAnsi="Times New Roman"/>
                <w:sz w:val="24"/>
                <w:szCs w:val="24"/>
              </w:rPr>
              <w:t>75m</w:t>
            </w:r>
            <w:r>
              <w:rPr>
                <w:rFonts w:ascii="Times New Roman" w:hAnsi="Times New Roman" w:hint="eastAsia"/>
                <w:sz w:val="24"/>
                <w:szCs w:val="24"/>
              </w:rPr>
              <w:t>、发射</w:t>
            </w:r>
            <w:r>
              <w:rPr>
                <w:rFonts w:ascii="Times New Roman" w:hAnsi="Times New Roman"/>
                <w:sz w:val="24"/>
                <w:szCs w:val="24"/>
              </w:rPr>
              <w:t>4</w:t>
            </w:r>
            <w:r>
              <w:rPr>
                <w:rFonts w:ascii="Times New Roman" w:hAnsi="Times New Roman" w:hint="eastAsia"/>
                <w:sz w:val="24"/>
                <w:szCs w:val="24"/>
              </w:rPr>
              <w:t>倍波束展宽、单极化）</w:t>
            </w:r>
          </w:p>
        </w:tc>
      </w:tr>
      <w:tr>
        <w:tblPrEx>
          <w:tblW w:w="5011" w:type="pct"/>
          <w:tblInd w:w="0" w:type="dxa"/>
          <w:tblCellMar>
            <w:top w:w="0" w:type="dxa"/>
            <w:left w:w="0" w:type="dxa"/>
            <w:bottom w:w="0" w:type="dxa"/>
            <w:right w:w="0" w:type="dxa"/>
          </w:tblCellMar>
        </w:tblPrEx>
        <w:trPr>
          <w:trHeight w:val="1109"/>
        </w:trPr>
        <w:tc>
          <w:tcPr>
            <w:tcW w:w="1329" w:type="pct"/>
            <w:gridSpan w:val="2"/>
            <w:vMerge/>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13dBZ</w:t>
            </w:r>
            <w:r>
              <w:rPr>
                <w:rFonts w:ascii="Times New Roman" w:hAnsi="Times New Roman" w:hint="eastAsia"/>
                <w:sz w:val="24"/>
                <w:szCs w:val="24"/>
              </w:rPr>
              <w:t>（</w:t>
            </w:r>
            <w:r>
              <w:rPr>
                <w:rFonts w:ascii="Times New Roman" w:hAnsi="Times New Roman"/>
                <w:sz w:val="24"/>
                <w:szCs w:val="24"/>
              </w:rPr>
              <w:t>12</w:t>
            </w:r>
            <w:r>
              <w:rPr>
                <w:rFonts w:ascii="Times New Roman" w:hAnsi="Times New Roman" w:hint="eastAsia"/>
                <w:sz w:val="24"/>
                <w:szCs w:val="24"/>
              </w:rPr>
              <w:t>千米处、脉宽</w:t>
            </w:r>
            <w:r>
              <w:rPr>
                <w:rFonts w:ascii="Times New Roman" w:hAnsi="Times New Roman"/>
                <w:sz w:val="24"/>
                <w:szCs w:val="24"/>
              </w:rPr>
              <w:t>20μs</w:t>
            </w:r>
            <w:r>
              <w:rPr>
                <w:rFonts w:ascii="Times New Roman" w:hAnsi="Times New Roman" w:hint="eastAsia"/>
                <w:sz w:val="24"/>
                <w:szCs w:val="24"/>
              </w:rPr>
              <w:t>、分辨率</w:t>
            </w:r>
            <w:r>
              <w:rPr>
                <w:rFonts w:ascii="Times New Roman" w:hAnsi="Times New Roman"/>
                <w:sz w:val="24"/>
                <w:szCs w:val="24"/>
              </w:rPr>
              <w:t>75m</w:t>
            </w:r>
            <w:r>
              <w:rPr>
                <w:rFonts w:ascii="Times New Roman" w:hAnsi="Times New Roman" w:hint="eastAsia"/>
                <w:sz w:val="24"/>
                <w:szCs w:val="24"/>
              </w:rPr>
              <w:t>、发射</w:t>
            </w:r>
            <w:r>
              <w:rPr>
                <w:rFonts w:ascii="Times New Roman" w:hAnsi="Times New Roman"/>
                <w:sz w:val="24"/>
                <w:szCs w:val="24"/>
              </w:rPr>
              <w:t>4</w:t>
            </w:r>
            <w:r>
              <w:rPr>
                <w:rFonts w:ascii="Times New Roman" w:hAnsi="Times New Roman" w:hint="eastAsia"/>
                <w:sz w:val="24"/>
                <w:szCs w:val="24"/>
              </w:rPr>
              <w:t>倍波束展宽、单极化）</w:t>
            </w:r>
          </w:p>
        </w:tc>
      </w:tr>
      <w:tr>
        <w:tblPrEx>
          <w:tblW w:w="5011" w:type="pct"/>
          <w:tblInd w:w="0" w:type="dxa"/>
          <w:tblCellMar>
            <w:top w:w="0" w:type="dxa"/>
            <w:left w:w="0" w:type="dxa"/>
            <w:bottom w:w="0" w:type="dxa"/>
            <w:right w:w="0" w:type="dxa"/>
          </w:tblCellMar>
        </w:tblPrEx>
        <w:trPr>
          <w:trHeight w:val="344"/>
        </w:trPr>
        <w:tc>
          <w:tcPr>
            <w:tcW w:w="1329" w:type="pct"/>
            <w:gridSpan w:val="2"/>
            <w:vMerge/>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19dBZ</w:t>
            </w:r>
            <w:r>
              <w:rPr>
                <w:rFonts w:ascii="Times New Roman" w:hAnsi="Times New Roman" w:hint="eastAsia"/>
                <w:sz w:val="24"/>
                <w:szCs w:val="24"/>
              </w:rPr>
              <w:t>（</w:t>
            </w:r>
            <w:r>
              <w:rPr>
                <w:rFonts w:ascii="Times New Roman" w:hAnsi="Times New Roman"/>
                <w:sz w:val="24"/>
                <w:szCs w:val="24"/>
              </w:rPr>
              <w:t>50</w:t>
            </w:r>
            <w:r>
              <w:rPr>
                <w:rFonts w:ascii="Times New Roman" w:hAnsi="Times New Roman" w:hint="eastAsia"/>
                <w:sz w:val="24"/>
                <w:szCs w:val="24"/>
              </w:rPr>
              <w:t>千米处、脉宽</w:t>
            </w:r>
            <w:r>
              <w:rPr>
                <w:rFonts w:ascii="Times New Roman" w:hAnsi="Times New Roman"/>
                <w:sz w:val="24"/>
                <w:szCs w:val="24"/>
              </w:rPr>
              <w:t>100μs</w:t>
            </w:r>
            <w:r>
              <w:rPr>
                <w:rFonts w:ascii="Times New Roman" w:hAnsi="Times New Roman" w:hint="eastAsia"/>
                <w:sz w:val="24"/>
                <w:szCs w:val="24"/>
              </w:rPr>
              <w:t>、分辨率</w:t>
            </w:r>
            <w:r>
              <w:rPr>
                <w:rFonts w:ascii="Times New Roman" w:hAnsi="Times New Roman"/>
                <w:sz w:val="24"/>
                <w:szCs w:val="24"/>
              </w:rPr>
              <w:t>75m</w:t>
            </w:r>
            <w:r>
              <w:rPr>
                <w:rFonts w:ascii="Times New Roman" w:hAnsi="Times New Roman" w:hint="eastAsia"/>
                <w:sz w:val="24"/>
                <w:szCs w:val="24"/>
              </w:rPr>
              <w:t>、发射</w:t>
            </w:r>
            <w:r>
              <w:rPr>
                <w:rFonts w:ascii="Times New Roman" w:hAnsi="Times New Roman"/>
                <w:sz w:val="24"/>
                <w:szCs w:val="24"/>
              </w:rPr>
              <w:t>4</w:t>
            </w:r>
            <w:r>
              <w:rPr>
                <w:rFonts w:ascii="Times New Roman" w:hAnsi="Times New Roman" w:hint="eastAsia"/>
                <w:sz w:val="24"/>
                <w:szCs w:val="24"/>
              </w:rPr>
              <w:t>倍波束展宽、单极化）</w:t>
            </w:r>
          </w:p>
        </w:tc>
      </w:tr>
      <w:tr>
        <w:tblPrEx>
          <w:tblW w:w="5011" w:type="pct"/>
          <w:tblInd w:w="0" w:type="dxa"/>
          <w:tblCellMar>
            <w:top w:w="0" w:type="dxa"/>
            <w:left w:w="0" w:type="dxa"/>
            <w:bottom w:w="0" w:type="dxa"/>
            <w:right w:w="0" w:type="dxa"/>
          </w:tblCellMar>
        </w:tblPrEx>
        <w:trPr>
          <w:trHeight w:val="554"/>
        </w:trPr>
        <w:tc>
          <w:tcPr>
            <w:tcW w:w="1329" w:type="pct"/>
            <w:gridSpan w:val="2"/>
            <w:vMerge/>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19dBZ</w:t>
            </w:r>
            <w:r>
              <w:rPr>
                <w:rFonts w:ascii="Times New Roman" w:hAnsi="Times New Roman" w:hint="eastAsia"/>
                <w:sz w:val="24"/>
                <w:szCs w:val="24"/>
              </w:rPr>
              <w:t>（</w:t>
            </w:r>
            <w:r>
              <w:rPr>
                <w:rFonts w:ascii="Times New Roman" w:hAnsi="Times New Roman"/>
                <w:sz w:val="24"/>
                <w:szCs w:val="24"/>
              </w:rPr>
              <w:t>3</w:t>
            </w:r>
            <w:r>
              <w:rPr>
                <w:rFonts w:ascii="Times New Roman" w:hAnsi="Times New Roman" w:hint="eastAsia"/>
                <w:sz w:val="24"/>
                <w:szCs w:val="24"/>
              </w:rPr>
              <w:t>千米处、脉宽</w:t>
            </w:r>
            <w:r>
              <w:rPr>
                <w:rFonts w:ascii="Times New Roman" w:hAnsi="Times New Roman"/>
                <w:sz w:val="24"/>
                <w:szCs w:val="24"/>
              </w:rPr>
              <w:t>0.5μs</w:t>
            </w:r>
            <w:r>
              <w:rPr>
                <w:rFonts w:ascii="Times New Roman" w:hAnsi="Times New Roman" w:hint="eastAsia"/>
                <w:sz w:val="24"/>
                <w:szCs w:val="24"/>
              </w:rPr>
              <w:t>、分辨率</w:t>
            </w:r>
            <w:r>
              <w:rPr>
                <w:rFonts w:ascii="Times New Roman" w:hAnsi="Times New Roman"/>
                <w:sz w:val="24"/>
                <w:szCs w:val="24"/>
              </w:rPr>
              <w:t>75m</w:t>
            </w:r>
            <w:r>
              <w:rPr>
                <w:rFonts w:ascii="Times New Roman" w:hAnsi="Times New Roman" w:hint="eastAsia"/>
                <w:sz w:val="24"/>
                <w:szCs w:val="24"/>
              </w:rPr>
              <w:t>、发射</w:t>
            </w:r>
            <w:r>
              <w:rPr>
                <w:rFonts w:ascii="Times New Roman" w:hAnsi="Times New Roman"/>
                <w:sz w:val="24"/>
                <w:szCs w:val="24"/>
              </w:rPr>
              <w:t>8</w:t>
            </w:r>
            <w:r>
              <w:rPr>
                <w:rFonts w:ascii="Times New Roman" w:hAnsi="Times New Roman" w:hint="eastAsia"/>
                <w:sz w:val="24"/>
                <w:szCs w:val="24"/>
              </w:rPr>
              <w:t>倍波束展宽、单极化）</w:t>
            </w:r>
          </w:p>
        </w:tc>
      </w:tr>
      <w:tr>
        <w:tblPrEx>
          <w:tblW w:w="5011" w:type="pct"/>
          <w:tblInd w:w="0" w:type="dxa"/>
          <w:tblCellMar>
            <w:top w:w="0" w:type="dxa"/>
            <w:left w:w="0" w:type="dxa"/>
            <w:bottom w:w="0" w:type="dxa"/>
            <w:right w:w="0" w:type="dxa"/>
          </w:tblCellMar>
        </w:tblPrEx>
        <w:trPr>
          <w:trHeight w:val="869"/>
        </w:trPr>
        <w:tc>
          <w:tcPr>
            <w:tcW w:w="1329" w:type="pct"/>
            <w:gridSpan w:val="2"/>
            <w:vMerge/>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16dBZ</w:t>
            </w:r>
            <w:r>
              <w:rPr>
                <w:rFonts w:ascii="Times New Roman" w:hAnsi="Times New Roman" w:hint="eastAsia"/>
                <w:sz w:val="24"/>
                <w:szCs w:val="24"/>
              </w:rPr>
              <w:t>（</w:t>
            </w:r>
            <w:r>
              <w:rPr>
                <w:rFonts w:ascii="Times New Roman" w:hAnsi="Times New Roman"/>
                <w:sz w:val="24"/>
                <w:szCs w:val="24"/>
              </w:rPr>
              <w:t>12</w:t>
            </w:r>
            <w:r>
              <w:rPr>
                <w:rFonts w:ascii="Times New Roman" w:hAnsi="Times New Roman" w:hint="eastAsia"/>
                <w:sz w:val="24"/>
                <w:szCs w:val="24"/>
              </w:rPr>
              <w:t>千米处、脉宽</w:t>
            </w:r>
            <w:r>
              <w:rPr>
                <w:rFonts w:ascii="Times New Roman" w:hAnsi="Times New Roman"/>
                <w:sz w:val="24"/>
                <w:szCs w:val="24"/>
              </w:rPr>
              <w:t>20μs</w:t>
            </w:r>
            <w:r>
              <w:rPr>
                <w:rFonts w:ascii="Times New Roman" w:hAnsi="Times New Roman" w:hint="eastAsia"/>
                <w:sz w:val="24"/>
                <w:szCs w:val="24"/>
              </w:rPr>
              <w:t>、分辨率</w:t>
            </w:r>
            <w:r>
              <w:rPr>
                <w:rFonts w:ascii="Times New Roman" w:hAnsi="Times New Roman"/>
                <w:sz w:val="24"/>
                <w:szCs w:val="24"/>
              </w:rPr>
              <w:t>75m</w:t>
            </w:r>
            <w:r>
              <w:rPr>
                <w:rFonts w:ascii="Times New Roman" w:hAnsi="Times New Roman" w:hint="eastAsia"/>
                <w:sz w:val="24"/>
                <w:szCs w:val="24"/>
              </w:rPr>
              <w:t>、发射</w:t>
            </w:r>
            <w:r>
              <w:rPr>
                <w:rFonts w:ascii="Times New Roman" w:hAnsi="Times New Roman"/>
                <w:sz w:val="24"/>
                <w:szCs w:val="24"/>
              </w:rPr>
              <w:t>8</w:t>
            </w:r>
            <w:r>
              <w:rPr>
                <w:rFonts w:ascii="Times New Roman" w:hAnsi="Times New Roman" w:hint="eastAsia"/>
                <w:sz w:val="24"/>
                <w:szCs w:val="24"/>
              </w:rPr>
              <w:t>倍波束展宽、单极化）</w:t>
            </w:r>
          </w:p>
        </w:tc>
      </w:tr>
      <w:tr>
        <w:tblPrEx>
          <w:tblW w:w="5011" w:type="pct"/>
          <w:tblInd w:w="0" w:type="dxa"/>
          <w:tblCellMar>
            <w:top w:w="0" w:type="dxa"/>
            <w:left w:w="0" w:type="dxa"/>
            <w:bottom w:w="0" w:type="dxa"/>
            <w:right w:w="0" w:type="dxa"/>
          </w:tblCellMar>
        </w:tblPrEx>
        <w:trPr>
          <w:trHeight w:val="339"/>
        </w:trPr>
        <w:tc>
          <w:tcPr>
            <w:tcW w:w="1329" w:type="pct"/>
            <w:gridSpan w:val="2"/>
            <w:vMerge/>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22dBZ</w:t>
            </w:r>
            <w:r>
              <w:rPr>
                <w:rFonts w:ascii="Times New Roman" w:hAnsi="Times New Roman" w:hint="eastAsia"/>
                <w:sz w:val="24"/>
                <w:szCs w:val="24"/>
              </w:rPr>
              <w:t>（</w:t>
            </w:r>
            <w:r>
              <w:rPr>
                <w:rFonts w:ascii="Times New Roman" w:hAnsi="Times New Roman"/>
                <w:sz w:val="24"/>
                <w:szCs w:val="24"/>
              </w:rPr>
              <w:t>50</w:t>
            </w:r>
            <w:r>
              <w:rPr>
                <w:rFonts w:ascii="Times New Roman" w:hAnsi="Times New Roman" w:hint="eastAsia"/>
                <w:sz w:val="24"/>
                <w:szCs w:val="24"/>
              </w:rPr>
              <w:t>千米处、脉宽</w:t>
            </w:r>
            <w:r>
              <w:rPr>
                <w:rFonts w:ascii="Times New Roman" w:hAnsi="Times New Roman"/>
                <w:sz w:val="24"/>
                <w:szCs w:val="24"/>
              </w:rPr>
              <w:t>100μs</w:t>
            </w:r>
            <w:r>
              <w:rPr>
                <w:rFonts w:ascii="Times New Roman" w:hAnsi="Times New Roman" w:hint="eastAsia"/>
                <w:sz w:val="24"/>
                <w:szCs w:val="24"/>
              </w:rPr>
              <w:t>、分辨率</w:t>
            </w:r>
            <w:r>
              <w:rPr>
                <w:rFonts w:ascii="Times New Roman" w:hAnsi="Times New Roman"/>
                <w:sz w:val="24"/>
                <w:szCs w:val="24"/>
              </w:rPr>
              <w:t>75m</w:t>
            </w:r>
            <w:r>
              <w:rPr>
                <w:rFonts w:ascii="Times New Roman" w:hAnsi="Times New Roman" w:hint="eastAsia"/>
                <w:sz w:val="24"/>
                <w:szCs w:val="24"/>
              </w:rPr>
              <w:t>、发射</w:t>
            </w:r>
            <w:r>
              <w:rPr>
                <w:rFonts w:ascii="Times New Roman" w:hAnsi="Times New Roman"/>
                <w:sz w:val="24"/>
                <w:szCs w:val="24"/>
              </w:rPr>
              <w:t>8</w:t>
            </w:r>
            <w:r>
              <w:rPr>
                <w:rFonts w:ascii="Times New Roman" w:hAnsi="Times New Roman" w:hint="eastAsia"/>
                <w:sz w:val="24"/>
                <w:szCs w:val="24"/>
              </w:rPr>
              <w:t>倍波束展宽、单极化）</w:t>
            </w:r>
          </w:p>
        </w:tc>
      </w:tr>
      <w:tr>
        <w:tblPrEx>
          <w:tblW w:w="5011" w:type="pct"/>
          <w:tblInd w:w="0" w:type="dxa"/>
          <w:tblCellMar>
            <w:top w:w="0" w:type="dxa"/>
            <w:left w:w="0" w:type="dxa"/>
            <w:bottom w:w="0" w:type="dxa"/>
            <w:right w:w="0" w:type="dxa"/>
          </w:tblCellMar>
        </w:tblPrEx>
        <w:trPr>
          <w:trHeight w:val="565"/>
        </w:trPr>
        <w:tc>
          <w:tcPr>
            <w:tcW w:w="532" w:type="pct"/>
            <w:vMerge w:val="restar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highlight w:val="yellow"/>
              </w:rPr>
              <w:t>#</w:t>
            </w:r>
            <w:r>
              <w:rPr>
                <w:rFonts w:ascii="Times New Roman" w:hAnsi="Times New Roman" w:hint="eastAsia"/>
                <w:sz w:val="24"/>
                <w:szCs w:val="24"/>
              </w:rPr>
              <w:t>测量</w:t>
            </w:r>
          </w:p>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范围</w:t>
            </w:r>
          </w:p>
        </w:tc>
        <w:tc>
          <w:tcPr>
            <w:tcW w:w="797"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强度</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sz w:val="24"/>
                <w:szCs w:val="24"/>
              </w:rPr>
              <w:t>-15dBZ</w:t>
            </w:r>
            <w:r>
              <w:rPr>
                <w:rFonts w:ascii="Times New Roman" w:hAnsi="Times New Roman" w:hint="eastAsia"/>
                <w:sz w:val="24"/>
                <w:szCs w:val="24"/>
              </w:rPr>
              <w:t>～</w:t>
            </w:r>
            <w:r>
              <w:rPr>
                <w:rFonts w:ascii="Times New Roman" w:hAnsi="Times New Roman"/>
                <w:sz w:val="24"/>
                <w:szCs w:val="24"/>
              </w:rPr>
              <w:t>+80dBZ</w:t>
            </w:r>
          </w:p>
        </w:tc>
      </w:tr>
      <w:tr>
        <w:tblPrEx>
          <w:tblW w:w="5011" w:type="pct"/>
          <w:tblInd w:w="0" w:type="dxa"/>
          <w:tblCellMar>
            <w:top w:w="0" w:type="dxa"/>
            <w:left w:w="0" w:type="dxa"/>
            <w:bottom w:w="0" w:type="dxa"/>
            <w:right w:w="0" w:type="dxa"/>
          </w:tblCellMar>
        </w:tblPrEx>
        <w:trPr>
          <w:trHeight w:val="565"/>
        </w:trPr>
        <w:tc>
          <w:tcPr>
            <w:tcW w:w="532" w:type="pct"/>
            <w:vMerge/>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p>
        </w:tc>
        <w:tc>
          <w:tcPr>
            <w:tcW w:w="797"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速度</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48m/s</w:t>
            </w:r>
          </w:p>
        </w:tc>
      </w:tr>
      <w:tr>
        <w:tblPrEx>
          <w:tblW w:w="5011" w:type="pct"/>
          <w:tblInd w:w="0" w:type="dxa"/>
          <w:tblCellMar>
            <w:top w:w="0" w:type="dxa"/>
            <w:left w:w="0" w:type="dxa"/>
            <w:bottom w:w="0" w:type="dxa"/>
            <w:right w:w="0" w:type="dxa"/>
          </w:tblCellMar>
        </w:tblPrEx>
        <w:trPr>
          <w:trHeight w:val="567"/>
        </w:trPr>
        <w:tc>
          <w:tcPr>
            <w:tcW w:w="532" w:type="pct"/>
            <w:vMerge/>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p>
        </w:tc>
        <w:tc>
          <w:tcPr>
            <w:tcW w:w="797"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谱宽</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sz w:val="24"/>
                <w:szCs w:val="24"/>
              </w:rPr>
              <w:t>0m/s</w:t>
            </w:r>
            <w:r>
              <w:rPr>
                <w:rFonts w:ascii="Times New Roman" w:hAnsi="Times New Roman" w:hint="eastAsia"/>
                <w:sz w:val="24"/>
                <w:szCs w:val="24"/>
              </w:rPr>
              <w:t>～</w:t>
            </w:r>
            <w:r>
              <w:rPr>
                <w:rFonts w:ascii="Times New Roman" w:hAnsi="Times New Roman"/>
                <w:sz w:val="24"/>
                <w:szCs w:val="24"/>
              </w:rPr>
              <w:t>16m/s</w:t>
            </w:r>
          </w:p>
        </w:tc>
      </w:tr>
      <w:tr>
        <w:tblPrEx>
          <w:tblW w:w="5011" w:type="pct"/>
          <w:tblInd w:w="0" w:type="dxa"/>
          <w:tblCellMar>
            <w:top w:w="0" w:type="dxa"/>
            <w:left w:w="0" w:type="dxa"/>
            <w:bottom w:w="0" w:type="dxa"/>
            <w:right w:w="0" w:type="dxa"/>
          </w:tblCellMar>
        </w:tblPrEx>
        <w:trPr>
          <w:trHeight w:val="569"/>
        </w:trPr>
        <w:tc>
          <w:tcPr>
            <w:tcW w:w="532" w:type="pct"/>
            <w:vMerge/>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p>
        </w:tc>
        <w:tc>
          <w:tcPr>
            <w:tcW w:w="797"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差分反射率因子</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sz w:val="24"/>
                <w:szCs w:val="24"/>
              </w:rPr>
              <w:t>-7.9dB</w:t>
            </w:r>
            <w:r>
              <w:rPr>
                <w:rFonts w:ascii="Times New Roman" w:hAnsi="Times New Roman" w:hint="eastAsia"/>
                <w:sz w:val="24"/>
                <w:szCs w:val="24"/>
              </w:rPr>
              <w:t>～</w:t>
            </w:r>
            <w:r>
              <w:rPr>
                <w:rFonts w:ascii="Times New Roman" w:hAnsi="Times New Roman"/>
                <w:sz w:val="24"/>
                <w:szCs w:val="24"/>
              </w:rPr>
              <w:t>+7.9dB</w:t>
            </w:r>
          </w:p>
        </w:tc>
      </w:tr>
      <w:tr>
        <w:tblPrEx>
          <w:tblW w:w="5011" w:type="pct"/>
          <w:tblInd w:w="0" w:type="dxa"/>
          <w:tblCellMar>
            <w:top w:w="0" w:type="dxa"/>
            <w:left w:w="0" w:type="dxa"/>
            <w:bottom w:w="0" w:type="dxa"/>
            <w:right w:w="0" w:type="dxa"/>
          </w:tblCellMar>
        </w:tblPrEx>
        <w:trPr>
          <w:trHeight w:val="564"/>
        </w:trPr>
        <w:tc>
          <w:tcPr>
            <w:tcW w:w="532" w:type="pct"/>
            <w:vMerge/>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p>
        </w:tc>
        <w:tc>
          <w:tcPr>
            <w:tcW w:w="797"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差分传播相移</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sz w:val="24"/>
                <w:szCs w:val="24"/>
              </w:rPr>
              <w:t>-180°</w:t>
            </w:r>
            <w:r>
              <w:rPr>
                <w:rFonts w:ascii="Times New Roman" w:hAnsi="Times New Roman" w:hint="eastAsia"/>
                <w:sz w:val="24"/>
                <w:szCs w:val="24"/>
              </w:rPr>
              <w:t>～</w:t>
            </w:r>
            <w:r>
              <w:rPr>
                <w:rFonts w:ascii="Times New Roman" w:hAnsi="Times New Roman"/>
                <w:sz w:val="24"/>
                <w:szCs w:val="24"/>
              </w:rPr>
              <w:t>+180°</w:t>
            </w:r>
          </w:p>
        </w:tc>
      </w:tr>
      <w:tr>
        <w:tblPrEx>
          <w:tblW w:w="5011" w:type="pct"/>
          <w:tblInd w:w="0" w:type="dxa"/>
          <w:tblCellMar>
            <w:top w:w="0" w:type="dxa"/>
            <w:left w:w="0" w:type="dxa"/>
            <w:bottom w:w="0" w:type="dxa"/>
            <w:right w:w="0" w:type="dxa"/>
          </w:tblCellMar>
        </w:tblPrEx>
        <w:trPr>
          <w:trHeight w:val="564"/>
        </w:trPr>
        <w:tc>
          <w:tcPr>
            <w:tcW w:w="532" w:type="pct"/>
            <w:vMerge/>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p>
        </w:tc>
        <w:tc>
          <w:tcPr>
            <w:tcW w:w="797"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差分传播相移率</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sz w:val="24"/>
                <w:szCs w:val="24"/>
              </w:rPr>
              <w:t>-2°/km</w:t>
            </w:r>
            <w:r>
              <w:rPr>
                <w:rFonts w:ascii="Times New Roman" w:hAnsi="Times New Roman" w:hint="eastAsia"/>
                <w:sz w:val="24"/>
                <w:szCs w:val="24"/>
              </w:rPr>
              <w:t>～</w:t>
            </w:r>
            <w:r>
              <w:rPr>
                <w:rFonts w:ascii="Times New Roman" w:hAnsi="Times New Roman"/>
                <w:sz w:val="24"/>
                <w:szCs w:val="24"/>
              </w:rPr>
              <w:t>+20°/km</w:t>
            </w:r>
          </w:p>
        </w:tc>
      </w:tr>
      <w:tr>
        <w:tblPrEx>
          <w:tblW w:w="5011" w:type="pct"/>
          <w:tblInd w:w="0" w:type="dxa"/>
          <w:tblCellMar>
            <w:top w:w="0" w:type="dxa"/>
            <w:left w:w="0" w:type="dxa"/>
            <w:bottom w:w="0" w:type="dxa"/>
            <w:right w:w="0" w:type="dxa"/>
          </w:tblCellMar>
        </w:tblPrEx>
        <w:trPr>
          <w:trHeight w:val="564"/>
        </w:trPr>
        <w:tc>
          <w:tcPr>
            <w:tcW w:w="532" w:type="pct"/>
            <w:vMerge/>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p>
        </w:tc>
        <w:tc>
          <w:tcPr>
            <w:tcW w:w="797"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相关系数</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sz w:val="24"/>
                <w:szCs w:val="24"/>
              </w:rPr>
              <w:t>0</w:t>
            </w:r>
            <w:r>
              <w:rPr>
                <w:rFonts w:ascii="Times New Roman" w:hAnsi="Times New Roman" w:hint="eastAsia"/>
                <w:sz w:val="24"/>
                <w:szCs w:val="24"/>
              </w:rPr>
              <w:t>～</w:t>
            </w:r>
            <w:r>
              <w:rPr>
                <w:rFonts w:ascii="Times New Roman" w:hAnsi="Times New Roman"/>
                <w:sz w:val="24"/>
                <w:szCs w:val="24"/>
              </w:rPr>
              <w:t>1</w:t>
            </w:r>
          </w:p>
        </w:tc>
      </w:tr>
      <w:tr>
        <w:tblPrEx>
          <w:tblW w:w="5011" w:type="pct"/>
          <w:tblInd w:w="0" w:type="dxa"/>
          <w:tblCellMar>
            <w:top w:w="0" w:type="dxa"/>
            <w:left w:w="0" w:type="dxa"/>
            <w:bottom w:w="0" w:type="dxa"/>
            <w:right w:w="0" w:type="dxa"/>
          </w:tblCellMar>
        </w:tblPrEx>
        <w:trPr>
          <w:trHeight w:val="565"/>
        </w:trPr>
        <w:tc>
          <w:tcPr>
            <w:tcW w:w="532" w:type="pct"/>
            <w:vMerge w:val="restart"/>
            <w:tcBorders>
              <w:bottom w:val="nil"/>
            </w:tcBorders>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highlight w:val="yellow"/>
              </w:rPr>
              <w:t>#</w:t>
            </w:r>
            <w:r>
              <w:rPr>
                <w:rFonts w:ascii="Times New Roman" w:hAnsi="Times New Roman" w:hint="eastAsia"/>
                <w:sz w:val="24"/>
                <w:szCs w:val="24"/>
              </w:rPr>
              <w:t>参数</w:t>
            </w:r>
          </w:p>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测量</w:t>
            </w:r>
          </w:p>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精度</w:t>
            </w:r>
          </w:p>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（标准差）</w:t>
            </w:r>
          </w:p>
        </w:tc>
        <w:tc>
          <w:tcPr>
            <w:tcW w:w="797"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强度</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1dB</w:t>
            </w:r>
          </w:p>
        </w:tc>
      </w:tr>
      <w:tr>
        <w:tblPrEx>
          <w:tblW w:w="5011" w:type="pct"/>
          <w:tblInd w:w="0" w:type="dxa"/>
          <w:tblCellMar>
            <w:top w:w="0" w:type="dxa"/>
            <w:left w:w="0" w:type="dxa"/>
            <w:bottom w:w="0" w:type="dxa"/>
            <w:right w:w="0" w:type="dxa"/>
          </w:tblCellMar>
        </w:tblPrEx>
        <w:trPr>
          <w:trHeight w:val="565"/>
        </w:trPr>
        <w:tc>
          <w:tcPr>
            <w:tcW w:w="532" w:type="pct"/>
            <w:vMerge/>
            <w:tcBorders>
              <w:top w:val="nil"/>
              <w:bottom w:val="nil"/>
            </w:tcBorders>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p>
        </w:tc>
        <w:tc>
          <w:tcPr>
            <w:tcW w:w="797"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速度</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1m/s</w:t>
            </w:r>
          </w:p>
        </w:tc>
      </w:tr>
      <w:tr>
        <w:tblPrEx>
          <w:tblW w:w="5011" w:type="pct"/>
          <w:tblInd w:w="0" w:type="dxa"/>
          <w:tblCellMar>
            <w:top w:w="0" w:type="dxa"/>
            <w:left w:w="0" w:type="dxa"/>
            <w:bottom w:w="0" w:type="dxa"/>
            <w:right w:w="0" w:type="dxa"/>
          </w:tblCellMar>
        </w:tblPrEx>
        <w:trPr>
          <w:trHeight w:val="565"/>
        </w:trPr>
        <w:tc>
          <w:tcPr>
            <w:tcW w:w="532" w:type="pct"/>
            <w:vMerge/>
            <w:tcBorders>
              <w:top w:val="nil"/>
              <w:bottom w:val="nil"/>
            </w:tcBorders>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p>
        </w:tc>
        <w:tc>
          <w:tcPr>
            <w:tcW w:w="797"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谱宽</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1m/s</w:t>
            </w:r>
          </w:p>
        </w:tc>
      </w:tr>
      <w:tr>
        <w:tblPrEx>
          <w:tblW w:w="5011" w:type="pct"/>
          <w:tblInd w:w="0" w:type="dxa"/>
          <w:tblCellMar>
            <w:top w:w="0" w:type="dxa"/>
            <w:left w:w="0" w:type="dxa"/>
            <w:bottom w:w="0" w:type="dxa"/>
            <w:right w:w="0" w:type="dxa"/>
          </w:tblCellMar>
        </w:tblPrEx>
        <w:trPr>
          <w:trHeight w:val="565"/>
        </w:trPr>
        <w:tc>
          <w:tcPr>
            <w:tcW w:w="532" w:type="pct"/>
            <w:vMerge/>
            <w:tcBorders>
              <w:top w:val="nil"/>
              <w:bottom w:val="nil"/>
            </w:tcBorders>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p>
        </w:tc>
        <w:tc>
          <w:tcPr>
            <w:tcW w:w="797"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差分反射率因子</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0.2dB</w:t>
            </w:r>
          </w:p>
        </w:tc>
      </w:tr>
      <w:tr>
        <w:tblPrEx>
          <w:tblW w:w="5011" w:type="pct"/>
          <w:tblInd w:w="0" w:type="dxa"/>
          <w:tblCellMar>
            <w:top w:w="0" w:type="dxa"/>
            <w:left w:w="0" w:type="dxa"/>
            <w:bottom w:w="0" w:type="dxa"/>
            <w:right w:w="0" w:type="dxa"/>
          </w:tblCellMar>
        </w:tblPrEx>
        <w:trPr>
          <w:trHeight w:val="565"/>
        </w:trPr>
        <w:tc>
          <w:tcPr>
            <w:tcW w:w="532" w:type="pct"/>
            <w:vMerge/>
            <w:tcBorders>
              <w:top w:val="nil"/>
              <w:bottom w:val="nil"/>
            </w:tcBorders>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p>
        </w:tc>
        <w:tc>
          <w:tcPr>
            <w:tcW w:w="797"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差分传播相移</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3°</w:t>
            </w:r>
          </w:p>
        </w:tc>
      </w:tr>
      <w:tr>
        <w:tblPrEx>
          <w:tblW w:w="5011" w:type="pct"/>
          <w:tblInd w:w="0" w:type="dxa"/>
          <w:tblCellMar>
            <w:top w:w="0" w:type="dxa"/>
            <w:left w:w="0" w:type="dxa"/>
            <w:bottom w:w="0" w:type="dxa"/>
            <w:right w:w="0" w:type="dxa"/>
          </w:tblCellMar>
        </w:tblPrEx>
        <w:trPr>
          <w:trHeight w:val="565"/>
        </w:trPr>
        <w:tc>
          <w:tcPr>
            <w:tcW w:w="532" w:type="pct"/>
            <w:vMerge/>
            <w:tcBorders>
              <w:top w:val="nil"/>
              <w:bottom w:val="nil"/>
            </w:tcBorders>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p>
        </w:tc>
        <w:tc>
          <w:tcPr>
            <w:tcW w:w="797"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差分传播相移率</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0.2°/km</w:t>
            </w:r>
          </w:p>
        </w:tc>
      </w:tr>
      <w:tr>
        <w:tblPrEx>
          <w:tblW w:w="5011" w:type="pct"/>
          <w:tblInd w:w="0" w:type="dxa"/>
          <w:tblCellMar>
            <w:top w:w="0" w:type="dxa"/>
            <w:left w:w="0" w:type="dxa"/>
            <w:bottom w:w="0" w:type="dxa"/>
            <w:right w:w="0" w:type="dxa"/>
          </w:tblCellMar>
        </w:tblPrEx>
        <w:trPr>
          <w:trHeight w:val="565"/>
        </w:trPr>
        <w:tc>
          <w:tcPr>
            <w:tcW w:w="532" w:type="pct"/>
            <w:vMerge/>
            <w:tcBorders>
              <w:top w:val="nil"/>
            </w:tcBorders>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p>
        </w:tc>
        <w:tc>
          <w:tcPr>
            <w:tcW w:w="797"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相关系数</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0.01</w:t>
            </w:r>
          </w:p>
        </w:tc>
      </w:tr>
      <w:tr>
        <w:tblPrEx>
          <w:tblW w:w="5011" w:type="pct"/>
          <w:tblInd w:w="0" w:type="dxa"/>
          <w:tblCellMar>
            <w:top w:w="0" w:type="dxa"/>
            <w:left w:w="0" w:type="dxa"/>
            <w:bottom w:w="0" w:type="dxa"/>
            <w:right w:w="0" w:type="dxa"/>
          </w:tblCellMar>
        </w:tblPrEx>
        <w:trPr>
          <w:trHeight w:val="565"/>
        </w:trPr>
        <w:tc>
          <w:tcPr>
            <w:tcW w:w="1329" w:type="pct"/>
            <w:gridSpan w:val="2"/>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highlight w:val="yellow"/>
              </w:rPr>
              <w:t>#</w:t>
            </w:r>
            <w:r>
              <w:rPr>
                <w:rFonts w:ascii="Times New Roman" w:hAnsi="Times New Roman" w:hint="eastAsia"/>
                <w:sz w:val="24"/>
                <w:szCs w:val="24"/>
              </w:rPr>
              <w:t>距离分辨率</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75m</w:t>
            </w:r>
          </w:p>
        </w:tc>
      </w:tr>
      <w:tr>
        <w:tblPrEx>
          <w:tblW w:w="5011" w:type="pct"/>
          <w:tblInd w:w="0" w:type="dxa"/>
          <w:tblCellMar>
            <w:top w:w="0" w:type="dxa"/>
            <w:left w:w="0" w:type="dxa"/>
            <w:bottom w:w="0" w:type="dxa"/>
            <w:right w:w="0" w:type="dxa"/>
          </w:tblCellMar>
        </w:tblPrEx>
        <w:trPr>
          <w:trHeight w:val="565"/>
        </w:trPr>
        <w:tc>
          <w:tcPr>
            <w:tcW w:w="532" w:type="pct"/>
            <w:vMerge w:val="restar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highlight w:val="yellow"/>
              </w:rPr>
              <w:t>#</w:t>
            </w:r>
            <w:r>
              <w:rPr>
                <w:rFonts w:ascii="Times New Roman" w:hAnsi="Times New Roman" w:hint="eastAsia"/>
                <w:sz w:val="24"/>
                <w:szCs w:val="24"/>
              </w:rPr>
              <w:t>数据分辨力</w:t>
            </w:r>
          </w:p>
        </w:tc>
        <w:tc>
          <w:tcPr>
            <w:tcW w:w="797"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方位角和俯仰角</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0.01°</w:t>
            </w:r>
          </w:p>
        </w:tc>
      </w:tr>
      <w:tr>
        <w:tblPrEx>
          <w:tblW w:w="5011" w:type="pct"/>
          <w:tblInd w:w="0" w:type="dxa"/>
          <w:tblCellMar>
            <w:top w:w="0" w:type="dxa"/>
            <w:left w:w="0" w:type="dxa"/>
            <w:bottom w:w="0" w:type="dxa"/>
            <w:right w:w="0" w:type="dxa"/>
          </w:tblCellMar>
        </w:tblPrEx>
        <w:trPr>
          <w:trHeight w:val="565"/>
        </w:trPr>
        <w:tc>
          <w:tcPr>
            <w:tcW w:w="532" w:type="pct"/>
            <w:vMerge/>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p>
        </w:tc>
        <w:tc>
          <w:tcPr>
            <w:tcW w:w="797"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snapToGrid w:val="0"/>
                <w:color w:val="000000"/>
                <w:kern w:val="0"/>
                <w:lang w:eastAsia="en-US"/>
              </w:rPr>
            </w:pPr>
            <w:r>
              <w:rPr>
                <w:rFonts w:ascii="Times New Roman" w:hAnsi="Times New Roman" w:hint="eastAsia"/>
                <w:sz w:val="24"/>
                <w:szCs w:val="24"/>
              </w:rPr>
              <w:t>强度</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snapToGrid w:val="0"/>
                <w:color w:val="000000"/>
                <w:kern w:val="0"/>
                <w:lang w:eastAsia="en-US"/>
              </w:rPr>
            </w:pPr>
            <w:r>
              <w:rPr>
                <w:rFonts w:ascii="Times New Roman" w:hAnsi="Times New Roman" w:hint="eastAsia"/>
                <w:sz w:val="24"/>
                <w:szCs w:val="24"/>
              </w:rPr>
              <w:t>≤</w:t>
            </w:r>
            <w:r>
              <w:rPr>
                <w:rFonts w:ascii="Times New Roman" w:hAnsi="Times New Roman"/>
                <w:sz w:val="24"/>
                <w:szCs w:val="24"/>
              </w:rPr>
              <w:t>0.1dB</w:t>
            </w:r>
          </w:p>
        </w:tc>
      </w:tr>
      <w:tr>
        <w:tblPrEx>
          <w:tblW w:w="5011" w:type="pct"/>
          <w:tblInd w:w="0" w:type="dxa"/>
          <w:tblCellMar>
            <w:top w:w="0" w:type="dxa"/>
            <w:left w:w="0" w:type="dxa"/>
            <w:bottom w:w="0" w:type="dxa"/>
            <w:right w:w="0" w:type="dxa"/>
          </w:tblCellMar>
        </w:tblPrEx>
        <w:trPr>
          <w:trHeight w:val="565"/>
        </w:trPr>
        <w:tc>
          <w:tcPr>
            <w:tcW w:w="532" w:type="pct"/>
            <w:vMerge/>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p>
        </w:tc>
        <w:tc>
          <w:tcPr>
            <w:tcW w:w="797"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snapToGrid w:val="0"/>
                <w:color w:val="000000"/>
                <w:kern w:val="0"/>
                <w:lang w:eastAsia="en-US"/>
              </w:rPr>
            </w:pPr>
            <w:r>
              <w:rPr>
                <w:rFonts w:ascii="Times New Roman" w:hAnsi="Times New Roman" w:hint="eastAsia"/>
                <w:sz w:val="24"/>
                <w:szCs w:val="24"/>
              </w:rPr>
              <w:t>速度</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snapToGrid w:val="0"/>
                <w:color w:val="000000"/>
                <w:kern w:val="0"/>
                <w:lang w:eastAsia="en-US"/>
              </w:rPr>
            </w:pPr>
            <w:r>
              <w:rPr>
                <w:rFonts w:ascii="Times New Roman" w:hAnsi="Times New Roman" w:hint="eastAsia"/>
                <w:sz w:val="24"/>
                <w:szCs w:val="24"/>
              </w:rPr>
              <w:t>≤</w:t>
            </w:r>
            <w:r>
              <w:rPr>
                <w:rFonts w:ascii="Times New Roman" w:hAnsi="Times New Roman"/>
                <w:sz w:val="24"/>
                <w:szCs w:val="24"/>
              </w:rPr>
              <w:t>0.1m/s</w:t>
            </w:r>
          </w:p>
        </w:tc>
      </w:tr>
      <w:tr>
        <w:tblPrEx>
          <w:tblW w:w="5011" w:type="pct"/>
          <w:tblInd w:w="0" w:type="dxa"/>
          <w:tblCellMar>
            <w:top w:w="0" w:type="dxa"/>
            <w:left w:w="0" w:type="dxa"/>
            <w:bottom w:w="0" w:type="dxa"/>
            <w:right w:w="0" w:type="dxa"/>
          </w:tblCellMar>
        </w:tblPrEx>
        <w:trPr>
          <w:trHeight w:val="565"/>
        </w:trPr>
        <w:tc>
          <w:tcPr>
            <w:tcW w:w="532" w:type="pct"/>
            <w:vMerge/>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p>
        </w:tc>
        <w:tc>
          <w:tcPr>
            <w:tcW w:w="797"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snapToGrid w:val="0"/>
                <w:color w:val="000000"/>
                <w:kern w:val="0"/>
                <w:lang w:eastAsia="en-US"/>
              </w:rPr>
            </w:pPr>
            <w:r>
              <w:rPr>
                <w:rFonts w:ascii="Times New Roman" w:hAnsi="Times New Roman" w:hint="eastAsia"/>
                <w:sz w:val="24"/>
                <w:szCs w:val="24"/>
              </w:rPr>
              <w:t>谱宽</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snapToGrid w:val="0"/>
                <w:color w:val="000000"/>
                <w:kern w:val="0"/>
                <w:lang w:eastAsia="en-US"/>
              </w:rPr>
            </w:pPr>
            <w:r>
              <w:rPr>
                <w:rFonts w:ascii="Times New Roman" w:hAnsi="Times New Roman" w:hint="eastAsia"/>
                <w:sz w:val="24"/>
                <w:szCs w:val="24"/>
              </w:rPr>
              <w:t>≤</w:t>
            </w:r>
            <w:r>
              <w:rPr>
                <w:rFonts w:ascii="Times New Roman" w:hAnsi="Times New Roman"/>
                <w:sz w:val="24"/>
                <w:szCs w:val="24"/>
              </w:rPr>
              <w:t>0.1m/s</w:t>
            </w:r>
          </w:p>
        </w:tc>
      </w:tr>
      <w:tr>
        <w:tblPrEx>
          <w:tblW w:w="5011" w:type="pct"/>
          <w:tblInd w:w="0" w:type="dxa"/>
          <w:tblCellMar>
            <w:top w:w="0" w:type="dxa"/>
            <w:left w:w="0" w:type="dxa"/>
            <w:bottom w:w="0" w:type="dxa"/>
            <w:right w:w="0" w:type="dxa"/>
          </w:tblCellMar>
        </w:tblPrEx>
        <w:trPr>
          <w:trHeight w:val="565"/>
        </w:trPr>
        <w:tc>
          <w:tcPr>
            <w:tcW w:w="532" w:type="pct"/>
            <w:vMerge/>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p>
        </w:tc>
        <w:tc>
          <w:tcPr>
            <w:tcW w:w="797"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snapToGrid w:val="0"/>
                <w:color w:val="000000"/>
                <w:kern w:val="0"/>
                <w:lang w:eastAsia="en-US"/>
              </w:rPr>
            </w:pPr>
            <w:r>
              <w:rPr>
                <w:rFonts w:ascii="Times New Roman" w:hAnsi="Times New Roman" w:hint="eastAsia"/>
                <w:sz w:val="24"/>
                <w:szCs w:val="24"/>
              </w:rPr>
              <w:t>差分反射率因子</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snapToGrid w:val="0"/>
                <w:color w:val="000000"/>
                <w:kern w:val="0"/>
                <w:lang w:eastAsia="en-US"/>
              </w:rPr>
            </w:pPr>
            <w:r>
              <w:rPr>
                <w:rFonts w:ascii="Times New Roman" w:hAnsi="Times New Roman" w:hint="eastAsia"/>
                <w:sz w:val="24"/>
                <w:szCs w:val="24"/>
              </w:rPr>
              <w:t>≤</w:t>
            </w:r>
            <w:r>
              <w:rPr>
                <w:rFonts w:ascii="Times New Roman" w:hAnsi="Times New Roman"/>
                <w:sz w:val="24"/>
                <w:szCs w:val="24"/>
              </w:rPr>
              <w:t>0.01dB</w:t>
            </w:r>
          </w:p>
        </w:tc>
      </w:tr>
      <w:tr>
        <w:tblPrEx>
          <w:tblW w:w="5011" w:type="pct"/>
          <w:tblInd w:w="0" w:type="dxa"/>
          <w:tblCellMar>
            <w:top w:w="0" w:type="dxa"/>
            <w:left w:w="0" w:type="dxa"/>
            <w:bottom w:w="0" w:type="dxa"/>
            <w:right w:w="0" w:type="dxa"/>
          </w:tblCellMar>
        </w:tblPrEx>
        <w:trPr>
          <w:trHeight w:val="565"/>
        </w:trPr>
        <w:tc>
          <w:tcPr>
            <w:tcW w:w="532" w:type="pct"/>
            <w:vMerge/>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p>
        </w:tc>
        <w:tc>
          <w:tcPr>
            <w:tcW w:w="797"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snapToGrid w:val="0"/>
                <w:color w:val="000000"/>
                <w:kern w:val="0"/>
                <w:lang w:eastAsia="en-US"/>
              </w:rPr>
            </w:pPr>
            <w:r>
              <w:rPr>
                <w:rFonts w:ascii="Times New Roman" w:hAnsi="Times New Roman" w:hint="eastAsia"/>
                <w:sz w:val="24"/>
                <w:szCs w:val="24"/>
              </w:rPr>
              <w:t>差分传播相移</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snapToGrid w:val="0"/>
                <w:color w:val="000000"/>
                <w:kern w:val="0"/>
                <w:lang w:eastAsia="en-US"/>
              </w:rPr>
            </w:pPr>
            <w:r>
              <w:rPr>
                <w:rFonts w:ascii="Times New Roman" w:hAnsi="Times New Roman" w:hint="eastAsia"/>
                <w:sz w:val="24"/>
                <w:szCs w:val="24"/>
              </w:rPr>
              <w:t>≤</w:t>
            </w:r>
            <w:r>
              <w:rPr>
                <w:rFonts w:ascii="Times New Roman" w:hAnsi="Times New Roman"/>
                <w:sz w:val="24"/>
                <w:szCs w:val="24"/>
              </w:rPr>
              <w:t>0.1°</w:t>
            </w:r>
          </w:p>
        </w:tc>
      </w:tr>
      <w:tr>
        <w:tblPrEx>
          <w:tblW w:w="5011" w:type="pct"/>
          <w:tblInd w:w="0" w:type="dxa"/>
          <w:tblCellMar>
            <w:top w:w="0" w:type="dxa"/>
            <w:left w:w="0" w:type="dxa"/>
            <w:bottom w:w="0" w:type="dxa"/>
            <w:right w:w="0" w:type="dxa"/>
          </w:tblCellMar>
        </w:tblPrEx>
        <w:trPr>
          <w:trHeight w:val="565"/>
        </w:trPr>
        <w:tc>
          <w:tcPr>
            <w:tcW w:w="532" w:type="pct"/>
            <w:vMerge/>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p>
        </w:tc>
        <w:tc>
          <w:tcPr>
            <w:tcW w:w="797"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snapToGrid w:val="0"/>
                <w:color w:val="000000"/>
                <w:kern w:val="0"/>
                <w:lang w:eastAsia="en-US"/>
              </w:rPr>
            </w:pPr>
            <w:r>
              <w:rPr>
                <w:rFonts w:ascii="Times New Roman" w:hAnsi="Times New Roman" w:hint="eastAsia"/>
                <w:sz w:val="24"/>
                <w:szCs w:val="24"/>
              </w:rPr>
              <w:t>差分传播相移率</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snapToGrid w:val="0"/>
                <w:color w:val="000000"/>
                <w:kern w:val="0"/>
                <w:lang w:eastAsia="en-US"/>
              </w:rPr>
            </w:pPr>
            <w:r>
              <w:rPr>
                <w:rFonts w:ascii="Times New Roman" w:hAnsi="Times New Roman" w:hint="eastAsia"/>
                <w:sz w:val="24"/>
                <w:szCs w:val="24"/>
              </w:rPr>
              <w:t>≤</w:t>
            </w:r>
            <w:r>
              <w:rPr>
                <w:rFonts w:ascii="Times New Roman" w:hAnsi="Times New Roman"/>
                <w:sz w:val="24"/>
                <w:szCs w:val="24"/>
              </w:rPr>
              <w:t>0.01°/km</w:t>
            </w:r>
          </w:p>
        </w:tc>
      </w:tr>
      <w:tr>
        <w:tblPrEx>
          <w:tblW w:w="5011" w:type="pct"/>
          <w:tblInd w:w="0" w:type="dxa"/>
          <w:tblCellMar>
            <w:top w:w="0" w:type="dxa"/>
            <w:left w:w="0" w:type="dxa"/>
            <w:bottom w:w="0" w:type="dxa"/>
            <w:right w:w="0" w:type="dxa"/>
          </w:tblCellMar>
        </w:tblPrEx>
        <w:trPr>
          <w:trHeight w:val="565"/>
        </w:trPr>
        <w:tc>
          <w:tcPr>
            <w:tcW w:w="532" w:type="pct"/>
            <w:vMerge/>
            <w:tcBorders>
              <w:bottom w:val="nil"/>
            </w:tcBorders>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p>
        </w:tc>
        <w:tc>
          <w:tcPr>
            <w:tcW w:w="797"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相关系数</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0.001</w:t>
            </w:r>
          </w:p>
        </w:tc>
      </w:tr>
      <w:tr>
        <w:tblPrEx>
          <w:tblW w:w="5011" w:type="pct"/>
          <w:tblInd w:w="0" w:type="dxa"/>
          <w:tblCellMar>
            <w:top w:w="0" w:type="dxa"/>
            <w:left w:w="0" w:type="dxa"/>
            <w:bottom w:w="0" w:type="dxa"/>
            <w:right w:w="0" w:type="dxa"/>
          </w:tblCellMar>
        </w:tblPrEx>
        <w:trPr>
          <w:trHeight w:val="565"/>
        </w:trPr>
        <w:tc>
          <w:tcPr>
            <w:tcW w:w="1329" w:type="pct"/>
            <w:gridSpan w:val="2"/>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highlight w:val="yellow"/>
              </w:rPr>
              <w:t>#</w:t>
            </w:r>
            <w:r>
              <w:rPr>
                <w:rFonts w:ascii="Times New Roman" w:hAnsi="Times New Roman" w:hint="eastAsia"/>
                <w:sz w:val="24"/>
                <w:szCs w:val="24"/>
              </w:rPr>
              <w:t>系统噪声系数</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3.5dB</w:t>
            </w:r>
            <w:r>
              <w:rPr>
                <w:rFonts w:ascii="Times New Roman" w:hAnsi="Times New Roman" w:hint="eastAsia"/>
                <w:sz w:val="24"/>
                <w:szCs w:val="24"/>
              </w:rPr>
              <w:t>（脉宽</w:t>
            </w:r>
            <w:r>
              <w:rPr>
                <w:rFonts w:ascii="Times New Roman" w:hAnsi="Times New Roman"/>
                <w:sz w:val="24"/>
                <w:szCs w:val="24"/>
              </w:rPr>
              <w:t>1μs</w:t>
            </w:r>
            <w:r>
              <w:rPr>
                <w:rFonts w:ascii="Times New Roman" w:hAnsi="Times New Roman" w:hint="eastAsia"/>
                <w:sz w:val="24"/>
                <w:szCs w:val="24"/>
              </w:rPr>
              <w:t>，带宽</w:t>
            </w:r>
            <w:r>
              <w:rPr>
                <w:rFonts w:ascii="Times New Roman" w:hAnsi="Times New Roman"/>
                <w:sz w:val="24"/>
                <w:szCs w:val="24"/>
              </w:rPr>
              <w:t>1MHz</w:t>
            </w:r>
            <w:r>
              <w:rPr>
                <w:rFonts w:ascii="Times New Roman" w:hAnsi="Times New Roman" w:hint="eastAsia"/>
                <w:sz w:val="24"/>
                <w:szCs w:val="24"/>
              </w:rPr>
              <w:t>）</w:t>
            </w:r>
          </w:p>
        </w:tc>
      </w:tr>
      <w:tr>
        <w:tblPrEx>
          <w:tblW w:w="5011" w:type="pct"/>
          <w:tblInd w:w="0" w:type="dxa"/>
          <w:tblCellMar>
            <w:top w:w="0" w:type="dxa"/>
            <w:left w:w="0" w:type="dxa"/>
            <w:bottom w:w="0" w:type="dxa"/>
            <w:right w:w="0" w:type="dxa"/>
          </w:tblCellMar>
        </w:tblPrEx>
        <w:trPr>
          <w:trHeight w:val="565"/>
        </w:trPr>
        <w:tc>
          <w:tcPr>
            <w:tcW w:w="1329" w:type="pct"/>
            <w:gridSpan w:val="2"/>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highlight w:val="yellow"/>
              </w:rPr>
              <w:t>#</w:t>
            </w:r>
            <w:r>
              <w:rPr>
                <w:rFonts w:ascii="Times New Roman" w:hAnsi="Times New Roman" w:hint="eastAsia"/>
                <w:sz w:val="24"/>
                <w:szCs w:val="24"/>
              </w:rPr>
              <w:t>系统线性动态范围</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95dB</w:t>
            </w:r>
            <w:r>
              <w:rPr>
                <w:rFonts w:ascii="Times New Roman" w:hAnsi="Times New Roman" w:hint="eastAsia"/>
                <w:sz w:val="24"/>
                <w:szCs w:val="24"/>
              </w:rPr>
              <w:t>（脉宽</w:t>
            </w:r>
            <w:r>
              <w:rPr>
                <w:rFonts w:ascii="Times New Roman" w:hAnsi="Times New Roman"/>
                <w:sz w:val="24"/>
                <w:szCs w:val="24"/>
              </w:rPr>
              <w:t>1μs</w:t>
            </w:r>
            <w:r>
              <w:rPr>
                <w:rFonts w:ascii="Times New Roman" w:hAnsi="Times New Roman" w:hint="eastAsia"/>
                <w:sz w:val="24"/>
                <w:szCs w:val="24"/>
              </w:rPr>
              <w:t>，带宽</w:t>
            </w:r>
            <w:r>
              <w:rPr>
                <w:rFonts w:ascii="Times New Roman" w:hAnsi="Times New Roman"/>
                <w:sz w:val="24"/>
                <w:szCs w:val="24"/>
              </w:rPr>
              <w:t>1MHz</w:t>
            </w:r>
            <w:r>
              <w:rPr>
                <w:rFonts w:ascii="Times New Roman" w:hAnsi="Times New Roman" w:hint="eastAsia"/>
                <w:sz w:val="24"/>
                <w:szCs w:val="24"/>
              </w:rPr>
              <w:t>）</w:t>
            </w:r>
          </w:p>
        </w:tc>
      </w:tr>
      <w:tr>
        <w:tblPrEx>
          <w:tblW w:w="5011" w:type="pct"/>
          <w:tblInd w:w="0" w:type="dxa"/>
          <w:tblCellMar>
            <w:top w:w="0" w:type="dxa"/>
            <w:left w:w="0" w:type="dxa"/>
            <w:bottom w:w="0" w:type="dxa"/>
            <w:right w:w="0" w:type="dxa"/>
          </w:tblCellMar>
        </w:tblPrEx>
        <w:trPr>
          <w:trHeight w:val="567"/>
        </w:trPr>
        <w:tc>
          <w:tcPr>
            <w:tcW w:w="1329" w:type="pct"/>
            <w:gridSpan w:val="2"/>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highlight w:val="yellow"/>
              </w:rPr>
              <w:t>#</w:t>
            </w:r>
            <w:r>
              <w:rPr>
                <w:rFonts w:ascii="Times New Roman" w:hAnsi="Times New Roman" w:hint="eastAsia"/>
                <w:sz w:val="24"/>
                <w:szCs w:val="24"/>
              </w:rPr>
              <w:t>系统相位噪声</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0.1°</w:t>
            </w:r>
            <w:r>
              <w:rPr>
                <w:rFonts w:ascii="Times New Roman" w:hAnsi="Times New Roman" w:hint="eastAsia"/>
                <w:sz w:val="24"/>
                <w:szCs w:val="24"/>
              </w:rPr>
              <w:t>（脉宽</w:t>
            </w:r>
            <w:r>
              <w:rPr>
                <w:rFonts w:ascii="Times New Roman" w:hAnsi="Times New Roman"/>
                <w:sz w:val="24"/>
                <w:szCs w:val="24"/>
              </w:rPr>
              <w:t>1μs</w:t>
            </w:r>
            <w:r>
              <w:rPr>
                <w:rFonts w:ascii="Times New Roman" w:hAnsi="Times New Roman" w:hint="eastAsia"/>
                <w:sz w:val="24"/>
                <w:szCs w:val="24"/>
              </w:rPr>
              <w:t>，带宽</w:t>
            </w:r>
            <w:r>
              <w:rPr>
                <w:rFonts w:ascii="Times New Roman" w:hAnsi="Times New Roman"/>
                <w:sz w:val="24"/>
                <w:szCs w:val="24"/>
              </w:rPr>
              <w:t>1MHz</w:t>
            </w:r>
            <w:r>
              <w:rPr>
                <w:rFonts w:ascii="Times New Roman" w:hAnsi="Times New Roman" w:hint="eastAsia"/>
                <w:sz w:val="24"/>
                <w:szCs w:val="24"/>
              </w:rPr>
              <w:t>）</w:t>
            </w:r>
          </w:p>
        </w:tc>
      </w:tr>
      <w:tr>
        <w:tblPrEx>
          <w:tblW w:w="5011" w:type="pct"/>
          <w:tblInd w:w="0" w:type="dxa"/>
          <w:tblCellMar>
            <w:top w:w="0" w:type="dxa"/>
            <w:left w:w="0" w:type="dxa"/>
            <w:bottom w:w="0" w:type="dxa"/>
            <w:right w:w="0" w:type="dxa"/>
          </w:tblCellMar>
        </w:tblPrEx>
        <w:trPr>
          <w:trHeight w:val="570"/>
        </w:trPr>
        <w:tc>
          <w:tcPr>
            <w:tcW w:w="1329" w:type="pct"/>
            <w:gridSpan w:val="2"/>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highlight w:val="yellow"/>
              </w:rPr>
              <w:t>#</w:t>
            </w:r>
            <w:r>
              <w:rPr>
                <w:rFonts w:ascii="Times New Roman" w:hAnsi="Times New Roman" w:hint="eastAsia"/>
                <w:sz w:val="24"/>
                <w:szCs w:val="24"/>
              </w:rPr>
              <w:t>实际地物对消能力</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50dB</w:t>
            </w:r>
          </w:p>
        </w:tc>
      </w:tr>
      <w:tr>
        <w:tblPrEx>
          <w:tblW w:w="5011" w:type="pct"/>
          <w:tblInd w:w="0" w:type="dxa"/>
          <w:tblCellMar>
            <w:top w:w="0" w:type="dxa"/>
            <w:left w:w="0" w:type="dxa"/>
            <w:bottom w:w="0" w:type="dxa"/>
            <w:right w:w="0" w:type="dxa"/>
          </w:tblCellMar>
        </w:tblPrEx>
        <w:trPr>
          <w:trHeight w:val="1124"/>
        </w:trPr>
        <w:tc>
          <w:tcPr>
            <w:tcW w:w="1329" w:type="pct"/>
            <w:gridSpan w:val="2"/>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输出参数</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强度、速度、谱宽、差分反射率因子、差分传播相移、差分传播相移率、相关系数、信噪比</w:t>
            </w:r>
          </w:p>
        </w:tc>
      </w:tr>
      <w:tr>
        <w:tblPrEx>
          <w:tblW w:w="5011" w:type="pct"/>
          <w:tblInd w:w="0" w:type="dxa"/>
          <w:tblCellMar>
            <w:top w:w="0" w:type="dxa"/>
            <w:left w:w="0" w:type="dxa"/>
            <w:bottom w:w="0" w:type="dxa"/>
            <w:right w:w="0" w:type="dxa"/>
          </w:tblCellMar>
        </w:tblPrEx>
        <w:trPr>
          <w:trHeight w:val="1124"/>
        </w:trPr>
        <w:tc>
          <w:tcPr>
            <w:tcW w:w="1329" w:type="pct"/>
            <w:gridSpan w:val="2"/>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电源要求</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三相</w:t>
            </w:r>
            <w:r>
              <w:rPr>
                <w:rFonts w:ascii="Times New Roman" w:hAnsi="Times New Roman"/>
                <w:sz w:val="24"/>
                <w:szCs w:val="24"/>
              </w:rPr>
              <w:t>AC380V±10%</w:t>
            </w:r>
            <w:r>
              <w:rPr>
                <w:rFonts w:ascii="Times New Roman" w:hAnsi="Times New Roman" w:hint="eastAsia"/>
                <w:sz w:val="24"/>
                <w:szCs w:val="24"/>
              </w:rPr>
              <w:t>，</w:t>
            </w:r>
            <w:r>
              <w:rPr>
                <w:rFonts w:ascii="Times New Roman" w:hAnsi="Times New Roman"/>
                <w:sz w:val="24"/>
                <w:szCs w:val="24"/>
              </w:rPr>
              <w:t>50Hz±5%</w:t>
            </w:r>
          </w:p>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或单相</w:t>
            </w:r>
            <w:r>
              <w:rPr>
                <w:rFonts w:ascii="Times New Roman" w:hAnsi="Times New Roman"/>
                <w:sz w:val="24"/>
                <w:szCs w:val="24"/>
              </w:rPr>
              <w:t>AC220V±10%</w:t>
            </w:r>
            <w:r>
              <w:rPr>
                <w:rFonts w:ascii="Times New Roman" w:hAnsi="Times New Roman" w:hint="eastAsia"/>
                <w:sz w:val="24"/>
                <w:szCs w:val="24"/>
              </w:rPr>
              <w:t>，</w:t>
            </w:r>
            <w:r>
              <w:rPr>
                <w:rFonts w:ascii="Times New Roman" w:hAnsi="Times New Roman"/>
                <w:sz w:val="24"/>
                <w:szCs w:val="24"/>
              </w:rPr>
              <w:t>50Hz±5%</w:t>
            </w:r>
          </w:p>
        </w:tc>
      </w:tr>
      <w:tr>
        <w:tblPrEx>
          <w:tblW w:w="5011" w:type="pct"/>
          <w:tblInd w:w="0" w:type="dxa"/>
          <w:tblCellMar>
            <w:top w:w="0" w:type="dxa"/>
            <w:left w:w="0" w:type="dxa"/>
            <w:bottom w:w="0" w:type="dxa"/>
            <w:right w:w="0" w:type="dxa"/>
          </w:tblCellMar>
        </w:tblPrEx>
        <w:trPr>
          <w:trHeight w:val="565"/>
        </w:trPr>
        <w:tc>
          <w:tcPr>
            <w:tcW w:w="1329" w:type="pct"/>
            <w:gridSpan w:val="2"/>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重量</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3</w:t>
            </w:r>
            <w:r>
              <w:rPr>
                <w:rFonts w:ascii="Times New Roman" w:hAnsi="Times New Roman" w:hint="eastAsia"/>
                <w:sz w:val="24"/>
                <w:szCs w:val="24"/>
              </w:rPr>
              <w:t>吨</w:t>
            </w:r>
          </w:p>
        </w:tc>
      </w:tr>
      <w:tr>
        <w:tblPrEx>
          <w:tblW w:w="5011" w:type="pct"/>
          <w:tblInd w:w="0" w:type="dxa"/>
          <w:tblCellMar>
            <w:top w:w="0" w:type="dxa"/>
            <w:left w:w="0" w:type="dxa"/>
            <w:bottom w:w="0" w:type="dxa"/>
            <w:right w:w="0" w:type="dxa"/>
          </w:tblCellMar>
        </w:tblPrEx>
        <w:trPr>
          <w:trHeight w:val="1124"/>
        </w:trPr>
        <w:tc>
          <w:tcPr>
            <w:tcW w:w="532" w:type="pct"/>
            <w:vMerge w:val="restart"/>
            <w:tcBorders>
              <w:bottom w:val="nil"/>
            </w:tcBorders>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环境</w:t>
            </w:r>
          </w:p>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要求</w:t>
            </w:r>
          </w:p>
        </w:tc>
        <w:tc>
          <w:tcPr>
            <w:tcW w:w="797"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环境温度</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室内：</w:t>
            </w:r>
            <w:r>
              <w:rPr>
                <w:rFonts w:ascii="Times New Roman" w:hAnsi="Times New Roman"/>
                <w:sz w:val="24"/>
                <w:szCs w:val="24"/>
              </w:rPr>
              <w:t>0</w:t>
            </w:r>
            <w:r>
              <w:rPr>
                <w:rFonts w:ascii="Times New Roman" w:hAnsi="Times New Roman" w:hint="eastAsia"/>
                <w:sz w:val="24"/>
                <w:szCs w:val="24"/>
              </w:rPr>
              <w:t>～</w:t>
            </w:r>
            <w:r>
              <w:rPr>
                <w:rFonts w:ascii="Times New Roman" w:hAnsi="Times New Roman"/>
                <w:sz w:val="24"/>
                <w:szCs w:val="24"/>
              </w:rPr>
              <w:t>+40℃</w:t>
            </w:r>
          </w:p>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室外：</w:t>
            </w:r>
            <w:r>
              <w:rPr>
                <w:rFonts w:ascii="Times New Roman" w:hAnsi="Times New Roman"/>
                <w:sz w:val="24"/>
                <w:szCs w:val="24"/>
              </w:rPr>
              <w:t>-40</w:t>
            </w:r>
            <w:r>
              <w:rPr>
                <w:rFonts w:ascii="Times New Roman" w:hAnsi="Times New Roman" w:hint="eastAsia"/>
                <w:sz w:val="24"/>
                <w:szCs w:val="24"/>
              </w:rPr>
              <w:t>～</w:t>
            </w:r>
            <w:r>
              <w:rPr>
                <w:rFonts w:ascii="Times New Roman" w:hAnsi="Times New Roman"/>
                <w:sz w:val="24"/>
                <w:szCs w:val="24"/>
              </w:rPr>
              <w:t>+50℃</w:t>
            </w:r>
          </w:p>
        </w:tc>
      </w:tr>
      <w:tr>
        <w:tblPrEx>
          <w:tblW w:w="5011" w:type="pct"/>
          <w:tblInd w:w="0" w:type="dxa"/>
          <w:tblCellMar>
            <w:top w:w="0" w:type="dxa"/>
            <w:left w:w="0" w:type="dxa"/>
            <w:bottom w:w="0" w:type="dxa"/>
            <w:right w:w="0" w:type="dxa"/>
          </w:tblCellMar>
        </w:tblPrEx>
        <w:trPr>
          <w:trHeight w:val="565"/>
        </w:trPr>
        <w:tc>
          <w:tcPr>
            <w:tcW w:w="532" w:type="pct"/>
            <w:vMerge/>
            <w:tcBorders>
              <w:top w:val="nil"/>
              <w:bottom w:val="nil"/>
            </w:tcBorders>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p>
        </w:tc>
        <w:tc>
          <w:tcPr>
            <w:tcW w:w="797"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贮存温度</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sz w:val="24"/>
                <w:szCs w:val="24"/>
              </w:rPr>
              <w:t>-40</w:t>
            </w:r>
            <w:r>
              <w:rPr>
                <w:rFonts w:ascii="Times New Roman" w:hAnsi="Times New Roman" w:hint="eastAsia"/>
                <w:sz w:val="24"/>
                <w:szCs w:val="24"/>
              </w:rPr>
              <w:t>～</w:t>
            </w:r>
            <w:r>
              <w:rPr>
                <w:rFonts w:ascii="Times New Roman" w:hAnsi="Times New Roman"/>
                <w:sz w:val="24"/>
                <w:szCs w:val="24"/>
              </w:rPr>
              <w:t>+60℃</w:t>
            </w:r>
          </w:p>
        </w:tc>
      </w:tr>
      <w:tr>
        <w:tblPrEx>
          <w:tblW w:w="5011" w:type="pct"/>
          <w:tblInd w:w="0" w:type="dxa"/>
          <w:tblCellMar>
            <w:top w:w="0" w:type="dxa"/>
            <w:left w:w="0" w:type="dxa"/>
            <w:bottom w:w="0" w:type="dxa"/>
            <w:right w:w="0" w:type="dxa"/>
          </w:tblCellMar>
        </w:tblPrEx>
        <w:trPr>
          <w:trHeight w:val="1124"/>
        </w:trPr>
        <w:tc>
          <w:tcPr>
            <w:tcW w:w="532" w:type="pct"/>
            <w:vMerge/>
            <w:tcBorders>
              <w:top w:val="nil"/>
              <w:bottom w:val="nil"/>
            </w:tcBorders>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p>
        </w:tc>
        <w:tc>
          <w:tcPr>
            <w:tcW w:w="797"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环境最大湿度</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室内：≤</w:t>
            </w:r>
            <w:r>
              <w:rPr>
                <w:rFonts w:ascii="Times New Roman" w:hAnsi="Times New Roman"/>
                <w:sz w:val="24"/>
                <w:szCs w:val="24"/>
              </w:rPr>
              <w:t>90%</w:t>
            </w:r>
            <w:r>
              <w:rPr>
                <w:rFonts w:ascii="Times New Roman" w:hAnsi="Times New Roman" w:hint="eastAsia"/>
                <w:sz w:val="24"/>
                <w:szCs w:val="24"/>
              </w:rPr>
              <w:t>（</w:t>
            </w:r>
            <w:r>
              <w:rPr>
                <w:rFonts w:ascii="Times New Roman" w:hAnsi="Times New Roman"/>
                <w:sz w:val="24"/>
                <w:szCs w:val="24"/>
              </w:rPr>
              <w:t>+30℃)</w:t>
            </w:r>
          </w:p>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室外：≤</w:t>
            </w:r>
            <w:r>
              <w:rPr>
                <w:rFonts w:ascii="Times New Roman" w:hAnsi="Times New Roman"/>
                <w:sz w:val="24"/>
                <w:szCs w:val="24"/>
              </w:rPr>
              <w:t>95%</w:t>
            </w:r>
            <w:r>
              <w:rPr>
                <w:rFonts w:ascii="Times New Roman" w:hAnsi="Times New Roman" w:hint="eastAsia"/>
                <w:sz w:val="24"/>
                <w:szCs w:val="24"/>
              </w:rPr>
              <w:t>（</w:t>
            </w:r>
            <w:r>
              <w:rPr>
                <w:rFonts w:ascii="Times New Roman" w:hAnsi="Times New Roman"/>
                <w:sz w:val="24"/>
                <w:szCs w:val="24"/>
              </w:rPr>
              <w:t>+35℃)</w:t>
            </w:r>
          </w:p>
        </w:tc>
      </w:tr>
      <w:tr>
        <w:tblPrEx>
          <w:tblW w:w="5011" w:type="pct"/>
          <w:tblInd w:w="0" w:type="dxa"/>
          <w:tblCellMar>
            <w:top w:w="0" w:type="dxa"/>
            <w:left w:w="0" w:type="dxa"/>
            <w:bottom w:w="0" w:type="dxa"/>
            <w:right w:w="0" w:type="dxa"/>
          </w:tblCellMar>
        </w:tblPrEx>
        <w:trPr>
          <w:trHeight w:val="565"/>
        </w:trPr>
        <w:tc>
          <w:tcPr>
            <w:tcW w:w="532" w:type="pct"/>
            <w:vMerge/>
            <w:tcBorders>
              <w:top w:val="nil"/>
              <w:bottom w:val="nil"/>
            </w:tcBorders>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p>
        </w:tc>
        <w:tc>
          <w:tcPr>
            <w:tcW w:w="797"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工作高度</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海拔高度：≤</w:t>
            </w:r>
            <w:r>
              <w:rPr>
                <w:rFonts w:ascii="Times New Roman" w:hAnsi="Times New Roman"/>
                <w:sz w:val="24"/>
                <w:szCs w:val="24"/>
              </w:rPr>
              <w:t>5000m</w:t>
            </w:r>
          </w:p>
        </w:tc>
      </w:tr>
      <w:tr>
        <w:tblPrEx>
          <w:tblW w:w="5011" w:type="pct"/>
          <w:tblInd w:w="0" w:type="dxa"/>
          <w:tblCellMar>
            <w:top w:w="0" w:type="dxa"/>
            <w:left w:w="0" w:type="dxa"/>
            <w:bottom w:w="0" w:type="dxa"/>
            <w:right w:w="0" w:type="dxa"/>
          </w:tblCellMar>
        </w:tblPrEx>
        <w:trPr>
          <w:trHeight w:val="565"/>
        </w:trPr>
        <w:tc>
          <w:tcPr>
            <w:tcW w:w="532" w:type="pct"/>
            <w:vMerge/>
            <w:tcBorders>
              <w:top w:val="nil"/>
              <w:bottom w:val="nil"/>
            </w:tcBorders>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p>
        </w:tc>
        <w:tc>
          <w:tcPr>
            <w:tcW w:w="797"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冲击、振动、淋雨</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符合国家有关部门规定，且满足野外运输要求。</w:t>
            </w:r>
          </w:p>
        </w:tc>
      </w:tr>
      <w:tr>
        <w:tblPrEx>
          <w:tblW w:w="5011" w:type="pct"/>
          <w:tblInd w:w="0" w:type="dxa"/>
          <w:tblCellMar>
            <w:top w:w="0" w:type="dxa"/>
            <w:left w:w="0" w:type="dxa"/>
            <w:bottom w:w="0" w:type="dxa"/>
            <w:right w:w="0" w:type="dxa"/>
          </w:tblCellMar>
        </w:tblPrEx>
        <w:trPr>
          <w:trHeight w:val="565"/>
        </w:trPr>
        <w:tc>
          <w:tcPr>
            <w:tcW w:w="532" w:type="pct"/>
            <w:vMerge/>
            <w:tcBorders>
              <w:top w:val="nil"/>
              <w:bottom w:val="nil"/>
            </w:tcBorders>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p>
        </w:tc>
        <w:tc>
          <w:tcPr>
            <w:tcW w:w="797"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抗干扰</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电源干扰、电磁干扰、无线电频率干扰</w:t>
            </w:r>
          </w:p>
        </w:tc>
      </w:tr>
      <w:tr>
        <w:tblPrEx>
          <w:tblW w:w="5011" w:type="pct"/>
          <w:tblInd w:w="0" w:type="dxa"/>
          <w:tblCellMar>
            <w:top w:w="0" w:type="dxa"/>
            <w:left w:w="0" w:type="dxa"/>
            <w:bottom w:w="0" w:type="dxa"/>
            <w:right w:w="0" w:type="dxa"/>
          </w:tblCellMar>
        </w:tblPrEx>
        <w:trPr>
          <w:trHeight w:val="565"/>
        </w:trPr>
        <w:tc>
          <w:tcPr>
            <w:tcW w:w="532" w:type="pct"/>
            <w:vMerge/>
            <w:tcBorders>
              <w:top w:val="nil"/>
            </w:tcBorders>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p>
        </w:tc>
        <w:tc>
          <w:tcPr>
            <w:tcW w:w="797"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其它</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防水、防霉、防盐雾</w:t>
            </w:r>
          </w:p>
        </w:tc>
      </w:tr>
      <w:tr>
        <w:tblPrEx>
          <w:tblW w:w="5011" w:type="pct"/>
          <w:tblInd w:w="0" w:type="dxa"/>
          <w:tblCellMar>
            <w:top w:w="0" w:type="dxa"/>
            <w:left w:w="0" w:type="dxa"/>
            <w:bottom w:w="0" w:type="dxa"/>
            <w:right w:w="0" w:type="dxa"/>
          </w:tblCellMar>
        </w:tblPrEx>
        <w:trPr>
          <w:trHeight w:val="1124"/>
        </w:trPr>
        <w:tc>
          <w:tcPr>
            <w:tcW w:w="1329" w:type="pct"/>
            <w:gridSpan w:val="2"/>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平均严重故障间隔时间</w:t>
            </w:r>
          </w:p>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MTBCF</w:t>
            </w:r>
            <w:r>
              <w:rPr>
                <w:rFonts w:ascii="Times New Roman" w:hAnsi="Times New Roman" w:hint="eastAsia"/>
                <w:sz w:val="24"/>
                <w:szCs w:val="24"/>
              </w:rPr>
              <w:t>）</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5000h</w:t>
            </w:r>
          </w:p>
        </w:tc>
      </w:tr>
      <w:tr>
        <w:tblPrEx>
          <w:tblW w:w="5011" w:type="pct"/>
          <w:tblInd w:w="0" w:type="dxa"/>
          <w:tblCellMar>
            <w:top w:w="0" w:type="dxa"/>
            <w:left w:w="0" w:type="dxa"/>
            <w:bottom w:w="0" w:type="dxa"/>
            <w:right w:w="0" w:type="dxa"/>
          </w:tblCellMar>
        </w:tblPrEx>
        <w:trPr>
          <w:trHeight w:val="565"/>
        </w:trPr>
        <w:tc>
          <w:tcPr>
            <w:tcW w:w="1329" w:type="pct"/>
            <w:gridSpan w:val="2"/>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平均故障修复时间</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0.5h</w:t>
            </w:r>
          </w:p>
        </w:tc>
      </w:tr>
      <w:tr>
        <w:tblPrEx>
          <w:tblW w:w="5011" w:type="pct"/>
          <w:tblInd w:w="0" w:type="dxa"/>
          <w:tblCellMar>
            <w:top w:w="0" w:type="dxa"/>
            <w:left w:w="0" w:type="dxa"/>
            <w:bottom w:w="0" w:type="dxa"/>
            <w:right w:w="0" w:type="dxa"/>
          </w:tblCellMar>
        </w:tblPrEx>
        <w:trPr>
          <w:trHeight w:val="565"/>
        </w:trPr>
        <w:tc>
          <w:tcPr>
            <w:tcW w:w="1329" w:type="pct"/>
            <w:gridSpan w:val="2"/>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架设方式</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固定架设</w:t>
            </w:r>
          </w:p>
        </w:tc>
      </w:tr>
      <w:tr>
        <w:tblPrEx>
          <w:tblW w:w="5011" w:type="pct"/>
          <w:tblInd w:w="0" w:type="dxa"/>
          <w:tblCellMar>
            <w:top w:w="0" w:type="dxa"/>
            <w:left w:w="0" w:type="dxa"/>
            <w:bottom w:w="0" w:type="dxa"/>
            <w:right w:w="0" w:type="dxa"/>
          </w:tblCellMar>
        </w:tblPrEx>
        <w:trPr>
          <w:trHeight w:val="565"/>
        </w:trPr>
        <w:tc>
          <w:tcPr>
            <w:tcW w:w="1329" w:type="pct"/>
            <w:gridSpan w:val="2"/>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雷达整机功耗</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15kW</w:t>
            </w:r>
          </w:p>
        </w:tc>
      </w:tr>
      <w:tr>
        <w:tblPrEx>
          <w:tblW w:w="5011" w:type="pct"/>
          <w:tblInd w:w="0" w:type="dxa"/>
          <w:tblCellMar>
            <w:top w:w="0" w:type="dxa"/>
            <w:left w:w="0" w:type="dxa"/>
            <w:bottom w:w="0" w:type="dxa"/>
            <w:right w:w="0" w:type="dxa"/>
          </w:tblCellMar>
        </w:tblPrEx>
        <w:trPr>
          <w:trHeight w:val="565"/>
        </w:trPr>
        <w:tc>
          <w:tcPr>
            <w:tcW w:w="1329" w:type="pct"/>
            <w:gridSpan w:val="2"/>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连续工作时间</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无人值守</w:t>
            </w:r>
            <w:r>
              <w:rPr>
                <w:rFonts w:ascii="Times New Roman" w:hAnsi="Times New Roman"/>
                <w:sz w:val="24"/>
                <w:szCs w:val="24"/>
              </w:rPr>
              <w:t>7×24h</w:t>
            </w:r>
            <w:r>
              <w:rPr>
                <w:rFonts w:ascii="Times New Roman" w:hAnsi="Times New Roman" w:hint="eastAsia"/>
                <w:sz w:val="24"/>
                <w:szCs w:val="24"/>
              </w:rPr>
              <w:t>工作</w:t>
            </w:r>
          </w:p>
        </w:tc>
      </w:tr>
      <w:tr>
        <w:tblPrEx>
          <w:tblW w:w="5011" w:type="pct"/>
          <w:tblInd w:w="0" w:type="dxa"/>
          <w:tblCellMar>
            <w:top w:w="0" w:type="dxa"/>
            <w:left w:w="0" w:type="dxa"/>
            <w:bottom w:w="0" w:type="dxa"/>
            <w:right w:w="0" w:type="dxa"/>
          </w:tblCellMar>
        </w:tblPrEx>
        <w:trPr>
          <w:trHeight w:val="777"/>
        </w:trPr>
        <w:tc>
          <w:tcPr>
            <w:tcW w:w="1329" w:type="pct"/>
            <w:gridSpan w:val="2"/>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微波辐射安全性</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电磁辐射暴露限制应符合</w:t>
            </w:r>
            <w:r>
              <w:rPr>
                <w:rFonts w:ascii="Times New Roman" w:hAnsi="Times New Roman"/>
                <w:sz w:val="24"/>
                <w:szCs w:val="24"/>
              </w:rPr>
              <w:t>GJB5313A-2017</w:t>
            </w:r>
            <w:r>
              <w:rPr>
                <w:rFonts w:ascii="Times New Roman" w:hAnsi="Times New Roman" w:hint="eastAsia"/>
                <w:sz w:val="24"/>
                <w:szCs w:val="24"/>
              </w:rPr>
              <w:t>的要求。</w:t>
            </w:r>
          </w:p>
        </w:tc>
      </w:tr>
      <w:tr>
        <w:tblPrEx>
          <w:tblW w:w="5011" w:type="pct"/>
          <w:tblInd w:w="0" w:type="dxa"/>
          <w:tblCellMar>
            <w:top w:w="0" w:type="dxa"/>
            <w:left w:w="0" w:type="dxa"/>
            <w:bottom w:w="0" w:type="dxa"/>
            <w:right w:w="0" w:type="dxa"/>
          </w:tblCellMar>
        </w:tblPrEx>
        <w:trPr>
          <w:trHeight w:val="974"/>
        </w:trPr>
        <w:tc>
          <w:tcPr>
            <w:tcW w:w="1329" w:type="pct"/>
            <w:gridSpan w:val="2"/>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安全标记</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雷达高压部位、微波泄漏部位、机械转动部位应有清晰、醒目的安全警示标记。</w:t>
            </w:r>
          </w:p>
        </w:tc>
      </w:tr>
      <w:tr>
        <w:tblPrEx>
          <w:tblW w:w="5011" w:type="pct"/>
          <w:tblInd w:w="0" w:type="dxa"/>
          <w:tblCellMar>
            <w:top w:w="0" w:type="dxa"/>
            <w:left w:w="0" w:type="dxa"/>
            <w:bottom w:w="0" w:type="dxa"/>
            <w:right w:w="0" w:type="dxa"/>
          </w:tblCellMar>
        </w:tblPrEx>
        <w:trPr>
          <w:trHeight w:val="700"/>
        </w:trPr>
        <w:tc>
          <w:tcPr>
            <w:tcW w:w="1329" w:type="pct"/>
            <w:gridSpan w:val="2"/>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互换性</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雷达备份零件、部件、组件和功能单元均能在现场更换，无需调整而正常工作。</w:t>
            </w:r>
          </w:p>
        </w:tc>
      </w:tr>
      <w:tr>
        <w:tblPrEx>
          <w:tblW w:w="5011" w:type="pct"/>
          <w:tblInd w:w="0" w:type="dxa"/>
          <w:tblCellMar>
            <w:top w:w="0" w:type="dxa"/>
            <w:left w:w="0" w:type="dxa"/>
            <w:bottom w:w="0" w:type="dxa"/>
            <w:right w:w="0" w:type="dxa"/>
          </w:tblCellMar>
        </w:tblPrEx>
        <w:trPr>
          <w:trHeight w:val="1364"/>
        </w:trPr>
        <w:tc>
          <w:tcPr>
            <w:tcW w:w="1329" w:type="pct"/>
            <w:gridSpan w:val="2"/>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电磁兼容性</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雷达具有市电滤波和防电磁干扰的能力，设置静电屏蔽、磁屏蔽、电磁屏蔽，模拟地线、数字地线和安全地线严格分开。</w:t>
            </w:r>
          </w:p>
        </w:tc>
      </w:tr>
      <w:tr>
        <w:tblPrEx>
          <w:tblW w:w="5011" w:type="pct"/>
          <w:tblInd w:w="0" w:type="dxa"/>
          <w:tblCellMar>
            <w:top w:w="0" w:type="dxa"/>
            <w:left w:w="0" w:type="dxa"/>
            <w:bottom w:w="0" w:type="dxa"/>
            <w:right w:w="0" w:type="dxa"/>
          </w:tblCellMar>
        </w:tblPrEx>
        <w:trPr>
          <w:trHeight w:val="974"/>
        </w:trPr>
        <w:tc>
          <w:tcPr>
            <w:tcW w:w="1329" w:type="pct"/>
            <w:gridSpan w:val="2"/>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安全性</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雷达应有安全性设计</w:t>
            </w:r>
            <w:r>
              <w:rPr>
                <w:rFonts w:ascii="Times New Roman" w:hAnsi="Times New Roman"/>
                <w:sz w:val="24"/>
                <w:szCs w:val="24"/>
              </w:rPr>
              <w:t>,</w:t>
            </w:r>
            <w:r>
              <w:rPr>
                <w:rFonts w:ascii="Times New Roman" w:hAnsi="Times New Roman" w:hint="eastAsia"/>
                <w:sz w:val="24"/>
                <w:szCs w:val="24"/>
              </w:rPr>
              <w:t>确保雷达按规定条件进行制造、安装、运输、贮存、使用和维护时的人身安全和设备安全。</w:t>
            </w:r>
          </w:p>
        </w:tc>
      </w:tr>
      <w:tr>
        <w:tblPrEx>
          <w:tblW w:w="5011" w:type="pct"/>
          <w:tblInd w:w="0" w:type="dxa"/>
          <w:tblCellMar>
            <w:top w:w="0" w:type="dxa"/>
            <w:left w:w="0" w:type="dxa"/>
            <w:bottom w:w="0" w:type="dxa"/>
            <w:right w:w="0" w:type="dxa"/>
          </w:tblCellMar>
        </w:tblPrEx>
        <w:trPr>
          <w:trHeight w:val="865"/>
        </w:trPr>
        <w:tc>
          <w:tcPr>
            <w:tcW w:w="1329" w:type="pct"/>
            <w:gridSpan w:val="2"/>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防雷要求</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雷达电源线输入端应加装防雷滤波器，室外电缆一律采用屏蔽电缆。</w:t>
            </w:r>
          </w:p>
        </w:tc>
      </w:tr>
      <w:tr>
        <w:tblPrEx>
          <w:tblW w:w="5011" w:type="pct"/>
          <w:tblInd w:w="0" w:type="dxa"/>
          <w:tblCellMar>
            <w:top w:w="0" w:type="dxa"/>
            <w:left w:w="0" w:type="dxa"/>
            <w:bottom w:w="0" w:type="dxa"/>
            <w:right w:w="0" w:type="dxa"/>
          </w:tblCellMar>
        </w:tblPrEx>
        <w:trPr>
          <w:trHeight w:val="475"/>
        </w:trPr>
        <w:tc>
          <w:tcPr>
            <w:tcW w:w="1329" w:type="pct"/>
            <w:gridSpan w:val="2"/>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绝缘性</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雷达各初级电源与大地间绝缘电阻应大于</w:t>
            </w:r>
            <w:r>
              <w:rPr>
                <w:rFonts w:ascii="Times New Roman" w:hAnsi="Times New Roman"/>
                <w:sz w:val="24"/>
                <w:szCs w:val="24"/>
              </w:rPr>
              <w:t>1MΩ</w:t>
            </w:r>
            <w:r>
              <w:rPr>
                <w:rFonts w:ascii="Times New Roman" w:hAnsi="Times New Roman" w:hint="eastAsia"/>
                <w:sz w:val="24"/>
                <w:szCs w:val="24"/>
              </w:rPr>
              <w:t>。</w:t>
            </w:r>
          </w:p>
        </w:tc>
      </w:tr>
      <w:tr>
        <w:tblPrEx>
          <w:tblW w:w="5011" w:type="pct"/>
          <w:tblInd w:w="0" w:type="dxa"/>
          <w:tblCellMar>
            <w:top w:w="0" w:type="dxa"/>
            <w:left w:w="0" w:type="dxa"/>
            <w:bottom w:w="0" w:type="dxa"/>
            <w:right w:w="0" w:type="dxa"/>
          </w:tblCellMar>
        </w:tblPrEx>
        <w:trPr>
          <w:trHeight w:val="1684"/>
        </w:trPr>
        <w:tc>
          <w:tcPr>
            <w:tcW w:w="1329" w:type="pct"/>
            <w:gridSpan w:val="2"/>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外观质量</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外观应协调一致。外表面应无凹痕、碰伤、裂痕和变形等缺陷；镀涂层不起泡、龟裂和脱落；金属零件无锈蚀、毛刺及其它机械损伤。</w:t>
            </w:r>
          </w:p>
        </w:tc>
      </w:tr>
      <w:tr>
        <w:tblPrEx>
          <w:tblW w:w="5011" w:type="pct"/>
          <w:tblInd w:w="0" w:type="dxa"/>
          <w:tblCellMar>
            <w:top w:w="0" w:type="dxa"/>
            <w:left w:w="0" w:type="dxa"/>
            <w:bottom w:w="0" w:type="dxa"/>
            <w:right w:w="0" w:type="dxa"/>
          </w:tblCellMar>
        </w:tblPrEx>
        <w:trPr>
          <w:trHeight w:val="1936"/>
        </w:trPr>
        <w:tc>
          <w:tcPr>
            <w:tcW w:w="1329" w:type="pct"/>
            <w:gridSpan w:val="2"/>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标记与代号</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机柜、机箱、插件和线缆等应有统一的编号和标记，符合国家标准。</w:t>
            </w:r>
          </w:p>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印制板、主要元器件等应在相应位置印有与电路图中项目代号相符的标记。</w:t>
            </w:r>
          </w:p>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标记的文字、字母和符号应完整、规范、清晰和牢固，且便于识读。</w:t>
            </w:r>
          </w:p>
        </w:tc>
      </w:tr>
      <w:tr>
        <w:tblPrEx>
          <w:tblW w:w="5011" w:type="pct"/>
          <w:tblInd w:w="0" w:type="dxa"/>
          <w:tblCellMar>
            <w:top w:w="0" w:type="dxa"/>
            <w:left w:w="0" w:type="dxa"/>
            <w:bottom w:w="0" w:type="dxa"/>
            <w:right w:w="0" w:type="dxa"/>
          </w:tblCellMar>
        </w:tblPrEx>
        <w:trPr>
          <w:trHeight w:val="537"/>
        </w:trPr>
        <w:tc>
          <w:tcPr>
            <w:tcW w:w="1329" w:type="pct"/>
            <w:gridSpan w:val="2"/>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环境噪声要求</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终端操作室噪声不大于</w:t>
            </w:r>
            <w:r>
              <w:rPr>
                <w:rFonts w:ascii="Times New Roman" w:hAnsi="Times New Roman"/>
                <w:sz w:val="24"/>
                <w:szCs w:val="24"/>
              </w:rPr>
              <w:t>65dB</w:t>
            </w:r>
            <w:r>
              <w:rPr>
                <w:rFonts w:ascii="Times New Roman" w:hAnsi="Times New Roman" w:hint="eastAsia"/>
                <w:sz w:val="24"/>
                <w:szCs w:val="24"/>
              </w:rPr>
              <w:t>。</w:t>
            </w:r>
          </w:p>
        </w:tc>
      </w:tr>
      <w:tr>
        <w:tblPrEx>
          <w:tblW w:w="5011" w:type="pct"/>
          <w:tblInd w:w="0" w:type="dxa"/>
          <w:tblCellMar>
            <w:top w:w="0" w:type="dxa"/>
            <w:left w:w="0" w:type="dxa"/>
            <w:bottom w:w="0" w:type="dxa"/>
            <w:right w:w="0" w:type="dxa"/>
          </w:tblCellMar>
        </w:tblPrEx>
        <w:trPr>
          <w:trHeight w:val="617"/>
        </w:trPr>
        <w:tc>
          <w:tcPr>
            <w:tcW w:w="1329" w:type="pct"/>
            <w:gridSpan w:val="2"/>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雷达应有的铭牌包括的内容</w:t>
            </w:r>
          </w:p>
        </w:tc>
        <w:tc>
          <w:tcPr>
            <w:tcW w:w="3670"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雷达的名称、型号（代号）；出厂编号；出厂年月；制造厂商标。</w:t>
            </w:r>
          </w:p>
        </w:tc>
      </w:tr>
    </w:tbl>
    <w:p>
      <w:pPr>
        <w:tabs>
          <w:tab w:val="left" w:pos="2340"/>
        </w:tabs>
        <w:spacing w:line="360" w:lineRule="auto"/>
        <w:ind w:firstLine="482"/>
        <w:rPr>
          <w:rFonts w:ascii="Times New Roman" w:hAnsi="Times New Roman" w:hint="eastAsia"/>
          <w:b/>
        </w:rPr>
      </w:pPr>
      <w:bookmarkStart w:id="63" w:name="bookmark19"/>
      <w:bookmarkEnd w:id="63"/>
      <w:bookmarkStart w:id="64" w:name="bookmark20"/>
      <w:bookmarkEnd w:id="64"/>
      <w:r>
        <w:rPr>
          <w:rFonts w:ascii="Times New Roman" w:hAnsi="Times New Roman" w:hint="eastAsia"/>
          <w:b/>
          <w:sz w:val="24"/>
          <w:szCs w:val="24"/>
          <w:lang w:val="en-US" w:eastAsia="zh-CN"/>
        </w:rPr>
        <w:t>3.2天线罩技术指标</w:t>
      </w:r>
    </w:p>
    <w:p>
      <w:pPr>
        <w:ind w:firstLine="560" w:firstLineChars="200"/>
        <w:rPr>
          <w:rFonts w:ascii="仿宋" w:eastAsia="仿宋" w:hAnsi="仿宋" w:cs="仿宋" w:hint="eastAsia"/>
          <w:color w:val="000000"/>
          <w:sz w:val="28"/>
          <w:szCs w:val="28"/>
        </w:rPr>
      </w:pPr>
      <w:r>
        <w:rPr>
          <w:rFonts w:ascii="仿宋" w:eastAsia="仿宋" w:hAnsi="仿宋" w:cs="仿宋" w:hint="eastAsia"/>
          <w:color w:val="000000"/>
          <w:sz w:val="28"/>
          <w:szCs w:val="28"/>
        </w:rPr>
        <w:t>天线罩的技术指标包括：引入波束偏差、引入波束展宽、射频损失、引入交叉极化隔离度影响、引入副瓣影响等。具体指标见表2。</w:t>
      </w:r>
    </w:p>
    <w:p>
      <w:pPr>
        <w:ind w:firstLine="560" w:firstLineChars="200"/>
        <w:rPr>
          <w:rFonts w:ascii="仿宋" w:eastAsia="仿宋" w:hAnsi="仿宋" w:cs="仿宋" w:hint="eastAsia"/>
          <w:color w:val="000000"/>
          <w:sz w:val="28"/>
          <w:szCs w:val="28"/>
        </w:rPr>
      </w:pPr>
      <w:r>
        <w:rPr>
          <w:rFonts w:ascii="仿宋" w:eastAsia="仿宋" w:hAnsi="仿宋" w:cs="仿宋" w:hint="eastAsia"/>
          <w:color w:val="000000"/>
          <w:sz w:val="28"/>
          <w:szCs w:val="28"/>
        </w:rPr>
        <w:t>雷达应具备天线罩。增强型须配套截球形天线罩，标准型根据台站实际情况选配截球形天线罩或平面天线罩中的一种。</w:t>
      </w:r>
    </w:p>
    <w:p>
      <w:pPr>
        <w:ind w:firstLine="560" w:firstLineChars="200"/>
        <w:rPr>
          <w:rFonts w:ascii="仿宋" w:eastAsia="仿宋" w:hAnsi="仿宋" w:cs="仿宋" w:hint="eastAsia"/>
          <w:color w:val="000000"/>
          <w:sz w:val="28"/>
          <w:szCs w:val="28"/>
        </w:rPr>
      </w:pPr>
      <w:r>
        <w:rPr>
          <w:rFonts w:ascii="仿宋" w:eastAsia="仿宋" w:hAnsi="仿宋" w:cs="仿宋" w:hint="eastAsia"/>
          <w:color w:val="000000"/>
          <w:sz w:val="28"/>
          <w:szCs w:val="28"/>
        </w:rPr>
        <w:t>天线罩外表面须涂覆疏水层。</w:t>
      </w:r>
    </w:p>
    <w:p>
      <w:pPr>
        <w:spacing w:line="240" w:lineRule="auto"/>
        <w:jc w:val="center"/>
        <w:rPr>
          <w:rFonts w:ascii="仿宋" w:eastAsia="仿宋" w:hAnsi="仿宋" w:cs="仿宋" w:hint="eastAsia"/>
          <w:color w:val="000000"/>
          <w:sz w:val="28"/>
          <w:szCs w:val="28"/>
        </w:rPr>
      </w:pPr>
      <w:r>
        <w:rPr>
          <w:rFonts w:ascii="仿宋" w:eastAsia="仿宋" w:hAnsi="仿宋" w:cs="仿宋" w:hint="eastAsia"/>
          <w:color w:val="000000"/>
          <w:sz w:val="28"/>
          <w:szCs w:val="28"/>
        </w:rPr>
        <w:t>表2 天线罩技术性能指标表</w:t>
      </w:r>
    </w:p>
    <w:tbl>
      <w:tblPr>
        <w:tblStyle w:val="TableNormal"/>
        <w:tblW w:w="77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988"/>
        <w:gridCol w:w="1276"/>
        <w:gridCol w:w="4481"/>
      </w:tblGrid>
      <w:tr>
        <w:tblPrEx>
          <w:tblW w:w="77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73"/>
          <w:jc w:val="center"/>
        </w:trPr>
        <w:tc>
          <w:tcPr>
            <w:tcW w:w="3264" w:type="dxa"/>
            <w:gridSpan w:val="2"/>
            <w:noWrap w:val="0"/>
            <w:vAlign w:val="center"/>
          </w:tcPr>
          <w:p>
            <w:pPr>
              <w:spacing w:line="400" w:lineRule="exact"/>
              <w:jc w:val="center"/>
              <w:rPr>
                <w:rFonts w:ascii="仿宋" w:eastAsia="仿宋" w:hAnsi="仿宋" w:cs="仿宋" w:hint="eastAsia"/>
                <w:b/>
                <w:bCs/>
                <w:color w:val="000000"/>
                <w:sz w:val="28"/>
                <w:szCs w:val="28"/>
              </w:rPr>
            </w:pPr>
            <w:r>
              <w:rPr>
                <w:rFonts w:ascii="仿宋" w:eastAsia="仿宋" w:hAnsi="仿宋" w:cs="仿宋" w:hint="eastAsia"/>
                <w:b/>
                <w:bCs/>
                <w:color w:val="000000"/>
                <w:sz w:val="28"/>
                <w:szCs w:val="28"/>
              </w:rPr>
              <w:t>项目</w:t>
            </w:r>
          </w:p>
        </w:tc>
        <w:tc>
          <w:tcPr>
            <w:tcW w:w="4481" w:type="dxa"/>
            <w:noWrap w:val="0"/>
            <w:vAlign w:val="center"/>
          </w:tcPr>
          <w:p>
            <w:pPr>
              <w:spacing w:line="400" w:lineRule="exact"/>
              <w:jc w:val="center"/>
              <w:rPr>
                <w:rFonts w:ascii="仿宋" w:eastAsia="仿宋" w:hAnsi="仿宋" w:cs="仿宋" w:hint="eastAsia"/>
                <w:b/>
                <w:bCs/>
                <w:color w:val="000000"/>
                <w:sz w:val="28"/>
                <w:szCs w:val="28"/>
              </w:rPr>
            </w:pPr>
            <w:r>
              <w:rPr>
                <w:rFonts w:ascii="仿宋" w:eastAsia="仿宋" w:hAnsi="仿宋" w:cs="仿宋" w:hint="eastAsia"/>
                <w:b/>
                <w:bCs/>
                <w:color w:val="000000"/>
                <w:sz w:val="28"/>
                <w:szCs w:val="28"/>
              </w:rPr>
              <w:t>性能指标</w:t>
            </w:r>
          </w:p>
        </w:tc>
      </w:tr>
      <w:tr>
        <w:tblPrEx>
          <w:tblW w:w="7745" w:type="dxa"/>
          <w:jc w:val="center"/>
          <w:tblLayout w:type="fixed"/>
          <w:tblCellMar>
            <w:top w:w="0" w:type="dxa"/>
            <w:left w:w="108" w:type="dxa"/>
            <w:bottom w:w="0" w:type="dxa"/>
            <w:right w:w="108" w:type="dxa"/>
          </w:tblCellMar>
        </w:tblPrEx>
        <w:trPr>
          <w:trHeight w:val="290"/>
          <w:jc w:val="center"/>
        </w:trPr>
        <w:tc>
          <w:tcPr>
            <w:tcW w:w="1988" w:type="dxa"/>
            <w:vMerge w:val="restart"/>
            <w:tcBorders>
              <w:top w:val="single" w:sz="4" w:space="0" w:color="auto"/>
              <w:left w:val="single" w:sz="4" w:space="0" w:color="auto"/>
              <w:right w:val="single" w:sz="4" w:space="0" w:color="auto"/>
            </w:tcBorders>
            <w:noWrap w:val="0"/>
            <w:vAlign w:val="center"/>
          </w:tcPr>
          <w:p>
            <w:pPr>
              <w:spacing w:line="400" w:lineRule="exact"/>
              <w:rPr>
                <w:rFonts w:ascii="仿宋" w:eastAsia="仿宋" w:hAnsi="仿宋" w:cs="仿宋" w:hint="eastAsia"/>
                <w:color w:val="000000"/>
                <w:sz w:val="28"/>
                <w:szCs w:val="28"/>
              </w:rPr>
            </w:pPr>
            <w:r>
              <w:rPr>
                <w:rFonts w:ascii="仿宋" w:eastAsia="仿宋" w:hAnsi="仿宋" w:cs="仿宋" w:hint="eastAsia"/>
                <w:color w:val="000000"/>
                <w:sz w:val="28"/>
                <w:szCs w:val="28"/>
              </w:rPr>
              <w:t>引入波束偏差</w:t>
            </w:r>
          </w:p>
        </w:tc>
        <w:tc>
          <w:tcPr>
            <w:tcW w:w="1276" w:type="dxa"/>
            <w:tcBorders>
              <w:top w:val="single" w:sz="4" w:space="0" w:color="auto"/>
              <w:left w:val="single" w:sz="4" w:space="0" w:color="auto"/>
              <w:bottom w:val="single" w:sz="4" w:space="0" w:color="auto"/>
              <w:right w:val="single" w:sz="4" w:space="0" w:color="auto"/>
            </w:tcBorders>
            <w:noWrap w:val="0"/>
            <w:vAlign w:val="center"/>
          </w:tcPr>
          <w:p>
            <w:pPr>
              <w:spacing w:line="400" w:lineRule="exact"/>
              <w:rPr>
                <w:rFonts w:ascii="仿宋" w:eastAsia="仿宋" w:hAnsi="仿宋" w:cs="仿宋" w:hint="eastAsia"/>
                <w:color w:val="000000"/>
                <w:sz w:val="28"/>
                <w:szCs w:val="28"/>
              </w:rPr>
            </w:pPr>
            <w:r>
              <w:rPr>
                <w:rFonts w:ascii="仿宋" w:eastAsia="仿宋" w:hAnsi="仿宋" w:cs="仿宋" w:hint="eastAsia"/>
                <w:color w:val="000000"/>
                <w:sz w:val="28"/>
                <w:szCs w:val="28"/>
              </w:rPr>
              <w:t>球面罩</w:t>
            </w:r>
          </w:p>
        </w:tc>
        <w:tc>
          <w:tcPr>
            <w:tcW w:w="4481" w:type="dxa"/>
            <w:tcBorders>
              <w:top w:val="single" w:sz="4" w:space="0" w:color="auto"/>
              <w:left w:val="single" w:sz="4" w:space="0" w:color="auto"/>
              <w:right w:val="single" w:sz="4" w:space="0" w:color="auto"/>
            </w:tcBorders>
            <w:noWrap w:val="0"/>
            <w:vAlign w:val="center"/>
          </w:tcPr>
          <w:p>
            <w:pPr>
              <w:spacing w:line="400" w:lineRule="exact"/>
              <w:rPr>
                <w:rFonts w:ascii="仿宋" w:eastAsia="仿宋" w:hAnsi="仿宋" w:cs="仿宋" w:hint="eastAsia"/>
                <w:color w:val="000000"/>
                <w:sz w:val="28"/>
                <w:szCs w:val="28"/>
              </w:rPr>
            </w:pPr>
            <w:r>
              <w:rPr>
                <w:rFonts w:ascii="仿宋" w:eastAsia="仿宋" w:hAnsi="仿宋" w:cs="仿宋" w:hint="eastAsia"/>
                <w:color w:val="000000"/>
                <w:sz w:val="28"/>
                <w:szCs w:val="28"/>
              </w:rPr>
              <w:t>≤0.05°</w:t>
            </w:r>
          </w:p>
        </w:tc>
      </w:tr>
      <w:tr>
        <w:tblPrEx>
          <w:tblW w:w="7745" w:type="dxa"/>
          <w:jc w:val="center"/>
          <w:tblLayout w:type="fixed"/>
          <w:tblCellMar>
            <w:top w:w="0" w:type="dxa"/>
            <w:left w:w="108" w:type="dxa"/>
            <w:bottom w:w="0" w:type="dxa"/>
            <w:right w:w="108" w:type="dxa"/>
          </w:tblCellMar>
        </w:tblPrEx>
        <w:trPr>
          <w:trHeight w:val="290"/>
          <w:jc w:val="center"/>
        </w:trPr>
        <w:tc>
          <w:tcPr>
            <w:tcW w:w="1988" w:type="dxa"/>
            <w:vMerge/>
            <w:tcBorders>
              <w:left w:val="single" w:sz="4" w:space="0" w:color="auto"/>
              <w:bottom w:val="single" w:sz="4" w:space="0" w:color="auto"/>
              <w:right w:val="single" w:sz="4" w:space="0" w:color="auto"/>
            </w:tcBorders>
            <w:noWrap w:val="0"/>
            <w:vAlign w:val="center"/>
          </w:tcPr>
          <w:p>
            <w:pPr>
              <w:spacing w:line="400" w:lineRule="exact"/>
              <w:rPr>
                <w:rFonts w:ascii="仿宋" w:eastAsia="仿宋" w:hAnsi="仿宋" w:cs="仿宋" w:hint="eastAsia"/>
                <w:sz w:val="28"/>
                <w:szCs w:val="28"/>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spacing w:line="400" w:lineRule="exact"/>
              <w:rPr>
                <w:rFonts w:ascii="仿宋" w:eastAsia="仿宋" w:hAnsi="仿宋" w:cs="仿宋" w:hint="eastAsia"/>
                <w:color w:val="000000"/>
                <w:sz w:val="28"/>
                <w:szCs w:val="28"/>
              </w:rPr>
            </w:pPr>
            <w:r>
              <w:rPr>
                <w:rFonts w:ascii="仿宋" w:eastAsia="仿宋" w:hAnsi="仿宋" w:cs="仿宋" w:hint="eastAsia"/>
                <w:color w:val="000000"/>
                <w:sz w:val="28"/>
                <w:szCs w:val="28"/>
              </w:rPr>
              <w:t>平面罩</w:t>
            </w:r>
          </w:p>
        </w:tc>
        <w:tc>
          <w:tcPr>
            <w:tcW w:w="4481" w:type="dxa"/>
            <w:tcBorders>
              <w:left w:val="single" w:sz="4" w:space="0" w:color="auto"/>
              <w:bottom w:val="single" w:sz="4" w:space="0" w:color="auto"/>
              <w:right w:val="single" w:sz="4" w:space="0" w:color="auto"/>
            </w:tcBorders>
            <w:noWrap w:val="0"/>
            <w:vAlign w:val="center"/>
          </w:tcPr>
          <w:p>
            <w:pPr>
              <w:spacing w:line="400" w:lineRule="exact"/>
              <w:rPr>
                <w:rFonts w:ascii="仿宋" w:eastAsia="仿宋" w:hAnsi="仿宋" w:cs="仿宋" w:hint="eastAsia"/>
                <w:color w:val="000000"/>
                <w:sz w:val="28"/>
                <w:szCs w:val="28"/>
              </w:rPr>
            </w:pPr>
            <w:r>
              <w:rPr>
                <w:rFonts w:ascii="仿宋" w:eastAsia="仿宋" w:hAnsi="仿宋" w:cs="仿宋" w:hint="eastAsia"/>
                <w:color w:val="000000"/>
                <w:sz w:val="28"/>
                <w:szCs w:val="28"/>
              </w:rPr>
              <w:t>≤0.03°</w:t>
            </w:r>
          </w:p>
        </w:tc>
      </w:tr>
      <w:tr>
        <w:tblPrEx>
          <w:tblW w:w="7745" w:type="dxa"/>
          <w:jc w:val="center"/>
          <w:tblLayout w:type="fixed"/>
          <w:tblCellMar>
            <w:top w:w="0" w:type="dxa"/>
            <w:left w:w="108" w:type="dxa"/>
            <w:bottom w:w="0" w:type="dxa"/>
            <w:right w:w="108" w:type="dxa"/>
          </w:tblCellMar>
        </w:tblPrEx>
        <w:trPr>
          <w:trHeight w:val="395"/>
          <w:jc w:val="center"/>
        </w:trPr>
        <w:tc>
          <w:tcPr>
            <w:tcW w:w="1988" w:type="dxa"/>
            <w:vMerge w:val="restart"/>
            <w:tcBorders>
              <w:top w:val="single" w:sz="4" w:space="0" w:color="auto"/>
              <w:left w:val="single" w:sz="4" w:space="0" w:color="auto"/>
              <w:right w:val="single" w:sz="4" w:space="0" w:color="auto"/>
            </w:tcBorders>
            <w:noWrap w:val="0"/>
            <w:vAlign w:val="center"/>
          </w:tcPr>
          <w:p>
            <w:pPr>
              <w:spacing w:line="400" w:lineRule="exact"/>
              <w:rPr>
                <w:rFonts w:ascii="仿宋" w:eastAsia="仿宋" w:hAnsi="仿宋" w:cs="仿宋" w:hint="eastAsia"/>
                <w:color w:val="000000"/>
                <w:sz w:val="28"/>
                <w:szCs w:val="28"/>
              </w:rPr>
            </w:pPr>
            <w:r>
              <w:rPr>
                <w:rFonts w:ascii="仿宋" w:eastAsia="仿宋" w:hAnsi="仿宋" w:cs="仿宋" w:hint="eastAsia"/>
                <w:color w:val="000000"/>
                <w:sz w:val="28"/>
                <w:szCs w:val="28"/>
              </w:rPr>
              <w:t>引入波束展宽</w:t>
            </w:r>
          </w:p>
        </w:tc>
        <w:tc>
          <w:tcPr>
            <w:tcW w:w="1276" w:type="dxa"/>
            <w:tcBorders>
              <w:top w:val="single" w:sz="4" w:space="0" w:color="auto"/>
              <w:left w:val="single" w:sz="4" w:space="0" w:color="auto"/>
              <w:bottom w:val="single" w:sz="4" w:space="0" w:color="auto"/>
              <w:right w:val="single" w:sz="4" w:space="0" w:color="auto"/>
            </w:tcBorders>
            <w:noWrap w:val="0"/>
            <w:vAlign w:val="center"/>
          </w:tcPr>
          <w:p>
            <w:pPr>
              <w:spacing w:line="400" w:lineRule="exact"/>
              <w:rPr>
                <w:rFonts w:ascii="仿宋" w:eastAsia="仿宋" w:hAnsi="仿宋" w:cs="仿宋" w:hint="eastAsia"/>
                <w:color w:val="000000"/>
                <w:sz w:val="28"/>
                <w:szCs w:val="28"/>
              </w:rPr>
            </w:pPr>
            <w:r>
              <w:rPr>
                <w:rFonts w:ascii="仿宋" w:eastAsia="仿宋" w:hAnsi="仿宋" w:cs="仿宋" w:hint="eastAsia"/>
                <w:color w:val="000000"/>
                <w:sz w:val="28"/>
                <w:szCs w:val="28"/>
              </w:rPr>
              <w:t>球面罩</w:t>
            </w:r>
          </w:p>
        </w:tc>
        <w:tc>
          <w:tcPr>
            <w:tcW w:w="4481" w:type="dxa"/>
            <w:tcBorders>
              <w:top w:val="single" w:sz="4" w:space="0" w:color="auto"/>
              <w:left w:val="single" w:sz="4" w:space="0" w:color="auto"/>
              <w:right w:val="single" w:sz="4" w:space="0" w:color="auto"/>
            </w:tcBorders>
            <w:noWrap w:val="0"/>
            <w:vAlign w:val="center"/>
          </w:tcPr>
          <w:p>
            <w:pPr>
              <w:spacing w:line="400" w:lineRule="exact"/>
              <w:rPr>
                <w:rFonts w:ascii="仿宋" w:eastAsia="仿宋" w:hAnsi="仿宋" w:cs="仿宋" w:hint="eastAsia"/>
                <w:color w:val="000000"/>
                <w:sz w:val="28"/>
                <w:szCs w:val="28"/>
              </w:rPr>
            </w:pPr>
            <w:r>
              <w:rPr>
                <w:rFonts w:ascii="仿宋" w:eastAsia="仿宋" w:hAnsi="仿宋" w:cs="仿宋" w:hint="eastAsia"/>
                <w:color w:val="000000"/>
                <w:sz w:val="28"/>
                <w:szCs w:val="28"/>
              </w:rPr>
              <w:t>≤0.05°</w:t>
            </w:r>
          </w:p>
        </w:tc>
      </w:tr>
      <w:tr>
        <w:tblPrEx>
          <w:tblW w:w="7745" w:type="dxa"/>
          <w:jc w:val="center"/>
          <w:tblLayout w:type="fixed"/>
          <w:tblCellMar>
            <w:top w:w="0" w:type="dxa"/>
            <w:left w:w="108" w:type="dxa"/>
            <w:bottom w:w="0" w:type="dxa"/>
            <w:right w:w="108" w:type="dxa"/>
          </w:tblCellMar>
        </w:tblPrEx>
        <w:trPr>
          <w:trHeight w:val="395"/>
          <w:jc w:val="center"/>
        </w:trPr>
        <w:tc>
          <w:tcPr>
            <w:tcW w:w="1988" w:type="dxa"/>
            <w:vMerge/>
            <w:tcBorders>
              <w:left w:val="single" w:sz="4" w:space="0" w:color="auto"/>
              <w:bottom w:val="single" w:sz="4" w:space="0" w:color="auto"/>
              <w:right w:val="single" w:sz="4" w:space="0" w:color="auto"/>
            </w:tcBorders>
            <w:noWrap w:val="0"/>
            <w:vAlign w:val="center"/>
          </w:tcPr>
          <w:p>
            <w:pPr>
              <w:spacing w:line="400" w:lineRule="exact"/>
              <w:rPr>
                <w:rFonts w:ascii="仿宋" w:eastAsia="仿宋" w:hAnsi="仿宋" w:cs="仿宋" w:hint="eastAsia"/>
                <w:sz w:val="28"/>
                <w:szCs w:val="28"/>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spacing w:line="400" w:lineRule="exact"/>
              <w:rPr>
                <w:rFonts w:ascii="仿宋" w:eastAsia="仿宋" w:hAnsi="仿宋" w:cs="仿宋" w:hint="eastAsia"/>
                <w:color w:val="000000"/>
                <w:sz w:val="28"/>
                <w:szCs w:val="28"/>
              </w:rPr>
            </w:pPr>
            <w:r>
              <w:rPr>
                <w:rFonts w:ascii="仿宋" w:eastAsia="仿宋" w:hAnsi="仿宋" w:cs="仿宋" w:hint="eastAsia"/>
                <w:color w:val="000000"/>
                <w:sz w:val="28"/>
                <w:szCs w:val="28"/>
              </w:rPr>
              <w:t>平面罩</w:t>
            </w:r>
          </w:p>
        </w:tc>
        <w:tc>
          <w:tcPr>
            <w:tcW w:w="4481" w:type="dxa"/>
            <w:tcBorders>
              <w:left w:val="single" w:sz="4" w:space="0" w:color="auto"/>
              <w:bottom w:val="single" w:sz="4" w:space="0" w:color="auto"/>
              <w:right w:val="single" w:sz="4" w:space="0" w:color="auto"/>
            </w:tcBorders>
            <w:noWrap w:val="0"/>
            <w:vAlign w:val="center"/>
          </w:tcPr>
          <w:p>
            <w:pPr>
              <w:spacing w:line="400" w:lineRule="exact"/>
              <w:rPr>
                <w:rFonts w:ascii="仿宋" w:eastAsia="仿宋" w:hAnsi="仿宋" w:cs="仿宋" w:hint="eastAsia"/>
                <w:color w:val="000000"/>
                <w:sz w:val="28"/>
                <w:szCs w:val="28"/>
              </w:rPr>
            </w:pPr>
            <w:r>
              <w:rPr>
                <w:rFonts w:ascii="仿宋" w:eastAsia="仿宋" w:hAnsi="仿宋" w:cs="仿宋" w:hint="eastAsia"/>
                <w:color w:val="000000"/>
                <w:sz w:val="28"/>
                <w:szCs w:val="28"/>
              </w:rPr>
              <w:t>≤0.03°</w:t>
            </w:r>
          </w:p>
        </w:tc>
      </w:tr>
      <w:tr>
        <w:tblPrEx>
          <w:tblW w:w="7745" w:type="dxa"/>
          <w:jc w:val="center"/>
          <w:tblLayout w:type="fixed"/>
          <w:tblCellMar>
            <w:top w:w="0" w:type="dxa"/>
            <w:left w:w="108" w:type="dxa"/>
            <w:bottom w:w="0" w:type="dxa"/>
            <w:right w:w="108" w:type="dxa"/>
          </w:tblCellMar>
        </w:tblPrEx>
        <w:trPr>
          <w:trHeight w:val="395"/>
          <w:jc w:val="center"/>
        </w:trPr>
        <w:tc>
          <w:tcPr>
            <w:tcW w:w="1988" w:type="dxa"/>
            <w:vMerge w:val="restart"/>
            <w:tcBorders>
              <w:top w:val="single" w:sz="4" w:space="0" w:color="auto"/>
              <w:left w:val="single" w:sz="4" w:space="0" w:color="auto"/>
              <w:right w:val="single" w:sz="4" w:space="0" w:color="auto"/>
            </w:tcBorders>
            <w:noWrap w:val="0"/>
            <w:vAlign w:val="center"/>
          </w:tcPr>
          <w:p>
            <w:pPr>
              <w:spacing w:line="400" w:lineRule="exact"/>
              <w:rPr>
                <w:rFonts w:ascii="仿宋" w:eastAsia="仿宋" w:hAnsi="仿宋" w:cs="仿宋" w:hint="eastAsia"/>
                <w:color w:val="000000"/>
                <w:sz w:val="28"/>
                <w:szCs w:val="28"/>
              </w:rPr>
            </w:pPr>
            <w:r>
              <w:rPr>
                <w:rFonts w:ascii="Times New Roman" w:hAnsi="Times New Roman" w:hint="eastAsia"/>
                <w:sz w:val="24"/>
                <w:szCs w:val="24"/>
                <w:highlight w:val="yellow"/>
              </w:rPr>
              <w:t>#</w:t>
            </w:r>
            <w:r>
              <w:rPr>
                <w:rFonts w:ascii="仿宋" w:eastAsia="仿宋" w:hAnsi="仿宋" w:cs="仿宋" w:hint="eastAsia"/>
                <w:color w:val="000000"/>
                <w:sz w:val="28"/>
                <w:szCs w:val="28"/>
              </w:rPr>
              <w:t>射频损失（双程）</w:t>
            </w:r>
          </w:p>
        </w:tc>
        <w:tc>
          <w:tcPr>
            <w:tcW w:w="1276" w:type="dxa"/>
            <w:tcBorders>
              <w:top w:val="single" w:sz="4" w:space="0" w:color="auto"/>
              <w:left w:val="single" w:sz="4" w:space="0" w:color="auto"/>
              <w:bottom w:val="single" w:sz="4" w:space="0" w:color="auto"/>
              <w:right w:val="single" w:sz="4" w:space="0" w:color="auto"/>
            </w:tcBorders>
            <w:noWrap w:val="0"/>
            <w:vAlign w:val="center"/>
          </w:tcPr>
          <w:p>
            <w:pPr>
              <w:spacing w:line="400" w:lineRule="exact"/>
              <w:rPr>
                <w:rFonts w:ascii="仿宋" w:eastAsia="仿宋" w:hAnsi="仿宋" w:cs="仿宋" w:hint="eastAsia"/>
                <w:color w:val="000000"/>
                <w:sz w:val="28"/>
                <w:szCs w:val="28"/>
              </w:rPr>
            </w:pPr>
            <w:r>
              <w:rPr>
                <w:rFonts w:ascii="仿宋" w:eastAsia="仿宋" w:hAnsi="仿宋" w:cs="仿宋" w:hint="eastAsia"/>
                <w:color w:val="000000"/>
                <w:sz w:val="28"/>
                <w:szCs w:val="28"/>
              </w:rPr>
              <w:t>球面罩</w:t>
            </w:r>
          </w:p>
        </w:tc>
        <w:tc>
          <w:tcPr>
            <w:tcW w:w="4481" w:type="dxa"/>
            <w:tcBorders>
              <w:top w:val="single" w:sz="4" w:space="0" w:color="auto"/>
              <w:left w:val="single" w:sz="4" w:space="0" w:color="auto"/>
              <w:right w:val="single" w:sz="4" w:space="0" w:color="auto"/>
            </w:tcBorders>
            <w:noWrap w:val="0"/>
            <w:vAlign w:val="center"/>
          </w:tcPr>
          <w:p>
            <w:pPr>
              <w:spacing w:line="400" w:lineRule="exact"/>
              <w:rPr>
                <w:rFonts w:ascii="仿宋" w:eastAsia="仿宋" w:hAnsi="仿宋" w:cs="仿宋" w:hint="eastAsia"/>
                <w:color w:val="000000"/>
                <w:sz w:val="28"/>
                <w:szCs w:val="28"/>
              </w:rPr>
            </w:pPr>
            <w:r>
              <w:rPr>
                <w:rFonts w:ascii="仿宋" w:eastAsia="仿宋" w:hAnsi="仿宋" w:cs="仿宋" w:hint="eastAsia"/>
                <w:color w:val="000000"/>
                <w:sz w:val="28"/>
                <w:szCs w:val="28"/>
              </w:rPr>
              <w:t>≤1.2dB</w:t>
            </w:r>
          </w:p>
        </w:tc>
      </w:tr>
      <w:tr>
        <w:tblPrEx>
          <w:tblW w:w="7745" w:type="dxa"/>
          <w:jc w:val="center"/>
          <w:tblLayout w:type="fixed"/>
          <w:tblCellMar>
            <w:top w:w="0" w:type="dxa"/>
            <w:left w:w="108" w:type="dxa"/>
            <w:bottom w:w="0" w:type="dxa"/>
            <w:right w:w="108" w:type="dxa"/>
          </w:tblCellMar>
        </w:tblPrEx>
        <w:trPr>
          <w:trHeight w:val="395"/>
          <w:jc w:val="center"/>
        </w:trPr>
        <w:tc>
          <w:tcPr>
            <w:tcW w:w="1988" w:type="dxa"/>
            <w:vMerge/>
            <w:tcBorders>
              <w:left w:val="single" w:sz="4" w:space="0" w:color="auto"/>
              <w:bottom w:val="single" w:sz="4" w:space="0" w:color="auto"/>
              <w:right w:val="single" w:sz="4" w:space="0" w:color="auto"/>
            </w:tcBorders>
            <w:noWrap w:val="0"/>
            <w:vAlign w:val="center"/>
          </w:tcPr>
          <w:p>
            <w:pPr>
              <w:spacing w:line="400" w:lineRule="exact"/>
              <w:rPr>
                <w:rFonts w:ascii="仿宋" w:eastAsia="仿宋" w:hAnsi="仿宋" w:cs="仿宋" w:hint="eastAsia"/>
                <w:sz w:val="28"/>
                <w:szCs w:val="28"/>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spacing w:line="400" w:lineRule="exact"/>
              <w:rPr>
                <w:rFonts w:ascii="仿宋" w:eastAsia="仿宋" w:hAnsi="仿宋" w:cs="仿宋" w:hint="eastAsia"/>
                <w:color w:val="000000"/>
                <w:sz w:val="28"/>
                <w:szCs w:val="28"/>
              </w:rPr>
            </w:pPr>
            <w:r>
              <w:rPr>
                <w:rFonts w:ascii="仿宋" w:eastAsia="仿宋" w:hAnsi="仿宋" w:cs="仿宋" w:hint="eastAsia"/>
                <w:color w:val="000000"/>
                <w:sz w:val="28"/>
                <w:szCs w:val="28"/>
              </w:rPr>
              <w:t>平面罩</w:t>
            </w:r>
          </w:p>
        </w:tc>
        <w:tc>
          <w:tcPr>
            <w:tcW w:w="4481" w:type="dxa"/>
            <w:tcBorders>
              <w:left w:val="single" w:sz="4" w:space="0" w:color="auto"/>
              <w:bottom w:val="single" w:sz="4" w:space="0" w:color="auto"/>
              <w:right w:val="single" w:sz="4" w:space="0" w:color="auto"/>
            </w:tcBorders>
            <w:noWrap w:val="0"/>
            <w:vAlign w:val="center"/>
          </w:tcPr>
          <w:p>
            <w:pPr>
              <w:spacing w:line="400" w:lineRule="exact"/>
              <w:rPr>
                <w:rFonts w:ascii="仿宋" w:eastAsia="仿宋" w:hAnsi="仿宋" w:cs="仿宋" w:hint="eastAsia"/>
                <w:color w:val="000000"/>
                <w:sz w:val="28"/>
                <w:szCs w:val="28"/>
              </w:rPr>
            </w:pPr>
            <w:r>
              <w:rPr>
                <w:rFonts w:ascii="仿宋" w:eastAsia="仿宋" w:hAnsi="仿宋" w:cs="仿宋" w:hint="eastAsia"/>
                <w:color w:val="000000"/>
                <w:sz w:val="28"/>
                <w:szCs w:val="28"/>
              </w:rPr>
              <w:t>≤0.6dB</w:t>
            </w:r>
          </w:p>
        </w:tc>
      </w:tr>
      <w:tr>
        <w:tblPrEx>
          <w:tblW w:w="7745" w:type="dxa"/>
          <w:jc w:val="center"/>
          <w:tblLayout w:type="fixed"/>
          <w:tblCellMar>
            <w:top w:w="0" w:type="dxa"/>
            <w:left w:w="108" w:type="dxa"/>
            <w:bottom w:w="0" w:type="dxa"/>
            <w:right w:w="108" w:type="dxa"/>
          </w:tblCellMar>
        </w:tblPrEx>
        <w:trPr>
          <w:trHeight w:val="89"/>
          <w:jc w:val="center"/>
        </w:trPr>
        <w:tc>
          <w:tcPr>
            <w:tcW w:w="3264" w:type="dxa"/>
            <w:gridSpan w:val="2"/>
            <w:tcBorders>
              <w:top w:val="single" w:sz="4" w:space="0" w:color="auto"/>
              <w:left w:val="single" w:sz="4" w:space="0" w:color="auto"/>
              <w:bottom w:val="single" w:sz="4" w:space="0" w:color="auto"/>
              <w:right w:val="single" w:sz="4" w:space="0" w:color="auto"/>
            </w:tcBorders>
            <w:noWrap w:val="0"/>
            <w:vAlign w:val="center"/>
          </w:tcPr>
          <w:p>
            <w:pPr>
              <w:spacing w:line="400" w:lineRule="exact"/>
              <w:rPr>
                <w:rFonts w:ascii="仿宋" w:eastAsia="仿宋" w:hAnsi="仿宋" w:cs="仿宋" w:hint="eastAsia"/>
                <w:color w:val="000000"/>
                <w:sz w:val="28"/>
                <w:szCs w:val="28"/>
              </w:rPr>
            </w:pPr>
            <w:r>
              <w:rPr>
                <w:rFonts w:ascii="仿宋" w:eastAsia="仿宋" w:hAnsi="仿宋" w:cs="仿宋" w:hint="eastAsia"/>
                <w:color w:val="000000"/>
                <w:sz w:val="28"/>
                <w:szCs w:val="28"/>
              </w:rPr>
              <w:t>引入交叉极化隔离度影响</w:t>
            </w:r>
          </w:p>
        </w:tc>
        <w:tc>
          <w:tcPr>
            <w:tcW w:w="4481" w:type="dxa"/>
            <w:tcBorders>
              <w:top w:val="single" w:sz="4" w:space="0" w:color="auto"/>
              <w:left w:val="single" w:sz="4" w:space="0" w:color="auto"/>
              <w:bottom w:val="single" w:sz="4" w:space="0" w:color="auto"/>
              <w:right w:val="single" w:sz="4" w:space="0" w:color="auto"/>
            </w:tcBorders>
            <w:noWrap w:val="0"/>
            <w:vAlign w:val="center"/>
          </w:tcPr>
          <w:p>
            <w:pPr>
              <w:spacing w:line="400" w:lineRule="exact"/>
              <w:rPr>
                <w:rFonts w:ascii="仿宋" w:eastAsia="仿宋" w:hAnsi="仿宋" w:cs="仿宋" w:hint="eastAsia"/>
                <w:color w:val="000000"/>
                <w:sz w:val="28"/>
                <w:szCs w:val="28"/>
              </w:rPr>
            </w:pPr>
            <w:r>
              <w:rPr>
                <w:rFonts w:ascii="仿宋" w:eastAsia="仿宋" w:hAnsi="仿宋" w:cs="仿宋" w:hint="eastAsia"/>
                <w:color w:val="000000"/>
                <w:sz w:val="28"/>
                <w:szCs w:val="28"/>
              </w:rPr>
              <w:t>≤1.0dB</w:t>
            </w:r>
          </w:p>
        </w:tc>
      </w:tr>
      <w:tr>
        <w:tblPrEx>
          <w:tblW w:w="7745" w:type="dxa"/>
          <w:jc w:val="center"/>
          <w:tblLayout w:type="fixed"/>
          <w:tblCellMar>
            <w:top w:w="0" w:type="dxa"/>
            <w:left w:w="108" w:type="dxa"/>
            <w:bottom w:w="0" w:type="dxa"/>
            <w:right w:w="108" w:type="dxa"/>
          </w:tblCellMar>
        </w:tblPrEx>
        <w:trPr>
          <w:trHeight w:val="96"/>
          <w:jc w:val="center"/>
        </w:trPr>
        <w:tc>
          <w:tcPr>
            <w:tcW w:w="3264" w:type="dxa"/>
            <w:gridSpan w:val="2"/>
            <w:tcBorders>
              <w:top w:val="single" w:sz="4" w:space="0" w:color="auto"/>
              <w:left w:val="single" w:sz="4" w:space="0" w:color="auto"/>
              <w:bottom w:val="single" w:sz="4" w:space="0" w:color="auto"/>
              <w:right w:val="single" w:sz="4" w:space="0" w:color="auto"/>
            </w:tcBorders>
            <w:noWrap w:val="0"/>
            <w:vAlign w:val="center"/>
          </w:tcPr>
          <w:p>
            <w:pPr>
              <w:spacing w:line="400" w:lineRule="exact"/>
              <w:rPr>
                <w:rFonts w:ascii="仿宋" w:eastAsia="仿宋" w:hAnsi="仿宋" w:cs="仿宋" w:hint="eastAsia"/>
                <w:color w:val="000000"/>
                <w:sz w:val="28"/>
                <w:szCs w:val="28"/>
              </w:rPr>
            </w:pPr>
            <w:r>
              <w:rPr>
                <w:rFonts w:ascii="仿宋" w:eastAsia="仿宋" w:hAnsi="仿宋" w:cs="仿宋" w:hint="eastAsia"/>
                <w:color w:val="000000"/>
                <w:sz w:val="28"/>
                <w:szCs w:val="28"/>
              </w:rPr>
              <w:t>引入副瓣影响</w:t>
            </w:r>
          </w:p>
        </w:tc>
        <w:tc>
          <w:tcPr>
            <w:tcW w:w="4481" w:type="dxa"/>
            <w:tcBorders>
              <w:top w:val="single" w:sz="4" w:space="0" w:color="auto"/>
              <w:left w:val="single" w:sz="4" w:space="0" w:color="auto"/>
              <w:bottom w:val="single" w:sz="4" w:space="0" w:color="auto"/>
              <w:right w:val="single" w:sz="4" w:space="0" w:color="auto"/>
            </w:tcBorders>
            <w:noWrap w:val="0"/>
            <w:vAlign w:val="center"/>
          </w:tcPr>
          <w:p>
            <w:pPr>
              <w:spacing w:line="400" w:lineRule="exact"/>
              <w:rPr>
                <w:rFonts w:ascii="仿宋" w:eastAsia="仿宋" w:hAnsi="仿宋" w:cs="仿宋" w:hint="eastAsia"/>
                <w:color w:val="000000"/>
                <w:sz w:val="28"/>
                <w:szCs w:val="28"/>
              </w:rPr>
            </w:pPr>
            <w:r>
              <w:rPr>
                <w:rFonts w:ascii="仿宋" w:eastAsia="仿宋" w:hAnsi="仿宋" w:cs="仿宋" w:hint="eastAsia"/>
                <w:color w:val="000000"/>
                <w:sz w:val="28"/>
                <w:szCs w:val="28"/>
              </w:rPr>
              <w:t>≤3.0dB</w:t>
            </w:r>
          </w:p>
        </w:tc>
      </w:tr>
      <w:tr>
        <w:tblPrEx>
          <w:tblW w:w="7745" w:type="dxa"/>
          <w:jc w:val="center"/>
          <w:tblLayout w:type="fixed"/>
          <w:tblCellMar>
            <w:top w:w="0" w:type="dxa"/>
            <w:left w:w="108" w:type="dxa"/>
            <w:bottom w:w="0" w:type="dxa"/>
            <w:right w:w="108" w:type="dxa"/>
          </w:tblCellMar>
        </w:tblPrEx>
        <w:trPr>
          <w:trHeight w:val="54"/>
          <w:jc w:val="center"/>
        </w:trPr>
        <w:tc>
          <w:tcPr>
            <w:tcW w:w="3264" w:type="dxa"/>
            <w:gridSpan w:val="2"/>
            <w:tcBorders>
              <w:top w:val="single" w:sz="4" w:space="0" w:color="auto"/>
              <w:left w:val="single" w:sz="4" w:space="0" w:color="auto"/>
              <w:bottom w:val="single" w:sz="4" w:space="0" w:color="auto"/>
              <w:right w:val="single" w:sz="4" w:space="0" w:color="auto"/>
            </w:tcBorders>
            <w:noWrap w:val="0"/>
            <w:vAlign w:val="center"/>
          </w:tcPr>
          <w:p>
            <w:pPr>
              <w:spacing w:line="400" w:lineRule="exact"/>
              <w:rPr>
                <w:rFonts w:ascii="仿宋" w:eastAsia="仿宋" w:hAnsi="仿宋" w:cs="仿宋" w:hint="eastAsia"/>
                <w:color w:val="000000"/>
                <w:sz w:val="28"/>
                <w:szCs w:val="28"/>
              </w:rPr>
            </w:pPr>
            <w:r>
              <w:rPr>
                <w:rFonts w:ascii="仿宋" w:eastAsia="仿宋" w:hAnsi="仿宋" w:cs="仿宋" w:hint="eastAsia"/>
                <w:color w:val="000000"/>
                <w:sz w:val="28"/>
                <w:szCs w:val="28"/>
              </w:rPr>
              <w:t>抗风能力（阵风）</w:t>
            </w:r>
          </w:p>
        </w:tc>
        <w:tc>
          <w:tcPr>
            <w:tcW w:w="4481" w:type="dxa"/>
            <w:tcBorders>
              <w:top w:val="single" w:sz="4" w:space="0" w:color="auto"/>
              <w:left w:val="single" w:sz="4" w:space="0" w:color="auto"/>
              <w:bottom w:val="single" w:sz="4" w:space="0" w:color="auto"/>
              <w:right w:val="single" w:sz="4" w:space="0" w:color="auto"/>
            </w:tcBorders>
            <w:noWrap w:val="0"/>
            <w:vAlign w:val="center"/>
          </w:tcPr>
          <w:p>
            <w:pPr>
              <w:spacing w:line="400" w:lineRule="exact"/>
              <w:rPr>
                <w:rFonts w:ascii="仿宋" w:eastAsia="仿宋" w:hAnsi="仿宋" w:cs="仿宋" w:hint="eastAsia"/>
                <w:color w:val="000000"/>
                <w:sz w:val="28"/>
                <w:szCs w:val="28"/>
              </w:rPr>
            </w:pPr>
            <w:r>
              <w:rPr>
                <w:rFonts w:ascii="仿宋" w:eastAsia="仿宋" w:hAnsi="仿宋" w:cs="仿宋" w:hint="eastAsia"/>
                <w:color w:val="000000"/>
                <w:sz w:val="28"/>
                <w:szCs w:val="28"/>
              </w:rPr>
              <w:t>17级风不损坏</w:t>
            </w:r>
          </w:p>
        </w:tc>
      </w:tr>
      <w:tr>
        <w:tblPrEx>
          <w:tblW w:w="7745" w:type="dxa"/>
          <w:jc w:val="center"/>
          <w:tblLayout w:type="fixed"/>
          <w:tblCellMar>
            <w:top w:w="0" w:type="dxa"/>
            <w:left w:w="108" w:type="dxa"/>
            <w:bottom w:w="0" w:type="dxa"/>
            <w:right w:w="108" w:type="dxa"/>
          </w:tblCellMar>
        </w:tblPrEx>
        <w:trPr>
          <w:trHeight w:val="54"/>
          <w:jc w:val="center"/>
        </w:trPr>
        <w:tc>
          <w:tcPr>
            <w:tcW w:w="3264" w:type="dxa"/>
            <w:gridSpan w:val="2"/>
            <w:tcBorders>
              <w:top w:val="single" w:sz="4" w:space="0" w:color="auto"/>
              <w:left w:val="single" w:sz="4" w:space="0" w:color="auto"/>
              <w:bottom w:val="single" w:sz="4" w:space="0" w:color="auto"/>
              <w:right w:val="single" w:sz="4" w:space="0" w:color="auto"/>
            </w:tcBorders>
            <w:noWrap w:val="0"/>
            <w:vAlign w:val="center"/>
          </w:tcPr>
          <w:p>
            <w:pPr>
              <w:spacing w:line="400" w:lineRule="exact"/>
              <w:rPr>
                <w:rFonts w:ascii="仿宋" w:eastAsia="仿宋" w:hAnsi="仿宋" w:cs="仿宋" w:hint="eastAsia"/>
                <w:color w:val="000000"/>
                <w:sz w:val="28"/>
                <w:szCs w:val="28"/>
              </w:rPr>
            </w:pPr>
            <w:r>
              <w:rPr>
                <w:rFonts w:ascii="仿宋" w:eastAsia="仿宋" w:hAnsi="仿宋" w:cs="仿宋" w:hint="eastAsia"/>
                <w:color w:val="000000"/>
                <w:sz w:val="28"/>
                <w:szCs w:val="28"/>
              </w:rPr>
              <w:t>疏水层</w:t>
            </w:r>
          </w:p>
        </w:tc>
        <w:tc>
          <w:tcPr>
            <w:tcW w:w="4481" w:type="dxa"/>
            <w:tcBorders>
              <w:top w:val="single" w:sz="4" w:space="0" w:color="auto"/>
              <w:left w:val="single" w:sz="4" w:space="0" w:color="auto"/>
              <w:bottom w:val="single" w:sz="4" w:space="0" w:color="auto"/>
              <w:right w:val="single" w:sz="4" w:space="0" w:color="auto"/>
            </w:tcBorders>
            <w:noWrap w:val="0"/>
            <w:vAlign w:val="center"/>
          </w:tcPr>
          <w:p>
            <w:pPr>
              <w:spacing w:line="400" w:lineRule="exact"/>
              <w:rPr>
                <w:rFonts w:ascii="仿宋" w:eastAsia="仿宋" w:hAnsi="仿宋" w:cs="仿宋" w:hint="eastAsia"/>
                <w:color w:val="000000"/>
                <w:sz w:val="28"/>
                <w:szCs w:val="28"/>
              </w:rPr>
            </w:pPr>
            <w:r>
              <w:rPr>
                <w:rFonts w:ascii="仿宋" w:eastAsia="仿宋" w:hAnsi="仿宋" w:cs="仿宋" w:hint="eastAsia"/>
                <w:color w:val="000000"/>
                <w:sz w:val="28"/>
                <w:szCs w:val="28"/>
              </w:rPr>
              <w:t>接触角＞150°</w:t>
            </w:r>
          </w:p>
        </w:tc>
      </w:tr>
    </w:tbl>
    <w:p>
      <w:pPr>
        <w:tabs>
          <w:tab w:val="left" w:pos="2340"/>
        </w:tabs>
        <w:spacing w:line="360" w:lineRule="auto"/>
        <w:ind w:firstLine="482"/>
        <w:rPr>
          <w:rFonts w:ascii="Times New Roman" w:hAnsi="Times New Roman"/>
          <w:b/>
        </w:rPr>
      </w:pPr>
      <w:r>
        <w:rPr>
          <w:rFonts w:ascii="Times New Roman" w:hAnsi="Times New Roman"/>
          <w:b/>
          <w:sz w:val="24"/>
          <w:szCs w:val="24"/>
        </w:rPr>
        <w:t>3.</w:t>
      </w:r>
      <w:r>
        <w:rPr>
          <w:rFonts w:ascii="Times New Roman" w:hAnsi="Times New Roman" w:hint="eastAsia"/>
          <w:b/>
          <w:sz w:val="24"/>
          <w:szCs w:val="24"/>
          <w:lang w:val="en-US" w:eastAsia="zh-CN"/>
        </w:rPr>
        <w:t>3</w:t>
      </w:r>
      <w:r>
        <w:rPr>
          <w:rFonts w:ascii="Times New Roman" w:hAnsi="Times New Roman" w:hint="eastAsia"/>
          <w:b/>
          <w:sz w:val="24"/>
          <w:szCs w:val="24"/>
        </w:rPr>
        <w:t>天线技术指标</w:t>
      </w:r>
    </w:p>
    <w:p>
      <w:pPr>
        <w:tabs>
          <w:tab w:val="left" w:pos="2340"/>
        </w:tabs>
        <w:spacing w:line="360" w:lineRule="auto"/>
        <w:ind w:firstLine="480"/>
        <w:rPr>
          <w:rFonts w:ascii="Times New Roman" w:hAnsi="Times New Roman"/>
          <w:bCs/>
        </w:rPr>
      </w:pPr>
      <w:r>
        <w:rPr>
          <w:rFonts w:ascii="Times New Roman" w:hAnsi="Times New Roman" w:hint="eastAsia"/>
          <w:bCs/>
          <w:sz w:val="24"/>
          <w:szCs w:val="24"/>
        </w:rPr>
        <w:t>天线的技术指标包括：极化方式、波束宽度、交叉极化隔离度等。</w:t>
      </w:r>
    </w:p>
    <w:p>
      <w:pPr>
        <w:tabs>
          <w:tab w:val="left" w:pos="2340"/>
        </w:tabs>
        <w:spacing w:line="360" w:lineRule="auto"/>
        <w:ind w:firstLine="480"/>
        <w:rPr>
          <w:rFonts w:ascii="Times New Roman" w:hAnsi="Times New Roman"/>
          <w:bCs/>
        </w:rPr>
      </w:pPr>
      <w:r>
        <w:rPr>
          <w:rFonts w:ascii="Times New Roman" w:hAnsi="Times New Roman" w:hint="eastAsia"/>
          <w:bCs/>
          <w:sz w:val="24"/>
          <w:szCs w:val="24"/>
        </w:rPr>
        <w:t>具体指标见表</w:t>
      </w:r>
      <w:r>
        <w:rPr>
          <w:rFonts w:ascii="Times New Roman" w:hAnsi="Times New Roman" w:hint="eastAsia"/>
          <w:bCs/>
          <w:sz w:val="24"/>
          <w:szCs w:val="24"/>
          <w:lang w:val="en-US" w:eastAsia="zh-CN"/>
        </w:rPr>
        <w:t>3</w:t>
      </w:r>
      <w:r>
        <w:rPr>
          <w:rFonts w:ascii="Times New Roman" w:hAnsi="Times New Roman" w:hint="eastAsia"/>
          <w:bCs/>
          <w:sz w:val="24"/>
          <w:szCs w:val="24"/>
        </w:rPr>
        <w:t>。</w:t>
      </w:r>
    </w:p>
    <w:p>
      <w:pPr>
        <w:widowControl/>
        <w:kinsoku w:val="0"/>
        <w:autoSpaceDE w:val="0"/>
        <w:autoSpaceDN w:val="0"/>
        <w:adjustRightInd w:val="0"/>
        <w:snapToGrid w:val="0"/>
        <w:spacing w:line="360" w:lineRule="auto"/>
        <w:ind w:firstLine="470"/>
        <w:jc w:val="center"/>
        <w:textAlignment w:val="baseline"/>
        <w:rPr>
          <w:rFonts w:ascii="Times New Roman" w:hAnsi="Times New Roman"/>
        </w:rPr>
      </w:pPr>
      <w:r>
        <w:rPr>
          <w:rFonts w:ascii="Times New Roman" w:hAnsi="Times New Roman" w:hint="eastAsia"/>
          <w:b/>
          <w:bCs/>
          <w:spacing w:val="-3"/>
          <w:sz w:val="24"/>
          <w:szCs w:val="24"/>
        </w:rPr>
        <w:t>表</w:t>
      </w:r>
      <w:r>
        <w:rPr>
          <w:rFonts w:ascii="Times New Roman" w:hAnsi="Times New Roman" w:hint="eastAsia"/>
          <w:b/>
          <w:bCs/>
          <w:spacing w:val="-3"/>
          <w:sz w:val="24"/>
          <w:szCs w:val="24"/>
          <w:lang w:val="en-US" w:eastAsia="zh-CN"/>
        </w:rPr>
        <w:t>3</w:t>
      </w:r>
      <w:r>
        <w:rPr>
          <w:rFonts w:ascii="Times New Roman" w:hAnsi="Times New Roman"/>
          <w:b/>
          <w:bCs/>
          <w:spacing w:val="-3"/>
          <w:sz w:val="24"/>
          <w:szCs w:val="24"/>
        </w:rPr>
        <w:t xml:space="preserve"> </w:t>
      </w:r>
      <w:r>
        <w:rPr>
          <w:rFonts w:ascii="Times New Roman" w:hAnsi="Times New Roman" w:hint="eastAsia"/>
          <w:b/>
          <w:bCs/>
          <w:spacing w:val="-3"/>
          <w:sz w:val="24"/>
          <w:szCs w:val="24"/>
        </w:rPr>
        <w:t>天线技术性能指标表</w:t>
      </w:r>
    </w:p>
    <w:tbl>
      <w:tblPr>
        <w:tblStyle w:val="TableNormal0"/>
        <w:tblW w:w="5011"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
      <w:tblGrid>
        <w:gridCol w:w="3451"/>
        <w:gridCol w:w="4879"/>
      </w:tblGrid>
      <w:tr>
        <w:tblPrEx>
          <w:tblW w:w="5011"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Ex>
        <w:trPr>
          <w:trHeight w:val="463"/>
        </w:trPr>
        <w:tc>
          <w:tcPr>
            <w:tcW w:w="2071" w:type="pct"/>
            <w:tcBorders>
              <w:bottom w:val="nil"/>
            </w:tcBorders>
            <w:vAlign w:val="center"/>
          </w:tcPr>
          <w:p>
            <w:pPr>
              <w:pStyle w:val="TableText"/>
              <w:widowControl/>
              <w:kinsoku w:val="0"/>
              <w:autoSpaceDE w:val="0"/>
              <w:autoSpaceDN w:val="0"/>
              <w:adjustRightInd w:val="0"/>
              <w:snapToGrid w:val="0"/>
              <w:spacing w:line="360" w:lineRule="auto"/>
              <w:ind w:firstLine="0" w:firstLineChars="0"/>
              <w:jc w:val="center"/>
              <w:textAlignment w:val="baseline"/>
              <w:rPr>
                <w:rFonts w:ascii="Times New Roman" w:hAnsi="Times New Roman" w:cs="Times New Roman"/>
              </w:rPr>
            </w:pPr>
            <w:r>
              <w:rPr>
                <w:rFonts w:ascii="Times New Roman" w:hAnsi="Times New Roman" w:cs="Times New Roman" w:hint="eastAsia"/>
                <w:b/>
                <w:bCs/>
                <w:spacing w:val="-9"/>
              </w:rPr>
              <w:t>项目</w:t>
            </w:r>
          </w:p>
        </w:tc>
        <w:tc>
          <w:tcPr>
            <w:tcW w:w="2928" w:type="pct"/>
            <w:vAlign w:val="center"/>
          </w:tcPr>
          <w:p>
            <w:pPr>
              <w:pStyle w:val="TableText"/>
              <w:widowControl/>
              <w:kinsoku w:val="0"/>
              <w:autoSpaceDE w:val="0"/>
              <w:autoSpaceDN w:val="0"/>
              <w:adjustRightInd w:val="0"/>
              <w:snapToGrid w:val="0"/>
              <w:spacing w:line="360" w:lineRule="auto"/>
              <w:ind w:firstLine="0" w:firstLineChars="0"/>
              <w:jc w:val="center"/>
              <w:textAlignment w:val="baseline"/>
              <w:rPr>
                <w:rFonts w:ascii="Times New Roman" w:hAnsi="Times New Roman" w:cs="Times New Roman"/>
              </w:rPr>
            </w:pPr>
            <w:r>
              <w:rPr>
                <w:rFonts w:ascii="Times New Roman" w:hAnsi="Times New Roman" w:cs="Times New Roman" w:hint="eastAsia"/>
                <w:b/>
                <w:bCs/>
                <w:spacing w:val="-8"/>
              </w:rPr>
              <w:t>性能指标</w:t>
            </w:r>
          </w:p>
        </w:tc>
      </w:tr>
      <w:tr>
        <w:tblPrEx>
          <w:tblW w:w="5011" w:type="pct"/>
          <w:tblInd w:w="0" w:type="dxa"/>
          <w:tblCellMar>
            <w:top w:w="0" w:type="dxa"/>
            <w:left w:w="0" w:type="dxa"/>
            <w:bottom w:w="0" w:type="dxa"/>
            <w:right w:w="0" w:type="dxa"/>
          </w:tblCellMar>
        </w:tblPrEx>
        <w:trPr>
          <w:trHeight w:val="595"/>
        </w:trPr>
        <w:tc>
          <w:tcPr>
            <w:tcW w:w="2071"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天线形式</w:t>
            </w:r>
          </w:p>
        </w:tc>
        <w:tc>
          <w:tcPr>
            <w:tcW w:w="2928"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平面双线偏振相控阵天线</w:t>
            </w:r>
          </w:p>
        </w:tc>
      </w:tr>
      <w:tr>
        <w:tblPrEx>
          <w:tblW w:w="5011" w:type="pct"/>
          <w:tblInd w:w="0" w:type="dxa"/>
          <w:tblCellMar>
            <w:top w:w="0" w:type="dxa"/>
            <w:left w:w="0" w:type="dxa"/>
            <w:bottom w:w="0" w:type="dxa"/>
            <w:right w:w="0" w:type="dxa"/>
          </w:tblCellMar>
        </w:tblPrEx>
        <w:trPr>
          <w:trHeight w:val="618"/>
        </w:trPr>
        <w:tc>
          <w:tcPr>
            <w:tcW w:w="2071"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极化方式</w:t>
            </w:r>
          </w:p>
        </w:tc>
        <w:tc>
          <w:tcPr>
            <w:tcW w:w="2928"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线性水平、垂直极化</w:t>
            </w:r>
          </w:p>
        </w:tc>
      </w:tr>
      <w:tr>
        <w:tblPrEx>
          <w:tblW w:w="5011" w:type="pct"/>
          <w:tblInd w:w="0" w:type="dxa"/>
          <w:tblCellMar>
            <w:top w:w="0" w:type="dxa"/>
            <w:left w:w="0" w:type="dxa"/>
            <w:bottom w:w="0" w:type="dxa"/>
            <w:right w:w="0" w:type="dxa"/>
          </w:tblCellMar>
        </w:tblPrEx>
        <w:trPr>
          <w:trHeight w:val="804"/>
        </w:trPr>
        <w:tc>
          <w:tcPr>
            <w:tcW w:w="2071"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highlight w:val="yellow"/>
              </w:rPr>
              <w:t>#</w:t>
            </w:r>
            <w:r>
              <w:rPr>
                <w:rFonts w:ascii="Times New Roman" w:hAnsi="Times New Roman" w:hint="eastAsia"/>
                <w:sz w:val="24"/>
                <w:szCs w:val="24"/>
              </w:rPr>
              <w:t>方位波束宽度（水平极化和垂直极化）</w:t>
            </w:r>
          </w:p>
        </w:tc>
        <w:tc>
          <w:tcPr>
            <w:tcW w:w="2928"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发射、接收均≤</w:t>
            </w:r>
            <w:r>
              <w:rPr>
                <w:rFonts w:ascii="Times New Roman" w:hAnsi="Times New Roman"/>
                <w:sz w:val="24"/>
                <w:szCs w:val="24"/>
              </w:rPr>
              <w:t>1.8°</w:t>
            </w:r>
          </w:p>
        </w:tc>
      </w:tr>
      <w:tr>
        <w:tblPrEx>
          <w:tblW w:w="5011" w:type="pct"/>
          <w:tblInd w:w="0" w:type="dxa"/>
          <w:tblCellMar>
            <w:top w:w="0" w:type="dxa"/>
            <w:left w:w="0" w:type="dxa"/>
            <w:bottom w:w="0" w:type="dxa"/>
            <w:right w:w="0" w:type="dxa"/>
          </w:tblCellMar>
        </w:tblPrEx>
        <w:trPr>
          <w:trHeight w:val="829"/>
        </w:trPr>
        <w:tc>
          <w:tcPr>
            <w:tcW w:w="2071"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highlight w:val="yellow"/>
              </w:rPr>
              <w:t>#</w:t>
            </w:r>
            <w:r>
              <w:rPr>
                <w:rFonts w:ascii="Times New Roman" w:hAnsi="Times New Roman" w:hint="eastAsia"/>
                <w:sz w:val="24"/>
                <w:szCs w:val="24"/>
              </w:rPr>
              <w:t>电扫波束宽度（水平极化和垂直极化）</w:t>
            </w:r>
          </w:p>
        </w:tc>
        <w:tc>
          <w:tcPr>
            <w:tcW w:w="2928"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发射、接收均法向≤</w:t>
            </w:r>
            <w:r>
              <w:rPr>
                <w:rFonts w:ascii="Times New Roman" w:hAnsi="Times New Roman"/>
                <w:sz w:val="24"/>
                <w:szCs w:val="24"/>
              </w:rPr>
              <w:t>1.8°</w:t>
            </w:r>
          </w:p>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偏离法向±</w:t>
            </w:r>
            <w:r>
              <w:rPr>
                <w:rFonts w:ascii="Times New Roman" w:hAnsi="Times New Roman"/>
                <w:sz w:val="24"/>
                <w:szCs w:val="24"/>
              </w:rPr>
              <w:t>20°H</w:t>
            </w:r>
            <w:r>
              <w:rPr>
                <w:rFonts w:ascii="Times New Roman" w:hAnsi="Times New Roman" w:hint="eastAsia"/>
                <w:sz w:val="24"/>
                <w:szCs w:val="24"/>
              </w:rPr>
              <w:t>面和</w:t>
            </w:r>
            <w:r>
              <w:rPr>
                <w:rFonts w:ascii="Times New Roman" w:hAnsi="Times New Roman"/>
                <w:sz w:val="24"/>
                <w:szCs w:val="24"/>
              </w:rPr>
              <w:t>E</w:t>
            </w:r>
            <w:r>
              <w:rPr>
                <w:rFonts w:ascii="Times New Roman" w:hAnsi="Times New Roman" w:hint="eastAsia"/>
                <w:sz w:val="24"/>
                <w:szCs w:val="24"/>
              </w:rPr>
              <w:t>面发射、接收均≤</w:t>
            </w:r>
            <w:r>
              <w:rPr>
                <w:rFonts w:ascii="Times New Roman" w:hAnsi="Times New Roman"/>
                <w:sz w:val="24"/>
                <w:szCs w:val="24"/>
              </w:rPr>
              <w:t>1.91°</w:t>
            </w:r>
          </w:p>
        </w:tc>
      </w:tr>
      <w:tr>
        <w:tblPrEx>
          <w:tblW w:w="5011" w:type="pct"/>
          <w:tblInd w:w="0" w:type="dxa"/>
          <w:tblCellMar>
            <w:top w:w="0" w:type="dxa"/>
            <w:left w:w="0" w:type="dxa"/>
            <w:bottom w:w="0" w:type="dxa"/>
            <w:right w:w="0" w:type="dxa"/>
          </w:tblCellMar>
        </w:tblPrEx>
        <w:trPr>
          <w:trHeight w:val="804"/>
        </w:trPr>
        <w:tc>
          <w:tcPr>
            <w:tcW w:w="2071"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highlight w:val="yellow"/>
              </w:rPr>
              <w:t>#</w:t>
            </w:r>
            <w:r>
              <w:rPr>
                <w:rFonts w:ascii="Times New Roman" w:hAnsi="Times New Roman" w:hint="eastAsia"/>
                <w:sz w:val="24"/>
                <w:szCs w:val="24"/>
              </w:rPr>
              <w:t>发射增益（法向、不含馈线）</w:t>
            </w:r>
          </w:p>
        </w:tc>
        <w:tc>
          <w:tcPr>
            <w:tcW w:w="2928"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38.5dB</w:t>
            </w:r>
          </w:p>
        </w:tc>
      </w:tr>
      <w:tr>
        <w:tblPrEx>
          <w:tblW w:w="5011" w:type="pct"/>
          <w:tblInd w:w="0" w:type="dxa"/>
          <w:tblCellMar>
            <w:top w:w="0" w:type="dxa"/>
            <w:left w:w="0" w:type="dxa"/>
            <w:bottom w:w="0" w:type="dxa"/>
            <w:right w:w="0" w:type="dxa"/>
          </w:tblCellMar>
        </w:tblPrEx>
        <w:trPr>
          <w:trHeight w:val="804"/>
        </w:trPr>
        <w:tc>
          <w:tcPr>
            <w:tcW w:w="2071"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highlight w:val="yellow"/>
              </w:rPr>
              <w:t>#</w:t>
            </w:r>
            <w:r>
              <w:rPr>
                <w:rFonts w:ascii="Times New Roman" w:hAnsi="Times New Roman" w:hint="eastAsia"/>
                <w:sz w:val="24"/>
                <w:szCs w:val="24"/>
              </w:rPr>
              <w:t>发射增益（偏离法向±</w:t>
            </w:r>
            <w:r>
              <w:rPr>
                <w:rFonts w:ascii="Times New Roman" w:hAnsi="Times New Roman"/>
                <w:sz w:val="24"/>
                <w:szCs w:val="24"/>
              </w:rPr>
              <w:t>20°</w:t>
            </w:r>
            <w:r>
              <w:rPr>
                <w:rFonts w:ascii="Times New Roman" w:hAnsi="Times New Roman" w:hint="eastAsia"/>
                <w:sz w:val="24"/>
                <w:szCs w:val="24"/>
              </w:rPr>
              <w:t>、不含馈线）</w:t>
            </w:r>
          </w:p>
        </w:tc>
        <w:tc>
          <w:tcPr>
            <w:tcW w:w="2928"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37.5dB</w:t>
            </w:r>
          </w:p>
        </w:tc>
      </w:tr>
      <w:tr>
        <w:tblPrEx>
          <w:tblW w:w="5011" w:type="pct"/>
          <w:tblInd w:w="0" w:type="dxa"/>
          <w:tblCellMar>
            <w:top w:w="0" w:type="dxa"/>
            <w:left w:w="0" w:type="dxa"/>
            <w:bottom w:w="0" w:type="dxa"/>
            <w:right w:w="0" w:type="dxa"/>
          </w:tblCellMar>
        </w:tblPrEx>
        <w:trPr>
          <w:trHeight w:val="805"/>
        </w:trPr>
        <w:tc>
          <w:tcPr>
            <w:tcW w:w="2071"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highlight w:val="yellow"/>
              </w:rPr>
              <w:t>#</w:t>
            </w:r>
            <w:r>
              <w:rPr>
                <w:rFonts w:ascii="Times New Roman" w:hAnsi="Times New Roman" w:hint="eastAsia"/>
                <w:sz w:val="24"/>
                <w:szCs w:val="24"/>
              </w:rPr>
              <w:t>发射增益（发射</w:t>
            </w:r>
            <w:r>
              <w:rPr>
                <w:rFonts w:ascii="Times New Roman" w:hAnsi="Times New Roman"/>
                <w:sz w:val="24"/>
                <w:szCs w:val="24"/>
              </w:rPr>
              <w:t>4</w:t>
            </w:r>
            <w:r>
              <w:rPr>
                <w:rFonts w:ascii="Times New Roman" w:hAnsi="Times New Roman" w:hint="eastAsia"/>
                <w:sz w:val="24"/>
                <w:szCs w:val="24"/>
              </w:rPr>
              <w:t>倍波束展宽、不含馈线）</w:t>
            </w:r>
          </w:p>
        </w:tc>
        <w:tc>
          <w:tcPr>
            <w:tcW w:w="2928"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30.5dB</w:t>
            </w:r>
          </w:p>
        </w:tc>
      </w:tr>
      <w:tr>
        <w:tblPrEx>
          <w:tblW w:w="5011" w:type="pct"/>
          <w:tblInd w:w="0" w:type="dxa"/>
          <w:tblCellMar>
            <w:top w:w="0" w:type="dxa"/>
            <w:left w:w="0" w:type="dxa"/>
            <w:bottom w:w="0" w:type="dxa"/>
            <w:right w:w="0" w:type="dxa"/>
          </w:tblCellMar>
        </w:tblPrEx>
        <w:trPr>
          <w:trHeight w:val="805"/>
        </w:trPr>
        <w:tc>
          <w:tcPr>
            <w:tcW w:w="2071"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highlight w:val="yellow"/>
              </w:rPr>
              <w:t>#</w:t>
            </w:r>
            <w:r>
              <w:rPr>
                <w:rFonts w:ascii="Times New Roman" w:hAnsi="Times New Roman" w:hint="eastAsia"/>
                <w:sz w:val="24"/>
                <w:szCs w:val="24"/>
              </w:rPr>
              <w:t>发射增益（发射</w:t>
            </w:r>
            <w:r>
              <w:rPr>
                <w:rFonts w:ascii="Times New Roman" w:hAnsi="Times New Roman"/>
                <w:sz w:val="24"/>
                <w:szCs w:val="24"/>
              </w:rPr>
              <w:t>8</w:t>
            </w:r>
            <w:r>
              <w:rPr>
                <w:rFonts w:ascii="Times New Roman" w:hAnsi="Times New Roman" w:hint="eastAsia"/>
                <w:sz w:val="24"/>
                <w:szCs w:val="24"/>
              </w:rPr>
              <w:t>倍波束展宽、不含馈线）</w:t>
            </w:r>
          </w:p>
        </w:tc>
        <w:tc>
          <w:tcPr>
            <w:tcW w:w="2928"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27.5dB</w:t>
            </w:r>
          </w:p>
        </w:tc>
      </w:tr>
      <w:tr>
        <w:tblPrEx>
          <w:tblW w:w="5011" w:type="pct"/>
          <w:tblInd w:w="0" w:type="dxa"/>
          <w:tblCellMar>
            <w:top w:w="0" w:type="dxa"/>
            <w:left w:w="0" w:type="dxa"/>
            <w:bottom w:w="0" w:type="dxa"/>
            <w:right w:w="0" w:type="dxa"/>
          </w:tblCellMar>
        </w:tblPrEx>
        <w:trPr>
          <w:trHeight w:val="805"/>
        </w:trPr>
        <w:tc>
          <w:tcPr>
            <w:tcW w:w="2071"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highlight w:val="yellow"/>
              </w:rPr>
              <w:t>#</w:t>
            </w:r>
            <w:r>
              <w:rPr>
                <w:rFonts w:ascii="Times New Roman" w:hAnsi="Times New Roman" w:hint="eastAsia"/>
                <w:sz w:val="24"/>
                <w:szCs w:val="24"/>
              </w:rPr>
              <w:t>发射增益波动（发射</w:t>
            </w:r>
            <w:r>
              <w:rPr>
                <w:rFonts w:ascii="Times New Roman" w:hAnsi="Times New Roman"/>
                <w:sz w:val="24"/>
                <w:szCs w:val="24"/>
              </w:rPr>
              <w:t>4</w:t>
            </w:r>
            <w:r>
              <w:rPr>
                <w:rFonts w:ascii="Times New Roman" w:hAnsi="Times New Roman" w:hint="eastAsia"/>
                <w:sz w:val="24"/>
                <w:szCs w:val="24"/>
              </w:rPr>
              <w:t>倍波束展宽）</w:t>
            </w:r>
          </w:p>
        </w:tc>
        <w:tc>
          <w:tcPr>
            <w:tcW w:w="2928"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1dB</w:t>
            </w:r>
          </w:p>
        </w:tc>
      </w:tr>
      <w:tr>
        <w:tblPrEx>
          <w:tblW w:w="5011" w:type="pct"/>
          <w:tblInd w:w="0" w:type="dxa"/>
          <w:tblCellMar>
            <w:top w:w="0" w:type="dxa"/>
            <w:left w:w="0" w:type="dxa"/>
            <w:bottom w:w="0" w:type="dxa"/>
            <w:right w:w="0" w:type="dxa"/>
          </w:tblCellMar>
        </w:tblPrEx>
        <w:trPr>
          <w:trHeight w:val="805"/>
        </w:trPr>
        <w:tc>
          <w:tcPr>
            <w:tcW w:w="2071"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highlight w:val="yellow"/>
              </w:rPr>
              <w:t>#</w:t>
            </w:r>
            <w:r>
              <w:rPr>
                <w:rFonts w:ascii="Times New Roman" w:hAnsi="Times New Roman" w:hint="eastAsia"/>
                <w:sz w:val="24"/>
                <w:szCs w:val="24"/>
              </w:rPr>
              <w:t>发射增益波动（发射</w:t>
            </w:r>
            <w:r>
              <w:rPr>
                <w:rFonts w:ascii="Times New Roman" w:hAnsi="Times New Roman"/>
                <w:sz w:val="24"/>
                <w:szCs w:val="24"/>
              </w:rPr>
              <w:t>8</w:t>
            </w:r>
            <w:r>
              <w:rPr>
                <w:rFonts w:ascii="Times New Roman" w:hAnsi="Times New Roman" w:hint="eastAsia"/>
                <w:sz w:val="24"/>
                <w:szCs w:val="24"/>
              </w:rPr>
              <w:t>倍波束展宽）</w:t>
            </w:r>
          </w:p>
        </w:tc>
        <w:tc>
          <w:tcPr>
            <w:tcW w:w="2928"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2dB</w:t>
            </w:r>
          </w:p>
        </w:tc>
      </w:tr>
      <w:tr>
        <w:tblPrEx>
          <w:tblW w:w="5011" w:type="pct"/>
          <w:tblInd w:w="0" w:type="dxa"/>
          <w:tblCellMar>
            <w:top w:w="0" w:type="dxa"/>
            <w:left w:w="0" w:type="dxa"/>
            <w:bottom w:w="0" w:type="dxa"/>
            <w:right w:w="0" w:type="dxa"/>
          </w:tblCellMar>
        </w:tblPrEx>
        <w:trPr>
          <w:trHeight w:val="805"/>
        </w:trPr>
        <w:tc>
          <w:tcPr>
            <w:tcW w:w="2071"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highlight w:val="yellow"/>
              </w:rPr>
              <w:t>#</w:t>
            </w:r>
            <w:r>
              <w:rPr>
                <w:rFonts w:ascii="Times New Roman" w:hAnsi="Times New Roman" w:hint="eastAsia"/>
                <w:sz w:val="24"/>
                <w:szCs w:val="24"/>
              </w:rPr>
              <w:t>接收增益（法向、不含馈线）</w:t>
            </w:r>
          </w:p>
        </w:tc>
        <w:tc>
          <w:tcPr>
            <w:tcW w:w="2928"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37.5dB</w:t>
            </w:r>
          </w:p>
        </w:tc>
      </w:tr>
      <w:tr>
        <w:tblPrEx>
          <w:tblW w:w="5011" w:type="pct"/>
          <w:tblInd w:w="0" w:type="dxa"/>
          <w:tblCellMar>
            <w:top w:w="0" w:type="dxa"/>
            <w:left w:w="0" w:type="dxa"/>
            <w:bottom w:w="0" w:type="dxa"/>
            <w:right w:w="0" w:type="dxa"/>
          </w:tblCellMar>
        </w:tblPrEx>
        <w:trPr>
          <w:trHeight w:val="805"/>
        </w:trPr>
        <w:tc>
          <w:tcPr>
            <w:tcW w:w="2071"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highlight w:val="yellow"/>
              </w:rPr>
              <w:t>#</w:t>
            </w:r>
            <w:r>
              <w:rPr>
                <w:rFonts w:ascii="Times New Roman" w:hAnsi="Times New Roman" w:hint="eastAsia"/>
                <w:sz w:val="24"/>
                <w:szCs w:val="24"/>
              </w:rPr>
              <w:t>接收增益（偏离法向±</w:t>
            </w:r>
            <w:r>
              <w:rPr>
                <w:rFonts w:ascii="Times New Roman" w:hAnsi="Times New Roman"/>
                <w:sz w:val="24"/>
                <w:szCs w:val="24"/>
              </w:rPr>
              <w:t>20°</w:t>
            </w:r>
            <w:r>
              <w:rPr>
                <w:rFonts w:ascii="Times New Roman" w:hAnsi="Times New Roman" w:hint="eastAsia"/>
                <w:sz w:val="24"/>
                <w:szCs w:val="24"/>
              </w:rPr>
              <w:t>、不含馈线）</w:t>
            </w:r>
          </w:p>
        </w:tc>
        <w:tc>
          <w:tcPr>
            <w:tcW w:w="2928"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36.5dB</w:t>
            </w:r>
          </w:p>
        </w:tc>
      </w:tr>
      <w:tr>
        <w:tblPrEx>
          <w:tblW w:w="5011" w:type="pct"/>
          <w:tblInd w:w="0" w:type="dxa"/>
          <w:tblCellMar>
            <w:top w:w="0" w:type="dxa"/>
            <w:left w:w="0" w:type="dxa"/>
            <w:bottom w:w="0" w:type="dxa"/>
            <w:right w:w="0" w:type="dxa"/>
          </w:tblCellMar>
        </w:tblPrEx>
        <w:trPr>
          <w:trHeight w:val="135"/>
        </w:trPr>
        <w:tc>
          <w:tcPr>
            <w:tcW w:w="2071"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highlight w:val="yellow"/>
              </w:rPr>
              <w:t>#</w:t>
            </w:r>
            <w:r>
              <w:rPr>
                <w:rFonts w:ascii="Times New Roman" w:hAnsi="Times New Roman" w:hint="eastAsia"/>
                <w:sz w:val="24"/>
                <w:szCs w:val="24"/>
              </w:rPr>
              <w:t>方位方向最大副瓣电平</w:t>
            </w:r>
          </w:p>
        </w:tc>
        <w:tc>
          <w:tcPr>
            <w:tcW w:w="2928"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发射、接收均≤</w:t>
            </w:r>
            <w:r>
              <w:rPr>
                <w:rFonts w:ascii="Times New Roman" w:hAnsi="Times New Roman"/>
                <w:sz w:val="24"/>
                <w:szCs w:val="24"/>
              </w:rPr>
              <w:t>-30dB</w:t>
            </w:r>
          </w:p>
        </w:tc>
      </w:tr>
      <w:tr>
        <w:tblPrEx>
          <w:tblW w:w="5011" w:type="pct"/>
          <w:tblInd w:w="0" w:type="dxa"/>
          <w:tblCellMar>
            <w:top w:w="0" w:type="dxa"/>
            <w:left w:w="0" w:type="dxa"/>
            <w:bottom w:w="0" w:type="dxa"/>
            <w:right w:w="0" w:type="dxa"/>
          </w:tblCellMar>
        </w:tblPrEx>
        <w:trPr>
          <w:trHeight w:val="917"/>
        </w:trPr>
        <w:tc>
          <w:tcPr>
            <w:tcW w:w="2071"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highlight w:val="yellow"/>
              </w:rPr>
              <w:t>#</w:t>
            </w:r>
            <w:r>
              <w:rPr>
                <w:rFonts w:ascii="Times New Roman" w:hAnsi="Times New Roman" w:hint="eastAsia"/>
                <w:sz w:val="24"/>
                <w:szCs w:val="24"/>
              </w:rPr>
              <w:t>交叉极化隔离度</w:t>
            </w:r>
          </w:p>
        </w:tc>
        <w:tc>
          <w:tcPr>
            <w:tcW w:w="2928"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发射、接收均满足且偏离法向±</w:t>
            </w:r>
            <w:r>
              <w:rPr>
                <w:rFonts w:ascii="Times New Roman" w:hAnsi="Times New Roman"/>
                <w:sz w:val="24"/>
                <w:szCs w:val="24"/>
              </w:rPr>
              <w:t>10°≥35dB</w:t>
            </w:r>
          </w:p>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发射、接收均满足且偏离法向±</w:t>
            </w:r>
            <w:r>
              <w:rPr>
                <w:rFonts w:ascii="Times New Roman" w:hAnsi="Times New Roman"/>
                <w:sz w:val="24"/>
                <w:szCs w:val="24"/>
              </w:rPr>
              <w:t>10°</w:t>
            </w:r>
            <w:r>
              <w:rPr>
                <w:rFonts w:ascii="Times New Roman" w:hAnsi="Times New Roman" w:hint="eastAsia"/>
                <w:sz w:val="24"/>
                <w:szCs w:val="24"/>
              </w:rPr>
              <w:t>～±</w:t>
            </w:r>
            <w:r>
              <w:rPr>
                <w:rFonts w:ascii="Times New Roman" w:hAnsi="Times New Roman"/>
                <w:sz w:val="24"/>
                <w:szCs w:val="24"/>
              </w:rPr>
              <w:t>20°≥33dB</w:t>
            </w:r>
          </w:p>
        </w:tc>
      </w:tr>
      <w:tr>
        <w:tblPrEx>
          <w:tblW w:w="5011" w:type="pct"/>
          <w:tblInd w:w="0" w:type="dxa"/>
          <w:tblCellMar>
            <w:top w:w="0" w:type="dxa"/>
            <w:left w:w="0" w:type="dxa"/>
            <w:bottom w:w="0" w:type="dxa"/>
            <w:right w:w="0" w:type="dxa"/>
          </w:tblCellMar>
        </w:tblPrEx>
        <w:trPr>
          <w:trHeight w:val="289"/>
        </w:trPr>
        <w:tc>
          <w:tcPr>
            <w:tcW w:w="2071"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双极化波束宽度差异</w:t>
            </w:r>
          </w:p>
        </w:tc>
        <w:tc>
          <w:tcPr>
            <w:tcW w:w="2928"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sz w:val="24"/>
                <w:szCs w:val="24"/>
              </w:rPr>
              <w:t>H</w:t>
            </w:r>
            <w:r>
              <w:rPr>
                <w:rFonts w:ascii="Times New Roman" w:hAnsi="Times New Roman" w:hint="eastAsia"/>
                <w:sz w:val="24"/>
                <w:szCs w:val="24"/>
              </w:rPr>
              <w:t>面和</w:t>
            </w:r>
            <w:r>
              <w:rPr>
                <w:rFonts w:ascii="Times New Roman" w:hAnsi="Times New Roman"/>
                <w:sz w:val="24"/>
                <w:szCs w:val="24"/>
              </w:rPr>
              <w:t>E</w:t>
            </w:r>
            <w:r>
              <w:rPr>
                <w:rFonts w:ascii="Times New Roman" w:hAnsi="Times New Roman" w:hint="eastAsia"/>
                <w:sz w:val="24"/>
                <w:szCs w:val="24"/>
              </w:rPr>
              <w:t>面发射、接收均≤波束宽度</w:t>
            </w:r>
            <w:r>
              <w:rPr>
                <w:rFonts w:ascii="Times New Roman" w:hAnsi="Times New Roman"/>
                <w:sz w:val="24"/>
                <w:szCs w:val="24"/>
              </w:rPr>
              <w:t>*5%</w:t>
            </w:r>
          </w:p>
        </w:tc>
      </w:tr>
      <w:tr>
        <w:tblPrEx>
          <w:tblW w:w="5011" w:type="pct"/>
          <w:tblInd w:w="0" w:type="dxa"/>
          <w:tblCellMar>
            <w:top w:w="0" w:type="dxa"/>
            <w:left w:w="0" w:type="dxa"/>
            <w:bottom w:w="0" w:type="dxa"/>
            <w:right w:w="0" w:type="dxa"/>
          </w:tblCellMar>
        </w:tblPrEx>
        <w:trPr>
          <w:trHeight w:val="594"/>
        </w:trPr>
        <w:tc>
          <w:tcPr>
            <w:tcW w:w="2071"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双极化波束指向一致性</w:t>
            </w:r>
          </w:p>
        </w:tc>
        <w:tc>
          <w:tcPr>
            <w:tcW w:w="2928"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发射、接收均≤波束宽度</w:t>
            </w:r>
            <w:r>
              <w:rPr>
                <w:rFonts w:ascii="Times New Roman" w:hAnsi="Times New Roman"/>
                <w:sz w:val="24"/>
                <w:szCs w:val="24"/>
              </w:rPr>
              <w:t>*5%</w:t>
            </w:r>
          </w:p>
        </w:tc>
      </w:tr>
      <w:tr>
        <w:tblPrEx>
          <w:tblW w:w="5011" w:type="pct"/>
          <w:tblInd w:w="0" w:type="dxa"/>
          <w:tblCellMar>
            <w:top w:w="0" w:type="dxa"/>
            <w:left w:w="0" w:type="dxa"/>
            <w:bottom w:w="0" w:type="dxa"/>
            <w:right w:w="0" w:type="dxa"/>
          </w:tblCellMar>
        </w:tblPrEx>
        <w:trPr>
          <w:trHeight w:val="404"/>
        </w:trPr>
        <w:tc>
          <w:tcPr>
            <w:tcW w:w="2071"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highlight w:val="yellow"/>
              </w:rPr>
              <w:t>#</w:t>
            </w:r>
            <w:r>
              <w:rPr>
                <w:rFonts w:ascii="Times New Roman" w:hAnsi="Times New Roman" w:hint="eastAsia"/>
                <w:sz w:val="24"/>
                <w:szCs w:val="24"/>
              </w:rPr>
              <w:t>驻波比</w:t>
            </w:r>
          </w:p>
        </w:tc>
        <w:tc>
          <w:tcPr>
            <w:tcW w:w="2928"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1.5</w:t>
            </w:r>
          </w:p>
        </w:tc>
      </w:tr>
    </w:tbl>
    <w:p>
      <w:pPr>
        <w:tabs>
          <w:tab w:val="left" w:pos="2340"/>
        </w:tabs>
        <w:spacing w:line="360" w:lineRule="auto"/>
        <w:ind w:firstLine="482"/>
        <w:rPr>
          <w:rFonts w:ascii="Times New Roman" w:hAnsi="Times New Roman"/>
          <w:b/>
        </w:rPr>
      </w:pPr>
      <w:bookmarkStart w:id="65" w:name="bookmark21"/>
      <w:bookmarkEnd w:id="65"/>
      <w:r>
        <w:rPr>
          <w:rFonts w:ascii="Times New Roman" w:hAnsi="Times New Roman"/>
          <w:b/>
          <w:sz w:val="24"/>
          <w:szCs w:val="24"/>
        </w:rPr>
        <w:t>3.</w:t>
      </w:r>
      <w:r>
        <w:rPr>
          <w:rFonts w:ascii="Times New Roman" w:hAnsi="Times New Roman" w:hint="eastAsia"/>
          <w:b/>
          <w:sz w:val="24"/>
          <w:szCs w:val="24"/>
          <w:lang w:val="en-US" w:eastAsia="zh-CN"/>
        </w:rPr>
        <w:t>4</w:t>
      </w:r>
      <w:r>
        <w:rPr>
          <w:rFonts w:ascii="Times New Roman" w:hAnsi="Times New Roman" w:hint="eastAsia"/>
          <w:b/>
          <w:sz w:val="24"/>
          <w:szCs w:val="24"/>
        </w:rPr>
        <w:t>天线阵面和伺服系统技术指标</w:t>
      </w:r>
    </w:p>
    <w:p>
      <w:pPr>
        <w:tabs>
          <w:tab w:val="left" w:pos="2340"/>
        </w:tabs>
        <w:spacing w:line="360" w:lineRule="auto"/>
        <w:ind w:firstLine="480"/>
        <w:rPr>
          <w:rFonts w:ascii="Times New Roman" w:hAnsi="Times New Roman"/>
          <w:bCs/>
        </w:rPr>
      </w:pPr>
      <w:r>
        <w:rPr>
          <w:rFonts w:ascii="Times New Roman" w:hAnsi="Times New Roman" w:hint="eastAsia"/>
          <w:bCs/>
          <w:sz w:val="24"/>
          <w:szCs w:val="24"/>
        </w:rPr>
        <w:t>天线阵面和伺服系统的技术指标包括：扫描方式、天线扫描范围、扫描速度、波束指向误差、伺服控制误差等。具体指标见下表。具体指标见表</w:t>
      </w:r>
      <w:r>
        <w:rPr>
          <w:rFonts w:ascii="Times New Roman" w:hAnsi="Times New Roman" w:hint="eastAsia"/>
          <w:bCs/>
          <w:sz w:val="24"/>
          <w:szCs w:val="24"/>
          <w:lang w:val="en-US" w:eastAsia="zh-CN"/>
        </w:rPr>
        <w:t>4</w:t>
      </w:r>
      <w:r>
        <w:rPr>
          <w:rFonts w:ascii="Times New Roman" w:hAnsi="Times New Roman" w:hint="eastAsia"/>
          <w:bCs/>
          <w:sz w:val="24"/>
          <w:szCs w:val="24"/>
        </w:rPr>
        <w:t>。</w:t>
      </w:r>
    </w:p>
    <w:p>
      <w:pPr>
        <w:widowControl/>
        <w:kinsoku w:val="0"/>
        <w:autoSpaceDE w:val="0"/>
        <w:autoSpaceDN w:val="0"/>
        <w:adjustRightInd w:val="0"/>
        <w:snapToGrid w:val="0"/>
        <w:spacing w:line="360" w:lineRule="auto"/>
        <w:ind w:firstLine="466"/>
        <w:jc w:val="center"/>
        <w:textAlignment w:val="baseline"/>
        <w:rPr>
          <w:rFonts w:ascii="Times New Roman" w:hAnsi="Times New Roman"/>
          <w:b/>
          <w:bCs/>
        </w:rPr>
      </w:pPr>
      <w:r>
        <w:rPr>
          <w:rFonts w:ascii="Times New Roman" w:hAnsi="Times New Roman" w:hint="eastAsia"/>
          <w:b/>
          <w:bCs/>
          <w:spacing w:val="-4"/>
          <w:sz w:val="24"/>
          <w:szCs w:val="24"/>
        </w:rPr>
        <w:t>表</w:t>
      </w:r>
      <w:r>
        <w:rPr>
          <w:rFonts w:ascii="Times New Roman" w:hAnsi="Times New Roman" w:hint="eastAsia"/>
          <w:b/>
          <w:bCs/>
          <w:spacing w:val="-4"/>
          <w:sz w:val="24"/>
          <w:szCs w:val="24"/>
          <w:lang w:val="en-US" w:eastAsia="zh-CN"/>
        </w:rPr>
        <w:t>4</w:t>
      </w:r>
      <w:r>
        <w:rPr>
          <w:rFonts w:ascii="Times New Roman" w:hAnsi="Times New Roman"/>
          <w:b/>
          <w:bCs/>
          <w:spacing w:val="-4"/>
          <w:sz w:val="24"/>
          <w:szCs w:val="24"/>
        </w:rPr>
        <w:t xml:space="preserve"> </w:t>
      </w:r>
      <w:r>
        <w:rPr>
          <w:rFonts w:ascii="Times New Roman" w:hAnsi="Times New Roman" w:hint="eastAsia"/>
          <w:b/>
          <w:bCs/>
          <w:spacing w:val="-4"/>
          <w:sz w:val="24"/>
          <w:szCs w:val="24"/>
        </w:rPr>
        <w:t>天线阵面和伺服系统技术性能指标表</w:t>
      </w:r>
    </w:p>
    <w:tbl>
      <w:tblPr>
        <w:tblStyle w:val="TableNormal0"/>
        <w:tblW w:w="4999"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
      <w:tblGrid>
        <w:gridCol w:w="2159"/>
        <w:gridCol w:w="1677"/>
        <w:gridCol w:w="4474"/>
      </w:tblGrid>
      <w:tr>
        <w:tblPrEx>
          <w:tblW w:w="4999"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Ex>
        <w:trPr>
          <w:trHeight w:val="409"/>
        </w:trPr>
        <w:tc>
          <w:tcPr>
            <w:tcW w:w="2308" w:type="pct"/>
            <w:gridSpan w:val="2"/>
            <w:vAlign w:val="center"/>
          </w:tcPr>
          <w:p>
            <w:pPr>
              <w:pStyle w:val="TableText"/>
              <w:widowControl/>
              <w:kinsoku w:val="0"/>
              <w:autoSpaceDE w:val="0"/>
              <w:autoSpaceDN w:val="0"/>
              <w:adjustRightInd w:val="0"/>
              <w:snapToGrid w:val="0"/>
              <w:spacing w:line="360" w:lineRule="auto"/>
              <w:ind w:firstLine="0" w:firstLineChars="0"/>
              <w:jc w:val="center"/>
              <w:textAlignment w:val="baseline"/>
              <w:rPr>
                <w:rFonts w:ascii="Times New Roman" w:hAnsi="Times New Roman" w:cs="Times New Roman"/>
                <w:b/>
                <w:bCs/>
                <w:spacing w:val="-9"/>
              </w:rPr>
            </w:pPr>
            <w:r>
              <w:rPr>
                <w:rFonts w:ascii="Times New Roman" w:hAnsi="Times New Roman" w:cs="Times New Roman" w:hint="eastAsia"/>
                <w:b/>
                <w:bCs/>
                <w:spacing w:val="-9"/>
              </w:rPr>
              <w:t>项目</w:t>
            </w:r>
          </w:p>
        </w:tc>
        <w:tc>
          <w:tcPr>
            <w:tcW w:w="2691" w:type="pct"/>
            <w:vAlign w:val="center"/>
          </w:tcPr>
          <w:p>
            <w:pPr>
              <w:pStyle w:val="TableText"/>
              <w:widowControl/>
              <w:kinsoku w:val="0"/>
              <w:autoSpaceDE w:val="0"/>
              <w:autoSpaceDN w:val="0"/>
              <w:adjustRightInd w:val="0"/>
              <w:snapToGrid w:val="0"/>
              <w:spacing w:line="360" w:lineRule="auto"/>
              <w:ind w:firstLine="0" w:firstLineChars="0"/>
              <w:jc w:val="center"/>
              <w:textAlignment w:val="baseline"/>
              <w:rPr>
                <w:rFonts w:ascii="Times New Roman" w:hAnsi="Times New Roman" w:cs="Times New Roman"/>
                <w:b/>
                <w:bCs/>
                <w:spacing w:val="-9"/>
              </w:rPr>
            </w:pPr>
            <w:r>
              <w:rPr>
                <w:rFonts w:ascii="Times New Roman" w:hAnsi="Times New Roman" w:cs="Times New Roman" w:hint="eastAsia"/>
                <w:b/>
                <w:bCs/>
                <w:spacing w:val="-9"/>
              </w:rPr>
              <w:t>性能指标</w:t>
            </w:r>
          </w:p>
        </w:tc>
      </w:tr>
      <w:tr>
        <w:tblPrEx>
          <w:tblW w:w="4999" w:type="pct"/>
          <w:tblInd w:w="0" w:type="dxa"/>
          <w:tblCellMar>
            <w:top w:w="0" w:type="dxa"/>
            <w:left w:w="0" w:type="dxa"/>
            <w:bottom w:w="0" w:type="dxa"/>
            <w:right w:w="0" w:type="dxa"/>
          </w:tblCellMar>
        </w:tblPrEx>
        <w:trPr>
          <w:trHeight w:val="804"/>
        </w:trPr>
        <w:tc>
          <w:tcPr>
            <w:tcW w:w="2308" w:type="pct"/>
            <w:gridSpan w:val="2"/>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波束扫描方式</w:t>
            </w:r>
          </w:p>
        </w:tc>
        <w:tc>
          <w:tcPr>
            <w:tcW w:w="2691"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平面位置扫描、体积扫描、扇形扫描、定点扫描、用户自定义</w:t>
            </w:r>
          </w:p>
        </w:tc>
      </w:tr>
      <w:tr>
        <w:tblPrEx>
          <w:tblW w:w="4999" w:type="pct"/>
          <w:tblInd w:w="0" w:type="dxa"/>
          <w:tblCellMar>
            <w:top w:w="0" w:type="dxa"/>
            <w:left w:w="0" w:type="dxa"/>
            <w:bottom w:w="0" w:type="dxa"/>
            <w:right w:w="0" w:type="dxa"/>
          </w:tblCellMar>
        </w:tblPrEx>
        <w:trPr>
          <w:trHeight w:val="404"/>
        </w:trPr>
        <w:tc>
          <w:tcPr>
            <w:tcW w:w="1299" w:type="pct"/>
            <w:vMerge w:val="restart"/>
            <w:tcBorders>
              <w:bottom w:val="nil"/>
            </w:tcBorders>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波束扫描范围</w:t>
            </w:r>
          </w:p>
        </w:tc>
        <w:tc>
          <w:tcPr>
            <w:tcW w:w="1008"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方位机械扫描</w:t>
            </w:r>
          </w:p>
        </w:tc>
        <w:tc>
          <w:tcPr>
            <w:tcW w:w="2691"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sz w:val="24"/>
                <w:szCs w:val="24"/>
              </w:rPr>
              <w:t>0</w:t>
            </w:r>
            <w:r>
              <w:rPr>
                <w:rFonts w:ascii="Times New Roman" w:hAnsi="Times New Roman" w:hint="eastAsia"/>
                <w:sz w:val="24"/>
                <w:szCs w:val="24"/>
              </w:rPr>
              <w:t>～</w:t>
            </w:r>
            <w:r>
              <w:rPr>
                <w:rFonts w:ascii="Times New Roman" w:hAnsi="Times New Roman"/>
                <w:sz w:val="24"/>
                <w:szCs w:val="24"/>
              </w:rPr>
              <w:t>360°</w:t>
            </w:r>
            <w:r>
              <w:rPr>
                <w:rFonts w:ascii="Times New Roman" w:hAnsi="Times New Roman" w:hint="eastAsia"/>
                <w:sz w:val="24"/>
                <w:szCs w:val="24"/>
              </w:rPr>
              <w:t>连续扫描</w:t>
            </w:r>
          </w:p>
        </w:tc>
      </w:tr>
      <w:tr>
        <w:tblPrEx>
          <w:tblW w:w="4999" w:type="pct"/>
          <w:tblInd w:w="0" w:type="dxa"/>
          <w:tblCellMar>
            <w:top w:w="0" w:type="dxa"/>
            <w:left w:w="0" w:type="dxa"/>
            <w:bottom w:w="0" w:type="dxa"/>
            <w:right w:w="0" w:type="dxa"/>
          </w:tblCellMar>
        </w:tblPrEx>
        <w:trPr>
          <w:trHeight w:val="404"/>
        </w:trPr>
        <w:tc>
          <w:tcPr>
            <w:tcW w:w="1299" w:type="pct"/>
            <w:vMerge/>
            <w:tcBorders>
              <w:top w:val="nil"/>
              <w:bottom w:val="nil"/>
            </w:tcBorders>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p>
        </w:tc>
        <w:tc>
          <w:tcPr>
            <w:tcW w:w="1008"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俯仰电子扫描</w:t>
            </w:r>
          </w:p>
        </w:tc>
        <w:tc>
          <w:tcPr>
            <w:tcW w:w="2691"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sz w:val="24"/>
                <w:szCs w:val="24"/>
              </w:rPr>
              <w:t>-2</w:t>
            </w:r>
            <w:r>
              <w:rPr>
                <w:rFonts w:ascii="Times New Roman" w:hAnsi="Times New Roman" w:hint="eastAsia"/>
                <w:sz w:val="24"/>
                <w:szCs w:val="24"/>
              </w:rPr>
              <w:t>～</w:t>
            </w:r>
            <w:r>
              <w:rPr>
                <w:rFonts w:ascii="Times New Roman" w:hAnsi="Times New Roman"/>
                <w:sz w:val="24"/>
                <w:szCs w:val="24"/>
              </w:rPr>
              <w:t>+60°</w:t>
            </w:r>
          </w:p>
        </w:tc>
      </w:tr>
      <w:tr>
        <w:tblPrEx>
          <w:tblW w:w="4999" w:type="pct"/>
          <w:tblInd w:w="0" w:type="dxa"/>
          <w:tblCellMar>
            <w:top w:w="0" w:type="dxa"/>
            <w:left w:w="0" w:type="dxa"/>
            <w:bottom w:w="0" w:type="dxa"/>
            <w:right w:w="0" w:type="dxa"/>
          </w:tblCellMar>
        </w:tblPrEx>
        <w:trPr>
          <w:trHeight w:val="404"/>
        </w:trPr>
        <w:tc>
          <w:tcPr>
            <w:tcW w:w="1299" w:type="pct"/>
            <w:vMerge/>
            <w:tcBorders>
              <w:top w:val="nil"/>
            </w:tcBorders>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p>
        </w:tc>
        <w:tc>
          <w:tcPr>
            <w:tcW w:w="1008"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俯仰机械调整</w:t>
            </w:r>
          </w:p>
        </w:tc>
        <w:tc>
          <w:tcPr>
            <w:tcW w:w="2691"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天线阵面法向</w:t>
            </w:r>
            <w:r>
              <w:rPr>
                <w:rFonts w:ascii="Times New Roman" w:hAnsi="Times New Roman"/>
                <w:sz w:val="24"/>
                <w:szCs w:val="24"/>
              </w:rPr>
              <w:t>0</w:t>
            </w:r>
            <w:r>
              <w:rPr>
                <w:rFonts w:ascii="Times New Roman" w:hAnsi="Times New Roman" w:hint="eastAsia"/>
                <w:sz w:val="24"/>
                <w:szCs w:val="24"/>
              </w:rPr>
              <w:t>～</w:t>
            </w:r>
            <w:r>
              <w:rPr>
                <w:rFonts w:ascii="Times New Roman" w:hAnsi="Times New Roman"/>
                <w:sz w:val="24"/>
                <w:szCs w:val="24"/>
              </w:rPr>
              <w:t>+90°</w:t>
            </w:r>
          </w:p>
        </w:tc>
      </w:tr>
      <w:tr>
        <w:tblPrEx>
          <w:tblW w:w="4999" w:type="pct"/>
          <w:tblInd w:w="0" w:type="dxa"/>
          <w:tblCellMar>
            <w:top w:w="0" w:type="dxa"/>
            <w:left w:w="0" w:type="dxa"/>
            <w:bottom w:w="0" w:type="dxa"/>
            <w:right w:w="0" w:type="dxa"/>
          </w:tblCellMar>
        </w:tblPrEx>
        <w:trPr>
          <w:trHeight w:val="405"/>
        </w:trPr>
        <w:tc>
          <w:tcPr>
            <w:tcW w:w="1299"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天线阵面扫描速度</w:t>
            </w:r>
          </w:p>
        </w:tc>
        <w:tc>
          <w:tcPr>
            <w:tcW w:w="1008"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方位</w:t>
            </w:r>
          </w:p>
        </w:tc>
        <w:tc>
          <w:tcPr>
            <w:tcW w:w="2691"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sz w:val="24"/>
                <w:szCs w:val="24"/>
              </w:rPr>
              <w:t>0</w:t>
            </w:r>
            <w:r>
              <w:rPr>
                <w:rFonts w:ascii="Times New Roman" w:hAnsi="Times New Roman" w:hint="eastAsia"/>
                <w:sz w:val="24"/>
                <w:szCs w:val="24"/>
              </w:rPr>
              <w:t>～</w:t>
            </w:r>
            <w:r>
              <w:rPr>
                <w:rFonts w:ascii="Times New Roman" w:hAnsi="Times New Roman"/>
                <w:sz w:val="24"/>
                <w:szCs w:val="24"/>
              </w:rPr>
              <w:t>36°/s</w:t>
            </w:r>
            <w:r>
              <w:rPr>
                <w:rFonts w:ascii="Times New Roman" w:hAnsi="Times New Roman" w:hint="eastAsia"/>
                <w:sz w:val="24"/>
                <w:szCs w:val="24"/>
              </w:rPr>
              <w:t>，≥</w:t>
            </w:r>
            <w:r>
              <w:rPr>
                <w:rFonts w:ascii="Times New Roman" w:hAnsi="Times New Roman"/>
                <w:sz w:val="24"/>
                <w:szCs w:val="24"/>
              </w:rPr>
              <w:t>6°/s</w:t>
            </w:r>
            <w:r>
              <w:rPr>
                <w:rFonts w:ascii="Times New Roman" w:hAnsi="Times New Roman" w:hint="eastAsia"/>
                <w:sz w:val="24"/>
                <w:szCs w:val="24"/>
              </w:rPr>
              <w:t>时误差不大于</w:t>
            </w:r>
            <w:r>
              <w:rPr>
                <w:rFonts w:ascii="Times New Roman" w:hAnsi="Times New Roman"/>
                <w:sz w:val="24"/>
                <w:szCs w:val="24"/>
              </w:rPr>
              <w:t>5%</w:t>
            </w:r>
          </w:p>
        </w:tc>
      </w:tr>
      <w:tr>
        <w:tblPrEx>
          <w:tblW w:w="4999" w:type="pct"/>
          <w:tblInd w:w="0" w:type="dxa"/>
          <w:tblCellMar>
            <w:top w:w="0" w:type="dxa"/>
            <w:left w:w="0" w:type="dxa"/>
            <w:bottom w:w="0" w:type="dxa"/>
            <w:right w:w="0" w:type="dxa"/>
          </w:tblCellMar>
        </w:tblPrEx>
        <w:trPr>
          <w:trHeight w:val="405"/>
        </w:trPr>
        <w:tc>
          <w:tcPr>
            <w:tcW w:w="1299" w:type="pct"/>
            <w:vMerge w:val="restart"/>
            <w:tcBorders>
              <w:bottom w:val="nil"/>
            </w:tcBorders>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highlight w:val="yellow"/>
              </w:rPr>
              <w:t>#</w:t>
            </w:r>
            <w:r>
              <w:rPr>
                <w:rFonts w:ascii="Times New Roman" w:hAnsi="Times New Roman" w:hint="eastAsia"/>
                <w:sz w:val="24"/>
                <w:szCs w:val="24"/>
              </w:rPr>
              <w:t>波束指向误差</w:t>
            </w:r>
          </w:p>
        </w:tc>
        <w:tc>
          <w:tcPr>
            <w:tcW w:w="1008"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方位</w:t>
            </w:r>
          </w:p>
        </w:tc>
        <w:tc>
          <w:tcPr>
            <w:tcW w:w="2691"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0.05°</w:t>
            </w:r>
          </w:p>
        </w:tc>
      </w:tr>
      <w:tr>
        <w:tblPrEx>
          <w:tblW w:w="4999" w:type="pct"/>
          <w:tblInd w:w="0" w:type="dxa"/>
          <w:tblCellMar>
            <w:top w:w="0" w:type="dxa"/>
            <w:left w:w="0" w:type="dxa"/>
            <w:bottom w:w="0" w:type="dxa"/>
            <w:right w:w="0" w:type="dxa"/>
          </w:tblCellMar>
        </w:tblPrEx>
        <w:trPr>
          <w:trHeight w:val="405"/>
        </w:trPr>
        <w:tc>
          <w:tcPr>
            <w:tcW w:w="1299" w:type="pct"/>
            <w:vMerge/>
            <w:tcBorders>
              <w:top w:val="nil"/>
            </w:tcBorders>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p>
        </w:tc>
        <w:tc>
          <w:tcPr>
            <w:tcW w:w="1008"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俯仰</w:t>
            </w:r>
          </w:p>
        </w:tc>
        <w:tc>
          <w:tcPr>
            <w:tcW w:w="2691"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0.05°</w:t>
            </w:r>
          </w:p>
        </w:tc>
      </w:tr>
      <w:tr>
        <w:tblPrEx>
          <w:tblW w:w="4999" w:type="pct"/>
          <w:tblInd w:w="0" w:type="dxa"/>
          <w:tblCellMar>
            <w:top w:w="0" w:type="dxa"/>
            <w:left w:w="0" w:type="dxa"/>
            <w:bottom w:w="0" w:type="dxa"/>
            <w:right w:w="0" w:type="dxa"/>
          </w:tblCellMar>
        </w:tblPrEx>
        <w:trPr>
          <w:trHeight w:val="405"/>
        </w:trPr>
        <w:tc>
          <w:tcPr>
            <w:tcW w:w="1299"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伺服控制误差</w:t>
            </w:r>
          </w:p>
        </w:tc>
        <w:tc>
          <w:tcPr>
            <w:tcW w:w="1008"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方位</w:t>
            </w:r>
          </w:p>
        </w:tc>
        <w:tc>
          <w:tcPr>
            <w:tcW w:w="2691"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0.05°</w:t>
            </w:r>
          </w:p>
        </w:tc>
      </w:tr>
      <w:tr>
        <w:tblPrEx>
          <w:tblW w:w="4999" w:type="pct"/>
          <w:tblInd w:w="0" w:type="dxa"/>
          <w:tblCellMar>
            <w:top w:w="0" w:type="dxa"/>
            <w:left w:w="0" w:type="dxa"/>
            <w:bottom w:w="0" w:type="dxa"/>
            <w:right w:w="0" w:type="dxa"/>
          </w:tblCellMar>
        </w:tblPrEx>
        <w:trPr>
          <w:trHeight w:val="405"/>
        </w:trPr>
        <w:tc>
          <w:tcPr>
            <w:tcW w:w="2308" w:type="pct"/>
            <w:gridSpan w:val="2"/>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天线座水平度</w:t>
            </w:r>
          </w:p>
        </w:tc>
        <w:tc>
          <w:tcPr>
            <w:tcW w:w="2691"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30″</w:t>
            </w:r>
          </w:p>
        </w:tc>
      </w:tr>
      <w:tr>
        <w:tblPrEx>
          <w:tblW w:w="4999" w:type="pct"/>
          <w:tblInd w:w="0" w:type="dxa"/>
          <w:tblCellMar>
            <w:top w:w="0" w:type="dxa"/>
            <w:left w:w="0" w:type="dxa"/>
            <w:bottom w:w="0" w:type="dxa"/>
            <w:right w:w="0" w:type="dxa"/>
          </w:tblCellMar>
        </w:tblPrEx>
        <w:trPr>
          <w:trHeight w:val="405"/>
        </w:trPr>
        <w:tc>
          <w:tcPr>
            <w:tcW w:w="2308" w:type="pct"/>
            <w:gridSpan w:val="2"/>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天线阵面控制字长</w:t>
            </w:r>
          </w:p>
        </w:tc>
        <w:tc>
          <w:tcPr>
            <w:tcW w:w="2691"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16</w:t>
            </w:r>
            <w:r>
              <w:rPr>
                <w:rFonts w:ascii="Times New Roman" w:hAnsi="Times New Roman" w:hint="eastAsia"/>
                <w:sz w:val="24"/>
                <w:szCs w:val="24"/>
              </w:rPr>
              <w:t>位</w:t>
            </w:r>
          </w:p>
        </w:tc>
      </w:tr>
      <w:tr>
        <w:tblPrEx>
          <w:tblW w:w="4999" w:type="pct"/>
          <w:tblInd w:w="0" w:type="dxa"/>
          <w:tblCellMar>
            <w:top w:w="0" w:type="dxa"/>
            <w:left w:w="0" w:type="dxa"/>
            <w:bottom w:w="0" w:type="dxa"/>
            <w:right w:w="0" w:type="dxa"/>
          </w:tblCellMar>
        </w:tblPrEx>
        <w:trPr>
          <w:trHeight w:val="405"/>
        </w:trPr>
        <w:tc>
          <w:tcPr>
            <w:tcW w:w="2308" w:type="pct"/>
            <w:gridSpan w:val="2"/>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角度编码器字长</w:t>
            </w:r>
          </w:p>
        </w:tc>
        <w:tc>
          <w:tcPr>
            <w:tcW w:w="2691"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16</w:t>
            </w:r>
            <w:r>
              <w:rPr>
                <w:rFonts w:ascii="Times New Roman" w:hAnsi="Times New Roman" w:hint="eastAsia"/>
                <w:sz w:val="24"/>
                <w:szCs w:val="24"/>
              </w:rPr>
              <w:t>位</w:t>
            </w:r>
          </w:p>
        </w:tc>
      </w:tr>
      <w:tr>
        <w:tblPrEx>
          <w:tblW w:w="4999" w:type="pct"/>
          <w:tblInd w:w="0" w:type="dxa"/>
          <w:tblCellMar>
            <w:top w:w="0" w:type="dxa"/>
            <w:left w:w="0" w:type="dxa"/>
            <w:bottom w:w="0" w:type="dxa"/>
            <w:right w:w="0" w:type="dxa"/>
          </w:tblCellMar>
        </w:tblPrEx>
        <w:trPr>
          <w:trHeight w:val="542"/>
        </w:trPr>
        <w:tc>
          <w:tcPr>
            <w:tcW w:w="2308" w:type="pct"/>
            <w:gridSpan w:val="2"/>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安全与保护</w:t>
            </w:r>
          </w:p>
        </w:tc>
        <w:tc>
          <w:tcPr>
            <w:tcW w:w="2691"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天线阵面应设有辅助支撑锁定机构，以保证其在运输架设时的安全性和稳定性。天线阵面的方位和俯仰运转系统中应具有安全保护措施并具备锁定功能。</w:t>
            </w:r>
          </w:p>
        </w:tc>
      </w:tr>
    </w:tbl>
    <w:p>
      <w:pPr>
        <w:tabs>
          <w:tab w:val="left" w:pos="2340"/>
        </w:tabs>
        <w:spacing w:line="360" w:lineRule="auto"/>
        <w:ind w:firstLine="482"/>
        <w:rPr>
          <w:rFonts w:ascii="Times New Roman" w:hAnsi="Times New Roman"/>
          <w:b/>
        </w:rPr>
      </w:pPr>
      <w:bookmarkStart w:id="66" w:name="bookmark22"/>
      <w:bookmarkEnd w:id="66"/>
      <w:r>
        <w:rPr>
          <w:rFonts w:ascii="Times New Roman" w:hAnsi="Times New Roman"/>
          <w:b/>
          <w:sz w:val="24"/>
          <w:szCs w:val="24"/>
        </w:rPr>
        <w:t>3.</w:t>
      </w:r>
      <w:r>
        <w:rPr>
          <w:rFonts w:ascii="Times New Roman" w:hAnsi="Times New Roman" w:hint="eastAsia"/>
          <w:b/>
          <w:sz w:val="24"/>
          <w:szCs w:val="24"/>
          <w:lang w:val="en-US" w:eastAsia="zh-CN"/>
        </w:rPr>
        <w:t>5</w:t>
      </w:r>
      <w:r>
        <w:rPr>
          <w:rFonts w:ascii="Times New Roman" w:hAnsi="Times New Roman" w:hint="eastAsia"/>
          <w:b/>
          <w:sz w:val="24"/>
          <w:szCs w:val="24"/>
        </w:rPr>
        <w:t>数字收发单元技术指标</w:t>
      </w:r>
    </w:p>
    <w:p>
      <w:pPr>
        <w:tabs>
          <w:tab w:val="left" w:pos="2340"/>
        </w:tabs>
        <w:spacing w:line="360" w:lineRule="auto"/>
        <w:ind w:firstLine="480"/>
        <w:rPr>
          <w:rFonts w:ascii="Times New Roman" w:hAnsi="Times New Roman"/>
          <w:bCs/>
        </w:rPr>
      </w:pPr>
      <w:r>
        <w:rPr>
          <w:rFonts w:ascii="Times New Roman" w:hAnsi="Times New Roman" w:hint="eastAsia"/>
          <w:bCs/>
          <w:sz w:val="24"/>
          <w:szCs w:val="24"/>
        </w:rPr>
        <w:t>（</w:t>
      </w:r>
      <w:r>
        <w:rPr>
          <w:rFonts w:ascii="Times New Roman" w:hAnsi="Times New Roman"/>
          <w:bCs/>
          <w:sz w:val="24"/>
          <w:szCs w:val="24"/>
        </w:rPr>
        <w:t>1</w:t>
      </w:r>
      <w:r>
        <w:rPr>
          <w:rFonts w:ascii="Times New Roman" w:hAnsi="Times New Roman" w:hint="eastAsia"/>
          <w:bCs/>
          <w:sz w:val="24"/>
          <w:szCs w:val="24"/>
        </w:rPr>
        <w:t>）发射单元技术指标</w:t>
      </w:r>
    </w:p>
    <w:p>
      <w:pPr>
        <w:tabs>
          <w:tab w:val="left" w:pos="2340"/>
        </w:tabs>
        <w:spacing w:line="360" w:lineRule="auto"/>
        <w:ind w:firstLine="480"/>
        <w:rPr>
          <w:rFonts w:ascii="Times New Roman" w:hAnsi="Times New Roman"/>
          <w:bCs/>
        </w:rPr>
      </w:pPr>
      <w:r>
        <w:rPr>
          <w:rFonts w:ascii="Times New Roman" w:hAnsi="Times New Roman" w:hint="eastAsia"/>
          <w:bCs/>
          <w:sz w:val="24"/>
          <w:szCs w:val="24"/>
        </w:rPr>
        <w:t>主要包括：</w:t>
      </w:r>
      <w:r>
        <w:rPr>
          <w:rFonts w:ascii="Times New Roman" w:hAnsi="Times New Roman"/>
          <w:bCs/>
          <w:sz w:val="24"/>
          <w:szCs w:val="24"/>
        </w:rPr>
        <w:t>EIRP</w:t>
      </w:r>
      <w:r>
        <w:rPr>
          <w:rFonts w:ascii="Times New Roman" w:hAnsi="Times New Roman" w:hint="eastAsia"/>
          <w:bCs/>
          <w:sz w:val="24"/>
          <w:szCs w:val="24"/>
        </w:rPr>
        <w:t>、脉冲峰值总功率、脉冲宽度、重复频率、改善因子、频谱特性等，具体指标见表</w:t>
      </w:r>
      <w:r>
        <w:rPr>
          <w:rFonts w:ascii="Times New Roman" w:hAnsi="Times New Roman" w:hint="eastAsia"/>
          <w:bCs/>
          <w:sz w:val="24"/>
          <w:szCs w:val="24"/>
          <w:lang w:val="en-US" w:eastAsia="zh-CN"/>
        </w:rPr>
        <w:t>5</w:t>
      </w:r>
      <w:r>
        <w:rPr>
          <w:rFonts w:ascii="Times New Roman" w:hAnsi="Times New Roman" w:hint="eastAsia"/>
          <w:bCs/>
          <w:sz w:val="24"/>
          <w:szCs w:val="24"/>
        </w:rPr>
        <w:t>。</w:t>
      </w:r>
    </w:p>
    <w:p>
      <w:pPr>
        <w:widowControl/>
        <w:kinsoku w:val="0"/>
        <w:autoSpaceDE w:val="0"/>
        <w:autoSpaceDN w:val="0"/>
        <w:adjustRightInd w:val="0"/>
        <w:snapToGrid w:val="0"/>
        <w:spacing w:line="360" w:lineRule="auto"/>
        <w:jc w:val="center"/>
        <w:textAlignment w:val="baseline"/>
        <w:rPr>
          <w:rFonts w:ascii="Times New Roman" w:hAnsi="Times New Roman"/>
          <w:b/>
          <w:bCs/>
        </w:rPr>
      </w:pPr>
      <w:r>
        <w:rPr>
          <w:rFonts w:ascii="Times New Roman" w:hAnsi="Times New Roman" w:hint="eastAsia"/>
          <w:b/>
          <w:bCs/>
          <w:spacing w:val="-4"/>
          <w:sz w:val="24"/>
          <w:szCs w:val="24"/>
        </w:rPr>
        <w:t>表</w:t>
      </w:r>
      <w:r>
        <w:rPr>
          <w:rFonts w:ascii="Times New Roman" w:hAnsi="Times New Roman" w:hint="eastAsia"/>
          <w:b/>
          <w:bCs/>
          <w:spacing w:val="-4"/>
          <w:sz w:val="24"/>
          <w:szCs w:val="24"/>
          <w:lang w:val="en-US" w:eastAsia="zh-CN"/>
        </w:rPr>
        <w:t xml:space="preserve">5 </w:t>
      </w:r>
      <w:r>
        <w:rPr>
          <w:rFonts w:ascii="Times New Roman" w:hAnsi="Times New Roman" w:hint="eastAsia"/>
          <w:b/>
          <w:bCs/>
          <w:spacing w:val="-4"/>
          <w:sz w:val="24"/>
          <w:szCs w:val="24"/>
        </w:rPr>
        <w:t>发射单元技术性能指标表</w:t>
      </w:r>
    </w:p>
    <w:tbl>
      <w:tblPr>
        <w:tblStyle w:val="TableNormal0"/>
        <w:tblW w:w="5014"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
      <w:tblGrid>
        <w:gridCol w:w="2002"/>
        <w:gridCol w:w="2073"/>
        <w:gridCol w:w="4260"/>
      </w:tblGrid>
      <w:tr>
        <w:tblPrEx>
          <w:tblW w:w="5014"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Ex>
        <w:trPr>
          <w:trHeight w:val="520"/>
        </w:trPr>
        <w:tc>
          <w:tcPr>
            <w:tcW w:w="2444" w:type="pct"/>
            <w:gridSpan w:val="2"/>
            <w:tcBorders>
              <w:bottom w:val="nil"/>
            </w:tcBorders>
            <w:vAlign w:val="center"/>
          </w:tcPr>
          <w:p>
            <w:pPr>
              <w:pStyle w:val="TableText"/>
              <w:widowControl/>
              <w:kinsoku w:val="0"/>
              <w:autoSpaceDE w:val="0"/>
              <w:autoSpaceDN w:val="0"/>
              <w:adjustRightInd w:val="0"/>
              <w:snapToGrid w:val="0"/>
              <w:spacing w:line="360" w:lineRule="auto"/>
              <w:ind w:left="105" w:firstLine="0" w:leftChars="50" w:firstLineChars="0"/>
              <w:jc w:val="center"/>
              <w:textAlignment w:val="baseline"/>
              <w:rPr>
                <w:rFonts w:ascii="Times New Roman" w:hAnsi="Times New Roman" w:cs="Times New Roman"/>
                <w:b/>
                <w:bCs/>
                <w:spacing w:val="-9"/>
              </w:rPr>
            </w:pPr>
            <w:r>
              <w:rPr>
                <w:rFonts w:ascii="Times New Roman" w:hAnsi="Times New Roman" w:cs="Times New Roman" w:hint="eastAsia"/>
                <w:b/>
                <w:bCs/>
                <w:spacing w:val="-9"/>
              </w:rPr>
              <w:t>项目</w:t>
            </w:r>
          </w:p>
        </w:tc>
        <w:tc>
          <w:tcPr>
            <w:tcW w:w="2555" w:type="pct"/>
            <w:vAlign w:val="center"/>
          </w:tcPr>
          <w:p>
            <w:pPr>
              <w:pStyle w:val="TableText"/>
              <w:widowControl/>
              <w:kinsoku w:val="0"/>
              <w:autoSpaceDE w:val="0"/>
              <w:autoSpaceDN w:val="0"/>
              <w:adjustRightInd w:val="0"/>
              <w:snapToGrid w:val="0"/>
              <w:spacing w:line="360" w:lineRule="auto"/>
              <w:ind w:left="105" w:firstLine="0" w:leftChars="50" w:firstLineChars="0"/>
              <w:jc w:val="center"/>
              <w:textAlignment w:val="baseline"/>
              <w:rPr>
                <w:rFonts w:ascii="Times New Roman" w:hAnsi="Times New Roman" w:cs="Times New Roman"/>
                <w:b/>
                <w:bCs/>
                <w:spacing w:val="-9"/>
              </w:rPr>
            </w:pPr>
            <w:r>
              <w:rPr>
                <w:rFonts w:ascii="Times New Roman" w:hAnsi="Times New Roman" w:cs="Times New Roman" w:hint="eastAsia"/>
                <w:b/>
                <w:bCs/>
                <w:spacing w:val="-9"/>
              </w:rPr>
              <w:t>性能指标</w:t>
            </w:r>
          </w:p>
        </w:tc>
      </w:tr>
      <w:tr>
        <w:tblPrEx>
          <w:tblW w:w="5014" w:type="pct"/>
          <w:tblInd w:w="0" w:type="dxa"/>
          <w:tblCellMar>
            <w:top w:w="0" w:type="dxa"/>
            <w:left w:w="0" w:type="dxa"/>
            <w:bottom w:w="0" w:type="dxa"/>
            <w:right w:w="0" w:type="dxa"/>
          </w:tblCellMar>
        </w:tblPrEx>
        <w:trPr>
          <w:trHeight w:val="638"/>
        </w:trPr>
        <w:tc>
          <w:tcPr>
            <w:tcW w:w="2444" w:type="pct"/>
            <w:gridSpan w:val="2"/>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发射通道形式</w:t>
            </w:r>
          </w:p>
        </w:tc>
        <w:tc>
          <w:tcPr>
            <w:tcW w:w="2555"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全固态分布式</w:t>
            </w:r>
          </w:p>
        </w:tc>
      </w:tr>
      <w:tr>
        <w:tblPrEx>
          <w:tblW w:w="5014" w:type="pct"/>
          <w:tblInd w:w="0" w:type="dxa"/>
          <w:tblCellMar>
            <w:top w:w="0" w:type="dxa"/>
            <w:left w:w="0" w:type="dxa"/>
            <w:bottom w:w="0" w:type="dxa"/>
            <w:right w:w="0" w:type="dxa"/>
          </w:tblCellMar>
        </w:tblPrEx>
        <w:trPr>
          <w:trHeight w:val="638"/>
        </w:trPr>
        <w:tc>
          <w:tcPr>
            <w:tcW w:w="2444" w:type="pct"/>
            <w:gridSpan w:val="2"/>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highlight w:val="yellow"/>
              </w:rPr>
              <w:t>#</w:t>
            </w:r>
            <w:r>
              <w:rPr>
                <w:rFonts w:ascii="Times New Roman" w:hAnsi="Times New Roman" w:hint="eastAsia"/>
                <w:sz w:val="24"/>
                <w:szCs w:val="24"/>
              </w:rPr>
              <w:t>脉冲峰值功率（单极化）</w:t>
            </w:r>
          </w:p>
        </w:tc>
        <w:tc>
          <w:tcPr>
            <w:tcW w:w="2555"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1000W</w:t>
            </w:r>
          </w:p>
        </w:tc>
      </w:tr>
      <w:tr>
        <w:tblPrEx>
          <w:tblW w:w="5014" w:type="pct"/>
          <w:tblInd w:w="0" w:type="dxa"/>
          <w:tblCellMar>
            <w:top w:w="0" w:type="dxa"/>
            <w:left w:w="0" w:type="dxa"/>
            <w:bottom w:w="0" w:type="dxa"/>
            <w:right w:w="0" w:type="dxa"/>
          </w:tblCellMar>
        </w:tblPrEx>
        <w:trPr>
          <w:trHeight w:val="405"/>
        </w:trPr>
        <w:tc>
          <w:tcPr>
            <w:tcW w:w="2444" w:type="pct"/>
            <w:gridSpan w:val="2"/>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highlight w:val="yellow"/>
              </w:rPr>
              <w:t>#</w:t>
            </w:r>
            <w:r>
              <w:rPr>
                <w:rFonts w:ascii="Times New Roman" w:hAnsi="Times New Roman"/>
                <w:sz w:val="24"/>
                <w:szCs w:val="24"/>
              </w:rPr>
              <w:t>EIRP</w:t>
            </w:r>
            <w:r>
              <w:rPr>
                <w:rFonts w:ascii="Times New Roman" w:hAnsi="Times New Roman" w:hint="eastAsia"/>
                <w:sz w:val="24"/>
                <w:szCs w:val="24"/>
              </w:rPr>
              <w:t>（法向、单极化）</w:t>
            </w:r>
          </w:p>
        </w:tc>
        <w:tc>
          <w:tcPr>
            <w:tcW w:w="2555"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96.5dBm</w:t>
            </w:r>
          </w:p>
        </w:tc>
      </w:tr>
      <w:tr>
        <w:tblPrEx>
          <w:tblW w:w="5014" w:type="pct"/>
          <w:tblInd w:w="0" w:type="dxa"/>
          <w:tblCellMar>
            <w:top w:w="0" w:type="dxa"/>
            <w:left w:w="0" w:type="dxa"/>
            <w:bottom w:w="0" w:type="dxa"/>
            <w:right w:w="0" w:type="dxa"/>
          </w:tblCellMar>
        </w:tblPrEx>
        <w:trPr>
          <w:trHeight w:val="405"/>
        </w:trPr>
        <w:tc>
          <w:tcPr>
            <w:tcW w:w="2444" w:type="pct"/>
            <w:gridSpan w:val="2"/>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highlight w:val="yellow"/>
              </w:rPr>
              <w:t>#</w:t>
            </w:r>
            <w:r>
              <w:rPr>
                <w:rFonts w:ascii="Times New Roman" w:hAnsi="Times New Roman"/>
                <w:sz w:val="24"/>
                <w:szCs w:val="24"/>
              </w:rPr>
              <w:t>EIRP(±20°</w:t>
            </w:r>
            <w:r>
              <w:rPr>
                <w:rFonts w:ascii="Times New Roman" w:hAnsi="Times New Roman" w:hint="eastAsia"/>
                <w:sz w:val="24"/>
                <w:szCs w:val="24"/>
              </w:rPr>
              <w:t>、单极化</w:t>
            </w:r>
            <w:r>
              <w:rPr>
                <w:rFonts w:ascii="Times New Roman" w:hAnsi="Times New Roman"/>
                <w:sz w:val="24"/>
                <w:szCs w:val="24"/>
              </w:rPr>
              <w:t>)</w:t>
            </w:r>
          </w:p>
        </w:tc>
        <w:tc>
          <w:tcPr>
            <w:tcW w:w="2555"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95.5dBm</w:t>
            </w:r>
          </w:p>
        </w:tc>
      </w:tr>
      <w:tr>
        <w:tblPrEx>
          <w:tblW w:w="5014" w:type="pct"/>
          <w:tblInd w:w="0" w:type="dxa"/>
          <w:tblCellMar>
            <w:top w:w="0" w:type="dxa"/>
            <w:left w:w="0" w:type="dxa"/>
            <w:bottom w:w="0" w:type="dxa"/>
            <w:right w:w="0" w:type="dxa"/>
          </w:tblCellMar>
        </w:tblPrEx>
        <w:trPr>
          <w:trHeight w:val="405"/>
        </w:trPr>
        <w:tc>
          <w:tcPr>
            <w:tcW w:w="2444" w:type="pct"/>
            <w:gridSpan w:val="2"/>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highlight w:val="yellow"/>
              </w:rPr>
              <w:t>#</w:t>
            </w:r>
            <w:r>
              <w:rPr>
                <w:rFonts w:ascii="Times New Roman" w:hAnsi="Times New Roman"/>
                <w:sz w:val="24"/>
                <w:szCs w:val="24"/>
              </w:rPr>
              <w:t>EIRP</w:t>
            </w:r>
            <w:r>
              <w:rPr>
                <w:rFonts w:ascii="Times New Roman" w:hAnsi="Times New Roman" w:hint="eastAsia"/>
                <w:sz w:val="24"/>
                <w:szCs w:val="24"/>
              </w:rPr>
              <w:t>（</w:t>
            </w:r>
            <w:r>
              <w:rPr>
                <w:rFonts w:ascii="Times New Roman" w:hAnsi="Times New Roman"/>
                <w:sz w:val="24"/>
                <w:szCs w:val="24"/>
              </w:rPr>
              <w:t>4</w:t>
            </w:r>
            <w:r>
              <w:rPr>
                <w:rFonts w:ascii="Times New Roman" w:hAnsi="Times New Roman" w:hint="eastAsia"/>
                <w:sz w:val="24"/>
                <w:szCs w:val="24"/>
              </w:rPr>
              <w:t>倍波束展宽、单极化）</w:t>
            </w:r>
          </w:p>
        </w:tc>
        <w:tc>
          <w:tcPr>
            <w:tcW w:w="2555"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88.5dBm</w:t>
            </w:r>
          </w:p>
        </w:tc>
      </w:tr>
      <w:tr>
        <w:tblPrEx>
          <w:tblW w:w="5014" w:type="pct"/>
          <w:tblInd w:w="0" w:type="dxa"/>
          <w:tblCellMar>
            <w:top w:w="0" w:type="dxa"/>
            <w:left w:w="0" w:type="dxa"/>
            <w:bottom w:w="0" w:type="dxa"/>
            <w:right w:w="0" w:type="dxa"/>
          </w:tblCellMar>
        </w:tblPrEx>
        <w:trPr>
          <w:trHeight w:val="405"/>
        </w:trPr>
        <w:tc>
          <w:tcPr>
            <w:tcW w:w="2444" w:type="pct"/>
            <w:gridSpan w:val="2"/>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highlight w:val="yellow"/>
              </w:rPr>
              <w:t>#</w:t>
            </w:r>
            <w:r>
              <w:rPr>
                <w:rFonts w:ascii="Times New Roman" w:hAnsi="Times New Roman"/>
                <w:sz w:val="24"/>
                <w:szCs w:val="24"/>
              </w:rPr>
              <w:t>EIRP</w:t>
            </w:r>
            <w:r>
              <w:rPr>
                <w:rFonts w:ascii="Times New Roman" w:hAnsi="Times New Roman" w:hint="eastAsia"/>
                <w:sz w:val="24"/>
                <w:szCs w:val="24"/>
              </w:rPr>
              <w:t>（</w:t>
            </w:r>
            <w:r>
              <w:rPr>
                <w:rFonts w:ascii="Times New Roman" w:hAnsi="Times New Roman"/>
                <w:sz w:val="24"/>
                <w:szCs w:val="24"/>
              </w:rPr>
              <w:t>8</w:t>
            </w:r>
            <w:r>
              <w:rPr>
                <w:rFonts w:ascii="Times New Roman" w:hAnsi="Times New Roman" w:hint="eastAsia"/>
                <w:sz w:val="24"/>
                <w:szCs w:val="24"/>
              </w:rPr>
              <w:t>倍波束展宽、单极化）</w:t>
            </w:r>
          </w:p>
        </w:tc>
        <w:tc>
          <w:tcPr>
            <w:tcW w:w="2555"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85.5dBm</w:t>
            </w:r>
          </w:p>
        </w:tc>
      </w:tr>
      <w:tr>
        <w:tblPrEx>
          <w:tblW w:w="5014" w:type="pct"/>
          <w:tblInd w:w="0" w:type="dxa"/>
          <w:tblCellMar>
            <w:top w:w="0" w:type="dxa"/>
            <w:left w:w="0" w:type="dxa"/>
            <w:bottom w:w="0" w:type="dxa"/>
            <w:right w:w="0" w:type="dxa"/>
          </w:tblCellMar>
        </w:tblPrEx>
        <w:trPr>
          <w:trHeight w:val="405"/>
        </w:trPr>
        <w:tc>
          <w:tcPr>
            <w:tcW w:w="2444" w:type="pct"/>
            <w:gridSpan w:val="2"/>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校准后</w:t>
            </w:r>
            <w:r>
              <w:rPr>
                <w:rFonts w:ascii="Times New Roman" w:hAnsi="Times New Roman"/>
                <w:sz w:val="24"/>
                <w:szCs w:val="24"/>
              </w:rPr>
              <w:t>EIRP</w:t>
            </w:r>
            <w:r>
              <w:rPr>
                <w:rFonts w:ascii="Times New Roman" w:hAnsi="Times New Roman" w:hint="eastAsia"/>
                <w:sz w:val="24"/>
                <w:szCs w:val="24"/>
              </w:rPr>
              <w:t>偏差</w:t>
            </w:r>
          </w:p>
        </w:tc>
        <w:tc>
          <w:tcPr>
            <w:tcW w:w="2555"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0.8dB</w:t>
            </w:r>
          </w:p>
        </w:tc>
      </w:tr>
      <w:tr>
        <w:tblPrEx>
          <w:tblW w:w="5014" w:type="pct"/>
          <w:tblInd w:w="0" w:type="dxa"/>
          <w:tblCellMar>
            <w:top w:w="0" w:type="dxa"/>
            <w:left w:w="0" w:type="dxa"/>
            <w:bottom w:w="0" w:type="dxa"/>
            <w:right w:w="0" w:type="dxa"/>
          </w:tblCellMar>
        </w:tblPrEx>
        <w:trPr>
          <w:trHeight w:val="405"/>
        </w:trPr>
        <w:tc>
          <w:tcPr>
            <w:tcW w:w="2444" w:type="pct"/>
            <w:gridSpan w:val="2"/>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highlight w:val="yellow"/>
              </w:rPr>
              <w:t>#</w:t>
            </w:r>
            <w:r>
              <w:rPr>
                <w:rFonts w:ascii="Times New Roman" w:hAnsi="Times New Roman" w:hint="eastAsia"/>
                <w:sz w:val="24"/>
                <w:szCs w:val="24"/>
              </w:rPr>
              <w:t>最大发射占空比</w:t>
            </w:r>
          </w:p>
        </w:tc>
        <w:tc>
          <w:tcPr>
            <w:tcW w:w="2555"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20%</w:t>
            </w:r>
          </w:p>
        </w:tc>
      </w:tr>
      <w:tr>
        <w:tblPrEx>
          <w:tblW w:w="5014" w:type="pct"/>
          <w:tblInd w:w="0" w:type="dxa"/>
          <w:tblCellMar>
            <w:top w:w="0" w:type="dxa"/>
            <w:left w:w="0" w:type="dxa"/>
            <w:bottom w:w="0" w:type="dxa"/>
            <w:right w:w="0" w:type="dxa"/>
          </w:tblCellMar>
        </w:tblPrEx>
        <w:trPr>
          <w:trHeight w:val="2404"/>
        </w:trPr>
        <w:tc>
          <w:tcPr>
            <w:tcW w:w="2444" w:type="pct"/>
            <w:gridSpan w:val="2"/>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highlight w:val="yellow"/>
              </w:rPr>
              <w:t>#</w:t>
            </w:r>
            <w:r>
              <w:rPr>
                <w:rFonts w:ascii="Times New Roman" w:hAnsi="Times New Roman" w:hint="eastAsia"/>
                <w:sz w:val="24"/>
                <w:szCs w:val="24"/>
              </w:rPr>
              <w:t>发射脉冲宽度</w:t>
            </w:r>
          </w:p>
        </w:tc>
        <w:tc>
          <w:tcPr>
            <w:tcW w:w="2555"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sz w:val="24"/>
                <w:szCs w:val="24"/>
              </w:rPr>
              <w:t>0.2</w:t>
            </w:r>
            <w:r>
              <w:rPr>
                <w:rFonts w:ascii="Times New Roman" w:hAnsi="Times New Roman" w:hint="eastAsia"/>
                <w:sz w:val="24"/>
                <w:szCs w:val="24"/>
              </w:rPr>
              <w:t>～</w:t>
            </w:r>
            <w:r>
              <w:rPr>
                <w:rFonts w:ascii="Times New Roman" w:hAnsi="Times New Roman"/>
                <w:sz w:val="24"/>
                <w:szCs w:val="24"/>
              </w:rPr>
              <w:t>200μs</w:t>
            </w:r>
            <w:r>
              <w:rPr>
                <w:rFonts w:ascii="Times New Roman" w:hAnsi="Times New Roman" w:hint="eastAsia"/>
                <w:sz w:val="24"/>
                <w:szCs w:val="24"/>
              </w:rPr>
              <w:t>可选，典型脉冲宽度包括</w:t>
            </w:r>
            <w:r>
              <w:rPr>
                <w:rFonts w:ascii="Times New Roman" w:hAnsi="Times New Roman"/>
                <w:sz w:val="24"/>
                <w:szCs w:val="24"/>
              </w:rPr>
              <w:t>0.5μs</w:t>
            </w:r>
            <w:r>
              <w:rPr>
                <w:rFonts w:ascii="Times New Roman" w:hAnsi="Times New Roman" w:hint="eastAsia"/>
                <w:sz w:val="24"/>
                <w:szCs w:val="24"/>
              </w:rPr>
              <w:t>、</w:t>
            </w:r>
          </w:p>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sz w:val="24"/>
                <w:szCs w:val="24"/>
              </w:rPr>
              <w:t>1.0μs</w:t>
            </w:r>
            <w:r>
              <w:rPr>
                <w:rFonts w:ascii="Times New Roman" w:hAnsi="Times New Roman" w:hint="eastAsia"/>
                <w:sz w:val="24"/>
                <w:szCs w:val="24"/>
              </w:rPr>
              <w:t>、</w:t>
            </w:r>
            <w:r>
              <w:rPr>
                <w:rFonts w:ascii="Times New Roman" w:hAnsi="Times New Roman"/>
                <w:sz w:val="24"/>
                <w:szCs w:val="24"/>
              </w:rPr>
              <w:t>2.0μs</w:t>
            </w:r>
            <w:r>
              <w:rPr>
                <w:rFonts w:ascii="Times New Roman" w:hAnsi="Times New Roman" w:hint="eastAsia"/>
                <w:sz w:val="24"/>
                <w:szCs w:val="24"/>
              </w:rPr>
              <w:t>、</w:t>
            </w:r>
            <w:r>
              <w:rPr>
                <w:rFonts w:ascii="Times New Roman" w:hAnsi="Times New Roman"/>
                <w:sz w:val="24"/>
                <w:szCs w:val="24"/>
              </w:rPr>
              <w:t>10μs</w:t>
            </w:r>
            <w:r>
              <w:rPr>
                <w:rFonts w:ascii="Times New Roman" w:hAnsi="Times New Roman" w:hint="eastAsia"/>
                <w:sz w:val="24"/>
                <w:szCs w:val="24"/>
              </w:rPr>
              <w:t>、</w:t>
            </w:r>
            <w:r>
              <w:rPr>
                <w:rFonts w:ascii="Times New Roman" w:hAnsi="Times New Roman"/>
                <w:sz w:val="24"/>
                <w:szCs w:val="24"/>
              </w:rPr>
              <w:t>20μs</w:t>
            </w:r>
            <w:r>
              <w:rPr>
                <w:rFonts w:ascii="Times New Roman" w:hAnsi="Times New Roman" w:hint="eastAsia"/>
                <w:sz w:val="24"/>
                <w:szCs w:val="24"/>
              </w:rPr>
              <w:t>、</w:t>
            </w:r>
            <w:r>
              <w:rPr>
                <w:rFonts w:ascii="Times New Roman" w:hAnsi="Times New Roman"/>
                <w:sz w:val="24"/>
                <w:szCs w:val="24"/>
              </w:rPr>
              <w:t>40μs</w:t>
            </w:r>
            <w:r>
              <w:rPr>
                <w:rFonts w:ascii="Times New Roman" w:hAnsi="Times New Roman" w:hint="eastAsia"/>
                <w:sz w:val="24"/>
                <w:szCs w:val="24"/>
              </w:rPr>
              <w:t>、</w:t>
            </w:r>
            <w:r>
              <w:rPr>
                <w:rFonts w:ascii="Times New Roman" w:hAnsi="Times New Roman"/>
                <w:sz w:val="24"/>
                <w:szCs w:val="24"/>
              </w:rPr>
              <w:t>80μs</w:t>
            </w:r>
            <w:r>
              <w:rPr>
                <w:rFonts w:ascii="Times New Roman" w:hAnsi="Times New Roman" w:hint="eastAsia"/>
                <w:sz w:val="24"/>
                <w:szCs w:val="24"/>
              </w:rPr>
              <w:t>等。</w:t>
            </w:r>
          </w:p>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脉冲宽度≥</w:t>
            </w:r>
            <w:r>
              <w:rPr>
                <w:rFonts w:ascii="Times New Roman" w:hAnsi="Times New Roman"/>
                <w:sz w:val="24"/>
                <w:szCs w:val="24"/>
              </w:rPr>
              <w:t>0.5μs</w:t>
            </w:r>
            <w:r>
              <w:rPr>
                <w:rFonts w:ascii="Times New Roman" w:hAnsi="Times New Roman" w:hint="eastAsia"/>
                <w:sz w:val="24"/>
                <w:szCs w:val="24"/>
              </w:rPr>
              <w:t>时，上升沿：≤</w:t>
            </w:r>
            <w:r>
              <w:rPr>
                <w:rFonts w:ascii="Times New Roman" w:hAnsi="Times New Roman"/>
                <w:sz w:val="24"/>
                <w:szCs w:val="24"/>
              </w:rPr>
              <w:t>200ns</w:t>
            </w:r>
            <w:r>
              <w:rPr>
                <w:rFonts w:ascii="Times New Roman" w:hAnsi="Times New Roman" w:hint="eastAsia"/>
                <w:sz w:val="24"/>
                <w:szCs w:val="24"/>
              </w:rPr>
              <w:t>，下降沿：≤</w:t>
            </w:r>
            <w:r>
              <w:rPr>
                <w:rFonts w:ascii="Times New Roman" w:hAnsi="Times New Roman"/>
                <w:sz w:val="24"/>
                <w:szCs w:val="24"/>
              </w:rPr>
              <w:t>200ns</w:t>
            </w:r>
            <w:r>
              <w:rPr>
                <w:rFonts w:ascii="Times New Roman" w:hAnsi="Times New Roman" w:hint="eastAsia"/>
                <w:sz w:val="24"/>
                <w:szCs w:val="24"/>
              </w:rPr>
              <w:t>。</w:t>
            </w:r>
          </w:p>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脉冲宽度≥</w:t>
            </w:r>
            <w:r>
              <w:rPr>
                <w:rFonts w:ascii="Times New Roman" w:hAnsi="Times New Roman"/>
                <w:sz w:val="24"/>
                <w:szCs w:val="24"/>
              </w:rPr>
              <w:t>1.0μs</w:t>
            </w:r>
            <w:r>
              <w:rPr>
                <w:rFonts w:ascii="Times New Roman" w:hAnsi="Times New Roman" w:hint="eastAsia"/>
                <w:sz w:val="24"/>
                <w:szCs w:val="24"/>
              </w:rPr>
              <w:t>时，顶降：≤</w:t>
            </w:r>
            <w:r>
              <w:rPr>
                <w:rFonts w:ascii="Times New Roman" w:hAnsi="Times New Roman"/>
                <w:sz w:val="24"/>
                <w:szCs w:val="24"/>
              </w:rPr>
              <w:t>5%</w:t>
            </w:r>
            <w:r>
              <w:rPr>
                <w:rFonts w:ascii="Times New Roman" w:hAnsi="Times New Roman" w:hint="eastAsia"/>
                <w:sz w:val="24"/>
                <w:szCs w:val="24"/>
              </w:rPr>
              <w:t>。</w:t>
            </w:r>
          </w:p>
        </w:tc>
      </w:tr>
      <w:tr>
        <w:tblPrEx>
          <w:tblW w:w="5014" w:type="pct"/>
          <w:tblInd w:w="0" w:type="dxa"/>
          <w:tblCellMar>
            <w:top w:w="0" w:type="dxa"/>
            <w:left w:w="0" w:type="dxa"/>
            <w:bottom w:w="0" w:type="dxa"/>
            <w:right w:w="0" w:type="dxa"/>
          </w:tblCellMar>
        </w:tblPrEx>
        <w:trPr>
          <w:trHeight w:val="405"/>
        </w:trPr>
        <w:tc>
          <w:tcPr>
            <w:tcW w:w="2444" w:type="pct"/>
            <w:gridSpan w:val="2"/>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脉冲重复频率</w:t>
            </w:r>
          </w:p>
        </w:tc>
        <w:tc>
          <w:tcPr>
            <w:tcW w:w="2555"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sz w:val="24"/>
                <w:szCs w:val="24"/>
              </w:rPr>
              <w:t>300</w:t>
            </w:r>
            <w:r>
              <w:rPr>
                <w:rFonts w:ascii="Times New Roman" w:hAnsi="Times New Roman" w:hint="eastAsia"/>
                <w:sz w:val="24"/>
                <w:szCs w:val="24"/>
              </w:rPr>
              <w:t>～</w:t>
            </w:r>
            <w:r>
              <w:rPr>
                <w:rFonts w:ascii="Times New Roman" w:hAnsi="Times New Roman"/>
                <w:sz w:val="24"/>
                <w:szCs w:val="24"/>
              </w:rPr>
              <w:t>5000Hz</w:t>
            </w:r>
          </w:p>
        </w:tc>
      </w:tr>
      <w:tr>
        <w:tblPrEx>
          <w:tblW w:w="5014" w:type="pct"/>
          <w:tblInd w:w="0" w:type="dxa"/>
          <w:tblCellMar>
            <w:top w:w="0" w:type="dxa"/>
            <w:left w:w="0" w:type="dxa"/>
            <w:bottom w:w="0" w:type="dxa"/>
            <w:right w:w="0" w:type="dxa"/>
          </w:tblCellMar>
        </w:tblPrEx>
        <w:trPr>
          <w:trHeight w:val="804"/>
        </w:trPr>
        <w:tc>
          <w:tcPr>
            <w:tcW w:w="2444" w:type="pct"/>
            <w:gridSpan w:val="2"/>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highlight w:val="yellow"/>
              </w:rPr>
              <w:t>#</w:t>
            </w:r>
            <w:r>
              <w:rPr>
                <w:rFonts w:ascii="Times New Roman" w:hAnsi="Times New Roman" w:hint="eastAsia"/>
                <w:sz w:val="24"/>
                <w:szCs w:val="24"/>
              </w:rPr>
              <w:t>输出端极限改善因子</w:t>
            </w:r>
          </w:p>
        </w:tc>
        <w:tc>
          <w:tcPr>
            <w:tcW w:w="2555"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52dB</w:t>
            </w:r>
            <w:r>
              <w:rPr>
                <w:rFonts w:ascii="Times New Roman" w:hAnsi="Times New Roman" w:hint="eastAsia"/>
                <w:sz w:val="24"/>
                <w:szCs w:val="24"/>
              </w:rPr>
              <w:t>（重复频率</w:t>
            </w:r>
            <w:r>
              <w:rPr>
                <w:rFonts w:ascii="Times New Roman" w:hAnsi="Times New Roman"/>
                <w:sz w:val="24"/>
                <w:szCs w:val="24"/>
              </w:rPr>
              <w:t>1000Hz</w:t>
            </w:r>
            <w:r>
              <w:rPr>
                <w:rFonts w:ascii="Times New Roman" w:hAnsi="Times New Roman" w:hint="eastAsia"/>
                <w:sz w:val="24"/>
                <w:szCs w:val="24"/>
              </w:rPr>
              <w:t>、脉冲宽度</w:t>
            </w:r>
            <w:r>
              <w:rPr>
                <w:rFonts w:ascii="Times New Roman" w:hAnsi="Times New Roman"/>
                <w:sz w:val="24"/>
                <w:szCs w:val="24"/>
              </w:rPr>
              <w:t>1μs</w:t>
            </w:r>
            <w:r>
              <w:rPr>
                <w:rFonts w:ascii="Times New Roman" w:hAnsi="Times New Roman" w:hint="eastAsia"/>
                <w:sz w:val="24"/>
                <w:szCs w:val="24"/>
              </w:rPr>
              <w:t>、带宽</w:t>
            </w:r>
            <w:r>
              <w:rPr>
                <w:rFonts w:ascii="Times New Roman" w:hAnsi="Times New Roman"/>
                <w:sz w:val="24"/>
                <w:szCs w:val="24"/>
              </w:rPr>
              <w:t>1MHz</w:t>
            </w:r>
            <w:r>
              <w:rPr>
                <w:rFonts w:ascii="Times New Roman" w:hAnsi="Times New Roman" w:hint="eastAsia"/>
                <w:sz w:val="24"/>
                <w:szCs w:val="24"/>
              </w:rPr>
              <w:t>）</w:t>
            </w:r>
          </w:p>
        </w:tc>
      </w:tr>
      <w:tr>
        <w:tblPrEx>
          <w:tblW w:w="5014" w:type="pct"/>
          <w:tblInd w:w="0" w:type="dxa"/>
          <w:tblCellMar>
            <w:top w:w="0" w:type="dxa"/>
            <w:left w:w="0" w:type="dxa"/>
            <w:bottom w:w="0" w:type="dxa"/>
            <w:right w:w="0" w:type="dxa"/>
          </w:tblCellMar>
        </w:tblPrEx>
        <w:trPr>
          <w:trHeight w:val="577"/>
        </w:trPr>
        <w:tc>
          <w:tcPr>
            <w:tcW w:w="1201" w:type="pct"/>
            <w:vMerge w:val="restart"/>
            <w:tcBorders>
              <w:bottom w:val="nil"/>
            </w:tcBorders>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highlight w:val="yellow"/>
              </w:rPr>
              <w:t>#</w:t>
            </w:r>
            <w:r>
              <w:rPr>
                <w:rFonts w:ascii="Times New Roman" w:hAnsi="Times New Roman" w:hint="eastAsia"/>
                <w:sz w:val="24"/>
                <w:szCs w:val="24"/>
              </w:rPr>
              <w:t>频谱特性（距中心频率频谱线衰减量</w:t>
            </w:r>
            <w:r>
              <w:rPr>
                <w:rFonts w:ascii="Times New Roman" w:hAnsi="Times New Roman"/>
                <w:sz w:val="24"/>
                <w:szCs w:val="24"/>
              </w:rPr>
              <w:t>-40dB</w:t>
            </w:r>
            <w:r>
              <w:rPr>
                <w:rFonts w:ascii="Times New Roman" w:hAnsi="Times New Roman" w:hint="eastAsia"/>
                <w:sz w:val="24"/>
                <w:szCs w:val="24"/>
              </w:rPr>
              <w:t>处）</w:t>
            </w:r>
          </w:p>
        </w:tc>
        <w:tc>
          <w:tcPr>
            <w:tcW w:w="1243"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左频偏</w:t>
            </w:r>
          </w:p>
        </w:tc>
        <w:tc>
          <w:tcPr>
            <w:tcW w:w="2555"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-15MHz</w:t>
            </w:r>
            <w:r>
              <w:rPr>
                <w:rFonts w:ascii="Times New Roman" w:hAnsi="Times New Roman" w:hint="eastAsia"/>
                <w:sz w:val="24"/>
                <w:szCs w:val="24"/>
              </w:rPr>
              <w:t>（脉宽</w:t>
            </w:r>
            <w:r>
              <w:rPr>
                <w:rFonts w:ascii="Times New Roman" w:hAnsi="Times New Roman"/>
                <w:sz w:val="24"/>
                <w:szCs w:val="24"/>
              </w:rPr>
              <w:t>1μs</w:t>
            </w:r>
            <w:r>
              <w:rPr>
                <w:rFonts w:ascii="Times New Roman" w:hAnsi="Times New Roman" w:hint="eastAsia"/>
                <w:sz w:val="24"/>
                <w:szCs w:val="24"/>
              </w:rPr>
              <w:t>，带宽</w:t>
            </w:r>
            <w:r>
              <w:rPr>
                <w:rFonts w:ascii="Times New Roman" w:hAnsi="Times New Roman"/>
                <w:sz w:val="24"/>
                <w:szCs w:val="24"/>
              </w:rPr>
              <w:t>1MHz</w:t>
            </w:r>
            <w:r>
              <w:rPr>
                <w:rFonts w:ascii="Times New Roman" w:hAnsi="Times New Roman" w:hint="eastAsia"/>
                <w:sz w:val="24"/>
                <w:szCs w:val="24"/>
              </w:rPr>
              <w:t>）</w:t>
            </w:r>
          </w:p>
        </w:tc>
      </w:tr>
      <w:tr>
        <w:tblPrEx>
          <w:tblW w:w="5014" w:type="pct"/>
          <w:tblInd w:w="0" w:type="dxa"/>
          <w:tblCellMar>
            <w:top w:w="0" w:type="dxa"/>
            <w:left w:w="0" w:type="dxa"/>
            <w:bottom w:w="0" w:type="dxa"/>
            <w:right w:w="0" w:type="dxa"/>
          </w:tblCellMar>
        </w:tblPrEx>
        <w:trPr>
          <w:trHeight w:val="90"/>
        </w:trPr>
        <w:tc>
          <w:tcPr>
            <w:tcW w:w="1201" w:type="pct"/>
            <w:vMerge/>
            <w:tcBorders>
              <w:top w:val="nil"/>
            </w:tcBorders>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p>
        </w:tc>
        <w:tc>
          <w:tcPr>
            <w:tcW w:w="1243"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右频偏</w:t>
            </w:r>
          </w:p>
        </w:tc>
        <w:tc>
          <w:tcPr>
            <w:tcW w:w="2555"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15MHz</w:t>
            </w:r>
            <w:r>
              <w:rPr>
                <w:rFonts w:ascii="Times New Roman" w:hAnsi="Times New Roman" w:hint="eastAsia"/>
                <w:sz w:val="24"/>
                <w:szCs w:val="24"/>
              </w:rPr>
              <w:t>（脉宽</w:t>
            </w:r>
            <w:r>
              <w:rPr>
                <w:rFonts w:ascii="Times New Roman" w:hAnsi="Times New Roman"/>
                <w:sz w:val="24"/>
                <w:szCs w:val="24"/>
              </w:rPr>
              <w:t>1μs</w:t>
            </w:r>
            <w:r>
              <w:rPr>
                <w:rFonts w:ascii="Times New Roman" w:hAnsi="Times New Roman" w:hint="eastAsia"/>
                <w:sz w:val="24"/>
                <w:szCs w:val="24"/>
              </w:rPr>
              <w:t>，带宽</w:t>
            </w:r>
            <w:r>
              <w:rPr>
                <w:rFonts w:ascii="Times New Roman" w:hAnsi="Times New Roman"/>
                <w:sz w:val="24"/>
                <w:szCs w:val="24"/>
              </w:rPr>
              <w:t>1MHz</w:t>
            </w:r>
            <w:r>
              <w:rPr>
                <w:rFonts w:ascii="Times New Roman" w:hAnsi="Times New Roman" w:hint="eastAsia"/>
                <w:sz w:val="24"/>
                <w:szCs w:val="24"/>
              </w:rPr>
              <w:t>）</w:t>
            </w:r>
          </w:p>
        </w:tc>
      </w:tr>
      <w:tr>
        <w:tblPrEx>
          <w:tblW w:w="5014" w:type="pct"/>
          <w:tblInd w:w="0" w:type="dxa"/>
          <w:tblCellMar>
            <w:top w:w="0" w:type="dxa"/>
            <w:left w:w="0" w:type="dxa"/>
            <w:bottom w:w="0" w:type="dxa"/>
            <w:right w:w="0" w:type="dxa"/>
          </w:tblCellMar>
        </w:tblPrEx>
        <w:trPr>
          <w:trHeight w:val="408"/>
        </w:trPr>
        <w:tc>
          <w:tcPr>
            <w:tcW w:w="2444" w:type="pct"/>
            <w:gridSpan w:val="2"/>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谐波和杂散抑制</w:t>
            </w:r>
          </w:p>
        </w:tc>
        <w:tc>
          <w:tcPr>
            <w:tcW w:w="2555"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40dB</w:t>
            </w:r>
          </w:p>
        </w:tc>
      </w:tr>
      <w:tr>
        <w:tblPrEx>
          <w:tblW w:w="5014" w:type="pct"/>
          <w:tblInd w:w="0" w:type="dxa"/>
          <w:tblCellMar>
            <w:top w:w="0" w:type="dxa"/>
            <w:left w:w="0" w:type="dxa"/>
            <w:bottom w:w="0" w:type="dxa"/>
            <w:right w:w="0" w:type="dxa"/>
          </w:tblCellMar>
        </w:tblPrEx>
        <w:trPr>
          <w:trHeight w:val="798"/>
        </w:trPr>
        <w:tc>
          <w:tcPr>
            <w:tcW w:w="2444" w:type="pct"/>
            <w:gridSpan w:val="2"/>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故障检测和保护</w:t>
            </w:r>
          </w:p>
        </w:tc>
        <w:tc>
          <w:tcPr>
            <w:tcW w:w="2555"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发生过温，过压，过流等情况时可报警并实现自保，输出功率低时输出报警信号</w:t>
            </w:r>
          </w:p>
        </w:tc>
      </w:tr>
    </w:tbl>
    <w:p>
      <w:pPr>
        <w:tabs>
          <w:tab w:val="left" w:pos="2340"/>
        </w:tabs>
        <w:spacing w:line="360" w:lineRule="auto"/>
        <w:ind w:firstLine="480"/>
        <w:rPr>
          <w:rFonts w:ascii="Times New Roman" w:hAnsi="Times New Roman"/>
          <w:bCs/>
        </w:rPr>
      </w:pPr>
      <w:r>
        <w:rPr>
          <w:rFonts w:ascii="Times New Roman" w:hAnsi="Times New Roman" w:hint="eastAsia"/>
          <w:bCs/>
          <w:sz w:val="24"/>
          <w:szCs w:val="24"/>
        </w:rPr>
        <w:t>（</w:t>
      </w:r>
      <w:r>
        <w:rPr>
          <w:rFonts w:ascii="Times New Roman" w:hAnsi="Times New Roman"/>
          <w:bCs/>
          <w:sz w:val="24"/>
          <w:szCs w:val="24"/>
        </w:rPr>
        <w:t>2</w:t>
      </w:r>
      <w:r>
        <w:rPr>
          <w:rFonts w:ascii="Times New Roman" w:hAnsi="Times New Roman" w:hint="eastAsia"/>
          <w:bCs/>
          <w:sz w:val="24"/>
          <w:szCs w:val="24"/>
        </w:rPr>
        <w:t>）接收单元技术指标</w:t>
      </w:r>
    </w:p>
    <w:p>
      <w:pPr>
        <w:tabs>
          <w:tab w:val="left" w:pos="2340"/>
        </w:tabs>
        <w:spacing w:line="360" w:lineRule="auto"/>
        <w:ind w:firstLine="480"/>
        <w:rPr>
          <w:rFonts w:ascii="Times New Roman" w:hAnsi="Times New Roman"/>
          <w:bCs/>
        </w:rPr>
      </w:pPr>
      <w:r>
        <w:rPr>
          <w:rFonts w:ascii="Times New Roman" w:hAnsi="Times New Roman" w:hint="eastAsia"/>
          <w:bCs/>
          <w:sz w:val="24"/>
          <w:szCs w:val="24"/>
        </w:rPr>
        <w:t>主要包括：</w:t>
      </w:r>
      <w:r>
        <w:rPr>
          <w:rFonts w:ascii="Times New Roman" w:hAnsi="Times New Roman"/>
          <w:bCs/>
          <w:sz w:val="24"/>
          <w:szCs w:val="24"/>
        </w:rPr>
        <w:t>G/T</w:t>
      </w:r>
      <w:r>
        <w:rPr>
          <w:rFonts w:ascii="Times New Roman" w:hAnsi="Times New Roman" w:hint="eastAsia"/>
          <w:bCs/>
          <w:sz w:val="24"/>
          <w:szCs w:val="24"/>
        </w:rPr>
        <w:t>、动态范围、最小可测功率等，具体指标见表</w:t>
      </w:r>
      <w:r>
        <w:rPr>
          <w:rFonts w:ascii="Times New Roman" w:hAnsi="Times New Roman" w:hint="eastAsia"/>
          <w:bCs/>
          <w:sz w:val="24"/>
          <w:szCs w:val="24"/>
          <w:lang w:val="en-US" w:eastAsia="zh-CN"/>
        </w:rPr>
        <w:t>6</w:t>
      </w:r>
      <w:r>
        <w:rPr>
          <w:rFonts w:ascii="Times New Roman" w:hAnsi="Times New Roman" w:hint="eastAsia"/>
          <w:bCs/>
          <w:sz w:val="24"/>
          <w:szCs w:val="24"/>
        </w:rPr>
        <w:t>。</w:t>
      </w:r>
    </w:p>
    <w:p>
      <w:pPr>
        <w:widowControl/>
        <w:kinsoku w:val="0"/>
        <w:autoSpaceDE w:val="0"/>
        <w:autoSpaceDN w:val="0"/>
        <w:adjustRightInd w:val="0"/>
        <w:snapToGrid w:val="0"/>
        <w:spacing w:line="360" w:lineRule="auto"/>
        <w:jc w:val="center"/>
        <w:textAlignment w:val="baseline"/>
        <w:rPr>
          <w:rFonts w:ascii="Times New Roman" w:hAnsi="Times New Roman"/>
          <w:b/>
          <w:bCs/>
        </w:rPr>
      </w:pPr>
      <w:r>
        <w:rPr>
          <w:rFonts w:ascii="Times New Roman" w:hAnsi="Times New Roman" w:hint="eastAsia"/>
          <w:b/>
          <w:bCs/>
          <w:spacing w:val="-4"/>
          <w:sz w:val="24"/>
          <w:szCs w:val="24"/>
        </w:rPr>
        <w:t>表</w:t>
      </w:r>
      <w:r>
        <w:rPr>
          <w:rFonts w:ascii="Times New Roman" w:hAnsi="Times New Roman" w:hint="eastAsia"/>
          <w:b/>
          <w:bCs/>
          <w:spacing w:val="-4"/>
          <w:sz w:val="24"/>
          <w:szCs w:val="24"/>
          <w:lang w:val="en-US" w:eastAsia="zh-CN"/>
        </w:rPr>
        <w:t>6</w:t>
      </w:r>
      <w:r>
        <w:rPr>
          <w:rFonts w:ascii="Times New Roman" w:hAnsi="Times New Roman"/>
          <w:b/>
          <w:bCs/>
          <w:spacing w:val="-4"/>
          <w:sz w:val="24"/>
          <w:szCs w:val="24"/>
        </w:rPr>
        <w:t xml:space="preserve"> </w:t>
      </w:r>
      <w:r>
        <w:rPr>
          <w:rFonts w:ascii="Times New Roman" w:hAnsi="Times New Roman" w:hint="eastAsia"/>
          <w:b/>
          <w:bCs/>
          <w:spacing w:val="-4"/>
          <w:sz w:val="24"/>
          <w:szCs w:val="24"/>
        </w:rPr>
        <w:t>接收单元技术性能指标表</w:t>
      </w:r>
    </w:p>
    <w:tbl>
      <w:tblPr>
        <w:tblStyle w:val="TableNormal0"/>
        <w:tblW w:w="4999"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
      <w:tblGrid>
        <w:gridCol w:w="3466"/>
        <w:gridCol w:w="4844"/>
      </w:tblGrid>
      <w:tr>
        <w:tblPrEx>
          <w:tblW w:w="4999"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Ex>
        <w:trPr>
          <w:trHeight w:val="362"/>
        </w:trPr>
        <w:tc>
          <w:tcPr>
            <w:tcW w:w="2085" w:type="pct"/>
            <w:tcBorders>
              <w:bottom w:val="nil"/>
            </w:tcBorders>
          </w:tcPr>
          <w:p>
            <w:pPr>
              <w:pStyle w:val="TableText"/>
              <w:widowControl/>
              <w:kinsoku w:val="0"/>
              <w:autoSpaceDE w:val="0"/>
              <w:autoSpaceDN w:val="0"/>
              <w:adjustRightInd w:val="0"/>
              <w:snapToGrid w:val="0"/>
              <w:spacing w:line="360" w:lineRule="auto"/>
              <w:ind w:firstLine="0" w:firstLineChars="0"/>
              <w:jc w:val="center"/>
              <w:textAlignment w:val="baseline"/>
              <w:rPr>
                <w:rFonts w:ascii="Times New Roman" w:hAnsi="Times New Roman" w:cs="Times New Roman"/>
                <w:b/>
                <w:bCs/>
                <w:spacing w:val="-9"/>
              </w:rPr>
            </w:pPr>
            <w:r>
              <w:rPr>
                <w:rFonts w:ascii="Times New Roman" w:hAnsi="Times New Roman" w:cs="Times New Roman" w:hint="eastAsia"/>
                <w:b/>
                <w:bCs/>
                <w:spacing w:val="-9"/>
              </w:rPr>
              <w:t>项目</w:t>
            </w:r>
          </w:p>
        </w:tc>
        <w:tc>
          <w:tcPr>
            <w:tcW w:w="2914" w:type="pct"/>
          </w:tcPr>
          <w:p>
            <w:pPr>
              <w:pStyle w:val="TableText"/>
              <w:widowControl/>
              <w:kinsoku w:val="0"/>
              <w:autoSpaceDE w:val="0"/>
              <w:autoSpaceDN w:val="0"/>
              <w:adjustRightInd w:val="0"/>
              <w:snapToGrid w:val="0"/>
              <w:spacing w:line="360" w:lineRule="auto"/>
              <w:ind w:firstLine="0" w:firstLineChars="0"/>
              <w:jc w:val="center"/>
              <w:textAlignment w:val="baseline"/>
              <w:rPr>
                <w:rFonts w:ascii="Times New Roman" w:hAnsi="Times New Roman" w:cs="Times New Roman"/>
                <w:b/>
                <w:bCs/>
                <w:spacing w:val="-9"/>
              </w:rPr>
            </w:pPr>
            <w:r>
              <w:rPr>
                <w:rFonts w:ascii="Times New Roman" w:hAnsi="Times New Roman" w:cs="Times New Roman" w:hint="eastAsia"/>
                <w:b/>
                <w:bCs/>
                <w:spacing w:val="-9"/>
              </w:rPr>
              <w:t>性能指标</w:t>
            </w:r>
          </w:p>
        </w:tc>
      </w:tr>
      <w:tr>
        <w:tblPrEx>
          <w:tblW w:w="4999" w:type="pct"/>
          <w:tblInd w:w="0" w:type="dxa"/>
          <w:tblCellMar>
            <w:top w:w="0" w:type="dxa"/>
            <w:left w:w="0" w:type="dxa"/>
            <w:bottom w:w="0" w:type="dxa"/>
            <w:right w:w="0" w:type="dxa"/>
          </w:tblCellMar>
        </w:tblPrEx>
        <w:trPr>
          <w:trHeight w:val="404"/>
        </w:trPr>
        <w:tc>
          <w:tcPr>
            <w:tcW w:w="2085" w:type="pct"/>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sz w:val="24"/>
                <w:szCs w:val="24"/>
              </w:rPr>
              <w:t>G/T</w:t>
            </w:r>
            <w:r>
              <w:rPr>
                <w:rFonts w:ascii="Times New Roman" w:hAnsi="Times New Roman" w:hint="eastAsia"/>
                <w:sz w:val="24"/>
                <w:szCs w:val="24"/>
              </w:rPr>
              <w:t>（法向、带宽</w:t>
            </w:r>
            <w:r>
              <w:rPr>
                <w:rFonts w:ascii="Times New Roman" w:hAnsi="Times New Roman"/>
                <w:sz w:val="24"/>
                <w:szCs w:val="24"/>
              </w:rPr>
              <w:t>1MHz</w:t>
            </w:r>
            <w:r>
              <w:rPr>
                <w:rFonts w:ascii="Times New Roman" w:hAnsi="Times New Roman" w:hint="eastAsia"/>
                <w:sz w:val="24"/>
                <w:szCs w:val="24"/>
              </w:rPr>
              <w:t>）</w:t>
            </w:r>
          </w:p>
        </w:tc>
        <w:tc>
          <w:tcPr>
            <w:tcW w:w="2914" w:type="pct"/>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6.5dB/K</w:t>
            </w:r>
          </w:p>
        </w:tc>
      </w:tr>
      <w:tr>
        <w:tblPrEx>
          <w:tblW w:w="4999" w:type="pct"/>
          <w:tblInd w:w="0" w:type="dxa"/>
          <w:tblCellMar>
            <w:top w:w="0" w:type="dxa"/>
            <w:left w:w="0" w:type="dxa"/>
            <w:bottom w:w="0" w:type="dxa"/>
            <w:right w:w="0" w:type="dxa"/>
          </w:tblCellMar>
        </w:tblPrEx>
        <w:trPr>
          <w:trHeight w:val="405"/>
        </w:trPr>
        <w:tc>
          <w:tcPr>
            <w:tcW w:w="2085" w:type="pct"/>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sz w:val="24"/>
                <w:szCs w:val="24"/>
              </w:rPr>
              <w:t>G/T(±20°</w:t>
            </w:r>
            <w:r>
              <w:rPr>
                <w:rFonts w:ascii="Times New Roman" w:hAnsi="Times New Roman" w:hint="eastAsia"/>
                <w:sz w:val="24"/>
                <w:szCs w:val="24"/>
              </w:rPr>
              <w:t>、带宽</w:t>
            </w:r>
            <w:r>
              <w:rPr>
                <w:rFonts w:ascii="Times New Roman" w:hAnsi="Times New Roman"/>
                <w:sz w:val="24"/>
                <w:szCs w:val="24"/>
              </w:rPr>
              <w:t>1MHz)</w:t>
            </w:r>
          </w:p>
        </w:tc>
        <w:tc>
          <w:tcPr>
            <w:tcW w:w="2914" w:type="pct"/>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5.5dB/K</w:t>
            </w:r>
          </w:p>
        </w:tc>
      </w:tr>
      <w:tr>
        <w:tblPrEx>
          <w:tblW w:w="4999" w:type="pct"/>
          <w:tblInd w:w="0" w:type="dxa"/>
          <w:tblCellMar>
            <w:top w:w="0" w:type="dxa"/>
            <w:left w:w="0" w:type="dxa"/>
            <w:bottom w:w="0" w:type="dxa"/>
            <w:right w:w="0" w:type="dxa"/>
          </w:tblCellMar>
        </w:tblPrEx>
        <w:trPr>
          <w:trHeight w:val="404"/>
        </w:trPr>
        <w:tc>
          <w:tcPr>
            <w:tcW w:w="2085" w:type="pct"/>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校准后</w:t>
            </w:r>
            <w:r>
              <w:rPr>
                <w:rFonts w:ascii="Times New Roman" w:hAnsi="Times New Roman"/>
                <w:sz w:val="24"/>
                <w:szCs w:val="24"/>
              </w:rPr>
              <w:t>G/T</w:t>
            </w:r>
            <w:r>
              <w:rPr>
                <w:rFonts w:ascii="Times New Roman" w:hAnsi="Times New Roman" w:hint="eastAsia"/>
                <w:sz w:val="24"/>
                <w:szCs w:val="24"/>
              </w:rPr>
              <w:t>偏差</w:t>
            </w:r>
          </w:p>
        </w:tc>
        <w:tc>
          <w:tcPr>
            <w:tcW w:w="2914" w:type="pct"/>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0.8dB</w:t>
            </w:r>
          </w:p>
        </w:tc>
      </w:tr>
      <w:tr>
        <w:tblPrEx>
          <w:tblW w:w="4999" w:type="pct"/>
          <w:tblInd w:w="0" w:type="dxa"/>
          <w:tblCellMar>
            <w:top w:w="0" w:type="dxa"/>
            <w:left w:w="0" w:type="dxa"/>
            <w:bottom w:w="0" w:type="dxa"/>
            <w:right w:w="0" w:type="dxa"/>
          </w:tblCellMar>
        </w:tblPrEx>
        <w:trPr>
          <w:trHeight w:val="404"/>
        </w:trPr>
        <w:tc>
          <w:tcPr>
            <w:tcW w:w="2085" w:type="pct"/>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highlight w:val="yellow"/>
              </w:rPr>
              <w:t>#</w:t>
            </w:r>
            <w:r>
              <w:rPr>
                <w:rFonts w:ascii="Times New Roman" w:hAnsi="Times New Roman" w:hint="eastAsia"/>
                <w:sz w:val="24"/>
                <w:szCs w:val="24"/>
              </w:rPr>
              <w:t>噪声系数</w:t>
            </w:r>
          </w:p>
        </w:tc>
        <w:tc>
          <w:tcPr>
            <w:tcW w:w="2914" w:type="pct"/>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3dB</w:t>
            </w:r>
            <w:r>
              <w:rPr>
                <w:rFonts w:ascii="Times New Roman" w:hAnsi="Times New Roman" w:hint="eastAsia"/>
                <w:sz w:val="24"/>
                <w:szCs w:val="24"/>
              </w:rPr>
              <w:t>（脉宽</w:t>
            </w:r>
            <w:r>
              <w:rPr>
                <w:rFonts w:ascii="Times New Roman" w:hAnsi="Times New Roman"/>
                <w:sz w:val="24"/>
                <w:szCs w:val="24"/>
              </w:rPr>
              <w:t>1μs</w:t>
            </w:r>
            <w:r>
              <w:rPr>
                <w:rFonts w:ascii="Times New Roman" w:hAnsi="Times New Roman" w:hint="eastAsia"/>
                <w:sz w:val="24"/>
                <w:szCs w:val="24"/>
              </w:rPr>
              <w:t>，带宽</w:t>
            </w:r>
            <w:r>
              <w:rPr>
                <w:rFonts w:ascii="Times New Roman" w:hAnsi="Times New Roman"/>
                <w:sz w:val="24"/>
                <w:szCs w:val="24"/>
              </w:rPr>
              <w:t>1MHz</w:t>
            </w:r>
            <w:r>
              <w:rPr>
                <w:rFonts w:ascii="Times New Roman" w:hAnsi="Times New Roman" w:hint="eastAsia"/>
                <w:sz w:val="24"/>
                <w:szCs w:val="24"/>
              </w:rPr>
              <w:t>）</w:t>
            </w:r>
          </w:p>
        </w:tc>
      </w:tr>
      <w:tr>
        <w:tblPrEx>
          <w:tblW w:w="4999" w:type="pct"/>
          <w:tblInd w:w="0" w:type="dxa"/>
          <w:tblCellMar>
            <w:top w:w="0" w:type="dxa"/>
            <w:left w:w="0" w:type="dxa"/>
            <w:bottom w:w="0" w:type="dxa"/>
            <w:right w:w="0" w:type="dxa"/>
          </w:tblCellMar>
        </w:tblPrEx>
        <w:trPr>
          <w:trHeight w:val="405"/>
        </w:trPr>
        <w:tc>
          <w:tcPr>
            <w:tcW w:w="2085" w:type="pct"/>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highlight w:val="yellow"/>
              </w:rPr>
              <w:t>#</w:t>
            </w:r>
            <w:r>
              <w:rPr>
                <w:rFonts w:ascii="Times New Roman" w:hAnsi="Times New Roman" w:hint="eastAsia"/>
                <w:sz w:val="24"/>
                <w:szCs w:val="24"/>
              </w:rPr>
              <w:t>线性动态范围</w:t>
            </w:r>
          </w:p>
        </w:tc>
        <w:tc>
          <w:tcPr>
            <w:tcW w:w="2914" w:type="pct"/>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77dB</w:t>
            </w:r>
            <w:r>
              <w:rPr>
                <w:rFonts w:ascii="Times New Roman" w:hAnsi="Times New Roman" w:hint="eastAsia"/>
                <w:sz w:val="24"/>
                <w:szCs w:val="24"/>
              </w:rPr>
              <w:t>（脉宽</w:t>
            </w:r>
            <w:r>
              <w:rPr>
                <w:rFonts w:ascii="Times New Roman" w:hAnsi="Times New Roman"/>
                <w:sz w:val="24"/>
                <w:szCs w:val="24"/>
              </w:rPr>
              <w:t>1μs</w:t>
            </w:r>
            <w:r>
              <w:rPr>
                <w:rFonts w:ascii="Times New Roman" w:hAnsi="Times New Roman" w:hint="eastAsia"/>
                <w:sz w:val="24"/>
                <w:szCs w:val="24"/>
              </w:rPr>
              <w:t>，带宽</w:t>
            </w:r>
            <w:r>
              <w:rPr>
                <w:rFonts w:ascii="Times New Roman" w:hAnsi="Times New Roman"/>
                <w:sz w:val="24"/>
                <w:szCs w:val="24"/>
              </w:rPr>
              <w:t>1MHz</w:t>
            </w:r>
            <w:r>
              <w:rPr>
                <w:rFonts w:ascii="Times New Roman" w:hAnsi="Times New Roman" w:hint="eastAsia"/>
                <w:sz w:val="24"/>
                <w:szCs w:val="24"/>
              </w:rPr>
              <w:t>）</w:t>
            </w:r>
          </w:p>
        </w:tc>
      </w:tr>
      <w:tr>
        <w:tblPrEx>
          <w:tblW w:w="4999" w:type="pct"/>
          <w:tblInd w:w="0" w:type="dxa"/>
          <w:tblCellMar>
            <w:top w:w="0" w:type="dxa"/>
            <w:left w:w="0" w:type="dxa"/>
            <w:bottom w:w="0" w:type="dxa"/>
            <w:right w:w="0" w:type="dxa"/>
          </w:tblCellMar>
        </w:tblPrEx>
        <w:trPr>
          <w:trHeight w:val="405"/>
        </w:trPr>
        <w:tc>
          <w:tcPr>
            <w:tcW w:w="2085" w:type="pct"/>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highlight w:val="yellow"/>
              </w:rPr>
              <w:t>#</w:t>
            </w:r>
            <w:r>
              <w:rPr>
                <w:rFonts w:ascii="Times New Roman" w:hAnsi="Times New Roman" w:hint="eastAsia"/>
                <w:sz w:val="24"/>
                <w:szCs w:val="24"/>
              </w:rPr>
              <w:t>最小可测功率（灵敏度）</w:t>
            </w:r>
          </w:p>
        </w:tc>
        <w:tc>
          <w:tcPr>
            <w:tcW w:w="2914" w:type="pct"/>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-110dBm</w:t>
            </w:r>
            <w:r>
              <w:rPr>
                <w:rFonts w:ascii="Times New Roman" w:hAnsi="Times New Roman" w:hint="eastAsia"/>
                <w:sz w:val="24"/>
                <w:szCs w:val="24"/>
              </w:rPr>
              <w:t>（脉宽</w:t>
            </w:r>
            <w:r>
              <w:rPr>
                <w:rFonts w:ascii="Times New Roman" w:hAnsi="Times New Roman"/>
                <w:sz w:val="24"/>
                <w:szCs w:val="24"/>
              </w:rPr>
              <w:t>1μs</w:t>
            </w:r>
            <w:r>
              <w:rPr>
                <w:rFonts w:ascii="Times New Roman" w:hAnsi="Times New Roman" w:hint="eastAsia"/>
                <w:sz w:val="24"/>
                <w:szCs w:val="24"/>
              </w:rPr>
              <w:t>，带宽</w:t>
            </w:r>
            <w:r>
              <w:rPr>
                <w:rFonts w:ascii="Times New Roman" w:hAnsi="Times New Roman"/>
                <w:sz w:val="24"/>
                <w:szCs w:val="24"/>
              </w:rPr>
              <w:t>1MHz</w:t>
            </w:r>
            <w:r>
              <w:rPr>
                <w:rFonts w:ascii="Times New Roman" w:hAnsi="Times New Roman" w:hint="eastAsia"/>
                <w:sz w:val="24"/>
                <w:szCs w:val="24"/>
              </w:rPr>
              <w:t>）</w:t>
            </w:r>
          </w:p>
        </w:tc>
      </w:tr>
      <w:tr>
        <w:tblPrEx>
          <w:tblW w:w="4999" w:type="pct"/>
          <w:tblInd w:w="0" w:type="dxa"/>
          <w:tblCellMar>
            <w:top w:w="0" w:type="dxa"/>
            <w:left w:w="0" w:type="dxa"/>
            <w:bottom w:w="0" w:type="dxa"/>
            <w:right w:w="0" w:type="dxa"/>
          </w:tblCellMar>
        </w:tblPrEx>
        <w:trPr>
          <w:trHeight w:val="409"/>
        </w:trPr>
        <w:tc>
          <w:tcPr>
            <w:tcW w:w="2085" w:type="pct"/>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镜频抑制度</w:t>
            </w:r>
          </w:p>
        </w:tc>
        <w:tc>
          <w:tcPr>
            <w:tcW w:w="2914" w:type="pct"/>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60dBc</w:t>
            </w:r>
          </w:p>
        </w:tc>
      </w:tr>
    </w:tbl>
    <w:p>
      <w:pPr>
        <w:tabs>
          <w:tab w:val="left" w:pos="2340"/>
        </w:tabs>
        <w:spacing w:line="360" w:lineRule="auto"/>
        <w:ind w:firstLine="482"/>
        <w:rPr>
          <w:rFonts w:ascii="Times New Roman" w:hAnsi="Times New Roman"/>
          <w:b/>
        </w:rPr>
      </w:pPr>
      <w:bookmarkStart w:id="67" w:name="bookmark23"/>
      <w:bookmarkEnd w:id="67"/>
      <w:r>
        <w:rPr>
          <w:rFonts w:ascii="Times New Roman" w:hAnsi="Times New Roman"/>
          <w:b/>
          <w:sz w:val="24"/>
          <w:szCs w:val="24"/>
        </w:rPr>
        <w:t>3.</w:t>
      </w:r>
      <w:r>
        <w:rPr>
          <w:rFonts w:ascii="Times New Roman" w:hAnsi="Times New Roman" w:hint="eastAsia"/>
          <w:b/>
          <w:sz w:val="24"/>
          <w:szCs w:val="24"/>
          <w:lang w:val="en-US" w:eastAsia="zh-CN"/>
        </w:rPr>
        <w:t>6</w:t>
      </w:r>
      <w:r>
        <w:rPr>
          <w:rFonts w:ascii="Times New Roman" w:hAnsi="Times New Roman" w:hint="eastAsia"/>
          <w:b/>
          <w:sz w:val="24"/>
          <w:szCs w:val="24"/>
        </w:rPr>
        <w:t>数字波束控制与合成单元技术指标</w:t>
      </w:r>
    </w:p>
    <w:p>
      <w:pPr>
        <w:tabs>
          <w:tab w:val="left" w:pos="2340"/>
        </w:tabs>
        <w:spacing w:line="360" w:lineRule="auto"/>
        <w:ind w:firstLine="480"/>
        <w:rPr>
          <w:rFonts w:ascii="Times New Roman" w:hAnsi="Times New Roman"/>
          <w:bCs/>
        </w:rPr>
      </w:pPr>
      <w:r>
        <w:rPr>
          <w:rFonts w:ascii="Times New Roman" w:hAnsi="Times New Roman" w:hint="eastAsia"/>
          <w:bCs/>
          <w:sz w:val="24"/>
          <w:szCs w:val="24"/>
        </w:rPr>
        <w:t>主要包括：波束控制和合成形式、波束控制精度、电扫方向最大副瓣电平等，具体指标见表</w:t>
      </w:r>
      <w:r>
        <w:rPr>
          <w:rFonts w:ascii="Times New Roman" w:hAnsi="Times New Roman" w:hint="eastAsia"/>
          <w:bCs/>
          <w:sz w:val="24"/>
          <w:szCs w:val="24"/>
          <w:lang w:val="en-US" w:eastAsia="zh-CN"/>
        </w:rPr>
        <w:t>7</w:t>
      </w:r>
      <w:r>
        <w:rPr>
          <w:rFonts w:ascii="Times New Roman" w:hAnsi="Times New Roman" w:hint="eastAsia"/>
          <w:bCs/>
          <w:sz w:val="24"/>
          <w:szCs w:val="24"/>
        </w:rPr>
        <w:t>。</w:t>
      </w:r>
    </w:p>
    <w:p>
      <w:pPr>
        <w:widowControl/>
        <w:kinsoku w:val="0"/>
        <w:autoSpaceDE w:val="0"/>
        <w:autoSpaceDN w:val="0"/>
        <w:adjustRightInd w:val="0"/>
        <w:snapToGrid w:val="0"/>
        <w:spacing w:line="360" w:lineRule="auto"/>
        <w:ind w:firstLine="466"/>
        <w:jc w:val="center"/>
        <w:textAlignment w:val="baseline"/>
        <w:rPr>
          <w:rFonts w:ascii="Times New Roman" w:hAnsi="Times New Roman"/>
        </w:rPr>
      </w:pPr>
      <w:r>
        <w:rPr>
          <w:rFonts w:ascii="Times New Roman" w:hAnsi="Times New Roman" w:hint="eastAsia"/>
          <w:b/>
          <w:bCs/>
          <w:spacing w:val="-4"/>
          <w:sz w:val="24"/>
          <w:szCs w:val="24"/>
        </w:rPr>
        <w:t>表</w:t>
      </w:r>
      <w:r>
        <w:rPr>
          <w:rFonts w:ascii="Times New Roman" w:hAnsi="Times New Roman" w:hint="eastAsia"/>
          <w:b/>
          <w:bCs/>
          <w:spacing w:val="-4"/>
          <w:sz w:val="24"/>
          <w:szCs w:val="24"/>
          <w:lang w:val="en-US" w:eastAsia="zh-CN"/>
        </w:rPr>
        <w:t>7</w:t>
      </w:r>
      <w:r>
        <w:rPr>
          <w:rFonts w:ascii="Times New Roman" w:hAnsi="Times New Roman"/>
          <w:b/>
          <w:bCs/>
          <w:spacing w:val="-4"/>
          <w:sz w:val="24"/>
          <w:szCs w:val="24"/>
        </w:rPr>
        <w:t xml:space="preserve"> </w:t>
      </w:r>
      <w:r>
        <w:rPr>
          <w:rFonts w:ascii="Times New Roman" w:hAnsi="Times New Roman" w:hint="eastAsia"/>
          <w:b/>
          <w:bCs/>
          <w:spacing w:val="-4"/>
          <w:sz w:val="24"/>
          <w:szCs w:val="24"/>
        </w:rPr>
        <w:t>数字波束控制与合成单元技术性能指标表</w:t>
      </w:r>
    </w:p>
    <w:tbl>
      <w:tblPr>
        <w:tblStyle w:val="TableNormal0"/>
        <w:tblW w:w="5002"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
      <w:tblGrid>
        <w:gridCol w:w="3366"/>
        <w:gridCol w:w="4949"/>
      </w:tblGrid>
      <w:tr>
        <w:tblPrEx>
          <w:tblW w:w="5002"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Ex>
        <w:trPr>
          <w:trHeight w:val="362"/>
        </w:trPr>
        <w:tc>
          <w:tcPr>
            <w:tcW w:w="2024" w:type="pct"/>
            <w:tcBorders>
              <w:bottom w:val="nil"/>
            </w:tcBorders>
          </w:tcPr>
          <w:p>
            <w:pPr>
              <w:pStyle w:val="TableText"/>
              <w:widowControl/>
              <w:kinsoku w:val="0"/>
              <w:autoSpaceDE w:val="0"/>
              <w:autoSpaceDN w:val="0"/>
              <w:adjustRightInd w:val="0"/>
              <w:snapToGrid w:val="0"/>
              <w:spacing w:line="360" w:lineRule="auto"/>
              <w:ind w:firstLine="0" w:firstLineChars="0"/>
              <w:jc w:val="center"/>
              <w:textAlignment w:val="baseline"/>
              <w:rPr>
                <w:rFonts w:ascii="Times New Roman" w:hAnsi="Times New Roman" w:cs="Times New Roman"/>
                <w:b/>
                <w:bCs/>
                <w:spacing w:val="-9"/>
              </w:rPr>
            </w:pPr>
            <w:r>
              <w:rPr>
                <w:rFonts w:ascii="Times New Roman" w:hAnsi="Times New Roman" w:cs="Times New Roman" w:hint="eastAsia"/>
                <w:b/>
                <w:bCs/>
                <w:spacing w:val="-9"/>
              </w:rPr>
              <w:t>项目</w:t>
            </w:r>
          </w:p>
        </w:tc>
        <w:tc>
          <w:tcPr>
            <w:tcW w:w="2976" w:type="pct"/>
          </w:tcPr>
          <w:p>
            <w:pPr>
              <w:pStyle w:val="TableText"/>
              <w:widowControl/>
              <w:kinsoku w:val="0"/>
              <w:autoSpaceDE w:val="0"/>
              <w:autoSpaceDN w:val="0"/>
              <w:adjustRightInd w:val="0"/>
              <w:snapToGrid w:val="0"/>
              <w:spacing w:line="360" w:lineRule="auto"/>
              <w:ind w:firstLine="0" w:firstLineChars="0"/>
              <w:jc w:val="center"/>
              <w:textAlignment w:val="baseline"/>
              <w:rPr>
                <w:rFonts w:ascii="Times New Roman" w:hAnsi="Times New Roman" w:cs="Times New Roman"/>
                <w:b/>
                <w:bCs/>
                <w:spacing w:val="-9"/>
              </w:rPr>
            </w:pPr>
            <w:r>
              <w:rPr>
                <w:rFonts w:ascii="Times New Roman" w:hAnsi="Times New Roman" w:cs="Times New Roman" w:hint="eastAsia"/>
                <w:b/>
                <w:bCs/>
                <w:spacing w:val="-9"/>
              </w:rPr>
              <w:t>性能指标</w:t>
            </w:r>
          </w:p>
        </w:tc>
      </w:tr>
      <w:tr>
        <w:tblPrEx>
          <w:tblW w:w="5002" w:type="pct"/>
          <w:tblInd w:w="0" w:type="dxa"/>
          <w:tblCellMar>
            <w:top w:w="0" w:type="dxa"/>
            <w:left w:w="0" w:type="dxa"/>
            <w:bottom w:w="0" w:type="dxa"/>
            <w:right w:w="0" w:type="dxa"/>
          </w:tblCellMar>
        </w:tblPrEx>
        <w:trPr>
          <w:trHeight w:val="404"/>
        </w:trPr>
        <w:tc>
          <w:tcPr>
            <w:tcW w:w="2024" w:type="pct"/>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波束控制和合成形式</w:t>
            </w:r>
          </w:p>
        </w:tc>
        <w:tc>
          <w:tcPr>
            <w:tcW w:w="2976" w:type="pct"/>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数字域</w:t>
            </w:r>
          </w:p>
        </w:tc>
      </w:tr>
      <w:tr>
        <w:tblPrEx>
          <w:tblW w:w="5002" w:type="pct"/>
          <w:tblInd w:w="0" w:type="dxa"/>
          <w:tblCellMar>
            <w:top w:w="0" w:type="dxa"/>
            <w:left w:w="0" w:type="dxa"/>
            <w:bottom w:w="0" w:type="dxa"/>
            <w:right w:w="0" w:type="dxa"/>
          </w:tblCellMar>
        </w:tblPrEx>
        <w:trPr>
          <w:trHeight w:val="404"/>
        </w:trPr>
        <w:tc>
          <w:tcPr>
            <w:tcW w:w="2024" w:type="pct"/>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波束控制精度（基于波束宽度）</w:t>
            </w:r>
          </w:p>
        </w:tc>
        <w:tc>
          <w:tcPr>
            <w:tcW w:w="2976" w:type="pct"/>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5%</w:t>
            </w:r>
          </w:p>
        </w:tc>
      </w:tr>
      <w:tr>
        <w:tblPrEx>
          <w:tblW w:w="5002" w:type="pct"/>
          <w:tblInd w:w="0" w:type="dxa"/>
          <w:tblCellMar>
            <w:top w:w="0" w:type="dxa"/>
            <w:left w:w="0" w:type="dxa"/>
            <w:bottom w:w="0" w:type="dxa"/>
            <w:right w:w="0" w:type="dxa"/>
          </w:tblCellMar>
        </w:tblPrEx>
        <w:trPr>
          <w:trHeight w:val="379"/>
        </w:trPr>
        <w:tc>
          <w:tcPr>
            <w:tcW w:w="2024" w:type="pct"/>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电扫方向上双线偏振波束指向误差（基于波束宽度）</w:t>
            </w:r>
          </w:p>
        </w:tc>
        <w:tc>
          <w:tcPr>
            <w:tcW w:w="2976"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5%</w:t>
            </w:r>
          </w:p>
        </w:tc>
      </w:tr>
      <w:tr>
        <w:tblPrEx>
          <w:tblW w:w="5002" w:type="pct"/>
          <w:tblInd w:w="0" w:type="dxa"/>
          <w:tblCellMar>
            <w:top w:w="0" w:type="dxa"/>
            <w:left w:w="0" w:type="dxa"/>
            <w:bottom w:w="0" w:type="dxa"/>
            <w:right w:w="0" w:type="dxa"/>
          </w:tblCellMar>
        </w:tblPrEx>
        <w:trPr>
          <w:trHeight w:val="990"/>
        </w:trPr>
        <w:tc>
          <w:tcPr>
            <w:tcW w:w="2024" w:type="pct"/>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电扫方向上双线偏振</w:t>
            </w:r>
            <w:r>
              <w:rPr>
                <w:rFonts w:ascii="Times New Roman" w:hAnsi="Times New Roman"/>
                <w:sz w:val="24"/>
                <w:szCs w:val="24"/>
              </w:rPr>
              <w:t>3dB</w:t>
            </w:r>
            <w:r>
              <w:rPr>
                <w:rFonts w:ascii="Times New Roman" w:hAnsi="Times New Roman" w:hint="eastAsia"/>
                <w:sz w:val="24"/>
                <w:szCs w:val="24"/>
              </w:rPr>
              <w:t>波束宽</w:t>
            </w:r>
          </w:p>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度误差（基于波束宽度）</w:t>
            </w:r>
          </w:p>
        </w:tc>
        <w:tc>
          <w:tcPr>
            <w:tcW w:w="2976"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5%</w:t>
            </w:r>
          </w:p>
        </w:tc>
      </w:tr>
      <w:tr>
        <w:tblPrEx>
          <w:tblW w:w="5002" w:type="pct"/>
          <w:tblInd w:w="0" w:type="dxa"/>
          <w:tblCellMar>
            <w:top w:w="0" w:type="dxa"/>
            <w:left w:w="0" w:type="dxa"/>
            <w:bottom w:w="0" w:type="dxa"/>
            <w:right w:w="0" w:type="dxa"/>
          </w:tblCellMar>
        </w:tblPrEx>
        <w:trPr>
          <w:trHeight w:val="404"/>
        </w:trPr>
        <w:tc>
          <w:tcPr>
            <w:tcW w:w="2024" w:type="pct"/>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同时接收波束数（单极化）</w:t>
            </w:r>
          </w:p>
        </w:tc>
        <w:tc>
          <w:tcPr>
            <w:tcW w:w="2976" w:type="pct"/>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16</w:t>
            </w:r>
            <w:r>
              <w:rPr>
                <w:rFonts w:ascii="Times New Roman" w:hAnsi="Times New Roman" w:hint="eastAsia"/>
                <w:sz w:val="24"/>
                <w:szCs w:val="24"/>
              </w:rPr>
              <w:t>个波束</w:t>
            </w:r>
          </w:p>
        </w:tc>
      </w:tr>
      <w:tr>
        <w:tblPrEx>
          <w:tblW w:w="5002" w:type="pct"/>
          <w:tblInd w:w="0" w:type="dxa"/>
          <w:tblCellMar>
            <w:top w:w="0" w:type="dxa"/>
            <w:left w:w="0" w:type="dxa"/>
            <w:bottom w:w="0" w:type="dxa"/>
            <w:right w:w="0" w:type="dxa"/>
          </w:tblCellMar>
        </w:tblPrEx>
        <w:trPr>
          <w:trHeight w:val="1062"/>
        </w:trPr>
        <w:tc>
          <w:tcPr>
            <w:tcW w:w="2024"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电扫方向发射最大副瓣电平</w:t>
            </w:r>
          </w:p>
        </w:tc>
        <w:tc>
          <w:tcPr>
            <w:tcW w:w="2976" w:type="pct"/>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-23dB</w:t>
            </w:r>
            <w:r>
              <w:rPr>
                <w:rFonts w:ascii="Times New Roman" w:hAnsi="Times New Roman" w:hint="eastAsia"/>
                <w:sz w:val="24"/>
                <w:szCs w:val="24"/>
              </w:rPr>
              <w:t>（法向波束宽度≤</w:t>
            </w:r>
            <w:r>
              <w:rPr>
                <w:rFonts w:ascii="Times New Roman" w:hAnsi="Times New Roman"/>
                <w:sz w:val="24"/>
                <w:szCs w:val="24"/>
              </w:rPr>
              <w:t>1.8°</w:t>
            </w:r>
            <w:r>
              <w:rPr>
                <w:rFonts w:ascii="Times New Roman" w:hAnsi="Times New Roman" w:hint="eastAsia"/>
                <w:sz w:val="24"/>
                <w:szCs w:val="24"/>
              </w:rPr>
              <w:t>，偏离法向±</w:t>
            </w:r>
            <w:r>
              <w:rPr>
                <w:rFonts w:ascii="Times New Roman" w:hAnsi="Times New Roman"/>
                <w:sz w:val="24"/>
                <w:szCs w:val="24"/>
              </w:rPr>
              <w:t>20°</w:t>
            </w:r>
            <w:r>
              <w:rPr>
                <w:rFonts w:ascii="Times New Roman" w:hAnsi="Times New Roman" w:hint="eastAsia"/>
                <w:sz w:val="24"/>
                <w:szCs w:val="24"/>
              </w:rPr>
              <w:t>波束宽度≤</w:t>
            </w:r>
            <w:r>
              <w:rPr>
                <w:rFonts w:ascii="Times New Roman" w:hAnsi="Times New Roman"/>
                <w:sz w:val="24"/>
                <w:szCs w:val="24"/>
              </w:rPr>
              <w:t>1.91°</w:t>
            </w:r>
            <w:r>
              <w:rPr>
                <w:rFonts w:ascii="Times New Roman" w:hAnsi="Times New Roman" w:hint="eastAsia"/>
                <w:sz w:val="24"/>
                <w:szCs w:val="24"/>
              </w:rPr>
              <w:t>）</w:t>
            </w:r>
          </w:p>
        </w:tc>
      </w:tr>
      <w:tr>
        <w:tblPrEx>
          <w:tblW w:w="5002" w:type="pct"/>
          <w:tblInd w:w="0" w:type="dxa"/>
          <w:tblCellMar>
            <w:top w:w="0" w:type="dxa"/>
            <w:left w:w="0" w:type="dxa"/>
            <w:bottom w:w="0" w:type="dxa"/>
            <w:right w:w="0" w:type="dxa"/>
          </w:tblCellMar>
        </w:tblPrEx>
        <w:trPr>
          <w:trHeight w:val="1083"/>
        </w:trPr>
        <w:tc>
          <w:tcPr>
            <w:tcW w:w="2024"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电扫方向接收最大副瓣电平</w:t>
            </w:r>
          </w:p>
        </w:tc>
        <w:tc>
          <w:tcPr>
            <w:tcW w:w="2976" w:type="pct"/>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-35dB</w:t>
            </w:r>
            <w:r>
              <w:rPr>
                <w:rFonts w:ascii="Times New Roman" w:hAnsi="Times New Roman" w:hint="eastAsia"/>
                <w:sz w:val="24"/>
                <w:szCs w:val="24"/>
              </w:rPr>
              <w:t>（法向波束宽度≤</w:t>
            </w:r>
            <w:r>
              <w:rPr>
                <w:rFonts w:ascii="Times New Roman" w:hAnsi="Times New Roman"/>
                <w:sz w:val="24"/>
                <w:szCs w:val="24"/>
              </w:rPr>
              <w:t>1.8°</w:t>
            </w:r>
            <w:r>
              <w:rPr>
                <w:rFonts w:ascii="Times New Roman" w:hAnsi="Times New Roman" w:hint="eastAsia"/>
                <w:sz w:val="24"/>
                <w:szCs w:val="24"/>
              </w:rPr>
              <w:t>，偏离法向±</w:t>
            </w:r>
            <w:r>
              <w:rPr>
                <w:rFonts w:ascii="Times New Roman" w:hAnsi="Times New Roman"/>
                <w:sz w:val="24"/>
                <w:szCs w:val="24"/>
              </w:rPr>
              <w:t>20°</w:t>
            </w:r>
            <w:r>
              <w:rPr>
                <w:rFonts w:ascii="Times New Roman" w:hAnsi="Times New Roman" w:hint="eastAsia"/>
                <w:sz w:val="24"/>
                <w:szCs w:val="24"/>
              </w:rPr>
              <w:t>波束宽度≤</w:t>
            </w:r>
            <w:r>
              <w:rPr>
                <w:rFonts w:ascii="Times New Roman" w:hAnsi="Times New Roman"/>
                <w:sz w:val="24"/>
                <w:szCs w:val="24"/>
              </w:rPr>
              <w:t>1.91°</w:t>
            </w:r>
            <w:r>
              <w:rPr>
                <w:rFonts w:ascii="Times New Roman" w:hAnsi="Times New Roman" w:hint="eastAsia"/>
                <w:sz w:val="24"/>
                <w:szCs w:val="24"/>
              </w:rPr>
              <w:t>）</w:t>
            </w:r>
          </w:p>
        </w:tc>
      </w:tr>
    </w:tbl>
    <w:p>
      <w:pPr>
        <w:tabs>
          <w:tab w:val="left" w:pos="2340"/>
        </w:tabs>
        <w:spacing w:line="360" w:lineRule="auto"/>
        <w:ind w:firstLine="482"/>
        <w:rPr>
          <w:rFonts w:ascii="Times New Roman" w:hAnsi="Times New Roman"/>
          <w:b/>
        </w:rPr>
      </w:pPr>
      <w:bookmarkStart w:id="68" w:name="bookmark24"/>
      <w:bookmarkEnd w:id="68"/>
      <w:r>
        <w:rPr>
          <w:rFonts w:ascii="Times New Roman" w:hAnsi="Times New Roman"/>
          <w:b/>
          <w:sz w:val="24"/>
          <w:szCs w:val="24"/>
        </w:rPr>
        <w:t>3.</w:t>
      </w:r>
      <w:r>
        <w:rPr>
          <w:rFonts w:ascii="Times New Roman" w:hAnsi="Times New Roman" w:hint="eastAsia"/>
          <w:b/>
          <w:sz w:val="24"/>
          <w:szCs w:val="24"/>
          <w:lang w:val="en-US" w:eastAsia="zh-CN"/>
        </w:rPr>
        <w:t>7</w:t>
      </w:r>
      <w:r>
        <w:rPr>
          <w:rFonts w:ascii="Times New Roman" w:hAnsi="Times New Roman" w:hint="eastAsia"/>
          <w:b/>
          <w:sz w:val="24"/>
          <w:szCs w:val="24"/>
        </w:rPr>
        <w:t>信号处理单元技术指标</w:t>
      </w:r>
    </w:p>
    <w:p>
      <w:pPr>
        <w:tabs>
          <w:tab w:val="left" w:pos="2340"/>
        </w:tabs>
        <w:spacing w:line="360" w:lineRule="auto"/>
        <w:ind w:firstLine="480"/>
        <w:rPr>
          <w:rFonts w:ascii="Times New Roman" w:hAnsi="Times New Roman"/>
          <w:bCs/>
        </w:rPr>
      </w:pPr>
      <w:r>
        <w:rPr>
          <w:rFonts w:ascii="Times New Roman" w:hAnsi="Times New Roman" w:hint="eastAsia"/>
          <w:bCs/>
          <w:sz w:val="24"/>
          <w:szCs w:val="24"/>
        </w:rPr>
        <w:t>主要包括：脉冲压缩主副瓣比、脉冲累计平均次数、处理方式等指标，具体指标见表</w:t>
      </w:r>
      <w:r>
        <w:rPr>
          <w:rFonts w:ascii="Times New Roman" w:hAnsi="Times New Roman" w:hint="eastAsia"/>
          <w:bCs/>
          <w:sz w:val="24"/>
          <w:szCs w:val="24"/>
          <w:lang w:val="en-US" w:eastAsia="zh-CN"/>
        </w:rPr>
        <w:t>8</w:t>
      </w:r>
      <w:r>
        <w:rPr>
          <w:rFonts w:ascii="Times New Roman" w:hAnsi="Times New Roman" w:hint="eastAsia"/>
          <w:bCs/>
          <w:sz w:val="24"/>
          <w:szCs w:val="24"/>
        </w:rPr>
        <w:t>。</w:t>
      </w:r>
    </w:p>
    <w:p>
      <w:pPr>
        <w:widowControl/>
        <w:kinsoku w:val="0"/>
        <w:autoSpaceDE w:val="0"/>
        <w:autoSpaceDN w:val="0"/>
        <w:adjustRightInd w:val="0"/>
        <w:snapToGrid w:val="0"/>
        <w:spacing w:line="360" w:lineRule="auto"/>
        <w:jc w:val="center"/>
        <w:textAlignment w:val="baseline"/>
        <w:rPr>
          <w:rFonts w:ascii="Times New Roman" w:hAnsi="Times New Roman"/>
          <w:b/>
          <w:bCs/>
        </w:rPr>
      </w:pPr>
      <w:r>
        <w:rPr>
          <w:rFonts w:ascii="Times New Roman" w:hAnsi="Times New Roman" w:hint="eastAsia"/>
          <w:b/>
          <w:bCs/>
          <w:spacing w:val="-4"/>
          <w:sz w:val="24"/>
          <w:szCs w:val="24"/>
        </w:rPr>
        <w:t>表</w:t>
      </w:r>
      <w:r>
        <w:rPr>
          <w:rFonts w:ascii="Times New Roman" w:hAnsi="Times New Roman" w:hint="eastAsia"/>
          <w:b/>
          <w:bCs/>
          <w:spacing w:val="-4"/>
          <w:sz w:val="24"/>
          <w:szCs w:val="24"/>
          <w:lang w:val="en-US" w:eastAsia="zh-CN"/>
        </w:rPr>
        <w:t>8</w:t>
      </w:r>
      <w:r>
        <w:rPr>
          <w:rFonts w:ascii="Times New Roman" w:hAnsi="Times New Roman"/>
          <w:b/>
          <w:bCs/>
          <w:spacing w:val="-4"/>
          <w:sz w:val="24"/>
          <w:szCs w:val="24"/>
        </w:rPr>
        <w:t xml:space="preserve"> </w:t>
      </w:r>
      <w:r>
        <w:rPr>
          <w:rFonts w:ascii="Times New Roman" w:hAnsi="Times New Roman" w:hint="eastAsia"/>
          <w:b/>
          <w:bCs/>
          <w:spacing w:val="-4"/>
          <w:sz w:val="24"/>
          <w:szCs w:val="24"/>
        </w:rPr>
        <w:t>信号处理单元技术性能指标表</w:t>
      </w:r>
    </w:p>
    <w:tbl>
      <w:tblPr>
        <w:tblStyle w:val="TableNormal0"/>
        <w:tblW w:w="4999"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
      <w:tblGrid>
        <w:gridCol w:w="2645"/>
        <w:gridCol w:w="5665"/>
      </w:tblGrid>
      <w:tr>
        <w:tblPrEx>
          <w:tblW w:w="4999"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Ex>
        <w:trPr>
          <w:trHeight w:val="397"/>
        </w:trPr>
        <w:tc>
          <w:tcPr>
            <w:tcW w:w="1591" w:type="pct"/>
            <w:tcBorders>
              <w:bottom w:val="nil"/>
            </w:tcBorders>
            <w:vAlign w:val="center"/>
          </w:tcPr>
          <w:p>
            <w:pPr>
              <w:pStyle w:val="TableText"/>
              <w:widowControl/>
              <w:kinsoku w:val="0"/>
              <w:autoSpaceDE w:val="0"/>
              <w:autoSpaceDN w:val="0"/>
              <w:adjustRightInd w:val="0"/>
              <w:snapToGrid w:val="0"/>
              <w:spacing w:line="360" w:lineRule="auto"/>
              <w:ind w:firstLine="0" w:firstLineChars="0"/>
              <w:jc w:val="center"/>
              <w:textAlignment w:val="baseline"/>
              <w:rPr>
                <w:rFonts w:ascii="Times New Roman" w:hAnsi="Times New Roman" w:cs="Times New Roman"/>
                <w:b/>
                <w:bCs/>
                <w:spacing w:val="-9"/>
              </w:rPr>
            </w:pPr>
            <w:r>
              <w:rPr>
                <w:rFonts w:ascii="Times New Roman" w:hAnsi="Times New Roman" w:cs="Times New Roman" w:hint="eastAsia"/>
                <w:b/>
                <w:bCs/>
                <w:spacing w:val="-9"/>
              </w:rPr>
              <w:t>项目</w:t>
            </w:r>
          </w:p>
        </w:tc>
        <w:tc>
          <w:tcPr>
            <w:tcW w:w="3408" w:type="pct"/>
            <w:vAlign w:val="center"/>
          </w:tcPr>
          <w:p>
            <w:pPr>
              <w:pStyle w:val="TableText"/>
              <w:widowControl/>
              <w:kinsoku w:val="0"/>
              <w:autoSpaceDE w:val="0"/>
              <w:autoSpaceDN w:val="0"/>
              <w:adjustRightInd w:val="0"/>
              <w:snapToGrid w:val="0"/>
              <w:spacing w:line="360" w:lineRule="auto"/>
              <w:ind w:firstLine="0" w:firstLineChars="0"/>
              <w:jc w:val="center"/>
              <w:textAlignment w:val="baseline"/>
              <w:rPr>
                <w:rFonts w:ascii="Times New Roman" w:hAnsi="Times New Roman" w:cs="Times New Roman"/>
                <w:b/>
                <w:bCs/>
                <w:spacing w:val="-9"/>
              </w:rPr>
            </w:pPr>
            <w:r>
              <w:rPr>
                <w:rFonts w:ascii="Times New Roman" w:hAnsi="Times New Roman" w:cs="Times New Roman" w:hint="eastAsia"/>
                <w:b/>
                <w:bCs/>
                <w:spacing w:val="-9"/>
              </w:rPr>
              <w:t>性能指标</w:t>
            </w:r>
          </w:p>
        </w:tc>
      </w:tr>
      <w:tr>
        <w:tblPrEx>
          <w:tblW w:w="4999" w:type="pct"/>
          <w:tblInd w:w="0" w:type="dxa"/>
          <w:tblCellMar>
            <w:top w:w="0" w:type="dxa"/>
            <w:left w:w="0" w:type="dxa"/>
            <w:bottom w:w="0" w:type="dxa"/>
            <w:right w:w="0" w:type="dxa"/>
          </w:tblCellMar>
        </w:tblPrEx>
        <w:trPr>
          <w:trHeight w:val="404"/>
        </w:trPr>
        <w:tc>
          <w:tcPr>
            <w:tcW w:w="1591" w:type="pct"/>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最大脉冲压缩比</w:t>
            </w:r>
          </w:p>
        </w:tc>
        <w:tc>
          <w:tcPr>
            <w:tcW w:w="3408" w:type="pct"/>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100</w:t>
            </w:r>
          </w:p>
        </w:tc>
      </w:tr>
      <w:tr>
        <w:tblPrEx>
          <w:tblW w:w="4999" w:type="pct"/>
          <w:tblInd w:w="0" w:type="dxa"/>
          <w:tblCellMar>
            <w:top w:w="0" w:type="dxa"/>
            <w:left w:w="0" w:type="dxa"/>
            <w:bottom w:w="0" w:type="dxa"/>
            <w:right w:w="0" w:type="dxa"/>
          </w:tblCellMar>
        </w:tblPrEx>
        <w:trPr>
          <w:trHeight w:val="404"/>
        </w:trPr>
        <w:tc>
          <w:tcPr>
            <w:tcW w:w="1591" w:type="pct"/>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脉冲压缩主副瓣比</w:t>
            </w:r>
          </w:p>
        </w:tc>
        <w:tc>
          <w:tcPr>
            <w:tcW w:w="3408" w:type="pct"/>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w:t>
            </w:r>
            <w:r>
              <w:rPr>
                <w:rFonts w:ascii="Times New Roman" w:hAnsi="Times New Roman"/>
                <w:sz w:val="24"/>
                <w:szCs w:val="24"/>
              </w:rPr>
              <w:t>50dB</w:t>
            </w:r>
            <w:r>
              <w:rPr>
                <w:rFonts w:ascii="Times New Roman" w:hAnsi="Times New Roman" w:hint="eastAsia"/>
                <w:sz w:val="24"/>
                <w:szCs w:val="24"/>
              </w:rPr>
              <w:t>（脉压比≥</w:t>
            </w:r>
            <w:r>
              <w:rPr>
                <w:rFonts w:ascii="Times New Roman" w:hAnsi="Times New Roman"/>
                <w:sz w:val="24"/>
                <w:szCs w:val="24"/>
              </w:rPr>
              <w:t>100</w:t>
            </w:r>
            <w:r>
              <w:rPr>
                <w:rFonts w:ascii="Times New Roman" w:hAnsi="Times New Roman" w:hint="eastAsia"/>
                <w:sz w:val="24"/>
                <w:szCs w:val="24"/>
              </w:rPr>
              <w:t>）</w:t>
            </w:r>
          </w:p>
        </w:tc>
      </w:tr>
      <w:tr>
        <w:tblPrEx>
          <w:tblW w:w="4999" w:type="pct"/>
          <w:tblInd w:w="0" w:type="dxa"/>
          <w:tblCellMar>
            <w:top w:w="0" w:type="dxa"/>
            <w:left w:w="0" w:type="dxa"/>
            <w:bottom w:w="0" w:type="dxa"/>
            <w:right w:w="0" w:type="dxa"/>
          </w:tblCellMar>
        </w:tblPrEx>
        <w:trPr>
          <w:trHeight w:val="404"/>
        </w:trPr>
        <w:tc>
          <w:tcPr>
            <w:tcW w:w="1591" w:type="pct"/>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脉冲累计平均次数</w:t>
            </w:r>
          </w:p>
        </w:tc>
        <w:tc>
          <w:tcPr>
            <w:tcW w:w="3408" w:type="pct"/>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sz w:val="24"/>
                <w:szCs w:val="24"/>
              </w:rPr>
              <w:t>16</w:t>
            </w:r>
            <w:r>
              <w:rPr>
                <w:rFonts w:ascii="Times New Roman" w:hAnsi="Times New Roman" w:hint="eastAsia"/>
                <w:sz w:val="24"/>
                <w:szCs w:val="24"/>
              </w:rPr>
              <w:t>～</w:t>
            </w:r>
            <w:r>
              <w:rPr>
                <w:rFonts w:ascii="Times New Roman" w:hAnsi="Times New Roman"/>
                <w:sz w:val="24"/>
                <w:szCs w:val="24"/>
              </w:rPr>
              <w:t>512</w:t>
            </w:r>
            <w:r>
              <w:rPr>
                <w:rFonts w:ascii="Times New Roman" w:hAnsi="Times New Roman" w:hint="eastAsia"/>
                <w:sz w:val="24"/>
                <w:szCs w:val="24"/>
              </w:rPr>
              <w:t>可选</w:t>
            </w:r>
          </w:p>
        </w:tc>
      </w:tr>
      <w:tr>
        <w:tblPrEx>
          <w:tblW w:w="4999" w:type="pct"/>
          <w:tblInd w:w="0" w:type="dxa"/>
          <w:tblCellMar>
            <w:top w:w="0" w:type="dxa"/>
            <w:left w:w="0" w:type="dxa"/>
            <w:bottom w:w="0" w:type="dxa"/>
            <w:right w:w="0" w:type="dxa"/>
          </w:tblCellMar>
        </w:tblPrEx>
        <w:trPr>
          <w:trHeight w:val="405"/>
        </w:trPr>
        <w:tc>
          <w:tcPr>
            <w:tcW w:w="1591" w:type="pct"/>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强度、速度处理方式</w:t>
            </w:r>
          </w:p>
        </w:tc>
        <w:tc>
          <w:tcPr>
            <w:tcW w:w="3408" w:type="pct"/>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sz w:val="24"/>
                <w:szCs w:val="24"/>
              </w:rPr>
              <w:t>FFT/PPP</w:t>
            </w:r>
            <w:r>
              <w:rPr>
                <w:rFonts w:ascii="Times New Roman" w:hAnsi="Times New Roman" w:hint="eastAsia"/>
                <w:sz w:val="24"/>
                <w:szCs w:val="24"/>
              </w:rPr>
              <w:t>处理</w:t>
            </w:r>
          </w:p>
        </w:tc>
      </w:tr>
      <w:tr>
        <w:tblPrEx>
          <w:tblW w:w="4999" w:type="pct"/>
          <w:tblInd w:w="0" w:type="dxa"/>
          <w:tblCellMar>
            <w:top w:w="0" w:type="dxa"/>
            <w:left w:w="0" w:type="dxa"/>
            <w:bottom w:w="0" w:type="dxa"/>
            <w:right w:w="0" w:type="dxa"/>
          </w:tblCellMar>
        </w:tblPrEx>
        <w:trPr>
          <w:trHeight w:val="405"/>
        </w:trPr>
        <w:tc>
          <w:tcPr>
            <w:tcW w:w="1591" w:type="pct"/>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相关系数处理方式</w:t>
            </w:r>
          </w:p>
        </w:tc>
        <w:tc>
          <w:tcPr>
            <w:tcW w:w="3408" w:type="pct"/>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一阶相关或多阶相关</w:t>
            </w:r>
          </w:p>
        </w:tc>
      </w:tr>
      <w:tr>
        <w:tblPrEx>
          <w:tblW w:w="4999" w:type="pct"/>
          <w:tblInd w:w="0" w:type="dxa"/>
          <w:tblCellMar>
            <w:top w:w="0" w:type="dxa"/>
            <w:left w:w="0" w:type="dxa"/>
            <w:bottom w:w="0" w:type="dxa"/>
            <w:right w:w="0" w:type="dxa"/>
          </w:tblCellMar>
        </w:tblPrEx>
        <w:trPr>
          <w:trHeight w:val="405"/>
        </w:trPr>
        <w:tc>
          <w:tcPr>
            <w:tcW w:w="1591" w:type="pct"/>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距离退模糊方法</w:t>
            </w:r>
          </w:p>
        </w:tc>
        <w:tc>
          <w:tcPr>
            <w:tcW w:w="3408" w:type="pct"/>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相位编码或其他等效方法</w:t>
            </w:r>
          </w:p>
        </w:tc>
      </w:tr>
      <w:tr>
        <w:tblPrEx>
          <w:tblW w:w="4999" w:type="pct"/>
          <w:tblInd w:w="0" w:type="dxa"/>
          <w:tblCellMar>
            <w:top w:w="0" w:type="dxa"/>
            <w:left w:w="0" w:type="dxa"/>
            <w:bottom w:w="0" w:type="dxa"/>
            <w:right w:w="0" w:type="dxa"/>
          </w:tblCellMar>
        </w:tblPrEx>
        <w:trPr>
          <w:trHeight w:val="405"/>
        </w:trPr>
        <w:tc>
          <w:tcPr>
            <w:tcW w:w="1591" w:type="pct"/>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速度退模糊方法</w:t>
            </w:r>
          </w:p>
        </w:tc>
        <w:tc>
          <w:tcPr>
            <w:tcW w:w="3408" w:type="pct"/>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双重频或其他等效方法</w:t>
            </w:r>
          </w:p>
        </w:tc>
      </w:tr>
      <w:tr>
        <w:tblPrEx>
          <w:tblW w:w="4999" w:type="pct"/>
          <w:tblInd w:w="0" w:type="dxa"/>
          <w:tblCellMar>
            <w:top w:w="0" w:type="dxa"/>
            <w:left w:w="0" w:type="dxa"/>
            <w:bottom w:w="0" w:type="dxa"/>
            <w:right w:w="0" w:type="dxa"/>
          </w:tblCellMar>
        </w:tblPrEx>
        <w:trPr>
          <w:trHeight w:val="405"/>
        </w:trPr>
        <w:tc>
          <w:tcPr>
            <w:tcW w:w="1591" w:type="pct"/>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非气象回波识别和抑制</w:t>
            </w:r>
          </w:p>
        </w:tc>
        <w:tc>
          <w:tcPr>
            <w:tcW w:w="3408" w:type="pct"/>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具有电磁干扰、风电干扰及其它干扰的自动处理能力</w:t>
            </w:r>
          </w:p>
        </w:tc>
      </w:tr>
      <w:tr>
        <w:tblPrEx>
          <w:tblW w:w="4999" w:type="pct"/>
          <w:tblInd w:w="0" w:type="dxa"/>
          <w:tblCellMar>
            <w:top w:w="0" w:type="dxa"/>
            <w:left w:w="0" w:type="dxa"/>
            <w:bottom w:w="0" w:type="dxa"/>
            <w:right w:w="0" w:type="dxa"/>
          </w:tblCellMar>
        </w:tblPrEx>
        <w:trPr>
          <w:trHeight w:val="405"/>
        </w:trPr>
        <w:tc>
          <w:tcPr>
            <w:tcW w:w="1591" w:type="pct"/>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参数估计</w:t>
            </w:r>
          </w:p>
        </w:tc>
        <w:tc>
          <w:tcPr>
            <w:tcW w:w="3408" w:type="pct"/>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合理方法处理多脉宽条件下参数估算</w:t>
            </w:r>
          </w:p>
        </w:tc>
      </w:tr>
      <w:tr>
        <w:tblPrEx>
          <w:tblW w:w="4999" w:type="pct"/>
          <w:tblInd w:w="0" w:type="dxa"/>
          <w:tblCellMar>
            <w:top w:w="0" w:type="dxa"/>
            <w:left w:w="0" w:type="dxa"/>
            <w:bottom w:w="0" w:type="dxa"/>
            <w:right w:w="0" w:type="dxa"/>
          </w:tblCellMar>
        </w:tblPrEx>
        <w:trPr>
          <w:trHeight w:val="405"/>
        </w:trPr>
        <w:tc>
          <w:tcPr>
            <w:tcW w:w="1591" w:type="pct"/>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地物抑制</w:t>
            </w:r>
          </w:p>
        </w:tc>
        <w:tc>
          <w:tcPr>
            <w:tcW w:w="3408" w:type="pct"/>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深度学习或其他等效方法</w:t>
            </w:r>
          </w:p>
        </w:tc>
      </w:tr>
      <w:tr>
        <w:tblPrEx>
          <w:tblW w:w="4999" w:type="pct"/>
          <w:tblInd w:w="0" w:type="dxa"/>
          <w:tblCellMar>
            <w:top w:w="0" w:type="dxa"/>
            <w:left w:w="0" w:type="dxa"/>
            <w:bottom w:w="0" w:type="dxa"/>
            <w:right w:w="0" w:type="dxa"/>
          </w:tblCellMar>
        </w:tblPrEx>
        <w:trPr>
          <w:trHeight w:val="409"/>
        </w:trPr>
        <w:tc>
          <w:tcPr>
            <w:tcW w:w="1591" w:type="pct"/>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故障检测和保护</w:t>
            </w:r>
          </w:p>
        </w:tc>
        <w:tc>
          <w:tcPr>
            <w:tcW w:w="3408" w:type="pct"/>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数据丢包，参数输出等故障</w:t>
            </w:r>
          </w:p>
        </w:tc>
      </w:tr>
    </w:tbl>
    <w:p>
      <w:pPr>
        <w:tabs>
          <w:tab w:val="left" w:pos="2340"/>
        </w:tabs>
        <w:spacing w:line="360" w:lineRule="auto"/>
        <w:ind w:firstLine="482"/>
        <w:rPr>
          <w:rFonts w:ascii="Times New Roman" w:hAnsi="Times New Roman"/>
          <w:b/>
        </w:rPr>
      </w:pPr>
      <w:bookmarkStart w:id="69" w:name="bookmark25"/>
      <w:bookmarkEnd w:id="69"/>
      <w:r>
        <w:rPr>
          <w:rFonts w:ascii="Times New Roman" w:hAnsi="Times New Roman"/>
          <w:b/>
          <w:sz w:val="24"/>
          <w:szCs w:val="24"/>
        </w:rPr>
        <w:t>3.</w:t>
      </w:r>
      <w:r>
        <w:rPr>
          <w:rFonts w:ascii="Times New Roman" w:hAnsi="Times New Roman" w:hint="eastAsia"/>
          <w:b/>
          <w:sz w:val="24"/>
          <w:szCs w:val="24"/>
          <w:lang w:val="en-US" w:eastAsia="zh-CN"/>
        </w:rPr>
        <w:t>8</w:t>
      </w:r>
      <w:r>
        <w:rPr>
          <w:rFonts w:ascii="Times New Roman" w:hAnsi="Times New Roman" w:hint="eastAsia"/>
          <w:sz w:val="24"/>
          <w:szCs w:val="24"/>
          <w:highlight w:val="yellow"/>
        </w:rPr>
        <w:t>#</w:t>
      </w:r>
      <w:r>
        <w:rPr>
          <w:rFonts w:ascii="Times New Roman" w:hAnsi="Times New Roman" w:hint="eastAsia"/>
          <w:b/>
          <w:sz w:val="24"/>
          <w:szCs w:val="24"/>
        </w:rPr>
        <w:t>监控技术指标</w:t>
      </w:r>
    </w:p>
    <w:p>
      <w:pPr>
        <w:tabs>
          <w:tab w:val="left" w:pos="2340"/>
        </w:tabs>
        <w:spacing w:line="360" w:lineRule="auto"/>
        <w:ind w:firstLine="480"/>
        <w:rPr>
          <w:rFonts w:ascii="Times New Roman" w:hAnsi="Times New Roman"/>
          <w:bCs/>
        </w:rPr>
      </w:pPr>
      <w:r>
        <w:rPr>
          <w:rFonts w:ascii="Times New Roman" w:hAnsi="Times New Roman" w:hint="eastAsia"/>
          <w:bCs/>
          <w:sz w:val="24"/>
          <w:szCs w:val="24"/>
        </w:rPr>
        <w:t>在线监测参数详见表</w:t>
      </w:r>
      <w:r>
        <w:rPr>
          <w:rFonts w:ascii="Times New Roman" w:hAnsi="Times New Roman" w:hint="eastAsia"/>
          <w:bCs/>
          <w:sz w:val="24"/>
          <w:szCs w:val="24"/>
          <w:lang w:val="en-US" w:eastAsia="zh-CN"/>
        </w:rPr>
        <w:t>9</w:t>
      </w:r>
      <w:r>
        <w:rPr>
          <w:rFonts w:ascii="Times New Roman" w:hAnsi="Times New Roman" w:hint="eastAsia"/>
          <w:bCs/>
          <w:sz w:val="24"/>
          <w:szCs w:val="24"/>
        </w:rPr>
        <w:t>。</w:t>
      </w:r>
    </w:p>
    <w:p>
      <w:pPr>
        <w:tabs>
          <w:tab w:val="left" w:pos="2340"/>
        </w:tabs>
        <w:spacing w:line="360" w:lineRule="auto"/>
        <w:ind w:firstLine="480"/>
        <w:rPr>
          <w:rFonts w:ascii="Times New Roman" w:hAnsi="Times New Roman"/>
          <w:bCs/>
        </w:rPr>
      </w:pPr>
      <w:r>
        <w:rPr>
          <w:rFonts w:ascii="Times New Roman" w:hAnsi="Times New Roman" w:hint="eastAsia"/>
          <w:bCs/>
          <w:sz w:val="24"/>
          <w:szCs w:val="24"/>
        </w:rPr>
        <w:t>上传周期可任意设置，具备每次扫描完上传参数的功能。</w:t>
      </w:r>
    </w:p>
    <w:p>
      <w:pPr>
        <w:widowControl/>
        <w:kinsoku w:val="0"/>
        <w:autoSpaceDE w:val="0"/>
        <w:autoSpaceDN w:val="0"/>
        <w:adjustRightInd w:val="0"/>
        <w:snapToGrid w:val="0"/>
        <w:spacing w:line="360" w:lineRule="auto"/>
        <w:ind w:firstLine="470"/>
        <w:jc w:val="center"/>
        <w:textAlignment w:val="baseline"/>
        <w:rPr>
          <w:rFonts w:ascii="Times New Roman" w:hAnsi="Times New Roman"/>
          <w:b/>
          <w:bCs/>
        </w:rPr>
      </w:pPr>
      <w:r>
        <w:rPr>
          <w:rFonts w:ascii="Times New Roman" w:hAnsi="Times New Roman" w:hint="eastAsia"/>
          <w:b/>
          <w:bCs/>
          <w:spacing w:val="-3"/>
          <w:sz w:val="24"/>
          <w:szCs w:val="24"/>
        </w:rPr>
        <w:t>表</w:t>
      </w:r>
      <w:r>
        <w:rPr>
          <w:rFonts w:ascii="Times New Roman" w:hAnsi="Times New Roman" w:hint="eastAsia"/>
          <w:b/>
          <w:bCs/>
          <w:spacing w:val="-3"/>
          <w:sz w:val="24"/>
          <w:szCs w:val="24"/>
          <w:lang w:val="en-US" w:eastAsia="zh-CN"/>
        </w:rPr>
        <w:t>9</w:t>
      </w:r>
      <w:r>
        <w:rPr>
          <w:rFonts w:ascii="Times New Roman" w:hAnsi="Times New Roman"/>
          <w:b/>
          <w:bCs/>
          <w:spacing w:val="-3"/>
          <w:sz w:val="24"/>
          <w:szCs w:val="24"/>
        </w:rPr>
        <w:t xml:space="preserve"> </w:t>
      </w:r>
      <w:r>
        <w:rPr>
          <w:rFonts w:ascii="Times New Roman" w:hAnsi="Times New Roman" w:hint="eastAsia"/>
          <w:b/>
          <w:bCs/>
          <w:spacing w:val="-3"/>
          <w:sz w:val="24"/>
          <w:szCs w:val="24"/>
        </w:rPr>
        <w:t>上传参数列表</w:t>
      </w:r>
    </w:p>
    <w:tbl>
      <w:tblPr>
        <w:tblStyle w:val="TableNormal0"/>
        <w:tblW w:w="4998"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
      <w:tblGrid>
        <w:gridCol w:w="870"/>
        <w:gridCol w:w="3776"/>
        <w:gridCol w:w="3663"/>
      </w:tblGrid>
      <w:tr>
        <w:tblPrEx>
          <w:tblW w:w="4998"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Ex>
        <w:trPr>
          <w:trHeight w:val="569"/>
        </w:trPr>
        <w:tc>
          <w:tcPr>
            <w:tcW w:w="524" w:type="pct"/>
            <w:vAlign w:val="center"/>
          </w:tcPr>
          <w:p>
            <w:pPr>
              <w:widowControl/>
              <w:kinsoku w:val="0"/>
              <w:autoSpaceDE w:val="0"/>
              <w:autoSpaceDN w:val="0"/>
              <w:adjustRightInd w:val="0"/>
              <w:snapToGrid w:val="0"/>
              <w:spacing w:line="360" w:lineRule="auto"/>
              <w:ind w:left="105" w:leftChars="50"/>
              <w:jc w:val="center"/>
              <w:textAlignment w:val="baseline"/>
              <w:rPr>
                <w:rFonts w:ascii="Times New Roman" w:hAnsi="Times New Roman"/>
                <w:b/>
                <w:bCs/>
              </w:rPr>
            </w:pPr>
            <w:r>
              <w:rPr>
                <w:rFonts w:ascii="Times New Roman" w:hAnsi="Times New Roman" w:hint="eastAsia"/>
                <w:b/>
                <w:bCs/>
                <w:sz w:val="24"/>
                <w:szCs w:val="24"/>
              </w:rPr>
              <w:t>序号</w:t>
            </w:r>
          </w:p>
        </w:tc>
        <w:tc>
          <w:tcPr>
            <w:tcW w:w="2272" w:type="pct"/>
            <w:vAlign w:val="center"/>
          </w:tcPr>
          <w:p>
            <w:pPr>
              <w:widowControl/>
              <w:kinsoku w:val="0"/>
              <w:autoSpaceDE w:val="0"/>
              <w:autoSpaceDN w:val="0"/>
              <w:adjustRightInd w:val="0"/>
              <w:snapToGrid w:val="0"/>
              <w:spacing w:line="360" w:lineRule="auto"/>
              <w:ind w:left="105" w:leftChars="50"/>
              <w:jc w:val="center"/>
              <w:textAlignment w:val="baseline"/>
              <w:rPr>
                <w:rFonts w:ascii="Times New Roman" w:hAnsi="Times New Roman"/>
                <w:b/>
                <w:bCs/>
              </w:rPr>
            </w:pPr>
            <w:r>
              <w:rPr>
                <w:rFonts w:ascii="Times New Roman" w:hAnsi="Times New Roman" w:hint="eastAsia"/>
                <w:b/>
                <w:bCs/>
                <w:sz w:val="24"/>
                <w:szCs w:val="24"/>
              </w:rPr>
              <w:t>上传参数</w:t>
            </w:r>
          </w:p>
        </w:tc>
        <w:tc>
          <w:tcPr>
            <w:tcW w:w="2202" w:type="pct"/>
            <w:vAlign w:val="center"/>
          </w:tcPr>
          <w:p>
            <w:pPr>
              <w:widowControl/>
              <w:kinsoku w:val="0"/>
              <w:autoSpaceDE w:val="0"/>
              <w:autoSpaceDN w:val="0"/>
              <w:adjustRightInd w:val="0"/>
              <w:snapToGrid w:val="0"/>
              <w:spacing w:line="360" w:lineRule="auto"/>
              <w:ind w:left="105" w:leftChars="50"/>
              <w:jc w:val="center"/>
              <w:textAlignment w:val="baseline"/>
              <w:rPr>
                <w:rFonts w:ascii="Times New Roman" w:hAnsi="Times New Roman"/>
                <w:b/>
                <w:bCs/>
              </w:rPr>
            </w:pPr>
            <w:r>
              <w:rPr>
                <w:rFonts w:ascii="Times New Roman" w:hAnsi="Times New Roman" w:hint="eastAsia"/>
                <w:b/>
                <w:bCs/>
                <w:sz w:val="24"/>
                <w:szCs w:val="24"/>
              </w:rPr>
              <w:t>备注</w:t>
            </w:r>
          </w:p>
        </w:tc>
      </w:tr>
      <w:tr>
        <w:tblPrEx>
          <w:tblW w:w="4998" w:type="pct"/>
          <w:tblInd w:w="0" w:type="dxa"/>
          <w:tblCellMar>
            <w:top w:w="0" w:type="dxa"/>
            <w:left w:w="0" w:type="dxa"/>
            <w:bottom w:w="0" w:type="dxa"/>
            <w:right w:w="0" w:type="dxa"/>
          </w:tblCellMar>
        </w:tblPrEx>
        <w:trPr>
          <w:trHeight w:val="564"/>
        </w:trPr>
        <w:tc>
          <w:tcPr>
            <w:tcW w:w="5000" w:type="pct"/>
            <w:gridSpan w:val="3"/>
            <w:vAlign w:val="center"/>
          </w:tcPr>
          <w:p>
            <w:pPr>
              <w:widowControl/>
              <w:kinsoku w:val="0"/>
              <w:autoSpaceDE w:val="0"/>
              <w:autoSpaceDN w:val="0"/>
              <w:adjustRightInd w:val="0"/>
              <w:snapToGrid w:val="0"/>
              <w:spacing w:line="360" w:lineRule="auto"/>
              <w:ind w:left="105" w:leftChars="50"/>
              <w:jc w:val="center"/>
              <w:textAlignment w:val="baseline"/>
              <w:rPr>
                <w:rFonts w:ascii="Times New Roman" w:hAnsi="Times New Roman"/>
              </w:rPr>
            </w:pPr>
            <w:r>
              <w:rPr>
                <w:rFonts w:ascii="Times New Roman" w:hAnsi="Times New Roman" w:hint="eastAsia"/>
                <w:b/>
                <w:bCs/>
                <w:sz w:val="24"/>
                <w:szCs w:val="24"/>
              </w:rPr>
              <w:t>雷达静态参数</w:t>
            </w:r>
          </w:p>
        </w:tc>
      </w:tr>
      <w:tr>
        <w:tblPrEx>
          <w:tblW w:w="4998" w:type="pct"/>
          <w:tblInd w:w="0" w:type="dxa"/>
          <w:tblCellMar>
            <w:top w:w="0" w:type="dxa"/>
            <w:left w:w="0" w:type="dxa"/>
            <w:bottom w:w="0" w:type="dxa"/>
            <w:right w:w="0" w:type="dxa"/>
          </w:tblCellMar>
        </w:tblPrEx>
        <w:trPr>
          <w:trHeight w:val="564"/>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1</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雷达站号</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p>
        </w:tc>
      </w:tr>
      <w:tr>
        <w:tblPrEx>
          <w:tblW w:w="4998" w:type="pct"/>
          <w:tblInd w:w="0" w:type="dxa"/>
          <w:tblCellMar>
            <w:top w:w="0" w:type="dxa"/>
            <w:left w:w="0" w:type="dxa"/>
            <w:bottom w:w="0" w:type="dxa"/>
            <w:right w:w="0" w:type="dxa"/>
          </w:tblCellMar>
        </w:tblPrEx>
        <w:trPr>
          <w:trHeight w:val="564"/>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2</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站点名称</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3</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纬度</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4</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经度</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5</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天线高度</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天线阵面中心高度，单位：</w:t>
            </w:r>
            <w:r>
              <w:rPr>
                <w:rFonts w:ascii="Times New Roman" w:hAnsi="Times New Roman"/>
                <w:sz w:val="24"/>
                <w:szCs w:val="24"/>
              </w:rPr>
              <w:t>m</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6</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地面高度</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m</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7</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雷达类型</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8</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雷达型号</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9</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终端软件版本号</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监控软件</w:t>
            </w:r>
          </w:p>
        </w:tc>
      </w:tr>
      <w:tr>
        <w:tblPrEx>
          <w:tblW w:w="4998" w:type="pct"/>
          <w:tblInd w:w="0" w:type="dxa"/>
          <w:tblCellMar>
            <w:top w:w="0" w:type="dxa"/>
            <w:left w:w="0" w:type="dxa"/>
            <w:bottom w:w="0" w:type="dxa"/>
            <w:right w:w="0" w:type="dxa"/>
          </w:tblCellMar>
        </w:tblPrEx>
        <w:trPr>
          <w:trHeight w:val="564"/>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10</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工作频率</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MHz</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11</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水平通道发射增益</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dB</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12</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垂直通道发射增益</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dB</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13</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水平通道接收增益</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dB</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14</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垂直通道接收增益</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dB</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15</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水平极化发射波束宽度</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16</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垂直极化发射波束宽度</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w:t>
            </w:r>
          </w:p>
        </w:tc>
      </w:tr>
      <w:tr>
        <w:tblPrEx>
          <w:tblW w:w="4998" w:type="pct"/>
          <w:tblInd w:w="0" w:type="dxa"/>
          <w:tblCellMar>
            <w:top w:w="0" w:type="dxa"/>
            <w:left w:w="0" w:type="dxa"/>
            <w:bottom w:w="0" w:type="dxa"/>
            <w:right w:w="0" w:type="dxa"/>
          </w:tblCellMar>
        </w:tblPrEx>
        <w:trPr>
          <w:trHeight w:val="567"/>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17</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水平极化接收波束宽度</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w:t>
            </w:r>
          </w:p>
        </w:tc>
      </w:tr>
      <w:tr>
        <w:tblPrEx>
          <w:tblW w:w="4998" w:type="pct"/>
          <w:tblInd w:w="0" w:type="dxa"/>
          <w:tblCellMar>
            <w:top w:w="0" w:type="dxa"/>
            <w:left w:w="0" w:type="dxa"/>
            <w:bottom w:w="0" w:type="dxa"/>
            <w:right w:w="0" w:type="dxa"/>
          </w:tblCellMar>
        </w:tblPrEx>
        <w:trPr>
          <w:trHeight w:val="564"/>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18</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垂直极化接收波束宽度</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19</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发射馈线损耗</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dB</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20</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接收馈线损耗</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dB</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21</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其他损耗</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dB</w:t>
            </w:r>
          </w:p>
        </w:tc>
      </w:tr>
      <w:tr>
        <w:tblPrEx>
          <w:tblW w:w="4998" w:type="pct"/>
          <w:tblInd w:w="0" w:type="dxa"/>
          <w:tblCellMar>
            <w:top w:w="0" w:type="dxa"/>
            <w:left w:w="0" w:type="dxa"/>
            <w:bottom w:w="0" w:type="dxa"/>
            <w:right w:w="0" w:type="dxa"/>
          </w:tblCellMar>
        </w:tblPrEx>
        <w:trPr>
          <w:trHeight w:val="565"/>
        </w:trPr>
        <w:tc>
          <w:tcPr>
            <w:tcW w:w="5000" w:type="pct"/>
            <w:gridSpan w:val="3"/>
            <w:vAlign w:val="center"/>
          </w:tcPr>
          <w:p>
            <w:pPr>
              <w:widowControl/>
              <w:kinsoku w:val="0"/>
              <w:autoSpaceDE w:val="0"/>
              <w:autoSpaceDN w:val="0"/>
              <w:adjustRightInd w:val="0"/>
              <w:snapToGrid w:val="0"/>
              <w:spacing w:line="360" w:lineRule="auto"/>
              <w:ind w:left="105" w:leftChars="50"/>
              <w:jc w:val="center"/>
              <w:textAlignment w:val="baseline"/>
              <w:rPr>
                <w:rFonts w:ascii="Times New Roman" w:hAnsi="Times New Roman"/>
              </w:rPr>
            </w:pPr>
            <w:r>
              <w:rPr>
                <w:rFonts w:ascii="Times New Roman" w:hAnsi="Times New Roman" w:hint="eastAsia"/>
                <w:b/>
                <w:bCs/>
                <w:sz w:val="24"/>
                <w:szCs w:val="24"/>
              </w:rPr>
              <w:t>雷达运行模式参数</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22</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日期</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23</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时间</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24</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体扫模式</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25</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控制权标志</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本控、遥控</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26</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系统状态</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正常、可用、需维护、故障、关机</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27</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上传状态数据格式版本号</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28</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雷达标记</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相控阵、多普勒、双偏振</w:t>
            </w:r>
          </w:p>
        </w:tc>
      </w:tr>
      <w:tr>
        <w:tblPrEx>
          <w:tblW w:w="4998" w:type="pct"/>
          <w:tblInd w:w="0" w:type="dxa"/>
          <w:tblCellMar>
            <w:top w:w="0" w:type="dxa"/>
            <w:left w:w="0" w:type="dxa"/>
            <w:bottom w:w="0" w:type="dxa"/>
            <w:right w:w="0" w:type="dxa"/>
          </w:tblCellMar>
        </w:tblPrEx>
        <w:trPr>
          <w:trHeight w:val="565"/>
        </w:trPr>
        <w:tc>
          <w:tcPr>
            <w:tcW w:w="5000" w:type="pct"/>
            <w:gridSpan w:val="3"/>
            <w:vAlign w:val="center"/>
          </w:tcPr>
          <w:p>
            <w:pPr>
              <w:widowControl/>
              <w:kinsoku w:val="0"/>
              <w:autoSpaceDE w:val="0"/>
              <w:autoSpaceDN w:val="0"/>
              <w:adjustRightInd w:val="0"/>
              <w:snapToGrid w:val="0"/>
              <w:spacing w:line="360" w:lineRule="auto"/>
              <w:ind w:left="105" w:leftChars="50"/>
              <w:jc w:val="center"/>
              <w:textAlignment w:val="baseline"/>
              <w:rPr>
                <w:rFonts w:ascii="Times New Roman" w:hAnsi="Times New Roman"/>
              </w:rPr>
            </w:pPr>
            <w:r>
              <w:rPr>
                <w:rFonts w:ascii="Times New Roman" w:hAnsi="Times New Roman" w:hint="eastAsia"/>
                <w:b/>
                <w:bCs/>
                <w:sz w:val="24"/>
                <w:szCs w:val="24"/>
              </w:rPr>
              <w:t>雷达运行环境参数</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29</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阵面温度</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w:t>
            </w:r>
          </w:p>
        </w:tc>
      </w:tr>
      <w:tr>
        <w:tblPrEx>
          <w:tblW w:w="4998" w:type="pct"/>
          <w:tblInd w:w="0" w:type="dxa"/>
          <w:tblCellMar>
            <w:top w:w="0" w:type="dxa"/>
            <w:left w:w="0" w:type="dxa"/>
            <w:bottom w:w="0" w:type="dxa"/>
            <w:right w:w="0" w:type="dxa"/>
          </w:tblCellMar>
        </w:tblPrEx>
        <w:trPr>
          <w:trHeight w:val="564"/>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30</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各组件温度</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31</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底座温度</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32</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组件总电压</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V</w:t>
            </w:r>
          </w:p>
        </w:tc>
      </w:tr>
      <w:tr>
        <w:tblPrEx>
          <w:tblW w:w="4998" w:type="pct"/>
          <w:tblInd w:w="0" w:type="dxa"/>
          <w:tblCellMar>
            <w:top w:w="0" w:type="dxa"/>
            <w:left w:w="0" w:type="dxa"/>
            <w:bottom w:w="0" w:type="dxa"/>
            <w:right w:w="0" w:type="dxa"/>
          </w:tblCellMar>
        </w:tblPrEx>
        <w:trPr>
          <w:trHeight w:val="578"/>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33</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组件总电流</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A</w:t>
            </w:r>
          </w:p>
        </w:tc>
      </w:tr>
      <w:tr>
        <w:tblPrEx>
          <w:tblW w:w="4998" w:type="pct"/>
          <w:tblInd w:w="0" w:type="dxa"/>
          <w:tblCellMar>
            <w:top w:w="0" w:type="dxa"/>
            <w:left w:w="0" w:type="dxa"/>
            <w:bottom w:w="0" w:type="dxa"/>
            <w:right w:w="0" w:type="dxa"/>
          </w:tblCellMar>
        </w:tblPrEx>
        <w:trPr>
          <w:trHeight w:val="578"/>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34</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各组件功率</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W</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35</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各组件工作状态</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正常、警告、故障</w:t>
            </w:r>
          </w:p>
        </w:tc>
      </w:tr>
      <w:tr>
        <w:tblPrEx>
          <w:tblW w:w="4998" w:type="pct"/>
          <w:tblInd w:w="0" w:type="dxa"/>
          <w:tblCellMar>
            <w:top w:w="0" w:type="dxa"/>
            <w:left w:w="0" w:type="dxa"/>
            <w:bottom w:w="0" w:type="dxa"/>
            <w:right w:w="0" w:type="dxa"/>
          </w:tblCellMar>
        </w:tblPrEx>
        <w:trPr>
          <w:trHeight w:val="565"/>
        </w:trPr>
        <w:tc>
          <w:tcPr>
            <w:tcW w:w="5000" w:type="pct"/>
            <w:gridSpan w:val="3"/>
            <w:vAlign w:val="center"/>
          </w:tcPr>
          <w:p>
            <w:pPr>
              <w:widowControl/>
              <w:kinsoku w:val="0"/>
              <w:autoSpaceDE w:val="0"/>
              <w:autoSpaceDN w:val="0"/>
              <w:adjustRightInd w:val="0"/>
              <w:snapToGrid w:val="0"/>
              <w:spacing w:line="360" w:lineRule="auto"/>
              <w:ind w:left="105" w:leftChars="50"/>
              <w:jc w:val="center"/>
              <w:textAlignment w:val="baseline"/>
              <w:rPr>
                <w:rFonts w:ascii="Times New Roman" w:hAnsi="Times New Roman"/>
              </w:rPr>
            </w:pPr>
            <w:r>
              <w:rPr>
                <w:rFonts w:ascii="Times New Roman" w:hAnsi="Times New Roman" w:hint="eastAsia"/>
                <w:b/>
                <w:bCs/>
                <w:sz w:val="24"/>
                <w:szCs w:val="24"/>
              </w:rPr>
              <w:t>雷达在线标定参数</w:t>
            </w:r>
          </w:p>
        </w:tc>
      </w:tr>
      <w:tr>
        <w:tblPrEx>
          <w:tblW w:w="4998" w:type="pct"/>
          <w:tblInd w:w="0" w:type="dxa"/>
          <w:tblCellMar>
            <w:top w:w="0" w:type="dxa"/>
            <w:left w:w="0" w:type="dxa"/>
            <w:bottom w:w="0" w:type="dxa"/>
            <w:right w:w="0" w:type="dxa"/>
          </w:tblCellMar>
        </w:tblPrEx>
        <w:trPr>
          <w:trHeight w:val="567"/>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36</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水平通道滤波前回波强度</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dBZ</w:t>
            </w:r>
          </w:p>
        </w:tc>
      </w:tr>
      <w:tr>
        <w:tblPrEx>
          <w:tblW w:w="4998" w:type="pct"/>
          <w:tblInd w:w="0" w:type="dxa"/>
          <w:tblCellMar>
            <w:top w:w="0" w:type="dxa"/>
            <w:left w:w="0" w:type="dxa"/>
            <w:bottom w:w="0" w:type="dxa"/>
            <w:right w:w="0" w:type="dxa"/>
          </w:tblCellMar>
        </w:tblPrEx>
        <w:trPr>
          <w:trHeight w:val="564"/>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37</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水平通道滤波后回波强度</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dBZ</w:t>
            </w:r>
          </w:p>
        </w:tc>
      </w:tr>
      <w:tr>
        <w:tblPrEx>
          <w:tblW w:w="4998" w:type="pct"/>
          <w:tblInd w:w="0" w:type="dxa"/>
          <w:tblCellMar>
            <w:top w:w="0" w:type="dxa"/>
            <w:left w:w="0" w:type="dxa"/>
            <w:bottom w:w="0" w:type="dxa"/>
            <w:right w:w="0" w:type="dxa"/>
          </w:tblCellMar>
        </w:tblPrEx>
        <w:trPr>
          <w:trHeight w:val="564"/>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38</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垂直通道滤波前回波强度</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dBZ</w:t>
            </w:r>
          </w:p>
        </w:tc>
      </w:tr>
      <w:tr>
        <w:tblPrEx>
          <w:tblW w:w="4998" w:type="pct"/>
          <w:tblInd w:w="0" w:type="dxa"/>
          <w:tblCellMar>
            <w:top w:w="0" w:type="dxa"/>
            <w:left w:w="0" w:type="dxa"/>
            <w:bottom w:w="0" w:type="dxa"/>
            <w:right w:w="0" w:type="dxa"/>
          </w:tblCellMar>
        </w:tblPrEx>
        <w:trPr>
          <w:trHeight w:val="564"/>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39</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垂直通道滤波后回波强度</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dBZ</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40</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各水平极化单元峰值功率</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W</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41</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各垂直极化单元峰值功率</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W</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42</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水平极化短脉冲宽度</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μs</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43</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水平极化中脉冲宽度</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μs</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44</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水平极化长脉冲宽度</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μs</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45</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垂直极化短脉冲宽度</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μs</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46</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垂直极化中脉冲宽度</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μs</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47</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垂直极化长脉冲宽度</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μs</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48</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水平极化短脉冲噪声系数</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dB</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49</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水平极化中脉冲噪声系数</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dB</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50</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水平极化长脉冲噪声系数</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dB</w:t>
            </w:r>
          </w:p>
        </w:tc>
      </w:tr>
      <w:tr>
        <w:tblPrEx>
          <w:tblW w:w="4998" w:type="pct"/>
          <w:tblInd w:w="0" w:type="dxa"/>
          <w:tblCellMar>
            <w:top w:w="0" w:type="dxa"/>
            <w:left w:w="0" w:type="dxa"/>
            <w:bottom w:w="0" w:type="dxa"/>
            <w:right w:w="0" w:type="dxa"/>
          </w:tblCellMar>
        </w:tblPrEx>
        <w:trPr>
          <w:trHeight w:val="564"/>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51</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垂直极化短脉冲噪声系数</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dB</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52</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垂直极化中脉冲噪声系数</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dB</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53</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垂直极化长脉冲噪声系数</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dB</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54</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反射率因子期望值</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dBZ</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55</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反射率因子测量值</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dBZ</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56</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速度期望值</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m/s</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57</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速度测量值</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m/s</w:t>
            </w:r>
          </w:p>
        </w:tc>
      </w:tr>
      <w:tr>
        <w:tblPrEx>
          <w:tblW w:w="4998" w:type="pct"/>
          <w:tblInd w:w="0" w:type="dxa"/>
          <w:tblCellMar>
            <w:top w:w="0" w:type="dxa"/>
            <w:left w:w="0" w:type="dxa"/>
            <w:bottom w:w="0" w:type="dxa"/>
            <w:right w:w="0" w:type="dxa"/>
          </w:tblCellMar>
        </w:tblPrEx>
        <w:trPr>
          <w:trHeight w:val="567"/>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58</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谱宽期望值</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m/s</w:t>
            </w:r>
          </w:p>
        </w:tc>
      </w:tr>
      <w:tr>
        <w:tblPrEx>
          <w:tblW w:w="4998" w:type="pct"/>
          <w:tblInd w:w="0" w:type="dxa"/>
          <w:tblCellMar>
            <w:top w:w="0" w:type="dxa"/>
            <w:left w:w="0" w:type="dxa"/>
            <w:bottom w:w="0" w:type="dxa"/>
            <w:right w:w="0" w:type="dxa"/>
          </w:tblCellMar>
        </w:tblPrEx>
        <w:trPr>
          <w:trHeight w:val="564"/>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59</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谱宽测量值</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m/s</w:t>
            </w:r>
          </w:p>
        </w:tc>
      </w:tr>
      <w:tr>
        <w:tblPrEx>
          <w:tblW w:w="4998" w:type="pct"/>
          <w:tblInd w:w="0" w:type="dxa"/>
          <w:tblCellMar>
            <w:top w:w="0" w:type="dxa"/>
            <w:left w:w="0" w:type="dxa"/>
            <w:bottom w:w="0" w:type="dxa"/>
            <w:right w:w="0" w:type="dxa"/>
          </w:tblCellMar>
        </w:tblPrEx>
        <w:trPr>
          <w:trHeight w:val="564"/>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60</w:t>
            </w:r>
          </w:p>
        </w:tc>
        <w:tc>
          <w:tcPr>
            <w:tcW w:w="2272" w:type="pct"/>
            <w:vAlign w:val="center"/>
          </w:tcPr>
          <w:p>
            <w:pPr>
              <w:widowControl/>
              <w:spacing w:line="360" w:lineRule="auto"/>
              <w:ind w:left="105" w:leftChars="50"/>
              <w:rPr>
                <w:rFonts w:ascii="Times New Roman" w:hAnsi="Times New Roman"/>
              </w:rPr>
            </w:pPr>
            <w:r>
              <w:rPr>
                <w:rFonts w:ascii="Times New Roman" w:hAnsi="Times New Roman"/>
                <w:snapToGrid w:val="0"/>
                <w:color w:val="000000"/>
                <w:kern w:val="0"/>
                <w:sz w:val="24"/>
                <w:szCs w:val="24"/>
                <w:lang w:bidi="ar"/>
              </w:rPr>
              <w:t>ZDR</w:t>
            </w:r>
            <w:r>
              <w:rPr>
                <w:rFonts w:ascii="Times New Roman" w:hAnsi="Times New Roman" w:hint="eastAsia"/>
                <w:sz w:val="24"/>
                <w:szCs w:val="24"/>
              </w:rPr>
              <w:t>标定值</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dB</w:t>
            </w:r>
          </w:p>
        </w:tc>
      </w:tr>
      <w:tr>
        <w:tblPrEx>
          <w:tblW w:w="4998" w:type="pct"/>
          <w:tblInd w:w="0" w:type="dxa"/>
          <w:tblCellMar>
            <w:top w:w="0" w:type="dxa"/>
            <w:left w:w="0" w:type="dxa"/>
            <w:bottom w:w="0" w:type="dxa"/>
            <w:right w:w="0" w:type="dxa"/>
          </w:tblCellMar>
        </w:tblPrEx>
        <w:trPr>
          <w:trHeight w:val="564"/>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61</w:t>
            </w:r>
          </w:p>
        </w:tc>
        <w:tc>
          <w:tcPr>
            <w:tcW w:w="2272" w:type="pct"/>
            <w:vAlign w:val="center"/>
          </w:tcPr>
          <w:p>
            <w:pPr>
              <w:widowControl/>
              <w:spacing w:line="360" w:lineRule="auto"/>
              <w:ind w:left="105" w:leftChars="50"/>
              <w:rPr>
                <w:rFonts w:ascii="Times New Roman" w:hAnsi="Times New Roman"/>
              </w:rPr>
            </w:pPr>
            <w:r>
              <w:rPr>
                <w:rFonts w:ascii="Times New Roman" w:hAnsi="Times New Roman"/>
                <w:snapToGrid w:val="0"/>
                <w:color w:val="000000"/>
                <w:kern w:val="0"/>
                <w:sz w:val="24"/>
                <w:szCs w:val="24"/>
                <w:lang w:bidi="ar"/>
              </w:rPr>
              <w:t>ΦDP</w:t>
            </w:r>
            <w:r>
              <w:rPr>
                <w:rFonts w:ascii="Times New Roman" w:hAnsi="Times New Roman" w:hint="eastAsia"/>
                <w:sz w:val="24"/>
                <w:szCs w:val="24"/>
              </w:rPr>
              <w:t>标定值</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62</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短脉冲系统标定常数</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dB</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63</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中脉冲系统标定常数</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dB</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64</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长脉冲系统标定常数</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dB</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65</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其他脉冲宽度系统标定常数</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dB</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66</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各发射单元幅度</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dB</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67</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各发射单元相位</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68</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各接收单元幅度</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dB</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69</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各接收单元相位</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70</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水平极化系统发射功率</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W</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71</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垂直极化系统发射功率</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W</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72</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水平极化系统接收增益</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dB</w:t>
            </w:r>
          </w:p>
        </w:tc>
      </w:tr>
      <w:tr>
        <w:tblPrEx>
          <w:tblW w:w="4998" w:type="pct"/>
          <w:tblInd w:w="0" w:type="dxa"/>
          <w:tblCellMar>
            <w:top w:w="0" w:type="dxa"/>
            <w:left w:w="0" w:type="dxa"/>
            <w:bottom w:w="0" w:type="dxa"/>
            <w:right w:w="0" w:type="dxa"/>
          </w:tblCellMar>
        </w:tblPrEx>
        <w:trPr>
          <w:trHeight w:val="564"/>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73</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垂直极化系统接收增益</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dB</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74</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各水平极化单元相位噪声</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75</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各垂直极化单元相位噪声</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p>
        </w:tc>
      </w:tr>
      <w:tr>
        <w:tblPrEx>
          <w:tblW w:w="4998" w:type="pct"/>
          <w:tblInd w:w="0" w:type="dxa"/>
          <w:tblCellMar>
            <w:top w:w="0" w:type="dxa"/>
            <w:left w:w="0" w:type="dxa"/>
            <w:bottom w:w="0" w:type="dxa"/>
            <w:right w:w="0" w:type="dxa"/>
          </w:tblCellMar>
        </w:tblPrEx>
        <w:trPr>
          <w:trHeight w:val="565"/>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76</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各水平极化单元不同脉宽噪声电平</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dB</w:t>
            </w:r>
          </w:p>
        </w:tc>
      </w:tr>
      <w:tr>
        <w:tblPrEx>
          <w:tblW w:w="4998" w:type="pct"/>
          <w:tblInd w:w="0" w:type="dxa"/>
          <w:tblCellMar>
            <w:top w:w="0" w:type="dxa"/>
            <w:left w:w="0" w:type="dxa"/>
            <w:bottom w:w="0" w:type="dxa"/>
            <w:right w:w="0" w:type="dxa"/>
          </w:tblCellMar>
        </w:tblPrEx>
        <w:trPr>
          <w:trHeight w:val="569"/>
        </w:trPr>
        <w:tc>
          <w:tcPr>
            <w:tcW w:w="524"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77</w:t>
            </w:r>
          </w:p>
        </w:tc>
        <w:tc>
          <w:tcPr>
            <w:tcW w:w="227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各垂直极化单元不同脉宽噪声电平</w:t>
            </w:r>
          </w:p>
        </w:tc>
        <w:tc>
          <w:tcPr>
            <w:tcW w:w="2202" w:type="pct"/>
            <w:vAlign w:val="center"/>
          </w:tcPr>
          <w:p>
            <w:pPr>
              <w:widowControl/>
              <w:kinsoku w:val="0"/>
              <w:autoSpaceDE w:val="0"/>
              <w:autoSpaceDN w:val="0"/>
              <w:adjustRightInd w:val="0"/>
              <w:snapToGrid w:val="0"/>
              <w:spacing w:line="360" w:lineRule="auto"/>
              <w:ind w:left="105" w:leftChars="50"/>
              <w:textAlignment w:val="baseline"/>
              <w:rPr>
                <w:rFonts w:ascii="Times New Roman" w:hAnsi="Times New Roman"/>
              </w:rPr>
            </w:pPr>
            <w:r>
              <w:rPr>
                <w:rFonts w:ascii="Times New Roman" w:hAnsi="Times New Roman" w:hint="eastAsia"/>
                <w:sz w:val="24"/>
                <w:szCs w:val="24"/>
              </w:rPr>
              <w:t>单位：</w:t>
            </w:r>
            <w:r>
              <w:rPr>
                <w:rFonts w:ascii="Times New Roman" w:hAnsi="Times New Roman"/>
                <w:sz w:val="24"/>
                <w:szCs w:val="24"/>
              </w:rPr>
              <w:t>dB</w:t>
            </w:r>
          </w:p>
        </w:tc>
      </w:tr>
    </w:tbl>
    <w:p>
      <w:pPr>
        <w:tabs>
          <w:tab w:val="left" w:pos="2340"/>
        </w:tabs>
        <w:spacing w:line="360" w:lineRule="auto"/>
        <w:ind w:firstLine="482"/>
        <w:rPr>
          <w:rFonts w:ascii="Times New Roman" w:hAnsi="Times New Roman"/>
          <w:b/>
        </w:rPr>
      </w:pPr>
      <w:bookmarkStart w:id="70" w:name="bookmark26"/>
      <w:bookmarkEnd w:id="70"/>
      <w:r>
        <w:rPr>
          <w:rFonts w:ascii="Times New Roman" w:hAnsi="Times New Roman"/>
          <w:b/>
          <w:sz w:val="24"/>
          <w:szCs w:val="24"/>
        </w:rPr>
        <w:t>3.</w:t>
      </w:r>
      <w:r>
        <w:rPr>
          <w:rFonts w:ascii="Times New Roman" w:hAnsi="Times New Roman" w:hint="eastAsia"/>
          <w:b/>
          <w:sz w:val="24"/>
          <w:szCs w:val="24"/>
          <w:lang w:val="en-US" w:eastAsia="zh-CN"/>
        </w:rPr>
        <w:t>9</w:t>
      </w:r>
      <w:r>
        <w:rPr>
          <w:rFonts w:ascii="Times New Roman" w:hAnsi="Times New Roman" w:hint="eastAsia"/>
          <w:b/>
          <w:sz w:val="24"/>
          <w:szCs w:val="24"/>
        </w:rPr>
        <w:t>气象产品要求</w:t>
      </w:r>
    </w:p>
    <w:p>
      <w:pPr>
        <w:tabs>
          <w:tab w:val="left" w:pos="2340"/>
        </w:tabs>
        <w:spacing w:line="360" w:lineRule="auto"/>
        <w:ind w:firstLine="480"/>
        <w:rPr>
          <w:rFonts w:ascii="Times New Roman" w:hAnsi="Times New Roman"/>
          <w:bCs/>
        </w:rPr>
      </w:pPr>
      <w:r>
        <w:rPr>
          <w:rFonts w:ascii="Times New Roman" w:hAnsi="Times New Roman" w:hint="eastAsia"/>
          <w:bCs/>
          <w:sz w:val="24"/>
          <w:szCs w:val="24"/>
        </w:rPr>
        <w:t>（</w:t>
      </w:r>
      <w:r>
        <w:rPr>
          <w:rFonts w:ascii="Times New Roman" w:hAnsi="Times New Roman"/>
          <w:bCs/>
          <w:sz w:val="24"/>
          <w:szCs w:val="24"/>
        </w:rPr>
        <w:t>1</w:t>
      </w:r>
      <w:r>
        <w:rPr>
          <w:rFonts w:ascii="Times New Roman" w:hAnsi="Times New Roman" w:hint="eastAsia"/>
          <w:bCs/>
          <w:sz w:val="24"/>
          <w:szCs w:val="24"/>
        </w:rPr>
        <w:t>）数据质量控制</w:t>
      </w:r>
    </w:p>
    <w:p>
      <w:pPr>
        <w:tabs>
          <w:tab w:val="left" w:pos="2340"/>
        </w:tabs>
        <w:spacing w:line="360" w:lineRule="auto"/>
        <w:ind w:firstLine="480"/>
        <w:rPr>
          <w:rFonts w:ascii="Times New Roman" w:hAnsi="Times New Roman"/>
          <w:bCs/>
        </w:rPr>
      </w:pPr>
      <w:r>
        <w:rPr>
          <w:rFonts w:ascii="Times New Roman" w:hAnsi="Times New Roman" w:hint="eastAsia"/>
          <w:bCs/>
          <w:sz w:val="24"/>
          <w:szCs w:val="24"/>
        </w:rPr>
        <w:t>质量控制算法不少于</w:t>
      </w:r>
      <w:r>
        <w:rPr>
          <w:rFonts w:ascii="Times New Roman" w:hAnsi="Times New Roman"/>
          <w:bCs/>
          <w:sz w:val="24"/>
          <w:szCs w:val="24"/>
        </w:rPr>
        <w:t>7</w:t>
      </w:r>
      <w:r>
        <w:rPr>
          <w:rFonts w:ascii="Times New Roman" w:hAnsi="Times New Roman" w:hint="eastAsia"/>
          <w:bCs/>
          <w:sz w:val="24"/>
          <w:szCs w:val="24"/>
        </w:rPr>
        <w:t>种，利用不少于</w:t>
      </w:r>
      <w:r>
        <w:rPr>
          <w:rFonts w:ascii="Times New Roman" w:hAnsi="Times New Roman"/>
          <w:bCs/>
          <w:sz w:val="24"/>
          <w:szCs w:val="24"/>
        </w:rPr>
        <w:t>3</w:t>
      </w:r>
      <w:r>
        <w:rPr>
          <w:rFonts w:ascii="Times New Roman" w:hAnsi="Times New Roman" w:hint="eastAsia"/>
          <w:bCs/>
          <w:sz w:val="24"/>
          <w:szCs w:val="24"/>
        </w:rPr>
        <w:t>年的雷达标准数据集进行评估，算法质量需满足指标要求，具体见表</w:t>
      </w:r>
      <w:r>
        <w:rPr>
          <w:rFonts w:ascii="Times New Roman" w:hAnsi="Times New Roman" w:hint="eastAsia"/>
          <w:bCs/>
          <w:sz w:val="24"/>
          <w:szCs w:val="24"/>
          <w:lang w:val="en-US" w:eastAsia="zh-CN"/>
        </w:rPr>
        <w:t>10</w:t>
      </w:r>
      <w:r>
        <w:rPr>
          <w:rFonts w:ascii="Times New Roman" w:hAnsi="Times New Roman" w:hint="eastAsia"/>
          <w:bCs/>
          <w:sz w:val="24"/>
          <w:szCs w:val="24"/>
        </w:rPr>
        <w:t>。</w:t>
      </w:r>
    </w:p>
    <w:p>
      <w:pPr>
        <w:widowControl/>
        <w:kinsoku w:val="0"/>
        <w:autoSpaceDE w:val="0"/>
        <w:autoSpaceDN w:val="0"/>
        <w:adjustRightInd w:val="0"/>
        <w:snapToGrid w:val="0"/>
        <w:spacing w:line="360" w:lineRule="auto"/>
        <w:jc w:val="center"/>
        <w:textAlignment w:val="baseline"/>
        <w:rPr>
          <w:rFonts w:ascii="Times New Roman" w:hAnsi="Times New Roman"/>
          <w:b/>
          <w:bCs/>
        </w:rPr>
      </w:pPr>
      <w:r>
        <w:rPr>
          <w:rFonts w:ascii="Times New Roman" w:hAnsi="Times New Roman" w:hint="eastAsia"/>
          <w:b/>
          <w:bCs/>
          <w:spacing w:val="-6"/>
          <w:sz w:val="24"/>
          <w:szCs w:val="24"/>
        </w:rPr>
        <w:t>表</w:t>
      </w:r>
      <w:r>
        <w:rPr>
          <w:rFonts w:ascii="Times New Roman" w:hAnsi="Times New Roman" w:hint="eastAsia"/>
          <w:b/>
          <w:bCs/>
          <w:spacing w:val="-6"/>
          <w:sz w:val="24"/>
          <w:szCs w:val="24"/>
          <w:lang w:val="en-US" w:eastAsia="zh-CN"/>
        </w:rPr>
        <w:t>10</w:t>
      </w:r>
      <w:r>
        <w:rPr>
          <w:rFonts w:ascii="Times New Roman" w:hAnsi="Times New Roman"/>
          <w:b/>
          <w:bCs/>
          <w:spacing w:val="-6"/>
          <w:sz w:val="24"/>
          <w:szCs w:val="24"/>
        </w:rPr>
        <w:t xml:space="preserve"> </w:t>
      </w:r>
      <w:r>
        <w:rPr>
          <w:rFonts w:ascii="Times New Roman" w:hAnsi="Times New Roman" w:hint="eastAsia"/>
          <w:b/>
          <w:bCs/>
          <w:spacing w:val="-6"/>
          <w:sz w:val="24"/>
          <w:szCs w:val="24"/>
        </w:rPr>
        <w:t>质控算法列表</w:t>
      </w:r>
    </w:p>
    <w:tbl>
      <w:tblPr>
        <w:tblStyle w:val="TableNormal0"/>
        <w:tblW w:w="5002"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
      <w:tblGrid>
        <w:gridCol w:w="723"/>
        <w:gridCol w:w="3746"/>
        <w:gridCol w:w="3846"/>
      </w:tblGrid>
      <w:tr>
        <w:tblPrEx>
          <w:tblW w:w="5002"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Ex>
        <w:trPr>
          <w:trHeight w:val="570"/>
        </w:trPr>
        <w:tc>
          <w:tcPr>
            <w:tcW w:w="435"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b/>
                <w:bCs/>
              </w:rPr>
            </w:pPr>
            <w:r>
              <w:rPr>
                <w:rFonts w:ascii="Times New Roman" w:hAnsi="Times New Roman" w:hint="eastAsia"/>
                <w:b/>
                <w:bCs/>
                <w:sz w:val="24"/>
                <w:szCs w:val="24"/>
              </w:rPr>
              <w:t>序号</w:t>
            </w:r>
          </w:p>
        </w:tc>
        <w:tc>
          <w:tcPr>
            <w:tcW w:w="2252"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b/>
                <w:bCs/>
              </w:rPr>
            </w:pPr>
            <w:r>
              <w:rPr>
                <w:rFonts w:ascii="Times New Roman" w:hAnsi="Times New Roman" w:hint="eastAsia"/>
                <w:b/>
                <w:bCs/>
                <w:sz w:val="24"/>
                <w:szCs w:val="24"/>
              </w:rPr>
              <w:t>算法名称</w:t>
            </w:r>
          </w:p>
        </w:tc>
        <w:tc>
          <w:tcPr>
            <w:tcW w:w="2312"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b/>
                <w:bCs/>
              </w:rPr>
            </w:pPr>
            <w:r>
              <w:rPr>
                <w:rFonts w:ascii="Times New Roman" w:hAnsi="Times New Roman" w:hint="eastAsia"/>
                <w:b/>
                <w:bCs/>
                <w:sz w:val="24"/>
                <w:szCs w:val="24"/>
              </w:rPr>
              <w:t>指标要求</w:t>
            </w:r>
          </w:p>
        </w:tc>
      </w:tr>
      <w:tr>
        <w:tblPrEx>
          <w:tblW w:w="5002" w:type="pct"/>
          <w:tblInd w:w="0" w:type="dxa"/>
          <w:tblCellMar>
            <w:top w:w="0" w:type="dxa"/>
            <w:left w:w="0" w:type="dxa"/>
            <w:bottom w:w="0" w:type="dxa"/>
            <w:right w:w="0" w:type="dxa"/>
          </w:tblCellMar>
        </w:tblPrEx>
        <w:trPr>
          <w:trHeight w:val="1124"/>
        </w:trPr>
        <w:tc>
          <w:tcPr>
            <w:tcW w:w="435"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1</w:t>
            </w:r>
          </w:p>
        </w:tc>
        <w:tc>
          <w:tcPr>
            <w:tcW w:w="2252"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hint="eastAsia"/>
                <w:sz w:val="24"/>
                <w:szCs w:val="24"/>
              </w:rPr>
              <w:t>反射率因子衰减订正</w:t>
            </w:r>
          </w:p>
        </w:tc>
        <w:tc>
          <w:tcPr>
            <w:tcW w:w="2312"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hint="eastAsia"/>
                <w:sz w:val="24"/>
                <w:szCs w:val="24"/>
              </w:rPr>
              <w:t>衰减订正后，与相邻</w:t>
            </w:r>
            <w:r>
              <w:rPr>
                <w:rFonts w:ascii="Times New Roman" w:hAnsi="Times New Roman"/>
                <w:sz w:val="24"/>
                <w:szCs w:val="24"/>
              </w:rPr>
              <w:t>S</w:t>
            </w:r>
            <w:r>
              <w:rPr>
                <w:rFonts w:ascii="Times New Roman" w:hAnsi="Times New Roman" w:hint="eastAsia"/>
                <w:sz w:val="24"/>
                <w:szCs w:val="24"/>
              </w:rPr>
              <w:t>波段雷达相比平均偏差≤</w:t>
            </w:r>
            <w:r>
              <w:rPr>
                <w:rFonts w:ascii="Times New Roman" w:hAnsi="Times New Roman"/>
                <w:sz w:val="24"/>
                <w:szCs w:val="24"/>
              </w:rPr>
              <w:t>2.5dB</w:t>
            </w:r>
          </w:p>
        </w:tc>
      </w:tr>
      <w:tr>
        <w:tblPrEx>
          <w:tblW w:w="5002" w:type="pct"/>
          <w:tblInd w:w="0" w:type="dxa"/>
          <w:tblCellMar>
            <w:top w:w="0" w:type="dxa"/>
            <w:left w:w="0" w:type="dxa"/>
            <w:bottom w:w="0" w:type="dxa"/>
            <w:right w:w="0" w:type="dxa"/>
          </w:tblCellMar>
        </w:tblPrEx>
        <w:trPr>
          <w:trHeight w:val="1124"/>
        </w:trPr>
        <w:tc>
          <w:tcPr>
            <w:tcW w:w="435"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2</w:t>
            </w:r>
          </w:p>
        </w:tc>
        <w:tc>
          <w:tcPr>
            <w:tcW w:w="2252"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hint="eastAsia"/>
                <w:sz w:val="24"/>
                <w:szCs w:val="24"/>
              </w:rPr>
              <w:t>差分反射率因子衰减订正</w:t>
            </w:r>
          </w:p>
        </w:tc>
        <w:tc>
          <w:tcPr>
            <w:tcW w:w="2312"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hint="eastAsia"/>
                <w:sz w:val="24"/>
                <w:szCs w:val="24"/>
              </w:rPr>
              <w:t>衰减订正后，与相邻</w:t>
            </w:r>
            <w:r>
              <w:rPr>
                <w:rFonts w:ascii="Times New Roman" w:hAnsi="Times New Roman"/>
                <w:sz w:val="24"/>
                <w:szCs w:val="24"/>
              </w:rPr>
              <w:t>S</w:t>
            </w:r>
            <w:r>
              <w:rPr>
                <w:rFonts w:ascii="Times New Roman" w:hAnsi="Times New Roman" w:hint="eastAsia"/>
                <w:sz w:val="24"/>
                <w:szCs w:val="24"/>
              </w:rPr>
              <w:t>波段雷达相比平均偏差≤</w:t>
            </w:r>
            <w:r>
              <w:rPr>
                <w:rFonts w:ascii="Times New Roman" w:hAnsi="Times New Roman"/>
                <w:sz w:val="24"/>
                <w:szCs w:val="24"/>
              </w:rPr>
              <w:t>0.5dB</w:t>
            </w:r>
          </w:p>
        </w:tc>
      </w:tr>
      <w:tr>
        <w:tblPrEx>
          <w:tblW w:w="5002" w:type="pct"/>
          <w:tblInd w:w="0" w:type="dxa"/>
          <w:tblCellMar>
            <w:top w:w="0" w:type="dxa"/>
            <w:left w:w="0" w:type="dxa"/>
            <w:bottom w:w="0" w:type="dxa"/>
            <w:right w:w="0" w:type="dxa"/>
          </w:tblCellMar>
        </w:tblPrEx>
        <w:trPr>
          <w:trHeight w:val="1124"/>
        </w:trPr>
        <w:tc>
          <w:tcPr>
            <w:tcW w:w="435"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3</w:t>
            </w:r>
          </w:p>
        </w:tc>
        <w:tc>
          <w:tcPr>
            <w:tcW w:w="2252"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hint="eastAsia"/>
                <w:sz w:val="24"/>
                <w:szCs w:val="24"/>
              </w:rPr>
              <w:t>地物、超折射、海浪等非降水回波消除</w:t>
            </w:r>
          </w:p>
        </w:tc>
        <w:tc>
          <w:tcPr>
            <w:tcW w:w="2312"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hint="eastAsia"/>
                <w:sz w:val="24"/>
                <w:szCs w:val="24"/>
              </w:rPr>
              <w:t>非降水回波识别准确率≥</w:t>
            </w:r>
            <w:r>
              <w:rPr>
                <w:rFonts w:ascii="Times New Roman" w:hAnsi="Times New Roman"/>
                <w:sz w:val="24"/>
                <w:szCs w:val="24"/>
              </w:rPr>
              <w:t>90%</w:t>
            </w:r>
            <w:r>
              <w:rPr>
                <w:rFonts w:ascii="Times New Roman" w:hAnsi="Times New Roman" w:hint="eastAsia"/>
                <w:sz w:val="24"/>
                <w:szCs w:val="24"/>
              </w:rPr>
              <w:t>，且降水回波误判率≤</w:t>
            </w:r>
            <w:r>
              <w:rPr>
                <w:rFonts w:ascii="Times New Roman" w:hAnsi="Times New Roman"/>
                <w:sz w:val="24"/>
                <w:szCs w:val="24"/>
              </w:rPr>
              <w:t>5%</w:t>
            </w:r>
          </w:p>
        </w:tc>
      </w:tr>
      <w:tr>
        <w:tblPrEx>
          <w:tblW w:w="5002" w:type="pct"/>
          <w:tblInd w:w="0" w:type="dxa"/>
          <w:tblCellMar>
            <w:top w:w="0" w:type="dxa"/>
            <w:left w:w="0" w:type="dxa"/>
            <w:bottom w:w="0" w:type="dxa"/>
            <w:right w:w="0" w:type="dxa"/>
          </w:tblCellMar>
        </w:tblPrEx>
        <w:trPr>
          <w:trHeight w:val="1124"/>
        </w:trPr>
        <w:tc>
          <w:tcPr>
            <w:tcW w:w="435"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4</w:t>
            </w:r>
          </w:p>
        </w:tc>
        <w:tc>
          <w:tcPr>
            <w:tcW w:w="2252"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hint="eastAsia"/>
                <w:sz w:val="24"/>
                <w:szCs w:val="24"/>
              </w:rPr>
              <w:t>径向干扰剔除</w:t>
            </w:r>
          </w:p>
        </w:tc>
        <w:tc>
          <w:tcPr>
            <w:tcW w:w="2312"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hint="eastAsia"/>
                <w:sz w:val="24"/>
                <w:szCs w:val="24"/>
              </w:rPr>
              <w:t>径向干扰识别准确率≥</w:t>
            </w:r>
            <w:r>
              <w:rPr>
                <w:rFonts w:ascii="Times New Roman" w:hAnsi="Times New Roman"/>
                <w:sz w:val="24"/>
                <w:szCs w:val="24"/>
              </w:rPr>
              <w:t>90%</w:t>
            </w:r>
            <w:r>
              <w:rPr>
                <w:rFonts w:ascii="Times New Roman" w:hAnsi="Times New Roman" w:hint="eastAsia"/>
                <w:sz w:val="24"/>
                <w:szCs w:val="24"/>
              </w:rPr>
              <w:t>，且降水回波误判率≤</w:t>
            </w:r>
            <w:r>
              <w:rPr>
                <w:rFonts w:ascii="Times New Roman" w:hAnsi="Times New Roman"/>
                <w:sz w:val="24"/>
                <w:szCs w:val="24"/>
              </w:rPr>
              <w:t>5%</w:t>
            </w:r>
          </w:p>
        </w:tc>
      </w:tr>
      <w:tr>
        <w:tblPrEx>
          <w:tblW w:w="5002" w:type="pct"/>
          <w:tblInd w:w="0" w:type="dxa"/>
          <w:tblCellMar>
            <w:top w:w="0" w:type="dxa"/>
            <w:left w:w="0" w:type="dxa"/>
            <w:bottom w:w="0" w:type="dxa"/>
            <w:right w:w="0" w:type="dxa"/>
          </w:tblCellMar>
        </w:tblPrEx>
        <w:trPr>
          <w:trHeight w:val="1124"/>
        </w:trPr>
        <w:tc>
          <w:tcPr>
            <w:tcW w:w="435"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5</w:t>
            </w:r>
          </w:p>
        </w:tc>
        <w:tc>
          <w:tcPr>
            <w:tcW w:w="2252"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hint="eastAsia"/>
                <w:sz w:val="24"/>
                <w:szCs w:val="24"/>
              </w:rPr>
              <w:t>径向速度退模糊</w:t>
            </w:r>
          </w:p>
        </w:tc>
        <w:tc>
          <w:tcPr>
            <w:tcW w:w="2312"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hint="eastAsia"/>
                <w:sz w:val="24"/>
                <w:szCs w:val="24"/>
              </w:rPr>
              <w:t>速度退模糊正确率≥</w:t>
            </w:r>
            <w:r>
              <w:rPr>
                <w:rFonts w:ascii="Times New Roman" w:hAnsi="Times New Roman"/>
                <w:sz w:val="24"/>
                <w:szCs w:val="24"/>
              </w:rPr>
              <w:t>90%</w:t>
            </w:r>
            <w:r>
              <w:rPr>
                <w:rFonts w:ascii="Times New Roman" w:hAnsi="Times New Roman" w:hint="eastAsia"/>
                <w:sz w:val="24"/>
                <w:szCs w:val="24"/>
              </w:rPr>
              <w:t>，且标准偏差≤</w:t>
            </w:r>
            <w:r>
              <w:rPr>
                <w:rFonts w:ascii="Times New Roman" w:hAnsi="Times New Roman"/>
                <w:sz w:val="24"/>
                <w:szCs w:val="24"/>
              </w:rPr>
              <w:t>2m/s</w:t>
            </w:r>
          </w:p>
        </w:tc>
      </w:tr>
      <w:tr>
        <w:tblPrEx>
          <w:tblW w:w="5002" w:type="pct"/>
          <w:tblInd w:w="0" w:type="dxa"/>
          <w:tblCellMar>
            <w:top w:w="0" w:type="dxa"/>
            <w:left w:w="0" w:type="dxa"/>
            <w:bottom w:w="0" w:type="dxa"/>
            <w:right w:w="0" w:type="dxa"/>
          </w:tblCellMar>
        </w:tblPrEx>
        <w:trPr>
          <w:trHeight w:val="565"/>
        </w:trPr>
        <w:tc>
          <w:tcPr>
            <w:tcW w:w="435"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6</w:t>
            </w:r>
          </w:p>
        </w:tc>
        <w:tc>
          <w:tcPr>
            <w:tcW w:w="2252"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hint="eastAsia"/>
                <w:sz w:val="24"/>
                <w:szCs w:val="24"/>
              </w:rPr>
              <w:t>差分相移退折叠</w:t>
            </w:r>
          </w:p>
        </w:tc>
        <w:tc>
          <w:tcPr>
            <w:tcW w:w="2312"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hint="eastAsia"/>
                <w:sz w:val="24"/>
                <w:szCs w:val="24"/>
              </w:rPr>
              <w:t>退折叠正确率≥</w:t>
            </w:r>
            <w:r>
              <w:rPr>
                <w:rFonts w:ascii="Times New Roman" w:hAnsi="Times New Roman"/>
                <w:sz w:val="24"/>
                <w:szCs w:val="24"/>
              </w:rPr>
              <w:t>95%</w:t>
            </w:r>
          </w:p>
        </w:tc>
      </w:tr>
      <w:tr>
        <w:tblPrEx>
          <w:tblW w:w="5002" w:type="pct"/>
          <w:tblInd w:w="0" w:type="dxa"/>
          <w:tblCellMar>
            <w:top w:w="0" w:type="dxa"/>
            <w:left w:w="0" w:type="dxa"/>
            <w:bottom w:w="0" w:type="dxa"/>
            <w:right w:w="0" w:type="dxa"/>
          </w:tblCellMar>
        </w:tblPrEx>
        <w:trPr>
          <w:trHeight w:val="569"/>
        </w:trPr>
        <w:tc>
          <w:tcPr>
            <w:tcW w:w="435"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7</w:t>
            </w:r>
          </w:p>
        </w:tc>
        <w:tc>
          <w:tcPr>
            <w:tcW w:w="2252"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hint="eastAsia"/>
                <w:sz w:val="24"/>
                <w:szCs w:val="24"/>
              </w:rPr>
              <w:t>差分传播相移率估算</w:t>
            </w:r>
          </w:p>
        </w:tc>
        <w:tc>
          <w:tcPr>
            <w:tcW w:w="2312"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hint="eastAsia"/>
                <w:sz w:val="24"/>
                <w:szCs w:val="24"/>
              </w:rPr>
              <w:t>满足合理性评估要求</w:t>
            </w:r>
          </w:p>
        </w:tc>
      </w:tr>
    </w:tbl>
    <w:p>
      <w:pPr>
        <w:tabs>
          <w:tab w:val="left" w:pos="2340"/>
        </w:tabs>
        <w:spacing w:line="360" w:lineRule="auto"/>
        <w:ind w:firstLine="480"/>
        <w:rPr>
          <w:rFonts w:ascii="Times New Roman" w:hAnsi="Times New Roman"/>
          <w:bCs/>
        </w:rPr>
      </w:pPr>
      <w:r>
        <w:rPr>
          <w:rFonts w:ascii="Times New Roman" w:hAnsi="Times New Roman" w:hint="eastAsia"/>
          <w:bCs/>
          <w:sz w:val="24"/>
          <w:szCs w:val="24"/>
        </w:rPr>
        <w:t>（</w:t>
      </w:r>
      <w:r>
        <w:rPr>
          <w:rFonts w:ascii="Times New Roman" w:hAnsi="Times New Roman"/>
          <w:bCs/>
          <w:sz w:val="24"/>
          <w:szCs w:val="24"/>
        </w:rPr>
        <w:t>2</w:t>
      </w:r>
      <w:r>
        <w:rPr>
          <w:rFonts w:ascii="Times New Roman" w:hAnsi="Times New Roman" w:hint="eastAsia"/>
          <w:bCs/>
          <w:sz w:val="24"/>
          <w:szCs w:val="24"/>
        </w:rPr>
        <w:t>）气象产品种类</w:t>
      </w:r>
    </w:p>
    <w:p>
      <w:pPr>
        <w:tabs>
          <w:tab w:val="left" w:pos="2340"/>
        </w:tabs>
        <w:spacing w:line="360" w:lineRule="auto"/>
        <w:ind w:firstLine="480"/>
        <w:rPr>
          <w:rFonts w:ascii="Times New Roman" w:hAnsi="Times New Roman"/>
          <w:bCs/>
        </w:rPr>
      </w:pPr>
      <w:r>
        <w:rPr>
          <w:rFonts w:ascii="Times New Roman" w:hAnsi="Times New Roman" w:hint="eastAsia"/>
          <w:bCs/>
          <w:sz w:val="24"/>
          <w:szCs w:val="24"/>
        </w:rPr>
        <w:t>气象产品应包含但不限于以下内容，可以根据雷达实际用途进行扩展。</w:t>
      </w:r>
    </w:p>
    <w:p>
      <w:pPr>
        <w:tabs>
          <w:tab w:val="left" w:pos="2340"/>
        </w:tabs>
        <w:spacing w:line="360" w:lineRule="auto"/>
        <w:ind w:firstLine="480"/>
        <w:rPr>
          <w:rFonts w:ascii="Times New Roman" w:hAnsi="Times New Roman"/>
          <w:bCs/>
        </w:rPr>
      </w:pPr>
      <w:r>
        <w:rPr>
          <w:rFonts w:ascii="Times New Roman" w:hAnsi="Times New Roman"/>
          <w:bCs/>
          <w:sz w:val="24"/>
          <w:szCs w:val="24"/>
        </w:rPr>
        <w:t>1</w:t>
      </w:r>
      <w:r>
        <w:rPr>
          <w:rFonts w:ascii="Times New Roman" w:hAnsi="Times New Roman" w:hint="eastAsia"/>
          <w:bCs/>
          <w:sz w:val="24"/>
          <w:szCs w:val="24"/>
        </w:rPr>
        <w:t>）基本产品</w:t>
      </w:r>
    </w:p>
    <w:p>
      <w:pPr>
        <w:tabs>
          <w:tab w:val="left" w:pos="2340"/>
        </w:tabs>
        <w:spacing w:line="360" w:lineRule="auto"/>
        <w:ind w:firstLine="480"/>
        <w:rPr>
          <w:rFonts w:ascii="Times New Roman" w:hAnsi="Times New Roman"/>
          <w:bCs/>
        </w:rPr>
      </w:pPr>
      <w:r>
        <w:rPr>
          <w:rFonts w:ascii="Times New Roman" w:hAnsi="Times New Roman" w:hint="eastAsia"/>
          <w:bCs/>
          <w:sz w:val="24"/>
          <w:szCs w:val="24"/>
        </w:rPr>
        <w:t>基本产品不少于</w:t>
      </w:r>
      <w:r>
        <w:rPr>
          <w:rFonts w:ascii="Times New Roman" w:hAnsi="Times New Roman"/>
          <w:bCs/>
          <w:sz w:val="24"/>
          <w:szCs w:val="24"/>
        </w:rPr>
        <w:t>10</w:t>
      </w:r>
      <w:r>
        <w:rPr>
          <w:rFonts w:ascii="Times New Roman" w:hAnsi="Times New Roman" w:hint="eastAsia"/>
          <w:bCs/>
          <w:sz w:val="24"/>
          <w:szCs w:val="24"/>
        </w:rPr>
        <w:t>种，具体见表</w:t>
      </w:r>
      <w:r>
        <w:rPr>
          <w:rFonts w:ascii="Times New Roman" w:hAnsi="Times New Roman"/>
          <w:bCs/>
          <w:sz w:val="24"/>
          <w:szCs w:val="24"/>
        </w:rPr>
        <w:t>1</w:t>
      </w:r>
      <w:r>
        <w:rPr>
          <w:rFonts w:ascii="Times New Roman" w:hAnsi="Times New Roman" w:hint="eastAsia"/>
          <w:bCs/>
          <w:sz w:val="24"/>
          <w:szCs w:val="24"/>
          <w:lang w:val="en-US" w:eastAsia="zh-CN"/>
        </w:rPr>
        <w:t>1</w:t>
      </w:r>
      <w:r>
        <w:rPr>
          <w:rFonts w:ascii="Times New Roman" w:hAnsi="Times New Roman" w:hint="eastAsia"/>
          <w:bCs/>
          <w:sz w:val="24"/>
          <w:szCs w:val="24"/>
        </w:rPr>
        <w:t>。</w:t>
      </w:r>
    </w:p>
    <w:p>
      <w:pPr>
        <w:widowControl/>
        <w:kinsoku w:val="0"/>
        <w:autoSpaceDE w:val="0"/>
        <w:autoSpaceDN w:val="0"/>
        <w:adjustRightInd w:val="0"/>
        <w:snapToGrid w:val="0"/>
        <w:spacing w:line="360" w:lineRule="auto"/>
        <w:jc w:val="center"/>
        <w:textAlignment w:val="baseline"/>
        <w:rPr>
          <w:rFonts w:ascii="Times New Roman" w:hAnsi="Times New Roman"/>
          <w:b/>
          <w:bCs/>
          <w:spacing w:val="-6"/>
        </w:rPr>
      </w:pPr>
      <w:r>
        <w:rPr>
          <w:rFonts w:ascii="Times New Roman" w:hAnsi="Times New Roman" w:hint="eastAsia"/>
          <w:b/>
          <w:bCs/>
          <w:spacing w:val="-6"/>
          <w:sz w:val="24"/>
          <w:szCs w:val="24"/>
        </w:rPr>
        <w:t>表</w:t>
      </w:r>
      <w:r>
        <w:rPr>
          <w:rFonts w:ascii="Times New Roman" w:hAnsi="Times New Roman"/>
          <w:b/>
          <w:bCs/>
          <w:spacing w:val="-6"/>
          <w:sz w:val="24"/>
          <w:szCs w:val="24"/>
        </w:rPr>
        <w:t xml:space="preserve">10 </w:t>
      </w:r>
      <w:r>
        <w:rPr>
          <w:rFonts w:ascii="Times New Roman" w:hAnsi="Times New Roman" w:hint="eastAsia"/>
          <w:b/>
          <w:bCs/>
          <w:spacing w:val="-6"/>
          <w:sz w:val="24"/>
          <w:szCs w:val="24"/>
        </w:rPr>
        <w:t>基本产品列表</w:t>
      </w:r>
    </w:p>
    <w:tbl>
      <w:tblPr>
        <w:tblStyle w:val="TableNormal0"/>
        <w:tblpPr w:leftFromText="180" w:rightFromText="180" w:vertAnchor="text" w:horzAnchor="page" w:tblpX="1695" w:tblpY="462"/>
        <w:tblOverlap w:val="never"/>
        <w:tblW w:w="5002"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
      <w:tblGrid>
        <w:gridCol w:w="1276"/>
        <w:gridCol w:w="4162"/>
        <w:gridCol w:w="2877"/>
      </w:tblGrid>
      <w:tr>
        <w:tblPrEx>
          <w:tblW w:w="5002"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Ex>
        <w:trPr>
          <w:trHeight w:val="569"/>
        </w:trPr>
        <w:tc>
          <w:tcPr>
            <w:tcW w:w="767"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hint="eastAsia"/>
                <w:b/>
                <w:bCs/>
                <w:spacing w:val="-11"/>
                <w:sz w:val="24"/>
                <w:szCs w:val="24"/>
              </w:rPr>
              <w:t>序号</w:t>
            </w:r>
          </w:p>
        </w:tc>
        <w:tc>
          <w:tcPr>
            <w:tcW w:w="2502"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hint="eastAsia"/>
                <w:b/>
                <w:bCs/>
                <w:spacing w:val="-9"/>
                <w:sz w:val="24"/>
                <w:szCs w:val="24"/>
              </w:rPr>
              <w:t>产品名称</w:t>
            </w:r>
          </w:p>
        </w:tc>
        <w:tc>
          <w:tcPr>
            <w:tcW w:w="1729"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hint="eastAsia"/>
                <w:b/>
                <w:bCs/>
                <w:spacing w:val="-9"/>
                <w:sz w:val="24"/>
                <w:szCs w:val="24"/>
              </w:rPr>
              <w:t>产品标识</w:t>
            </w:r>
          </w:p>
        </w:tc>
      </w:tr>
      <w:tr>
        <w:tblPrEx>
          <w:tblW w:w="5002" w:type="pct"/>
          <w:tblInd w:w="0" w:type="dxa"/>
          <w:tblCellMar>
            <w:top w:w="0" w:type="dxa"/>
            <w:left w:w="0" w:type="dxa"/>
            <w:bottom w:w="0" w:type="dxa"/>
            <w:right w:w="0" w:type="dxa"/>
          </w:tblCellMar>
        </w:tblPrEx>
        <w:trPr>
          <w:trHeight w:val="564"/>
        </w:trPr>
        <w:tc>
          <w:tcPr>
            <w:tcW w:w="767"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1</w:t>
            </w:r>
          </w:p>
        </w:tc>
        <w:tc>
          <w:tcPr>
            <w:tcW w:w="2502"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hint="eastAsia"/>
                <w:sz w:val="24"/>
                <w:szCs w:val="24"/>
              </w:rPr>
              <w:t>滤波前回波强度</w:t>
            </w:r>
          </w:p>
        </w:tc>
        <w:tc>
          <w:tcPr>
            <w:tcW w:w="1729"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TR</w:t>
            </w:r>
          </w:p>
        </w:tc>
      </w:tr>
      <w:tr>
        <w:tblPrEx>
          <w:tblW w:w="5002" w:type="pct"/>
          <w:tblInd w:w="0" w:type="dxa"/>
          <w:tblCellMar>
            <w:top w:w="0" w:type="dxa"/>
            <w:left w:w="0" w:type="dxa"/>
            <w:bottom w:w="0" w:type="dxa"/>
            <w:right w:w="0" w:type="dxa"/>
          </w:tblCellMar>
        </w:tblPrEx>
        <w:trPr>
          <w:trHeight w:val="564"/>
        </w:trPr>
        <w:tc>
          <w:tcPr>
            <w:tcW w:w="767"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2</w:t>
            </w:r>
          </w:p>
        </w:tc>
        <w:tc>
          <w:tcPr>
            <w:tcW w:w="2502"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hint="eastAsia"/>
                <w:sz w:val="24"/>
                <w:szCs w:val="24"/>
              </w:rPr>
              <w:t>滤波后回波强度</w:t>
            </w:r>
          </w:p>
        </w:tc>
        <w:tc>
          <w:tcPr>
            <w:tcW w:w="1729"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R</w:t>
            </w:r>
          </w:p>
        </w:tc>
      </w:tr>
      <w:tr>
        <w:tblPrEx>
          <w:tblW w:w="5002" w:type="pct"/>
          <w:tblInd w:w="0" w:type="dxa"/>
          <w:tblCellMar>
            <w:top w:w="0" w:type="dxa"/>
            <w:left w:w="0" w:type="dxa"/>
            <w:bottom w:w="0" w:type="dxa"/>
            <w:right w:w="0" w:type="dxa"/>
          </w:tblCellMar>
        </w:tblPrEx>
        <w:trPr>
          <w:trHeight w:val="564"/>
        </w:trPr>
        <w:tc>
          <w:tcPr>
            <w:tcW w:w="767"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3</w:t>
            </w:r>
          </w:p>
        </w:tc>
        <w:tc>
          <w:tcPr>
            <w:tcW w:w="2502"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hint="eastAsia"/>
                <w:sz w:val="24"/>
                <w:szCs w:val="24"/>
              </w:rPr>
              <w:t>径向速度</w:t>
            </w:r>
          </w:p>
        </w:tc>
        <w:tc>
          <w:tcPr>
            <w:tcW w:w="1729"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V</w:t>
            </w:r>
          </w:p>
        </w:tc>
      </w:tr>
      <w:tr>
        <w:tblPrEx>
          <w:tblW w:w="5002" w:type="pct"/>
          <w:tblInd w:w="0" w:type="dxa"/>
          <w:tblCellMar>
            <w:top w:w="0" w:type="dxa"/>
            <w:left w:w="0" w:type="dxa"/>
            <w:bottom w:w="0" w:type="dxa"/>
            <w:right w:w="0" w:type="dxa"/>
          </w:tblCellMar>
        </w:tblPrEx>
        <w:trPr>
          <w:trHeight w:val="564"/>
        </w:trPr>
        <w:tc>
          <w:tcPr>
            <w:tcW w:w="767"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4</w:t>
            </w:r>
          </w:p>
        </w:tc>
        <w:tc>
          <w:tcPr>
            <w:tcW w:w="2502"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hint="eastAsia"/>
                <w:sz w:val="24"/>
                <w:szCs w:val="24"/>
              </w:rPr>
              <w:t>速度谱宽</w:t>
            </w:r>
          </w:p>
        </w:tc>
        <w:tc>
          <w:tcPr>
            <w:tcW w:w="1729"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SW</w:t>
            </w:r>
          </w:p>
        </w:tc>
      </w:tr>
      <w:tr>
        <w:tblPrEx>
          <w:tblW w:w="5002" w:type="pct"/>
          <w:tblInd w:w="0" w:type="dxa"/>
          <w:tblCellMar>
            <w:top w:w="0" w:type="dxa"/>
            <w:left w:w="0" w:type="dxa"/>
            <w:bottom w:w="0" w:type="dxa"/>
            <w:right w:w="0" w:type="dxa"/>
          </w:tblCellMar>
        </w:tblPrEx>
        <w:trPr>
          <w:trHeight w:val="565"/>
        </w:trPr>
        <w:tc>
          <w:tcPr>
            <w:tcW w:w="767"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5</w:t>
            </w:r>
          </w:p>
        </w:tc>
        <w:tc>
          <w:tcPr>
            <w:tcW w:w="2502"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hint="eastAsia"/>
                <w:sz w:val="24"/>
                <w:szCs w:val="24"/>
              </w:rPr>
              <w:t>差分反射率因子</w:t>
            </w:r>
          </w:p>
        </w:tc>
        <w:tc>
          <w:tcPr>
            <w:tcW w:w="1729"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ZDR</w:t>
            </w:r>
          </w:p>
        </w:tc>
      </w:tr>
      <w:tr>
        <w:tblPrEx>
          <w:tblW w:w="5002" w:type="pct"/>
          <w:tblInd w:w="0" w:type="dxa"/>
          <w:tblCellMar>
            <w:top w:w="0" w:type="dxa"/>
            <w:left w:w="0" w:type="dxa"/>
            <w:bottom w:w="0" w:type="dxa"/>
            <w:right w:w="0" w:type="dxa"/>
          </w:tblCellMar>
        </w:tblPrEx>
        <w:trPr>
          <w:trHeight w:val="565"/>
        </w:trPr>
        <w:tc>
          <w:tcPr>
            <w:tcW w:w="767"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6</w:t>
            </w:r>
          </w:p>
        </w:tc>
        <w:tc>
          <w:tcPr>
            <w:tcW w:w="2502"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hint="eastAsia"/>
                <w:sz w:val="24"/>
                <w:szCs w:val="24"/>
              </w:rPr>
              <w:t>差分传播相移</w:t>
            </w:r>
          </w:p>
        </w:tc>
        <w:tc>
          <w:tcPr>
            <w:tcW w:w="1729"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PDP</w:t>
            </w:r>
          </w:p>
        </w:tc>
      </w:tr>
      <w:tr>
        <w:tblPrEx>
          <w:tblW w:w="5002" w:type="pct"/>
          <w:tblInd w:w="0" w:type="dxa"/>
          <w:tblCellMar>
            <w:top w:w="0" w:type="dxa"/>
            <w:left w:w="0" w:type="dxa"/>
            <w:bottom w:w="0" w:type="dxa"/>
            <w:right w:w="0" w:type="dxa"/>
          </w:tblCellMar>
        </w:tblPrEx>
        <w:trPr>
          <w:trHeight w:val="565"/>
        </w:trPr>
        <w:tc>
          <w:tcPr>
            <w:tcW w:w="767"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7</w:t>
            </w:r>
          </w:p>
        </w:tc>
        <w:tc>
          <w:tcPr>
            <w:tcW w:w="2502"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hint="eastAsia"/>
                <w:sz w:val="24"/>
                <w:szCs w:val="24"/>
              </w:rPr>
              <w:t>差分传播相移率</w:t>
            </w:r>
          </w:p>
        </w:tc>
        <w:tc>
          <w:tcPr>
            <w:tcW w:w="1729"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KDP</w:t>
            </w:r>
          </w:p>
        </w:tc>
      </w:tr>
      <w:tr>
        <w:tblPrEx>
          <w:tblW w:w="5002" w:type="pct"/>
          <w:tblInd w:w="0" w:type="dxa"/>
          <w:tblCellMar>
            <w:top w:w="0" w:type="dxa"/>
            <w:left w:w="0" w:type="dxa"/>
            <w:bottom w:w="0" w:type="dxa"/>
            <w:right w:w="0" w:type="dxa"/>
          </w:tblCellMar>
        </w:tblPrEx>
        <w:trPr>
          <w:trHeight w:val="565"/>
        </w:trPr>
        <w:tc>
          <w:tcPr>
            <w:tcW w:w="767"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8</w:t>
            </w:r>
          </w:p>
        </w:tc>
        <w:tc>
          <w:tcPr>
            <w:tcW w:w="2502"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hint="eastAsia"/>
                <w:sz w:val="24"/>
                <w:szCs w:val="24"/>
              </w:rPr>
              <w:t>相关系数</w:t>
            </w:r>
          </w:p>
        </w:tc>
        <w:tc>
          <w:tcPr>
            <w:tcW w:w="1729"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CC</w:t>
            </w:r>
          </w:p>
        </w:tc>
      </w:tr>
      <w:tr>
        <w:tblPrEx>
          <w:tblW w:w="5002" w:type="pct"/>
          <w:tblInd w:w="0" w:type="dxa"/>
          <w:tblCellMar>
            <w:top w:w="0" w:type="dxa"/>
            <w:left w:w="0" w:type="dxa"/>
            <w:bottom w:w="0" w:type="dxa"/>
            <w:right w:w="0" w:type="dxa"/>
          </w:tblCellMar>
        </w:tblPrEx>
        <w:trPr>
          <w:trHeight w:val="565"/>
        </w:trPr>
        <w:tc>
          <w:tcPr>
            <w:tcW w:w="767"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9</w:t>
            </w:r>
          </w:p>
        </w:tc>
        <w:tc>
          <w:tcPr>
            <w:tcW w:w="2502"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hint="eastAsia"/>
                <w:sz w:val="24"/>
                <w:szCs w:val="24"/>
              </w:rPr>
              <w:t>水平通道信噪比</w:t>
            </w:r>
          </w:p>
        </w:tc>
        <w:tc>
          <w:tcPr>
            <w:tcW w:w="1729"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SNRH</w:t>
            </w:r>
          </w:p>
        </w:tc>
      </w:tr>
      <w:tr>
        <w:tblPrEx>
          <w:tblW w:w="5002" w:type="pct"/>
          <w:tblInd w:w="0" w:type="dxa"/>
          <w:tblCellMar>
            <w:top w:w="0" w:type="dxa"/>
            <w:left w:w="0" w:type="dxa"/>
            <w:bottom w:w="0" w:type="dxa"/>
            <w:right w:w="0" w:type="dxa"/>
          </w:tblCellMar>
        </w:tblPrEx>
        <w:trPr>
          <w:trHeight w:val="569"/>
        </w:trPr>
        <w:tc>
          <w:tcPr>
            <w:tcW w:w="767"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10</w:t>
            </w:r>
          </w:p>
        </w:tc>
        <w:tc>
          <w:tcPr>
            <w:tcW w:w="2502"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hint="eastAsia"/>
                <w:sz w:val="24"/>
                <w:szCs w:val="24"/>
              </w:rPr>
              <w:t>垂直通道信噪比</w:t>
            </w:r>
          </w:p>
        </w:tc>
        <w:tc>
          <w:tcPr>
            <w:tcW w:w="1729"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SNRV</w:t>
            </w:r>
          </w:p>
        </w:tc>
      </w:tr>
    </w:tbl>
    <w:p>
      <w:pPr>
        <w:tabs>
          <w:tab w:val="left" w:pos="2340"/>
        </w:tabs>
        <w:spacing w:line="360" w:lineRule="auto"/>
        <w:ind w:firstLine="480"/>
        <w:rPr>
          <w:rFonts w:ascii="Times New Roman" w:hAnsi="Times New Roman"/>
          <w:bCs/>
        </w:rPr>
      </w:pPr>
      <w:r>
        <w:rPr>
          <w:rFonts w:ascii="Times New Roman" w:hAnsi="Times New Roman"/>
          <w:bCs/>
          <w:sz w:val="24"/>
          <w:szCs w:val="24"/>
        </w:rPr>
        <w:t>2</w:t>
      </w:r>
      <w:r>
        <w:rPr>
          <w:rFonts w:ascii="Times New Roman" w:hAnsi="Times New Roman" w:hint="eastAsia"/>
          <w:bCs/>
          <w:sz w:val="24"/>
          <w:szCs w:val="24"/>
        </w:rPr>
        <w:t>）二次产品</w:t>
      </w:r>
    </w:p>
    <w:p>
      <w:pPr>
        <w:tabs>
          <w:tab w:val="left" w:pos="2340"/>
        </w:tabs>
        <w:spacing w:line="360" w:lineRule="auto"/>
        <w:ind w:firstLine="480"/>
        <w:rPr>
          <w:rFonts w:ascii="Times New Roman" w:hAnsi="Times New Roman"/>
          <w:bCs/>
        </w:rPr>
      </w:pPr>
      <w:r>
        <w:rPr>
          <w:rFonts w:ascii="Times New Roman" w:hAnsi="Times New Roman" w:hint="eastAsia"/>
          <w:bCs/>
          <w:sz w:val="24"/>
          <w:szCs w:val="24"/>
        </w:rPr>
        <w:t>二次产品包括物理量产品和识别类产品</w:t>
      </w:r>
      <w:r>
        <w:rPr>
          <w:rFonts w:ascii="Times New Roman" w:hAnsi="Times New Roman"/>
          <w:bCs/>
          <w:sz w:val="24"/>
          <w:szCs w:val="24"/>
        </w:rPr>
        <w:t>2</w:t>
      </w:r>
      <w:r>
        <w:rPr>
          <w:rFonts w:ascii="Times New Roman" w:hAnsi="Times New Roman" w:hint="eastAsia"/>
          <w:bCs/>
          <w:sz w:val="24"/>
          <w:szCs w:val="24"/>
        </w:rPr>
        <w:t>类，其中物理量产品不少于</w:t>
      </w:r>
      <w:r>
        <w:rPr>
          <w:rFonts w:ascii="Times New Roman" w:hAnsi="Times New Roman"/>
          <w:bCs/>
          <w:sz w:val="24"/>
          <w:szCs w:val="24"/>
        </w:rPr>
        <w:t>14</w:t>
      </w:r>
      <w:r>
        <w:rPr>
          <w:rFonts w:ascii="Times New Roman" w:hAnsi="Times New Roman" w:hint="eastAsia"/>
          <w:bCs/>
          <w:sz w:val="24"/>
          <w:szCs w:val="24"/>
        </w:rPr>
        <w:t>种、识别类产品不少于</w:t>
      </w:r>
      <w:r>
        <w:rPr>
          <w:rFonts w:ascii="Times New Roman" w:hAnsi="Times New Roman"/>
          <w:bCs/>
          <w:sz w:val="24"/>
          <w:szCs w:val="24"/>
        </w:rPr>
        <w:t>9</w:t>
      </w:r>
      <w:r>
        <w:rPr>
          <w:rFonts w:ascii="Times New Roman" w:hAnsi="Times New Roman" w:hint="eastAsia"/>
          <w:bCs/>
          <w:sz w:val="24"/>
          <w:szCs w:val="24"/>
        </w:rPr>
        <w:t>种。如表</w:t>
      </w:r>
      <w:r>
        <w:rPr>
          <w:rFonts w:ascii="Times New Roman" w:hAnsi="Times New Roman"/>
          <w:bCs/>
          <w:sz w:val="24"/>
          <w:szCs w:val="24"/>
        </w:rPr>
        <w:t>1</w:t>
      </w:r>
      <w:r>
        <w:rPr>
          <w:rFonts w:ascii="Times New Roman" w:hAnsi="Times New Roman" w:hint="eastAsia"/>
          <w:bCs/>
          <w:sz w:val="24"/>
          <w:szCs w:val="24"/>
          <w:lang w:val="en-US" w:eastAsia="zh-CN"/>
        </w:rPr>
        <w:t>2</w:t>
      </w:r>
      <w:r>
        <w:rPr>
          <w:rFonts w:ascii="Times New Roman" w:hAnsi="Times New Roman" w:hint="eastAsia"/>
          <w:bCs/>
          <w:sz w:val="24"/>
          <w:szCs w:val="24"/>
        </w:rPr>
        <w:t>所示。</w:t>
      </w:r>
    </w:p>
    <w:p>
      <w:pPr>
        <w:tabs>
          <w:tab w:val="left" w:pos="2340"/>
        </w:tabs>
        <w:spacing w:line="360" w:lineRule="auto"/>
        <w:ind w:firstLine="480"/>
        <w:rPr>
          <w:rFonts w:ascii="Times New Roman" w:hAnsi="Times New Roman"/>
          <w:bCs/>
        </w:rPr>
      </w:pPr>
      <w:r>
        <w:rPr>
          <w:rFonts w:ascii="Times New Roman" w:hAnsi="Times New Roman" w:hint="eastAsia"/>
          <w:bCs/>
          <w:sz w:val="24"/>
          <w:szCs w:val="24"/>
        </w:rPr>
        <w:t>二次产品需利用不少于</w:t>
      </w:r>
      <w:r>
        <w:rPr>
          <w:rFonts w:ascii="Times New Roman" w:hAnsi="Times New Roman"/>
          <w:bCs/>
          <w:sz w:val="24"/>
          <w:szCs w:val="24"/>
        </w:rPr>
        <w:t>3</w:t>
      </w:r>
      <w:r>
        <w:rPr>
          <w:rFonts w:ascii="Times New Roman" w:hAnsi="Times New Roman" w:hint="eastAsia"/>
          <w:bCs/>
          <w:sz w:val="24"/>
          <w:szCs w:val="24"/>
        </w:rPr>
        <w:t>年的雷达标准数据集，对产品的合理性进行评估，即利用探测覆盖区域重叠的最相邻机械扫描雷达生成的对应产品进行一致性、连续性对比，判断产品的变化是否一致，前后时序变化是否连续等。</w:t>
      </w:r>
    </w:p>
    <w:p>
      <w:pPr>
        <w:tabs>
          <w:tab w:val="left" w:pos="2340"/>
        </w:tabs>
        <w:spacing w:line="360" w:lineRule="auto"/>
        <w:jc w:val="center"/>
        <w:rPr>
          <w:rFonts w:ascii="Times New Roman" w:hAnsi="Times New Roman"/>
          <w:b/>
        </w:rPr>
      </w:pPr>
      <w:r>
        <w:rPr>
          <w:rFonts w:ascii="Times New Roman" w:hAnsi="Times New Roman" w:hint="eastAsia"/>
          <w:b/>
          <w:sz w:val="24"/>
          <w:szCs w:val="24"/>
        </w:rPr>
        <w:t>表</w:t>
      </w:r>
      <w:r>
        <w:rPr>
          <w:rFonts w:ascii="Times New Roman" w:hAnsi="Times New Roman"/>
          <w:b/>
          <w:sz w:val="24"/>
          <w:szCs w:val="24"/>
        </w:rPr>
        <w:t>1</w:t>
      </w:r>
      <w:r>
        <w:rPr>
          <w:rFonts w:ascii="Times New Roman" w:hAnsi="Times New Roman" w:hint="eastAsia"/>
          <w:b/>
          <w:sz w:val="24"/>
          <w:szCs w:val="24"/>
          <w:lang w:val="en-US" w:eastAsia="zh-CN"/>
        </w:rPr>
        <w:t>2</w:t>
      </w:r>
      <w:r>
        <w:rPr>
          <w:rFonts w:ascii="Times New Roman" w:hAnsi="Times New Roman"/>
          <w:b/>
          <w:sz w:val="24"/>
          <w:szCs w:val="24"/>
        </w:rPr>
        <w:t xml:space="preserve"> </w:t>
      </w:r>
      <w:r>
        <w:rPr>
          <w:rFonts w:ascii="Times New Roman" w:hAnsi="Times New Roman" w:hint="eastAsia"/>
          <w:b/>
          <w:sz w:val="24"/>
          <w:szCs w:val="24"/>
        </w:rPr>
        <w:t>二次产品列表</w:t>
      </w:r>
    </w:p>
    <w:tbl>
      <w:tblPr>
        <w:tblStyle w:val="TableNormal0"/>
        <w:tblW w:w="5001"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
      <w:tblGrid>
        <w:gridCol w:w="800"/>
        <w:gridCol w:w="1356"/>
        <w:gridCol w:w="3992"/>
        <w:gridCol w:w="2166"/>
      </w:tblGrid>
      <w:tr>
        <w:tblPrEx>
          <w:tblW w:w="5001"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Ex>
        <w:trPr>
          <w:trHeight w:val="568"/>
        </w:trPr>
        <w:tc>
          <w:tcPr>
            <w:tcW w:w="481"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hint="eastAsia"/>
                <w:b/>
                <w:bCs/>
                <w:spacing w:val="-11"/>
                <w:sz w:val="24"/>
                <w:szCs w:val="24"/>
              </w:rPr>
              <w:t>序号</w:t>
            </w:r>
          </w:p>
        </w:tc>
        <w:tc>
          <w:tcPr>
            <w:tcW w:w="815"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hint="eastAsia"/>
                <w:b/>
                <w:bCs/>
                <w:spacing w:val="-12"/>
                <w:sz w:val="24"/>
                <w:szCs w:val="24"/>
              </w:rPr>
              <w:t>类别</w:t>
            </w:r>
          </w:p>
        </w:tc>
        <w:tc>
          <w:tcPr>
            <w:tcW w:w="2400"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hint="eastAsia"/>
                <w:b/>
                <w:bCs/>
                <w:spacing w:val="-9"/>
                <w:sz w:val="24"/>
                <w:szCs w:val="24"/>
              </w:rPr>
              <w:t>产品名称</w:t>
            </w:r>
          </w:p>
        </w:tc>
        <w:tc>
          <w:tcPr>
            <w:tcW w:w="1302"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hint="eastAsia"/>
                <w:b/>
                <w:bCs/>
                <w:spacing w:val="-9"/>
                <w:sz w:val="24"/>
                <w:szCs w:val="24"/>
              </w:rPr>
              <w:t>产品标识</w:t>
            </w:r>
          </w:p>
        </w:tc>
      </w:tr>
      <w:tr>
        <w:tblPrEx>
          <w:tblW w:w="5001" w:type="pct"/>
          <w:tblInd w:w="0" w:type="dxa"/>
          <w:tblCellMar>
            <w:top w:w="0" w:type="dxa"/>
            <w:left w:w="0" w:type="dxa"/>
            <w:bottom w:w="0" w:type="dxa"/>
            <w:right w:w="0" w:type="dxa"/>
          </w:tblCellMar>
        </w:tblPrEx>
        <w:trPr>
          <w:trHeight w:val="563"/>
        </w:trPr>
        <w:tc>
          <w:tcPr>
            <w:tcW w:w="481" w:type="pct"/>
            <w:vAlign w:val="center"/>
          </w:tcPr>
          <w:p>
            <w:pPr>
              <w:pStyle w:val="TableText"/>
              <w:widowControl/>
              <w:kinsoku w:val="0"/>
              <w:autoSpaceDE w:val="0"/>
              <w:autoSpaceDN w:val="0"/>
              <w:adjustRightInd w:val="0"/>
              <w:snapToGrid w:val="0"/>
              <w:spacing w:line="360" w:lineRule="auto"/>
              <w:ind w:firstLine="0" w:firstLineChars="0"/>
              <w:jc w:val="center"/>
              <w:textAlignment w:val="baseline"/>
              <w:rPr>
                <w:rFonts w:ascii="Times New Roman" w:hAnsi="Times New Roman" w:cs="Times New Roman"/>
              </w:rPr>
            </w:pPr>
            <w:r>
              <w:rPr>
                <w:rFonts w:ascii="Times New Roman" w:hAnsi="Times New Roman" w:cs="Times New Roman"/>
              </w:rPr>
              <w:t>1</w:t>
            </w:r>
          </w:p>
        </w:tc>
        <w:tc>
          <w:tcPr>
            <w:tcW w:w="815" w:type="pct"/>
            <w:vMerge w:val="restart"/>
            <w:vAlign w:val="center"/>
          </w:tcPr>
          <w:p>
            <w:pPr>
              <w:pStyle w:val="TableText"/>
              <w:widowControl/>
              <w:kinsoku w:val="0"/>
              <w:autoSpaceDE w:val="0"/>
              <w:autoSpaceDN w:val="0"/>
              <w:adjustRightInd w:val="0"/>
              <w:snapToGrid w:val="0"/>
              <w:spacing w:line="360" w:lineRule="auto"/>
              <w:ind w:firstLine="0" w:firstLineChars="0"/>
              <w:jc w:val="center"/>
              <w:textAlignment w:val="baseline"/>
              <w:rPr>
                <w:rFonts w:ascii="Times New Roman" w:hAnsi="Times New Roman" w:cs="Times New Roman"/>
              </w:rPr>
            </w:pPr>
            <w:r>
              <w:rPr>
                <w:rFonts w:ascii="Times New Roman" w:hAnsi="Times New Roman" w:cs="Times New Roman" w:hint="eastAsia"/>
                <w:spacing w:val="-7"/>
              </w:rPr>
              <w:t>物理量产</w:t>
            </w:r>
          </w:p>
          <w:p>
            <w:pPr>
              <w:pStyle w:val="TableText"/>
              <w:widowControl/>
              <w:kinsoku w:val="0"/>
              <w:autoSpaceDE w:val="0"/>
              <w:autoSpaceDN w:val="0"/>
              <w:adjustRightInd w:val="0"/>
              <w:snapToGrid w:val="0"/>
              <w:spacing w:line="360" w:lineRule="auto"/>
              <w:ind w:firstLine="0" w:firstLineChars="0"/>
              <w:jc w:val="center"/>
              <w:textAlignment w:val="baseline"/>
              <w:rPr>
                <w:rFonts w:ascii="Times New Roman" w:hAnsi="Times New Roman" w:cs="Times New Roman"/>
              </w:rPr>
            </w:pPr>
            <w:r>
              <w:rPr>
                <w:rFonts w:ascii="Times New Roman" w:hAnsi="Times New Roman" w:cs="Times New Roman" w:hint="eastAsia"/>
              </w:rPr>
              <w:t>品</w:t>
            </w:r>
          </w:p>
        </w:tc>
        <w:tc>
          <w:tcPr>
            <w:tcW w:w="2400" w:type="pct"/>
            <w:vAlign w:val="center"/>
          </w:tcPr>
          <w:p>
            <w:pPr>
              <w:pStyle w:val="TableText"/>
              <w:widowControl/>
              <w:kinsoku w:val="0"/>
              <w:autoSpaceDE w:val="0"/>
              <w:autoSpaceDN w:val="0"/>
              <w:adjustRightInd w:val="0"/>
              <w:snapToGrid w:val="0"/>
              <w:spacing w:line="360" w:lineRule="auto"/>
              <w:ind w:firstLine="0" w:firstLineChars="0"/>
              <w:jc w:val="center"/>
              <w:textAlignment w:val="baseline"/>
              <w:rPr>
                <w:rFonts w:ascii="Times New Roman" w:hAnsi="Times New Roman" w:cs="Times New Roman"/>
              </w:rPr>
            </w:pPr>
            <w:r>
              <w:rPr>
                <w:rFonts w:ascii="Times New Roman" w:hAnsi="Times New Roman" w:cs="Times New Roman" w:hint="eastAsia"/>
                <w:spacing w:val="-14"/>
              </w:rPr>
              <w:t>回波顶高</w:t>
            </w:r>
          </w:p>
        </w:tc>
        <w:tc>
          <w:tcPr>
            <w:tcW w:w="1302" w:type="pct"/>
            <w:vAlign w:val="center"/>
          </w:tcPr>
          <w:p>
            <w:pPr>
              <w:pStyle w:val="TableText"/>
              <w:widowControl/>
              <w:kinsoku w:val="0"/>
              <w:autoSpaceDE w:val="0"/>
              <w:autoSpaceDN w:val="0"/>
              <w:adjustRightInd w:val="0"/>
              <w:snapToGrid w:val="0"/>
              <w:spacing w:line="360" w:lineRule="auto"/>
              <w:ind w:firstLine="0" w:firstLineChars="0"/>
              <w:jc w:val="center"/>
              <w:textAlignment w:val="baseline"/>
              <w:rPr>
                <w:rFonts w:ascii="Times New Roman" w:hAnsi="Times New Roman" w:cs="Times New Roman"/>
              </w:rPr>
            </w:pPr>
            <w:r>
              <w:rPr>
                <w:rFonts w:ascii="Times New Roman" w:hAnsi="Times New Roman" w:cs="Times New Roman"/>
                <w:spacing w:val="-3"/>
              </w:rPr>
              <w:t>ET</w:t>
            </w:r>
          </w:p>
        </w:tc>
      </w:tr>
      <w:tr>
        <w:tblPrEx>
          <w:tblW w:w="5001" w:type="pct"/>
          <w:tblInd w:w="0" w:type="dxa"/>
          <w:tblCellMar>
            <w:top w:w="0" w:type="dxa"/>
            <w:left w:w="0" w:type="dxa"/>
            <w:bottom w:w="0" w:type="dxa"/>
            <w:right w:w="0" w:type="dxa"/>
          </w:tblCellMar>
        </w:tblPrEx>
        <w:trPr>
          <w:trHeight w:val="566"/>
        </w:trPr>
        <w:tc>
          <w:tcPr>
            <w:tcW w:w="481" w:type="pct"/>
            <w:vAlign w:val="center"/>
          </w:tcPr>
          <w:p>
            <w:pPr>
              <w:pStyle w:val="TableText"/>
              <w:widowControl/>
              <w:kinsoku w:val="0"/>
              <w:autoSpaceDE w:val="0"/>
              <w:autoSpaceDN w:val="0"/>
              <w:adjustRightInd w:val="0"/>
              <w:snapToGrid w:val="0"/>
              <w:spacing w:line="360" w:lineRule="auto"/>
              <w:ind w:firstLine="0" w:firstLineChars="0"/>
              <w:jc w:val="center"/>
              <w:textAlignment w:val="baseline"/>
              <w:rPr>
                <w:rFonts w:ascii="Times New Roman" w:hAnsi="Times New Roman" w:cs="Times New Roman"/>
              </w:rPr>
            </w:pPr>
            <w:r>
              <w:rPr>
                <w:rFonts w:ascii="Times New Roman" w:hAnsi="Times New Roman" w:cs="Times New Roman"/>
              </w:rPr>
              <w:t>2</w:t>
            </w:r>
          </w:p>
        </w:tc>
        <w:tc>
          <w:tcPr>
            <w:tcW w:w="815" w:type="pct"/>
            <w:vMerge/>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p>
        </w:tc>
        <w:tc>
          <w:tcPr>
            <w:tcW w:w="2400" w:type="pct"/>
            <w:vAlign w:val="center"/>
          </w:tcPr>
          <w:p>
            <w:pPr>
              <w:pStyle w:val="TableText"/>
              <w:widowControl/>
              <w:kinsoku w:val="0"/>
              <w:autoSpaceDE w:val="0"/>
              <w:autoSpaceDN w:val="0"/>
              <w:adjustRightInd w:val="0"/>
              <w:snapToGrid w:val="0"/>
              <w:spacing w:line="360" w:lineRule="auto"/>
              <w:ind w:firstLine="0" w:firstLineChars="0"/>
              <w:jc w:val="center"/>
              <w:textAlignment w:val="baseline"/>
              <w:rPr>
                <w:rFonts w:ascii="Times New Roman" w:hAnsi="Times New Roman" w:cs="Times New Roman"/>
              </w:rPr>
            </w:pPr>
            <w:r>
              <w:rPr>
                <w:rFonts w:ascii="Times New Roman" w:hAnsi="Times New Roman" w:cs="Times New Roman" w:hint="eastAsia"/>
                <w:spacing w:val="-14"/>
              </w:rPr>
              <w:t>回波底高</w:t>
            </w:r>
          </w:p>
        </w:tc>
        <w:tc>
          <w:tcPr>
            <w:tcW w:w="1302" w:type="pct"/>
            <w:vAlign w:val="center"/>
          </w:tcPr>
          <w:p>
            <w:pPr>
              <w:pStyle w:val="TableText"/>
              <w:widowControl/>
              <w:kinsoku w:val="0"/>
              <w:autoSpaceDE w:val="0"/>
              <w:autoSpaceDN w:val="0"/>
              <w:adjustRightInd w:val="0"/>
              <w:snapToGrid w:val="0"/>
              <w:spacing w:line="360" w:lineRule="auto"/>
              <w:ind w:firstLine="0" w:firstLineChars="0"/>
              <w:jc w:val="center"/>
              <w:textAlignment w:val="baseline"/>
              <w:rPr>
                <w:rFonts w:ascii="Times New Roman" w:hAnsi="Times New Roman" w:cs="Times New Roman"/>
              </w:rPr>
            </w:pPr>
            <w:r>
              <w:rPr>
                <w:rFonts w:ascii="Times New Roman" w:hAnsi="Times New Roman" w:cs="Times New Roman"/>
                <w:spacing w:val="-3"/>
              </w:rPr>
              <w:t>EB</w:t>
            </w:r>
          </w:p>
        </w:tc>
      </w:tr>
      <w:tr>
        <w:tblPrEx>
          <w:tblW w:w="5001" w:type="pct"/>
          <w:tblInd w:w="0" w:type="dxa"/>
          <w:tblCellMar>
            <w:top w:w="0" w:type="dxa"/>
            <w:left w:w="0" w:type="dxa"/>
            <w:bottom w:w="0" w:type="dxa"/>
            <w:right w:w="0" w:type="dxa"/>
          </w:tblCellMar>
        </w:tblPrEx>
        <w:trPr>
          <w:trHeight w:val="564"/>
        </w:trPr>
        <w:tc>
          <w:tcPr>
            <w:tcW w:w="481"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3</w:t>
            </w:r>
          </w:p>
        </w:tc>
        <w:tc>
          <w:tcPr>
            <w:tcW w:w="815" w:type="pct"/>
            <w:vMerge/>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p>
        </w:tc>
        <w:tc>
          <w:tcPr>
            <w:tcW w:w="2400"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hint="eastAsia"/>
                <w:spacing w:val="-7"/>
                <w:sz w:val="24"/>
                <w:szCs w:val="24"/>
              </w:rPr>
              <w:t>垂直积分液态水</w:t>
            </w:r>
          </w:p>
        </w:tc>
        <w:tc>
          <w:tcPr>
            <w:tcW w:w="1302"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pacing w:val="-2"/>
                <w:sz w:val="24"/>
                <w:szCs w:val="24"/>
              </w:rPr>
              <w:t>VIL</w:t>
            </w:r>
          </w:p>
        </w:tc>
      </w:tr>
      <w:tr>
        <w:tblPrEx>
          <w:tblW w:w="5001" w:type="pct"/>
          <w:tblInd w:w="0" w:type="dxa"/>
          <w:tblCellMar>
            <w:top w:w="0" w:type="dxa"/>
            <w:left w:w="0" w:type="dxa"/>
            <w:bottom w:w="0" w:type="dxa"/>
            <w:right w:w="0" w:type="dxa"/>
          </w:tblCellMar>
        </w:tblPrEx>
        <w:trPr>
          <w:trHeight w:val="564"/>
        </w:trPr>
        <w:tc>
          <w:tcPr>
            <w:tcW w:w="481"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4</w:t>
            </w:r>
          </w:p>
        </w:tc>
        <w:tc>
          <w:tcPr>
            <w:tcW w:w="815" w:type="pct"/>
            <w:vMerge/>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p>
        </w:tc>
        <w:tc>
          <w:tcPr>
            <w:tcW w:w="2400"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hint="eastAsia"/>
                <w:spacing w:val="-7"/>
                <w:sz w:val="24"/>
                <w:szCs w:val="24"/>
              </w:rPr>
              <w:t>最强回波高度</w:t>
            </w:r>
          </w:p>
        </w:tc>
        <w:tc>
          <w:tcPr>
            <w:tcW w:w="1302"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pacing w:val="-2"/>
                <w:sz w:val="24"/>
                <w:szCs w:val="24"/>
              </w:rPr>
              <w:t>HMAX</w:t>
            </w:r>
          </w:p>
        </w:tc>
      </w:tr>
      <w:tr>
        <w:tblPrEx>
          <w:tblW w:w="5001" w:type="pct"/>
          <w:tblInd w:w="0" w:type="dxa"/>
          <w:tblCellMar>
            <w:top w:w="0" w:type="dxa"/>
            <w:left w:w="0" w:type="dxa"/>
            <w:bottom w:w="0" w:type="dxa"/>
            <w:right w:w="0" w:type="dxa"/>
          </w:tblCellMar>
        </w:tblPrEx>
        <w:trPr>
          <w:trHeight w:val="564"/>
        </w:trPr>
        <w:tc>
          <w:tcPr>
            <w:tcW w:w="481"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5</w:t>
            </w:r>
          </w:p>
        </w:tc>
        <w:tc>
          <w:tcPr>
            <w:tcW w:w="815" w:type="pct"/>
            <w:vMerge/>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p>
        </w:tc>
        <w:tc>
          <w:tcPr>
            <w:tcW w:w="2400"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hint="eastAsia"/>
                <w:spacing w:val="-6"/>
                <w:sz w:val="24"/>
                <w:szCs w:val="24"/>
              </w:rPr>
              <w:t>组合反射率</w:t>
            </w:r>
          </w:p>
        </w:tc>
        <w:tc>
          <w:tcPr>
            <w:tcW w:w="1302"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pacing w:val="-4"/>
                <w:sz w:val="24"/>
                <w:szCs w:val="24"/>
              </w:rPr>
              <w:t>CR</w:t>
            </w:r>
          </w:p>
        </w:tc>
      </w:tr>
      <w:tr>
        <w:tblPrEx>
          <w:tblW w:w="5001" w:type="pct"/>
          <w:tblInd w:w="0" w:type="dxa"/>
          <w:tblCellMar>
            <w:top w:w="0" w:type="dxa"/>
            <w:left w:w="0" w:type="dxa"/>
            <w:bottom w:w="0" w:type="dxa"/>
            <w:right w:w="0" w:type="dxa"/>
          </w:tblCellMar>
        </w:tblPrEx>
        <w:trPr>
          <w:trHeight w:val="565"/>
        </w:trPr>
        <w:tc>
          <w:tcPr>
            <w:tcW w:w="481"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6</w:t>
            </w:r>
          </w:p>
        </w:tc>
        <w:tc>
          <w:tcPr>
            <w:tcW w:w="815" w:type="pct"/>
            <w:vMerge/>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p>
        </w:tc>
        <w:tc>
          <w:tcPr>
            <w:tcW w:w="2400"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hint="eastAsia"/>
                <w:spacing w:val="-6"/>
                <w:sz w:val="24"/>
                <w:szCs w:val="24"/>
              </w:rPr>
              <w:t>反射率等高平面位置显示</w:t>
            </w:r>
          </w:p>
        </w:tc>
        <w:tc>
          <w:tcPr>
            <w:tcW w:w="1302"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pacing w:val="-3"/>
                <w:sz w:val="24"/>
                <w:szCs w:val="24"/>
              </w:rPr>
              <w:t>CAP</w:t>
            </w:r>
          </w:p>
        </w:tc>
      </w:tr>
      <w:tr>
        <w:tblPrEx>
          <w:tblW w:w="5001" w:type="pct"/>
          <w:tblInd w:w="0" w:type="dxa"/>
          <w:tblCellMar>
            <w:top w:w="0" w:type="dxa"/>
            <w:left w:w="0" w:type="dxa"/>
            <w:bottom w:w="0" w:type="dxa"/>
            <w:right w:w="0" w:type="dxa"/>
          </w:tblCellMar>
        </w:tblPrEx>
        <w:trPr>
          <w:trHeight w:val="565"/>
        </w:trPr>
        <w:tc>
          <w:tcPr>
            <w:tcW w:w="481"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7</w:t>
            </w:r>
          </w:p>
        </w:tc>
        <w:tc>
          <w:tcPr>
            <w:tcW w:w="815" w:type="pct"/>
            <w:vMerge/>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p>
        </w:tc>
        <w:tc>
          <w:tcPr>
            <w:tcW w:w="2400"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hint="eastAsia"/>
                <w:spacing w:val="-6"/>
                <w:sz w:val="24"/>
                <w:szCs w:val="24"/>
              </w:rPr>
              <w:t>速度方位显示</w:t>
            </w:r>
          </w:p>
        </w:tc>
        <w:tc>
          <w:tcPr>
            <w:tcW w:w="1302"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pacing w:val="-2"/>
                <w:sz w:val="24"/>
                <w:szCs w:val="24"/>
              </w:rPr>
              <w:t>VAD</w:t>
            </w:r>
          </w:p>
        </w:tc>
      </w:tr>
      <w:tr>
        <w:tblPrEx>
          <w:tblW w:w="5001" w:type="pct"/>
          <w:tblInd w:w="0" w:type="dxa"/>
          <w:tblCellMar>
            <w:top w:w="0" w:type="dxa"/>
            <w:left w:w="0" w:type="dxa"/>
            <w:bottom w:w="0" w:type="dxa"/>
            <w:right w:w="0" w:type="dxa"/>
          </w:tblCellMar>
        </w:tblPrEx>
        <w:trPr>
          <w:trHeight w:val="565"/>
        </w:trPr>
        <w:tc>
          <w:tcPr>
            <w:tcW w:w="481"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8</w:t>
            </w:r>
          </w:p>
        </w:tc>
        <w:tc>
          <w:tcPr>
            <w:tcW w:w="815" w:type="pct"/>
            <w:vMerge/>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p>
        </w:tc>
        <w:tc>
          <w:tcPr>
            <w:tcW w:w="2400"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hint="eastAsia"/>
                <w:spacing w:val="-5"/>
                <w:sz w:val="24"/>
                <w:szCs w:val="24"/>
              </w:rPr>
              <w:t>速度方位显示风廓线</w:t>
            </w:r>
          </w:p>
        </w:tc>
        <w:tc>
          <w:tcPr>
            <w:tcW w:w="1302"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pacing w:val="-2"/>
                <w:sz w:val="24"/>
                <w:szCs w:val="24"/>
              </w:rPr>
              <w:t>VWP</w:t>
            </w:r>
          </w:p>
        </w:tc>
      </w:tr>
      <w:tr>
        <w:tblPrEx>
          <w:tblW w:w="5001" w:type="pct"/>
          <w:tblInd w:w="0" w:type="dxa"/>
          <w:tblCellMar>
            <w:top w:w="0" w:type="dxa"/>
            <w:left w:w="0" w:type="dxa"/>
            <w:bottom w:w="0" w:type="dxa"/>
            <w:right w:w="0" w:type="dxa"/>
          </w:tblCellMar>
        </w:tblPrEx>
        <w:trPr>
          <w:trHeight w:val="565"/>
        </w:trPr>
        <w:tc>
          <w:tcPr>
            <w:tcW w:w="481"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9</w:t>
            </w:r>
          </w:p>
        </w:tc>
        <w:tc>
          <w:tcPr>
            <w:tcW w:w="815" w:type="pct"/>
            <w:vMerge/>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p>
        </w:tc>
        <w:tc>
          <w:tcPr>
            <w:tcW w:w="2400"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pacing w:val="-8"/>
                <w:sz w:val="24"/>
                <w:szCs w:val="24"/>
              </w:rPr>
              <w:t>1</w:t>
            </w:r>
            <w:r>
              <w:rPr>
                <w:rFonts w:ascii="Times New Roman" w:hAnsi="Times New Roman" w:hint="eastAsia"/>
                <w:spacing w:val="-8"/>
                <w:sz w:val="24"/>
                <w:szCs w:val="24"/>
              </w:rPr>
              <w:t>小时累积降水量</w:t>
            </w:r>
          </w:p>
        </w:tc>
        <w:tc>
          <w:tcPr>
            <w:tcW w:w="1302"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pacing w:val="-4"/>
                <w:sz w:val="24"/>
                <w:szCs w:val="24"/>
              </w:rPr>
              <w:t>OHP</w:t>
            </w:r>
          </w:p>
        </w:tc>
      </w:tr>
      <w:tr>
        <w:tblPrEx>
          <w:tblW w:w="5001" w:type="pct"/>
          <w:tblInd w:w="0" w:type="dxa"/>
          <w:tblCellMar>
            <w:top w:w="0" w:type="dxa"/>
            <w:left w:w="0" w:type="dxa"/>
            <w:bottom w:w="0" w:type="dxa"/>
            <w:right w:w="0" w:type="dxa"/>
          </w:tblCellMar>
        </w:tblPrEx>
        <w:trPr>
          <w:trHeight w:val="565"/>
        </w:trPr>
        <w:tc>
          <w:tcPr>
            <w:tcW w:w="481"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pacing w:val="-14"/>
                <w:sz w:val="24"/>
                <w:szCs w:val="24"/>
              </w:rPr>
              <w:t>10</w:t>
            </w:r>
          </w:p>
        </w:tc>
        <w:tc>
          <w:tcPr>
            <w:tcW w:w="815" w:type="pct"/>
            <w:vMerge/>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p>
        </w:tc>
        <w:tc>
          <w:tcPr>
            <w:tcW w:w="2400"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pacing w:val="-7"/>
                <w:sz w:val="24"/>
                <w:szCs w:val="24"/>
              </w:rPr>
              <w:t>3</w:t>
            </w:r>
            <w:r>
              <w:rPr>
                <w:rFonts w:ascii="Times New Roman" w:hAnsi="Times New Roman" w:hint="eastAsia"/>
                <w:spacing w:val="-7"/>
                <w:sz w:val="24"/>
                <w:szCs w:val="24"/>
              </w:rPr>
              <w:t>小时累积降水量</w:t>
            </w:r>
          </w:p>
        </w:tc>
        <w:tc>
          <w:tcPr>
            <w:tcW w:w="1302"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pacing w:val="-3"/>
                <w:sz w:val="24"/>
                <w:szCs w:val="24"/>
              </w:rPr>
              <w:t>THP</w:t>
            </w:r>
          </w:p>
        </w:tc>
      </w:tr>
      <w:tr>
        <w:tblPrEx>
          <w:tblW w:w="5001" w:type="pct"/>
          <w:tblInd w:w="0" w:type="dxa"/>
          <w:tblCellMar>
            <w:top w:w="0" w:type="dxa"/>
            <w:left w:w="0" w:type="dxa"/>
            <w:bottom w:w="0" w:type="dxa"/>
            <w:right w:w="0" w:type="dxa"/>
          </w:tblCellMar>
        </w:tblPrEx>
        <w:trPr>
          <w:trHeight w:val="565"/>
        </w:trPr>
        <w:tc>
          <w:tcPr>
            <w:tcW w:w="481"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pacing w:val="-14"/>
                <w:sz w:val="24"/>
                <w:szCs w:val="24"/>
              </w:rPr>
              <w:t>11</w:t>
            </w:r>
          </w:p>
        </w:tc>
        <w:tc>
          <w:tcPr>
            <w:tcW w:w="815" w:type="pct"/>
            <w:vMerge/>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p>
        </w:tc>
        <w:tc>
          <w:tcPr>
            <w:tcW w:w="2400"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pacing w:val="-5"/>
                <w:sz w:val="24"/>
                <w:szCs w:val="24"/>
              </w:rPr>
              <w:t>N</w:t>
            </w:r>
            <w:r>
              <w:rPr>
                <w:rFonts w:ascii="Times New Roman" w:hAnsi="Times New Roman" w:hint="eastAsia"/>
                <w:spacing w:val="-5"/>
                <w:sz w:val="24"/>
                <w:szCs w:val="24"/>
              </w:rPr>
              <w:t>小时累积降水量</w:t>
            </w:r>
          </w:p>
        </w:tc>
        <w:tc>
          <w:tcPr>
            <w:tcW w:w="1302"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pacing w:val="-2"/>
                <w:sz w:val="24"/>
                <w:szCs w:val="24"/>
              </w:rPr>
              <w:t>NHP</w:t>
            </w:r>
          </w:p>
        </w:tc>
      </w:tr>
      <w:tr>
        <w:tblPrEx>
          <w:tblW w:w="5001" w:type="pct"/>
          <w:tblInd w:w="0" w:type="dxa"/>
          <w:tblCellMar>
            <w:top w:w="0" w:type="dxa"/>
            <w:left w:w="0" w:type="dxa"/>
            <w:bottom w:w="0" w:type="dxa"/>
            <w:right w:w="0" w:type="dxa"/>
          </w:tblCellMar>
        </w:tblPrEx>
        <w:trPr>
          <w:trHeight w:val="565"/>
        </w:trPr>
        <w:tc>
          <w:tcPr>
            <w:tcW w:w="481"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pacing w:val="-14"/>
                <w:sz w:val="24"/>
                <w:szCs w:val="24"/>
              </w:rPr>
              <w:t>12</w:t>
            </w:r>
          </w:p>
        </w:tc>
        <w:tc>
          <w:tcPr>
            <w:tcW w:w="815" w:type="pct"/>
            <w:vMerge/>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p>
        </w:tc>
        <w:tc>
          <w:tcPr>
            <w:tcW w:w="2400"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hint="eastAsia"/>
                <w:spacing w:val="-8"/>
                <w:sz w:val="24"/>
                <w:szCs w:val="24"/>
              </w:rPr>
              <w:t>质心高度</w:t>
            </w:r>
          </w:p>
        </w:tc>
        <w:tc>
          <w:tcPr>
            <w:tcW w:w="1302"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pacing w:val="-3"/>
                <w:sz w:val="24"/>
                <w:szCs w:val="24"/>
              </w:rPr>
              <w:t>RCH</w:t>
            </w:r>
          </w:p>
        </w:tc>
      </w:tr>
      <w:tr>
        <w:tblPrEx>
          <w:tblW w:w="5001" w:type="pct"/>
          <w:tblInd w:w="0" w:type="dxa"/>
          <w:tblCellMar>
            <w:top w:w="0" w:type="dxa"/>
            <w:left w:w="0" w:type="dxa"/>
            <w:bottom w:w="0" w:type="dxa"/>
            <w:right w:w="0" w:type="dxa"/>
          </w:tblCellMar>
        </w:tblPrEx>
        <w:trPr>
          <w:trHeight w:val="565"/>
        </w:trPr>
        <w:tc>
          <w:tcPr>
            <w:tcW w:w="481"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pacing w:val="-14"/>
                <w:sz w:val="24"/>
                <w:szCs w:val="24"/>
              </w:rPr>
              <w:t>13</w:t>
            </w:r>
          </w:p>
        </w:tc>
        <w:tc>
          <w:tcPr>
            <w:tcW w:w="815" w:type="pct"/>
            <w:vMerge/>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p>
        </w:tc>
        <w:tc>
          <w:tcPr>
            <w:tcW w:w="2400"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hint="eastAsia"/>
                <w:spacing w:val="-7"/>
                <w:sz w:val="24"/>
                <w:szCs w:val="24"/>
              </w:rPr>
              <w:t>风场反演</w:t>
            </w:r>
          </w:p>
        </w:tc>
        <w:tc>
          <w:tcPr>
            <w:tcW w:w="1302"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pacing w:val="-2"/>
                <w:sz w:val="24"/>
                <w:szCs w:val="24"/>
              </w:rPr>
              <w:t>WIND</w:t>
            </w:r>
          </w:p>
        </w:tc>
      </w:tr>
      <w:tr>
        <w:tblPrEx>
          <w:tblW w:w="5001" w:type="pct"/>
          <w:tblInd w:w="0" w:type="dxa"/>
          <w:tblCellMar>
            <w:top w:w="0" w:type="dxa"/>
            <w:left w:w="0" w:type="dxa"/>
            <w:bottom w:w="0" w:type="dxa"/>
            <w:right w:w="0" w:type="dxa"/>
          </w:tblCellMar>
        </w:tblPrEx>
        <w:trPr>
          <w:trHeight w:val="565"/>
        </w:trPr>
        <w:tc>
          <w:tcPr>
            <w:tcW w:w="481"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pacing w:val="-14"/>
                <w:sz w:val="24"/>
                <w:szCs w:val="24"/>
              </w:rPr>
              <w:t>14</w:t>
            </w:r>
          </w:p>
        </w:tc>
        <w:tc>
          <w:tcPr>
            <w:tcW w:w="815" w:type="pct"/>
            <w:vMerge/>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p>
        </w:tc>
        <w:tc>
          <w:tcPr>
            <w:tcW w:w="2400"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hint="eastAsia"/>
                <w:spacing w:val="-6"/>
                <w:sz w:val="24"/>
                <w:szCs w:val="24"/>
              </w:rPr>
              <w:t>风暴相对径向速度</w:t>
            </w:r>
          </w:p>
        </w:tc>
        <w:tc>
          <w:tcPr>
            <w:tcW w:w="1302"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pacing w:val="-4"/>
                <w:sz w:val="24"/>
                <w:szCs w:val="24"/>
              </w:rPr>
              <w:t>SRM</w:t>
            </w:r>
          </w:p>
        </w:tc>
      </w:tr>
      <w:tr>
        <w:tblPrEx>
          <w:tblW w:w="5001" w:type="pct"/>
          <w:tblInd w:w="0" w:type="dxa"/>
          <w:tblCellMar>
            <w:top w:w="0" w:type="dxa"/>
            <w:left w:w="0" w:type="dxa"/>
            <w:bottom w:w="0" w:type="dxa"/>
            <w:right w:w="0" w:type="dxa"/>
          </w:tblCellMar>
        </w:tblPrEx>
        <w:trPr>
          <w:trHeight w:val="565"/>
        </w:trPr>
        <w:tc>
          <w:tcPr>
            <w:tcW w:w="481"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pacing w:val="-14"/>
                <w:sz w:val="24"/>
                <w:szCs w:val="24"/>
              </w:rPr>
              <w:t>15</w:t>
            </w:r>
          </w:p>
        </w:tc>
        <w:tc>
          <w:tcPr>
            <w:tcW w:w="815" w:type="pct"/>
            <w:vMerge w:val="restart"/>
            <w:tcBorders>
              <w:bottom w:val="nil"/>
            </w:tcBorders>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hint="eastAsia"/>
                <w:spacing w:val="-6"/>
                <w:sz w:val="24"/>
                <w:szCs w:val="24"/>
              </w:rPr>
              <w:t>识别类产</w:t>
            </w:r>
          </w:p>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hint="eastAsia"/>
                <w:sz w:val="24"/>
                <w:szCs w:val="24"/>
              </w:rPr>
              <w:t>品</w:t>
            </w:r>
          </w:p>
        </w:tc>
        <w:tc>
          <w:tcPr>
            <w:tcW w:w="2400"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hint="eastAsia"/>
                <w:spacing w:val="-7"/>
                <w:sz w:val="24"/>
                <w:szCs w:val="24"/>
              </w:rPr>
              <w:t>冰雹指数</w:t>
            </w:r>
          </w:p>
        </w:tc>
        <w:tc>
          <w:tcPr>
            <w:tcW w:w="1302"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pacing w:val="-2"/>
                <w:sz w:val="24"/>
                <w:szCs w:val="24"/>
              </w:rPr>
              <w:t>HI</w:t>
            </w:r>
          </w:p>
        </w:tc>
      </w:tr>
      <w:tr>
        <w:tblPrEx>
          <w:tblW w:w="5001" w:type="pct"/>
          <w:tblInd w:w="0" w:type="dxa"/>
          <w:tblCellMar>
            <w:top w:w="0" w:type="dxa"/>
            <w:left w:w="0" w:type="dxa"/>
            <w:bottom w:w="0" w:type="dxa"/>
            <w:right w:w="0" w:type="dxa"/>
          </w:tblCellMar>
        </w:tblPrEx>
        <w:trPr>
          <w:trHeight w:val="565"/>
        </w:trPr>
        <w:tc>
          <w:tcPr>
            <w:tcW w:w="481"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pacing w:val="-14"/>
                <w:sz w:val="24"/>
                <w:szCs w:val="24"/>
              </w:rPr>
              <w:t>16</w:t>
            </w:r>
          </w:p>
        </w:tc>
        <w:tc>
          <w:tcPr>
            <w:tcW w:w="815" w:type="pct"/>
            <w:vMerge/>
            <w:tcBorders>
              <w:top w:val="nil"/>
              <w:bottom w:val="nil"/>
            </w:tcBorders>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p>
        </w:tc>
        <w:tc>
          <w:tcPr>
            <w:tcW w:w="2400"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hint="eastAsia"/>
                <w:spacing w:val="-6"/>
                <w:sz w:val="24"/>
                <w:szCs w:val="24"/>
              </w:rPr>
              <w:t>风暴追踪信息</w:t>
            </w:r>
          </w:p>
        </w:tc>
        <w:tc>
          <w:tcPr>
            <w:tcW w:w="1302"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pacing w:val="-4"/>
                <w:sz w:val="24"/>
                <w:szCs w:val="24"/>
              </w:rPr>
              <w:t>STI</w:t>
            </w:r>
          </w:p>
        </w:tc>
      </w:tr>
      <w:tr>
        <w:tblPrEx>
          <w:tblW w:w="5001" w:type="pct"/>
          <w:tblInd w:w="0" w:type="dxa"/>
          <w:tblCellMar>
            <w:top w:w="0" w:type="dxa"/>
            <w:left w:w="0" w:type="dxa"/>
            <w:bottom w:w="0" w:type="dxa"/>
            <w:right w:w="0" w:type="dxa"/>
          </w:tblCellMar>
        </w:tblPrEx>
        <w:trPr>
          <w:trHeight w:val="564"/>
        </w:trPr>
        <w:tc>
          <w:tcPr>
            <w:tcW w:w="481"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pacing w:val="-14"/>
                <w:sz w:val="24"/>
                <w:szCs w:val="24"/>
              </w:rPr>
              <w:t>17</w:t>
            </w:r>
          </w:p>
        </w:tc>
        <w:tc>
          <w:tcPr>
            <w:tcW w:w="815" w:type="pct"/>
            <w:vMerge/>
            <w:tcBorders>
              <w:top w:val="nil"/>
              <w:bottom w:val="nil"/>
            </w:tcBorders>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p>
        </w:tc>
        <w:tc>
          <w:tcPr>
            <w:tcW w:w="2400"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hint="eastAsia"/>
                <w:spacing w:val="-6"/>
                <w:sz w:val="24"/>
                <w:szCs w:val="24"/>
              </w:rPr>
              <w:t>风暴结构分析</w:t>
            </w:r>
          </w:p>
        </w:tc>
        <w:tc>
          <w:tcPr>
            <w:tcW w:w="1302"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pacing w:val="-5"/>
                <w:sz w:val="24"/>
                <w:szCs w:val="24"/>
              </w:rPr>
              <w:t>SS</w:t>
            </w:r>
          </w:p>
        </w:tc>
      </w:tr>
      <w:tr>
        <w:tblPrEx>
          <w:tblW w:w="5001" w:type="pct"/>
          <w:tblInd w:w="0" w:type="dxa"/>
          <w:tblCellMar>
            <w:top w:w="0" w:type="dxa"/>
            <w:left w:w="0" w:type="dxa"/>
            <w:bottom w:w="0" w:type="dxa"/>
            <w:right w:w="0" w:type="dxa"/>
          </w:tblCellMar>
        </w:tblPrEx>
        <w:trPr>
          <w:trHeight w:val="565"/>
        </w:trPr>
        <w:tc>
          <w:tcPr>
            <w:tcW w:w="481"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pacing w:val="-14"/>
                <w:sz w:val="24"/>
                <w:szCs w:val="24"/>
              </w:rPr>
              <w:t>18</w:t>
            </w:r>
          </w:p>
        </w:tc>
        <w:tc>
          <w:tcPr>
            <w:tcW w:w="815" w:type="pct"/>
            <w:vMerge/>
            <w:tcBorders>
              <w:top w:val="nil"/>
              <w:bottom w:val="nil"/>
            </w:tcBorders>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p>
        </w:tc>
        <w:tc>
          <w:tcPr>
            <w:tcW w:w="2400"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hint="eastAsia"/>
                <w:spacing w:val="-12"/>
                <w:sz w:val="24"/>
                <w:szCs w:val="24"/>
              </w:rPr>
              <w:t>中尺度气旋</w:t>
            </w:r>
          </w:p>
        </w:tc>
        <w:tc>
          <w:tcPr>
            <w:tcW w:w="1302"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z w:val="24"/>
                <w:szCs w:val="24"/>
              </w:rPr>
              <w:t>M</w:t>
            </w:r>
          </w:p>
        </w:tc>
      </w:tr>
      <w:tr>
        <w:tblPrEx>
          <w:tblW w:w="5001" w:type="pct"/>
          <w:tblInd w:w="0" w:type="dxa"/>
          <w:tblCellMar>
            <w:top w:w="0" w:type="dxa"/>
            <w:left w:w="0" w:type="dxa"/>
            <w:bottom w:w="0" w:type="dxa"/>
            <w:right w:w="0" w:type="dxa"/>
          </w:tblCellMar>
        </w:tblPrEx>
        <w:trPr>
          <w:trHeight w:val="565"/>
        </w:trPr>
        <w:tc>
          <w:tcPr>
            <w:tcW w:w="481"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pacing w:val="-14"/>
                <w:sz w:val="24"/>
                <w:szCs w:val="24"/>
              </w:rPr>
              <w:t>19</w:t>
            </w:r>
          </w:p>
        </w:tc>
        <w:tc>
          <w:tcPr>
            <w:tcW w:w="815" w:type="pct"/>
            <w:vMerge/>
            <w:tcBorders>
              <w:top w:val="nil"/>
              <w:bottom w:val="nil"/>
            </w:tcBorders>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p>
        </w:tc>
        <w:tc>
          <w:tcPr>
            <w:tcW w:w="2400"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hint="eastAsia"/>
                <w:spacing w:val="-7"/>
                <w:sz w:val="24"/>
                <w:szCs w:val="24"/>
              </w:rPr>
              <w:t>龙卷涡旋特征</w:t>
            </w:r>
          </w:p>
        </w:tc>
        <w:tc>
          <w:tcPr>
            <w:tcW w:w="1302"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pacing w:val="-3"/>
                <w:sz w:val="24"/>
                <w:szCs w:val="24"/>
              </w:rPr>
              <w:t>TVS</w:t>
            </w:r>
          </w:p>
        </w:tc>
      </w:tr>
      <w:tr>
        <w:tblPrEx>
          <w:tblW w:w="5001" w:type="pct"/>
          <w:tblInd w:w="0" w:type="dxa"/>
          <w:tblCellMar>
            <w:top w:w="0" w:type="dxa"/>
            <w:left w:w="0" w:type="dxa"/>
            <w:bottom w:w="0" w:type="dxa"/>
            <w:right w:w="0" w:type="dxa"/>
          </w:tblCellMar>
        </w:tblPrEx>
        <w:trPr>
          <w:trHeight w:val="565"/>
        </w:trPr>
        <w:tc>
          <w:tcPr>
            <w:tcW w:w="481"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pacing w:val="-6"/>
                <w:sz w:val="24"/>
                <w:szCs w:val="24"/>
              </w:rPr>
              <w:t>20</w:t>
            </w:r>
          </w:p>
        </w:tc>
        <w:tc>
          <w:tcPr>
            <w:tcW w:w="815" w:type="pct"/>
            <w:vMerge/>
            <w:tcBorders>
              <w:top w:val="nil"/>
              <w:bottom w:val="nil"/>
            </w:tcBorders>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p>
        </w:tc>
        <w:tc>
          <w:tcPr>
            <w:tcW w:w="2400"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hint="eastAsia"/>
                <w:spacing w:val="-6"/>
                <w:sz w:val="24"/>
                <w:szCs w:val="24"/>
              </w:rPr>
              <w:t>粒子相态识别</w:t>
            </w:r>
          </w:p>
        </w:tc>
        <w:tc>
          <w:tcPr>
            <w:tcW w:w="1302"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pacing w:val="-2"/>
                <w:sz w:val="24"/>
                <w:szCs w:val="24"/>
              </w:rPr>
              <w:t>HCL</w:t>
            </w:r>
          </w:p>
        </w:tc>
      </w:tr>
      <w:tr>
        <w:tblPrEx>
          <w:tblW w:w="5001" w:type="pct"/>
          <w:tblInd w:w="0" w:type="dxa"/>
          <w:tblCellMar>
            <w:top w:w="0" w:type="dxa"/>
            <w:left w:w="0" w:type="dxa"/>
            <w:bottom w:w="0" w:type="dxa"/>
            <w:right w:w="0" w:type="dxa"/>
          </w:tblCellMar>
        </w:tblPrEx>
        <w:trPr>
          <w:trHeight w:val="565"/>
        </w:trPr>
        <w:tc>
          <w:tcPr>
            <w:tcW w:w="481"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pacing w:val="-6"/>
                <w:sz w:val="24"/>
                <w:szCs w:val="24"/>
              </w:rPr>
              <w:t>21</w:t>
            </w:r>
          </w:p>
        </w:tc>
        <w:tc>
          <w:tcPr>
            <w:tcW w:w="815" w:type="pct"/>
            <w:vMerge/>
            <w:tcBorders>
              <w:top w:val="nil"/>
              <w:bottom w:val="nil"/>
            </w:tcBorders>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p>
        </w:tc>
        <w:tc>
          <w:tcPr>
            <w:tcW w:w="2400"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hint="eastAsia"/>
                <w:spacing w:val="-7"/>
                <w:sz w:val="24"/>
                <w:szCs w:val="24"/>
              </w:rPr>
              <w:t>融化层识别</w:t>
            </w:r>
          </w:p>
        </w:tc>
        <w:tc>
          <w:tcPr>
            <w:tcW w:w="1302"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pacing w:val="-1"/>
                <w:sz w:val="24"/>
                <w:szCs w:val="24"/>
              </w:rPr>
              <w:t>ML</w:t>
            </w:r>
          </w:p>
        </w:tc>
      </w:tr>
      <w:tr>
        <w:tblPrEx>
          <w:tblW w:w="5001" w:type="pct"/>
          <w:tblInd w:w="0" w:type="dxa"/>
          <w:tblCellMar>
            <w:top w:w="0" w:type="dxa"/>
            <w:left w:w="0" w:type="dxa"/>
            <w:bottom w:w="0" w:type="dxa"/>
            <w:right w:w="0" w:type="dxa"/>
          </w:tblCellMar>
        </w:tblPrEx>
        <w:trPr>
          <w:trHeight w:val="565"/>
        </w:trPr>
        <w:tc>
          <w:tcPr>
            <w:tcW w:w="481"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pacing w:val="-6"/>
                <w:sz w:val="24"/>
                <w:szCs w:val="24"/>
              </w:rPr>
              <w:t>22</w:t>
            </w:r>
          </w:p>
        </w:tc>
        <w:tc>
          <w:tcPr>
            <w:tcW w:w="815" w:type="pct"/>
            <w:vMerge/>
            <w:tcBorders>
              <w:top w:val="nil"/>
              <w:bottom w:val="nil"/>
            </w:tcBorders>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p>
        </w:tc>
        <w:tc>
          <w:tcPr>
            <w:tcW w:w="2400"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hint="eastAsia"/>
                <w:spacing w:val="-10"/>
                <w:sz w:val="24"/>
                <w:szCs w:val="24"/>
              </w:rPr>
              <w:t>雷暴大风</w:t>
            </w:r>
          </w:p>
        </w:tc>
        <w:tc>
          <w:tcPr>
            <w:tcW w:w="1302"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pacing w:val="-3"/>
                <w:sz w:val="24"/>
                <w:szCs w:val="24"/>
              </w:rPr>
              <w:t>TS</w:t>
            </w:r>
          </w:p>
        </w:tc>
      </w:tr>
      <w:tr>
        <w:tblPrEx>
          <w:tblW w:w="5001" w:type="pct"/>
          <w:tblInd w:w="0" w:type="dxa"/>
          <w:tblCellMar>
            <w:top w:w="0" w:type="dxa"/>
            <w:left w:w="0" w:type="dxa"/>
            <w:bottom w:w="0" w:type="dxa"/>
            <w:right w:w="0" w:type="dxa"/>
          </w:tblCellMar>
        </w:tblPrEx>
        <w:trPr>
          <w:trHeight w:val="569"/>
        </w:trPr>
        <w:tc>
          <w:tcPr>
            <w:tcW w:w="481"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pacing w:val="-6"/>
                <w:sz w:val="24"/>
                <w:szCs w:val="24"/>
              </w:rPr>
              <w:t>23</w:t>
            </w:r>
          </w:p>
        </w:tc>
        <w:tc>
          <w:tcPr>
            <w:tcW w:w="815" w:type="pct"/>
            <w:vMerge/>
            <w:tcBorders>
              <w:top w:val="nil"/>
            </w:tcBorders>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p>
        </w:tc>
        <w:tc>
          <w:tcPr>
            <w:tcW w:w="2400"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hint="eastAsia"/>
                <w:spacing w:val="-5"/>
                <w:sz w:val="24"/>
                <w:szCs w:val="24"/>
              </w:rPr>
              <w:t>双偏振定量降水估测</w:t>
            </w:r>
          </w:p>
        </w:tc>
        <w:tc>
          <w:tcPr>
            <w:tcW w:w="1302" w:type="pct"/>
            <w:vAlign w:val="center"/>
          </w:tcPr>
          <w:p>
            <w:pPr>
              <w:widowControl/>
              <w:kinsoku w:val="0"/>
              <w:autoSpaceDE w:val="0"/>
              <w:autoSpaceDN w:val="0"/>
              <w:adjustRightInd w:val="0"/>
              <w:snapToGrid w:val="0"/>
              <w:spacing w:line="360" w:lineRule="auto"/>
              <w:jc w:val="center"/>
              <w:textAlignment w:val="baseline"/>
              <w:rPr>
                <w:rFonts w:ascii="Times New Roman" w:hAnsi="Times New Roman"/>
              </w:rPr>
            </w:pPr>
            <w:r>
              <w:rPr>
                <w:rFonts w:ascii="Times New Roman" w:hAnsi="Times New Roman"/>
                <w:spacing w:val="-3"/>
                <w:sz w:val="24"/>
                <w:szCs w:val="24"/>
              </w:rPr>
              <w:t>QPE</w:t>
            </w:r>
          </w:p>
        </w:tc>
      </w:tr>
    </w:tbl>
    <w:p>
      <w:pPr>
        <w:tabs>
          <w:tab w:val="left" w:pos="2340"/>
        </w:tabs>
        <w:spacing w:line="360" w:lineRule="auto"/>
        <w:ind w:firstLine="480"/>
        <w:rPr>
          <w:rFonts w:ascii="Times New Roman" w:hAnsi="Times New Roman"/>
          <w:bCs/>
        </w:rPr>
      </w:pPr>
      <w:r>
        <w:rPr>
          <w:rFonts w:ascii="Times New Roman" w:hAnsi="Times New Roman" w:hint="eastAsia"/>
          <w:bCs/>
          <w:sz w:val="24"/>
          <w:szCs w:val="24"/>
        </w:rPr>
        <w:t>（</w:t>
      </w:r>
      <w:r>
        <w:rPr>
          <w:rFonts w:ascii="Times New Roman" w:hAnsi="Times New Roman"/>
          <w:bCs/>
          <w:sz w:val="24"/>
          <w:szCs w:val="24"/>
        </w:rPr>
        <w:t>3</w:t>
      </w:r>
      <w:r>
        <w:rPr>
          <w:rFonts w:ascii="Times New Roman" w:hAnsi="Times New Roman" w:hint="eastAsia"/>
          <w:bCs/>
          <w:sz w:val="24"/>
          <w:szCs w:val="24"/>
        </w:rPr>
        <w:t>）软件功能要求</w:t>
      </w:r>
    </w:p>
    <w:p>
      <w:pPr>
        <w:tabs>
          <w:tab w:val="left" w:pos="2340"/>
        </w:tabs>
        <w:spacing w:line="360" w:lineRule="auto"/>
        <w:ind w:firstLine="480"/>
        <w:rPr>
          <w:rFonts w:ascii="Times New Roman" w:hAnsi="Times New Roman"/>
          <w:bCs/>
        </w:rPr>
      </w:pPr>
      <w:r>
        <w:rPr>
          <w:rFonts w:ascii="Times New Roman" w:hAnsi="Times New Roman"/>
          <w:bCs/>
          <w:sz w:val="24"/>
          <w:szCs w:val="24"/>
        </w:rPr>
        <w:t>1</w:t>
      </w:r>
      <w:r>
        <w:rPr>
          <w:rFonts w:ascii="Times New Roman" w:hAnsi="Times New Roman" w:hint="eastAsia"/>
          <w:bCs/>
          <w:sz w:val="24"/>
          <w:szCs w:val="24"/>
        </w:rPr>
        <w:t>）产品显示：平面位置产品、距离高度产品、等高面位置产品、二次产品等显示功能。</w:t>
      </w:r>
    </w:p>
    <w:p>
      <w:pPr>
        <w:tabs>
          <w:tab w:val="left" w:pos="2340"/>
        </w:tabs>
        <w:spacing w:line="360" w:lineRule="auto"/>
        <w:ind w:firstLine="480"/>
        <w:rPr>
          <w:rFonts w:ascii="Times New Roman" w:hAnsi="Times New Roman"/>
          <w:bCs/>
        </w:rPr>
      </w:pPr>
      <w:r>
        <w:rPr>
          <w:rFonts w:ascii="Times New Roman" w:hAnsi="Times New Roman"/>
          <w:bCs/>
          <w:sz w:val="24"/>
          <w:szCs w:val="24"/>
        </w:rPr>
        <w:t>2</w:t>
      </w:r>
      <w:r>
        <w:rPr>
          <w:rFonts w:ascii="Times New Roman" w:hAnsi="Times New Roman" w:hint="eastAsia"/>
          <w:bCs/>
          <w:sz w:val="24"/>
          <w:szCs w:val="24"/>
        </w:rPr>
        <w:t>）分屏显示：二分屏、四分屏等分屏显示功能、支持光标联动信息显示。</w:t>
      </w:r>
    </w:p>
    <w:p>
      <w:pPr>
        <w:tabs>
          <w:tab w:val="left" w:pos="2340"/>
        </w:tabs>
        <w:spacing w:line="360" w:lineRule="auto"/>
        <w:ind w:firstLine="480"/>
        <w:rPr>
          <w:rFonts w:ascii="Times New Roman" w:hAnsi="Times New Roman"/>
          <w:bCs/>
        </w:rPr>
      </w:pPr>
      <w:r>
        <w:rPr>
          <w:rFonts w:ascii="Times New Roman" w:hAnsi="Times New Roman"/>
          <w:bCs/>
          <w:sz w:val="24"/>
          <w:szCs w:val="24"/>
        </w:rPr>
        <w:t>3</w:t>
      </w:r>
      <w:r>
        <w:rPr>
          <w:rFonts w:ascii="Times New Roman" w:hAnsi="Times New Roman" w:hint="eastAsia"/>
          <w:bCs/>
          <w:sz w:val="24"/>
          <w:szCs w:val="24"/>
        </w:rPr>
        <w:t>）垂直剖面：基本产品任意垂直剖面显示功能，支持折线剖面，可同时显示多个产品，可保存图像。</w:t>
      </w:r>
    </w:p>
    <w:p>
      <w:pPr>
        <w:tabs>
          <w:tab w:val="left" w:pos="2340"/>
        </w:tabs>
        <w:spacing w:line="360" w:lineRule="auto"/>
        <w:ind w:firstLine="480"/>
        <w:rPr>
          <w:rFonts w:ascii="Times New Roman" w:hAnsi="Times New Roman"/>
          <w:bCs/>
        </w:rPr>
      </w:pPr>
      <w:r>
        <w:rPr>
          <w:rFonts w:ascii="Times New Roman" w:hAnsi="Times New Roman"/>
          <w:bCs/>
          <w:sz w:val="24"/>
          <w:szCs w:val="24"/>
        </w:rPr>
        <w:t>4</w:t>
      </w:r>
      <w:r>
        <w:rPr>
          <w:rFonts w:ascii="Times New Roman" w:hAnsi="Times New Roman" w:hint="eastAsia"/>
          <w:bCs/>
          <w:sz w:val="24"/>
          <w:szCs w:val="24"/>
        </w:rPr>
        <w:t>）最大值显示：体扫各层反射率垂直、东西、南北三个方向最大值可投影显示。</w:t>
      </w:r>
    </w:p>
    <w:p>
      <w:pPr>
        <w:tabs>
          <w:tab w:val="left" w:pos="2340"/>
        </w:tabs>
        <w:spacing w:line="360" w:lineRule="auto"/>
        <w:ind w:firstLine="480"/>
        <w:rPr>
          <w:rFonts w:ascii="Times New Roman" w:hAnsi="Times New Roman"/>
          <w:bCs/>
        </w:rPr>
      </w:pPr>
      <w:r>
        <w:rPr>
          <w:rFonts w:ascii="Times New Roman" w:hAnsi="Times New Roman"/>
          <w:bCs/>
          <w:sz w:val="24"/>
          <w:szCs w:val="24"/>
        </w:rPr>
        <w:t>5</w:t>
      </w:r>
      <w:r>
        <w:rPr>
          <w:rFonts w:ascii="Times New Roman" w:hAnsi="Times New Roman" w:hint="eastAsia"/>
          <w:bCs/>
          <w:sz w:val="24"/>
          <w:szCs w:val="24"/>
        </w:rPr>
        <w:t>）图形缩放、拖曳：产品图像可放大缩小，拖曳移动。</w:t>
      </w:r>
    </w:p>
    <w:p>
      <w:pPr>
        <w:tabs>
          <w:tab w:val="left" w:pos="2340"/>
        </w:tabs>
        <w:spacing w:line="360" w:lineRule="auto"/>
        <w:ind w:firstLine="480"/>
        <w:rPr>
          <w:rFonts w:ascii="Times New Roman" w:hAnsi="Times New Roman"/>
          <w:bCs/>
        </w:rPr>
      </w:pPr>
      <w:r>
        <w:rPr>
          <w:rFonts w:ascii="Times New Roman" w:hAnsi="Times New Roman"/>
          <w:bCs/>
          <w:sz w:val="24"/>
          <w:szCs w:val="24"/>
        </w:rPr>
        <w:t>6</w:t>
      </w:r>
      <w:r>
        <w:rPr>
          <w:rFonts w:ascii="Times New Roman" w:hAnsi="Times New Roman" w:hint="eastAsia"/>
          <w:bCs/>
          <w:sz w:val="24"/>
          <w:szCs w:val="24"/>
        </w:rPr>
        <w:t>）图像保存：产品图像可保存为图片格式，分辨率可调。</w:t>
      </w:r>
    </w:p>
    <w:p>
      <w:pPr>
        <w:tabs>
          <w:tab w:val="left" w:pos="2340"/>
        </w:tabs>
        <w:spacing w:line="360" w:lineRule="auto"/>
        <w:ind w:firstLine="480"/>
        <w:rPr>
          <w:rFonts w:ascii="Times New Roman" w:hAnsi="Times New Roman"/>
          <w:bCs/>
        </w:rPr>
      </w:pPr>
      <w:r>
        <w:rPr>
          <w:rFonts w:ascii="Times New Roman" w:hAnsi="Times New Roman"/>
          <w:bCs/>
          <w:sz w:val="24"/>
          <w:szCs w:val="24"/>
        </w:rPr>
        <w:t>7</w:t>
      </w:r>
      <w:r>
        <w:rPr>
          <w:rFonts w:ascii="Times New Roman" w:hAnsi="Times New Roman" w:hint="eastAsia"/>
          <w:bCs/>
          <w:sz w:val="24"/>
          <w:szCs w:val="24"/>
        </w:rPr>
        <w:t>）动态展示：支持产品时序播放、动图制作。</w:t>
      </w:r>
    </w:p>
    <w:p>
      <w:pPr>
        <w:tabs>
          <w:tab w:val="left" w:pos="2340"/>
        </w:tabs>
        <w:spacing w:line="360" w:lineRule="auto"/>
        <w:ind w:firstLine="480"/>
        <w:rPr>
          <w:rFonts w:ascii="Times New Roman" w:hAnsi="Times New Roman"/>
          <w:bCs/>
        </w:rPr>
      </w:pPr>
      <w:r>
        <w:rPr>
          <w:rFonts w:ascii="Times New Roman" w:hAnsi="Times New Roman"/>
          <w:bCs/>
          <w:sz w:val="24"/>
          <w:szCs w:val="24"/>
        </w:rPr>
        <w:t>8</w:t>
      </w:r>
      <w:r>
        <w:rPr>
          <w:rFonts w:ascii="Times New Roman" w:hAnsi="Times New Roman" w:hint="eastAsia"/>
          <w:bCs/>
          <w:sz w:val="24"/>
          <w:szCs w:val="24"/>
        </w:rPr>
        <w:t>）地图加载：产品显示可加载离线地图文件，同时应支持</w:t>
      </w:r>
      <w:r>
        <w:rPr>
          <w:rFonts w:ascii="Times New Roman" w:hAnsi="Times New Roman"/>
          <w:bCs/>
          <w:sz w:val="24"/>
          <w:szCs w:val="24"/>
        </w:rPr>
        <w:t>API</w:t>
      </w:r>
      <w:r>
        <w:rPr>
          <w:rFonts w:ascii="Times New Roman" w:hAnsi="Times New Roman" w:hint="eastAsia"/>
          <w:bCs/>
          <w:sz w:val="24"/>
          <w:szCs w:val="24"/>
        </w:rPr>
        <w:t>接口获取在线瓦片，底图包括但不限于地图、地形、影像，支持各级界线、名称显隐。</w:t>
      </w:r>
    </w:p>
    <w:p>
      <w:pPr>
        <w:tabs>
          <w:tab w:val="left" w:pos="2340"/>
        </w:tabs>
        <w:spacing w:line="360" w:lineRule="auto"/>
        <w:ind w:firstLine="480"/>
        <w:rPr>
          <w:rFonts w:ascii="Times New Roman" w:hAnsi="Times New Roman"/>
          <w:bCs/>
        </w:rPr>
      </w:pPr>
      <w:r>
        <w:rPr>
          <w:rFonts w:ascii="Times New Roman" w:hAnsi="Times New Roman"/>
          <w:bCs/>
          <w:sz w:val="24"/>
          <w:szCs w:val="24"/>
        </w:rPr>
        <w:t>9</w:t>
      </w:r>
      <w:r>
        <w:rPr>
          <w:rFonts w:ascii="Times New Roman" w:hAnsi="Times New Roman" w:hint="eastAsia"/>
          <w:bCs/>
          <w:sz w:val="24"/>
          <w:szCs w:val="24"/>
        </w:rPr>
        <w:t>）测距功能：产品显示界面可显示两点间距离、折线距离。</w:t>
      </w:r>
    </w:p>
    <w:p>
      <w:pPr>
        <w:tabs>
          <w:tab w:val="left" w:pos="2340"/>
        </w:tabs>
        <w:spacing w:line="360" w:lineRule="auto"/>
        <w:ind w:firstLine="480"/>
        <w:rPr>
          <w:rFonts w:ascii="Times New Roman" w:hAnsi="Times New Roman"/>
          <w:bCs/>
        </w:rPr>
      </w:pPr>
      <w:r>
        <w:rPr>
          <w:rFonts w:ascii="Times New Roman" w:hAnsi="Times New Roman"/>
          <w:bCs/>
          <w:sz w:val="24"/>
          <w:szCs w:val="24"/>
        </w:rPr>
        <w:t>10</w:t>
      </w:r>
      <w:r>
        <w:rPr>
          <w:rFonts w:ascii="Times New Roman" w:hAnsi="Times New Roman" w:hint="eastAsia"/>
          <w:bCs/>
          <w:sz w:val="24"/>
          <w:szCs w:val="24"/>
        </w:rPr>
        <w:t>）游标引导：游标所在点的经纬度、方位、距离、高度、产品数值、地理位置等信息显示。</w:t>
      </w:r>
    </w:p>
    <w:p>
      <w:pPr>
        <w:tabs>
          <w:tab w:val="left" w:pos="2340"/>
        </w:tabs>
        <w:spacing w:line="360" w:lineRule="auto"/>
        <w:ind w:firstLine="480"/>
        <w:rPr>
          <w:rFonts w:ascii="Times New Roman" w:hAnsi="Times New Roman"/>
          <w:bCs/>
        </w:rPr>
      </w:pPr>
      <w:r>
        <w:rPr>
          <w:rFonts w:ascii="Times New Roman" w:hAnsi="Times New Roman"/>
          <w:bCs/>
          <w:sz w:val="24"/>
          <w:szCs w:val="24"/>
        </w:rPr>
        <w:t>11</w:t>
      </w:r>
      <w:r>
        <w:rPr>
          <w:rFonts w:ascii="Times New Roman" w:hAnsi="Times New Roman" w:hint="eastAsia"/>
          <w:bCs/>
          <w:sz w:val="24"/>
          <w:szCs w:val="24"/>
        </w:rPr>
        <w:t>）产品色标：提供默认配色，支持自定义配色。</w:t>
      </w:r>
    </w:p>
    <w:p>
      <w:pPr>
        <w:tabs>
          <w:tab w:val="left" w:pos="2340"/>
        </w:tabs>
        <w:spacing w:line="360" w:lineRule="auto"/>
        <w:ind w:firstLine="480"/>
        <w:rPr>
          <w:rFonts w:ascii="Times New Roman" w:hAnsi="Times New Roman"/>
          <w:bCs/>
        </w:rPr>
      </w:pPr>
      <w:r>
        <w:rPr>
          <w:rFonts w:ascii="Times New Roman" w:hAnsi="Times New Roman"/>
          <w:bCs/>
          <w:sz w:val="24"/>
          <w:szCs w:val="24"/>
        </w:rPr>
        <w:t>12</w:t>
      </w:r>
      <w:r>
        <w:rPr>
          <w:rFonts w:ascii="Times New Roman" w:hAnsi="Times New Roman" w:hint="eastAsia"/>
          <w:bCs/>
          <w:sz w:val="24"/>
          <w:szCs w:val="24"/>
        </w:rPr>
        <w:t>）阈值过滤：显示阈值范围内数据，过滤超限数据；可单一范围显隐；可调整产品透明度。</w:t>
      </w:r>
    </w:p>
    <w:p>
      <w:pPr>
        <w:tabs>
          <w:tab w:val="left" w:pos="2340"/>
        </w:tabs>
        <w:spacing w:line="360" w:lineRule="auto"/>
        <w:ind w:firstLine="480"/>
        <w:rPr>
          <w:rFonts w:ascii="Times New Roman" w:hAnsi="Times New Roman"/>
          <w:bCs/>
        </w:rPr>
      </w:pPr>
      <w:r>
        <w:rPr>
          <w:rFonts w:ascii="Times New Roman" w:hAnsi="Times New Roman"/>
          <w:bCs/>
          <w:sz w:val="24"/>
          <w:szCs w:val="24"/>
        </w:rPr>
        <w:t>13</w:t>
      </w:r>
      <w:r>
        <w:rPr>
          <w:rFonts w:ascii="Times New Roman" w:hAnsi="Times New Roman" w:hint="eastAsia"/>
          <w:bCs/>
          <w:sz w:val="24"/>
          <w:szCs w:val="24"/>
        </w:rPr>
        <w:t>）自动刷新：可启停的自动显示最新产品数据。</w:t>
      </w:r>
    </w:p>
    <w:p>
      <w:pPr>
        <w:tabs>
          <w:tab w:val="left" w:pos="2340"/>
        </w:tabs>
        <w:spacing w:line="360" w:lineRule="auto"/>
        <w:ind w:firstLine="480"/>
        <w:rPr>
          <w:rFonts w:ascii="Times New Roman" w:hAnsi="Times New Roman"/>
          <w:bCs/>
        </w:rPr>
      </w:pPr>
      <w:r>
        <w:rPr>
          <w:rFonts w:ascii="Times New Roman" w:hAnsi="Times New Roman"/>
          <w:bCs/>
          <w:sz w:val="24"/>
          <w:szCs w:val="24"/>
        </w:rPr>
        <w:t>14</w:t>
      </w:r>
      <w:r>
        <w:rPr>
          <w:rFonts w:ascii="Times New Roman" w:hAnsi="Times New Roman" w:hint="eastAsia"/>
          <w:bCs/>
          <w:sz w:val="24"/>
          <w:szCs w:val="24"/>
        </w:rPr>
        <w:t>）状态监控：包括数据接收、产品制作、产品传输状态监控。</w:t>
      </w:r>
    </w:p>
    <w:p>
      <w:pPr>
        <w:tabs>
          <w:tab w:val="left" w:pos="2340"/>
        </w:tabs>
        <w:spacing w:line="360" w:lineRule="auto"/>
        <w:ind w:firstLine="480"/>
        <w:rPr>
          <w:rFonts w:ascii="Times New Roman" w:hAnsi="Times New Roman"/>
          <w:bCs/>
        </w:rPr>
      </w:pPr>
      <w:r>
        <w:rPr>
          <w:rFonts w:ascii="Times New Roman" w:hAnsi="Times New Roman"/>
          <w:bCs/>
          <w:sz w:val="24"/>
          <w:szCs w:val="24"/>
        </w:rPr>
        <w:t>15</w:t>
      </w:r>
      <w:r>
        <w:rPr>
          <w:rFonts w:ascii="Times New Roman" w:hAnsi="Times New Roman" w:hint="eastAsia"/>
          <w:bCs/>
          <w:sz w:val="24"/>
          <w:szCs w:val="24"/>
        </w:rPr>
        <w:t>）数据归档：本地或异地产品数据归档，支持定时清理。</w:t>
      </w:r>
    </w:p>
    <w:p>
      <w:pPr>
        <w:tabs>
          <w:tab w:val="left" w:pos="2340"/>
        </w:tabs>
        <w:spacing w:line="360" w:lineRule="auto"/>
        <w:ind w:firstLine="480"/>
        <w:rPr>
          <w:rFonts w:ascii="Times New Roman" w:hAnsi="Times New Roman"/>
          <w:bCs/>
        </w:rPr>
      </w:pPr>
      <w:r>
        <w:rPr>
          <w:rFonts w:ascii="Times New Roman" w:hAnsi="Times New Roman"/>
          <w:bCs/>
          <w:sz w:val="24"/>
          <w:szCs w:val="24"/>
        </w:rPr>
        <w:t>16</w:t>
      </w:r>
      <w:r>
        <w:rPr>
          <w:rFonts w:ascii="Times New Roman" w:hAnsi="Times New Roman" w:hint="eastAsia"/>
          <w:bCs/>
          <w:sz w:val="24"/>
          <w:szCs w:val="24"/>
        </w:rPr>
        <w:t>）数据上传：产品数据多节点上传，支持恢复网络后自动补传、手动补传。</w:t>
      </w:r>
    </w:p>
    <w:p>
      <w:pPr>
        <w:tabs>
          <w:tab w:val="left" w:pos="2340"/>
        </w:tabs>
        <w:spacing w:line="360" w:lineRule="auto"/>
        <w:ind w:firstLine="480"/>
        <w:rPr>
          <w:rFonts w:ascii="Times New Roman" w:hAnsi="Times New Roman"/>
          <w:bCs/>
        </w:rPr>
      </w:pPr>
      <w:r>
        <w:rPr>
          <w:rFonts w:ascii="Times New Roman" w:hAnsi="Times New Roman"/>
          <w:bCs/>
          <w:sz w:val="24"/>
          <w:szCs w:val="24"/>
        </w:rPr>
        <w:t>17</w:t>
      </w:r>
      <w:r>
        <w:rPr>
          <w:rFonts w:ascii="Times New Roman" w:hAnsi="Times New Roman" w:hint="eastAsia"/>
          <w:bCs/>
          <w:sz w:val="24"/>
          <w:szCs w:val="24"/>
        </w:rPr>
        <w:t>）算法参数：算法参数可本地化调整。</w:t>
      </w:r>
    </w:p>
    <w:p>
      <w:pPr>
        <w:tabs>
          <w:tab w:val="left" w:pos="2340"/>
        </w:tabs>
        <w:spacing w:line="360" w:lineRule="auto"/>
        <w:ind w:firstLine="480"/>
        <w:rPr>
          <w:rFonts w:ascii="Times New Roman" w:hAnsi="Times New Roman"/>
          <w:bCs/>
        </w:rPr>
      </w:pPr>
      <w:r>
        <w:rPr>
          <w:rFonts w:ascii="Times New Roman" w:hAnsi="Times New Roman"/>
          <w:bCs/>
          <w:sz w:val="24"/>
          <w:szCs w:val="24"/>
        </w:rPr>
        <w:t>18</w:t>
      </w:r>
      <w:r>
        <w:rPr>
          <w:rFonts w:ascii="Times New Roman" w:hAnsi="Times New Roman" w:hint="eastAsia"/>
          <w:bCs/>
          <w:sz w:val="24"/>
          <w:szCs w:val="24"/>
        </w:rPr>
        <w:t>）算法接口：支持外部算法接入，使用统一数据接口调用。</w:t>
      </w:r>
    </w:p>
    <w:p>
      <w:pPr>
        <w:tabs>
          <w:tab w:val="left" w:pos="2340"/>
        </w:tabs>
        <w:spacing w:line="360" w:lineRule="auto"/>
        <w:ind w:firstLine="480"/>
        <w:rPr>
          <w:rFonts w:ascii="Times New Roman" w:hAnsi="Times New Roman"/>
          <w:bCs/>
        </w:rPr>
      </w:pPr>
      <w:r>
        <w:rPr>
          <w:rFonts w:ascii="Times New Roman" w:hAnsi="Times New Roman"/>
          <w:bCs/>
          <w:sz w:val="24"/>
          <w:szCs w:val="24"/>
        </w:rPr>
        <w:t>19</w:t>
      </w:r>
      <w:r>
        <w:rPr>
          <w:rFonts w:ascii="Times New Roman" w:hAnsi="Times New Roman" w:hint="eastAsia"/>
          <w:bCs/>
          <w:sz w:val="24"/>
          <w:szCs w:val="24"/>
        </w:rPr>
        <w:t>）系统日志：包括软件运行日志、数据接收日志、产品生成日志、数据上传日志、告警日志、预警日志。</w:t>
      </w:r>
    </w:p>
    <w:p>
      <w:pPr>
        <w:tabs>
          <w:tab w:val="left" w:pos="2340"/>
        </w:tabs>
        <w:spacing w:line="360" w:lineRule="auto"/>
        <w:ind w:firstLine="480"/>
        <w:rPr>
          <w:rFonts w:ascii="Times New Roman" w:hAnsi="Times New Roman"/>
          <w:bCs/>
        </w:rPr>
      </w:pPr>
      <w:r>
        <w:rPr>
          <w:rFonts w:ascii="Times New Roman" w:hAnsi="Times New Roman"/>
          <w:bCs/>
          <w:sz w:val="24"/>
          <w:szCs w:val="24"/>
        </w:rPr>
        <w:t>20</w:t>
      </w:r>
      <w:r>
        <w:rPr>
          <w:rFonts w:ascii="Times New Roman" w:hAnsi="Times New Roman" w:hint="eastAsia"/>
          <w:bCs/>
          <w:sz w:val="24"/>
          <w:szCs w:val="24"/>
        </w:rPr>
        <w:t>）日志查询：可按日期、类型、关键词等方式查询系统日志。</w:t>
      </w:r>
    </w:p>
    <w:p>
      <w:pPr>
        <w:tabs>
          <w:tab w:val="left" w:pos="2340"/>
        </w:tabs>
        <w:spacing w:line="360" w:lineRule="auto"/>
        <w:ind w:firstLine="480"/>
        <w:rPr>
          <w:rFonts w:ascii="Times New Roman" w:hAnsi="Times New Roman"/>
          <w:bCs/>
        </w:rPr>
      </w:pPr>
      <w:r>
        <w:rPr>
          <w:rFonts w:ascii="Times New Roman" w:hAnsi="Times New Roman"/>
          <w:bCs/>
          <w:sz w:val="24"/>
          <w:szCs w:val="24"/>
        </w:rPr>
        <w:t>21</w:t>
      </w:r>
      <w:r>
        <w:rPr>
          <w:rFonts w:ascii="Times New Roman" w:hAnsi="Times New Roman" w:hint="eastAsia"/>
          <w:bCs/>
          <w:sz w:val="24"/>
          <w:szCs w:val="24"/>
        </w:rPr>
        <w:t>）多用户并发：每个产品生成终端应至少能够满足</w:t>
      </w:r>
      <w:r>
        <w:rPr>
          <w:rFonts w:ascii="Times New Roman" w:hAnsi="Times New Roman"/>
          <w:bCs/>
          <w:sz w:val="24"/>
          <w:szCs w:val="24"/>
        </w:rPr>
        <w:t>30</w:t>
      </w:r>
      <w:r>
        <w:rPr>
          <w:rFonts w:ascii="Times New Roman" w:hAnsi="Times New Roman" w:hint="eastAsia"/>
          <w:bCs/>
          <w:sz w:val="24"/>
          <w:szCs w:val="24"/>
        </w:rPr>
        <w:t>位用户同时访问。</w:t>
      </w:r>
    </w:p>
    <w:p>
      <w:pPr>
        <w:tabs>
          <w:tab w:val="left" w:pos="2340"/>
        </w:tabs>
        <w:spacing w:line="360" w:lineRule="auto"/>
        <w:ind w:firstLine="480"/>
        <w:rPr>
          <w:rFonts w:ascii="Times New Roman" w:hAnsi="Times New Roman"/>
          <w:bCs/>
        </w:rPr>
      </w:pPr>
      <w:r>
        <w:rPr>
          <w:rFonts w:ascii="Times New Roman" w:hAnsi="Times New Roman"/>
          <w:bCs/>
          <w:sz w:val="24"/>
          <w:szCs w:val="24"/>
        </w:rPr>
        <w:t>22</w:t>
      </w:r>
      <w:r>
        <w:rPr>
          <w:rFonts w:ascii="Times New Roman" w:hAnsi="Times New Roman" w:hint="eastAsia"/>
          <w:bCs/>
          <w:sz w:val="24"/>
          <w:szCs w:val="24"/>
        </w:rPr>
        <w:t>）数据库接口：可从天擎等数据库的接口获取雷达基数据作为数据源。</w:t>
      </w:r>
    </w:p>
    <w:p>
      <w:pPr>
        <w:tabs>
          <w:tab w:val="left" w:pos="2340"/>
        </w:tabs>
        <w:spacing w:line="360" w:lineRule="auto"/>
        <w:ind w:firstLine="480"/>
        <w:rPr>
          <w:rFonts w:ascii="Times New Roman" w:hAnsi="Times New Roman"/>
          <w:bCs/>
        </w:rPr>
      </w:pPr>
      <w:r>
        <w:rPr>
          <w:rFonts w:ascii="Times New Roman" w:hAnsi="Times New Roman"/>
          <w:bCs/>
          <w:sz w:val="24"/>
          <w:szCs w:val="24"/>
        </w:rPr>
        <w:t>23</w:t>
      </w:r>
      <w:r>
        <w:rPr>
          <w:rFonts w:ascii="Times New Roman" w:hAnsi="Times New Roman" w:hint="eastAsia"/>
          <w:bCs/>
          <w:sz w:val="24"/>
          <w:szCs w:val="24"/>
        </w:rPr>
        <w:t>）快捷操作：可通过键盘进行产品切换、时间切换、仰角层切换等快捷操作。</w:t>
      </w:r>
    </w:p>
    <w:p>
      <w:pPr>
        <w:tabs>
          <w:tab w:val="left" w:pos="2340"/>
        </w:tabs>
        <w:spacing w:line="360" w:lineRule="auto"/>
        <w:ind w:firstLine="480"/>
        <w:rPr>
          <w:rFonts w:ascii="Times New Roman" w:hAnsi="Times New Roman"/>
          <w:bCs/>
        </w:rPr>
      </w:pPr>
      <w:r>
        <w:rPr>
          <w:rFonts w:ascii="Times New Roman" w:hAnsi="Times New Roman"/>
          <w:bCs/>
          <w:sz w:val="24"/>
          <w:szCs w:val="24"/>
        </w:rPr>
        <w:t>24</w:t>
      </w:r>
      <w:r>
        <w:rPr>
          <w:rFonts w:ascii="Times New Roman" w:hAnsi="Times New Roman" w:hint="eastAsia"/>
          <w:bCs/>
          <w:sz w:val="24"/>
          <w:szCs w:val="24"/>
        </w:rPr>
        <w:t>）关注点标记：设定不同类型的关注点，可设置备注信息并保存；可单选、多选、分类选择叠加在产品上进行显示；可设定关注点预警范围。支持关注点信息导入导出。</w:t>
      </w:r>
    </w:p>
    <w:p>
      <w:pPr>
        <w:tabs>
          <w:tab w:val="left" w:pos="2340"/>
        </w:tabs>
        <w:spacing w:line="360" w:lineRule="auto"/>
        <w:ind w:firstLine="480"/>
        <w:rPr>
          <w:rFonts w:ascii="Times New Roman" w:hAnsi="Times New Roman"/>
          <w:bCs/>
        </w:rPr>
      </w:pPr>
      <w:r>
        <w:rPr>
          <w:rFonts w:ascii="Times New Roman" w:hAnsi="Times New Roman" w:hint="eastAsia"/>
          <w:bCs/>
          <w:sz w:val="24"/>
          <w:szCs w:val="24"/>
        </w:rPr>
        <w:t>（</w:t>
      </w:r>
      <w:r>
        <w:rPr>
          <w:rFonts w:ascii="Times New Roman" w:hAnsi="Times New Roman" w:hint="eastAsia"/>
          <w:bCs/>
          <w:sz w:val="24"/>
          <w:szCs w:val="24"/>
          <w:lang w:val="en-US" w:eastAsia="zh-CN"/>
        </w:rPr>
        <w:t>4</w:t>
      </w:r>
      <w:r>
        <w:rPr>
          <w:rFonts w:ascii="Times New Roman" w:hAnsi="Times New Roman" w:hint="eastAsia"/>
          <w:bCs/>
          <w:sz w:val="24"/>
          <w:szCs w:val="24"/>
        </w:rPr>
        <w:t>）软件</w:t>
      </w:r>
      <w:r>
        <w:rPr>
          <w:rFonts w:ascii="仿宋" w:eastAsia="仿宋" w:hAnsi="仿宋" w:cs="仿宋" w:hint="eastAsia"/>
          <w:b w:val="0"/>
          <w:kern w:val="2"/>
          <w:sz w:val="28"/>
          <w:szCs w:val="28"/>
          <w:lang w:val="en-US" w:eastAsia="zh-CN" w:bidi="ar-SA"/>
        </w:rPr>
        <w:t>运行环境要求</w:t>
      </w:r>
    </w:p>
    <w:p>
      <w:pPr>
        <w:tabs>
          <w:tab w:val="left" w:pos="2340"/>
        </w:tabs>
        <w:spacing w:line="360" w:lineRule="auto"/>
        <w:ind w:firstLine="480"/>
        <w:rPr>
          <w:rFonts w:ascii="Times New Roman" w:hAnsi="Times New Roman" w:hint="eastAsia"/>
          <w:bCs/>
        </w:rPr>
      </w:pPr>
      <w:r>
        <w:rPr>
          <w:rFonts w:ascii="Times New Roman" w:hAnsi="Times New Roman" w:hint="eastAsia"/>
          <w:bCs/>
          <w:sz w:val="24"/>
          <w:szCs w:val="24"/>
          <w:lang w:val="en-US" w:eastAsia="zh-CN"/>
        </w:rPr>
        <w:t>1）雷达应至少配置2台独立产品终端，负责产品制作及数据归档。</w:t>
      </w:r>
    </w:p>
    <w:p>
      <w:pPr>
        <w:tabs>
          <w:tab w:val="left" w:pos="2340"/>
        </w:tabs>
        <w:spacing w:line="360" w:lineRule="auto"/>
        <w:ind w:firstLine="480"/>
        <w:rPr>
          <w:rFonts w:ascii="Times New Roman" w:hAnsi="Times New Roman" w:hint="eastAsia"/>
          <w:bCs/>
        </w:rPr>
      </w:pPr>
      <w:r>
        <w:rPr>
          <w:rFonts w:ascii="Times New Roman" w:hAnsi="Times New Roman" w:hint="eastAsia"/>
          <w:bCs/>
          <w:sz w:val="24"/>
          <w:szCs w:val="24"/>
          <w:lang w:val="en-US" w:eastAsia="zh-CN"/>
        </w:rPr>
        <w:t>2）应支持国产化操作系统。</w:t>
      </w:r>
    </w:p>
    <w:p>
      <w:pPr>
        <w:tabs>
          <w:tab w:val="left" w:pos="2340"/>
        </w:tabs>
        <w:spacing w:line="360" w:lineRule="auto"/>
        <w:ind w:firstLine="480"/>
        <w:rPr>
          <w:rFonts w:ascii="Times New Roman" w:hAnsi="Times New Roman" w:hint="eastAsia"/>
          <w:bCs/>
        </w:rPr>
      </w:pPr>
      <w:r>
        <w:rPr>
          <w:rFonts w:ascii="Times New Roman" w:hAnsi="Times New Roman" w:hint="eastAsia"/>
          <w:bCs/>
          <w:sz w:val="24"/>
          <w:szCs w:val="24"/>
          <w:lang w:val="en-US" w:eastAsia="zh-CN"/>
        </w:rPr>
        <w:t>3）产品终端数据处理能力应满足产品制作整体耗时小于雷达最短体扫用时，避免造成数据积压。</w:t>
      </w:r>
    </w:p>
    <w:p>
      <w:pPr>
        <w:tabs>
          <w:tab w:val="left" w:pos="2340"/>
        </w:tabs>
        <w:spacing w:line="360" w:lineRule="auto"/>
        <w:ind w:firstLine="480"/>
        <w:rPr>
          <w:rFonts w:ascii="仿宋" w:eastAsia="仿宋" w:hAnsi="仿宋" w:cs="仿宋" w:hint="default"/>
          <w:szCs w:val="20"/>
        </w:rPr>
      </w:pPr>
      <w:r>
        <w:rPr>
          <w:rFonts w:ascii="Times New Roman" w:hAnsi="Times New Roman" w:hint="eastAsia"/>
          <w:bCs/>
          <w:sz w:val="24"/>
          <w:szCs w:val="24"/>
          <w:lang w:val="en-US" w:eastAsia="zh-CN"/>
        </w:rPr>
        <w:t>4）产品终端能存储不少于3个月的基数据及对应雷达产品。</w:t>
      </w:r>
    </w:p>
    <w:p>
      <w:pPr>
        <w:numPr>
          <w:ilvl w:val="0"/>
          <w:numId w:val="5"/>
        </w:numPr>
        <w:spacing w:line="560" w:lineRule="exact"/>
        <w:ind w:firstLine="560" w:firstLineChars="200"/>
        <w:outlineLvl w:val="1"/>
        <w:rPr>
          <w:rFonts w:ascii="仿宋" w:eastAsia="仿宋" w:hAnsi="仿宋" w:cs="仿宋" w:hint="eastAsia"/>
          <w:sz w:val="28"/>
          <w:szCs w:val="28"/>
        </w:rPr>
      </w:pPr>
      <w:r>
        <w:rPr>
          <w:rFonts w:ascii="仿宋" w:eastAsia="仿宋" w:hAnsi="仿宋" w:cs="仿宋" w:hint="eastAsia"/>
          <w:sz w:val="28"/>
          <w:szCs w:val="28"/>
        </w:rPr>
        <w:t>质保服务要求</w:t>
      </w:r>
    </w:p>
    <w:p>
      <w:pPr>
        <w:keepNext w:val="0"/>
        <w:keepLines w:val="0"/>
        <w:pageBreakBefore w:val="0"/>
        <w:widowControl w:val="0"/>
        <w:numPr>
          <w:ilvl w:val="1"/>
          <w:numId w:val="0"/>
        </w:numPr>
        <w:kinsoku/>
        <w:wordWrap/>
        <w:overflowPunct/>
        <w:topLinePunct w:val="0"/>
        <w:autoSpaceDE/>
        <w:autoSpaceDN/>
        <w:bidi w:val="0"/>
        <w:adjustRightInd/>
        <w:snapToGrid/>
        <w:spacing w:line="560" w:lineRule="exact"/>
        <w:ind w:left="0" w:firstLine="560" w:leftChars="0" w:firstLineChars="200"/>
        <w:textAlignment w:val="auto"/>
        <w:outlineLvl w:val="2"/>
        <w:rPr>
          <w:rFonts w:ascii="仿宋" w:eastAsia="仿宋" w:hAnsi="仿宋" w:cs="仿宋" w:hint="eastAsia"/>
          <w:sz w:val="28"/>
          <w:szCs w:val="28"/>
        </w:rPr>
      </w:pPr>
      <w:r>
        <w:rPr>
          <w:rFonts w:ascii="仿宋" w:eastAsia="仿宋" w:hAnsi="仿宋" w:cs="仿宋" w:hint="eastAsia"/>
          <w:kern w:val="2"/>
          <w:sz w:val="28"/>
          <w:szCs w:val="28"/>
          <w:lang w:val="en-US" w:eastAsia="zh-CN" w:bidi="ar-SA"/>
        </w:rPr>
        <w:t>4.1培训</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在采购方指定地点，中标方对相关技术人员进行不低于2人*5天的雷达使用培训和机务培训，使相关人员能够熟练掌握雷达基本操作、维护维修方法等，培训至少应包括以下内容：</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1）熟悉雷达系统工作原理；</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2）掌握雷达总体、各系统和配套设备的安装与布局位置；</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3）掌握雷达的结构和性能特点；</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4）在使用过程中，台站人员能熟练进行雷达操作；</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5）能完成雷达常见故障的判断；</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6）掌握雷达的日常维护、标定流程；</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7）具备雷达回波识别能力。</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8）掌握仪器仪表使用方法。</w:t>
      </w:r>
    </w:p>
    <w:p>
      <w:pPr>
        <w:keepNext w:val="0"/>
        <w:keepLines w:val="0"/>
        <w:pageBreakBefore w:val="0"/>
        <w:widowControl w:val="0"/>
        <w:numPr>
          <w:ilvl w:val="1"/>
          <w:numId w:val="0"/>
        </w:numPr>
        <w:kinsoku/>
        <w:wordWrap/>
        <w:overflowPunct/>
        <w:topLinePunct w:val="0"/>
        <w:autoSpaceDE/>
        <w:autoSpaceDN/>
        <w:bidi w:val="0"/>
        <w:adjustRightInd/>
        <w:snapToGrid/>
        <w:spacing w:line="560" w:lineRule="exact"/>
        <w:ind w:left="0" w:firstLine="560" w:leftChars="0" w:firstLineChars="200"/>
        <w:textAlignment w:val="auto"/>
        <w:outlineLvl w:val="2"/>
        <w:rPr>
          <w:rFonts w:ascii="仿宋" w:eastAsia="仿宋" w:hAnsi="仿宋" w:cs="仿宋" w:hint="eastAsia"/>
          <w:sz w:val="28"/>
          <w:szCs w:val="28"/>
        </w:rPr>
      </w:pPr>
      <w:r>
        <w:rPr>
          <w:rFonts w:ascii="仿宋" w:eastAsia="仿宋" w:hAnsi="仿宋" w:cs="仿宋" w:hint="eastAsia"/>
          <w:kern w:val="2"/>
          <w:sz w:val="28"/>
          <w:szCs w:val="28"/>
          <w:lang w:val="en-US" w:eastAsia="zh-CN" w:bidi="ar-SA"/>
        </w:rPr>
        <w:t>4.2质保期服务*</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中标方按照中国气象局有关要求提供服务，确保设备稳定运行，主要工作包括：日巡查、周维护、月维护及标校、汛前巡检及标校、年维护及标校、卫生清洁、防雷设施检测、消防设备检测、铁塔安全性检测等现场巡检巡查工作，</w:t>
      </w:r>
      <w:r>
        <w:rPr>
          <w:rFonts w:ascii="仿宋" w:eastAsia="仿宋" w:hAnsi="仿宋" w:cs="仿宋" w:hint="eastAsia"/>
          <w:sz w:val="28"/>
          <w:szCs w:val="28"/>
          <w:highlight w:val="yellow"/>
        </w:rPr>
        <w:t>以及自验收合格后8年的整机及雷达分系统质保服务等。</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按照中国气象局有关业务规范要求，在三级及以上气象应急响应期间，24小时全天候现场值守保障，并定期编制和上报雷达运行状态及故障处置报告。</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备品备件按质保总额的20%比例配置。设备厂家以履约保函等形式支付20%担保金额，后续逐年返还。此外，设备厂家应按照雷达维修保障要求配置整机备品备件，确保维修保障时效内配送至雷达站。</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备品备件、维护标校、故障维修和巡检巡查等各项要求按照《X波段天气雷达观测规范（试行）》、《X波段天气雷达标校业务规范（试行）》等文件要求执行。</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质保期服务提供相关承诺函。</w:t>
      </w:r>
    </w:p>
    <w:p>
      <w:pPr>
        <w:numPr>
          <w:ilvl w:val="0"/>
          <w:numId w:val="5"/>
        </w:numPr>
        <w:spacing w:line="560" w:lineRule="exact"/>
        <w:ind w:firstLine="560" w:firstLineChars="200"/>
        <w:outlineLvl w:val="1"/>
        <w:rPr>
          <w:rFonts w:ascii="仿宋" w:eastAsia="仿宋" w:hAnsi="仿宋" w:cs="仿宋" w:hint="eastAsia"/>
          <w:sz w:val="28"/>
          <w:szCs w:val="20"/>
        </w:rPr>
      </w:pPr>
      <w:r>
        <w:rPr>
          <w:rFonts w:ascii="仿宋" w:eastAsia="仿宋" w:hAnsi="仿宋" w:cs="仿宋" w:hint="eastAsia"/>
          <w:sz w:val="28"/>
          <w:szCs w:val="28"/>
          <w:highlight w:val="green"/>
        </w:rPr>
        <w:t>验收要求（检验考核要求等）</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lang w:val="en-US" w:eastAsia="zh-CN"/>
        </w:rPr>
        <w:t>参照可行性研究报告、合同、</w:t>
      </w:r>
      <w:r>
        <w:rPr>
          <w:rFonts w:ascii="仿宋" w:eastAsia="仿宋" w:hAnsi="仿宋" w:cs="仿宋" w:hint="eastAsia"/>
          <w:sz w:val="28"/>
          <w:szCs w:val="20"/>
        </w:rPr>
        <w:t>《X波段双线偏振一维相控阵天气雷达系统功能规格需求书》（气测函〔20</w:t>
      </w:r>
      <w:r>
        <w:rPr>
          <w:rFonts w:ascii="仿宋" w:eastAsia="仿宋" w:hAnsi="仿宋" w:cs="仿宋" w:hint="eastAsia"/>
          <w:sz w:val="28"/>
          <w:szCs w:val="20"/>
          <w:lang w:val="en-US" w:eastAsia="zh-CN"/>
        </w:rPr>
        <w:t>24</w:t>
      </w:r>
      <w:r>
        <w:rPr>
          <w:rFonts w:ascii="仿宋" w:eastAsia="仿宋" w:hAnsi="仿宋" w:cs="仿宋" w:hint="eastAsia"/>
          <w:sz w:val="28"/>
          <w:szCs w:val="20"/>
        </w:rPr>
        <w:t>〕</w:t>
      </w:r>
      <w:r>
        <w:rPr>
          <w:rFonts w:ascii="仿宋" w:eastAsia="仿宋" w:hAnsi="仿宋" w:cs="仿宋" w:hint="eastAsia"/>
          <w:sz w:val="28"/>
          <w:szCs w:val="20"/>
          <w:lang w:val="en-US" w:eastAsia="zh-CN"/>
        </w:rPr>
        <w:t>302</w:t>
      </w:r>
      <w:r>
        <w:rPr>
          <w:rFonts w:ascii="仿宋" w:eastAsia="仿宋" w:hAnsi="仿宋" w:cs="仿宋" w:hint="eastAsia"/>
          <w:sz w:val="28"/>
          <w:szCs w:val="20"/>
        </w:rPr>
        <w:t>号）</w:t>
      </w:r>
      <w:r>
        <w:rPr>
          <w:rFonts w:ascii="仿宋" w:eastAsia="仿宋" w:hAnsi="仿宋" w:cs="仿宋" w:hint="eastAsia"/>
          <w:sz w:val="28"/>
          <w:szCs w:val="20"/>
          <w:lang w:eastAsia="zh-CN"/>
        </w:rPr>
        <w:t>、</w:t>
      </w:r>
      <w:r>
        <w:rPr>
          <w:rFonts w:ascii="仿宋" w:eastAsia="仿宋" w:hAnsi="仿宋" w:cs="仿宋" w:hint="eastAsia"/>
          <w:sz w:val="28"/>
          <w:szCs w:val="28"/>
        </w:rPr>
        <w:t>《气象监测预警补短板工程X波段天气雷达现场验收规定（试行）》</w:t>
      </w:r>
      <w:r>
        <w:rPr>
          <w:rFonts w:ascii="仿宋" w:eastAsia="仿宋" w:hAnsi="仿宋" w:cs="仿宋" w:hint="eastAsia"/>
          <w:sz w:val="28"/>
          <w:szCs w:val="28"/>
          <w:lang w:val="en-US" w:eastAsia="zh-CN"/>
        </w:rPr>
        <w:t>等文件的要求开展检验考核。</w:t>
      </w:r>
    </w:p>
    <w:p>
      <w:pPr>
        <w:keepNext w:val="0"/>
        <w:keepLines w:val="0"/>
        <w:pageBreakBefore w:val="0"/>
        <w:widowControl w:val="0"/>
        <w:numPr>
          <w:ilvl w:val="0"/>
          <w:numId w:val="5"/>
        </w:numPr>
        <w:kinsoku/>
        <w:wordWrap/>
        <w:overflowPunct/>
        <w:topLinePunct w:val="0"/>
        <w:autoSpaceDE/>
        <w:autoSpaceDN/>
        <w:bidi w:val="0"/>
        <w:adjustRightInd/>
        <w:snapToGrid/>
        <w:spacing w:line="560" w:lineRule="exact"/>
        <w:ind w:left="0" w:firstLine="560" w:leftChars="0" w:firstLineChars="200"/>
        <w:textAlignment w:val="auto"/>
        <w:rPr>
          <w:rFonts w:ascii="仿宋" w:eastAsia="仿宋" w:hAnsi="仿宋" w:cs="仿宋" w:hint="eastAsia"/>
          <w:sz w:val="28"/>
          <w:szCs w:val="20"/>
        </w:rPr>
      </w:pPr>
      <w:r>
        <w:rPr>
          <w:rFonts w:ascii="仿宋" w:eastAsia="仿宋" w:hAnsi="仿宋" w:cs="仿宋" w:hint="eastAsia"/>
          <w:sz w:val="28"/>
          <w:szCs w:val="20"/>
        </w:rPr>
        <w:t>其他要求</w:t>
      </w:r>
      <w:r>
        <w:rPr>
          <w:rFonts w:ascii="仿宋" w:eastAsia="仿宋" w:hAnsi="仿宋" w:cs="仿宋" w:hint="eastAsia"/>
          <w:sz w:val="28"/>
          <w:szCs w:val="20"/>
        </w:rPr>
        <w:br/>
      </w:r>
      <w:r>
        <w:rPr>
          <w:rFonts w:ascii="仿宋" w:eastAsia="仿宋" w:hAnsi="仿宋" w:cs="仿宋" w:hint="eastAsia"/>
          <w:sz w:val="28"/>
          <w:szCs w:val="20"/>
        </w:rPr>
        <w:t xml:space="preserve">    详见采购需求-其他技术及商务需求。</w:t>
      </w:r>
    </w:p>
    <w:p>
      <w:pPr>
        <w:spacing w:line="560" w:lineRule="exact"/>
        <w:ind w:firstLine="720" w:firstLineChars="200"/>
        <w:jc w:val="center"/>
        <w:rPr>
          <w:rFonts w:ascii="仿宋" w:eastAsia="仿宋" w:hAnsi="仿宋" w:cs="仿宋"/>
          <w:b/>
          <w:sz w:val="36"/>
          <w:szCs w:val="36"/>
        </w:rPr>
      </w:pPr>
    </w:p>
    <w:p>
      <w:pPr>
        <w:spacing w:line="560" w:lineRule="exact"/>
        <w:ind w:firstLine="720" w:firstLineChars="200"/>
        <w:jc w:val="center"/>
        <w:rPr>
          <w:rFonts w:ascii="仿宋" w:eastAsia="仿宋" w:hAnsi="仿宋" w:cs="仿宋"/>
          <w:b/>
          <w:sz w:val="36"/>
          <w:szCs w:val="36"/>
        </w:rPr>
      </w:pPr>
    </w:p>
    <w:p>
      <w:pPr>
        <w:spacing w:line="560" w:lineRule="exact"/>
        <w:ind w:firstLine="720" w:firstLineChars="200"/>
        <w:jc w:val="center"/>
        <w:rPr>
          <w:rFonts w:ascii="仿宋" w:eastAsia="仿宋" w:hAnsi="仿宋" w:cs="仿宋"/>
          <w:b/>
          <w:sz w:val="36"/>
          <w:szCs w:val="36"/>
        </w:rPr>
      </w:pPr>
    </w:p>
    <w:p>
      <w:pPr>
        <w:spacing w:line="560" w:lineRule="exact"/>
        <w:ind w:firstLine="720" w:firstLineChars="200"/>
        <w:jc w:val="center"/>
        <w:rPr>
          <w:rFonts w:ascii="仿宋" w:eastAsia="仿宋" w:hAnsi="仿宋" w:cs="仿宋"/>
          <w:b/>
          <w:sz w:val="36"/>
          <w:szCs w:val="36"/>
        </w:rPr>
      </w:pPr>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hint="default"/>
          <w:sz w:val="28"/>
          <w:szCs w:val="20"/>
        </w:rPr>
      </w:pPr>
      <w:r>
        <w:rPr>
          <w:rFonts w:ascii="仿宋" w:eastAsia="仿宋" w:hAnsi="仿宋" w:cs="仿宋" w:hint="eastAsia"/>
          <w:sz w:val="28"/>
          <w:szCs w:val="20"/>
          <w:lang w:val="en-US" w:eastAsia="zh-CN"/>
        </w:rPr>
        <w:t>本项目属于2025年短临工程建设项目，建设睢县X波段相控阵天气雷达，弥补天气雷达低层观测盲区，结合河南其他已建成天气雷达，构建覆盖更广，精度更高的天气雷达立体监测网，提升区域天气系统精细化探测能力，另外睢县属于豫东大平原，偶有龙卷等极端灾害性天气发生，建设相控阵雷达，可以提高时空分辨率，提升对中小尺度灾害性天气捕捉能力。</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设备供应商对每套投标产品提供至少2次技术培训，培训课时不少于</w:t>
      </w:r>
      <w:r>
        <w:rPr>
          <w:rFonts w:ascii="仿宋" w:eastAsia="仿宋" w:hAnsi="仿宋" w:cs="仿宋" w:hint="eastAsia"/>
          <w:sz w:val="28"/>
          <w:szCs w:val="20"/>
          <w:lang w:val="en-US" w:eastAsia="zh-CN"/>
        </w:rPr>
        <w:t>8</w:t>
      </w:r>
      <w:r>
        <w:rPr>
          <w:rFonts w:ascii="仿宋" w:eastAsia="仿宋" w:hAnsi="仿宋" w:cs="仿宋" w:hint="eastAsia"/>
          <w:sz w:val="28"/>
          <w:szCs w:val="20"/>
        </w:rPr>
        <w:t>个课时，培训人数不少于</w:t>
      </w:r>
      <w:r>
        <w:rPr>
          <w:rFonts w:ascii="仿宋" w:eastAsia="仿宋" w:hAnsi="仿宋" w:cs="仿宋" w:hint="eastAsia"/>
          <w:sz w:val="28"/>
          <w:szCs w:val="20"/>
          <w:lang w:val="en-US" w:eastAsia="zh-CN"/>
        </w:rPr>
        <w:t>20</w:t>
      </w:r>
      <w:r>
        <w:rPr>
          <w:rFonts w:ascii="仿宋" w:eastAsia="仿宋" w:hAnsi="仿宋" w:cs="仿宋" w:hint="eastAsia"/>
          <w:sz w:val="28"/>
          <w:szCs w:val="20"/>
        </w:rPr>
        <w:t>人。培训内容包括设备安装、使用、日常维护、观测原理及产品应用，培训时间及地点双方协商确定。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lang w:val="en-US" w:eastAsia="zh-CN"/>
        </w:rPr>
        <w:t>睢县气象局指定</w:t>
      </w:r>
      <w:r>
        <w:rPr>
          <w:rFonts w:ascii="仿宋" w:eastAsia="仿宋" w:hAnsi="仿宋" w:cs="仿宋" w:hint="eastAsia"/>
          <w:sz w:val="28"/>
          <w:szCs w:val="20"/>
        </w:rPr>
        <w:t>地点（运输相关费用由供应商负责），并负责安装调试。</w:t>
      </w:r>
    </w:p>
    <w:p>
      <w:pPr>
        <w:ind w:firstLine="560" w:firstLineChars="200"/>
        <w:rPr>
          <w:rFonts w:ascii="仿宋" w:eastAsia="仿宋" w:hAnsi="仿宋" w:cs="仿宋"/>
          <w:b/>
          <w:bCs/>
          <w:sz w:val="28"/>
          <w:szCs w:val="20"/>
        </w:rPr>
      </w:pPr>
      <w:r>
        <w:rPr>
          <w:rFonts w:ascii="仿宋" w:eastAsia="仿宋" w:hAnsi="仿宋" w:cs="仿宋" w:hint="eastAsia"/>
          <w:sz w:val="28"/>
          <w:szCs w:val="20"/>
        </w:rPr>
        <w:t>合同签订后120天内完成供货、</w:t>
      </w:r>
      <w:r>
        <w:rPr>
          <w:rFonts w:ascii="仿宋" w:eastAsia="仿宋" w:hAnsi="仿宋" w:cs="仿宋" w:hint="eastAsia"/>
          <w:sz w:val="28"/>
          <w:szCs w:val="20"/>
          <w:lang w:val="en-US" w:eastAsia="zh-CN"/>
        </w:rPr>
        <w:t>30天完成</w:t>
      </w:r>
      <w:r>
        <w:rPr>
          <w:rFonts w:ascii="仿宋" w:eastAsia="仿宋" w:hAnsi="仿宋" w:cs="仿宋" w:hint="eastAsia"/>
          <w:sz w:val="28"/>
          <w:szCs w:val="20"/>
        </w:rPr>
        <w:t>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sz w:val="28"/>
          <w:szCs w:val="20"/>
        </w:rPr>
      </w:pPr>
      <w:r>
        <w:rPr>
          <w:rFonts w:ascii="仿宋" w:eastAsia="仿宋" w:hAnsi="仿宋" w:cs="仿宋" w:hint="eastAsia"/>
          <w:sz w:val="28"/>
          <w:szCs w:val="20"/>
          <w:lang w:val="en-US" w:eastAsia="zh-CN"/>
        </w:rPr>
        <w:t>设备软件兼容性强，设备数据传输模式、数据格式、数据通讯协议满足国家局下发的相关功能规格需求书要求，设备观测数据通过气象专网接入天擎平台，完全符合甲方相关要求和规范，保证其系统兼容性和功能的完整性</w:t>
      </w:r>
      <w:r>
        <w:rPr>
          <w:rFonts w:ascii="仿宋" w:eastAsia="仿宋" w:hAnsi="仿宋" w:cs="仿宋" w:hint="eastAsia"/>
          <w:sz w:val="28"/>
          <w:szCs w:val="20"/>
        </w:rPr>
        <w:t>。</w:t>
      </w:r>
    </w:p>
    <w:p>
      <w:pPr>
        <w:ind w:firstLine="560" w:firstLineChars="200"/>
        <w:rPr>
          <w:rFonts w:ascii="仿宋" w:eastAsia="仿宋" w:hAnsi="仿宋" w:cs="仿宋"/>
          <w:sz w:val="28"/>
          <w:szCs w:val="20"/>
        </w:rPr>
      </w:pPr>
      <w:r>
        <w:rPr>
          <w:rFonts w:ascii="仿宋" w:eastAsia="仿宋" w:hAnsi="仿宋" w:cs="仿宋" w:hint="eastAsia"/>
          <w:b/>
          <w:bCs/>
          <w:sz w:val="28"/>
          <w:szCs w:val="20"/>
        </w:rPr>
        <w:t>七、其他</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ascii="仿宋" w:eastAsia="仿宋" w:hAnsi="仿宋" w:cs="仿宋" w:hint="eastAsia"/>
          <w:sz w:val="28"/>
          <w:szCs w:val="20"/>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02"/>
        <w:gridCol w:w="1306"/>
        <w:gridCol w:w="823"/>
        <w:gridCol w:w="1145"/>
        <w:gridCol w:w="1306"/>
        <w:gridCol w:w="823"/>
        <w:gridCol w:w="2656"/>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71" w:name="货物一览表_index"/>
            <w:r>
              <w:rPr>
                <w:rFonts w:asciiTheme="minorEastAsia" w:eastAsiaTheme="minorEastAsia" w:hAnsiTheme="minorEastAsia" w:cstheme="minorEastAsia" w:hint="eastAsia"/>
                <w:kern w:val="0"/>
                <w:szCs w:val="21"/>
              </w:rPr>
              <w:t>序号</w:t>
            </w:r>
            <w:bookmarkEnd w:id="71"/>
          </w:p>
        </w:tc>
        <w:tc>
          <w:tcPr>
            <w:tcW w:w="1135" w:type="dxa"/>
          </w:tcPr>
          <w:p>
            <w:pPr>
              <w:autoSpaceDE w:val="0"/>
              <w:jc w:val="center"/>
              <w:rPr>
                <w:rFonts w:asciiTheme="minorEastAsia" w:hAnsiTheme="minorEastAsia" w:cstheme="minorEastAsia"/>
                <w:kern w:val="0"/>
                <w:szCs w:val="21"/>
              </w:rPr>
            </w:pPr>
            <w:bookmarkStart w:id="72" w:name="货物一览表_goodsName"/>
            <w:r>
              <w:rPr>
                <w:rFonts w:asciiTheme="minorEastAsia" w:eastAsiaTheme="minorEastAsia" w:hAnsiTheme="minorEastAsia" w:cstheme="minorEastAsia" w:hint="eastAsia"/>
                <w:kern w:val="0"/>
                <w:szCs w:val="21"/>
              </w:rPr>
              <w:t>设备名称</w:t>
            </w:r>
            <w:bookmarkEnd w:id="72"/>
          </w:p>
        </w:tc>
        <w:tc>
          <w:tcPr>
            <w:tcW w:w="965" w:type="dxa"/>
          </w:tcPr>
          <w:p>
            <w:pPr>
              <w:autoSpaceDE w:val="0"/>
              <w:jc w:val="center"/>
              <w:rPr>
                <w:rFonts w:asciiTheme="minorEastAsia" w:hAnsiTheme="minorEastAsia" w:cstheme="minorEastAsia"/>
                <w:kern w:val="0"/>
                <w:szCs w:val="21"/>
              </w:rPr>
            </w:pPr>
            <w:bookmarkStart w:id="73" w:name="货物一览表_nums"/>
            <w:r>
              <w:rPr>
                <w:rFonts w:asciiTheme="minorEastAsia" w:eastAsiaTheme="minorEastAsia" w:hAnsiTheme="minorEastAsia" w:cstheme="minorEastAsia" w:hint="eastAsia"/>
                <w:kern w:val="0"/>
                <w:szCs w:val="21"/>
              </w:rPr>
              <w:t>采购数量</w:t>
            </w:r>
            <w:bookmarkEnd w:id="73"/>
          </w:p>
        </w:tc>
        <w:tc>
          <w:tcPr>
            <w:tcW w:w="1062" w:type="dxa"/>
          </w:tcPr>
          <w:p>
            <w:pPr>
              <w:autoSpaceDE w:val="0"/>
              <w:jc w:val="center"/>
              <w:rPr>
                <w:rFonts w:asciiTheme="minorEastAsia" w:hAnsiTheme="minorEastAsia" w:cstheme="minorEastAsia"/>
                <w:kern w:val="0"/>
                <w:szCs w:val="21"/>
              </w:rPr>
            </w:pPr>
            <w:bookmarkStart w:id="74" w:name="货物一览表_units"/>
            <w:r>
              <w:rPr>
                <w:rFonts w:asciiTheme="minorEastAsia" w:eastAsiaTheme="minorEastAsia" w:hAnsiTheme="minorEastAsia" w:cstheme="minorEastAsia" w:hint="eastAsia"/>
                <w:kern w:val="0"/>
                <w:szCs w:val="21"/>
              </w:rPr>
              <w:t>计量单位</w:t>
            </w:r>
            <w:bookmarkEnd w:id="74"/>
          </w:p>
        </w:tc>
        <w:tc>
          <w:tcPr>
            <w:tcW w:w="1220" w:type="dxa"/>
          </w:tcPr>
          <w:p>
            <w:pPr>
              <w:autoSpaceDE w:val="0"/>
              <w:jc w:val="center"/>
              <w:rPr>
                <w:rFonts w:asciiTheme="minorEastAsia" w:hAnsiTheme="minorEastAsia" w:cstheme="minorEastAsia"/>
                <w:kern w:val="0"/>
                <w:szCs w:val="21"/>
              </w:rPr>
            </w:pPr>
            <w:bookmarkStart w:id="75" w:name="货物一览表_procurementBudget"/>
            <w:r>
              <w:rPr>
                <w:rFonts w:asciiTheme="minorEastAsia" w:eastAsiaTheme="minorEastAsia" w:hAnsiTheme="minorEastAsia" w:cstheme="minorEastAsia" w:hint="eastAsia"/>
                <w:kern w:val="0"/>
                <w:szCs w:val="21"/>
              </w:rPr>
              <w:t>采购预算（元）</w:t>
            </w:r>
            <w:bookmarkEnd w:id="75"/>
          </w:p>
        </w:tc>
        <w:tc>
          <w:tcPr>
            <w:tcW w:w="1329" w:type="dxa"/>
          </w:tcPr>
          <w:p>
            <w:pPr>
              <w:autoSpaceDE w:val="0"/>
              <w:jc w:val="center"/>
              <w:rPr>
                <w:rFonts w:asciiTheme="minorEastAsia" w:hAnsiTheme="minorEastAsia" w:cstheme="minorEastAsia" w:hint="eastAsia"/>
                <w:kern w:val="0"/>
                <w:szCs w:val="21"/>
              </w:rPr>
            </w:pPr>
            <w:bookmarkStart w:id="7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7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77" w:name="货物一览表_remark"/>
            <w:r>
              <w:rPr>
                <w:rFonts w:asciiTheme="minorEastAsia" w:eastAsiaTheme="minorEastAsia" w:hAnsiTheme="minorEastAsia" w:cstheme="minorEastAsia" w:hint="eastAsia"/>
                <w:kern w:val="0"/>
                <w:szCs w:val="21"/>
              </w:rPr>
              <w:t>备注</w:t>
            </w:r>
            <w:bookmarkEnd w:id="7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相控阵天气雷达</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7,800,000.00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r>
              <w:t>睢县气象局（王振权13598390518）</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7,800,000.00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41"/>
        <w:gridCol w:w="1572"/>
        <w:gridCol w:w="1148"/>
        <w:gridCol w:w="441"/>
        <w:gridCol w:w="1007"/>
        <w:gridCol w:w="839"/>
        <w:gridCol w:w="724"/>
        <w:gridCol w:w="235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7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睢县局(001046036020)</w:t>
            </w:r>
          </w:p>
        </w:tc>
        <w:tc>
          <w:tcPr/>
          <w:p>
            <w:r>
              <w:t>相控阵天气雷达</w:t>
            </w:r>
          </w:p>
        </w:tc>
        <w:tc>
          <w:tcPr/>
          <w:p>
            <w:r>
              <w:t>1</w:t>
            </w:r>
          </w:p>
        </w:tc>
        <w:tc>
          <w:tcPr/>
          <w:p>
            <w:r>
              <w:t>7800000.00</w:t>
            </w:r>
          </w:p>
        </w:tc>
        <w:tc>
          <w:tcPr/>
          <w:p>
            <w:r>
              <w:t xml:space="preserve">7800000.00  </w:t>
            </w:r>
          </w:p>
        </w:tc>
        <w:tc>
          <w:tcPr/>
          <w:p>
            <w:r>
              <w:t>商丘睢县</w:t>
            </w:r>
          </w:p>
        </w:tc>
        <w:tc>
          <w:tcPr/>
          <w:p>
            <w:r>
              <w:t>睢县气象局（王振权13598390518）</w:t>
            </w:r>
          </w:p>
        </w:tc>
      </w:tr>
    </w:tbl>
    <w:p w:rsidR="00A77B3E"/>
    <w:p>
      <w:pPr>
        <w:spacing w:line="360" w:lineRule="auto"/>
        <w:rPr>
          <w:rFonts w:ascii="宋体" w:hAnsi="宋体"/>
          <w:szCs w:val="21"/>
        </w:rPr>
      </w:pPr>
      <w:bookmarkEnd w:id="7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spacing w:line="560" w:lineRule="exact"/>
        <w:ind w:firstLine="560" w:firstLineChars="200"/>
        <w:rPr>
          <w:rFonts w:ascii="仿宋" w:eastAsia="仿宋" w:hAnsi="仿宋" w:cs="仿宋" w:hint="eastAsia"/>
          <w:sz w:val="28"/>
          <w:szCs w:val="2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rPr>
      </w:pPr>
      <w:bookmarkStart w:id="79" w:name="投标被拒绝条款专用部分_JJTK"/>
      <w:r>
        <w:rPr>
          <w:rFonts w:hint="eastAsia"/>
          <w:b/>
          <w:sz w:val="30"/>
          <w:szCs w:val="30"/>
        </w:rPr>
        <w:t>第八章  投标被拒绝条款专用部分</w:t>
      </w:r>
    </w:p>
    <w:p>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pPr>
              <w:rPr>
                <w:sz w:val="18"/>
                <w:szCs w:val="18"/>
              </w:rPr>
            </w:pPr>
            <w:r>
              <w:rPr>
                <w:rFonts w:hint="eastAsia"/>
                <w:sz w:val="18"/>
                <w:szCs w:val="18"/>
              </w:rPr>
              <w:t>序号</w:t>
            </w:r>
          </w:p>
        </w:tc>
        <w:tc>
          <w:tcPr>
            <w:tcW w:w="898"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347" w:type="dxa"/>
            <w:vAlign w:val="center"/>
          </w:tcPr>
          <w:p>
            <w:pPr>
              <w:jc w:val="center"/>
              <w:rPr>
                <w:sz w:val="18"/>
                <w:szCs w:val="18"/>
              </w:rPr>
            </w:pPr>
            <w:r>
              <w:rPr>
                <w:rFonts w:hint="eastAsia"/>
                <w:sz w:val="18"/>
                <w:szCs w:val="18"/>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b/>
                <w:sz w:val="18"/>
                <w:szCs w:val="18"/>
              </w:rPr>
            </w:pPr>
            <w:r>
              <w:rPr>
                <w:rFonts w:hint="eastAsia"/>
                <w:b/>
                <w:sz w:val="18"/>
                <w:szCs w:val="18"/>
              </w:rPr>
              <w:t>第五章 投标人须知专用部分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vAlign w:val="center"/>
          </w:tcPr>
          <w:p>
            <w:pPr>
              <w:numPr>
                <w:ilvl w:val="0"/>
                <w:numId w:val="16"/>
              </w:numPr>
              <w:rPr>
                <w:rFonts w:ascii="宋体" w:hAnsi="宋体"/>
                <w:sz w:val="18"/>
                <w:szCs w:val="18"/>
              </w:rPr>
            </w:pPr>
          </w:p>
        </w:tc>
        <w:tc>
          <w:tcPr>
            <w:tcW w:w="898" w:type="dxa"/>
            <w:vAlign w:val="center"/>
          </w:tcPr>
          <w:p>
            <w:pPr>
              <w:jc w:val="center"/>
              <w:rPr>
                <w:rFonts w:ascii="宋体" w:hAnsi="宋体" w:cs="微软雅黑"/>
                <w:b/>
                <w:color w:val="0000FF"/>
                <w:kern w:val="0"/>
                <w:sz w:val="18"/>
                <w:szCs w:val="18"/>
              </w:rPr>
            </w:pPr>
          </w:p>
        </w:tc>
        <w:tc>
          <w:tcPr>
            <w:tcW w:w="7347" w:type="dxa"/>
          </w:tcPr>
          <w:p>
            <w:pPr>
              <w:tabs>
                <w:tab w:val="left" w:pos="709"/>
              </w:tabs>
              <w:spacing w:line="360" w:lineRule="auto"/>
              <w:jc w:val="left"/>
              <w:rPr>
                <w:rFonts w:ascii="宋体" w:hAnsi="宋体" w:cs="微软雅黑"/>
                <w:b/>
                <w:color w:val="0000FF"/>
                <w:kern w:val="0"/>
                <w:sz w:val="18"/>
                <w:szCs w:val="18"/>
              </w:rPr>
            </w:pPr>
          </w:p>
        </w:tc>
      </w:tr>
      <w:tr>
        <w:tblPrEx>
          <w:tblW w:w="0" w:type="auto"/>
          <w:tblInd w:w="0" w:type="dxa"/>
          <w:tblLayout w:type="fixed"/>
          <w:tblCellMar>
            <w:top w:w="0" w:type="dxa"/>
            <w:left w:w="108" w:type="dxa"/>
            <w:bottom w:w="0" w:type="dxa"/>
            <w:right w:w="108" w:type="dxa"/>
          </w:tblCellMar>
        </w:tblPrEx>
        <w:trPr>
          <w:cantSplit/>
        </w:trPr>
        <w:tc>
          <w:tcPr>
            <w:tcW w:w="544" w:type="dxa"/>
            <w:vAlign w:val="center"/>
          </w:tcPr>
          <w:p>
            <w:pPr>
              <w:numPr>
                <w:ilvl w:val="0"/>
                <w:numId w:val="16"/>
              </w:numPr>
              <w:rPr>
                <w:rFonts w:ascii="宋体" w:hAnsi="宋体"/>
                <w:sz w:val="18"/>
                <w:szCs w:val="18"/>
              </w:rPr>
            </w:pPr>
          </w:p>
        </w:tc>
        <w:tc>
          <w:tcPr>
            <w:tcW w:w="898" w:type="dxa"/>
            <w:vAlign w:val="center"/>
          </w:tcPr>
          <w:p>
            <w:pPr>
              <w:jc w:val="center"/>
              <w:rPr>
                <w:rFonts w:ascii="宋体" w:hAnsi="宋体"/>
                <w:sz w:val="18"/>
                <w:szCs w:val="18"/>
              </w:rPr>
            </w:pPr>
            <w:r>
              <w:rPr>
                <w:rFonts w:ascii="宋体" w:hAnsi="宋体"/>
                <w:sz w:val="18"/>
                <w:szCs w:val="18"/>
              </w:rPr>
              <w:t>……</w:t>
            </w:r>
          </w:p>
        </w:tc>
        <w:tc>
          <w:tcPr>
            <w:tcW w:w="7347" w:type="dxa"/>
            <w:vAlign w:val="center"/>
          </w:tcPr>
          <w:p>
            <w:pPr>
              <w:rPr>
                <w:rFonts w:cs="微软雅黑"/>
                <w:b/>
                <w:color w:val="0000FF"/>
                <w:kern w:val="0"/>
                <w:sz w:val="18"/>
                <w:szCs w:val="18"/>
              </w:rPr>
            </w:pPr>
            <w:r>
              <w:rPr>
                <w:rFonts w:cs="微软雅黑"/>
                <w:b/>
                <w:color w:val="0000FF"/>
                <w:kern w:val="0"/>
                <w:sz w:val="18"/>
                <w:szCs w:val="18"/>
              </w:rPr>
              <w:t>……</w:t>
            </w:r>
          </w:p>
        </w:tc>
      </w:tr>
      <w:tr>
        <w:tblPrEx>
          <w:tblW w:w="0" w:type="auto"/>
          <w:tblInd w:w="0" w:type="dxa"/>
          <w:tblLayout w:type="fixed"/>
          <w:tblCellMar>
            <w:top w:w="0" w:type="dxa"/>
            <w:left w:w="108" w:type="dxa"/>
            <w:bottom w:w="0" w:type="dxa"/>
            <w:right w:w="108" w:type="dxa"/>
          </w:tblCellMar>
        </w:tblPrEx>
        <w:trPr>
          <w:cantSplit/>
        </w:trPr>
        <w:tc>
          <w:tcPr>
            <w:tcW w:w="544" w:type="dxa"/>
            <w:vAlign w:val="center"/>
          </w:tcPr>
          <w:p>
            <w:pPr>
              <w:numPr>
                <w:ilvl w:val="0"/>
                <w:numId w:val="16"/>
              </w:numPr>
              <w:rPr>
                <w:rFonts w:ascii="宋体" w:hAnsi="宋体"/>
                <w:sz w:val="18"/>
                <w:szCs w:val="18"/>
              </w:rPr>
            </w:pPr>
          </w:p>
        </w:tc>
        <w:tc>
          <w:tcPr>
            <w:tcW w:w="898" w:type="dxa"/>
            <w:vAlign w:val="center"/>
          </w:tcPr>
          <w:p>
            <w:pPr>
              <w:jc w:val="center"/>
              <w:rPr>
                <w:rFonts w:ascii="宋体" w:hAnsi="宋体"/>
                <w:sz w:val="18"/>
                <w:szCs w:val="18"/>
              </w:rPr>
            </w:pPr>
            <w:r>
              <w:rPr>
                <w:rFonts w:ascii="宋体" w:hAnsi="宋体"/>
                <w:sz w:val="18"/>
                <w:szCs w:val="18"/>
              </w:rPr>
              <w:t>……</w:t>
            </w:r>
          </w:p>
        </w:tc>
        <w:tc>
          <w:tcPr>
            <w:tcW w:w="7347" w:type="dxa"/>
            <w:vAlign w:val="center"/>
          </w:tcPr>
          <w:p>
            <w:pPr>
              <w:tabs>
                <w:tab w:val="left" w:pos="709"/>
              </w:tabs>
              <w:spacing w:line="360" w:lineRule="auto"/>
              <w:jc w:val="left"/>
              <w:rPr>
                <w:rFonts w:ascii="宋体" w:hAnsi="宋体" w:cs="微软雅黑"/>
                <w:b/>
                <w:color w:val="0000FF"/>
                <w:kern w:val="0"/>
                <w:sz w:val="18"/>
                <w:szCs w:val="18"/>
              </w:rPr>
            </w:pPr>
            <w:r>
              <w:rPr>
                <w:rFonts w:ascii="宋体" w:hAnsi="宋体" w:cs="微软雅黑"/>
                <w:b/>
                <w:color w:val="0000FF"/>
                <w:kern w:val="0"/>
                <w:sz w:val="18"/>
                <w:szCs w:val="18"/>
              </w:rPr>
              <w:t>……</w:t>
            </w:r>
          </w:p>
        </w:tc>
      </w:tr>
      <w:tr>
        <w:tblPrEx>
          <w:tblW w:w="0" w:type="auto"/>
          <w:tblInd w:w="0" w:type="dxa"/>
          <w:tblLayout w:type="fixed"/>
          <w:tblCellMar>
            <w:top w:w="0" w:type="dxa"/>
            <w:left w:w="108" w:type="dxa"/>
            <w:bottom w:w="0" w:type="dxa"/>
            <w:right w:w="108" w:type="dxa"/>
          </w:tblCellMar>
        </w:tblPrEx>
        <w:trPr>
          <w:cantSplit/>
        </w:trPr>
        <w:tc>
          <w:tcPr>
            <w:tcW w:w="544" w:type="dxa"/>
            <w:vAlign w:val="center"/>
          </w:tcPr>
          <w:p>
            <w:pPr>
              <w:numPr>
                <w:ilvl w:val="0"/>
                <w:numId w:val="16"/>
              </w:numPr>
              <w:rPr>
                <w:rFonts w:ascii="宋体" w:hAnsi="宋体"/>
                <w:sz w:val="18"/>
                <w:szCs w:val="18"/>
              </w:rPr>
            </w:pPr>
          </w:p>
        </w:tc>
        <w:tc>
          <w:tcPr>
            <w:tcW w:w="898" w:type="dxa"/>
            <w:vAlign w:val="center"/>
          </w:tcPr>
          <w:p>
            <w:pPr>
              <w:jc w:val="center"/>
              <w:rPr>
                <w:rFonts w:ascii="宋体" w:hAnsi="宋体"/>
                <w:sz w:val="18"/>
                <w:szCs w:val="18"/>
              </w:rPr>
            </w:pPr>
            <w:r>
              <w:rPr>
                <w:rFonts w:ascii="宋体" w:hAnsi="宋体"/>
                <w:sz w:val="18"/>
                <w:szCs w:val="18"/>
              </w:rPr>
              <w:t>……</w:t>
            </w:r>
          </w:p>
        </w:tc>
        <w:tc>
          <w:tcPr>
            <w:tcW w:w="7347" w:type="dxa"/>
            <w:vAlign w:val="center"/>
          </w:tcPr>
          <w:p>
            <w:pPr>
              <w:tabs>
                <w:tab w:val="left" w:pos="709"/>
              </w:tabs>
              <w:spacing w:line="360" w:lineRule="auto"/>
              <w:jc w:val="left"/>
              <w:rPr>
                <w:rFonts w:ascii="宋体" w:hAnsi="宋体" w:cs="微软雅黑"/>
                <w:b/>
                <w:color w:val="0000FF"/>
                <w:kern w:val="0"/>
                <w:sz w:val="18"/>
                <w:szCs w:val="18"/>
              </w:rPr>
            </w:pPr>
            <w:r>
              <w:rPr>
                <w:rFonts w:ascii="宋体" w:hAnsi="宋体" w:cs="微软雅黑"/>
                <w:b/>
                <w:color w:val="0000FF"/>
                <w:kern w:val="0"/>
                <w:sz w:val="18"/>
                <w:szCs w:val="18"/>
              </w:rPr>
              <w:t>……</w:t>
            </w:r>
          </w:p>
        </w:tc>
      </w:tr>
      <w:tr>
        <w:tblPrEx>
          <w:tblW w:w="0" w:type="auto"/>
          <w:tblInd w:w="0" w:type="dxa"/>
          <w:tblLayout w:type="fixed"/>
          <w:tblCellMar>
            <w:top w:w="0" w:type="dxa"/>
            <w:left w:w="108" w:type="dxa"/>
            <w:bottom w:w="0" w:type="dxa"/>
            <w:right w:w="108" w:type="dxa"/>
          </w:tblCellMar>
        </w:tblPrEx>
        <w:trPr>
          <w:cantSplit/>
        </w:trPr>
        <w:tc>
          <w:tcPr>
            <w:tcW w:w="544" w:type="dxa"/>
            <w:vAlign w:val="center"/>
          </w:tcPr>
          <w:p>
            <w:pPr>
              <w:numPr>
                <w:ilvl w:val="0"/>
                <w:numId w:val="16"/>
              </w:numPr>
              <w:rPr>
                <w:rFonts w:ascii="宋体" w:hAnsi="宋体"/>
                <w:sz w:val="18"/>
                <w:szCs w:val="18"/>
              </w:rPr>
            </w:pPr>
          </w:p>
        </w:tc>
        <w:tc>
          <w:tcPr>
            <w:tcW w:w="898" w:type="dxa"/>
            <w:vAlign w:val="center"/>
          </w:tcPr>
          <w:p>
            <w:pPr>
              <w:jc w:val="center"/>
              <w:rPr>
                <w:rFonts w:ascii="宋体" w:hAnsi="宋体"/>
                <w:sz w:val="18"/>
                <w:szCs w:val="18"/>
              </w:rPr>
            </w:pPr>
            <w:r>
              <w:rPr>
                <w:rFonts w:ascii="宋体" w:hAnsi="宋体"/>
                <w:sz w:val="18"/>
                <w:szCs w:val="18"/>
              </w:rPr>
              <w:t>……</w:t>
            </w:r>
          </w:p>
        </w:tc>
        <w:tc>
          <w:tcPr>
            <w:tcW w:w="7347" w:type="dxa"/>
            <w:vAlign w:val="center"/>
          </w:tcPr>
          <w:p>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w:t>
            </w:r>
            <w:r>
              <w:rPr>
                <w:rFonts w:ascii="宋体" w:hAnsi="宋体" w:cs="微软雅黑"/>
                <w:b/>
                <w:color w:val="0000FF"/>
                <w:kern w:val="0"/>
                <w:sz w:val="18"/>
                <w:szCs w:val="18"/>
              </w:rPr>
              <w:t xml:space="preserve">      ……            ……</w:t>
            </w:r>
          </w:p>
        </w:tc>
      </w:tr>
      <w:tr>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sz w:val="18"/>
                <w:szCs w:val="18"/>
              </w:rPr>
            </w:pPr>
            <w:r>
              <w:rPr>
                <w:rFonts w:hint="eastAsia"/>
                <w:b/>
                <w:sz w:val="18"/>
                <w:szCs w:val="18"/>
              </w:rPr>
              <w:t>第七章  采购需求</w:t>
            </w:r>
          </w:p>
        </w:tc>
      </w:tr>
      <w:tr>
        <w:tblPrEx>
          <w:tblW w:w="0" w:type="auto"/>
          <w:tblInd w:w="0" w:type="dxa"/>
          <w:tblLayout w:type="fixed"/>
          <w:tblCellMar>
            <w:top w:w="0" w:type="dxa"/>
            <w:left w:w="108" w:type="dxa"/>
            <w:bottom w:w="0" w:type="dxa"/>
            <w:right w:w="108" w:type="dxa"/>
          </w:tblCellMar>
        </w:tblPrEx>
        <w:trPr>
          <w:cantSplit/>
        </w:trPr>
        <w:tc>
          <w:tcPr>
            <w:tcW w:w="544" w:type="dxa"/>
            <w:vAlign w:val="center"/>
          </w:tcPr>
          <w:p>
            <w:pPr>
              <w:numPr>
                <w:ilvl w:val="0"/>
                <w:numId w:val="16"/>
              </w:numPr>
              <w:rPr>
                <w:rFonts w:ascii="宋体" w:hAnsi="宋体"/>
                <w:sz w:val="18"/>
                <w:szCs w:val="18"/>
              </w:rPr>
            </w:pPr>
          </w:p>
        </w:tc>
        <w:tc>
          <w:tcPr>
            <w:tcW w:w="898" w:type="dxa"/>
            <w:vAlign w:val="center"/>
          </w:tcPr>
          <w:p>
            <w:pPr>
              <w:jc w:val="center"/>
              <w:rPr>
                <w:rFonts w:ascii="宋体" w:hAnsi="宋体"/>
                <w:sz w:val="18"/>
                <w:szCs w:val="18"/>
              </w:rPr>
            </w:pPr>
            <w:r>
              <w:rPr>
                <w:rFonts w:ascii="宋体" w:hAnsi="宋体" w:hint="eastAsia"/>
                <w:sz w:val="18"/>
                <w:szCs w:val="18"/>
              </w:rPr>
              <w:t>4.2</w:t>
            </w:r>
          </w:p>
        </w:tc>
        <w:tc>
          <w:tcPr>
            <w:tcW w:w="7347" w:type="dxa"/>
            <w:vAlign w:val="center"/>
          </w:tcPr>
          <w:p>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设备供应商对所有设备提供自验收合格后8年的免费维护维修服务，并提供相关承诺函。</w:t>
            </w:r>
          </w:p>
        </w:tc>
      </w:tr>
    </w:tbl>
    <w:p>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rPr>
        <w:sectPr>
          <w:headerReference w:type="default" r:id="rId8"/>
          <w:footerReference w:type="default" r:id="rId9"/>
          <w:pgSz w:w="11906" w:h="16838"/>
          <w:pgMar w:top="1440" w:right="1800" w:bottom="1440" w:left="1800" w:header="851" w:footer="992" w:gutter="0"/>
          <w:cols w:space="708"/>
          <w:docGrid w:type="lines" w:linePitch="312"/>
        </w:sectPr>
      </w:pPr>
      <w:bookmarkEnd w:id="7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7"/>
        </w:numPr>
        <w:spacing w:line="360" w:lineRule="auto"/>
        <w:ind w:firstLine="3066" w:firstLineChars="1460"/>
        <w:jc w:val="left"/>
        <w:rPr>
          <w:rFonts w:hint="eastAsia"/>
          <w:b/>
          <w:bCs/>
          <w:szCs w:val="21"/>
          <w:highlight w:val="none"/>
        </w:rPr>
      </w:pPr>
      <w:bookmarkStart w:id="80"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81"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81"/>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8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82"/>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9"/>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rFonts w:ascii="宋体" w:hAnsi="宋体" w:hint="eastAsia"/>
          <w:szCs w:val="21"/>
          <w:highlight w:val="yellow"/>
        </w:rPr>
      </w:pPr>
      <w:r>
        <w:rPr>
          <w:rFonts w:ascii="Wingdings" w:hAnsi="Wingdings"/>
          <w:szCs w:val="21"/>
          <w:highlight w:val="yellow"/>
        </w:rPr>
        <w:sym w:font="Wingdings" w:char="F0FE"/>
      </w:r>
      <w:r>
        <w:rPr>
          <w:rFonts w:ascii="宋体" w:hAnsi="宋体" w:hint="eastAsia"/>
          <w:szCs w:val="21"/>
          <w:highlight w:val="yellow"/>
        </w:rPr>
        <w:t>分期付款：</w:t>
      </w:r>
    </w:p>
    <w:p>
      <w:pPr>
        <w:snapToGrid w:val="0"/>
        <w:spacing w:line="400" w:lineRule="exact"/>
        <w:ind w:firstLine="630" w:firstLineChars="300"/>
        <w:rPr>
          <w:rFonts w:ascii="宋体" w:hAnsi="宋体" w:hint="default"/>
          <w:szCs w:val="21"/>
          <w:highlight w:val="yellow"/>
          <w:u w:val="single"/>
        </w:rPr>
      </w:pPr>
      <w:r>
        <w:rPr>
          <w:rFonts w:ascii="宋体" w:hAnsi="宋体" w:hint="eastAsia"/>
          <w:szCs w:val="21"/>
          <w:highlight w:val="yellow"/>
          <w:u w:val="single"/>
          <w:lang w:val="en-US" w:eastAsia="zh-CN"/>
        </w:rPr>
        <w:t>合同生效后付款：双方签署合同后10个工作日内，甲方向乙方支付合同总金额的85%，即人民币               （大写）：</w:t>
      </w:r>
      <w:r>
        <w:rPr>
          <w:rFonts w:ascii="Arial" w:hAnsi="Arial" w:cs="Arial" w:hint="default"/>
          <w:szCs w:val="21"/>
          <w:highlight w:val="yellow"/>
          <w:u w:val="single"/>
          <w:lang w:val="en-US" w:eastAsia="zh-CN"/>
        </w:rPr>
        <w:t>¥</w:t>
      </w:r>
      <w:r>
        <w:rPr>
          <w:rFonts w:ascii="宋体" w:hAnsi="宋体" w:hint="eastAsia"/>
          <w:szCs w:val="21"/>
          <w:highlight w:val="yellow"/>
          <w:u w:val="single"/>
          <w:lang w:val="en-US" w:eastAsia="zh-CN"/>
        </w:rPr>
        <w:t xml:space="preserve">                  元（小写）。</w:t>
      </w:r>
    </w:p>
    <w:p>
      <w:pPr>
        <w:adjustRightInd w:val="0"/>
        <w:snapToGrid w:val="0"/>
        <w:spacing w:line="400" w:lineRule="exact"/>
        <w:ind w:firstLine="630" w:firstLineChars="300"/>
        <w:rPr>
          <w:rFonts w:ascii="宋体" w:hAnsi="宋体" w:hint="eastAsia"/>
          <w:szCs w:val="21"/>
          <w:highlight w:val="yellow"/>
          <w:u w:val="single"/>
        </w:rPr>
      </w:pPr>
      <w:r>
        <w:rPr>
          <w:rFonts w:ascii="宋体" w:hAnsi="宋体" w:hint="eastAsia"/>
          <w:szCs w:val="21"/>
          <w:highlight w:val="yellow"/>
          <w:u w:val="single"/>
          <w:lang w:val="en-US" w:eastAsia="zh-CN"/>
        </w:rPr>
        <w:t>到货、检验后付款：双方签署验收报告后10个工作日内，甲方向乙方支付合同总金额的15%，即人民币               （大写）：</w:t>
      </w:r>
      <w:r>
        <w:rPr>
          <w:rFonts w:ascii="Arial" w:hAnsi="Arial" w:cs="Arial" w:hint="default"/>
          <w:szCs w:val="21"/>
          <w:highlight w:val="yellow"/>
          <w:u w:val="single"/>
          <w:lang w:val="en-US" w:eastAsia="zh-CN"/>
        </w:rPr>
        <w:t>¥</w:t>
      </w:r>
      <w:r>
        <w:rPr>
          <w:rFonts w:ascii="宋体" w:hAnsi="宋体" w:hint="eastAsia"/>
          <w:szCs w:val="21"/>
          <w:highlight w:val="yellow"/>
          <w:u w:val="single"/>
          <w:lang w:val="en-US" w:eastAsia="zh-CN"/>
        </w:rPr>
        <w:t xml:space="preserve">                  元（小写）。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8"/>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w:t>
      </w:r>
      <w:r>
        <w:rPr>
          <w:rFonts w:ascii="宋体" w:hAnsi="宋体" w:cs="宋体" w:hint="eastAsia"/>
          <w:bCs/>
          <w:szCs w:val="21"/>
          <w:highlight w:val="none"/>
          <w:lang w:val="en-US" w:eastAsia="zh-CN"/>
        </w:rPr>
        <w:t>是否需要</w:t>
      </w:r>
      <w:r>
        <w:rPr>
          <w:rFonts w:ascii="宋体" w:hAnsi="宋体" w:cs="宋体" w:hint="eastAsia"/>
          <w:bCs/>
          <w:szCs w:val="21"/>
          <w:highlight w:val="yellow"/>
        </w:rPr>
        <w:t>履约担保：</w:t>
      </w:r>
      <w:r>
        <w:rPr>
          <w:rFonts w:ascii="Wingdings" w:hAnsi="Wingdings" w:cs="宋体"/>
          <w:szCs w:val="21"/>
          <w:highlight w:val="yellow"/>
        </w:rPr>
        <w:sym w:font="Wingdings" w:char="F0FE"/>
      </w:r>
      <w:r>
        <w:rPr>
          <w:rFonts w:ascii="宋体" w:hAnsi="宋体" w:cs="宋体" w:hint="eastAsia"/>
          <w:szCs w:val="21"/>
          <w:highlight w:val="yellow"/>
        </w:rPr>
        <w:t xml:space="preserve">是    </w:t>
      </w:r>
      <w:r>
        <w:rPr>
          <w:rFonts w:ascii="Wingdings" w:hAnsi="Wingdings" w:cs="宋体"/>
          <w:szCs w:val="21"/>
          <w:highlight w:val="yellow"/>
        </w:rPr>
        <w:sym w:font="Wingdings" w:char="F0A8"/>
      </w:r>
      <w:r>
        <w:rPr>
          <w:rFonts w:ascii="宋体" w:hAnsi="宋体" w:cs="宋体" w:hint="eastAsia"/>
          <w:szCs w:val="21"/>
          <w:highlight w:val="yellow"/>
        </w:rPr>
        <w:t>否</w:t>
      </w:r>
    </w:p>
    <w:p>
      <w:pPr>
        <w:pStyle w:val="AONormal"/>
        <w:rPr>
          <w:rFonts w:ascii="宋体" w:hAnsi="宋体" w:eastAsiaTheme="minorEastAsia" w:cs="宋体" w:hint="eastAsia"/>
          <w:bCs/>
          <w:kern w:val="2"/>
          <w:sz w:val="21"/>
          <w:highlight w:val="yellow"/>
        </w:rPr>
      </w:pPr>
      <w:r>
        <w:rPr>
          <w:rFonts w:ascii="宋体" w:hAnsi="宋体" w:eastAsiaTheme="minorEastAsia" w:cs="宋体" w:hint="eastAsia"/>
          <w:bCs/>
          <w:kern w:val="2"/>
          <w:sz w:val="21"/>
          <w:szCs w:val="21"/>
          <w:highlight w:val="yellow"/>
          <w:lang w:val="en-US" w:eastAsia="zh-CN" w:bidi="ar-SA"/>
        </w:rPr>
        <w:t xml:space="preserve">    履约担保形式：</w:t>
      </w:r>
      <w:r>
        <w:rPr>
          <w:rFonts w:ascii="宋体" w:hAnsi="宋体" w:eastAsiaTheme="minorEastAsia" w:cs="宋体" w:hint="eastAsia"/>
          <w:bCs/>
          <w:kern w:val="2"/>
          <w:sz w:val="21"/>
          <w:szCs w:val="21"/>
          <w:highlight w:val="yellow"/>
          <w:u w:val="single"/>
          <w:lang w:val="en-US" w:eastAsia="zh-CN" w:bidi="ar-SA"/>
        </w:rPr>
        <w:t xml:space="preserve">    履约保函            </w:t>
      </w:r>
      <w:r>
        <w:rPr>
          <w:rFonts w:ascii="宋体" w:hAnsi="宋体" w:eastAsiaTheme="minorEastAsia" w:cs="宋体" w:hint="eastAsia"/>
          <w:bCs/>
          <w:kern w:val="2"/>
          <w:sz w:val="21"/>
          <w:szCs w:val="21"/>
          <w:highlight w:val="yellow"/>
          <w:lang w:val="en-US" w:eastAsia="zh-CN" w:bidi="ar-SA"/>
        </w:rPr>
        <w:t xml:space="preserve"> </w:t>
      </w:r>
    </w:p>
    <w:p>
      <w:pPr>
        <w:pStyle w:val="AONormal"/>
        <w:ind w:firstLine="420"/>
        <w:rPr>
          <w:rFonts w:ascii="宋体" w:hAnsi="宋体" w:eastAsiaTheme="minorEastAsia" w:cs="宋体" w:hint="eastAsia"/>
          <w:bCs/>
          <w:kern w:val="2"/>
          <w:sz w:val="21"/>
          <w:highlight w:val="yellow"/>
        </w:rPr>
      </w:pPr>
      <w:r>
        <w:rPr>
          <w:rFonts w:ascii="宋体" w:hAnsi="宋体" w:eastAsiaTheme="minorEastAsia" w:cs="宋体" w:hint="eastAsia"/>
          <w:bCs/>
          <w:kern w:val="2"/>
          <w:sz w:val="21"/>
          <w:szCs w:val="21"/>
          <w:highlight w:val="yellow"/>
          <w:lang w:val="en-US" w:eastAsia="zh-CN" w:bidi="ar-SA"/>
        </w:rPr>
        <w:t xml:space="preserve">    履约保函金额比例：</w:t>
      </w:r>
      <w:r>
        <w:rPr>
          <w:rFonts w:ascii="宋体" w:hAnsi="宋体" w:eastAsiaTheme="minorEastAsia" w:cs="宋体" w:hint="eastAsia"/>
          <w:bCs/>
          <w:kern w:val="2"/>
          <w:sz w:val="21"/>
          <w:szCs w:val="21"/>
          <w:highlight w:val="yellow"/>
          <w:u w:val="single"/>
          <w:lang w:val="en-US" w:eastAsia="zh-CN" w:bidi="ar-SA"/>
        </w:rPr>
        <w:t xml:space="preserve">     合同总价10%     </w:t>
      </w:r>
    </w:p>
    <w:p>
      <w:pPr>
        <w:snapToGrid w:val="0"/>
        <w:spacing w:line="400" w:lineRule="exact"/>
        <w:ind w:firstLine="420" w:firstLineChars="200"/>
        <w:rPr>
          <w:rFonts w:ascii="宋体" w:hAnsi="宋体" w:cs="宋体" w:hint="eastAsia"/>
          <w:bCs/>
          <w:szCs w:val="21"/>
          <w:highlight w:val="yellow"/>
        </w:rPr>
      </w:pPr>
      <w:r>
        <w:rPr>
          <w:rFonts w:ascii="宋体" w:hAnsi="宋体" w:eastAsiaTheme="minorEastAsia" w:cs="宋体" w:hint="eastAsia"/>
          <w:bCs/>
          <w:kern w:val="2"/>
          <w:sz w:val="21"/>
          <w:szCs w:val="21"/>
          <w:highlight w:val="yellow"/>
          <w:lang w:val="en-US" w:eastAsia="zh-CN" w:bidi="ar-SA"/>
        </w:rPr>
        <w:t xml:space="preserve">    履约担保期限：</w:t>
      </w:r>
      <w:r>
        <w:rPr>
          <w:rFonts w:ascii="宋体" w:hAnsi="宋体" w:eastAsiaTheme="minorEastAsia" w:cs="宋体" w:hint="eastAsia"/>
          <w:bCs/>
          <w:kern w:val="2"/>
          <w:sz w:val="21"/>
          <w:szCs w:val="21"/>
          <w:highlight w:val="yellow"/>
          <w:u w:val="single"/>
          <w:lang w:val="en-US" w:eastAsia="zh-CN" w:bidi="ar-SA"/>
        </w:rPr>
        <w:t xml:space="preserve">  业务验收起96个月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10"/>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83" w:name="_Toc27624"/>
      <w:r>
        <w:rPr>
          <w:rFonts w:ascii="黑体" w:hAnsi="黑体" w:hint="eastAsia"/>
          <w:b w:val="0"/>
          <w:bCs w:val="0"/>
          <w:sz w:val="28"/>
          <w:szCs w:val="28"/>
          <w:highlight w:val="none"/>
        </w:rPr>
        <w:t>第二节 政府采购合同通用条款</w:t>
      </w:r>
      <w:bookmarkEnd w:id="83"/>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11"/>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2"/>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84"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84"/>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3"/>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4"/>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5"/>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85"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8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7"/>
        </w:numPr>
        <w:spacing w:line="360" w:lineRule="auto"/>
        <w:ind w:firstLine="3066" w:firstLineChars="1460"/>
        <w:jc w:val="left"/>
        <w:rPr>
          <w:rFonts w:hint="eastAsia"/>
          <w:b/>
          <w:bCs/>
          <w:szCs w:val="21"/>
          <w:highlight w:val="none"/>
        </w:rPr>
      </w:pPr>
      <w:bookmarkEnd w:id="80"/>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altName w:val="楷体_GB2312"/>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altName w:val="宋体"/>
    <w:panose1 w:val="02010600040101010101"/>
    <w:charset w:val="86"/>
    <w:family w:val="auto"/>
    <w:pitch w:val="default"/>
    <w:sig w:usb0="00000000" w:usb1="0000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462F18A"/>
    <w:multiLevelType w:val="singleLevel"/>
    <w:tmpl w:val="F462F18A"/>
    <w:lvl w:ilvl="0">
      <w:start w:val="1"/>
      <w:numFmt w:val="bullet"/>
      <w:lvlText w:val=""/>
      <w:lvlJc w:val="left"/>
      <w:pPr>
        <w:ind w:left="420" w:hanging="420"/>
      </w:pPr>
      <w:rPr>
        <w:rFonts w:ascii="Wingdings" w:hAnsi="Wingdings" w:hint="default"/>
      </w:rPr>
    </w:lvl>
  </w:abstractNum>
  <w:abstractNum w:abstractNumId="6">
    <w:nsid w:val="FFEFC674"/>
    <w:multiLevelType w:val="singleLevel"/>
    <w:tmpl w:val="FFEFC674"/>
    <w:lvl w:ilvl="0">
      <w:start w:val="1"/>
      <w:numFmt w:val="decimal"/>
      <w:suff w:val="nothing"/>
      <w:lvlText w:val="（%1）"/>
      <w:lvlJc w:val="left"/>
    </w:lvl>
  </w:abstractNum>
  <w:abstractNum w:abstractNumId="7">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8">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9">
    <w:nsid w:val="04649CC0"/>
    <w:multiLevelType w:val="singleLevel"/>
    <w:tmpl w:val="04649CC0"/>
    <w:lvl w:ilvl="0">
      <w:start w:val="2"/>
      <w:numFmt w:val="chineseCounting"/>
      <w:suff w:val="nothing"/>
      <w:lvlText w:val="（%1）"/>
      <w:lvlJc w:val="left"/>
      <w:rPr>
        <w:rFonts w:hint="eastAsia"/>
      </w:rPr>
    </w:lvl>
  </w:abstractNum>
  <w:abstractNum w:abstractNumId="10">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31DFBFFE"/>
    <w:multiLevelType w:val="multilevel"/>
    <w:tmpl w:val="31DFBFFE"/>
    <w:lvl w:ilvl="0">
      <w:start w:val="1"/>
      <w:numFmt w:val="decimal"/>
      <w:suff w:val="space"/>
      <w:lvlText w:val="%1"/>
      <w:lvlJc w:val="left"/>
      <w:pPr>
        <w:ind w:left="0" w:firstLine="0" w:leftChars="0" w:firstLineChars="0"/>
      </w:pPr>
      <w:rPr>
        <w:rFonts w:hint="default"/>
      </w:rPr>
    </w:lvl>
    <w:lvl w:ilvl="1">
      <w:start w:val="1"/>
      <w:numFmt w:val="decimal"/>
      <w:suff w:val="space"/>
      <w:lvlText w:val="%1.%2"/>
      <w:lvlJc w:val="left"/>
      <w:pPr>
        <w:ind w:left="0" w:firstLine="0" w:leftChars="0" w:firstLineChars="0"/>
      </w:pPr>
      <w:rPr>
        <w:rFonts w:hint="default"/>
      </w:rPr>
    </w:lvl>
    <w:lvl w:ilvl="2">
      <w:start w:val="1"/>
      <w:numFmt w:val="decimal"/>
      <w:suff w:val="space"/>
      <w:lvlText w:val="%1.%2.%3"/>
      <w:lvlJc w:val="left"/>
      <w:pPr>
        <w:ind w:left="0" w:firstLine="0" w:leftChars="0" w:firstLineChars="0"/>
      </w:pPr>
      <w:rPr>
        <w:rFonts w:hint="default"/>
      </w:rPr>
    </w:lvl>
    <w:lvl w:ilvl="3">
      <w:start w:val="1"/>
      <w:numFmt w:val="decimal"/>
      <w:suff w:val="space"/>
      <w:lvlText w:val="%1.%2.%3.%4"/>
      <w:lvlJc w:val="left"/>
      <w:pPr>
        <w:ind w:left="0" w:firstLine="0" w:leftChars="0" w:firstLineChars="0"/>
      </w:pPr>
      <w:rPr>
        <w:rFonts w:hint="default"/>
      </w:rPr>
    </w:lvl>
    <w:lvl w:ilvl="4">
      <w:start w:val="1"/>
      <w:numFmt w:val="decimal"/>
      <w:suff w:val="space"/>
      <w:lvlText w:val="%1.%2.%3.%4.%5"/>
      <w:lvlJc w:val="left"/>
      <w:pPr>
        <w:ind w:left="0" w:firstLine="0" w:leftChars="0" w:firstLineChars="0"/>
      </w:pPr>
      <w:rPr>
        <w:rFonts w:hint="default"/>
      </w:rPr>
    </w:lvl>
    <w:lvl w:ilvl="5">
      <w:start w:val="1"/>
      <w:numFmt w:val="decimal"/>
      <w:suff w:val="space"/>
      <w:lvlText w:val="%1.%2.%3.%4.%5.%6"/>
      <w:lvlJc w:val="left"/>
      <w:pPr>
        <w:ind w:left="0" w:firstLine="0" w:leftChars="0" w:firstLineChars="0"/>
      </w:pPr>
      <w:rPr>
        <w:rFonts w:hint="default"/>
      </w:rPr>
    </w:lvl>
    <w:lvl w:ilvl="6">
      <w:start w:val="1"/>
      <w:numFmt w:val="decimal"/>
      <w:suff w:val="space"/>
      <w:lvlText w:val="%1.%2.%3.%4.%5.%6.%7"/>
      <w:lvlJc w:val="left"/>
      <w:pPr>
        <w:ind w:left="0" w:firstLine="0" w:leftChars="0" w:firstLineChars="0"/>
      </w:pPr>
      <w:rPr>
        <w:rFonts w:hint="default"/>
      </w:rPr>
    </w:lvl>
    <w:lvl w:ilvl="7">
      <w:start w:val="1"/>
      <w:numFmt w:val="decimal"/>
      <w:suff w:val="space"/>
      <w:lvlText w:val="%1.%2.%3.%4.%5.%6.%7.%8"/>
      <w:lvlJc w:val="left"/>
      <w:pPr>
        <w:ind w:left="0" w:firstLine="0" w:leftChars="0" w:firstLineChars="0"/>
      </w:pPr>
      <w:rPr>
        <w:rFonts w:hint="default"/>
      </w:rPr>
    </w:lvl>
    <w:lvl w:ilvl="8">
      <w:start w:val="1"/>
      <w:numFmt w:val="decimal"/>
      <w:suff w:val="space"/>
      <w:lvlText w:val="%1.%2.%3.%4.%5.%6.%7.%8.%9"/>
      <w:lvlJc w:val="left"/>
      <w:pPr>
        <w:ind w:left="0" w:firstLine="0" w:leftChars="0" w:firstLineChars="0"/>
      </w:pPr>
      <w:rPr>
        <w:rFonts w:hint="default"/>
      </w:rPr>
    </w:lvl>
  </w:abstractNum>
  <w:abstractNum w:abstractNumId="13">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4">
    <w:nsid w:val="53A08313"/>
    <w:multiLevelType w:val="singleLevel"/>
    <w:tmpl w:val="53A08313"/>
    <w:lvl w:ilvl="0">
      <w:start w:val="9"/>
      <w:numFmt w:val="chineseCounting"/>
      <w:suff w:val="space"/>
      <w:lvlText w:val="第%1章"/>
      <w:lvlJc w:val="left"/>
      <w:rPr>
        <w:rFonts w:hint="eastAsia"/>
      </w:rPr>
    </w:lvl>
  </w:abstractNum>
  <w:abstractNum w:abstractNumId="15">
    <w:nsid w:val="7A0F6431"/>
    <w:multiLevelType w:val="singleLevel"/>
    <w:tmpl w:val="7A0F6431"/>
    <w:lvl w:ilvl="0">
      <w:start w:val="1"/>
      <w:numFmt w:val="decimal"/>
      <w:suff w:val="space"/>
      <w:lvlText w:val="%1."/>
      <w:lvlJc w:val="left"/>
    </w:lvl>
  </w:abstractNum>
  <w:num w:numId="1">
    <w:abstractNumId w:val="8"/>
  </w:num>
  <w:num w:numId="2">
    <w:abstractNumId w:val="7"/>
  </w:num>
  <w:num w:numId="3">
    <w:abstractNumId w:val="10"/>
  </w:num>
  <w:num w:numId="4">
    <w:abstractNumId w:val="12"/>
  </w:num>
  <w:num w:numId="5">
    <w:abstractNumId w:val="9"/>
  </w:num>
  <w:num w:numId="6">
    <w:abstractNumId w:val="5"/>
  </w:num>
  <w:num w:numId="7">
    <w:abstractNumId w:val="14"/>
  </w:num>
  <w:num w:numId="8">
    <w:abstractNumId w:val="15"/>
  </w:num>
  <w:num w:numId="9">
    <w:abstractNumId w:val="1"/>
  </w:num>
  <w:num w:numId="10">
    <w:abstractNumId w:val="6"/>
  </w:num>
  <w:num w:numId="11">
    <w:abstractNumId w:val="3"/>
  </w:num>
  <w:num w:numId="12">
    <w:abstractNumId w:val="2"/>
  </w:num>
  <w:num w:numId="13">
    <w:abstractNumId w:val="13"/>
  </w:num>
  <w:num w:numId="14">
    <w:abstractNumId w:val="0"/>
  </w:num>
  <w:num w:numId="15">
    <w:abstractNumId w:val="4"/>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BF8"/>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table" w:customStyle="1" w:styleId="TableNormal0">
    <w:name w:val="Table Normal_0"/>
    <w:autoRedefine/>
    <w:unhideWhenUsed/>
    <w:qFormat/>
    <w:rPr>
      <w:rFonts w:asciiTheme="minorHAnsi" w:eastAsiaTheme="minorEastAsia" w:hAnsiTheme="minorHAnsi" w:cstheme="minorBidi"/>
    </w:rPr>
    <w:tblPr>
      <w:tblCellMar>
        <w:top w:w="0" w:type="dxa"/>
        <w:left w:w="0" w:type="dxa"/>
        <w:bottom w:w="0" w:type="dxa"/>
        <w:right w:w="0" w:type="dxa"/>
      </w:tblCellMar>
    </w:tblPr>
  </w:style>
  <w:style w:type="paragraph" w:customStyle="1" w:styleId="TableText">
    <w:name w:val="Table Text"/>
    <w:basedOn w:val="Normal"/>
    <w:autoRedefine/>
    <w:semiHidden/>
    <w:qFormat/>
    <w:pPr>
      <w:spacing w:line="500" w:lineRule="exact"/>
      <w:ind w:firstLine="200" w:firstLineChars="200"/>
      <w:jc w:val="left"/>
    </w:pPr>
    <w:rPr>
      <w:rFonts w:ascii="宋体" w:hAnsi="宋体" w:eastAsiaTheme="minorEastAsia" w:cs="宋体"/>
      <w:sz w:val="24"/>
      <w:szCs w:val="24"/>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1.emf" /><Relationship Id="rId7" Type="http://schemas.openxmlformats.org/officeDocument/2006/relationships/oleObject" Target="embeddings/oleObject1.vsd"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