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2025年站网雷达工程卢氏地基遥感垂直观测系统气溶胶激光观测仪（三波长）采购项目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ZQCD-25078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20"/>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20"/>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三门峡市气象局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2025年站网雷达工程卢氏地基遥感垂直观测系统气溶胶激光观测仪（三波长）采购项目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ZQCD-25078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三门峡卢氏县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2025年08月07日 00:00:00</w:t>
      </w:r>
      <w:bookmarkEnd w:id="26"/>
      <w:r>
        <w:rPr>
          <w:rFonts w:ascii="宋体" w:hint="eastAsia"/>
          <w:szCs w:val="21"/>
          <w:highlight w:val="none"/>
        </w:rPr>
        <w:t>至</w:t>
      </w:r>
      <w:bookmarkStart w:id="27" w:name="项目公告_signUpLastTime"/>
      <w:r>
        <w:rPr>
          <w:rFonts w:ascii="宋体" w:hint="eastAsia"/>
          <w:szCs w:val="21"/>
          <w:highlight w:val="none"/>
        </w:rPr>
        <w:t>2025年08月14日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2025年09月09日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北京市海淀区中关村南大街46号中国气象局北区7号楼2层小会议室（科技大楼前草坪西侧），届时请投标人的法定代表人或其授权的投标人授权代表准时参加。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三门峡市气象局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0371-65921273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河南省郑州市金水区金水路5号院</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三门峡市气象局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取得气溶胶激光观测仪（三波长）气象专用技术装备使用许可证</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不允许（仅针对以下产品：1、气溶胶激光观测仪（三波长）不允许代理商投标）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不允许</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设有，核心产品为气溶胶激光观测仪（三波长）</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必须，以下产品需要提供至投标截止日仍有效的《气象专用技术装备使用许可证》：1、气溶胶激光观测仪（三波长）</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（1）标的：气溶胶激光观测仪（三波长）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是，中标服务费：4.5万元。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480.000000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480.000000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20"/>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销售合同必须包括气溶胶激光观测仪（三波长），每提供1份合同得1分，最多得5分。否则不得分。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针对本项目采购的气溶胶激光观测仪（三波长），承诺每提前10天交货的得0.5分，最多得1分。否则不得分。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针对气溶胶激光观测仪（三波长），每提供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针对气溶胶激光观测仪（三波长），测试报告应涵盖工作环境、气候环境、电磁环境等内容，每包含一项得1分，最多得3分。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3.1气溶胶激光观测仪（三波长）基本要求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气溶胶激光观测仪（三波长）以三波长激光器为光源，同时发射355nm，532nm和1064nm的激光光束，光束通过扩束镜扩束整形后经过反射镜反射进入大气中。望远镜系统对视场内的激光光束的米散射和拉曼散射信息进行接收，通过光电转换和信号采集处理后经过相应的雷达反演算法，通过计算得到气溶胶消光系数、气溶胶后向散射系数、气溶胶粒子退偏振比、云信息、光学厚度、污染物混合层高度、能见度、颗粒物浓度廓线、水汽混合比廓线等数据产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3.2技术指标要求</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表3-1 气溶胶激光观测仪（三波长）主要性能指标要求</w:t>
      </w:r>
    </w:p>
    <w:tbl>
      <w:tblPr>
        <w:tblStyle w:val="TableNormal"/>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72"/>
        <w:gridCol w:w="2480"/>
        <w:gridCol w:w="5268"/>
      </w:tblGrid>
      <w:tr>
        <w:tblPrEx>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25"/>
          <w:tblHeader/>
          <w:jc w:val="center"/>
        </w:trPr>
        <w:tc>
          <w:tcPr>
            <w:tcW w:w="1180"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系统名称</w:t>
            </w:r>
          </w:p>
        </w:tc>
        <w:tc>
          <w:tcPr>
            <w:tcW w:w="2496"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w:t>
            </w:r>
          </w:p>
        </w:tc>
        <w:tc>
          <w:tcPr>
            <w:tcW w:w="5303"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355nm，532nm，1064nm</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highlight w:val="yellow"/>
                <w:lang w:eastAsia="en-US"/>
              </w:rPr>
              <w:t>#激光能量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1mJ@1064nm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0.5mJ@532nm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0.3mJ@355nm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脉冲宽度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50ns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发射激光脉冲线宽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0.2 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发射激光的偏振比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100:1</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激光发散角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采用透射式或反射式望远镜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300~2000nm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望远镜口径</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≥Φ</w:t>
            </w:r>
            <w:r>
              <w:rPr>
                <w:rFonts w:ascii="仿宋" w:eastAsia="仿宋" w:hAnsi="仿宋" w:cs="仿宋" w:hint="eastAsia"/>
                <w:bCs/>
                <w:color w:val="auto"/>
                <w:kern w:val="0"/>
                <w:sz w:val="24"/>
                <w:szCs w:val="24"/>
                <w:lang w:eastAsia="en-US"/>
              </w:rPr>
              <w:t>250mm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接收视场角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接收通道</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355nm垂直，355nm平行，532nm垂直，532nm平行，1064nm，386nm氮分子拉曼，407nm水汽分子拉曼，607nm氮分子拉曼</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光电转换和数据采集系统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APD/ PMT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光电探测器模式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模拟或光子计数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数据采集器采样频率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 MHz</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采样位数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模拟通道：</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12bit（有效位）</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光子计数通道：200 M c/s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干涉滤光片带宽抑制</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OD4</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滤光片带宽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#不同波长之间的串扰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#偏振平行到偏振垂直的串扰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 </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#米散射到拉曼散射通道的串扰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0.01% </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性能指标</w:t>
            </w: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#有效探测范围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晴空干洁大气下，夜间</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10km，白天</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5km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连续工作时间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可24小时连续工作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bookmarkStart w:id="61" w:name="OLE_LINK4"/>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空间分辨率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7.5m及其倍数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时间分辨率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1-30min可调</w:t>
            </w:r>
          </w:p>
        </w:tc>
      </w:tr>
      <w:bookmarkEnd w:id="61"/>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数据产品种类</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气溶胶消光系数、气溶胶后向散射系数、气溶胶粒子退偏振比、云信息、光学厚度、污染物混合层高度、能见度、颗粒物浓度廓线</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不大于其空间分辨率</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km：不大于25%，2-5 km：不大于30%</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km：不大于30%， 2-5 km：不大于40%；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数据格式</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按照中国气象局统一要求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标校项目</w:t>
            </w:r>
          </w:p>
          <w:p>
            <w:pPr>
              <w:pStyle w:val="a2"/>
              <w:spacing w:line="240" w:lineRule="auto"/>
              <w:jc w:val="both"/>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系统线性度</w:t>
            </w:r>
          </w:p>
        </w:tc>
        <w:tc>
          <w:tcPr>
            <w:tcW w:w="5303" w:type="dxa"/>
            <w:vAlign w:val="bottom"/>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95%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接收横截面四象限均匀性</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2 km~5km：至少有三个象限的平均相对偏差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偏振通道增益比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偏振系统光轴一致性：相对偏差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ign w:val="center"/>
          </w:tcPr>
          <w:p>
            <w:pPr>
              <w:pStyle w:val="a2"/>
              <w:spacing w:line="240" w:lineRule="auto"/>
              <w:rPr>
                <w:rFonts w:ascii="仿宋" w:eastAsia="仿宋" w:hAnsi="仿宋" w:cs="仿宋" w:hint="eastAsia"/>
                <w:bCs/>
                <w:color w:val="auto"/>
                <w:kern w:val="0"/>
                <w:sz w:val="24"/>
                <w:szCs w:val="24"/>
              </w:rPr>
            </w:pP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增益比稳定性：相对偏差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大气瑞利信号拟合一致性</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重叠因子（与标准雷达比）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0.2 km~0.5km：平均相对偏差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距离平方校正信号</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 xml:space="preserve">2 km~5km：平均相对偏差 </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2 km~5km：平均标准偏差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1273"/>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自动标定系统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标定内容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校准光信号的动态范围大于10</w:t>
            </w:r>
            <w:r>
              <w:rPr>
                <w:rFonts w:ascii="仿宋" w:eastAsia="仿宋" w:hAnsi="仿宋" w:cs="仿宋" w:hint="eastAsia"/>
                <w:bCs/>
                <w:color w:val="auto"/>
                <w:kern w:val="0"/>
                <w:sz w:val="24"/>
                <w:szCs w:val="24"/>
                <w:vertAlign w:val="superscript"/>
              </w:rPr>
              <w:t>4</w:t>
            </w:r>
            <w:r>
              <w:rPr>
                <w:rFonts w:ascii="仿宋" w:eastAsia="仿宋" w:hAnsi="仿宋" w:cs="仿宋" w:hint="eastAsia"/>
                <w:bCs/>
                <w:color w:val="auto"/>
                <w:kern w:val="0"/>
                <w:sz w:val="24"/>
                <w:szCs w:val="24"/>
              </w:rPr>
              <w:t>，能够对激光雷达的动态范围、信噪比、偏振通道的串扰、偏振增益比等进行校正，同时能够模拟晴空、有云和沙尘等多种天气条件下的大气回波信号。</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数据质控和反演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可以实现对激光雷达数据进行预处理、异常数据剔除、数据分级、实时反演，可实现原始数据质量控制、反演结果质量控制等工作。</w:t>
            </w:r>
          </w:p>
        </w:tc>
      </w:tr>
      <w:tr>
        <w:tblPrEx>
          <w:tblW w:w="4954" w:type="pct"/>
          <w:jc w:val="center"/>
          <w:tblCellMar>
            <w:top w:w="0" w:type="dxa"/>
            <w:left w:w="108" w:type="dxa"/>
            <w:bottom w:w="0" w:type="dxa"/>
            <w:right w:w="108" w:type="dxa"/>
          </w:tblCellMar>
          <w:tblLook w:val="0000"/>
        </w:tblPrEx>
        <w:trPr>
          <w:trHeight w:val="989"/>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标准输出控制单元</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bookmarkStart w:id="62" w:name="OLE_LINK3"/>
            <w:r>
              <w:rPr>
                <w:rFonts w:ascii="仿宋" w:eastAsia="仿宋" w:hAnsi="仿宋" w:cs="仿宋" w:hint="eastAsia"/>
                <w:bCs/>
                <w:color w:val="auto"/>
                <w:kern w:val="0"/>
                <w:sz w:val="24"/>
                <w:szCs w:val="24"/>
                <w:highlight w:val="yellow"/>
                <w:lang w:eastAsia="en-US"/>
              </w:rPr>
              <w:t>#</w:t>
            </w:r>
            <w:bookmarkEnd w:id="62"/>
            <w:r>
              <w:rPr>
                <w:rFonts w:ascii="仿宋" w:eastAsia="仿宋" w:hAnsi="仿宋" w:cs="仿宋" w:hint="eastAsia"/>
                <w:bCs/>
                <w:color w:val="auto"/>
                <w:kern w:val="0"/>
                <w:sz w:val="24"/>
                <w:szCs w:val="24"/>
                <w:highlight w:val="yellow"/>
                <w:lang w:eastAsia="en-US"/>
              </w:rPr>
              <w:t>监控和控制内容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具备雷达及附属设备监测、维护维修痕迹管理、远程控制、雷达性能在线分析及产品前期质控等功能。</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设备</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电磁兼容性要求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产品通过电快速瞬变脉冲群抗扰度测试、浪涌抗扰度测试、静电放电抗扰度测试、电压暂降和短时中断抗扰度测试，满足产品电磁兼容性要求。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平均无故障运行时间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1000h</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工作温度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舱外装置：-40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，舱内装置：+10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~30</w:t>
            </w:r>
            <w:r>
              <w:rPr>
                <w:rFonts w:ascii="仿宋" w:eastAsia="仿宋" w:hAnsi="仿宋" w:cs="仿宋" w:hint="eastAsia"/>
                <w:bCs/>
                <w:color w:val="auto"/>
                <w:kern w:val="0"/>
                <w:sz w:val="24"/>
                <w:szCs w:val="24"/>
              </w:rPr>
              <w: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电源要求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单相，AC220 V</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15%，50 Hz</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w:t>
            </w:r>
          </w:p>
        </w:tc>
      </w:tr>
      <w:tr>
        <w:tblPrEx>
          <w:tblW w:w="4954" w:type="pct"/>
          <w:jc w:val="center"/>
          <w:tblCellMar>
            <w:top w:w="0" w:type="dxa"/>
            <w:left w:w="108" w:type="dxa"/>
            <w:bottom w:w="0" w:type="dxa"/>
            <w:right w:w="108" w:type="dxa"/>
          </w:tblCellMar>
          <w:tblLook w:val="0000"/>
        </w:tblPrEx>
        <w:trPr>
          <w:trHeight w:val="337"/>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激光器寿命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3000 H</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3.3气溶胶激光观测仪（三波长）内置软件包要求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3.3.1气溶胶激光观测仪（三波长）采集控制软件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（1）采集控制：能够采集355nm，532nm，1064nm等多路信号，可选择将不同通道的信号全部显示或单独显示，能够对信号曲线进行缩放。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（2）参数设置：能够对站点信息、数据存储路径、采集时间间隔、每组采集脉冲数进行设置。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（3）状态显示：界面上可实时显示激光器、采集卡模块工作状态；可显示采集日志和系统错误提示信息。</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（4）软件自恢复：软件具有自动恢复监测功能，能够在设备故障重启后使用上一次有效监测模式进行监测。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3.3.2气溶胶激光观测仪（三波长）数据分析软件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（1）数据展示：实时展示雷达当前24小时采集的数据结果。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（2）数据产品：气溶胶消光系数、气溶胶后向散射系数、气溶胶粒子退偏振比、云信息、光学厚度、污染物混合层高度、能见度、颗粒物浓度等。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（3）数据导入：可将历史数据进行导入加载，反演展示。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（4）参数设置：可实现对数据路径、位置信息、算法参数等参数的配置。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3.4、配置要求</w:t>
      </w:r>
    </w:p>
    <w:tbl>
      <w:tblPr>
        <w:tblStyle w:val="TableNormal"/>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42"/>
        <w:gridCol w:w="6565"/>
      </w:tblGrid>
      <w:tr>
        <w:tblPrEx>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编号</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项目</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1</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气溶胶激光观测仪（三波长）主机</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2</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气溶胶激光观测仪（三波长）内置软件包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3</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观测天窗及其附属件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4</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备用电源（UPS）及其附属件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5</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工具包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6</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包装箱</w:t>
            </w:r>
          </w:p>
        </w:tc>
      </w:tr>
    </w:tbl>
    <w:p>
      <w:pPr>
        <w:ind w:firstLine="560" w:firstLineChars="200"/>
        <w:rPr>
          <w:rFonts w:ascii="仿宋" w:eastAsia="仿宋" w:hAnsi="仿宋" w:cs="仿宋"/>
          <w:sz w:val="28"/>
          <w:szCs w:val="20"/>
        </w:rPr>
      </w:pPr>
      <w:r>
        <w:rPr>
          <w:rFonts w:ascii="仿宋" w:eastAsia="仿宋" w:hAnsi="仿宋" w:cs="仿宋" w:hint="eastAsia"/>
          <w:sz w:val="28"/>
          <w:szCs w:val="28"/>
        </w:rPr>
        <w:t>四、</w:t>
      </w: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（1）正式交付运行，并通过合同验收次日起质保期为8年。</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正式交付运行，并通过合同验收次日起质保期为8年。维保包括设备维护维修、相关附属软件及附属设备维护维修，保证每年至少1次的现场巡检和4次远程维护检查，设备发生故障时在业务规定时间内完成维修、维护保障或更换组件，投标人应提供7（天）</w:t>
      </w:r>
      <w:r>
        <w:rPr>
          <w:rFonts w:ascii="仿宋" w:eastAsia="仿宋" w:hAnsi="仿宋" w:cs="仿宋" w:hint="eastAsia"/>
          <w:sz w:val="28"/>
          <w:szCs w:val="20"/>
        </w:rPr>
        <w:t>×</w:t>
      </w:r>
      <w:r>
        <w:rPr>
          <w:rFonts w:ascii="仿宋" w:eastAsia="仿宋" w:hAnsi="仿宋" w:cs="仿宋" w:hint="eastAsia"/>
          <w:sz w:val="28"/>
          <w:szCs w:val="20"/>
        </w:rPr>
        <w:t>24（小时）技术支持热线电话。</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参照《拉曼和米散射气溶胶激光雷达功能需求书》《拉曼和米散射气溶胶激光雷达测试大纲》和《地基遥感垂直观测系统测试大纲》以及中国气象局最新业务管理规定等有关文件要求开展检验考核。</w:t>
      </w:r>
    </w:p>
    <w:p>
      <w:pPr>
        <w:spacing w:line="560" w:lineRule="exact"/>
        <w:ind w:left="365" w:leftChars="174"/>
        <w:rPr>
          <w:rFonts w:ascii="仿宋" w:eastAsia="仿宋" w:hAnsi="仿宋" w:cs="仿宋" w:hint="eastAsia"/>
          <w:sz w:val="28"/>
          <w:szCs w:val="28"/>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bookmarkStart w:id="63" w:name="_Hlk168594784"/>
    </w:p>
    <w:p>
      <w:pPr>
        <w:spacing w:line="560" w:lineRule="exact"/>
        <w:ind w:firstLine="560" w:firstLineChars="200"/>
        <w:rPr>
          <w:rFonts w:ascii="仿宋" w:eastAsia="仿宋" w:hAnsi="仿宋" w:cs="仿宋" w:hint="eastAsia"/>
          <w:sz w:val="28"/>
          <w:szCs w:val="20"/>
        </w:rPr>
      </w:pPr>
      <w:bookmarkEnd w:id="63"/>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spacing w:line="560" w:lineRule="exact"/>
        <w:outlineLvl w:val="1"/>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43"/>
        <w:gridCol w:w="2454"/>
        <w:gridCol w:w="890"/>
        <w:gridCol w:w="1238"/>
        <w:gridCol w:w="1412"/>
        <w:gridCol w:w="1498"/>
        <w:gridCol w:w="52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4" w:name="货物一览表_index"/>
            <w:r>
              <w:rPr>
                <w:rFonts w:asciiTheme="minorEastAsia" w:eastAsiaTheme="minorEastAsia" w:hAnsiTheme="minorEastAsia" w:cstheme="minorEastAsia" w:hint="eastAsia"/>
                <w:kern w:val="0"/>
                <w:szCs w:val="21"/>
              </w:rPr>
              <w:t>序号</w:t>
            </w:r>
            <w:bookmarkEnd w:id="64"/>
          </w:p>
        </w:tc>
        <w:tc>
          <w:tcPr>
            <w:tcW w:w="1135" w:type="dxa"/>
          </w:tcPr>
          <w:p>
            <w:pPr>
              <w:autoSpaceDE w:val="0"/>
              <w:jc w:val="center"/>
              <w:rPr>
                <w:rFonts w:asciiTheme="minorEastAsia" w:hAnsiTheme="minorEastAsia" w:cstheme="minorEastAsia"/>
                <w:kern w:val="0"/>
                <w:szCs w:val="21"/>
              </w:rPr>
            </w:pPr>
            <w:bookmarkStart w:id="65" w:name="货物一览表_goodsName"/>
            <w:r>
              <w:rPr>
                <w:rFonts w:asciiTheme="minorEastAsia" w:eastAsiaTheme="minorEastAsia" w:hAnsiTheme="minorEastAsia" w:cstheme="minorEastAsia" w:hint="eastAsia"/>
                <w:kern w:val="0"/>
                <w:szCs w:val="21"/>
              </w:rPr>
              <w:t>设备名称</w:t>
            </w:r>
            <w:bookmarkEnd w:id="65"/>
          </w:p>
        </w:tc>
        <w:tc>
          <w:tcPr>
            <w:tcW w:w="965" w:type="dxa"/>
          </w:tcPr>
          <w:p>
            <w:pPr>
              <w:autoSpaceDE w:val="0"/>
              <w:jc w:val="center"/>
              <w:rPr>
                <w:rFonts w:asciiTheme="minorEastAsia" w:hAnsiTheme="minorEastAsia" w:cstheme="minorEastAsia"/>
                <w:kern w:val="0"/>
                <w:szCs w:val="21"/>
              </w:rPr>
            </w:pPr>
            <w:bookmarkStart w:id="66" w:name="货物一览表_nums"/>
            <w:r>
              <w:rPr>
                <w:rFonts w:asciiTheme="minorEastAsia" w:eastAsiaTheme="minorEastAsia" w:hAnsiTheme="minorEastAsia" w:cstheme="minorEastAsia" w:hint="eastAsia"/>
                <w:kern w:val="0"/>
                <w:szCs w:val="21"/>
              </w:rPr>
              <w:t>采购数量</w:t>
            </w:r>
            <w:bookmarkEnd w:id="66"/>
          </w:p>
        </w:tc>
        <w:tc>
          <w:tcPr>
            <w:tcW w:w="1062" w:type="dxa"/>
          </w:tcPr>
          <w:p>
            <w:pPr>
              <w:autoSpaceDE w:val="0"/>
              <w:jc w:val="center"/>
              <w:rPr>
                <w:rFonts w:asciiTheme="minorEastAsia" w:hAnsiTheme="minorEastAsia" w:cstheme="minorEastAsia"/>
                <w:kern w:val="0"/>
                <w:szCs w:val="21"/>
              </w:rPr>
            </w:pPr>
            <w:bookmarkStart w:id="67" w:name="货物一览表_units"/>
            <w:r>
              <w:rPr>
                <w:rFonts w:asciiTheme="minorEastAsia" w:eastAsiaTheme="minorEastAsia" w:hAnsiTheme="minorEastAsia" w:cstheme="minorEastAsia" w:hint="eastAsia"/>
                <w:kern w:val="0"/>
                <w:szCs w:val="21"/>
              </w:rPr>
              <w:t>计量单位</w:t>
            </w:r>
            <w:bookmarkEnd w:id="67"/>
          </w:p>
        </w:tc>
        <w:tc>
          <w:tcPr>
            <w:tcW w:w="1220" w:type="dxa"/>
          </w:tcPr>
          <w:p>
            <w:pPr>
              <w:autoSpaceDE w:val="0"/>
              <w:jc w:val="center"/>
              <w:rPr>
                <w:rFonts w:asciiTheme="minorEastAsia" w:hAnsiTheme="minorEastAsia" w:cstheme="minorEastAsia"/>
                <w:kern w:val="0"/>
                <w:szCs w:val="21"/>
              </w:rPr>
            </w:pPr>
            <w:bookmarkStart w:id="68" w:name="货物一览表_procurementBudget"/>
            <w:r>
              <w:rPr>
                <w:rFonts w:asciiTheme="minorEastAsia" w:eastAsiaTheme="minorEastAsia" w:hAnsiTheme="minorEastAsia" w:cstheme="minorEastAsia" w:hint="eastAsia"/>
                <w:kern w:val="0"/>
                <w:szCs w:val="21"/>
              </w:rPr>
              <w:t>采购预算（元）</w:t>
            </w:r>
            <w:bookmarkEnd w:id="68"/>
          </w:p>
        </w:tc>
        <w:tc>
          <w:tcPr>
            <w:tcW w:w="1329" w:type="dxa"/>
          </w:tcPr>
          <w:p>
            <w:pPr>
              <w:autoSpaceDE w:val="0"/>
              <w:jc w:val="center"/>
              <w:rPr>
                <w:rFonts w:asciiTheme="minorEastAsia" w:hAnsiTheme="minorEastAsia" w:cstheme="minorEastAsia" w:hint="eastAsia"/>
                <w:kern w:val="0"/>
                <w:szCs w:val="21"/>
              </w:rPr>
            </w:pPr>
            <w:bookmarkStart w:id="6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0" w:name="货物一览表_remark"/>
            <w:r>
              <w:rPr>
                <w:rFonts w:asciiTheme="minorEastAsia" w:eastAsiaTheme="minorEastAsia" w:hAnsiTheme="minorEastAsia" w:cstheme="minorEastAsia" w:hint="eastAsia"/>
                <w:kern w:val="0"/>
                <w:szCs w:val="21"/>
              </w:rPr>
              <w:t>备注</w:t>
            </w:r>
            <w:bookmarkEnd w:id="7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气溶胶激光观测仪（三波长）</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4,800,000.00</w:t>
            </w:r>
          </w:p>
        </w:tc>
        <w:tc>
          <w:tcPr/>
          <w:p>
            <w:pPr>
              <w:autoSpaceDE w:val="0"/>
              <w:jc w:val="center"/>
              <w:rPr>
                <w:rFonts w:asciiTheme="minorEastAsia" w:hAnsiTheme="minorEastAsia" w:cstheme="minorEastAsia" w:hint="eastAsia"/>
                <w:kern w:val="0"/>
                <w:szCs w:val="21"/>
              </w:rPr>
            </w:pPr>
            <w:r>
              <w:t>合同签订后120天</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4,800,000.00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14"/>
        <w:gridCol w:w="1336"/>
        <w:gridCol w:w="2323"/>
        <w:gridCol w:w="514"/>
        <w:gridCol w:w="1172"/>
        <w:gridCol w:w="977"/>
        <w:gridCol w:w="1172"/>
        <w:gridCol w:w="51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三门峡市气象局</w:t>
            </w:r>
          </w:p>
        </w:tc>
        <w:tc>
          <w:tcPr/>
          <w:p>
            <w:r>
              <w:t>气溶胶激光观测仪（三波长）</w:t>
            </w:r>
          </w:p>
        </w:tc>
        <w:tc>
          <w:tcPr/>
          <w:p>
            <w:r>
              <w:t>1</w:t>
            </w:r>
          </w:p>
        </w:tc>
        <w:tc>
          <w:tcPr/>
          <w:p>
            <w:r>
              <w:t>4800000.00</w:t>
            </w:r>
          </w:p>
        </w:tc>
        <w:tc>
          <w:tcPr/>
          <w:p>
            <w:r>
              <w:t xml:space="preserve">4800000.00  </w:t>
            </w:r>
          </w:p>
        </w:tc>
        <w:tc>
          <w:tcPr/>
          <w:p>
            <w:r>
              <w:t>三门峡卢氏县</w:t>
            </w:r>
          </w:p>
        </w:tc>
        <w:tc>
          <w:tcPr/>
          <w:p/>
        </w:tc>
      </w:tr>
    </w:tbl>
    <w:p w:rsidR="00A77B3E"/>
    <w:p>
      <w:pPr>
        <w:spacing w:line="360" w:lineRule="auto"/>
        <w:rPr>
          <w:rFonts w:ascii="宋体" w:hAnsi="宋体"/>
          <w:szCs w:val="21"/>
        </w:rPr>
      </w:pPr>
      <w:bookmarkEnd w:id="7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卢氏高空站目前已经建设P波段风廓线雷达，毫米波测云仪，GNSS/MET水汽监测系统和集成系统，根据中国气象局规划，将建成全套地基遥感垂直观测系统，采购气溶胶激光（三波长），补齐观测设备。设备必须取得拉曼和米散射气溶胶激光雷达气象专用技术装备使用许可证。</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设备供应商对每套投标产品提供至少2次技术培训，培训课时不少于</w:t>
      </w:r>
      <w:r>
        <w:rPr>
          <w:rFonts w:ascii="仿宋" w:eastAsia="仿宋" w:hAnsi="仿宋" w:cs="仿宋" w:hint="eastAsia"/>
          <w:sz w:val="28"/>
          <w:szCs w:val="20"/>
          <w:lang w:val="en-US" w:eastAsia="zh-CN"/>
        </w:rPr>
        <w:t>6</w:t>
      </w:r>
      <w:r>
        <w:rPr>
          <w:rFonts w:ascii="仿宋" w:eastAsia="仿宋" w:hAnsi="仿宋" w:cs="仿宋" w:hint="eastAsia"/>
          <w:sz w:val="28"/>
          <w:szCs w:val="20"/>
        </w:rPr>
        <w:t>个课时，培训人数不少于</w:t>
      </w:r>
      <w:r>
        <w:rPr>
          <w:rFonts w:ascii="仿宋" w:eastAsia="仿宋" w:hAnsi="仿宋" w:cs="仿宋" w:hint="eastAsia"/>
          <w:sz w:val="28"/>
          <w:szCs w:val="20"/>
          <w:lang w:val="en-US" w:eastAsia="zh-CN"/>
        </w:rPr>
        <w:t>18</w:t>
      </w:r>
      <w:r>
        <w:rPr>
          <w:rFonts w:ascii="仿宋" w:eastAsia="仿宋" w:hAnsi="仿宋" w:cs="仿宋" w:hint="eastAsia"/>
          <w:sz w:val="28"/>
          <w:szCs w:val="20"/>
        </w:rPr>
        <w:t>人。培训内容包括设备安装、使用、日常维护、观测原理及产品应用，培训时间及地点双方协商确定。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三门峡卢氏县气象局</w:t>
      </w:r>
      <w:r>
        <w:rPr>
          <w:rFonts w:ascii="仿宋" w:eastAsia="仿宋" w:hAnsi="仿宋" w:cs="仿宋" w:hint="eastAsia"/>
          <w:sz w:val="28"/>
          <w:szCs w:val="20"/>
        </w:rPr>
        <w:t>（运输相关费用由供应商负责），并负责安装调试。</w:t>
      </w:r>
    </w:p>
    <w:p>
      <w:pPr>
        <w:ind w:firstLine="560" w:firstLineChars="200"/>
        <w:rPr>
          <w:rFonts w:ascii="仿宋" w:eastAsia="仿宋" w:hAnsi="仿宋" w:cs="仿宋"/>
          <w:b/>
          <w:bCs/>
          <w:sz w:val="28"/>
          <w:szCs w:val="20"/>
        </w:rPr>
      </w:pPr>
      <w:r>
        <w:rPr>
          <w:rFonts w:ascii="仿宋" w:eastAsia="仿宋" w:hAnsi="仿宋" w:cs="仿宋" w:hint="eastAsia"/>
          <w:sz w:val="28"/>
          <w:szCs w:val="20"/>
        </w:rPr>
        <w:t>合同签订后120天内完成供货、</w:t>
      </w:r>
      <w:r>
        <w:rPr>
          <w:rFonts w:ascii="仿宋" w:eastAsia="仿宋" w:hAnsi="仿宋" w:cs="仿宋" w:hint="eastAsia"/>
          <w:sz w:val="28"/>
          <w:szCs w:val="20"/>
          <w:lang w:val="en-US" w:eastAsia="zh-CN"/>
        </w:rPr>
        <w:t>30天内完成</w:t>
      </w:r>
      <w:r>
        <w:rPr>
          <w:rFonts w:ascii="仿宋" w:eastAsia="仿宋" w:hAnsi="仿宋" w:cs="仿宋" w:hint="eastAsia"/>
          <w:sz w:val="28"/>
          <w:szCs w:val="20"/>
        </w:rPr>
        <w:t>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设备软件兼容性强，设备数据传输模式、数据格式、数据通讯协议满足国家局下发的相关功能规格需求书要求，设备观测数据通过气象专网接入天擎平台，完全符合甲方相关要求和规范，保证其系统兼容性和功能的完整性</w:t>
      </w:r>
      <w:r>
        <w:rPr>
          <w:rFonts w:ascii="仿宋" w:eastAsia="仿宋" w:hAnsi="仿宋" w:cs="仿宋" w:hint="eastAsia"/>
          <w:sz w:val="28"/>
          <w:szCs w:val="20"/>
        </w:rPr>
        <w:t>。</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20"/>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72"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投标人应具有以下到投标截止日仍在有效期内的资质：气溶胶激光观测仪（三波长）气象专用技术装备使用许可证。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设备供应商对所有设备提供自验收合格后8年的质保服务*，需提供设备质保承诺函原件（格式自拟）。</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20"/>
          <w:docGrid w:type="lines" w:linePitch="312"/>
        </w:sectPr>
      </w:pPr>
      <w:bookmarkEnd w:id="7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3"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4"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4"/>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5"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5"/>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6" w:name="_Toc27624"/>
      <w:r>
        <w:rPr>
          <w:rFonts w:ascii="黑体" w:hAnsi="黑体" w:hint="eastAsia"/>
          <w:b w:val="0"/>
          <w:bCs w:val="0"/>
          <w:sz w:val="28"/>
          <w:szCs w:val="28"/>
          <w:highlight w:val="none"/>
        </w:rPr>
        <w:t>第二节 政府采购合同通用条款</w:t>
      </w:r>
      <w:bookmarkEnd w:id="76"/>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7"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7"/>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8"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3"/>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Microsoft YaHei">
    <w:panose1 w:val="020B0503020204020204"/>
    <w:charset w:val="86"/>
    <w:family w:val="auto"/>
    <w:pitch w:val="default"/>
    <w:sig w:usb0="80000287" w:usb1="280F3C52" w:usb2="00000016" w:usb3="00000000" w:csb0="0004001F" w:csb1="00000000"/>
  </w:font>
  <w:font w:name="DejaVu Sans">
    <w:panose1 w:val="020B0603030804020204"/>
    <w:charset w:val="00"/>
    <w:family w:val="auto"/>
    <w:pitch w:val="default"/>
    <w:sig w:usb0="E7006EFF" w:usb1="D200FDFF" w:usb2="0A246029" w:usb3="0400200C" w:csb0="600001FF" w:csb1="DFFF0000"/>
  </w:font>
  <w:font w:name="noto sans thai">
    <w:panose1 w:val="020B0502040504020204"/>
    <w:charset w:val="00"/>
    <w:family w:val="auto"/>
    <w:pitch w:val="default"/>
    <w:sig w:usb0="81000063" w:usb1="00002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
    <w:basedOn w:val="Normal"/>
    <w:qFormat/>
    <w:pPr>
      <w:spacing w:line="440" w:lineRule="exact"/>
      <w:jc w:val="center"/>
    </w:pPr>
    <w:rPr>
      <w:rFonts w:eastAsia="方正仿宋"/>
      <w:color w:val="000000"/>
      <w:sz w:val="18"/>
      <w:szCs w:val="18"/>
    </w:rPr>
  </w:style>
  <w:style w:type="paragraph" w:customStyle="1" w:styleId="TableParagraph">
    <w:name w:val="Table Paragraph"/>
    <w:basedOn w:val="Normal"/>
    <w:uiPriority w:val="1"/>
    <w:qFormat/>
    <w:pPr>
      <w:jc w:val="left"/>
    </w:pPr>
    <w:rPr>
      <w:rFonts w:ascii="Calibri" w:eastAsia="Calibri" w:hAnsi="Calibri" w:cs="宋体"/>
      <w:kern w:val="0"/>
      <w:sz w:val="22"/>
      <w:szCs w:val="22"/>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