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rPr>
      </w:pPr>
      <w:r>
        <w:rPr>
          <w:rFonts w:ascii="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rPr>
        <w:instrText>ADDIN CNKISM.UserStyle</w:instrText>
      </w:r>
      <w:r>
        <w:rPr>
          <w:rFonts w:ascii="宋体" w:hAnsi="宋体" w:cs="微软雅黑"/>
          <w:b/>
          <w:kern w:val="0"/>
          <w:szCs w:val="21"/>
        </w:rPr>
        <w:fldChar w:fldCharType="separate"/>
      </w:r>
      <w:r>
        <w:rPr>
          <w:rFonts w:ascii="宋体" w:hAnsi="宋体" w:cs="微软雅黑"/>
          <w:b/>
          <w:kern w:val="0"/>
          <w:szCs w:val="21"/>
        </w:rPr>
        <w:fldChar w:fldCharType="end"/>
      </w:r>
      <w:r>
        <w:rPr>
          <w:rFonts w:ascii="宋体" w:hAnsi="宋体" w:cs="微软雅黑"/>
          <w:b/>
          <w:kern w:val="0"/>
          <w:szCs w:val="21"/>
        </w:rPr>
        <w:t>版本</w:t>
      </w:r>
      <w:r>
        <w:rPr>
          <w:rFonts w:ascii="宋体" w:eastAsia="宋体" w:hAnsi="宋体" w:cs="微软雅黑" w:hint="eastAsia"/>
          <w:b/>
          <w:kern w:val="0"/>
          <w:szCs w:val="21"/>
        </w:rPr>
        <w:t>：20260101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河南省2025年短临工程项目城市暴雨积涝精细化定量监测设备建设项目采购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ZQCD-26006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highlight w:val="none"/>
        </w:rPr>
        <w:t>1.4.</w:t>
      </w:r>
      <w:r>
        <w:rPr>
          <w:rFonts w:ascii="宋体" w:eastAsia="宋体" w:hAnsi="宋体" w:cs="Times New Roman"/>
          <w:bCs/>
          <w:szCs w:val="21"/>
          <w:highlight w:val="none"/>
        </w:rPr>
        <w:t>3</w:t>
      </w:r>
      <w:r>
        <w:rPr>
          <w:rFonts w:ascii="宋体" w:eastAsia="宋体" w:hAnsi="宋体" w:cs="Times New Roman" w:hint="eastAsia"/>
          <w:bCs/>
          <w:szCs w:val="21"/>
          <w:highlight w:val="none"/>
        </w:rPr>
        <w:t xml:space="preserve"> 投标人所投</w:t>
      </w:r>
      <w:r>
        <w:rPr>
          <w:rFonts w:ascii="宋体" w:eastAsia="宋体" w:hAnsi="宋体" w:cs="Times New Roman"/>
          <w:bCs/>
          <w:szCs w:val="21"/>
          <w:highlight w:val="none"/>
        </w:rPr>
        <w:t>产品</w:t>
      </w:r>
      <w:r>
        <w:rPr>
          <w:rFonts w:ascii="宋体" w:eastAsia="宋体" w:hAnsi="宋体" w:cs="Times New Roman" w:hint="eastAsia"/>
          <w:bCs/>
          <w:szCs w:val="21"/>
          <w:highlight w:val="none"/>
        </w:rPr>
        <w:t>符合国务院办公厅《关于在政府采购中实施本国产品标准及相关政策的通知》（国办发〔2025〕34号）关于</w:t>
      </w:r>
      <w:r>
        <w:rPr>
          <w:rFonts w:ascii="宋体" w:eastAsia="宋体" w:hAnsi="宋体" w:cs="Times New Roman"/>
          <w:bCs/>
          <w:szCs w:val="21"/>
          <w:highlight w:val="none"/>
        </w:rPr>
        <w:t>本国产品价格</w:t>
      </w:r>
      <w:r>
        <w:rPr>
          <w:rFonts w:ascii="宋体" w:eastAsia="宋体" w:hAnsi="宋体" w:cs="Times New Roman" w:hint="eastAsia"/>
          <w:bCs/>
          <w:szCs w:val="21"/>
          <w:highlight w:val="none"/>
        </w:rPr>
        <w:t>评审</w:t>
      </w:r>
      <w:r>
        <w:rPr>
          <w:rFonts w:ascii="宋体" w:eastAsia="宋体" w:hAnsi="宋体" w:cs="Times New Roman"/>
          <w:bCs/>
          <w:szCs w:val="21"/>
          <w:highlight w:val="none"/>
        </w:rPr>
        <w:t>优惠条件的，</w:t>
      </w:r>
      <w:r>
        <w:rPr>
          <w:rFonts w:ascii="宋体" w:eastAsia="宋体" w:hAnsi="宋体" w:cs="Times New Roman" w:hint="eastAsia"/>
          <w:bCs/>
          <w:szCs w:val="21"/>
          <w:highlight w:val="none"/>
        </w:rPr>
        <w:t>投标人可按照第二章投标文件格式的要求提供《关于符合本国产品标准的声明函》或财政部会同有关部门规定的有关证明文件，</w:t>
      </w:r>
      <w:r>
        <w:rPr>
          <w:rFonts w:ascii="宋体" w:eastAsia="宋体" w:hAnsi="宋体" w:cs="Times New Roman"/>
          <w:bCs/>
          <w:szCs w:val="21"/>
          <w:highlight w:val="none"/>
        </w:rPr>
        <w:t>将</w:t>
      </w:r>
      <w:r>
        <w:rPr>
          <w:rFonts w:ascii="宋体" w:eastAsia="宋体" w:hAnsi="宋体" w:cs="Times New Roman" w:hint="eastAsia"/>
          <w:bCs/>
          <w:szCs w:val="21"/>
          <w:highlight w:val="none"/>
        </w:rPr>
        <w:t>对该投标人的</w:t>
      </w:r>
      <w:r>
        <w:rPr>
          <w:rFonts w:ascii="宋体" w:eastAsia="宋体" w:hAnsi="宋体" w:cs="Times New Roman"/>
          <w:bCs/>
          <w:szCs w:val="21"/>
          <w:highlight w:val="none"/>
        </w:rPr>
        <w:t>总报价</w:t>
      </w:r>
      <w:r>
        <w:rPr>
          <w:rFonts w:ascii="宋体" w:eastAsia="宋体" w:hAnsi="宋体" w:cs="Times New Roman" w:hint="eastAsia"/>
          <w:bCs/>
          <w:szCs w:val="21"/>
          <w:highlight w:val="none"/>
        </w:rPr>
        <w:t>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01068406642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Times New Roman" w:eastAsia="宋体" w:hAnsi="Times New Roman" w:cs="Times New Roman"/>
        </w:rPr>
      </w:pPr>
      <w:r>
        <w:rPr>
          <w:rFonts w:ascii="宋体" w:eastAsia="宋体" w:hAnsi="宋体" w:cs="Times New Roman"/>
          <w:bCs/>
        </w:rPr>
        <w:fldChar w:fldCharType="begin"/>
      </w:r>
      <w:r>
        <w:rPr>
          <w:rFonts w:ascii="宋体" w:eastAsia="宋体" w:hAnsi="宋体" w:cs="Times New Roman"/>
          <w:bCs/>
        </w:rPr>
        <w:instrText xml:space="preserve"> </w:instrText>
      </w:r>
      <w:r>
        <w:rPr>
          <w:rFonts w:ascii="宋体" w:eastAsia="宋体" w:hAnsi="宋体" w:cs="Times New Roman" w:hint="eastAsia"/>
          <w:bCs/>
        </w:rPr>
        <w:instrText>eq \o\ac(</w:instrText>
      </w:r>
      <w:r>
        <w:rPr>
          <w:rFonts w:ascii="宋体" w:eastAsia="宋体" w:hAnsi="宋体" w:cs="Times New Roman" w:hint="eastAsia"/>
          <w:bCs/>
        </w:rPr>
        <w:instrText>○</w:instrText>
      </w:r>
      <w:r>
        <w:rPr>
          <w:rFonts w:ascii="宋体" w:eastAsia="宋体" w:hAnsi="宋体" w:cs="Times New Roman" w:hint="eastAsia"/>
          <w:bCs/>
        </w:rPr>
        <w:instrText>,</w:instrText>
      </w:r>
      <w:r>
        <w:rPr>
          <w:rFonts w:ascii="宋体" w:eastAsia="宋体" w:hAnsi="宋体" w:cs="Times New Roman" w:hint="eastAsia"/>
          <w:bCs/>
          <w:position w:val="2"/>
          <w:sz w:val="14"/>
        </w:rPr>
        <w:instrText>12</w:instrText>
      </w:r>
      <w:r>
        <w:rPr>
          <w:rFonts w:ascii="宋体" w:eastAsia="宋体" w:hAnsi="宋体" w:cs="Times New Roman" w:hint="eastAsia"/>
          <w:bCs/>
        </w:rPr>
        <w:instrText>)</w:instrText>
      </w:r>
      <w:r>
        <w:rPr>
          <w:rFonts w:ascii="宋体" w:eastAsia="宋体" w:hAnsi="宋体" w:cs="Times New Roman"/>
          <w:bCs/>
        </w:rPr>
        <w:fldChar w:fldCharType="separate"/>
      </w:r>
      <w:r>
        <w:rPr>
          <w:rFonts w:ascii="宋体" w:eastAsia="宋体" w:hAnsi="宋体" w:cs="Times New Roman"/>
          <w:bCs/>
        </w:rPr>
        <w:fldChar w:fldCharType="end"/>
      </w:r>
      <w:r>
        <w:rPr>
          <w:rFonts w:ascii="宋体" w:eastAsia="宋体" w:hAnsi="宋体" w:cs="Times New Roman"/>
          <w:szCs w:val="21"/>
        </w:rPr>
        <w:t>*</w:t>
      </w:r>
      <w:r>
        <w:rPr>
          <w:rFonts w:ascii="Times New Roman" w:eastAsia="宋体" w:hAnsi="Times New Roman" w:cs="Times New Roman" w:hint="eastAsia"/>
        </w:rPr>
        <w:t>按照</w:t>
      </w:r>
      <w:r>
        <w:rPr>
          <w:rFonts w:ascii="Times New Roman" w:eastAsia="宋体" w:hAnsi="Times New Roman" w:cs="Times New Roman" w:hint="eastAsia"/>
          <w:b/>
        </w:rPr>
        <w:t>第五章投标人须知专用部分5.2条</w:t>
      </w:r>
      <w:r>
        <w:rPr>
          <w:rFonts w:ascii="Times New Roman" w:eastAsia="宋体" w:hAnsi="Times New Roman" w:cs="Times New Roman"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ghlight w:val="none"/>
        </w:rPr>
      </w:pPr>
      <w:r>
        <w:rPr>
          <w:rFonts w:ascii="宋体" w:eastAsia="宋体" w:hAnsi="宋体" w:cs="Times New Roman"/>
          <w:bCs/>
          <w:highlight w:val="none"/>
        </w:rPr>
        <w:fldChar w:fldCharType="begin"/>
      </w:r>
      <w:r>
        <w:rPr>
          <w:rFonts w:ascii="宋体" w:eastAsia="宋体" w:hAnsi="宋体" w:cs="Times New Roman"/>
          <w:bCs/>
          <w:highlight w:val="none"/>
        </w:rPr>
        <w:instrText xml:space="preserve"> </w:instrText>
      </w:r>
      <w:r>
        <w:rPr>
          <w:rFonts w:ascii="宋体" w:eastAsia="宋体" w:hAnsi="宋体" w:cs="Times New Roman" w:hint="eastAsia"/>
          <w:bCs/>
          <w:highlight w:val="none"/>
        </w:rPr>
        <w:instrText>eq \o\ac(</w:instrText>
      </w:r>
      <w:r>
        <w:rPr>
          <w:rFonts w:ascii="宋体" w:eastAsia="宋体" w:hAnsi="宋体" w:cs="Times New Roman" w:hint="eastAsia"/>
          <w:bCs/>
          <w:highlight w:val="none"/>
        </w:rPr>
        <w:instrText>○</w:instrText>
      </w:r>
      <w:r>
        <w:rPr>
          <w:rFonts w:ascii="宋体" w:eastAsia="宋体" w:hAnsi="宋体" w:cs="Times New Roman" w:hint="eastAsia"/>
          <w:bCs/>
          <w:highlight w:val="none"/>
        </w:rPr>
        <w:instrText>,13)</w:instrText>
      </w:r>
      <w:r>
        <w:rPr>
          <w:rFonts w:ascii="宋体" w:eastAsia="宋体" w:hAnsi="宋体" w:cs="Times New Roman"/>
          <w:bCs/>
          <w:highlight w:val="none"/>
        </w:rPr>
        <w:fldChar w:fldCharType="separate"/>
      </w:r>
      <w:r>
        <w:rPr>
          <w:rFonts w:ascii="宋体" w:eastAsia="宋体" w:hAnsi="宋体" w:cs="Times New Roman"/>
          <w:bCs/>
          <w:highlight w:val="none"/>
        </w:rPr>
        <w:fldChar w:fldCharType="end"/>
      </w:r>
      <w:r>
        <w:rPr>
          <w:rFonts w:ascii="宋体" w:eastAsia="宋体" w:hAnsi="宋体" w:cs="Times New Roman" w:hint="eastAsia"/>
          <w:szCs w:val="21"/>
          <w:highlight w:val="none"/>
        </w:rPr>
        <w:t>《关于符合本国产品标准的声明函》或财政部会同有关部门规定的有关证明文件（</w:t>
      </w:r>
      <w:r>
        <w:rPr>
          <w:rFonts w:ascii="宋体" w:eastAsia="宋体" w:hAnsi="宋体" w:cs="Times New Roman" w:hint="eastAsia"/>
          <w:bCs/>
          <w:szCs w:val="21"/>
          <w:highlight w:val="none"/>
        </w:rPr>
        <w:t>投标人所投</w:t>
      </w:r>
      <w:r>
        <w:rPr>
          <w:rFonts w:ascii="宋体" w:eastAsia="宋体" w:hAnsi="宋体" w:cs="Times New Roman"/>
          <w:bCs/>
          <w:szCs w:val="21"/>
          <w:highlight w:val="none"/>
        </w:rPr>
        <w:t>产品</w:t>
      </w:r>
      <w:r>
        <w:rPr>
          <w:rFonts w:ascii="宋体" w:eastAsia="宋体" w:hAnsi="宋体" w:cs="Times New Roman" w:hint="eastAsia"/>
          <w:bCs/>
          <w:szCs w:val="21"/>
          <w:highlight w:val="none"/>
        </w:rPr>
        <w:t>符合国务院办公厅《关于在政府采购中实施本国产品标准及相关政策的通知》（国办发〔2025〕34号）关于</w:t>
      </w:r>
      <w:r>
        <w:rPr>
          <w:rFonts w:ascii="宋体" w:eastAsia="宋体" w:hAnsi="宋体" w:cs="Times New Roman"/>
          <w:bCs/>
          <w:szCs w:val="21"/>
          <w:highlight w:val="none"/>
        </w:rPr>
        <w:t>本国产品价格</w:t>
      </w:r>
      <w:r>
        <w:rPr>
          <w:rFonts w:ascii="宋体" w:eastAsia="宋体" w:hAnsi="宋体" w:cs="Times New Roman" w:hint="eastAsia"/>
          <w:bCs/>
          <w:szCs w:val="21"/>
          <w:highlight w:val="none"/>
        </w:rPr>
        <w:t>评审</w:t>
      </w:r>
      <w:r>
        <w:rPr>
          <w:rFonts w:ascii="宋体" w:eastAsia="宋体" w:hAnsi="宋体" w:cs="Times New Roman"/>
          <w:bCs/>
          <w:szCs w:val="21"/>
          <w:highlight w:val="none"/>
        </w:rPr>
        <w:t>优惠条件的</w:t>
      </w:r>
      <w:r>
        <w:rPr>
          <w:rFonts w:ascii="宋体" w:eastAsia="宋体" w:hAnsi="宋体" w:cs="Times New Roman" w:hint="eastAsia"/>
          <w:bCs/>
          <w:szCs w:val="21"/>
          <w:highlight w:val="none"/>
        </w:rPr>
        <w:t>提供</w:t>
      </w:r>
      <w:r>
        <w:rPr>
          <w:rFonts w:ascii="宋体" w:eastAsia="宋体" w:hAnsi="宋体" w:cs="Times New Roman"/>
          <w:bCs/>
          <w:szCs w:val="21"/>
          <w:highlight w:val="none"/>
        </w:rPr>
        <w:t>，如</w:t>
      </w:r>
      <w:r>
        <w:rPr>
          <w:rFonts w:ascii="宋体" w:eastAsia="宋体" w:hAnsi="宋体" w:cs="Times New Roman" w:hint="eastAsia"/>
          <w:bCs/>
          <w:szCs w:val="21"/>
          <w:highlight w:val="none"/>
        </w:rPr>
        <w:t>符合上述</w:t>
      </w:r>
      <w:r>
        <w:rPr>
          <w:rFonts w:ascii="宋体" w:eastAsia="宋体" w:hAnsi="宋体" w:cs="Times New Roman"/>
          <w:bCs/>
          <w:szCs w:val="21"/>
          <w:highlight w:val="none"/>
        </w:rPr>
        <w:t>条件</w:t>
      </w:r>
      <w:r>
        <w:rPr>
          <w:rFonts w:ascii="宋体" w:eastAsia="宋体" w:hAnsi="宋体" w:cs="Times New Roman" w:hint="eastAsia"/>
          <w:bCs/>
          <w:szCs w:val="21"/>
          <w:highlight w:val="none"/>
        </w:rPr>
        <w:t>但</w:t>
      </w:r>
      <w:r>
        <w:rPr>
          <w:rFonts w:ascii="宋体" w:eastAsia="宋体" w:hAnsi="宋体" w:cs="Times New Roman"/>
          <w:bCs/>
          <w:szCs w:val="21"/>
          <w:highlight w:val="none"/>
        </w:rPr>
        <w:t>未能提供，将不能享受价格扣除优惠</w:t>
      </w:r>
      <w:r>
        <w:rPr>
          <w:rFonts w:ascii="宋体" w:eastAsia="宋体" w:hAnsi="宋体" w:cs="Times New Roman" w:hint="eastAsia"/>
          <w:szCs w:val="21"/>
          <w:highlight w:val="none"/>
        </w:rPr>
        <w:t>）</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widowControl w:val="0"/>
        <w:numPr>
          <w:ilvl w:val="0"/>
          <w:numId w:val="0"/>
        </w:numPr>
        <w:tabs>
          <w:tab w:val="left" w:pos="709"/>
          <w:tab w:val="left" w:pos="1573"/>
        </w:tabs>
        <w:adjustRightInd w:val="0"/>
        <w:snapToGrid w:val="0"/>
        <w:spacing w:line="360" w:lineRule="auto"/>
        <w:ind w:firstLine="420" w:firstLineChars="200"/>
        <w:jc w:val="both"/>
        <w:rPr>
          <w:rFonts w:ascii="宋体" w:eastAsia="宋体" w:hAnsi="宋体" w:cs="Times New Roman"/>
          <w:bCs/>
          <w:kern w:val="2"/>
          <w:sz w:val="21"/>
          <w:szCs w:val="21"/>
          <w:lang w:val="en-US" w:eastAsia="zh-CN" w:bidi="ar-SA"/>
        </w:rPr>
      </w:pPr>
      <w:r>
        <w:rPr>
          <w:rFonts w:ascii="宋体" w:eastAsia="宋体" w:hAnsi="宋体" w:cs="Times New Roman" w:hint="eastAsia"/>
          <w:bCs/>
          <w:kern w:val="2"/>
          <w:sz w:val="21"/>
          <w:szCs w:val="21"/>
          <w:lang w:val="en-US" w:eastAsia="zh-CN" w:bidi="ar-SA"/>
        </w:rPr>
        <w:t>1.28.3</w:t>
      </w:r>
      <w:r>
        <w:rPr>
          <w:rFonts w:ascii="宋体" w:eastAsia="宋体" w:hAnsi="宋体" w:cs="Times New Roman" w:hint="eastAsia"/>
          <w:b/>
          <w:bCs/>
          <w:kern w:val="2"/>
          <w:sz w:val="21"/>
          <w:szCs w:val="21"/>
          <w:lang w:val="en-US" w:eastAsia="zh-CN" w:bidi="ar-SA"/>
        </w:rPr>
        <w:t>除第六章评标方法和评标标准</w:t>
      </w:r>
      <w:r>
        <w:rPr>
          <w:rFonts w:ascii="宋体" w:eastAsia="宋体" w:hAnsi="宋体" w:cs="Times New Roman" w:hint="eastAsia"/>
          <w:bCs/>
          <w:kern w:val="2"/>
          <w:sz w:val="21"/>
          <w:szCs w:val="21"/>
          <w:lang w:val="en-US" w:eastAsia="zh-CN" w:bidi="ar-SA"/>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widowControl w:val="0"/>
        <w:numPr>
          <w:ilvl w:val="0"/>
          <w:numId w:val="0"/>
        </w:numPr>
        <w:tabs>
          <w:tab w:val="left" w:pos="709"/>
          <w:tab w:val="left" w:pos="1573"/>
        </w:tabs>
        <w:adjustRightInd w:val="0"/>
        <w:snapToGrid w:val="0"/>
        <w:spacing w:line="360" w:lineRule="auto"/>
        <w:ind w:firstLine="420" w:firstLineChars="200"/>
        <w:jc w:val="both"/>
        <w:rPr>
          <w:rFonts w:ascii="宋体" w:eastAsia="宋体" w:hAnsi="宋体" w:cs="Times New Roman"/>
          <w:kern w:val="2"/>
          <w:sz w:val="21"/>
          <w:szCs w:val="21"/>
          <w:lang w:val="en-US" w:eastAsia="zh-CN" w:bidi="ar-SA"/>
        </w:rPr>
      </w:pPr>
      <w:r>
        <w:rPr>
          <w:rFonts w:ascii="宋体" w:eastAsia="宋体" w:hAnsi="宋体" w:cs="Times New Roman" w:hint="eastAsia"/>
          <w:kern w:val="2"/>
          <w:sz w:val="21"/>
          <w:szCs w:val="21"/>
          <w:lang w:val="en-US" w:eastAsia="zh-CN" w:bidi="ar-SA"/>
        </w:rPr>
        <w:t>（1）业绩。投标人类似项目的业绩等；</w:t>
      </w:r>
    </w:p>
    <w:p>
      <w:pPr>
        <w:widowControl w:val="0"/>
        <w:numPr>
          <w:ilvl w:val="0"/>
          <w:numId w:val="0"/>
        </w:numPr>
        <w:tabs>
          <w:tab w:val="left" w:pos="709"/>
          <w:tab w:val="left" w:pos="1573"/>
        </w:tabs>
        <w:adjustRightInd w:val="0"/>
        <w:snapToGrid w:val="0"/>
        <w:spacing w:line="360" w:lineRule="auto"/>
        <w:ind w:firstLine="420" w:firstLineChars="200"/>
        <w:jc w:val="both"/>
        <w:rPr>
          <w:rFonts w:ascii="宋体" w:eastAsia="宋体" w:hAnsi="宋体" w:cs="Times New Roman"/>
          <w:kern w:val="2"/>
          <w:sz w:val="21"/>
          <w:szCs w:val="21"/>
          <w:lang w:val="en-US" w:eastAsia="zh-CN" w:bidi="ar-SA"/>
        </w:rPr>
      </w:pPr>
      <w:r>
        <w:rPr>
          <w:rFonts w:ascii="宋体" w:eastAsia="宋体" w:hAnsi="宋体" w:cs="Times New Roman" w:hint="eastAsia"/>
          <w:kern w:val="2"/>
          <w:sz w:val="21"/>
          <w:szCs w:val="21"/>
          <w:lang w:val="en-US" w:eastAsia="zh-CN" w:bidi="ar-SA"/>
        </w:rPr>
        <w:t>（</w:t>
      </w:r>
      <w:r>
        <w:rPr>
          <w:rFonts w:ascii="宋体" w:eastAsia="宋体" w:hAnsi="宋体" w:cs="Times New Roman"/>
          <w:kern w:val="2"/>
          <w:sz w:val="21"/>
          <w:szCs w:val="21"/>
          <w:lang w:val="en-US" w:eastAsia="zh-CN" w:bidi="ar-SA"/>
        </w:rPr>
        <w:t>2</w:t>
      </w:r>
      <w:r>
        <w:rPr>
          <w:rFonts w:ascii="宋体" w:eastAsia="宋体" w:hAnsi="宋体" w:cs="Times New Roman" w:hint="eastAsia"/>
          <w:kern w:val="2"/>
          <w:sz w:val="21"/>
          <w:szCs w:val="21"/>
          <w:lang w:val="en-US" w:eastAsia="zh-CN" w:bidi="ar-SA"/>
        </w:rPr>
        <w:t>）投标产品技术性能及质量。包括对招标文件应答情况，技术规格有无偏离，产品的性能、标准，产品的先进性、可靠性、稳定性及质量保证等；</w:t>
      </w:r>
    </w:p>
    <w:p>
      <w:pPr>
        <w:widowControl w:val="0"/>
        <w:numPr>
          <w:ilvl w:val="0"/>
          <w:numId w:val="0"/>
        </w:numPr>
        <w:tabs>
          <w:tab w:val="left" w:pos="709"/>
          <w:tab w:val="left" w:pos="1573"/>
        </w:tabs>
        <w:adjustRightInd w:val="0"/>
        <w:snapToGrid w:val="0"/>
        <w:spacing w:line="360" w:lineRule="auto"/>
        <w:ind w:firstLine="420" w:firstLineChars="200"/>
        <w:jc w:val="both"/>
        <w:rPr>
          <w:rFonts w:ascii="宋体" w:eastAsia="宋体" w:hAnsi="宋体" w:cs="Times New Roman"/>
          <w:kern w:val="2"/>
          <w:sz w:val="21"/>
          <w:szCs w:val="21"/>
          <w:lang w:val="en-US" w:eastAsia="zh-CN" w:bidi="ar-SA"/>
        </w:rPr>
      </w:pPr>
      <w:r>
        <w:rPr>
          <w:rFonts w:ascii="宋体" w:eastAsia="宋体" w:hAnsi="宋体" w:cs="Times New Roman" w:hint="eastAsia"/>
          <w:kern w:val="2"/>
          <w:sz w:val="21"/>
          <w:szCs w:val="21"/>
          <w:lang w:val="en-US" w:eastAsia="zh-CN" w:bidi="ar-SA"/>
        </w:rPr>
        <w:t>（3）售后服务。包括投标人在项目所在地所能提供的售后服务、技术支持机构的情况、售后服务承诺及售后服务人员情况等；</w:t>
      </w:r>
    </w:p>
    <w:p>
      <w:pPr>
        <w:widowControl w:val="0"/>
        <w:numPr>
          <w:ilvl w:val="0"/>
          <w:numId w:val="0"/>
        </w:numPr>
        <w:tabs>
          <w:tab w:val="left" w:pos="709"/>
          <w:tab w:val="left" w:pos="1573"/>
        </w:tabs>
        <w:adjustRightInd w:val="0"/>
        <w:snapToGrid w:val="0"/>
        <w:spacing w:line="360" w:lineRule="auto"/>
        <w:ind w:firstLine="420" w:firstLineChars="200"/>
        <w:jc w:val="both"/>
        <w:rPr>
          <w:rFonts w:ascii="宋体" w:eastAsia="宋体" w:hAnsi="宋体" w:cs="Times New Roman" w:hint="eastAsia"/>
          <w:bCs/>
          <w:kern w:val="2"/>
          <w:sz w:val="21"/>
          <w:szCs w:val="21"/>
          <w:lang w:val="en-US" w:eastAsia="zh-CN" w:bidi="ar-SA"/>
        </w:rPr>
      </w:pPr>
      <w:r>
        <w:rPr>
          <w:rFonts w:ascii="宋体" w:eastAsia="宋体" w:hAnsi="宋体" w:cs="Times New Roman" w:hint="eastAsia"/>
          <w:kern w:val="2"/>
          <w:sz w:val="21"/>
          <w:szCs w:val="21"/>
          <w:highlight w:val="none"/>
          <w:lang w:val="en-US" w:eastAsia="zh-CN" w:bidi="ar-SA"/>
        </w:rPr>
        <w:t>（4）评审价格。开标一览表中该投标人的投标总价。如本项目</w:t>
      </w:r>
      <w:r>
        <w:rPr>
          <w:rFonts w:ascii="宋体" w:eastAsia="宋体" w:hAnsi="宋体" w:cs="Times New Roman" w:hint="eastAsia"/>
          <w:bCs/>
          <w:kern w:val="2"/>
          <w:sz w:val="21"/>
          <w:szCs w:val="21"/>
          <w:highlight w:val="none"/>
          <w:lang w:val="en-US" w:eastAsia="zh-CN" w:bidi="ar-SA"/>
        </w:rPr>
        <w:t>不是专门或部分面向中小企业采购的项目，小微企业享受价格扣除优惠，用扣除后的价格参与评审；投标人所投</w:t>
      </w:r>
      <w:r>
        <w:rPr>
          <w:rFonts w:ascii="宋体" w:eastAsia="宋体" w:hAnsi="宋体" w:cs="Times New Roman"/>
          <w:bCs/>
          <w:kern w:val="2"/>
          <w:sz w:val="21"/>
          <w:szCs w:val="21"/>
          <w:highlight w:val="none"/>
          <w:lang w:val="en-US" w:eastAsia="zh-CN" w:bidi="ar-SA"/>
        </w:rPr>
        <w:t>产品</w:t>
      </w:r>
      <w:r>
        <w:rPr>
          <w:rFonts w:ascii="宋体" w:eastAsia="宋体" w:hAnsi="宋体" w:cs="Times New Roman" w:hint="eastAsia"/>
          <w:bCs/>
          <w:kern w:val="2"/>
          <w:sz w:val="21"/>
          <w:szCs w:val="21"/>
          <w:highlight w:val="none"/>
          <w:lang w:val="en-US" w:eastAsia="zh-CN" w:bidi="ar-SA"/>
        </w:rPr>
        <w:t>符合国务院办公厅《关于在政府采购中实施本国产品标准及相关政策的通知》（国办发〔2025〕34号）关于</w:t>
      </w:r>
      <w:r>
        <w:rPr>
          <w:rFonts w:ascii="宋体" w:eastAsia="宋体" w:hAnsi="宋体" w:cs="Times New Roman"/>
          <w:bCs/>
          <w:kern w:val="2"/>
          <w:sz w:val="21"/>
          <w:szCs w:val="21"/>
          <w:highlight w:val="none"/>
          <w:lang w:val="en-US" w:eastAsia="zh-CN" w:bidi="ar-SA"/>
        </w:rPr>
        <w:t>本国产品价格</w:t>
      </w:r>
      <w:r>
        <w:rPr>
          <w:rFonts w:ascii="宋体" w:eastAsia="宋体" w:hAnsi="宋体" w:cs="Times New Roman" w:hint="eastAsia"/>
          <w:bCs/>
          <w:kern w:val="2"/>
          <w:sz w:val="21"/>
          <w:szCs w:val="21"/>
          <w:highlight w:val="none"/>
          <w:lang w:val="en-US" w:eastAsia="zh-CN" w:bidi="ar-SA"/>
        </w:rPr>
        <w:t>评审</w:t>
      </w:r>
      <w:r>
        <w:rPr>
          <w:rFonts w:ascii="宋体" w:eastAsia="宋体" w:hAnsi="宋体" w:cs="Times New Roman"/>
          <w:bCs/>
          <w:kern w:val="2"/>
          <w:sz w:val="21"/>
          <w:szCs w:val="21"/>
          <w:highlight w:val="none"/>
          <w:lang w:val="en-US" w:eastAsia="zh-CN" w:bidi="ar-SA"/>
        </w:rPr>
        <w:t>优惠条件的，</w:t>
      </w:r>
      <w:r>
        <w:rPr>
          <w:rFonts w:ascii="宋体" w:eastAsia="宋体" w:hAnsi="宋体" w:cs="Times New Roman" w:hint="eastAsia"/>
          <w:bCs/>
          <w:kern w:val="2"/>
          <w:sz w:val="21"/>
          <w:szCs w:val="21"/>
          <w:highlight w:val="none"/>
          <w:lang w:val="en-US" w:eastAsia="zh-CN" w:bidi="ar-SA"/>
        </w:rPr>
        <w:t>享受价格扣除优惠，用扣除后的价格参与评审。具体见1.4.3、1.5.4</w:t>
      </w:r>
      <w:r>
        <w:rPr>
          <w:rFonts w:ascii="宋体" w:eastAsia="宋体" w:hAnsi="宋体" w:cs="Times New Roman" w:hint="eastAsia"/>
          <w:kern w:val="2"/>
          <w:sz w:val="21"/>
          <w:szCs w:val="21"/>
          <w:highlight w:val="none"/>
          <w:lang w:val="en-US" w:eastAsia="zh-CN" w:bidi="ar-SA"/>
        </w:rPr>
        <w:t>及</w:t>
      </w:r>
      <w:r>
        <w:rPr>
          <w:rFonts w:ascii="宋体" w:eastAsia="宋体" w:hAnsi="宋体" w:cs="Times New Roman" w:hint="eastAsia"/>
          <w:b/>
          <w:kern w:val="2"/>
          <w:sz w:val="21"/>
          <w:szCs w:val="21"/>
          <w:highlight w:val="none"/>
          <w:lang w:val="en-US" w:eastAsia="zh-CN" w:bidi="ar-SA"/>
        </w:rPr>
        <w:t>第六章评标方法和评标标准。</w:t>
      </w:r>
      <w:r>
        <w:rPr>
          <w:rFonts w:ascii="宋体" w:eastAsia="宋体" w:hAnsi="宋体" w:cs="Times New Roman" w:hint="eastAsia"/>
          <w:kern w:val="2"/>
          <w:sz w:val="21"/>
          <w:szCs w:val="21"/>
          <w:highlight w:val="none"/>
          <w:lang w:val="en-US" w:eastAsia="zh-CN" w:bidi="ar-SA"/>
        </w:rPr>
        <w:t>如同时</w:t>
      </w:r>
      <w:r>
        <w:rPr>
          <w:rFonts w:ascii="宋体" w:eastAsia="宋体" w:hAnsi="宋体" w:cs="Times New Roman"/>
          <w:kern w:val="2"/>
          <w:sz w:val="21"/>
          <w:szCs w:val="21"/>
          <w:highlight w:val="none"/>
          <w:lang w:val="en-US" w:eastAsia="zh-CN" w:bidi="ar-SA"/>
        </w:rPr>
        <w:t>享受多项</w:t>
      </w:r>
      <w:r>
        <w:rPr>
          <w:rFonts w:ascii="宋体" w:eastAsia="宋体" w:hAnsi="宋体" w:cs="Times New Roman" w:hint="eastAsia"/>
          <w:kern w:val="2"/>
          <w:sz w:val="21"/>
          <w:szCs w:val="21"/>
          <w:highlight w:val="none"/>
          <w:lang w:val="en-US" w:eastAsia="zh-CN" w:bidi="ar-SA"/>
        </w:rPr>
        <w:t>价格</w:t>
      </w:r>
      <w:r>
        <w:rPr>
          <w:rFonts w:ascii="宋体" w:eastAsia="宋体" w:hAnsi="宋体" w:cs="Times New Roman"/>
          <w:kern w:val="2"/>
          <w:sz w:val="21"/>
          <w:szCs w:val="21"/>
          <w:highlight w:val="none"/>
          <w:lang w:val="en-US" w:eastAsia="zh-CN" w:bidi="ar-SA"/>
        </w:rPr>
        <w:t>扣除优惠政策</w:t>
      </w:r>
      <w:r>
        <w:rPr>
          <w:rFonts w:ascii="宋体" w:eastAsia="宋体" w:hAnsi="宋体" w:cs="Times New Roman" w:hint="eastAsia"/>
          <w:kern w:val="2"/>
          <w:sz w:val="21"/>
          <w:szCs w:val="21"/>
          <w:highlight w:val="none"/>
          <w:lang w:val="en-US" w:eastAsia="zh-CN" w:bidi="ar-SA"/>
        </w:rPr>
        <w:t>的</w:t>
      </w:r>
      <w:r>
        <w:rPr>
          <w:rFonts w:ascii="宋体" w:eastAsia="宋体" w:hAnsi="宋体" w:cs="Times New Roman"/>
          <w:kern w:val="2"/>
          <w:sz w:val="21"/>
          <w:szCs w:val="21"/>
          <w:highlight w:val="none"/>
          <w:lang w:val="en-US" w:eastAsia="zh-CN" w:bidi="ar-SA"/>
        </w:rPr>
        <w:t>，</w:t>
      </w:r>
      <w:r>
        <w:rPr>
          <w:rFonts w:ascii="宋体" w:eastAsia="宋体" w:hAnsi="宋体" w:cs="Times New Roman" w:hint="eastAsia"/>
          <w:kern w:val="2"/>
          <w:sz w:val="21"/>
          <w:szCs w:val="21"/>
          <w:highlight w:val="none"/>
          <w:lang w:val="en-US" w:eastAsia="zh-CN" w:bidi="ar-SA"/>
        </w:rPr>
        <w:t>价格</w:t>
      </w:r>
      <w:r>
        <w:rPr>
          <w:rFonts w:ascii="宋体" w:eastAsia="宋体" w:hAnsi="宋体" w:cs="Times New Roman"/>
          <w:kern w:val="2"/>
          <w:sz w:val="21"/>
          <w:szCs w:val="21"/>
          <w:highlight w:val="none"/>
          <w:lang w:val="en-US" w:eastAsia="zh-CN" w:bidi="ar-SA"/>
        </w:rPr>
        <w:t>扣除</w:t>
      </w:r>
      <w:r>
        <w:rPr>
          <w:rFonts w:ascii="宋体" w:eastAsia="宋体" w:hAnsi="宋体" w:cs="Times New Roman" w:hint="eastAsia"/>
          <w:kern w:val="2"/>
          <w:sz w:val="21"/>
          <w:szCs w:val="21"/>
          <w:highlight w:val="none"/>
          <w:lang w:val="en-US" w:eastAsia="zh-CN" w:bidi="ar-SA"/>
        </w:rPr>
        <w:t>基数均</w:t>
      </w:r>
      <w:r>
        <w:rPr>
          <w:rFonts w:ascii="宋体" w:eastAsia="宋体" w:hAnsi="宋体" w:cs="Times New Roman"/>
          <w:kern w:val="2"/>
          <w:sz w:val="21"/>
          <w:szCs w:val="21"/>
          <w:highlight w:val="none"/>
          <w:lang w:val="en-US" w:eastAsia="zh-CN" w:bidi="ar-SA"/>
        </w:rPr>
        <w:t>为</w:t>
      </w:r>
      <w:r>
        <w:rPr>
          <w:rFonts w:ascii="宋体" w:eastAsia="宋体" w:hAnsi="宋体" w:cs="Times New Roman" w:hint="eastAsia"/>
          <w:kern w:val="2"/>
          <w:sz w:val="21"/>
          <w:szCs w:val="21"/>
          <w:highlight w:val="none"/>
          <w:lang w:val="en-US" w:eastAsia="zh-CN" w:bidi="ar-SA"/>
        </w:rPr>
        <w:t>原</w:t>
      </w:r>
      <w:r>
        <w:rPr>
          <w:rFonts w:ascii="宋体" w:eastAsia="宋体" w:hAnsi="宋体" w:cs="Times New Roman"/>
          <w:kern w:val="2"/>
          <w:sz w:val="21"/>
          <w:szCs w:val="21"/>
          <w:highlight w:val="none"/>
          <w:lang w:val="en-US" w:eastAsia="zh-CN" w:bidi="ar-SA"/>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郑州市气象局；信阳市气象局；开封市气象局；洛阳市气象局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河南省2025年短临工程项目城市暴雨积涝精细化定量监测设备建设项目采购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ZQCD-26006</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合同签订后120天内交货，120天内完成安装调试并具备验收条件。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郑州、信阳、开封、洛阳</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2026年01月09日 00:00:00</w:t>
      </w:r>
      <w:bookmarkEnd w:id="26"/>
      <w:r>
        <w:rPr>
          <w:rFonts w:ascii="宋体" w:hint="eastAsia"/>
          <w:szCs w:val="21"/>
          <w:highlight w:val="none"/>
        </w:rPr>
        <w:t>至</w:t>
      </w:r>
      <w:bookmarkStart w:id="27" w:name="项目公告_signUpLastTime"/>
      <w:r>
        <w:rPr>
          <w:rFonts w:ascii="宋体" w:hint="eastAsia"/>
          <w:szCs w:val="21"/>
          <w:highlight w:val="none"/>
        </w:rPr>
        <w:t>2026年01月16日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2026年01月30日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郑州市气象局；信阳市气象局；开封市气象局；洛阳市气象局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元保军</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0371-65950239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郑州市金水区金水路5号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郑州市气象局；信阳市气象局；开封市气象局；洛阳市气象局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不允许（仅针对以下产品：1、城市暴雨积涝自动监测设备不允许代理商投标）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（1）标的：城市暴雨积涝自动监测设备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123.380000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123.380000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销售合同必须包括在核心功能与应用场景上与本项目相类似的智能监测设备业绩合同，每提供1份合同得2分，最多得8分。否则不得分。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针对本项目采购的暴雨积涝精细化定量建设设备，承诺每提前10天交货的得1分，最多得3分。否则不得分。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针对暴雨积涝精细化定量建设设备，每提供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投标人为本项目拟派的服务团队中项目经理应具有3年以上相关工作经验，为本项目派出的技术人员至少3人具有1年及以上相关工作经验，完全满足得3分，否则不得分。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以下17项重要技术指标：</w:t>
              <w:cr/>
              <w:t>1、产品供电方式为内置锂亚电池（或太阳能可选），满足得3分。</w:t>
              <w:cr/>
              <w:t>2、电池使用寿命至少为1.5年，满足得3分。</w:t>
              <w:cr/>
              <w:t>3、通讯方式：NB-IoT窄带网络，满足得3分。</w:t>
              <w:cr/>
              <w:t>4、检测范围：0-3000mm（可根据现场调整或定制），满足得3分。</w:t>
              <w:cr/>
              <w:t>5、检测精度：±1mm，满足得3分。</w:t>
              <w:cr/>
              <w:t>6、采集频率：5-1440min（根据实际需要设定），采集频率支持每个整5分钟的倍数上报。满足得3分。</w:t>
              <w:cr/>
              <w:t>7、防护等级：IP68 ，满足得2分。</w:t>
              <w:cr/>
              <w:t>8、工作电压：3.6VDC；静态电流：＜20μA；满足得2分。</w:t>
              <w:cr/>
              <w:t>9、定位方式：北斗定位，满足得2分。</w:t>
              <w:cr/>
              <w:t>10、支持远程升级，满足得2分。</w:t>
              <w:cr/>
              <w:t>11、支持磁感触发，满足得2分。</w:t>
              <w:cr/>
              <w:t>12、电磁兼容符合符合GB/T17626.3-2023标准，满足得2分。</w:t>
              <w:cr/>
              <w:t>13、低温符合-40℃：符合GB/T 2423.1-2008标准，满足得2分。</w:t>
              <w:cr/>
              <w:t>14、高温符合80℃：符合GB/T 2423.2-2008标准，满足得2分。</w:t>
              <w:cr/>
              <w:t>15、定制化小程序，满足GIS定位展示，点位编辑，设备挂载，数据监测，标定功能，数据查询，具备多城市作业，权属管理明确，满足得2分。</w:t>
              <w:cr/>
              <w:t>16、提供监测数据按统一数据格式向天翼云传输的方案，满足得2分。</w:t>
              <w:cr/>
              <w:t>17、提供项目合同签订后5年的维护质保承诺，满足得2分</w:t>
            </w:r>
          </w:p>
          <w:p>
            <w:r>
              <w:t>评审标准说明：</w:t>
            </w:r>
          </w:p>
          <w:p>
            <w:r>
              <w:t>需提供技术文档。响应且满足招标文件第七章详细技术指标要求，所列17项重要技术指标需提供第三方出具测试报告（复印件并加盖投标人公章）作为证明材料。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重要技术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5758A8">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5758A8" w:rsidRPr="00B34C9C" w:rsidP="00B34C9C">
      <w:pPr>
        <w:spacing w:line="360" w:lineRule="auto"/>
        <w:ind w:firstLine="600" w:firstLineChars="200"/>
        <w:rPr>
          <w:rFonts w:ascii="黑体" w:eastAsia="黑体" w:hAnsi="黑体"/>
          <w:sz w:val="30"/>
          <w:szCs w:val="30"/>
        </w:rPr>
      </w:pPr>
      <w:r w:rsidRPr="00B34C9C">
        <w:rPr>
          <w:rFonts w:ascii="黑体" w:eastAsia="黑体" w:hAnsi="黑体" w:hint="eastAsia"/>
          <w:sz w:val="30"/>
          <w:szCs w:val="30"/>
        </w:rPr>
        <w:t>一、项目概况及总体要求</w:t>
      </w:r>
    </w:p>
    <w:p w:rsidR="00B34C9C" w:rsidP="00B34C9C">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1.项目概况</w:t>
      </w:r>
    </w:p>
    <w:p w:rsidR="00B34C9C" w:rsidP="00B34C9C">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项目主要建设内容是建设河南省城市暴雨积涝监测站网，在河南省暴雨积涝风险点部署250套暴雨积涝自动监测设备，建设暴雨诱发的次生灾害气象风险自动化观测网络。实现城市暴雨积涝灾害气象风险监测数据采集、监控和传输，支撑开展暴雨诱发的城市暴雨积涝灾害气象风险短临监测业务。</w:t>
      </w:r>
    </w:p>
    <w:p w:rsidR="00B34C9C" w:rsidP="00B34C9C">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（1）建设城市暴雨积涝监测站网</w:t>
      </w:r>
    </w:p>
    <w:p w:rsidR="00B34C9C" w:rsidP="00B34C9C">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在河南省的重点城市暴雨积涝风险点（包括城市低洼地段、易积水区域、桥梁涵洞等关键位置）布设250套城市暴雨积涝精细化定量监测设备。</w:t>
      </w:r>
    </w:p>
    <w:p w:rsidR="00B34C9C" w:rsidP="00B34C9C">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（2）数据采集与传输</w:t>
      </w:r>
    </w:p>
    <w:p w:rsidR="00B34C9C" w:rsidP="00B34C9C">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积涝监测设备采集的积涝监测数据，按照统一的数据格式上传到中国电信天翼云平台制定位置。</w:t>
      </w:r>
    </w:p>
    <w:p w:rsidR="00B34C9C" w:rsidP="00B34C9C">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2.具体实施要求</w:t>
      </w:r>
    </w:p>
    <w:p w:rsidR="00B34C9C" w:rsidP="00B34C9C">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（1</w:t>
      </w:r>
      <w:r w:rsidR="0014595A">
        <w:rPr>
          <w:rFonts w:ascii="仿宋" w:eastAsia="仿宋" w:hAnsi="仿宋" w:cs="仿宋" w:hint="eastAsia"/>
          <w:b/>
          <w:bCs/>
          <w:sz w:val="28"/>
          <w:szCs w:val="20"/>
        </w:rPr>
        <w:t>）初步建立覆盖河南省</w:t>
      </w:r>
      <w:r>
        <w:rPr>
          <w:rFonts w:ascii="仿宋" w:eastAsia="仿宋" w:hAnsi="仿宋" w:cs="仿宋" w:hint="eastAsia"/>
          <w:b/>
          <w:bCs/>
          <w:sz w:val="28"/>
          <w:szCs w:val="20"/>
        </w:rPr>
        <w:t>主要暴雨积涝风险点的暴雨积涝精细化定量监测站网</w:t>
      </w:r>
    </w:p>
    <w:p w:rsidR="00B34C9C" w:rsidP="00B34C9C">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完成在河南省的250套暴雨积涝监测设备建设，初步形成覆盖</w:t>
      </w:r>
      <w:r w:rsidR="00811834">
        <w:rPr>
          <w:rFonts w:ascii="仿宋" w:eastAsia="仿宋" w:hAnsi="仿宋" w:cs="仿宋" w:hint="eastAsia"/>
          <w:sz w:val="28"/>
          <w:szCs w:val="20"/>
        </w:rPr>
        <w:t>河南全省</w:t>
      </w:r>
      <w:r>
        <w:rPr>
          <w:rFonts w:ascii="仿宋" w:eastAsia="仿宋" w:hAnsi="仿宋" w:cs="仿宋" w:hint="eastAsia"/>
          <w:sz w:val="28"/>
          <w:szCs w:val="20"/>
        </w:rPr>
        <w:t>主要暴雨积涝风险点的暴雨积涝水位监测站网体系。监测设备以高能锂亚电池供电，电池续航时间至少为1.5年，通讯方式采用NB-IoT（窄带物联网），支持全网通讯，可监测水位范围为0-3000mm，监测精度±1mm，环境运行温度-40℃— +85℃，数据采集频率5-1440min。</w:t>
      </w:r>
    </w:p>
    <w:p w:rsidR="00B34C9C" w:rsidP="00B34C9C">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（2）</w:t>
      </w:r>
      <w:r>
        <w:rPr>
          <w:rFonts w:ascii="仿宋" w:eastAsia="仿宋" w:hAnsi="仿宋" w:cs="仿宋" w:hint="eastAsia"/>
          <w:b/>
          <w:sz w:val="28"/>
          <w:szCs w:val="20"/>
        </w:rPr>
        <w:t>实时监测数据通过物联网专线传输至气象内网数据中心平台，并依托气象部门国省数据传输系统汇集至国家级</w:t>
      </w:r>
    </w:p>
    <w:p w:rsidR="00B34C9C" w:rsidRPr="00B34C9C" w:rsidP="00B34C9C">
      <w:pPr>
        <w:spacing w:line="360" w:lineRule="auto"/>
        <w:ind w:firstLine="560" w:firstLineChars="200"/>
        <w:rPr>
          <w:rFonts w:ascii="宋体" w:hAnsi="宋体"/>
          <w:szCs w:val="21"/>
        </w:rPr>
      </w:pPr>
      <w:r>
        <w:rPr>
          <w:rFonts w:ascii="仿宋" w:eastAsia="仿宋" w:hAnsi="仿宋" w:cs="仿宋" w:hint="eastAsia"/>
          <w:sz w:val="28"/>
          <w:szCs w:val="20"/>
        </w:rPr>
        <w:t>积涝监测设备采集的积涝监测数据，按照统一的数据格式上传到中国电信天翼云平台。</w:t>
      </w:r>
    </w:p>
    <w:p w:rsidR="005758A8" w:rsidP="00B34C9C">
      <w:pPr>
        <w:spacing w:line="360" w:lineRule="auto"/>
        <w:ind w:firstLine="600" w:firstLineChars="200"/>
        <w:rPr>
          <w:rFonts w:ascii="黑体" w:eastAsia="黑体" w:hAnsi="黑体"/>
          <w:sz w:val="30"/>
          <w:szCs w:val="30"/>
        </w:rPr>
      </w:pPr>
      <w:r w:rsidRPr="00B34C9C">
        <w:rPr>
          <w:rFonts w:ascii="黑体" w:eastAsia="黑体" w:hAnsi="黑体" w:hint="eastAsia"/>
          <w:sz w:val="30"/>
          <w:szCs w:val="30"/>
        </w:rPr>
        <w:t>二、设备需求一览表（见第七章 采购需求 附表）</w:t>
      </w:r>
    </w:p>
    <w:p w:rsidR="005758A8" w:rsidRPr="00B34C9C" w:rsidP="00B34C9C">
      <w:pPr>
        <w:spacing w:line="360" w:lineRule="auto"/>
        <w:ind w:firstLine="600" w:firstLineChars="200"/>
        <w:rPr>
          <w:rFonts w:ascii="黑体" w:eastAsia="黑体" w:hAnsi="黑体"/>
          <w:sz w:val="30"/>
          <w:szCs w:val="30"/>
        </w:rPr>
      </w:pPr>
      <w:r w:rsidRPr="00B34C9C">
        <w:rPr>
          <w:rFonts w:ascii="黑体" w:eastAsia="黑体" w:hAnsi="黑体" w:hint="eastAsia"/>
          <w:sz w:val="30"/>
          <w:szCs w:val="30"/>
        </w:rPr>
        <w:t>三、技术性能指标</w:t>
      </w:r>
    </w:p>
    <w:p w:rsidR="00B34C9C" w:rsidP="00B34C9C">
      <w:pPr>
        <w:ind w:firstLine="560" w:firstLineChars="200"/>
        <w:rPr>
          <w:sz w:val="28"/>
        </w:rPr>
      </w:pPr>
      <w:r>
        <w:rPr>
          <w:sz w:val="28"/>
        </w:rPr>
        <w:t>1.</w:t>
      </w:r>
      <w:bookmarkStart w:id="60" w:name="_Toc374091441"/>
      <w:bookmarkStart w:id="61" w:name="_Toc13355"/>
      <w:r>
        <w:rPr>
          <w:rFonts w:hint="eastAsia"/>
          <w:sz w:val="28"/>
        </w:rPr>
        <w:t>设备功能</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1</w:t>
      </w:r>
      <w:r>
        <w:rPr>
          <w:rFonts w:ascii="Times New Roman" w:hAnsi="Times New Roman" w:cs="Times New Roman" w:hint="eastAsia"/>
          <w:color w:val="auto"/>
          <w:sz w:val="28"/>
          <w:szCs w:val="28"/>
          <w:lang w:eastAsia="zh-CN"/>
        </w:rPr>
        <w:t>）液位监测</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监测设备能够自动识别监测点位路面积水深度信息，通过</w:t>
      </w:r>
      <w:r>
        <w:rPr>
          <w:rFonts w:ascii="Times New Roman" w:hAnsi="Times New Roman" w:cs="Times New Roman"/>
          <w:color w:val="auto"/>
          <w:sz w:val="28"/>
          <w:szCs w:val="28"/>
          <w:lang w:eastAsia="zh-CN"/>
        </w:rPr>
        <w:t>NB-IoT</w:t>
      </w:r>
      <w:r>
        <w:rPr>
          <w:rFonts w:ascii="Times New Roman" w:hAnsi="Times New Roman" w:cs="Times New Roman" w:hint="eastAsia"/>
          <w:color w:val="auto"/>
          <w:sz w:val="28"/>
          <w:szCs w:val="28"/>
          <w:lang w:eastAsia="zh-CN"/>
        </w:rPr>
        <w:t>网络与运营商基站通讯交互，并经过物联网集约平台转发至业务管理平台，平台对采集上来的数据进行分析，确定积涝现场监测实时水位情况；</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2</w:t>
      </w:r>
      <w:r>
        <w:rPr>
          <w:rFonts w:ascii="Times New Roman" w:hAnsi="Times New Roman" w:cs="Times New Roman" w:hint="eastAsia"/>
          <w:color w:val="auto"/>
          <w:sz w:val="28"/>
          <w:szCs w:val="28"/>
          <w:lang w:eastAsia="zh-CN"/>
        </w:rPr>
        <w:t>）运行监控及管理</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监测设备定时上报运行状态，为降低通信量可按需调整状态上报频率和液位监测频率，最小采集频率可设置为</w:t>
      </w:r>
      <w:r>
        <w:rPr>
          <w:rFonts w:ascii="Times New Roman" w:hAnsi="Times New Roman" w:cs="Times New Roman"/>
          <w:color w:val="auto"/>
          <w:sz w:val="28"/>
          <w:szCs w:val="28"/>
          <w:lang w:eastAsia="zh-CN"/>
        </w:rPr>
        <w:t>5</w:t>
      </w:r>
      <w:r>
        <w:rPr>
          <w:rFonts w:ascii="Times New Roman" w:hAnsi="Times New Roman" w:cs="Times New Roman" w:hint="eastAsia"/>
          <w:color w:val="auto"/>
          <w:sz w:val="28"/>
          <w:szCs w:val="28"/>
          <w:lang w:eastAsia="zh-CN"/>
        </w:rPr>
        <w:t>分钟</w:t>
      </w:r>
      <w:r>
        <w:rPr>
          <w:rFonts w:ascii="Times New Roman" w:hAnsi="Times New Roman" w:cs="Times New Roman"/>
          <w:color w:val="auto"/>
          <w:sz w:val="28"/>
          <w:szCs w:val="28"/>
          <w:lang w:eastAsia="zh-CN"/>
        </w:rPr>
        <w:t>/</w:t>
      </w:r>
      <w:r>
        <w:rPr>
          <w:rFonts w:ascii="Times New Roman" w:hAnsi="Times New Roman" w:cs="Times New Roman" w:hint="eastAsia"/>
          <w:color w:val="auto"/>
          <w:sz w:val="28"/>
          <w:szCs w:val="28"/>
          <w:lang w:eastAsia="zh-CN"/>
        </w:rPr>
        <w:t>次。设备状态信息包括传感器运行状态、锂亚电池电量、环境温度等，为暴雨积涝监测业务提供可靠支撑；</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3</w:t>
      </w:r>
      <w:r>
        <w:rPr>
          <w:rFonts w:ascii="Times New Roman" w:hAnsi="Times New Roman" w:cs="Times New Roman" w:hint="eastAsia"/>
          <w:color w:val="auto"/>
          <w:sz w:val="28"/>
          <w:szCs w:val="28"/>
          <w:lang w:eastAsia="zh-CN"/>
        </w:rPr>
        <w:t>）北斗定位</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监测设备具备北斗定位功能，定期将经纬度信息上传至业务管理平台，为业务运维人员提供设备监控管理；</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4</w:t>
      </w:r>
      <w:r>
        <w:rPr>
          <w:rFonts w:ascii="Times New Roman" w:hAnsi="Times New Roman" w:cs="Times New Roman" w:hint="eastAsia"/>
          <w:color w:val="auto"/>
          <w:sz w:val="28"/>
          <w:szCs w:val="28"/>
          <w:lang w:eastAsia="zh-CN"/>
        </w:rPr>
        <w:t>）远程配置与升级</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监测设备服务端平台具备设备通信交互能力，支持远程配置设备参数和</w:t>
      </w:r>
      <w:r>
        <w:rPr>
          <w:rFonts w:ascii="Times New Roman" w:hAnsi="Times New Roman" w:cs="Times New Roman"/>
          <w:color w:val="auto"/>
          <w:sz w:val="28"/>
          <w:szCs w:val="28"/>
          <w:lang w:eastAsia="zh-CN"/>
        </w:rPr>
        <w:t>OTA</w:t>
      </w:r>
      <w:r>
        <w:rPr>
          <w:rFonts w:ascii="Times New Roman" w:hAnsi="Times New Roman" w:cs="Times New Roman" w:hint="eastAsia"/>
          <w:color w:val="auto"/>
          <w:sz w:val="28"/>
          <w:szCs w:val="28"/>
          <w:lang w:eastAsia="zh-CN"/>
        </w:rPr>
        <w:t>远程固件升级，减少现场维护成本；重点需具备设备状态上报频率和液位监测频率远程配置功能，满足不同应用场景下的低</w:t>
      </w:r>
      <w:r>
        <w:rPr>
          <w:rFonts w:ascii="Times New Roman" w:hAnsi="Times New Roman" w:cs="Times New Roman" w:hint="eastAsia"/>
          <w:color w:val="auto"/>
          <w:sz w:val="28"/>
          <w:szCs w:val="28"/>
          <w:lang w:eastAsia="zh-CN"/>
        </w:rPr>
        <w:t>功耗运行需求。</w:t>
      </w:r>
    </w:p>
    <w:p w:rsidR="00B34C9C" w:rsidP="00B34C9C">
      <w:pPr>
        <w:ind w:firstLine="560" w:firstLineChars="200"/>
        <w:rPr>
          <w:rFonts w:ascii="Times New Roman" w:hAnsi="Times New Roman" w:cs="Times New Roman"/>
          <w:sz w:val="28"/>
        </w:rPr>
      </w:pPr>
      <w:bookmarkStart w:id="62" w:name="_Toc212130685"/>
      <w:r>
        <w:rPr>
          <w:sz w:val="28"/>
        </w:rPr>
        <w:t>2 .</w:t>
      </w:r>
      <w:r>
        <w:rPr>
          <w:rFonts w:hint="eastAsia"/>
          <w:sz w:val="28"/>
        </w:rPr>
        <w:t>设备结构</w:t>
      </w:r>
      <w:bookmarkEnd w:id="62"/>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1</w:t>
      </w:r>
      <w:r>
        <w:rPr>
          <w:rFonts w:ascii="Times New Roman" w:hAnsi="Times New Roman" w:cs="Times New Roman" w:hint="eastAsia"/>
          <w:color w:val="auto"/>
          <w:sz w:val="28"/>
          <w:szCs w:val="28"/>
          <w:lang w:eastAsia="zh-CN"/>
        </w:rPr>
        <w:t>）总体结构</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采用设备端</w:t>
      </w:r>
      <w:r>
        <w:rPr>
          <w:rFonts w:ascii="Times New Roman" w:hAnsi="Times New Roman" w:cs="Times New Roman"/>
          <w:color w:val="auto"/>
          <w:sz w:val="28"/>
          <w:szCs w:val="28"/>
          <w:lang w:eastAsia="zh-CN"/>
        </w:rPr>
        <w:t>-NB-IoT</w:t>
      </w:r>
      <w:r>
        <w:rPr>
          <w:rFonts w:ascii="Times New Roman" w:hAnsi="Times New Roman" w:cs="Times New Roman" w:hint="eastAsia"/>
          <w:color w:val="auto"/>
          <w:sz w:val="28"/>
          <w:szCs w:val="28"/>
          <w:lang w:eastAsia="zh-CN"/>
        </w:rPr>
        <w:t>网络</w:t>
      </w:r>
      <w:r>
        <w:rPr>
          <w:rFonts w:ascii="Times New Roman" w:hAnsi="Times New Roman" w:cs="Times New Roman"/>
          <w:color w:val="auto"/>
          <w:sz w:val="28"/>
          <w:szCs w:val="28"/>
          <w:lang w:eastAsia="zh-CN"/>
        </w:rPr>
        <w:t>-</w:t>
      </w:r>
      <w:r>
        <w:rPr>
          <w:rFonts w:ascii="Times New Roman" w:hAnsi="Times New Roman" w:cs="Times New Roman" w:hint="eastAsia"/>
          <w:color w:val="auto"/>
          <w:sz w:val="28"/>
          <w:szCs w:val="28"/>
          <w:lang w:eastAsia="zh-CN"/>
        </w:rPr>
        <w:t>设备集约管理平台</w:t>
      </w:r>
      <w:r>
        <w:rPr>
          <w:rFonts w:ascii="Times New Roman" w:hAnsi="Times New Roman" w:cs="Times New Roman"/>
          <w:color w:val="auto"/>
          <w:sz w:val="28"/>
          <w:szCs w:val="28"/>
          <w:lang w:eastAsia="zh-CN"/>
        </w:rPr>
        <w:t>-</w:t>
      </w:r>
      <w:r>
        <w:rPr>
          <w:rFonts w:ascii="Times New Roman" w:hAnsi="Times New Roman" w:cs="Times New Roman" w:hint="eastAsia"/>
          <w:color w:val="auto"/>
          <w:sz w:val="28"/>
          <w:szCs w:val="28"/>
          <w:lang w:eastAsia="zh-CN"/>
        </w:rPr>
        <w:t>应用端的总体布局：</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color w:val="auto"/>
          <w:sz w:val="28"/>
          <w:szCs w:val="28"/>
          <w:lang w:eastAsia="zh-CN"/>
        </w:rPr>
        <w:t>1</w:t>
      </w:r>
      <w:r>
        <w:rPr>
          <w:rFonts w:ascii="Times New Roman" w:hAnsi="Times New Roman" w:cs="Times New Roman" w:hint="eastAsia"/>
          <w:color w:val="auto"/>
          <w:sz w:val="28"/>
          <w:szCs w:val="28"/>
          <w:lang w:eastAsia="zh-CN"/>
        </w:rPr>
        <w:t>）设备端：</w:t>
      </w:r>
      <w:r>
        <w:rPr>
          <w:rFonts w:ascii="Times New Roman" w:hAnsi="Times New Roman" w:cs="Times New Roman"/>
          <w:color w:val="auto"/>
          <w:sz w:val="28"/>
          <w:szCs w:val="28"/>
          <w:lang w:eastAsia="zh-CN"/>
        </w:rPr>
        <w:t xml:space="preserve">NB-IoT </w:t>
      </w:r>
      <w:r>
        <w:rPr>
          <w:rFonts w:ascii="Times New Roman" w:hAnsi="Times New Roman" w:cs="Times New Roman" w:hint="eastAsia"/>
          <w:color w:val="auto"/>
          <w:sz w:val="28"/>
          <w:szCs w:val="28"/>
          <w:lang w:eastAsia="zh-CN"/>
        </w:rPr>
        <w:t>积涝监测设备，负责采集水位、温度等环境数据，并通过</w:t>
      </w:r>
      <w:r>
        <w:rPr>
          <w:rFonts w:ascii="Times New Roman" w:hAnsi="Times New Roman" w:cs="Times New Roman"/>
          <w:color w:val="auto"/>
          <w:sz w:val="28"/>
          <w:szCs w:val="28"/>
          <w:lang w:eastAsia="zh-CN"/>
        </w:rPr>
        <w:t xml:space="preserve"> NB-IoT </w:t>
      </w:r>
      <w:r>
        <w:rPr>
          <w:rFonts w:ascii="Times New Roman" w:hAnsi="Times New Roman" w:cs="Times New Roman" w:hint="eastAsia"/>
          <w:color w:val="auto"/>
          <w:sz w:val="28"/>
          <w:szCs w:val="28"/>
          <w:lang w:eastAsia="zh-CN"/>
        </w:rPr>
        <w:t>网络上传至设备集约平台；</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color w:val="auto"/>
          <w:sz w:val="28"/>
          <w:szCs w:val="28"/>
          <w:lang w:eastAsia="zh-CN"/>
        </w:rPr>
        <w:t xml:space="preserve">NB-IoT </w:t>
      </w:r>
      <w:r>
        <w:rPr>
          <w:rFonts w:ascii="Times New Roman" w:hAnsi="Times New Roman" w:cs="Times New Roman" w:hint="eastAsia"/>
          <w:color w:val="auto"/>
          <w:sz w:val="28"/>
          <w:szCs w:val="28"/>
          <w:lang w:eastAsia="zh-CN"/>
        </w:rPr>
        <w:t>积涝监测设备主要由水位传感器、主控器、</w:t>
      </w:r>
      <w:r>
        <w:rPr>
          <w:rFonts w:ascii="Times New Roman" w:hAnsi="Times New Roman" w:cs="Times New Roman"/>
          <w:color w:val="auto"/>
          <w:sz w:val="28"/>
          <w:szCs w:val="28"/>
          <w:lang w:eastAsia="zh-CN"/>
        </w:rPr>
        <w:t>NB-IoT</w:t>
      </w:r>
      <w:r>
        <w:rPr>
          <w:rFonts w:ascii="Times New Roman" w:hAnsi="Times New Roman" w:cs="Times New Roman" w:hint="eastAsia"/>
          <w:color w:val="auto"/>
          <w:sz w:val="28"/>
          <w:szCs w:val="28"/>
          <w:lang w:eastAsia="zh-CN"/>
        </w:rPr>
        <w:t>通讯组件及供电系统构成。</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①水位传感器功能</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水位传感器主要功能是通过物理和电子手段探测液体存在状态及深度变化。</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水位传感器采用</w:t>
      </w:r>
      <w:r>
        <w:rPr>
          <w:rFonts w:ascii="MS Gothic" w:eastAsia="MS Gothic" w:hAnsi="MS Gothic" w:cs="MS Gothic" w:hint="eastAsia"/>
          <w:color w:val="auto"/>
          <w:sz w:val="28"/>
          <w:szCs w:val="28"/>
          <w:lang w:eastAsia="zh-CN"/>
        </w:rPr>
        <w:t>‌</w:t>
      </w:r>
      <w:r>
        <w:rPr>
          <w:rFonts w:hint="eastAsia"/>
          <w:color w:val="auto"/>
          <w:sz w:val="28"/>
          <w:szCs w:val="28"/>
          <w:lang w:eastAsia="zh-CN"/>
        </w:rPr>
        <w:t>压力式水位计</w:t>
      </w:r>
      <w:r>
        <w:rPr>
          <w:rFonts w:ascii="MS Gothic" w:eastAsia="MS Gothic" w:hAnsi="MS Gothic" w:cs="MS Gothic" w:hint="eastAsia"/>
          <w:color w:val="auto"/>
          <w:sz w:val="28"/>
          <w:szCs w:val="28"/>
          <w:lang w:eastAsia="zh-CN"/>
        </w:rPr>
        <w:t>‌</w:t>
      </w:r>
      <w:r>
        <w:rPr>
          <w:rFonts w:hint="eastAsia"/>
          <w:color w:val="auto"/>
          <w:sz w:val="28"/>
          <w:szCs w:val="28"/>
          <w:lang w:eastAsia="zh-CN"/>
        </w:rPr>
        <w:t>：压力式水位传感器实时测量积水深度，适用于道路低洼段、隧道、河道等场景，确保数据准确性，依据水压与水深关系转换电信号，性能稳定，适应性强，精度可达到毫米级。</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测量</w:t>
      </w:r>
      <w:r>
        <w:rPr>
          <w:rFonts w:ascii="MS Gothic" w:eastAsia="MS Gothic" w:hAnsi="MS Gothic" w:cs="MS Gothic" w:hint="eastAsia"/>
          <w:color w:val="auto"/>
          <w:sz w:val="28"/>
          <w:szCs w:val="28"/>
          <w:lang w:eastAsia="zh-CN"/>
        </w:rPr>
        <w:t>‌</w:t>
      </w:r>
      <w:r>
        <w:rPr>
          <w:rFonts w:hint="eastAsia"/>
          <w:color w:val="auto"/>
          <w:sz w:val="28"/>
          <w:szCs w:val="28"/>
          <w:lang w:eastAsia="zh-CN"/>
        </w:rPr>
        <w:t>精度：采用先进感测元件，测量误差可控制在±</w:t>
      </w:r>
      <w:r>
        <w:rPr>
          <w:rFonts w:ascii="Times New Roman" w:hAnsi="Times New Roman" w:cs="Times New Roman"/>
          <w:color w:val="auto"/>
          <w:sz w:val="28"/>
          <w:szCs w:val="28"/>
          <w:lang w:eastAsia="zh-CN"/>
        </w:rPr>
        <w:t>1mm</w:t>
      </w:r>
      <w:r>
        <w:rPr>
          <w:rFonts w:ascii="Times New Roman" w:hAnsi="Times New Roman" w:cs="Times New Roman" w:hint="eastAsia"/>
          <w:color w:val="auto"/>
          <w:sz w:val="28"/>
          <w:szCs w:val="28"/>
          <w:lang w:eastAsia="zh-CN"/>
        </w:rPr>
        <w:t>。</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抗干扰能力</w:t>
      </w:r>
      <w:r>
        <w:rPr>
          <w:rFonts w:ascii="MS Gothic" w:eastAsia="MS Gothic" w:hAnsi="MS Gothic" w:cs="MS Gothic" w:hint="eastAsia"/>
          <w:color w:val="auto"/>
          <w:sz w:val="28"/>
          <w:szCs w:val="28"/>
          <w:lang w:eastAsia="zh-CN"/>
        </w:rPr>
        <w:t>‌</w:t>
      </w:r>
      <w:r>
        <w:rPr>
          <w:rFonts w:hint="eastAsia"/>
          <w:color w:val="auto"/>
          <w:sz w:val="28"/>
          <w:szCs w:val="28"/>
          <w:lang w:eastAsia="zh-CN"/>
        </w:rPr>
        <w:t>：温度漂移小，长期运行稳定性优异，有效抵御电磁干扰等环境影响。</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标准化输出</w:t>
      </w:r>
      <w:r>
        <w:rPr>
          <w:rFonts w:ascii="MS Gothic" w:eastAsia="MS Gothic" w:hAnsi="MS Gothic" w:cs="MS Gothic" w:hint="eastAsia"/>
          <w:color w:val="auto"/>
          <w:sz w:val="28"/>
          <w:szCs w:val="28"/>
          <w:lang w:eastAsia="zh-CN"/>
        </w:rPr>
        <w:t>‌</w:t>
      </w:r>
      <w:r>
        <w:rPr>
          <w:rFonts w:hint="eastAsia"/>
          <w:color w:val="auto"/>
          <w:sz w:val="28"/>
          <w:szCs w:val="28"/>
          <w:lang w:eastAsia="zh-CN"/>
        </w:rPr>
        <w:t>：支持</w:t>
      </w:r>
      <w:r>
        <w:rPr>
          <w:rFonts w:ascii="Times New Roman" w:hAnsi="Times New Roman" w:cs="Times New Roman"/>
          <w:color w:val="auto"/>
          <w:sz w:val="28"/>
          <w:szCs w:val="28"/>
          <w:lang w:eastAsia="zh-CN"/>
        </w:rPr>
        <w:t>RS485</w:t>
      </w:r>
      <w:r>
        <w:rPr>
          <w:rFonts w:ascii="Times New Roman" w:hAnsi="Times New Roman" w:cs="Times New Roman" w:hint="eastAsia"/>
          <w:color w:val="auto"/>
          <w:sz w:val="28"/>
          <w:szCs w:val="28"/>
          <w:lang w:eastAsia="zh-CN"/>
        </w:rPr>
        <w:t>接口和</w:t>
      </w:r>
      <w:r>
        <w:rPr>
          <w:rFonts w:ascii="Times New Roman" w:hAnsi="Times New Roman" w:cs="Times New Roman"/>
          <w:color w:val="auto"/>
          <w:sz w:val="28"/>
          <w:szCs w:val="28"/>
          <w:lang w:eastAsia="zh-CN"/>
        </w:rPr>
        <w:t>Modbus</w:t>
      </w:r>
      <w:r>
        <w:rPr>
          <w:rFonts w:ascii="Times New Roman" w:hAnsi="Times New Roman" w:cs="Times New Roman" w:hint="eastAsia"/>
          <w:color w:val="auto"/>
          <w:sz w:val="28"/>
          <w:szCs w:val="28"/>
          <w:lang w:eastAsia="zh-CN"/>
        </w:rPr>
        <w:t>协议，输出信号标准化</w:t>
      </w:r>
      <w:r>
        <w:rPr>
          <w:rFonts w:ascii="MS Gothic" w:eastAsia="MS Gothic" w:hAnsi="MS Gothic" w:cs="MS Gothic" w:hint="eastAsia"/>
          <w:color w:val="auto"/>
          <w:sz w:val="28"/>
          <w:szCs w:val="28"/>
          <w:lang w:eastAsia="zh-CN"/>
        </w:rPr>
        <w:t>‌</w:t>
      </w:r>
      <w:r>
        <w:rPr>
          <w:rFonts w:hint="eastAsia"/>
          <w:color w:val="auto"/>
          <w:sz w:val="28"/>
          <w:szCs w:val="28"/>
          <w:lang w:eastAsia="zh-CN"/>
        </w:rPr>
        <w:t>。</w:t>
      </w:r>
      <w:r>
        <w:rPr>
          <w:rFonts w:ascii="Times New Roman" w:hAnsi="Times New Roman" w:cs="Times New Roman"/>
          <w:color w:val="auto"/>
          <w:sz w:val="28"/>
          <w:szCs w:val="28"/>
          <w:lang w:eastAsia="zh-CN"/>
        </w:rPr>
        <w:br/>
        <w:t xml:space="preserve">    </w:t>
      </w:r>
      <w:r>
        <w:rPr>
          <w:rFonts w:ascii="Times New Roman" w:hAnsi="Times New Roman" w:cs="Times New Roman" w:hint="eastAsia"/>
          <w:color w:val="auto"/>
          <w:sz w:val="28"/>
          <w:szCs w:val="28"/>
          <w:lang w:eastAsia="zh-CN"/>
        </w:rPr>
        <w:t>材料</w:t>
      </w:r>
      <w:r>
        <w:rPr>
          <w:rFonts w:ascii="MS Gothic" w:eastAsia="MS Gothic" w:hAnsi="MS Gothic" w:cs="MS Gothic" w:hint="eastAsia"/>
          <w:color w:val="auto"/>
          <w:sz w:val="28"/>
          <w:szCs w:val="28"/>
          <w:lang w:eastAsia="zh-CN"/>
        </w:rPr>
        <w:t>‌</w:t>
      </w:r>
      <w:r>
        <w:rPr>
          <w:rFonts w:hint="eastAsia"/>
          <w:color w:val="auto"/>
          <w:sz w:val="28"/>
          <w:szCs w:val="28"/>
          <w:lang w:eastAsia="zh-CN"/>
        </w:rPr>
        <w:t>：传感器探头采用</w:t>
      </w:r>
      <w:r>
        <w:rPr>
          <w:rFonts w:ascii="Times New Roman" w:hAnsi="Times New Roman" w:cs="Times New Roman"/>
          <w:color w:val="auto"/>
          <w:sz w:val="28"/>
          <w:szCs w:val="28"/>
          <w:lang w:eastAsia="zh-CN"/>
        </w:rPr>
        <w:t>304</w:t>
      </w:r>
      <w:r>
        <w:rPr>
          <w:rFonts w:ascii="Times New Roman" w:hAnsi="Times New Roman" w:cs="Times New Roman" w:hint="eastAsia"/>
          <w:color w:val="auto"/>
          <w:sz w:val="28"/>
          <w:szCs w:val="28"/>
          <w:lang w:eastAsia="zh-CN"/>
        </w:rPr>
        <w:t>全不锈钢密封外壳（</w:t>
      </w:r>
      <w:r>
        <w:rPr>
          <w:rFonts w:ascii="Times New Roman" w:hAnsi="Times New Roman" w:cs="Times New Roman"/>
          <w:color w:val="auto"/>
          <w:sz w:val="28"/>
          <w:szCs w:val="28"/>
          <w:lang w:eastAsia="zh-CN"/>
        </w:rPr>
        <w:t>IP68</w:t>
      </w:r>
      <w:r>
        <w:rPr>
          <w:rFonts w:ascii="Times New Roman" w:hAnsi="Times New Roman" w:cs="Times New Roman" w:hint="eastAsia"/>
          <w:color w:val="auto"/>
          <w:sz w:val="28"/>
          <w:szCs w:val="28"/>
          <w:lang w:eastAsia="zh-CN"/>
        </w:rPr>
        <w:t>防护等级），抵抗腐蚀和恶劣环境</w:t>
      </w:r>
      <w:r>
        <w:rPr>
          <w:rFonts w:ascii="MS Gothic" w:eastAsia="MS Gothic" w:hAnsi="MS Gothic" w:cs="MS Gothic" w:hint="eastAsia"/>
          <w:color w:val="auto"/>
          <w:sz w:val="28"/>
          <w:szCs w:val="28"/>
          <w:lang w:eastAsia="zh-CN"/>
        </w:rPr>
        <w:t>‌</w:t>
      </w:r>
      <w:r>
        <w:rPr>
          <w:rFonts w:hint="eastAsia"/>
          <w:color w:val="auto"/>
          <w:sz w:val="28"/>
          <w:szCs w:val="28"/>
          <w:lang w:eastAsia="zh-CN"/>
        </w:rPr>
        <w:t>。</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②主控器</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水位传感器主控制器，负责协调设备的所有操作，处理数据，做</w:t>
      </w:r>
      <w:r>
        <w:rPr>
          <w:rFonts w:ascii="Times New Roman" w:hAnsi="Times New Roman" w:cs="Times New Roman" w:hint="eastAsia"/>
          <w:color w:val="auto"/>
          <w:sz w:val="28"/>
          <w:szCs w:val="28"/>
          <w:lang w:eastAsia="zh-CN"/>
        </w:rPr>
        <w:t>出决策，并管理云端的通信。</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核心功能如下：</w:t>
      </w:r>
      <w:r>
        <w:rPr>
          <w:rFonts w:ascii="MS Gothic" w:eastAsia="MS Gothic" w:hAnsi="MS Gothic" w:cs="MS Gothic" w:hint="eastAsia"/>
          <w:color w:val="auto"/>
          <w:sz w:val="28"/>
          <w:szCs w:val="28"/>
          <w:lang w:eastAsia="zh-CN"/>
        </w:rPr>
        <w:t>‌</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数据处理：接收来自水位传感器的原始数据，并进行初步的过滤、校准、聚合、计算或分析。</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设备控制：</w:t>
      </w:r>
      <w:r>
        <w:rPr>
          <w:rFonts w:ascii="MS Gothic" w:eastAsia="MS Gothic" w:hAnsi="MS Gothic" w:cs="MS Gothic" w:hint="eastAsia"/>
          <w:color w:val="auto"/>
          <w:sz w:val="28"/>
          <w:szCs w:val="28"/>
          <w:lang w:eastAsia="zh-CN"/>
        </w:rPr>
        <w:t>‌</w:t>
      </w:r>
      <w:r>
        <w:rPr>
          <w:rFonts w:hint="eastAsia"/>
          <w:color w:val="auto"/>
          <w:sz w:val="28"/>
          <w:szCs w:val="28"/>
          <w:lang w:eastAsia="zh-CN"/>
        </w:rPr>
        <w:t>根据预设的程序、算法、用户输入或从云端接收的指令，控制设备上的执行器（如采集频率调整、蜂鸣器控制等）做出相应的动作调整。</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运行逻辑与程序：</w:t>
      </w:r>
      <w:r>
        <w:rPr>
          <w:rFonts w:ascii="MS Gothic" w:eastAsia="MS Gothic" w:hAnsi="MS Gothic" w:cs="MS Gothic" w:hint="eastAsia"/>
          <w:color w:val="auto"/>
          <w:sz w:val="28"/>
          <w:szCs w:val="28"/>
          <w:lang w:eastAsia="zh-CN"/>
        </w:rPr>
        <w:t>‌</w:t>
      </w:r>
      <w:r>
        <w:rPr>
          <w:rFonts w:hint="eastAsia"/>
          <w:color w:val="auto"/>
          <w:sz w:val="28"/>
          <w:szCs w:val="28"/>
          <w:lang w:eastAsia="zh-CN"/>
        </w:rPr>
        <w:t>执行嵌入式软件或固件，实现设备的智能行为和核心功能逻辑（例如，当水位阈值上报）。</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MS Gothic" w:eastAsia="MS Gothic" w:hAnsi="MS Gothic" w:cs="MS Gothic" w:hint="eastAsia"/>
          <w:color w:val="auto"/>
          <w:sz w:val="28"/>
          <w:szCs w:val="28"/>
          <w:lang w:eastAsia="zh-CN"/>
        </w:rPr>
        <w:t>‌</w:t>
      </w:r>
      <w:r>
        <w:rPr>
          <w:rFonts w:hint="eastAsia"/>
          <w:color w:val="auto"/>
          <w:sz w:val="28"/>
          <w:szCs w:val="28"/>
          <w:lang w:eastAsia="zh-CN"/>
        </w:rPr>
        <w:t>通信管理：负责与外部世界的通信。它通过集成的或外接的</w:t>
      </w:r>
      <w:r>
        <w:rPr>
          <w:rFonts w:ascii="Times New Roman" w:hAnsi="Times New Roman" w:cs="Times New Roman"/>
          <w:color w:val="auto"/>
          <w:sz w:val="28"/>
          <w:szCs w:val="28"/>
          <w:lang w:eastAsia="zh-CN"/>
        </w:rPr>
        <w:t>NB-IoT</w:t>
      </w:r>
      <w:r>
        <w:rPr>
          <w:rFonts w:ascii="Times New Roman" w:hAnsi="Times New Roman" w:cs="Times New Roman" w:hint="eastAsia"/>
          <w:color w:val="auto"/>
          <w:sz w:val="28"/>
          <w:szCs w:val="28"/>
          <w:lang w:eastAsia="zh-CN"/>
        </w:rPr>
        <w:t>通信模块与云平台进行数据交换。</w:t>
      </w:r>
    </w:p>
    <w:p w:rsidR="00B34C9C" w:rsidP="00B34C9C">
      <w:pPr>
        <w:pStyle w:val="a2"/>
        <w:spacing w:line="560" w:lineRule="exact"/>
        <w:ind w:firstLine="560"/>
        <w:rPr>
          <w:rFonts w:ascii="Times New Roman" w:hAnsi="Times New Roman" w:cs="Times New Roman"/>
          <w:color w:val="auto"/>
          <w:sz w:val="28"/>
          <w:szCs w:val="28"/>
        </w:rPr>
      </w:pPr>
      <w:r>
        <w:rPr>
          <w:rFonts w:ascii="Times New Roman" w:hAnsi="Times New Roman" w:cs="Times New Roman" w:hint="eastAsia"/>
          <w:color w:val="auto"/>
          <w:sz w:val="28"/>
          <w:szCs w:val="28"/>
        </w:rPr>
        <w:t>资源管理</w:t>
      </w:r>
      <w:r>
        <w:rPr>
          <w:rFonts w:ascii="Times New Roman" w:hAnsi="Times New Roman" w:cs="Times New Roman"/>
          <w:color w:val="auto"/>
          <w:sz w:val="28"/>
          <w:szCs w:val="28"/>
        </w:rPr>
        <w:t>:</w:t>
      </w:r>
      <w:r>
        <w:rPr>
          <w:rFonts w:ascii="Times New Roman" w:hAnsi="Times New Roman" w:cs="Times New Roman" w:hint="eastAsia"/>
          <w:color w:val="auto"/>
          <w:sz w:val="28"/>
          <w:szCs w:val="28"/>
        </w:rPr>
        <w:t>管理设备的内存、存储空间、计算资源、外设接口（如</w:t>
      </w:r>
      <w:r>
        <w:rPr>
          <w:rFonts w:ascii="Times New Roman" w:hAnsi="Times New Roman" w:cs="Times New Roman"/>
          <w:color w:val="auto"/>
          <w:sz w:val="28"/>
          <w:szCs w:val="28"/>
        </w:rPr>
        <w:t xml:space="preserve"> GPIO, I2C, SPI, UART, USB, ADC, DAC</w:t>
      </w:r>
      <w:r>
        <w:rPr>
          <w:rFonts w:ascii="Times New Roman" w:hAnsi="Times New Roman" w:cs="Times New Roman" w:hint="eastAsia"/>
          <w:color w:val="auto"/>
          <w:sz w:val="28"/>
          <w:szCs w:val="28"/>
        </w:rPr>
        <w:t>）以及电源（包括低功耗模式管理）。</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③</w:t>
      </w:r>
      <w:r>
        <w:rPr>
          <w:rFonts w:ascii="Times New Roman" w:hAnsi="Times New Roman" w:cs="Times New Roman"/>
          <w:color w:val="auto"/>
          <w:sz w:val="28"/>
          <w:szCs w:val="28"/>
          <w:lang w:eastAsia="zh-CN"/>
        </w:rPr>
        <w:t>NB-IoT</w:t>
      </w:r>
      <w:r>
        <w:rPr>
          <w:rFonts w:ascii="Times New Roman" w:hAnsi="Times New Roman" w:cs="Times New Roman" w:hint="eastAsia"/>
          <w:color w:val="auto"/>
          <w:sz w:val="28"/>
          <w:szCs w:val="28"/>
          <w:lang w:eastAsia="zh-CN"/>
        </w:rPr>
        <w:t>通讯组件</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设备采用</w:t>
      </w:r>
      <w:r>
        <w:rPr>
          <w:rFonts w:ascii="Times New Roman" w:hAnsi="Times New Roman" w:cs="Times New Roman"/>
          <w:color w:val="auto"/>
          <w:sz w:val="28"/>
          <w:szCs w:val="28"/>
          <w:lang w:eastAsia="zh-CN"/>
        </w:rPr>
        <w:t>NB-IoT</w:t>
      </w:r>
      <w:r>
        <w:rPr>
          <w:rFonts w:ascii="Times New Roman" w:hAnsi="Times New Roman" w:cs="Times New Roman" w:hint="eastAsia"/>
          <w:color w:val="auto"/>
          <w:sz w:val="28"/>
          <w:szCs w:val="28"/>
          <w:lang w:eastAsia="zh-CN"/>
        </w:rPr>
        <w:t>通讯方式进行远程数据交互，把设备监测数据远程上传至云平台。设备通讯组件主要包括</w:t>
      </w:r>
      <w:r>
        <w:rPr>
          <w:rFonts w:ascii="Times New Roman" w:hAnsi="Times New Roman" w:cs="Times New Roman"/>
          <w:color w:val="auto"/>
          <w:sz w:val="28"/>
          <w:szCs w:val="28"/>
          <w:lang w:eastAsia="zh-CN"/>
        </w:rPr>
        <w:t>NB-IoT</w:t>
      </w:r>
      <w:r>
        <w:rPr>
          <w:rFonts w:ascii="Times New Roman" w:hAnsi="Times New Roman" w:cs="Times New Roman" w:hint="eastAsia"/>
          <w:color w:val="auto"/>
          <w:sz w:val="28"/>
          <w:szCs w:val="28"/>
          <w:lang w:eastAsia="zh-CN"/>
        </w:rPr>
        <w:t>通讯模块和天线。</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color w:val="auto"/>
          <w:sz w:val="28"/>
          <w:szCs w:val="28"/>
          <w:lang w:eastAsia="zh-CN"/>
        </w:rPr>
        <w:t>NB-IoT</w:t>
      </w:r>
      <w:r>
        <w:rPr>
          <w:rFonts w:ascii="Times New Roman" w:hAnsi="Times New Roman" w:cs="Times New Roman" w:hint="eastAsia"/>
          <w:color w:val="auto"/>
          <w:sz w:val="28"/>
          <w:szCs w:val="28"/>
          <w:lang w:eastAsia="zh-CN"/>
        </w:rPr>
        <w:t>通讯模块提供高效、稳定的远距离数据传输能力；天线实现电磁波信号与电信号的相互转换，确保数据在蜂窝网络中的高效传输。</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④供电系统</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根据积水监测现场环境及使用场景的适应性需求，设备采用的供电方式以锂亚电池组为主，以太阳能系统供电方式为辅，无需外接市电走线。</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color w:val="auto"/>
          <w:sz w:val="28"/>
          <w:szCs w:val="28"/>
          <w:lang w:eastAsia="zh-CN"/>
        </w:rPr>
        <w:t>a.</w:t>
      </w:r>
      <w:r>
        <w:rPr>
          <w:rFonts w:ascii="Times New Roman" w:hAnsi="Times New Roman" w:cs="Times New Roman" w:hint="eastAsia"/>
          <w:color w:val="auto"/>
          <w:sz w:val="28"/>
          <w:szCs w:val="28"/>
          <w:lang w:eastAsia="zh-CN"/>
        </w:rPr>
        <w:t>锂亚电池组供电方式</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锂亚电池组作为</w:t>
      </w:r>
      <w:r>
        <w:rPr>
          <w:rFonts w:ascii="Times New Roman" w:hAnsi="Times New Roman" w:cs="Times New Roman"/>
          <w:color w:val="auto"/>
          <w:sz w:val="28"/>
          <w:szCs w:val="28"/>
          <w:lang w:eastAsia="zh-CN"/>
        </w:rPr>
        <w:t>NB-IoT</w:t>
      </w:r>
      <w:r>
        <w:rPr>
          <w:rFonts w:ascii="Times New Roman" w:hAnsi="Times New Roman" w:cs="Times New Roman" w:hint="eastAsia"/>
          <w:color w:val="auto"/>
          <w:sz w:val="28"/>
          <w:szCs w:val="28"/>
          <w:lang w:eastAsia="zh-CN"/>
        </w:rPr>
        <w:t>设备的供电方案，凭借其独特性能完美契合物联网终端的严苛需求，主要指标如下：</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续航时间：结合</w:t>
      </w:r>
      <w:r>
        <w:rPr>
          <w:rFonts w:ascii="Times New Roman" w:hAnsi="Times New Roman" w:cs="Times New Roman"/>
          <w:color w:val="auto"/>
          <w:sz w:val="28"/>
          <w:szCs w:val="28"/>
          <w:lang w:eastAsia="zh-CN"/>
        </w:rPr>
        <w:t>NB-IoT</w:t>
      </w:r>
      <w:r>
        <w:rPr>
          <w:rFonts w:ascii="Times New Roman" w:hAnsi="Times New Roman" w:cs="Times New Roman" w:hint="eastAsia"/>
          <w:color w:val="auto"/>
          <w:sz w:val="28"/>
          <w:szCs w:val="28"/>
          <w:lang w:eastAsia="zh-CN"/>
        </w:rPr>
        <w:t>的低功耗特性（如</w:t>
      </w:r>
      <w:r>
        <w:rPr>
          <w:rFonts w:ascii="Times New Roman" w:hAnsi="Times New Roman" w:cs="Times New Roman"/>
          <w:color w:val="auto"/>
          <w:sz w:val="28"/>
          <w:szCs w:val="28"/>
          <w:lang w:eastAsia="zh-CN"/>
        </w:rPr>
        <w:t>PSM/eDRX</w:t>
      </w:r>
      <w:r>
        <w:rPr>
          <w:rFonts w:ascii="Times New Roman" w:hAnsi="Times New Roman" w:cs="Times New Roman" w:hint="eastAsia"/>
          <w:color w:val="auto"/>
          <w:sz w:val="28"/>
          <w:szCs w:val="28"/>
          <w:lang w:eastAsia="zh-CN"/>
        </w:rPr>
        <w:t>休眠模式），可持久高频支撑设备连续工作</w:t>
      </w:r>
      <w:r>
        <w:rPr>
          <w:rFonts w:ascii="Times New Roman" w:hAnsi="Times New Roman" w:cs="Times New Roman"/>
          <w:color w:val="auto"/>
          <w:sz w:val="28"/>
          <w:szCs w:val="28"/>
          <w:lang w:eastAsia="zh-CN"/>
        </w:rPr>
        <w:t>1.5</w:t>
      </w:r>
      <w:r>
        <w:rPr>
          <w:rFonts w:ascii="Times New Roman" w:hAnsi="Times New Roman" w:cs="Times New Roman" w:hint="eastAsia"/>
          <w:color w:val="auto"/>
          <w:sz w:val="28"/>
          <w:szCs w:val="28"/>
          <w:lang w:eastAsia="zh-CN"/>
        </w:rPr>
        <w:t>年</w:t>
      </w:r>
      <w:r>
        <w:rPr>
          <w:rFonts w:ascii="MS Gothic" w:eastAsia="MS Gothic" w:hAnsi="MS Gothic" w:cs="MS Gothic" w:hint="eastAsia"/>
          <w:color w:val="auto"/>
          <w:sz w:val="28"/>
          <w:szCs w:val="28"/>
          <w:lang w:eastAsia="zh-CN"/>
        </w:rPr>
        <w:t>‌</w:t>
      </w:r>
      <w:r>
        <w:rPr>
          <w:rFonts w:hint="eastAsia"/>
          <w:color w:val="auto"/>
          <w:sz w:val="28"/>
          <w:szCs w:val="28"/>
          <w:lang w:eastAsia="zh-CN"/>
        </w:rPr>
        <w:t>无需更换电池。</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工作温度：</w:t>
      </w:r>
      <w:r>
        <w:rPr>
          <w:rFonts w:ascii="MS Gothic" w:eastAsia="MS Gothic" w:hAnsi="MS Gothic" w:cs="MS Gothic" w:hint="eastAsia"/>
          <w:color w:val="auto"/>
          <w:sz w:val="28"/>
          <w:szCs w:val="28"/>
          <w:lang w:eastAsia="zh-CN"/>
        </w:rPr>
        <w:t>‌</w:t>
      </w:r>
      <w:r>
        <w:rPr>
          <w:rFonts w:ascii="Times New Roman" w:hAnsi="Times New Roman" w:cs="Times New Roman"/>
          <w:color w:val="auto"/>
          <w:sz w:val="28"/>
          <w:szCs w:val="28"/>
          <w:lang w:eastAsia="zh-CN"/>
        </w:rPr>
        <w:t>-40</w:t>
      </w:r>
      <w:r>
        <w:rPr>
          <w:rFonts w:ascii="Times New Roman" w:hAnsi="Times New Roman" w:cs="Times New Roman" w:hint="eastAsia"/>
          <w:color w:val="auto"/>
          <w:sz w:val="28"/>
          <w:szCs w:val="28"/>
          <w:lang w:eastAsia="zh-CN"/>
        </w:rPr>
        <w:t>℃至</w:t>
      </w:r>
      <w:r>
        <w:rPr>
          <w:rFonts w:ascii="Times New Roman" w:hAnsi="Times New Roman" w:cs="Times New Roman"/>
          <w:color w:val="auto"/>
          <w:sz w:val="28"/>
          <w:szCs w:val="28"/>
          <w:lang w:eastAsia="zh-CN"/>
        </w:rPr>
        <w:t>85</w:t>
      </w:r>
      <w:r>
        <w:rPr>
          <w:rFonts w:ascii="Times New Roman" w:hAnsi="Times New Roman" w:cs="Times New Roman" w:hint="eastAsia"/>
          <w:color w:val="auto"/>
          <w:sz w:val="28"/>
          <w:szCs w:val="28"/>
          <w:lang w:eastAsia="zh-CN"/>
        </w:rPr>
        <w:t>℃</w:t>
      </w:r>
      <w:r>
        <w:rPr>
          <w:rFonts w:ascii="MS Gothic" w:eastAsia="MS Gothic" w:hAnsi="MS Gothic" w:cs="MS Gothic" w:hint="eastAsia"/>
          <w:color w:val="auto"/>
          <w:sz w:val="28"/>
          <w:szCs w:val="28"/>
          <w:lang w:eastAsia="zh-CN"/>
        </w:rPr>
        <w:t>‌</w:t>
      </w:r>
      <w:r>
        <w:rPr>
          <w:rFonts w:hint="eastAsia"/>
          <w:color w:val="auto"/>
          <w:sz w:val="28"/>
          <w:szCs w:val="28"/>
          <w:lang w:eastAsia="zh-CN"/>
        </w:rPr>
        <w:t>。</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电压稳定性：</w:t>
      </w:r>
      <w:r>
        <w:rPr>
          <w:rFonts w:ascii="MS Gothic" w:eastAsia="MS Gothic" w:hAnsi="MS Gothic" w:cs="MS Gothic" w:hint="eastAsia"/>
          <w:color w:val="auto"/>
          <w:sz w:val="28"/>
          <w:szCs w:val="28"/>
          <w:lang w:eastAsia="zh-CN"/>
        </w:rPr>
        <w:t>‌</w:t>
      </w:r>
      <w:r>
        <w:rPr>
          <w:rFonts w:hint="eastAsia"/>
          <w:color w:val="auto"/>
          <w:sz w:val="28"/>
          <w:szCs w:val="28"/>
          <w:lang w:eastAsia="zh-CN"/>
        </w:rPr>
        <w:t>标称电压</w:t>
      </w:r>
      <w:r>
        <w:rPr>
          <w:rFonts w:ascii="MS Gothic" w:eastAsia="MS Gothic" w:hAnsi="MS Gothic" w:cs="MS Gothic" w:hint="eastAsia"/>
          <w:color w:val="auto"/>
          <w:sz w:val="28"/>
          <w:szCs w:val="28"/>
          <w:lang w:eastAsia="zh-CN"/>
        </w:rPr>
        <w:t>‌</w:t>
      </w:r>
      <w:r>
        <w:rPr>
          <w:rFonts w:ascii="Times New Roman" w:hAnsi="Times New Roman" w:cs="Times New Roman"/>
          <w:color w:val="auto"/>
          <w:sz w:val="28"/>
          <w:szCs w:val="28"/>
          <w:lang w:eastAsia="zh-CN"/>
        </w:rPr>
        <w:t>3.6V</w:t>
      </w:r>
      <w:r>
        <w:rPr>
          <w:rFonts w:ascii="MS Gothic" w:eastAsia="MS Gothic" w:hAnsi="MS Gothic" w:cs="MS Gothic" w:hint="eastAsia"/>
          <w:color w:val="auto"/>
          <w:sz w:val="28"/>
          <w:szCs w:val="28"/>
          <w:lang w:eastAsia="zh-CN"/>
        </w:rPr>
        <w:t>‌</w:t>
      </w:r>
      <w:r>
        <w:rPr>
          <w:rFonts w:hint="eastAsia"/>
          <w:color w:val="auto"/>
          <w:sz w:val="28"/>
          <w:szCs w:val="28"/>
          <w:lang w:eastAsia="zh-CN"/>
        </w:rPr>
        <w:t>且放电全程电压平稳，为</w:t>
      </w:r>
      <w:r>
        <w:rPr>
          <w:rFonts w:ascii="Times New Roman" w:hAnsi="Times New Roman" w:cs="Times New Roman"/>
          <w:color w:val="auto"/>
          <w:sz w:val="28"/>
          <w:szCs w:val="28"/>
          <w:lang w:eastAsia="zh-CN"/>
        </w:rPr>
        <w:t>NB-IoT</w:t>
      </w:r>
      <w:r>
        <w:rPr>
          <w:rFonts w:ascii="Times New Roman" w:hAnsi="Times New Roman" w:cs="Times New Roman" w:hint="eastAsia"/>
          <w:color w:val="auto"/>
          <w:sz w:val="28"/>
          <w:szCs w:val="28"/>
          <w:lang w:eastAsia="zh-CN"/>
        </w:rPr>
        <w:t>模块提供稳定能量输入。</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color w:val="auto"/>
          <w:sz w:val="28"/>
          <w:szCs w:val="28"/>
          <w:lang w:eastAsia="zh-CN"/>
        </w:rPr>
        <w:t>b.</w:t>
      </w:r>
      <w:r>
        <w:rPr>
          <w:rFonts w:ascii="Times New Roman" w:hAnsi="Times New Roman" w:cs="Times New Roman" w:hint="eastAsia"/>
          <w:color w:val="auto"/>
          <w:sz w:val="28"/>
          <w:szCs w:val="28"/>
          <w:lang w:eastAsia="zh-CN"/>
        </w:rPr>
        <w:t>太阳能供电系统</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应用场景：偏远山区、河流、野外等无电网且不便于更换电池、维护的区域。</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储能及续航：采用</w:t>
      </w:r>
      <w:r>
        <w:rPr>
          <w:rFonts w:ascii="Times New Roman" w:hAnsi="Times New Roman" w:cs="Times New Roman"/>
          <w:color w:val="auto"/>
          <w:sz w:val="28"/>
          <w:szCs w:val="28"/>
          <w:lang w:eastAsia="zh-CN"/>
        </w:rPr>
        <w:t>8w</w:t>
      </w:r>
      <w:r>
        <w:rPr>
          <w:rFonts w:ascii="Times New Roman" w:hAnsi="Times New Roman" w:cs="Times New Roman" w:hint="eastAsia"/>
          <w:color w:val="auto"/>
          <w:sz w:val="28"/>
          <w:szCs w:val="28"/>
          <w:lang w:eastAsia="zh-CN"/>
        </w:rPr>
        <w:t>太阳能板供电，白天光伏发电并存储富余能量，夜间</w:t>
      </w:r>
      <w:r>
        <w:rPr>
          <w:rFonts w:ascii="Times New Roman" w:hAnsi="Times New Roman" w:cs="Times New Roman"/>
          <w:color w:val="auto"/>
          <w:sz w:val="28"/>
          <w:szCs w:val="28"/>
          <w:lang w:eastAsia="zh-CN"/>
        </w:rPr>
        <w:t>/</w:t>
      </w:r>
      <w:r>
        <w:rPr>
          <w:rFonts w:ascii="Times New Roman" w:hAnsi="Times New Roman" w:cs="Times New Roman" w:hint="eastAsia"/>
          <w:color w:val="auto"/>
          <w:sz w:val="28"/>
          <w:szCs w:val="28"/>
          <w:lang w:eastAsia="zh-CN"/>
        </w:rPr>
        <w:t>阴雨天由锂亚电池供电，智能调节放电深度匹配</w:t>
      </w:r>
      <w:r>
        <w:rPr>
          <w:rFonts w:ascii="Times New Roman" w:hAnsi="Times New Roman" w:cs="Times New Roman"/>
          <w:color w:val="auto"/>
          <w:sz w:val="28"/>
          <w:szCs w:val="28"/>
          <w:lang w:eastAsia="zh-CN"/>
        </w:rPr>
        <w:t>NB-IoT</w:t>
      </w:r>
      <w:r>
        <w:rPr>
          <w:rFonts w:ascii="Times New Roman" w:hAnsi="Times New Roman" w:cs="Times New Roman" w:hint="eastAsia"/>
          <w:color w:val="auto"/>
          <w:sz w:val="28"/>
          <w:szCs w:val="28"/>
          <w:lang w:eastAsia="zh-CN"/>
        </w:rPr>
        <w:t>间歇工作模式，配备的蓄电能量，可在完全无光照的情况下，持续工作</w:t>
      </w:r>
      <w:r>
        <w:rPr>
          <w:rFonts w:ascii="Times New Roman" w:hAnsi="Times New Roman" w:cs="Times New Roman"/>
          <w:color w:val="auto"/>
          <w:sz w:val="28"/>
          <w:szCs w:val="28"/>
          <w:lang w:eastAsia="zh-CN"/>
        </w:rPr>
        <w:t>&gt;20</w:t>
      </w:r>
      <w:r>
        <w:rPr>
          <w:rFonts w:ascii="Times New Roman" w:hAnsi="Times New Roman" w:cs="Times New Roman" w:hint="eastAsia"/>
          <w:color w:val="auto"/>
          <w:sz w:val="28"/>
          <w:szCs w:val="28"/>
          <w:lang w:eastAsia="zh-CN"/>
        </w:rPr>
        <w:t>天。</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环境适应性</w:t>
      </w:r>
      <w:r>
        <w:rPr>
          <w:rFonts w:ascii="MS Gothic" w:eastAsia="MS Gothic" w:hAnsi="MS Gothic" w:cs="MS Gothic" w:hint="eastAsia"/>
          <w:color w:val="auto"/>
          <w:sz w:val="28"/>
          <w:szCs w:val="28"/>
          <w:lang w:eastAsia="zh-CN"/>
        </w:rPr>
        <w:t>‌</w:t>
      </w:r>
      <w:r>
        <w:rPr>
          <w:rFonts w:hint="eastAsia"/>
          <w:color w:val="auto"/>
          <w:sz w:val="28"/>
          <w:szCs w:val="28"/>
          <w:lang w:eastAsia="zh-CN"/>
        </w:rPr>
        <w:t>：系统组件具备</w:t>
      </w:r>
      <w:r>
        <w:rPr>
          <w:rFonts w:ascii="Times New Roman" w:hAnsi="Times New Roman" w:cs="Times New Roman"/>
          <w:color w:val="auto"/>
          <w:sz w:val="28"/>
          <w:szCs w:val="28"/>
          <w:lang w:eastAsia="zh-CN"/>
        </w:rPr>
        <w:t>IP66</w:t>
      </w:r>
      <w:r>
        <w:rPr>
          <w:rFonts w:ascii="Times New Roman" w:hAnsi="Times New Roman" w:cs="Times New Roman" w:hint="eastAsia"/>
          <w:color w:val="auto"/>
          <w:sz w:val="28"/>
          <w:szCs w:val="28"/>
          <w:lang w:eastAsia="zh-CN"/>
        </w:rPr>
        <w:t>级防水防尘性能，支持</w:t>
      </w:r>
      <w:r>
        <w:rPr>
          <w:rFonts w:ascii="Times New Roman" w:hAnsi="Times New Roman" w:cs="Times New Roman"/>
          <w:color w:val="auto"/>
          <w:sz w:val="28"/>
          <w:szCs w:val="28"/>
          <w:lang w:eastAsia="zh-CN"/>
        </w:rPr>
        <w:t>-20</w:t>
      </w:r>
      <w:r>
        <w:rPr>
          <w:rFonts w:ascii="Times New Roman" w:hAnsi="Times New Roman" w:cs="Times New Roman" w:hint="eastAsia"/>
          <w:color w:val="auto"/>
          <w:sz w:val="28"/>
          <w:szCs w:val="28"/>
          <w:lang w:eastAsia="zh-CN"/>
        </w:rPr>
        <w:t>℃至</w:t>
      </w:r>
      <w:r>
        <w:rPr>
          <w:rFonts w:ascii="Times New Roman" w:hAnsi="Times New Roman" w:cs="Times New Roman"/>
          <w:color w:val="auto"/>
          <w:sz w:val="28"/>
          <w:szCs w:val="28"/>
          <w:lang w:eastAsia="zh-CN"/>
        </w:rPr>
        <w:t>40</w:t>
      </w:r>
      <w:r>
        <w:rPr>
          <w:rFonts w:ascii="Times New Roman" w:hAnsi="Times New Roman" w:cs="Times New Roman" w:hint="eastAsia"/>
          <w:color w:val="auto"/>
          <w:sz w:val="28"/>
          <w:szCs w:val="28"/>
          <w:lang w:eastAsia="zh-CN"/>
        </w:rPr>
        <w:t>℃极端温度范围。</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color w:val="auto"/>
          <w:sz w:val="28"/>
          <w:szCs w:val="28"/>
          <w:lang w:eastAsia="zh-CN"/>
        </w:rPr>
        <w:t>2</w:t>
      </w:r>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 xml:space="preserve">NB-IoT </w:t>
      </w:r>
      <w:r>
        <w:rPr>
          <w:rFonts w:ascii="Times New Roman" w:hAnsi="Times New Roman" w:cs="Times New Roman" w:hint="eastAsia"/>
          <w:color w:val="auto"/>
          <w:sz w:val="28"/>
          <w:szCs w:val="28"/>
          <w:lang w:eastAsia="zh-CN"/>
        </w:rPr>
        <w:t>网络</w:t>
      </w:r>
      <w:r>
        <w:rPr>
          <w:rFonts w:ascii="Times New Roman" w:hAnsi="Times New Roman" w:cs="Times New Roman"/>
          <w:color w:val="auto"/>
          <w:sz w:val="28"/>
          <w:szCs w:val="28"/>
          <w:lang w:eastAsia="zh-CN"/>
        </w:rPr>
        <w:t xml:space="preserve">: </w:t>
      </w:r>
      <w:r>
        <w:rPr>
          <w:rFonts w:ascii="Times New Roman" w:hAnsi="Times New Roman" w:cs="Times New Roman" w:hint="eastAsia"/>
          <w:color w:val="auto"/>
          <w:sz w:val="28"/>
          <w:szCs w:val="28"/>
          <w:lang w:eastAsia="zh-CN"/>
        </w:rPr>
        <w:t>提供设备与平台之间的无线通信连接，负责数据传输。</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color w:val="auto"/>
          <w:sz w:val="28"/>
          <w:szCs w:val="28"/>
          <w:lang w:eastAsia="zh-CN"/>
        </w:rPr>
        <w:t>3</w:t>
      </w:r>
      <w:r>
        <w:rPr>
          <w:rFonts w:ascii="Times New Roman" w:hAnsi="Times New Roman" w:cs="Times New Roman" w:hint="eastAsia"/>
          <w:color w:val="auto"/>
          <w:sz w:val="28"/>
          <w:szCs w:val="28"/>
          <w:lang w:eastAsia="zh-CN"/>
        </w:rPr>
        <w:t>）设备集约管理平台</w:t>
      </w:r>
      <w:r>
        <w:rPr>
          <w:rFonts w:ascii="Times New Roman" w:hAnsi="Times New Roman" w:cs="Times New Roman"/>
          <w:color w:val="auto"/>
          <w:sz w:val="28"/>
          <w:szCs w:val="28"/>
          <w:lang w:eastAsia="zh-CN"/>
        </w:rPr>
        <w:t xml:space="preserve">: </w:t>
      </w:r>
      <w:r>
        <w:rPr>
          <w:rFonts w:ascii="Times New Roman" w:hAnsi="Times New Roman" w:cs="Times New Roman" w:hint="eastAsia"/>
          <w:color w:val="auto"/>
          <w:sz w:val="28"/>
          <w:szCs w:val="28"/>
          <w:lang w:eastAsia="zh-CN"/>
        </w:rPr>
        <w:t>提供设备接入、数据存储、数据处理、数据分析、应用开发等服务。</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color w:val="auto"/>
          <w:sz w:val="28"/>
          <w:szCs w:val="28"/>
          <w:lang w:eastAsia="zh-CN"/>
        </w:rPr>
        <w:t>4</w:t>
      </w:r>
      <w:r>
        <w:rPr>
          <w:rFonts w:ascii="Times New Roman" w:hAnsi="Times New Roman" w:cs="Times New Roman" w:hint="eastAsia"/>
          <w:color w:val="auto"/>
          <w:sz w:val="28"/>
          <w:szCs w:val="28"/>
          <w:lang w:eastAsia="zh-CN"/>
        </w:rPr>
        <w:t>）应用端</w:t>
      </w:r>
      <w:r>
        <w:rPr>
          <w:rFonts w:ascii="Times New Roman" w:hAnsi="Times New Roman" w:cs="Times New Roman"/>
          <w:color w:val="auto"/>
          <w:sz w:val="28"/>
          <w:szCs w:val="28"/>
          <w:lang w:eastAsia="zh-CN"/>
        </w:rPr>
        <w:t xml:space="preserve">: </w:t>
      </w:r>
      <w:r>
        <w:rPr>
          <w:rFonts w:ascii="Times New Roman" w:hAnsi="Times New Roman" w:cs="Times New Roman" w:hint="eastAsia"/>
          <w:color w:val="auto"/>
          <w:sz w:val="28"/>
          <w:szCs w:val="28"/>
          <w:lang w:eastAsia="zh-CN"/>
        </w:rPr>
        <w:t>包括</w:t>
      </w:r>
      <w:r>
        <w:rPr>
          <w:rFonts w:ascii="Times New Roman" w:hAnsi="Times New Roman" w:cs="Times New Roman"/>
          <w:color w:val="auto"/>
          <w:sz w:val="28"/>
          <w:szCs w:val="28"/>
          <w:lang w:eastAsia="zh-CN"/>
        </w:rPr>
        <w:t xml:space="preserve"> Web </w:t>
      </w:r>
      <w:r>
        <w:rPr>
          <w:rFonts w:ascii="Times New Roman" w:hAnsi="Times New Roman" w:cs="Times New Roman" w:hint="eastAsia"/>
          <w:color w:val="auto"/>
          <w:sz w:val="28"/>
          <w:szCs w:val="28"/>
          <w:lang w:eastAsia="zh-CN"/>
        </w:rPr>
        <w:t>端、移动端等应用，为用户提供数据可视化、预警通知、设备管理等功能。</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2</w:t>
      </w:r>
      <w:r>
        <w:rPr>
          <w:rFonts w:ascii="Times New Roman" w:hAnsi="Times New Roman" w:cs="Times New Roman" w:hint="eastAsia"/>
          <w:color w:val="auto"/>
          <w:sz w:val="28"/>
          <w:szCs w:val="28"/>
          <w:lang w:eastAsia="zh-CN"/>
        </w:rPr>
        <w:t>）通信协议设计</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color w:val="auto"/>
          <w:sz w:val="28"/>
          <w:szCs w:val="28"/>
          <w:lang w:eastAsia="zh-CN"/>
        </w:rPr>
        <w:t>1</w:t>
      </w:r>
      <w:r>
        <w:rPr>
          <w:rFonts w:ascii="Times New Roman" w:hAnsi="Times New Roman" w:cs="Times New Roman" w:hint="eastAsia"/>
          <w:color w:val="auto"/>
          <w:sz w:val="28"/>
          <w:szCs w:val="28"/>
          <w:lang w:eastAsia="zh-CN"/>
        </w:rPr>
        <w:t>）设备端接入协议</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协议拟采用</w:t>
      </w:r>
      <w:r>
        <w:rPr>
          <w:rFonts w:ascii="Times New Roman" w:hAnsi="Times New Roman" w:cs="Times New Roman"/>
          <w:color w:val="auto"/>
          <w:sz w:val="28"/>
          <w:szCs w:val="28"/>
          <w:lang w:eastAsia="zh-CN"/>
        </w:rPr>
        <w:t>LwM2M</w:t>
      </w:r>
      <w:r>
        <w:rPr>
          <w:rFonts w:ascii="Times New Roman" w:hAnsi="Times New Roman" w:cs="Times New Roman" w:hint="eastAsia"/>
          <w:color w:val="auto"/>
          <w:sz w:val="28"/>
          <w:szCs w:val="28"/>
          <w:lang w:eastAsia="zh-CN"/>
        </w:rPr>
        <w:t>协议：</w:t>
      </w:r>
    </w:p>
    <w:p w:rsidR="00B34C9C" w:rsidP="00B34C9C">
      <w:pPr>
        <w:pStyle w:val="a2"/>
        <w:spacing w:line="560" w:lineRule="exact"/>
        <w:ind w:firstLine="560"/>
        <w:rPr>
          <w:rFonts w:ascii="Times New Roman" w:hAnsi="Times New Roman" w:cs="Times New Roman"/>
          <w:color w:val="auto"/>
          <w:sz w:val="28"/>
          <w:szCs w:val="28"/>
        </w:rPr>
      </w:pPr>
      <w:r>
        <w:rPr>
          <w:rFonts w:ascii="Times New Roman" w:hAnsi="Times New Roman" w:cs="Times New Roman"/>
          <w:color w:val="auto"/>
          <w:sz w:val="28"/>
          <w:szCs w:val="28"/>
        </w:rPr>
        <w:t>LwM2M</w:t>
      </w:r>
      <w:r>
        <w:rPr>
          <w:rFonts w:ascii="Times New Roman" w:hAnsi="Times New Roman" w:cs="Times New Roman" w:hint="eastAsia"/>
          <w:color w:val="auto"/>
          <w:sz w:val="28"/>
          <w:szCs w:val="28"/>
        </w:rPr>
        <w:t>（</w:t>
      </w:r>
      <w:r>
        <w:rPr>
          <w:rFonts w:ascii="Times New Roman" w:hAnsi="Times New Roman" w:cs="Times New Roman"/>
          <w:color w:val="auto"/>
          <w:sz w:val="28"/>
          <w:szCs w:val="28"/>
        </w:rPr>
        <w:t>lightweight Machine to Machine</w:t>
      </w:r>
      <w:r>
        <w:rPr>
          <w:rFonts w:ascii="Times New Roman" w:hAnsi="Times New Roman" w:cs="Times New Roman" w:hint="eastAsia"/>
          <w:color w:val="auto"/>
          <w:sz w:val="28"/>
          <w:szCs w:val="28"/>
        </w:rPr>
        <w:t>），主要使用在资源受限</w:t>
      </w:r>
      <w:r>
        <w:rPr>
          <w:rFonts w:ascii="Times New Roman" w:hAnsi="Times New Roman" w:cs="Times New Roman"/>
          <w:color w:val="auto"/>
          <w:sz w:val="28"/>
          <w:szCs w:val="28"/>
        </w:rPr>
        <w:t>(</w:t>
      </w:r>
      <w:r>
        <w:rPr>
          <w:rFonts w:ascii="Times New Roman" w:hAnsi="Times New Roman" w:cs="Times New Roman" w:hint="eastAsia"/>
          <w:color w:val="auto"/>
          <w:sz w:val="28"/>
          <w:szCs w:val="28"/>
        </w:rPr>
        <w:t>包括存储、功耗等</w:t>
      </w:r>
      <w:r>
        <w:rPr>
          <w:rFonts w:ascii="Times New Roman" w:hAnsi="Times New Roman" w:cs="Times New Roman"/>
          <w:color w:val="auto"/>
          <w:sz w:val="28"/>
          <w:szCs w:val="28"/>
        </w:rPr>
        <w:t>)</w:t>
      </w:r>
      <w:r>
        <w:rPr>
          <w:rFonts w:ascii="Times New Roman" w:hAnsi="Times New Roman" w:cs="Times New Roman" w:hint="eastAsia"/>
          <w:color w:val="auto"/>
          <w:sz w:val="28"/>
          <w:szCs w:val="28"/>
        </w:rPr>
        <w:t>的</w:t>
      </w:r>
      <w:r>
        <w:rPr>
          <w:rFonts w:ascii="Times New Roman" w:hAnsi="Times New Roman" w:cs="Times New Roman"/>
          <w:color w:val="auto"/>
          <w:sz w:val="28"/>
          <w:szCs w:val="28"/>
        </w:rPr>
        <w:t>NB-IoT</w:t>
      </w:r>
      <w:r>
        <w:rPr>
          <w:rFonts w:ascii="Times New Roman" w:hAnsi="Times New Roman" w:cs="Times New Roman" w:hint="eastAsia"/>
          <w:color w:val="auto"/>
          <w:sz w:val="28"/>
          <w:szCs w:val="28"/>
        </w:rPr>
        <w:t>终端。</w:t>
      </w:r>
    </w:p>
    <w:p w:rsidR="00B34C9C" w:rsidP="00B34C9C">
      <w:pPr>
        <w:pStyle w:val="a2"/>
        <w:spacing w:line="560" w:lineRule="exact"/>
        <w:ind w:firstLine="560"/>
        <w:rPr>
          <w:rFonts w:ascii="Times New Roman" w:hAnsi="Times New Roman"/>
          <w:color w:val="auto"/>
          <w:sz w:val="28"/>
          <w:szCs w:val="28"/>
        </w:rPr>
      </w:pPr>
      <w:r>
        <w:rPr>
          <w:rFonts w:ascii="Times New Roman" w:hAnsi="Times New Roman" w:hint="eastAsia"/>
          <w:bCs/>
          <w:color w:val="auto"/>
          <w:sz w:val="28"/>
          <w:szCs w:val="28"/>
        </w:rPr>
        <w:t>协议栈精简</w:t>
      </w:r>
      <w:r>
        <w:rPr>
          <w:rFonts w:ascii="Times New Roman" w:hAnsi="Times New Roman" w:hint="eastAsia"/>
          <w:color w:val="auto"/>
          <w:sz w:val="28"/>
          <w:szCs w:val="28"/>
        </w:rPr>
        <w:t>：基于</w:t>
      </w:r>
      <w:r>
        <w:rPr>
          <w:rFonts w:ascii="Times New Roman" w:hAnsi="Times New Roman"/>
          <w:color w:val="auto"/>
          <w:sz w:val="28"/>
          <w:szCs w:val="28"/>
        </w:rPr>
        <w:t>CoAP</w:t>
      </w:r>
      <w:r>
        <w:rPr>
          <w:rFonts w:ascii="Times New Roman" w:hAnsi="Times New Roman" w:hint="eastAsia"/>
          <w:color w:val="auto"/>
          <w:sz w:val="28"/>
          <w:szCs w:val="28"/>
        </w:rPr>
        <w:t>（</w:t>
      </w:r>
      <w:r>
        <w:rPr>
          <w:rFonts w:ascii="Times New Roman" w:hAnsi="Times New Roman"/>
          <w:color w:val="auto"/>
          <w:sz w:val="28"/>
          <w:szCs w:val="28"/>
        </w:rPr>
        <w:t>Constrained Application Protocol</w:t>
      </w:r>
      <w:r>
        <w:rPr>
          <w:rFonts w:ascii="Times New Roman" w:hAnsi="Times New Roman" w:hint="eastAsia"/>
          <w:color w:val="auto"/>
          <w:sz w:val="28"/>
          <w:szCs w:val="28"/>
        </w:rPr>
        <w:t>）构建，报文头开销小（仅</w:t>
      </w:r>
      <w:r>
        <w:rPr>
          <w:rFonts w:ascii="Times New Roman" w:hAnsi="Times New Roman"/>
          <w:color w:val="auto"/>
          <w:sz w:val="28"/>
          <w:szCs w:val="28"/>
        </w:rPr>
        <w:t>4</w:t>
      </w:r>
      <w:r>
        <w:rPr>
          <w:rFonts w:ascii="Times New Roman" w:hAnsi="Times New Roman" w:hint="eastAsia"/>
          <w:color w:val="auto"/>
          <w:sz w:val="28"/>
          <w:szCs w:val="28"/>
        </w:rPr>
        <w:t>字节），适合</w:t>
      </w:r>
      <w:r>
        <w:rPr>
          <w:rFonts w:ascii="Times New Roman" w:hAnsi="Times New Roman"/>
          <w:color w:val="auto"/>
          <w:sz w:val="28"/>
          <w:szCs w:val="28"/>
        </w:rPr>
        <w:t>NB-IoT</w:t>
      </w:r>
      <w:r>
        <w:rPr>
          <w:rFonts w:ascii="Times New Roman" w:hAnsi="Times New Roman" w:hint="eastAsia"/>
          <w:color w:val="auto"/>
          <w:sz w:val="28"/>
          <w:szCs w:val="28"/>
        </w:rPr>
        <w:t>等低带宽网络。</w:t>
      </w:r>
    </w:p>
    <w:p w:rsidR="00B34C9C" w:rsidP="00B34C9C">
      <w:pPr>
        <w:pStyle w:val="a2"/>
        <w:spacing w:line="560" w:lineRule="exact"/>
        <w:ind w:firstLine="560"/>
        <w:rPr>
          <w:rFonts w:ascii="Times New Roman" w:hAnsi="Times New Roman"/>
          <w:color w:val="auto"/>
          <w:sz w:val="28"/>
          <w:szCs w:val="28"/>
        </w:rPr>
      </w:pPr>
      <w:r>
        <w:rPr>
          <w:rFonts w:ascii="Times New Roman" w:hAnsi="Times New Roman" w:hint="eastAsia"/>
          <w:bCs/>
          <w:color w:val="auto"/>
          <w:sz w:val="28"/>
          <w:szCs w:val="28"/>
        </w:rPr>
        <w:t>低功耗优化</w:t>
      </w:r>
      <w:r>
        <w:rPr>
          <w:rFonts w:ascii="Times New Roman" w:hAnsi="Times New Roman" w:hint="eastAsia"/>
          <w:color w:val="auto"/>
          <w:sz w:val="28"/>
          <w:szCs w:val="28"/>
        </w:rPr>
        <w:t>：支持</w:t>
      </w:r>
      <w:r>
        <w:rPr>
          <w:rFonts w:ascii="Times New Roman" w:hAnsi="Times New Roman"/>
          <w:color w:val="auto"/>
          <w:sz w:val="28"/>
          <w:szCs w:val="28"/>
        </w:rPr>
        <w:t>PSM</w:t>
      </w:r>
      <w:r>
        <w:rPr>
          <w:rFonts w:ascii="Times New Roman" w:hAnsi="Times New Roman" w:hint="eastAsia"/>
          <w:color w:val="auto"/>
          <w:sz w:val="28"/>
          <w:szCs w:val="28"/>
        </w:rPr>
        <w:t>（</w:t>
      </w:r>
      <w:r>
        <w:rPr>
          <w:rFonts w:ascii="Times New Roman" w:hAnsi="Times New Roman"/>
          <w:color w:val="auto"/>
          <w:sz w:val="28"/>
          <w:szCs w:val="28"/>
        </w:rPr>
        <w:t>Power Saving Mode</w:t>
      </w:r>
      <w:r>
        <w:rPr>
          <w:rFonts w:ascii="Times New Roman" w:hAnsi="Times New Roman" w:hint="eastAsia"/>
          <w:color w:val="auto"/>
          <w:sz w:val="28"/>
          <w:szCs w:val="28"/>
        </w:rPr>
        <w:t>）和</w:t>
      </w:r>
      <w:r>
        <w:rPr>
          <w:rFonts w:ascii="Times New Roman" w:hAnsi="Times New Roman"/>
          <w:color w:val="auto"/>
          <w:sz w:val="28"/>
          <w:szCs w:val="28"/>
        </w:rPr>
        <w:t>eDRX</w:t>
      </w:r>
      <w:r>
        <w:rPr>
          <w:rFonts w:ascii="Times New Roman" w:hAnsi="Times New Roman" w:hint="eastAsia"/>
          <w:color w:val="auto"/>
          <w:sz w:val="28"/>
          <w:szCs w:val="28"/>
        </w:rPr>
        <w:t>（扩展不连续接收），终端设备可长期休眠（如每天仅唤醒数次）。</w:t>
      </w:r>
    </w:p>
    <w:p w:rsidR="00B34C9C" w:rsidP="00B34C9C">
      <w:pPr>
        <w:pStyle w:val="a2"/>
        <w:spacing w:line="560" w:lineRule="exact"/>
        <w:ind w:firstLine="560"/>
        <w:rPr>
          <w:rFonts w:ascii="Times New Roman" w:hAnsi="Times New Roman"/>
          <w:color w:val="auto"/>
          <w:sz w:val="28"/>
          <w:szCs w:val="28"/>
        </w:rPr>
      </w:pPr>
      <w:r>
        <w:rPr>
          <w:rFonts w:ascii="Times New Roman" w:hAnsi="Times New Roman" w:hint="eastAsia"/>
          <w:bCs/>
          <w:color w:val="auto"/>
          <w:sz w:val="28"/>
          <w:szCs w:val="28"/>
        </w:rPr>
        <w:t>跨平台兼容</w:t>
      </w:r>
      <w:r>
        <w:rPr>
          <w:rFonts w:ascii="Times New Roman" w:hAnsi="Times New Roman" w:hint="eastAsia"/>
          <w:color w:val="auto"/>
          <w:sz w:val="28"/>
          <w:szCs w:val="28"/>
        </w:rPr>
        <w:t>：主流</w:t>
      </w:r>
      <w:r>
        <w:rPr>
          <w:rFonts w:ascii="Times New Roman" w:hAnsi="Times New Roman"/>
          <w:color w:val="auto"/>
          <w:sz w:val="28"/>
          <w:szCs w:val="28"/>
        </w:rPr>
        <w:t>IoT</w:t>
      </w:r>
      <w:r>
        <w:rPr>
          <w:rFonts w:ascii="Times New Roman" w:hAnsi="Times New Roman" w:hint="eastAsia"/>
          <w:color w:val="auto"/>
          <w:sz w:val="28"/>
          <w:szCs w:val="28"/>
        </w:rPr>
        <w:t>平台（如</w:t>
      </w:r>
      <w:r>
        <w:rPr>
          <w:rFonts w:ascii="Times New Roman" w:hAnsi="Times New Roman"/>
          <w:color w:val="auto"/>
          <w:sz w:val="28"/>
          <w:szCs w:val="28"/>
        </w:rPr>
        <w:t>AWS IoT</w:t>
      </w:r>
      <w:r>
        <w:rPr>
          <w:rFonts w:ascii="Times New Roman" w:hAnsi="Times New Roman" w:hint="eastAsia"/>
          <w:color w:val="auto"/>
          <w:sz w:val="28"/>
          <w:szCs w:val="28"/>
        </w:rPr>
        <w:t>、华为</w:t>
      </w:r>
      <w:r>
        <w:rPr>
          <w:rFonts w:ascii="Times New Roman" w:hAnsi="Times New Roman"/>
          <w:color w:val="auto"/>
          <w:sz w:val="28"/>
          <w:szCs w:val="28"/>
        </w:rPr>
        <w:t>OceanConnect</w:t>
      </w:r>
      <w:r>
        <w:rPr>
          <w:rFonts w:ascii="Times New Roman" w:hAnsi="Times New Roman" w:hint="eastAsia"/>
          <w:color w:val="auto"/>
          <w:sz w:val="28"/>
          <w:szCs w:val="28"/>
        </w:rPr>
        <w:t>、移动</w:t>
      </w:r>
      <w:r>
        <w:rPr>
          <w:rFonts w:ascii="Times New Roman" w:hAnsi="Times New Roman"/>
          <w:color w:val="auto"/>
          <w:sz w:val="28"/>
          <w:szCs w:val="28"/>
        </w:rPr>
        <w:t>OneNet</w:t>
      </w:r>
      <w:r>
        <w:rPr>
          <w:rFonts w:ascii="Times New Roman" w:hAnsi="Times New Roman" w:hint="eastAsia"/>
          <w:color w:val="auto"/>
          <w:sz w:val="28"/>
          <w:szCs w:val="28"/>
        </w:rPr>
        <w:t>）均支持</w:t>
      </w:r>
      <w:r>
        <w:rPr>
          <w:rFonts w:ascii="Times New Roman" w:hAnsi="Times New Roman"/>
          <w:color w:val="auto"/>
          <w:sz w:val="28"/>
          <w:szCs w:val="28"/>
        </w:rPr>
        <w:t>LwM2M</w:t>
      </w:r>
      <w:r>
        <w:rPr>
          <w:rFonts w:ascii="Times New Roman" w:hAnsi="Times New Roman" w:hint="eastAsia"/>
          <w:color w:val="auto"/>
          <w:sz w:val="28"/>
          <w:szCs w:val="28"/>
        </w:rPr>
        <w:t>协议。</w:t>
      </w:r>
    </w:p>
    <w:p w:rsidR="00B34C9C" w:rsidP="00B34C9C">
      <w:pPr>
        <w:pStyle w:val="a2"/>
        <w:spacing w:line="560" w:lineRule="exact"/>
        <w:ind w:firstLine="560"/>
        <w:rPr>
          <w:rFonts w:ascii="Times New Roman" w:hAnsi="Times New Roman"/>
          <w:color w:val="auto"/>
          <w:sz w:val="28"/>
          <w:szCs w:val="28"/>
          <w:lang w:eastAsia="zh-CN"/>
        </w:rPr>
      </w:pPr>
      <w:r>
        <w:rPr>
          <w:rFonts w:ascii="Times New Roman" w:hAnsi="Times New Roman" w:hint="eastAsia"/>
          <w:color w:val="auto"/>
          <w:sz w:val="28"/>
          <w:szCs w:val="28"/>
          <w:lang w:eastAsia="zh-CN"/>
        </w:rPr>
        <w:t>传输加密：强制使用</w:t>
      </w:r>
      <w:r>
        <w:rPr>
          <w:rFonts w:ascii="Times New Roman" w:hAnsi="Times New Roman"/>
          <w:color w:val="auto"/>
          <w:sz w:val="28"/>
          <w:szCs w:val="28"/>
          <w:lang w:eastAsia="zh-CN"/>
        </w:rPr>
        <w:t>DTLS</w:t>
      </w:r>
      <w:r>
        <w:rPr>
          <w:rFonts w:ascii="Times New Roman" w:hAnsi="Times New Roman" w:hint="eastAsia"/>
          <w:color w:val="auto"/>
          <w:sz w:val="28"/>
          <w:szCs w:val="28"/>
          <w:lang w:eastAsia="zh-CN"/>
        </w:rPr>
        <w:t>（基于</w:t>
      </w:r>
      <w:r>
        <w:rPr>
          <w:rFonts w:ascii="Times New Roman" w:hAnsi="Times New Roman"/>
          <w:color w:val="auto"/>
          <w:sz w:val="28"/>
          <w:szCs w:val="28"/>
          <w:lang w:eastAsia="zh-CN"/>
        </w:rPr>
        <w:t>UDP</w:t>
      </w:r>
      <w:r>
        <w:rPr>
          <w:rFonts w:ascii="Times New Roman" w:hAnsi="Times New Roman" w:hint="eastAsia"/>
          <w:color w:val="auto"/>
          <w:sz w:val="28"/>
          <w:szCs w:val="28"/>
          <w:lang w:eastAsia="zh-CN"/>
        </w:rPr>
        <w:t>的</w:t>
      </w:r>
      <w:r>
        <w:rPr>
          <w:rFonts w:ascii="Times New Roman" w:hAnsi="Times New Roman"/>
          <w:color w:val="auto"/>
          <w:sz w:val="28"/>
          <w:szCs w:val="28"/>
          <w:lang w:eastAsia="zh-CN"/>
        </w:rPr>
        <w:t>TLS</w:t>
      </w:r>
      <w:r>
        <w:rPr>
          <w:rFonts w:ascii="Times New Roman" w:hAnsi="Times New Roman" w:hint="eastAsia"/>
          <w:color w:val="auto"/>
          <w:sz w:val="28"/>
          <w:szCs w:val="28"/>
          <w:lang w:eastAsia="zh-CN"/>
        </w:rPr>
        <w:t>）。</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hint="eastAsia"/>
          <w:bCs/>
          <w:color w:val="auto"/>
          <w:sz w:val="28"/>
          <w:szCs w:val="28"/>
          <w:lang w:eastAsia="zh-CN"/>
        </w:rPr>
        <w:t>多传输层支持</w:t>
      </w:r>
      <w:r>
        <w:rPr>
          <w:rFonts w:ascii="Times New Roman" w:hAnsi="Times New Roman" w:hint="eastAsia"/>
          <w:color w:val="auto"/>
          <w:sz w:val="28"/>
          <w:szCs w:val="28"/>
          <w:lang w:eastAsia="zh-CN"/>
        </w:rPr>
        <w:t>：可运行于</w:t>
      </w:r>
      <w:r>
        <w:rPr>
          <w:rFonts w:ascii="Times New Roman" w:hAnsi="Times New Roman"/>
          <w:color w:val="auto"/>
          <w:sz w:val="28"/>
          <w:szCs w:val="28"/>
          <w:lang w:eastAsia="zh-CN"/>
        </w:rPr>
        <w:t>UDP</w:t>
      </w:r>
      <w:r>
        <w:rPr>
          <w:rFonts w:ascii="Times New Roman" w:hAnsi="Times New Roman" w:hint="eastAsia"/>
          <w:color w:val="auto"/>
          <w:sz w:val="28"/>
          <w:szCs w:val="28"/>
          <w:lang w:eastAsia="zh-CN"/>
        </w:rPr>
        <w:t>（</w:t>
      </w:r>
      <w:r>
        <w:rPr>
          <w:rFonts w:ascii="Times New Roman" w:hAnsi="Times New Roman"/>
          <w:color w:val="auto"/>
          <w:sz w:val="28"/>
          <w:szCs w:val="28"/>
          <w:lang w:eastAsia="zh-CN"/>
        </w:rPr>
        <w:t>CoAP</w:t>
      </w:r>
      <w:r>
        <w:rPr>
          <w:rFonts w:ascii="Times New Roman" w:hAnsi="Times New Roman" w:hint="eastAsia"/>
          <w:color w:val="auto"/>
          <w:sz w:val="28"/>
          <w:szCs w:val="28"/>
          <w:lang w:eastAsia="zh-CN"/>
        </w:rPr>
        <w:t>）、</w:t>
      </w:r>
      <w:r>
        <w:rPr>
          <w:rFonts w:ascii="Times New Roman" w:hAnsi="Times New Roman"/>
          <w:color w:val="auto"/>
          <w:sz w:val="28"/>
          <w:szCs w:val="28"/>
          <w:lang w:eastAsia="zh-CN"/>
        </w:rPr>
        <w:t>SMS</w:t>
      </w:r>
      <w:r>
        <w:rPr>
          <w:rFonts w:ascii="Times New Roman" w:hAnsi="Times New Roman" w:hint="eastAsia"/>
          <w:color w:val="auto"/>
          <w:sz w:val="28"/>
          <w:szCs w:val="28"/>
          <w:lang w:eastAsia="zh-CN"/>
        </w:rPr>
        <w:t>或</w:t>
      </w:r>
      <w:r>
        <w:rPr>
          <w:rFonts w:ascii="Times New Roman" w:hAnsi="Times New Roman"/>
          <w:color w:val="auto"/>
          <w:sz w:val="28"/>
          <w:szCs w:val="28"/>
          <w:lang w:eastAsia="zh-CN"/>
        </w:rPr>
        <w:t>LoRaWAN</w:t>
      </w:r>
      <w:r>
        <w:rPr>
          <w:rFonts w:ascii="Times New Roman" w:hAnsi="Times New Roman" w:hint="eastAsia"/>
          <w:color w:val="auto"/>
          <w:sz w:val="28"/>
          <w:szCs w:val="28"/>
          <w:lang w:eastAsia="zh-CN"/>
        </w:rPr>
        <w:t>等网络。</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通信流程：</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color w:val="auto"/>
          <w:sz w:val="28"/>
          <w:szCs w:val="28"/>
          <w:lang w:eastAsia="zh-CN"/>
        </w:rPr>
        <w:t>——</w:t>
      </w:r>
      <w:r>
        <w:rPr>
          <w:rFonts w:ascii="Times New Roman" w:hAnsi="Times New Roman" w:cs="Times New Roman" w:hint="eastAsia"/>
          <w:color w:val="auto"/>
          <w:sz w:val="28"/>
          <w:szCs w:val="28"/>
          <w:lang w:eastAsia="zh-CN"/>
        </w:rPr>
        <w:t>设备端通过</w:t>
      </w:r>
      <w:r>
        <w:rPr>
          <w:rFonts w:ascii="Times New Roman" w:hAnsi="Times New Roman" w:cs="Times New Roman"/>
          <w:color w:val="auto"/>
          <w:sz w:val="28"/>
          <w:szCs w:val="28"/>
          <w:lang w:eastAsia="zh-CN"/>
        </w:rPr>
        <w:t xml:space="preserve"> NB-IoT </w:t>
      </w:r>
      <w:r>
        <w:rPr>
          <w:rFonts w:ascii="Times New Roman" w:hAnsi="Times New Roman" w:cs="Times New Roman" w:hint="eastAsia"/>
          <w:color w:val="auto"/>
          <w:sz w:val="28"/>
          <w:szCs w:val="28"/>
          <w:lang w:eastAsia="zh-CN"/>
        </w:rPr>
        <w:t>网络连接到设备集约管理平台</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color w:val="auto"/>
          <w:sz w:val="28"/>
          <w:szCs w:val="28"/>
          <w:lang w:eastAsia="zh-CN"/>
        </w:rPr>
        <w:t>——</w:t>
      </w:r>
      <w:r>
        <w:rPr>
          <w:rFonts w:ascii="Times New Roman" w:hAnsi="Times New Roman" w:cs="Times New Roman" w:hint="eastAsia"/>
          <w:color w:val="auto"/>
          <w:sz w:val="28"/>
          <w:szCs w:val="28"/>
          <w:lang w:eastAsia="zh-CN"/>
        </w:rPr>
        <w:t>设备集约管理平台对数据进行存储和推送，根据订阅类型（如设备数据变化时上报）通过</w:t>
      </w:r>
      <w:r>
        <w:rPr>
          <w:rFonts w:ascii="Times New Roman" w:hAnsi="Times New Roman" w:cs="Times New Roman"/>
          <w:color w:val="auto"/>
          <w:sz w:val="28"/>
          <w:szCs w:val="28"/>
          <w:lang w:eastAsia="zh-CN"/>
        </w:rPr>
        <w:t>MQ</w:t>
      </w:r>
      <w:r>
        <w:rPr>
          <w:rFonts w:ascii="Times New Roman" w:hAnsi="Times New Roman" w:cs="Times New Roman" w:hint="eastAsia"/>
          <w:color w:val="auto"/>
          <w:sz w:val="28"/>
          <w:szCs w:val="28"/>
          <w:lang w:eastAsia="zh-CN"/>
        </w:rPr>
        <w:t>消息推送服务，将数据推送到其他应用；</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设备管理平台通过调用</w:t>
      </w:r>
      <w:r>
        <w:rPr>
          <w:rFonts w:ascii="Times New Roman" w:hAnsi="Times New Roman" w:cs="Times New Roman"/>
          <w:color w:val="auto"/>
          <w:sz w:val="28"/>
          <w:szCs w:val="28"/>
          <w:lang w:eastAsia="zh-CN"/>
        </w:rPr>
        <w:t>API</w:t>
      </w:r>
      <w:r>
        <w:rPr>
          <w:rFonts w:ascii="Times New Roman" w:hAnsi="Times New Roman" w:cs="Times New Roman" w:hint="eastAsia"/>
          <w:color w:val="auto"/>
          <w:sz w:val="28"/>
          <w:szCs w:val="28"/>
          <w:lang w:eastAsia="zh-CN"/>
        </w:rPr>
        <w:t>接口，对设备进行下发指令操作，设备集约平台收到</w:t>
      </w:r>
      <w:r>
        <w:rPr>
          <w:rFonts w:ascii="Times New Roman" w:hAnsi="Times New Roman" w:cs="Times New Roman"/>
          <w:color w:val="auto"/>
          <w:sz w:val="28"/>
          <w:szCs w:val="28"/>
          <w:lang w:eastAsia="zh-CN"/>
        </w:rPr>
        <w:t>API</w:t>
      </w:r>
      <w:r>
        <w:rPr>
          <w:rFonts w:ascii="Times New Roman" w:hAnsi="Times New Roman" w:cs="Times New Roman" w:hint="eastAsia"/>
          <w:color w:val="auto"/>
          <w:sz w:val="28"/>
          <w:szCs w:val="28"/>
          <w:lang w:eastAsia="zh-CN"/>
        </w:rPr>
        <w:t>调用请求后，将指令下发到设备端，设备收到指令后，执行相应指令并上报执行结果，设备集约平台收到指令反馈结果后，将指令执行结果推送到设备管理平台。</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color w:val="auto"/>
          <w:sz w:val="28"/>
          <w:szCs w:val="28"/>
          <w:lang w:eastAsia="zh-CN"/>
        </w:rPr>
        <w:t>2</w:t>
      </w:r>
      <w:r>
        <w:rPr>
          <w:rFonts w:ascii="Times New Roman" w:hAnsi="Times New Roman" w:cs="Times New Roman" w:hint="eastAsia"/>
          <w:color w:val="auto"/>
          <w:sz w:val="28"/>
          <w:szCs w:val="28"/>
          <w:lang w:eastAsia="zh-CN"/>
        </w:rPr>
        <w:t>）设备管理平台</w:t>
      </w:r>
      <w:r>
        <w:rPr>
          <w:rFonts w:ascii="Times New Roman" w:hAnsi="Times New Roman" w:cs="Times New Roman"/>
          <w:color w:val="auto"/>
          <w:sz w:val="28"/>
          <w:szCs w:val="28"/>
          <w:lang w:eastAsia="zh-CN"/>
        </w:rPr>
        <w:t>API</w:t>
      </w:r>
      <w:r>
        <w:rPr>
          <w:rFonts w:ascii="Times New Roman" w:hAnsi="Times New Roman" w:cs="Times New Roman" w:hint="eastAsia"/>
          <w:color w:val="auto"/>
          <w:sz w:val="28"/>
          <w:szCs w:val="28"/>
          <w:lang w:eastAsia="zh-CN"/>
        </w:rPr>
        <w:t>接口规范</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接口规范拟采用</w:t>
      </w:r>
      <w:r>
        <w:rPr>
          <w:rFonts w:ascii="Times New Roman" w:hAnsi="Times New Roman" w:cs="Times New Roman"/>
          <w:color w:val="auto"/>
          <w:sz w:val="28"/>
          <w:szCs w:val="28"/>
          <w:lang w:eastAsia="zh-CN"/>
        </w:rPr>
        <w:t xml:space="preserve"> RESTful API</w:t>
      </w:r>
      <w:r>
        <w:rPr>
          <w:rFonts w:ascii="Times New Roman" w:hAnsi="Times New Roman" w:cs="Times New Roman" w:hint="eastAsia"/>
          <w:color w:val="auto"/>
          <w:sz w:val="28"/>
          <w:szCs w:val="28"/>
          <w:lang w:eastAsia="zh-CN"/>
        </w:rPr>
        <w:t>设计风格：</w:t>
      </w:r>
    </w:p>
    <w:p w:rsidR="00B34C9C" w:rsidP="00B34C9C">
      <w:pPr>
        <w:pStyle w:val="a2"/>
        <w:spacing w:line="560" w:lineRule="exact"/>
        <w:ind w:firstLine="560"/>
        <w:rPr>
          <w:rFonts w:ascii="Times New Roman" w:hAnsi="Times New Roman"/>
          <w:color w:val="auto"/>
          <w:sz w:val="28"/>
          <w:szCs w:val="28"/>
          <w:lang w:eastAsia="zh-CN"/>
        </w:rPr>
      </w:pPr>
      <w:r>
        <w:rPr>
          <w:rFonts w:ascii="Times New Roman" w:hAnsi="Times New Roman" w:hint="eastAsia"/>
          <w:color w:val="auto"/>
          <w:sz w:val="28"/>
          <w:szCs w:val="28"/>
          <w:lang w:eastAsia="zh-CN"/>
        </w:rPr>
        <w:t>简单易用，开发高效：标准化</w:t>
      </w:r>
      <w:r>
        <w:rPr>
          <w:rFonts w:ascii="Times New Roman" w:hAnsi="Times New Roman"/>
          <w:color w:val="auto"/>
          <w:sz w:val="28"/>
          <w:szCs w:val="28"/>
          <w:lang w:eastAsia="zh-CN"/>
        </w:rPr>
        <w:t>HTTP</w:t>
      </w:r>
      <w:r>
        <w:rPr>
          <w:rFonts w:ascii="Times New Roman" w:hAnsi="Times New Roman" w:hint="eastAsia"/>
          <w:color w:val="auto"/>
          <w:sz w:val="28"/>
          <w:szCs w:val="28"/>
          <w:lang w:eastAsia="zh-CN"/>
        </w:rPr>
        <w:t>方法：使用</w:t>
      </w:r>
      <w:r>
        <w:rPr>
          <w:rFonts w:ascii="Times New Roman" w:hAnsi="Times New Roman"/>
          <w:color w:val="auto"/>
          <w:sz w:val="28"/>
          <w:szCs w:val="28"/>
          <w:lang w:eastAsia="zh-CN"/>
        </w:rPr>
        <w:t>GET</w:t>
      </w:r>
      <w:r>
        <w:rPr>
          <w:rFonts w:ascii="Times New Roman" w:hAnsi="Times New Roman" w:hint="eastAsia"/>
          <w:color w:val="auto"/>
          <w:sz w:val="28"/>
          <w:szCs w:val="28"/>
          <w:lang w:eastAsia="zh-CN"/>
        </w:rPr>
        <w:t>、</w:t>
      </w:r>
      <w:r>
        <w:rPr>
          <w:rFonts w:ascii="Times New Roman" w:hAnsi="Times New Roman"/>
          <w:color w:val="auto"/>
          <w:sz w:val="28"/>
          <w:szCs w:val="28"/>
          <w:lang w:eastAsia="zh-CN"/>
        </w:rPr>
        <w:t>POST</w:t>
      </w:r>
      <w:r>
        <w:rPr>
          <w:rFonts w:ascii="Times New Roman" w:hAnsi="Times New Roman" w:hint="eastAsia"/>
          <w:color w:val="auto"/>
          <w:sz w:val="28"/>
          <w:szCs w:val="28"/>
          <w:lang w:eastAsia="zh-CN"/>
        </w:rPr>
        <w:t>、</w:t>
      </w:r>
      <w:r>
        <w:rPr>
          <w:rFonts w:ascii="Times New Roman" w:hAnsi="Times New Roman"/>
          <w:color w:val="auto"/>
          <w:sz w:val="28"/>
          <w:szCs w:val="28"/>
          <w:lang w:eastAsia="zh-CN"/>
        </w:rPr>
        <w:t>PUT</w:t>
      </w:r>
      <w:r>
        <w:rPr>
          <w:rFonts w:ascii="Times New Roman" w:hAnsi="Times New Roman" w:hint="eastAsia"/>
          <w:color w:val="auto"/>
          <w:sz w:val="28"/>
          <w:szCs w:val="28"/>
          <w:lang w:eastAsia="zh-CN"/>
        </w:rPr>
        <w:t>、</w:t>
      </w:r>
      <w:r>
        <w:rPr>
          <w:rFonts w:ascii="Times New Roman" w:hAnsi="Times New Roman"/>
          <w:color w:val="auto"/>
          <w:sz w:val="28"/>
          <w:szCs w:val="28"/>
          <w:lang w:eastAsia="zh-CN"/>
        </w:rPr>
        <w:t>DELETE</w:t>
      </w:r>
      <w:r>
        <w:rPr>
          <w:rFonts w:ascii="Times New Roman" w:hAnsi="Times New Roman" w:hint="eastAsia"/>
          <w:color w:val="auto"/>
          <w:sz w:val="28"/>
          <w:szCs w:val="28"/>
          <w:lang w:eastAsia="zh-CN"/>
        </w:rPr>
        <w:t>等</w:t>
      </w:r>
      <w:r>
        <w:rPr>
          <w:rFonts w:ascii="Times New Roman" w:hAnsi="Times New Roman"/>
          <w:color w:val="auto"/>
          <w:sz w:val="28"/>
          <w:szCs w:val="28"/>
          <w:lang w:eastAsia="zh-CN"/>
        </w:rPr>
        <w:t>HTTP</w:t>
      </w:r>
      <w:r>
        <w:rPr>
          <w:rFonts w:ascii="Times New Roman" w:hAnsi="Times New Roman" w:hint="eastAsia"/>
          <w:color w:val="auto"/>
          <w:sz w:val="28"/>
          <w:szCs w:val="28"/>
          <w:lang w:eastAsia="zh-CN"/>
        </w:rPr>
        <w:t>动词对应增删改查（</w:t>
      </w:r>
      <w:r>
        <w:rPr>
          <w:rFonts w:ascii="Times New Roman" w:hAnsi="Times New Roman"/>
          <w:color w:val="auto"/>
          <w:sz w:val="28"/>
          <w:szCs w:val="28"/>
          <w:lang w:eastAsia="zh-CN"/>
        </w:rPr>
        <w:t>CRUD</w:t>
      </w:r>
      <w:r>
        <w:rPr>
          <w:rFonts w:ascii="Times New Roman" w:hAnsi="Times New Roman" w:hint="eastAsia"/>
          <w:color w:val="auto"/>
          <w:sz w:val="28"/>
          <w:szCs w:val="28"/>
          <w:lang w:eastAsia="zh-CN"/>
        </w:rPr>
        <w:t>）操作，语义清晰。</w:t>
      </w:r>
    </w:p>
    <w:p w:rsidR="00B34C9C" w:rsidP="00B34C9C">
      <w:pPr>
        <w:pStyle w:val="a2"/>
        <w:spacing w:line="560" w:lineRule="exact"/>
        <w:ind w:firstLine="560"/>
        <w:rPr>
          <w:rFonts w:ascii="Times New Roman" w:hAnsi="Times New Roman"/>
          <w:color w:val="auto"/>
          <w:sz w:val="28"/>
          <w:szCs w:val="28"/>
          <w:lang w:eastAsia="zh-CN"/>
        </w:rPr>
      </w:pPr>
      <w:r>
        <w:rPr>
          <w:rFonts w:ascii="Times New Roman" w:hAnsi="Times New Roman" w:hint="eastAsia"/>
          <w:bCs/>
          <w:color w:val="auto"/>
          <w:sz w:val="28"/>
          <w:szCs w:val="28"/>
          <w:lang w:eastAsia="zh-CN"/>
        </w:rPr>
        <w:t>无状态性（</w:t>
      </w:r>
      <w:r>
        <w:rPr>
          <w:rFonts w:ascii="Times New Roman" w:hAnsi="Times New Roman"/>
          <w:bCs/>
          <w:color w:val="auto"/>
          <w:sz w:val="28"/>
          <w:szCs w:val="28"/>
          <w:lang w:eastAsia="zh-CN"/>
        </w:rPr>
        <w:t>Stateless</w:t>
      </w:r>
      <w:r>
        <w:rPr>
          <w:rFonts w:ascii="Times New Roman" w:hAnsi="Times New Roman" w:hint="eastAsia"/>
          <w:bCs/>
          <w:color w:val="auto"/>
          <w:sz w:val="28"/>
          <w:szCs w:val="28"/>
          <w:lang w:eastAsia="zh-CN"/>
        </w:rPr>
        <w:t>）</w:t>
      </w:r>
      <w:r>
        <w:rPr>
          <w:rFonts w:ascii="Times New Roman" w:hAnsi="Times New Roman" w:hint="eastAsia"/>
          <w:color w:val="auto"/>
          <w:sz w:val="28"/>
          <w:szCs w:val="28"/>
          <w:lang w:eastAsia="zh-CN"/>
        </w:rPr>
        <w:t>：服务端不保存客户端状态，每个请求包含完整上下文，简化横向扩展。</w:t>
      </w:r>
    </w:p>
    <w:p w:rsidR="00B34C9C" w:rsidP="00B34C9C">
      <w:pPr>
        <w:pStyle w:val="a2"/>
        <w:spacing w:line="560" w:lineRule="exact"/>
        <w:ind w:firstLine="560"/>
        <w:rPr>
          <w:rFonts w:ascii="Times New Roman" w:hAnsi="Times New Roman"/>
          <w:color w:val="auto"/>
          <w:sz w:val="28"/>
          <w:szCs w:val="28"/>
          <w:lang w:eastAsia="zh-CN"/>
        </w:rPr>
      </w:pPr>
      <w:r>
        <w:rPr>
          <w:rFonts w:ascii="Times New Roman" w:hAnsi="Times New Roman" w:hint="eastAsia"/>
          <w:bCs/>
          <w:color w:val="auto"/>
          <w:sz w:val="28"/>
          <w:szCs w:val="28"/>
          <w:lang w:eastAsia="zh-CN"/>
        </w:rPr>
        <w:t>标准安全协议</w:t>
      </w:r>
      <w:r>
        <w:rPr>
          <w:rFonts w:ascii="Times New Roman" w:hAnsi="Times New Roman" w:hint="eastAsia"/>
          <w:color w:val="auto"/>
          <w:sz w:val="28"/>
          <w:szCs w:val="28"/>
          <w:lang w:eastAsia="zh-CN"/>
        </w:rPr>
        <w:t>：天然支持</w:t>
      </w:r>
      <w:r>
        <w:rPr>
          <w:rFonts w:ascii="Times New Roman" w:hAnsi="Times New Roman"/>
          <w:color w:val="auto"/>
          <w:sz w:val="28"/>
          <w:szCs w:val="28"/>
          <w:lang w:eastAsia="zh-CN"/>
        </w:rPr>
        <w:t>HTTPS</w:t>
      </w:r>
      <w:r>
        <w:rPr>
          <w:rFonts w:ascii="Times New Roman" w:hAnsi="Times New Roman" w:hint="eastAsia"/>
          <w:color w:val="auto"/>
          <w:sz w:val="28"/>
          <w:szCs w:val="28"/>
          <w:lang w:eastAsia="zh-CN"/>
        </w:rPr>
        <w:t>、</w:t>
      </w:r>
      <w:r>
        <w:rPr>
          <w:rFonts w:ascii="Times New Roman" w:hAnsi="Times New Roman"/>
          <w:color w:val="auto"/>
          <w:sz w:val="28"/>
          <w:szCs w:val="28"/>
          <w:lang w:eastAsia="zh-CN"/>
        </w:rPr>
        <w:t>OAuth2.0</w:t>
      </w:r>
      <w:r>
        <w:rPr>
          <w:rFonts w:ascii="Times New Roman" w:hAnsi="Times New Roman" w:hint="eastAsia"/>
          <w:color w:val="auto"/>
          <w:sz w:val="28"/>
          <w:szCs w:val="28"/>
          <w:lang w:eastAsia="zh-CN"/>
        </w:rPr>
        <w:t>、</w:t>
      </w:r>
      <w:r>
        <w:rPr>
          <w:rFonts w:ascii="Times New Roman" w:hAnsi="Times New Roman"/>
          <w:color w:val="auto"/>
          <w:sz w:val="28"/>
          <w:szCs w:val="28"/>
          <w:lang w:eastAsia="zh-CN"/>
        </w:rPr>
        <w:t>JWT</w:t>
      </w:r>
      <w:r>
        <w:rPr>
          <w:rFonts w:ascii="Times New Roman" w:hAnsi="Times New Roman" w:hint="eastAsia"/>
          <w:color w:val="auto"/>
          <w:sz w:val="28"/>
          <w:szCs w:val="28"/>
          <w:lang w:eastAsia="zh-CN"/>
        </w:rPr>
        <w:t>等安全方案。</w:t>
      </w:r>
    </w:p>
    <w:p w:rsidR="00B34C9C" w:rsidP="00B34C9C">
      <w:pPr>
        <w:pStyle w:val="a2"/>
        <w:spacing w:line="560" w:lineRule="exact"/>
        <w:ind w:firstLine="560"/>
        <w:rPr>
          <w:rFonts w:ascii="Times New Roman" w:hAnsi="Times New Roman"/>
          <w:color w:val="auto"/>
          <w:sz w:val="28"/>
          <w:szCs w:val="28"/>
          <w:lang w:eastAsia="zh-CN"/>
        </w:rPr>
      </w:pPr>
      <w:r>
        <w:rPr>
          <w:rFonts w:ascii="Times New Roman" w:hAnsi="Times New Roman" w:hint="eastAsia"/>
          <w:bCs/>
          <w:color w:val="auto"/>
          <w:sz w:val="28"/>
          <w:szCs w:val="28"/>
          <w:lang w:eastAsia="zh-CN"/>
        </w:rPr>
        <w:t>细粒度权限控制</w:t>
      </w:r>
      <w:r>
        <w:rPr>
          <w:rFonts w:ascii="Times New Roman" w:hAnsi="Times New Roman" w:hint="eastAsia"/>
          <w:color w:val="auto"/>
          <w:sz w:val="28"/>
          <w:szCs w:val="28"/>
          <w:lang w:eastAsia="zh-CN"/>
        </w:rPr>
        <w:t>：结合</w:t>
      </w:r>
      <w:r>
        <w:rPr>
          <w:rFonts w:ascii="Times New Roman" w:hAnsi="Times New Roman"/>
          <w:color w:val="auto"/>
          <w:sz w:val="28"/>
          <w:szCs w:val="28"/>
          <w:lang w:eastAsia="zh-CN"/>
        </w:rPr>
        <w:t>RBAC</w:t>
      </w:r>
      <w:r>
        <w:rPr>
          <w:rFonts w:ascii="Times New Roman" w:hAnsi="Times New Roman" w:hint="eastAsia"/>
          <w:color w:val="auto"/>
          <w:sz w:val="28"/>
          <w:szCs w:val="28"/>
          <w:lang w:eastAsia="zh-CN"/>
        </w:rPr>
        <w:t>（角色访问控制）限制</w:t>
      </w:r>
      <w:r>
        <w:rPr>
          <w:rFonts w:ascii="Times New Roman" w:hAnsi="Times New Roman"/>
          <w:color w:val="auto"/>
          <w:sz w:val="28"/>
          <w:szCs w:val="28"/>
          <w:lang w:eastAsia="zh-CN"/>
        </w:rPr>
        <w:t>API</w:t>
      </w:r>
      <w:r>
        <w:rPr>
          <w:rFonts w:ascii="Times New Roman" w:hAnsi="Times New Roman" w:hint="eastAsia"/>
          <w:color w:val="auto"/>
          <w:sz w:val="28"/>
          <w:szCs w:val="28"/>
          <w:lang w:eastAsia="zh-CN"/>
        </w:rPr>
        <w:t>访问范围。</w:t>
      </w:r>
    </w:p>
    <w:p w:rsidR="00B34C9C" w:rsidP="00B34C9C">
      <w:pPr>
        <w:pStyle w:val="a2"/>
        <w:spacing w:line="560" w:lineRule="exact"/>
        <w:ind w:firstLine="560"/>
        <w:rPr>
          <w:rFonts w:ascii="Times New Roman" w:hAnsi="Times New Roman"/>
          <w:color w:val="auto"/>
          <w:sz w:val="28"/>
          <w:szCs w:val="28"/>
          <w:lang w:eastAsia="zh-CN"/>
        </w:rPr>
      </w:pPr>
      <w:r>
        <w:rPr>
          <w:rFonts w:ascii="Times New Roman" w:hAnsi="Times New Roman" w:hint="eastAsia"/>
          <w:color w:val="auto"/>
          <w:sz w:val="28"/>
          <w:szCs w:val="28"/>
          <w:lang w:eastAsia="zh-CN"/>
        </w:rPr>
        <w:t>数据格式灵活：支持</w:t>
      </w:r>
      <w:r>
        <w:rPr>
          <w:rFonts w:ascii="Times New Roman" w:hAnsi="Times New Roman"/>
          <w:color w:val="auto"/>
          <w:sz w:val="28"/>
          <w:szCs w:val="28"/>
          <w:lang w:eastAsia="zh-CN"/>
        </w:rPr>
        <w:t>JSON</w:t>
      </w:r>
      <w:r>
        <w:rPr>
          <w:rFonts w:ascii="Times New Roman" w:hAnsi="Times New Roman" w:hint="eastAsia"/>
          <w:color w:val="auto"/>
          <w:sz w:val="28"/>
          <w:szCs w:val="28"/>
          <w:lang w:eastAsia="zh-CN"/>
        </w:rPr>
        <w:t>（主流）、</w:t>
      </w:r>
      <w:r>
        <w:rPr>
          <w:rFonts w:ascii="Times New Roman" w:hAnsi="Times New Roman"/>
          <w:color w:val="auto"/>
          <w:sz w:val="28"/>
          <w:szCs w:val="28"/>
          <w:lang w:eastAsia="zh-CN"/>
        </w:rPr>
        <w:t>XML</w:t>
      </w:r>
      <w:r>
        <w:rPr>
          <w:rFonts w:ascii="Times New Roman" w:hAnsi="Times New Roman" w:hint="eastAsia"/>
          <w:color w:val="auto"/>
          <w:sz w:val="28"/>
          <w:szCs w:val="28"/>
          <w:lang w:eastAsia="zh-CN"/>
        </w:rPr>
        <w:t>、</w:t>
      </w:r>
      <w:r>
        <w:rPr>
          <w:rFonts w:ascii="Times New Roman" w:hAnsi="Times New Roman"/>
          <w:color w:val="auto"/>
          <w:sz w:val="28"/>
          <w:szCs w:val="28"/>
          <w:lang w:eastAsia="zh-CN"/>
        </w:rPr>
        <w:t>YAML</w:t>
      </w:r>
      <w:r>
        <w:rPr>
          <w:rFonts w:ascii="Times New Roman" w:hAnsi="Times New Roman" w:hint="eastAsia"/>
          <w:color w:val="auto"/>
          <w:sz w:val="28"/>
          <w:szCs w:val="28"/>
          <w:lang w:eastAsia="zh-CN"/>
        </w:rPr>
        <w:t>等，默认推荐</w:t>
      </w:r>
      <w:r>
        <w:rPr>
          <w:rFonts w:ascii="Times New Roman" w:hAnsi="Times New Roman"/>
          <w:color w:val="auto"/>
          <w:sz w:val="28"/>
          <w:szCs w:val="28"/>
          <w:lang w:eastAsia="zh-CN"/>
        </w:rPr>
        <w:t>JSON</w:t>
      </w:r>
      <w:r>
        <w:rPr>
          <w:rFonts w:ascii="Times New Roman" w:hAnsi="Times New Roman" w:hint="eastAsia"/>
          <w:color w:val="auto"/>
          <w:sz w:val="28"/>
          <w:szCs w:val="28"/>
          <w:lang w:eastAsia="zh-CN"/>
        </w:rPr>
        <w:t>：</w:t>
      </w:r>
    </w:p>
    <w:p w:rsidR="00B34C9C" w:rsidP="00B34C9C">
      <w:pPr>
        <w:pStyle w:val="a2"/>
        <w:spacing w:line="560" w:lineRule="exact"/>
        <w:ind w:firstLine="560"/>
        <w:rPr>
          <w:rFonts w:ascii="Times New Roman" w:hAnsi="Times New Roman"/>
          <w:color w:val="auto"/>
          <w:sz w:val="28"/>
          <w:szCs w:val="28"/>
        </w:rPr>
      </w:pPr>
      <w:r>
        <w:rPr>
          <w:rFonts w:ascii="Times New Roman" w:hAnsi="Times New Roman" w:hint="eastAsia"/>
          <w:color w:val="auto"/>
          <w:sz w:val="28"/>
          <w:szCs w:val="28"/>
        </w:rPr>
        <w:t>统一接口（</w:t>
      </w:r>
      <w:r>
        <w:rPr>
          <w:rFonts w:ascii="Times New Roman" w:hAnsi="Times New Roman"/>
          <w:color w:val="auto"/>
          <w:sz w:val="28"/>
          <w:szCs w:val="28"/>
        </w:rPr>
        <w:t>Uniform Interface</w:t>
      </w:r>
      <w:r>
        <w:rPr>
          <w:rFonts w:ascii="Times New Roman" w:hAnsi="Times New Roman" w:hint="eastAsia"/>
          <w:color w:val="auto"/>
          <w:sz w:val="28"/>
          <w:szCs w:val="28"/>
        </w:rPr>
        <w:t>）：所有操作遵循相同的</w:t>
      </w:r>
      <w:r>
        <w:rPr>
          <w:rFonts w:ascii="Times New Roman" w:hAnsi="Times New Roman"/>
          <w:color w:val="auto"/>
          <w:sz w:val="28"/>
          <w:szCs w:val="28"/>
        </w:rPr>
        <w:t>HTTP</w:t>
      </w:r>
      <w:r>
        <w:rPr>
          <w:rFonts w:ascii="Times New Roman" w:hAnsi="Times New Roman" w:hint="eastAsia"/>
          <w:color w:val="auto"/>
          <w:sz w:val="28"/>
          <w:szCs w:val="28"/>
        </w:rPr>
        <w:t>语义，降低学习成本。</w:t>
      </w:r>
    </w:p>
    <w:p w:rsidR="00B34C9C" w:rsidP="00B34C9C">
      <w:pPr>
        <w:pStyle w:val="a2"/>
        <w:spacing w:line="560" w:lineRule="exact"/>
        <w:ind w:firstLine="560"/>
        <w:rPr>
          <w:rFonts w:ascii="Times New Roman" w:hAnsi="Times New Roman"/>
          <w:color w:val="auto"/>
          <w:sz w:val="28"/>
          <w:szCs w:val="28"/>
        </w:rPr>
      </w:pPr>
      <w:r>
        <w:rPr>
          <w:rFonts w:ascii="Times New Roman" w:hAnsi="Times New Roman" w:cs="Times New Roman" w:hint="eastAsia"/>
          <w:color w:val="auto"/>
          <w:sz w:val="28"/>
          <w:szCs w:val="28"/>
        </w:rPr>
        <w:t>跨平台：</w:t>
      </w:r>
      <w:r>
        <w:rPr>
          <w:rFonts w:ascii="Times New Roman" w:hAnsi="Times New Roman" w:hint="eastAsia"/>
          <w:color w:val="auto"/>
          <w:sz w:val="28"/>
          <w:szCs w:val="28"/>
        </w:rPr>
        <w:t>基于</w:t>
      </w:r>
      <w:r>
        <w:rPr>
          <w:rFonts w:ascii="Times New Roman" w:hAnsi="Times New Roman"/>
          <w:color w:val="auto"/>
          <w:sz w:val="28"/>
          <w:szCs w:val="28"/>
        </w:rPr>
        <w:t>HTTP/HTTPS</w:t>
      </w:r>
      <w:r>
        <w:rPr>
          <w:rFonts w:ascii="Times New Roman" w:hAnsi="Times New Roman" w:hint="eastAsia"/>
          <w:color w:val="auto"/>
          <w:sz w:val="28"/>
          <w:szCs w:val="28"/>
        </w:rPr>
        <w:t>，兼容任何支持</w:t>
      </w:r>
      <w:r>
        <w:rPr>
          <w:rFonts w:ascii="Times New Roman" w:hAnsi="Times New Roman"/>
          <w:color w:val="auto"/>
          <w:sz w:val="28"/>
          <w:szCs w:val="28"/>
        </w:rPr>
        <w:t>HTTP</w:t>
      </w:r>
      <w:r>
        <w:rPr>
          <w:rFonts w:ascii="Times New Roman" w:hAnsi="Times New Roman" w:hint="eastAsia"/>
          <w:color w:val="auto"/>
          <w:sz w:val="28"/>
          <w:szCs w:val="28"/>
        </w:rPr>
        <w:t>的客户端（浏览器、移动端、</w:t>
      </w:r>
      <w:r>
        <w:rPr>
          <w:rFonts w:ascii="Times New Roman" w:hAnsi="Times New Roman"/>
          <w:color w:val="auto"/>
          <w:sz w:val="28"/>
          <w:szCs w:val="28"/>
        </w:rPr>
        <w:t>IoT</w:t>
      </w:r>
      <w:r>
        <w:rPr>
          <w:rFonts w:ascii="Times New Roman" w:hAnsi="Times New Roman" w:hint="eastAsia"/>
          <w:color w:val="auto"/>
          <w:sz w:val="28"/>
          <w:szCs w:val="28"/>
        </w:rPr>
        <w:t>设备）。</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版本控制：通过</w:t>
      </w:r>
      <w:r>
        <w:rPr>
          <w:rFonts w:ascii="Times New Roman" w:hAnsi="Times New Roman" w:cs="Times New Roman"/>
          <w:color w:val="auto"/>
          <w:sz w:val="28"/>
          <w:szCs w:val="28"/>
          <w:lang w:eastAsia="zh-CN"/>
        </w:rPr>
        <w:t>URI</w:t>
      </w:r>
      <w:r>
        <w:rPr>
          <w:rFonts w:ascii="Times New Roman" w:hAnsi="Times New Roman" w:cs="Times New Roman" w:hint="eastAsia"/>
          <w:color w:val="auto"/>
          <w:sz w:val="28"/>
          <w:szCs w:val="28"/>
          <w:lang w:eastAsia="zh-CN"/>
        </w:rPr>
        <w:t>或请求头实现多版本共存。</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color w:val="auto"/>
          <w:sz w:val="28"/>
          <w:szCs w:val="28"/>
          <w:lang w:eastAsia="zh-CN"/>
        </w:rPr>
        <w:t>3</w:t>
      </w:r>
      <w:r>
        <w:rPr>
          <w:rFonts w:ascii="Times New Roman" w:hAnsi="Times New Roman" w:cs="Times New Roman" w:hint="eastAsia"/>
          <w:color w:val="auto"/>
          <w:sz w:val="28"/>
          <w:szCs w:val="28"/>
          <w:lang w:eastAsia="zh-CN"/>
        </w:rPr>
        <w:t>）应用端与设备管理平台通信协议</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协议拟采用</w:t>
      </w:r>
      <w:r>
        <w:rPr>
          <w:rFonts w:ascii="Times New Roman" w:hAnsi="Times New Roman" w:cs="Times New Roman"/>
          <w:color w:val="auto"/>
          <w:sz w:val="28"/>
          <w:szCs w:val="28"/>
          <w:lang w:eastAsia="zh-CN"/>
        </w:rPr>
        <w:t xml:space="preserve"> HTTPS </w:t>
      </w:r>
      <w:r>
        <w:rPr>
          <w:rFonts w:ascii="Times New Roman" w:hAnsi="Times New Roman" w:cs="Times New Roman" w:hint="eastAsia"/>
          <w:color w:val="auto"/>
          <w:sz w:val="28"/>
          <w:szCs w:val="28"/>
          <w:lang w:eastAsia="zh-CN"/>
        </w:rPr>
        <w:t>协议：</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应用端向设备管理平台调用接口时，应采用更为安全的</w:t>
      </w:r>
      <w:r>
        <w:rPr>
          <w:rFonts w:ascii="Times New Roman" w:hAnsi="Times New Roman" w:cs="Times New Roman"/>
          <w:color w:val="auto"/>
          <w:sz w:val="28"/>
          <w:szCs w:val="28"/>
          <w:lang w:eastAsia="zh-CN"/>
        </w:rPr>
        <w:t>HTTPS</w:t>
      </w:r>
      <w:r>
        <w:rPr>
          <w:rFonts w:ascii="Times New Roman" w:hAnsi="Times New Roman" w:cs="Times New Roman" w:hint="eastAsia"/>
          <w:color w:val="auto"/>
          <w:sz w:val="28"/>
          <w:szCs w:val="28"/>
          <w:lang w:eastAsia="zh-CN"/>
        </w:rPr>
        <w:t>协议，实现数据加密传输，保证数据的完整性。，</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3</w:t>
      </w:r>
      <w:r>
        <w:rPr>
          <w:rFonts w:ascii="Times New Roman" w:hAnsi="Times New Roman" w:cs="Times New Roman" w:hint="eastAsia"/>
          <w:color w:val="auto"/>
          <w:sz w:val="28"/>
          <w:szCs w:val="28"/>
          <w:lang w:eastAsia="zh-CN"/>
        </w:rPr>
        <w:t>）通信协议安全设计</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color w:val="auto"/>
          <w:sz w:val="28"/>
          <w:szCs w:val="28"/>
          <w:lang w:eastAsia="zh-CN"/>
        </w:rPr>
        <w:t>1</w:t>
      </w:r>
      <w:r>
        <w:rPr>
          <w:rFonts w:ascii="Times New Roman" w:hAnsi="Times New Roman" w:cs="Times New Roman" w:hint="eastAsia"/>
          <w:color w:val="auto"/>
          <w:sz w:val="28"/>
          <w:szCs w:val="28"/>
          <w:lang w:eastAsia="zh-CN"/>
        </w:rPr>
        <w:t>）设备管理平台内部</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使用</w:t>
      </w:r>
      <w:r>
        <w:rPr>
          <w:rFonts w:ascii="Times New Roman" w:hAnsi="Times New Roman" w:cs="Times New Roman"/>
          <w:color w:val="auto"/>
          <w:sz w:val="28"/>
          <w:szCs w:val="28"/>
          <w:lang w:eastAsia="zh-CN"/>
        </w:rPr>
        <w:t xml:space="preserve"> HTTPS </w:t>
      </w:r>
      <w:r>
        <w:rPr>
          <w:rFonts w:ascii="Times New Roman" w:hAnsi="Times New Roman" w:cs="Times New Roman" w:hint="eastAsia"/>
          <w:color w:val="auto"/>
          <w:sz w:val="28"/>
          <w:szCs w:val="28"/>
          <w:lang w:eastAsia="zh-CN"/>
        </w:rPr>
        <w:t>加密通信，保护</w:t>
      </w:r>
      <w:r>
        <w:rPr>
          <w:rFonts w:ascii="Times New Roman" w:hAnsi="Times New Roman" w:cs="Times New Roman"/>
          <w:color w:val="auto"/>
          <w:sz w:val="28"/>
          <w:szCs w:val="28"/>
          <w:lang w:eastAsia="zh-CN"/>
        </w:rPr>
        <w:t xml:space="preserve"> API </w:t>
      </w:r>
      <w:r>
        <w:rPr>
          <w:rFonts w:ascii="Times New Roman" w:hAnsi="Times New Roman" w:cs="Times New Roman" w:hint="eastAsia"/>
          <w:color w:val="auto"/>
          <w:sz w:val="28"/>
          <w:szCs w:val="28"/>
          <w:lang w:eastAsia="zh-CN"/>
        </w:rPr>
        <w:t>接口安全；</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使用</w:t>
      </w:r>
      <w:r>
        <w:rPr>
          <w:rFonts w:ascii="Times New Roman" w:hAnsi="Times New Roman" w:cs="Times New Roman"/>
          <w:color w:val="auto"/>
          <w:sz w:val="28"/>
          <w:szCs w:val="28"/>
          <w:lang w:eastAsia="zh-CN"/>
        </w:rPr>
        <w:t xml:space="preserve"> OAuth2.0 </w:t>
      </w:r>
      <w:r>
        <w:rPr>
          <w:rFonts w:ascii="Times New Roman" w:hAnsi="Times New Roman" w:cs="Times New Roman" w:hint="eastAsia"/>
          <w:color w:val="auto"/>
          <w:sz w:val="28"/>
          <w:szCs w:val="28"/>
          <w:lang w:eastAsia="zh-CN"/>
        </w:rPr>
        <w:t>等授权机制，控制</w:t>
      </w:r>
      <w:r>
        <w:rPr>
          <w:rFonts w:ascii="Times New Roman" w:hAnsi="Times New Roman" w:cs="Times New Roman"/>
          <w:color w:val="auto"/>
          <w:sz w:val="28"/>
          <w:szCs w:val="28"/>
          <w:lang w:eastAsia="zh-CN"/>
        </w:rPr>
        <w:t xml:space="preserve"> API </w:t>
      </w:r>
      <w:r>
        <w:rPr>
          <w:rFonts w:ascii="Times New Roman" w:hAnsi="Times New Roman" w:cs="Times New Roman" w:hint="eastAsia"/>
          <w:color w:val="auto"/>
          <w:sz w:val="28"/>
          <w:szCs w:val="28"/>
          <w:lang w:eastAsia="zh-CN"/>
        </w:rPr>
        <w:t>访问权限。</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color w:val="auto"/>
          <w:sz w:val="28"/>
          <w:szCs w:val="28"/>
          <w:lang w:eastAsia="zh-CN"/>
        </w:rPr>
        <w:t>2</w:t>
      </w:r>
      <w:r>
        <w:rPr>
          <w:rFonts w:ascii="Times New Roman" w:hAnsi="Times New Roman" w:cs="Times New Roman" w:hint="eastAsia"/>
          <w:color w:val="auto"/>
          <w:sz w:val="28"/>
          <w:szCs w:val="28"/>
          <w:lang w:eastAsia="zh-CN"/>
        </w:rPr>
        <w:t>）应用端与设备管理平台</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使用</w:t>
      </w:r>
      <w:r>
        <w:rPr>
          <w:rFonts w:ascii="Times New Roman" w:hAnsi="Times New Roman" w:cs="Times New Roman"/>
          <w:color w:val="auto"/>
          <w:sz w:val="28"/>
          <w:szCs w:val="28"/>
          <w:lang w:eastAsia="zh-CN"/>
        </w:rPr>
        <w:t xml:space="preserve"> HTTPS</w:t>
      </w:r>
      <w:r>
        <w:rPr>
          <w:rFonts w:ascii="Times New Roman" w:hAnsi="Times New Roman" w:cs="Times New Roman" w:hint="eastAsia"/>
          <w:color w:val="auto"/>
          <w:sz w:val="28"/>
          <w:szCs w:val="28"/>
          <w:lang w:eastAsia="zh-CN"/>
        </w:rPr>
        <w:t>加密通信，防止数据被窃听和篡改；</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使用用户认证机制，防止非法用户访问。</w:t>
      </w:r>
    </w:p>
    <w:p w:rsidR="00B34C9C" w:rsidP="00B34C9C">
      <w:pPr>
        <w:ind w:firstLine="560" w:firstLineChars="200"/>
        <w:rPr>
          <w:rFonts w:ascii="Times New Roman" w:hAnsi="Times New Roman" w:cs="Times New Roman"/>
          <w:sz w:val="28"/>
        </w:rPr>
      </w:pPr>
      <w:bookmarkStart w:id="63" w:name="_Toc212130686"/>
      <w:r>
        <w:rPr>
          <w:sz w:val="28"/>
        </w:rPr>
        <w:t xml:space="preserve">3. </w:t>
      </w:r>
      <w:r>
        <w:rPr>
          <w:rFonts w:hint="eastAsia"/>
          <w:sz w:val="28"/>
        </w:rPr>
        <w:t>设备性能</w:t>
      </w:r>
      <w:bookmarkEnd w:id="63"/>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1</w:t>
      </w:r>
      <w:r>
        <w:rPr>
          <w:rFonts w:ascii="Times New Roman" w:hAnsi="Times New Roman" w:cs="Times New Roman" w:hint="eastAsia"/>
          <w:color w:val="auto"/>
          <w:sz w:val="28"/>
          <w:szCs w:val="28"/>
          <w:lang w:eastAsia="zh-CN"/>
        </w:rPr>
        <w:t>）低功耗运行</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采用自供电及</w:t>
      </w:r>
      <w:r>
        <w:rPr>
          <w:rFonts w:ascii="Times New Roman" w:hAnsi="Times New Roman" w:cs="Times New Roman"/>
          <w:color w:val="auto"/>
          <w:sz w:val="28"/>
          <w:szCs w:val="28"/>
          <w:lang w:eastAsia="zh-CN"/>
        </w:rPr>
        <w:t>NB-IoT</w:t>
      </w:r>
      <w:r>
        <w:rPr>
          <w:rFonts w:ascii="Times New Roman" w:hAnsi="Times New Roman" w:cs="Times New Roman" w:hint="eastAsia"/>
          <w:color w:val="auto"/>
          <w:sz w:val="28"/>
          <w:szCs w:val="28"/>
          <w:lang w:eastAsia="zh-CN"/>
        </w:rPr>
        <w:t>通信技术，确保设备在低功耗模式下长期运行，电池续航能力至少达到</w:t>
      </w:r>
      <w:r>
        <w:rPr>
          <w:rFonts w:ascii="Times New Roman" w:hAnsi="Times New Roman" w:cs="Times New Roman"/>
          <w:color w:val="auto"/>
          <w:sz w:val="28"/>
          <w:szCs w:val="28"/>
          <w:lang w:eastAsia="zh-CN"/>
        </w:rPr>
        <w:t>1.5</w:t>
      </w:r>
      <w:r>
        <w:rPr>
          <w:rFonts w:ascii="Times New Roman" w:hAnsi="Times New Roman" w:cs="Times New Roman" w:hint="eastAsia"/>
          <w:color w:val="auto"/>
          <w:sz w:val="28"/>
          <w:szCs w:val="28"/>
          <w:lang w:eastAsia="zh-CN"/>
        </w:rPr>
        <w:t>年以上。</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2</w:t>
      </w:r>
      <w:r>
        <w:rPr>
          <w:rFonts w:ascii="Times New Roman" w:hAnsi="Times New Roman" w:cs="Times New Roman" w:hint="eastAsia"/>
          <w:color w:val="auto"/>
          <w:sz w:val="28"/>
          <w:szCs w:val="28"/>
          <w:lang w:eastAsia="zh-CN"/>
        </w:rPr>
        <w:t>）高精度监测</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采用高精度液位传感器，确保水位数据的准确性，精度满足±</w:t>
      </w:r>
      <w:r>
        <w:rPr>
          <w:rFonts w:ascii="Times New Roman" w:hAnsi="Times New Roman" w:cs="Times New Roman"/>
          <w:color w:val="auto"/>
          <w:sz w:val="28"/>
          <w:szCs w:val="28"/>
          <w:lang w:eastAsia="zh-CN"/>
        </w:rPr>
        <w:t>1mm</w:t>
      </w:r>
      <w:r>
        <w:rPr>
          <w:rFonts w:ascii="Times New Roman" w:hAnsi="Times New Roman" w:cs="Times New Roman" w:hint="eastAsia"/>
          <w:color w:val="auto"/>
          <w:sz w:val="28"/>
          <w:szCs w:val="28"/>
          <w:lang w:eastAsia="zh-CN"/>
        </w:rPr>
        <w:t>。</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3</w:t>
      </w:r>
      <w:r>
        <w:rPr>
          <w:rFonts w:ascii="Times New Roman" w:hAnsi="Times New Roman" w:cs="Times New Roman" w:hint="eastAsia"/>
          <w:color w:val="auto"/>
          <w:sz w:val="28"/>
          <w:szCs w:val="28"/>
          <w:lang w:eastAsia="zh-CN"/>
        </w:rPr>
        <w:t>）高可靠性</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确保数据传输的成功率≥</w:t>
      </w:r>
      <w:r>
        <w:rPr>
          <w:rFonts w:ascii="Times New Roman" w:hAnsi="Times New Roman" w:cs="Times New Roman"/>
          <w:color w:val="auto"/>
          <w:sz w:val="28"/>
          <w:szCs w:val="28"/>
          <w:lang w:eastAsia="zh-CN"/>
        </w:rPr>
        <w:t>99%</w:t>
      </w:r>
      <w:r>
        <w:rPr>
          <w:rFonts w:ascii="Times New Roman" w:hAnsi="Times New Roman" w:cs="Times New Roman" w:hint="eastAsia"/>
          <w:color w:val="auto"/>
          <w:sz w:val="28"/>
          <w:szCs w:val="28"/>
          <w:lang w:eastAsia="zh-CN"/>
        </w:rPr>
        <w:t>，系统具备自动重传机制，防止数据丢失。</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4</w:t>
      </w:r>
      <w:r>
        <w:rPr>
          <w:rFonts w:ascii="Times New Roman" w:hAnsi="Times New Roman" w:cs="Times New Roman" w:hint="eastAsia"/>
          <w:color w:val="auto"/>
          <w:sz w:val="28"/>
          <w:szCs w:val="28"/>
          <w:lang w:eastAsia="zh-CN"/>
        </w:rPr>
        <w:t>）易维护性</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设备应具备远程诊断和故障排查功能，减少现场维护成本。</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5</w:t>
      </w:r>
      <w:r>
        <w:rPr>
          <w:rFonts w:ascii="Times New Roman" w:hAnsi="Times New Roman" w:cs="Times New Roman" w:hint="eastAsia"/>
          <w:color w:val="auto"/>
          <w:sz w:val="28"/>
          <w:szCs w:val="28"/>
          <w:lang w:eastAsia="zh-CN"/>
        </w:rPr>
        <w:t>）安全性</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数据传输采用加密协议，确保数据的安全性和隐私性。</w:t>
      </w:r>
    </w:p>
    <w:p w:rsidR="00B34C9C" w:rsidP="00B34C9C">
      <w:pPr>
        <w:pStyle w:val="a2"/>
        <w:spacing w:line="560" w:lineRule="exact"/>
        <w:ind w:firstLine="560"/>
        <w:rPr>
          <w:rFonts w:ascii="Times New Roman" w:hAnsi="Times New Roman" w:cs="Times New Roman"/>
          <w:color w:val="auto"/>
          <w:sz w:val="28"/>
          <w:szCs w:val="28"/>
          <w:lang w:eastAsia="zh-CN"/>
        </w:rPr>
      </w:pPr>
      <w:bookmarkStart w:id="64" w:name="_Toc190272558"/>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6</w:t>
      </w:r>
      <w:r>
        <w:rPr>
          <w:rFonts w:ascii="Times New Roman" w:hAnsi="Times New Roman" w:cs="Times New Roman" w:hint="eastAsia"/>
          <w:color w:val="auto"/>
          <w:sz w:val="28"/>
          <w:szCs w:val="28"/>
          <w:lang w:eastAsia="zh-CN"/>
        </w:rPr>
        <w:t>）数据存储与管理</w:t>
      </w:r>
      <w:bookmarkEnd w:id="64"/>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云端平台应采用分布式数据库，确保数据的高可用性和可扩展性。数据存储应具备自动备份和恢复功能，防止数据丢失。</w:t>
      </w:r>
    </w:p>
    <w:p w:rsidR="00B34C9C" w:rsidP="00B34C9C">
      <w:pPr>
        <w:pStyle w:val="a2"/>
        <w:spacing w:line="560" w:lineRule="exact"/>
        <w:ind w:firstLine="560"/>
        <w:rPr>
          <w:rFonts w:ascii="Times New Roman" w:hAnsi="Times New Roman" w:cs="Times New Roman"/>
          <w:color w:val="auto"/>
          <w:sz w:val="28"/>
          <w:szCs w:val="28"/>
          <w:lang w:eastAsia="zh-CN"/>
        </w:rPr>
      </w:pPr>
      <w:bookmarkStart w:id="65" w:name="_Toc190272559"/>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7</w:t>
      </w:r>
      <w:r>
        <w:rPr>
          <w:rFonts w:ascii="Times New Roman" w:hAnsi="Times New Roman" w:cs="Times New Roman" w:hint="eastAsia"/>
          <w:color w:val="auto"/>
          <w:sz w:val="28"/>
          <w:szCs w:val="28"/>
          <w:lang w:eastAsia="zh-CN"/>
        </w:rPr>
        <w:t>）跨区域联网管理</w:t>
      </w:r>
      <w:bookmarkEnd w:id="65"/>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系统应支持跨区域联网管理，确保不同省市的监测站点能够统一管理和调度。云端平台应提供跨区域的数据共享和协同预警功能。</w:t>
      </w:r>
    </w:p>
    <w:p w:rsidR="00B34C9C" w:rsidP="00B34C9C">
      <w:pPr>
        <w:pStyle w:val="a2"/>
        <w:spacing w:line="560" w:lineRule="exact"/>
        <w:ind w:firstLine="560"/>
        <w:rPr>
          <w:rFonts w:ascii="Times New Roman" w:hAnsi="Times New Roman" w:cs="Times New Roman"/>
          <w:color w:val="auto"/>
          <w:sz w:val="28"/>
          <w:szCs w:val="28"/>
          <w:lang w:eastAsia="zh-CN"/>
        </w:rPr>
      </w:pPr>
      <w:bookmarkStart w:id="66" w:name="_Toc190272560"/>
      <w:r>
        <w:rPr>
          <w:rFonts w:ascii="Times New Roman" w:hAnsi="Times New Roman" w:cs="Times New Roman" w:hint="eastAsia"/>
          <w:color w:val="auto"/>
          <w:sz w:val="28"/>
          <w:szCs w:val="28"/>
          <w:lang w:eastAsia="zh-CN"/>
        </w:rPr>
        <w:t>（</w:t>
      </w:r>
      <w:r>
        <w:rPr>
          <w:rFonts w:ascii="Times New Roman" w:hAnsi="Times New Roman" w:cs="Times New Roman"/>
          <w:color w:val="auto"/>
          <w:sz w:val="28"/>
          <w:szCs w:val="28"/>
          <w:lang w:eastAsia="zh-CN"/>
        </w:rPr>
        <w:t>8</w:t>
      </w:r>
      <w:r>
        <w:rPr>
          <w:rFonts w:ascii="Times New Roman" w:hAnsi="Times New Roman" w:cs="Times New Roman" w:hint="eastAsia"/>
          <w:color w:val="auto"/>
          <w:sz w:val="28"/>
          <w:szCs w:val="28"/>
          <w:lang w:eastAsia="zh-CN"/>
        </w:rPr>
        <w:t>）高并发处理</w:t>
      </w:r>
      <w:bookmarkEnd w:id="66"/>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云端平台应具备高并发处理能力，支持百万级终端同时接入和数</w:t>
      </w:r>
      <w:r>
        <w:rPr>
          <w:rFonts w:ascii="Times New Roman" w:hAnsi="Times New Roman" w:cs="Times New Roman" w:hint="eastAsia"/>
          <w:color w:val="auto"/>
          <w:sz w:val="28"/>
          <w:szCs w:val="28"/>
          <w:lang w:eastAsia="zh-CN"/>
        </w:rPr>
        <w:t>据上传。系统应采用负载均衡技术，确保在高并发情况下稳定运行。</w:t>
      </w:r>
    </w:p>
    <w:p w:rsidR="00B34C9C" w:rsidP="00B34C9C">
      <w:pPr>
        <w:pStyle w:val="a2"/>
        <w:spacing w:line="560" w:lineRule="exact"/>
        <w:ind w:firstLine="560"/>
        <w:rPr>
          <w:rFonts w:ascii="Times New Roman" w:hAnsi="Times New Roman" w:cs="Times New Roman"/>
          <w:color w:val="auto"/>
          <w:sz w:val="28"/>
          <w:szCs w:val="28"/>
          <w:lang w:eastAsia="zh-CN"/>
        </w:rPr>
      </w:pPr>
      <w:r>
        <w:rPr>
          <w:rFonts w:ascii="Times New Roman" w:hAnsi="Times New Roman" w:cs="Times New Roman" w:hint="eastAsia"/>
          <w:color w:val="auto"/>
          <w:sz w:val="28"/>
          <w:szCs w:val="28"/>
          <w:lang w:eastAsia="zh-CN"/>
        </w:rPr>
        <w:t>设备硬件指标详见下表。</w:t>
      </w:r>
    </w:p>
    <w:p w:rsidR="00B34C9C" w:rsidP="00B34C9C">
      <w:pPr>
        <w:pStyle w:val="Caption"/>
      </w:pPr>
      <w:r>
        <w:rPr>
          <w:rFonts w:hint="eastAsia"/>
        </w:rPr>
        <w:t>表</w:t>
      </w:r>
      <w:r>
        <w:t xml:space="preserve">2  </w:t>
      </w:r>
      <w:r>
        <w:rPr>
          <w:rFonts w:hint="eastAsia"/>
        </w:rPr>
        <w:t>城市暴雨积涝监测设备硬件指标</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9"/>
        <w:gridCol w:w="5857"/>
      </w:tblGrid>
      <w:tr w:rsidTr="00B34C9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90"/>
          <w:jc w:val="center"/>
        </w:trPr>
        <w:tc>
          <w:tcPr>
            <w:tcW w:w="243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rFonts w:hint="eastAsia"/>
                <w:szCs w:val="21"/>
              </w:rPr>
              <w:t>供电方式</w:t>
            </w:r>
          </w:p>
        </w:tc>
        <w:tc>
          <w:tcPr>
            <w:tcW w:w="585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rFonts w:hint="eastAsia"/>
                <w:szCs w:val="21"/>
              </w:rPr>
              <w:t>内置锂亚电池</w:t>
            </w:r>
          </w:p>
        </w:tc>
      </w:tr>
      <w:tr w:rsidTr="00B34C9C">
        <w:tblPrEx>
          <w:tblW w:w="0" w:type="auto"/>
          <w:jc w:val="center"/>
          <w:tblLook w:val="04A0"/>
        </w:tblPrEx>
        <w:trPr>
          <w:trHeight w:val="541"/>
          <w:jc w:val="center"/>
        </w:trPr>
        <w:tc>
          <w:tcPr>
            <w:tcW w:w="243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rFonts w:hint="eastAsia"/>
                <w:szCs w:val="21"/>
              </w:rPr>
              <w:t>工作电压</w:t>
            </w:r>
          </w:p>
        </w:tc>
        <w:tc>
          <w:tcPr>
            <w:tcW w:w="585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szCs w:val="21"/>
              </w:rPr>
              <w:t>3.6VDC</w:t>
            </w:r>
          </w:p>
        </w:tc>
      </w:tr>
      <w:tr w:rsidTr="00B34C9C">
        <w:tblPrEx>
          <w:tblW w:w="0" w:type="auto"/>
          <w:jc w:val="center"/>
          <w:tblLook w:val="04A0"/>
        </w:tblPrEx>
        <w:trPr>
          <w:trHeight w:val="540"/>
          <w:jc w:val="center"/>
        </w:trPr>
        <w:tc>
          <w:tcPr>
            <w:tcW w:w="243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rFonts w:hint="eastAsia"/>
                <w:szCs w:val="21"/>
              </w:rPr>
              <w:t>电池使用</w:t>
            </w:r>
          </w:p>
        </w:tc>
        <w:tc>
          <w:tcPr>
            <w:tcW w:w="585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szCs w:val="21"/>
              </w:rPr>
              <w:t>1.5</w:t>
            </w:r>
            <w:r>
              <w:rPr>
                <w:rFonts w:hint="eastAsia"/>
                <w:szCs w:val="21"/>
              </w:rPr>
              <w:t>年</w:t>
            </w:r>
          </w:p>
        </w:tc>
      </w:tr>
      <w:tr w:rsidTr="00B34C9C">
        <w:tblPrEx>
          <w:tblW w:w="0" w:type="auto"/>
          <w:jc w:val="center"/>
          <w:tblLook w:val="04A0"/>
        </w:tblPrEx>
        <w:trPr>
          <w:trHeight w:val="541"/>
          <w:jc w:val="center"/>
        </w:trPr>
        <w:tc>
          <w:tcPr>
            <w:tcW w:w="243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rFonts w:hint="eastAsia"/>
                <w:szCs w:val="21"/>
              </w:rPr>
              <w:t>通讯方式</w:t>
            </w:r>
          </w:p>
        </w:tc>
        <w:tc>
          <w:tcPr>
            <w:tcW w:w="585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szCs w:val="21"/>
              </w:rPr>
              <w:t>NB-IoT</w:t>
            </w:r>
            <w:r>
              <w:rPr>
                <w:rFonts w:hint="eastAsia"/>
                <w:szCs w:val="21"/>
              </w:rPr>
              <w:t>窄带网络</w:t>
            </w:r>
          </w:p>
        </w:tc>
      </w:tr>
      <w:tr w:rsidTr="00B34C9C">
        <w:tblPrEx>
          <w:tblW w:w="0" w:type="auto"/>
          <w:jc w:val="center"/>
          <w:tblLook w:val="04A0"/>
        </w:tblPrEx>
        <w:trPr>
          <w:trHeight w:val="540"/>
          <w:jc w:val="center"/>
        </w:trPr>
        <w:tc>
          <w:tcPr>
            <w:tcW w:w="243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rFonts w:hint="eastAsia"/>
                <w:szCs w:val="21"/>
              </w:rPr>
              <w:t>检测范围</w:t>
            </w:r>
          </w:p>
        </w:tc>
        <w:tc>
          <w:tcPr>
            <w:tcW w:w="585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szCs w:val="21"/>
              </w:rPr>
              <w:t>0-3000mm</w:t>
            </w:r>
            <w:r>
              <w:rPr>
                <w:rFonts w:hint="eastAsia"/>
                <w:szCs w:val="21"/>
              </w:rPr>
              <w:t>（可根据现场调整或定制）</w:t>
            </w:r>
          </w:p>
        </w:tc>
      </w:tr>
      <w:tr w:rsidTr="00B34C9C">
        <w:tblPrEx>
          <w:tblW w:w="0" w:type="auto"/>
          <w:jc w:val="center"/>
          <w:tblLook w:val="04A0"/>
        </w:tblPrEx>
        <w:trPr>
          <w:trHeight w:val="540"/>
          <w:jc w:val="center"/>
        </w:trPr>
        <w:tc>
          <w:tcPr>
            <w:tcW w:w="243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rFonts w:hint="eastAsia"/>
                <w:szCs w:val="21"/>
              </w:rPr>
              <w:t>检测精度</w:t>
            </w:r>
          </w:p>
        </w:tc>
        <w:tc>
          <w:tcPr>
            <w:tcW w:w="585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rFonts w:hint="eastAsia"/>
                <w:szCs w:val="21"/>
              </w:rPr>
              <w:t>±</w:t>
            </w:r>
            <w:r>
              <w:rPr>
                <w:szCs w:val="21"/>
              </w:rPr>
              <w:t>1mm</w:t>
            </w:r>
          </w:p>
        </w:tc>
      </w:tr>
      <w:tr w:rsidTr="00B34C9C">
        <w:tblPrEx>
          <w:tblW w:w="0" w:type="auto"/>
          <w:jc w:val="center"/>
          <w:tblLook w:val="04A0"/>
        </w:tblPrEx>
        <w:trPr>
          <w:trHeight w:val="540"/>
          <w:jc w:val="center"/>
        </w:trPr>
        <w:tc>
          <w:tcPr>
            <w:tcW w:w="243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rFonts w:hint="eastAsia"/>
                <w:szCs w:val="21"/>
              </w:rPr>
              <w:t>采集频率</w:t>
            </w:r>
          </w:p>
        </w:tc>
        <w:tc>
          <w:tcPr>
            <w:tcW w:w="585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szCs w:val="21"/>
              </w:rPr>
              <w:t>5-1440min</w:t>
            </w:r>
            <w:r>
              <w:rPr>
                <w:rFonts w:hint="eastAsia"/>
                <w:szCs w:val="21"/>
              </w:rPr>
              <w:t>（根据实际需要设定）</w:t>
            </w:r>
          </w:p>
        </w:tc>
      </w:tr>
      <w:tr w:rsidTr="00B34C9C">
        <w:tblPrEx>
          <w:tblW w:w="0" w:type="auto"/>
          <w:jc w:val="center"/>
          <w:tblLook w:val="04A0"/>
        </w:tblPrEx>
        <w:trPr>
          <w:trHeight w:val="540"/>
          <w:jc w:val="center"/>
        </w:trPr>
        <w:tc>
          <w:tcPr>
            <w:tcW w:w="243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rFonts w:hint="eastAsia"/>
                <w:szCs w:val="21"/>
              </w:rPr>
              <w:t>运行温度</w:t>
            </w:r>
          </w:p>
        </w:tc>
        <w:tc>
          <w:tcPr>
            <w:tcW w:w="585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szCs w:val="21"/>
              </w:rPr>
              <w:t>-40</w:t>
            </w:r>
            <w:r>
              <w:rPr>
                <w:rFonts w:hint="eastAsia"/>
                <w:szCs w:val="21"/>
              </w:rPr>
              <w:t>℃—</w:t>
            </w:r>
            <w:r>
              <w:rPr>
                <w:szCs w:val="21"/>
              </w:rPr>
              <w:t xml:space="preserve"> +85</w:t>
            </w:r>
            <w:r>
              <w:rPr>
                <w:rFonts w:hint="eastAsia"/>
                <w:szCs w:val="21"/>
              </w:rPr>
              <w:t>℃</w:t>
            </w:r>
          </w:p>
        </w:tc>
      </w:tr>
      <w:tr w:rsidTr="00B34C9C">
        <w:tblPrEx>
          <w:tblW w:w="0" w:type="auto"/>
          <w:jc w:val="center"/>
          <w:tblLook w:val="04A0"/>
        </w:tblPrEx>
        <w:trPr>
          <w:trHeight w:val="540"/>
          <w:jc w:val="center"/>
        </w:trPr>
        <w:tc>
          <w:tcPr>
            <w:tcW w:w="243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rFonts w:hint="eastAsia"/>
                <w:szCs w:val="21"/>
              </w:rPr>
              <w:t>运行环境</w:t>
            </w:r>
          </w:p>
        </w:tc>
        <w:tc>
          <w:tcPr>
            <w:tcW w:w="585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rFonts w:hint="eastAsia"/>
                <w:szCs w:val="21"/>
              </w:rPr>
              <w:t>＜</w:t>
            </w:r>
            <w:r>
              <w:rPr>
                <w:szCs w:val="21"/>
              </w:rPr>
              <w:t>95%RH</w:t>
            </w:r>
            <w:r>
              <w:rPr>
                <w:rFonts w:hint="eastAsia"/>
                <w:szCs w:val="21"/>
              </w:rPr>
              <w:t>（非冷凝）</w:t>
            </w:r>
          </w:p>
        </w:tc>
      </w:tr>
      <w:tr w:rsidTr="00B34C9C">
        <w:tblPrEx>
          <w:tblW w:w="0" w:type="auto"/>
          <w:jc w:val="center"/>
          <w:tblLook w:val="04A0"/>
        </w:tblPrEx>
        <w:trPr>
          <w:trHeight w:val="540"/>
          <w:jc w:val="center"/>
        </w:trPr>
        <w:tc>
          <w:tcPr>
            <w:tcW w:w="243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rFonts w:hint="eastAsia"/>
                <w:szCs w:val="21"/>
              </w:rPr>
              <w:t>防护等级</w:t>
            </w:r>
          </w:p>
        </w:tc>
        <w:tc>
          <w:tcPr>
            <w:tcW w:w="585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szCs w:val="21"/>
              </w:rPr>
              <w:t xml:space="preserve">IP68 </w:t>
            </w:r>
          </w:p>
        </w:tc>
      </w:tr>
      <w:tr w:rsidTr="00B34C9C">
        <w:tblPrEx>
          <w:tblW w:w="0" w:type="auto"/>
          <w:jc w:val="center"/>
          <w:tblLook w:val="04A0"/>
        </w:tblPrEx>
        <w:trPr>
          <w:trHeight w:val="540"/>
          <w:jc w:val="center"/>
        </w:trPr>
        <w:tc>
          <w:tcPr>
            <w:tcW w:w="243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rFonts w:hint="eastAsia"/>
                <w:szCs w:val="21"/>
              </w:rPr>
              <w:t>静态电流</w:t>
            </w:r>
          </w:p>
        </w:tc>
        <w:tc>
          <w:tcPr>
            <w:tcW w:w="585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jc w:val="center"/>
              <w:rPr>
                <w:rFonts w:eastAsia="方正仿宋"/>
                <w:szCs w:val="21"/>
              </w:rPr>
            </w:pPr>
            <w:r>
              <w:rPr>
                <w:rFonts w:hint="eastAsia"/>
                <w:szCs w:val="21"/>
              </w:rPr>
              <w:t>＜</w:t>
            </w:r>
            <w:r>
              <w:rPr>
                <w:szCs w:val="21"/>
              </w:rPr>
              <w:t>20</w:t>
            </w:r>
            <w:r>
              <w:rPr>
                <w:rFonts w:hint="eastAsia"/>
                <w:szCs w:val="21"/>
              </w:rPr>
              <w:t>μ</w:t>
            </w:r>
            <w:r>
              <w:rPr>
                <w:szCs w:val="21"/>
              </w:rPr>
              <w:t>A</w:t>
            </w:r>
          </w:p>
        </w:tc>
      </w:tr>
    </w:tbl>
    <w:p w:rsidR="00B34C9C" w:rsidP="00B34C9C">
      <w:pPr>
        <w:ind w:firstLine="560" w:firstLineChars="200"/>
        <w:rPr>
          <w:rFonts w:ascii="Times New Roman" w:eastAsia="方正仿宋" w:hAnsi="Times New Roman" w:cs="Times New Roman"/>
          <w:sz w:val="28"/>
        </w:rPr>
      </w:pPr>
      <w:r>
        <w:rPr>
          <w:sz w:val="28"/>
        </w:rPr>
        <w:t>4.</w:t>
      </w:r>
      <w:r>
        <w:rPr>
          <w:rFonts w:hint="eastAsia"/>
          <w:sz w:val="28"/>
        </w:rPr>
        <w:t>设备安装及配套基础设施建设要求</w:t>
      </w:r>
    </w:p>
    <w:p w:rsidR="00B34C9C" w:rsidP="00B34C9C">
      <w:pPr>
        <w:adjustRightInd w:val="0"/>
        <w:snapToGrid w:val="0"/>
        <w:spacing w:line="560" w:lineRule="exact"/>
        <w:ind w:firstLine="560" w:firstLineChars="200"/>
        <w:rPr>
          <w:rFonts w:eastAsia="仿宋_GB2312"/>
          <w:sz w:val="28"/>
          <w:szCs w:val="28"/>
        </w:rPr>
      </w:pPr>
      <w:bookmarkStart w:id="67" w:name="_Toc190272562"/>
      <w:bookmarkStart w:id="68" w:name="_Toc190272563"/>
      <w:r>
        <w:rPr>
          <w:rFonts w:eastAsia="仿宋_GB2312" w:hint="eastAsia"/>
          <w:sz w:val="28"/>
          <w:szCs w:val="28"/>
        </w:rPr>
        <w:t>（</w:t>
      </w:r>
      <w:r>
        <w:rPr>
          <w:rFonts w:eastAsia="仿宋_GB2312"/>
          <w:sz w:val="28"/>
          <w:szCs w:val="28"/>
        </w:rPr>
        <w:t>1</w:t>
      </w:r>
      <w:r>
        <w:rPr>
          <w:rFonts w:eastAsia="仿宋_GB2312" w:hint="eastAsia"/>
          <w:sz w:val="28"/>
          <w:szCs w:val="28"/>
        </w:rPr>
        <w:t>）安装方式</w:t>
      </w:r>
      <w:bookmarkEnd w:id="67"/>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综合考虑设备采购、安装及运维成本、维护便捷性及设备安全性，根据各地具体的应用场景、环境条件和设备类型进行设计，确保设备的稳定运行和数据采集的准确性，采用塔杆悬挂为主，地下埋设为辅的混合部署模式，结合各城市实际情况选择性价比最优方案。可借助现有的灯杆、监控杆、龙门架、涵洞墙壁等已有设施进行安装，采取地埋式安装的，需选择空间开阔、便于开挖、信号干扰小的地点，最大限度降低安装、维护方面的额外成本。对现场没有任何可借助的其他安装支撑时，可采用标准型立杆安装，本项目不包含该部分安装费用（含地基、杆体等），需另行支出。常规安装方式如下：</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1</w:t>
      </w:r>
      <w:r>
        <w:rPr>
          <w:rFonts w:eastAsia="仿宋_GB2312" w:hint="eastAsia"/>
          <w:sz w:val="28"/>
          <w:szCs w:val="28"/>
        </w:rPr>
        <w:t>）立杆式安装</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适用场景</w:t>
      </w:r>
      <w:r>
        <w:rPr>
          <w:rFonts w:eastAsia="仿宋_GB2312"/>
          <w:sz w:val="28"/>
          <w:szCs w:val="28"/>
        </w:rPr>
        <w:t xml:space="preserve">: </w:t>
      </w:r>
      <w:r>
        <w:rPr>
          <w:rFonts w:eastAsia="仿宋_GB2312" w:hint="eastAsia"/>
          <w:sz w:val="28"/>
          <w:szCs w:val="28"/>
        </w:rPr>
        <w:t>道路、广场、公园等开阔区域；</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安装方式</w:t>
      </w:r>
      <w:r>
        <w:rPr>
          <w:rFonts w:eastAsia="仿宋_GB2312"/>
          <w:sz w:val="28"/>
          <w:szCs w:val="28"/>
        </w:rPr>
        <w:t xml:space="preserve">: </w:t>
      </w:r>
      <w:r>
        <w:rPr>
          <w:rFonts w:eastAsia="仿宋_GB2312" w:hint="eastAsia"/>
          <w:sz w:val="28"/>
          <w:szCs w:val="28"/>
        </w:rPr>
        <w:t>将设备安装在已有杆体上部，安装高度根据实际需求确定，一般建议在</w:t>
      </w:r>
      <w:r>
        <w:rPr>
          <w:rFonts w:eastAsia="仿宋_GB2312"/>
          <w:sz w:val="28"/>
          <w:szCs w:val="28"/>
        </w:rPr>
        <w:t xml:space="preserve"> 2-2.5</w:t>
      </w:r>
      <w:r>
        <w:rPr>
          <w:rFonts w:eastAsia="仿宋_GB2312" w:hint="eastAsia"/>
          <w:sz w:val="28"/>
          <w:szCs w:val="28"/>
        </w:rPr>
        <w:t>米左右；</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优点</w:t>
      </w:r>
      <w:r>
        <w:rPr>
          <w:rFonts w:eastAsia="仿宋_GB2312"/>
          <w:sz w:val="28"/>
          <w:szCs w:val="28"/>
        </w:rPr>
        <w:t xml:space="preserve">: </w:t>
      </w:r>
      <w:r>
        <w:rPr>
          <w:rFonts w:eastAsia="仿宋_GB2312" w:hint="eastAsia"/>
          <w:sz w:val="28"/>
          <w:szCs w:val="28"/>
        </w:rPr>
        <w:t>安装简单，维护方便，信号接收良好；</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缺点</w:t>
      </w:r>
      <w:r>
        <w:rPr>
          <w:rFonts w:eastAsia="仿宋_GB2312"/>
          <w:sz w:val="28"/>
          <w:szCs w:val="28"/>
        </w:rPr>
        <w:t xml:space="preserve">: </w:t>
      </w:r>
      <w:r>
        <w:rPr>
          <w:rFonts w:eastAsia="仿宋_GB2312" w:hint="eastAsia"/>
          <w:sz w:val="28"/>
          <w:szCs w:val="28"/>
        </w:rPr>
        <w:t>受风力影响较大，需要做好防雷措施。</w:t>
      </w:r>
    </w:p>
    <w:p w:rsidR="00B34C9C" w:rsidP="00B34C9C">
      <w:pPr>
        <w:adjustRightInd w:val="0"/>
        <w:snapToGrid w:val="0"/>
        <w:jc w:val="center"/>
        <w:rPr>
          <w:rFonts w:eastAsia="仿宋_GB2312"/>
          <w:szCs w:val="21"/>
        </w:rPr>
      </w:pPr>
      <w:r>
        <w:rPr>
          <w:rFonts w:eastAsia="仿宋_GB2312"/>
          <w:noProof/>
          <w:szCs w:val="21"/>
        </w:rPr>
        <w:drawing>
          <wp:inline distT="0" distB="0" distL="0" distR="0">
            <wp:extent cx="2143125" cy="3276600"/>
            <wp:effectExtent l="0" t="0" r="9525" b="0"/>
            <wp:docPr id="13" name="图片 13" descr="立杆-单独设备0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立杆-单独设备0731"/>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143125" cy="3276600"/>
                    </a:xfrm>
                    <a:prstGeom prst="rect">
                      <a:avLst/>
                    </a:prstGeom>
                    <a:noFill/>
                    <a:ln>
                      <a:noFill/>
                    </a:ln>
                  </pic:spPr>
                </pic:pic>
              </a:graphicData>
            </a:graphic>
          </wp:inline>
        </w:drawing>
      </w:r>
    </w:p>
    <w:p w:rsidR="00B34C9C" w:rsidP="00B34C9C">
      <w:pPr>
        <w:adjustRightInd w:val="0"/>
        <w:snapToGrid w:val="0"/>
        <w:spacing w:line="360" w:lineRule="auto"/>
        <w:jc w:val="center"/>
        <w:rPr>
          <w:rFonts w:eastAsia="仿宋_GB2312"/>
          <w:b/>
          <w:szCs w:val="32"/>
        </w:rPr>
      </w:pPr>
      <w:r>
        <w:rPr>
          <w:rFonts w:eastAsia="仿宋_GB2312" w:hint="eastAsia"/>
          <w:b/>
          <w:szCs w:val="32"/>
        </w:rPr>
        <w:t>图</w:t>
      </w:r>
      <w:r>
        <w:rPr>
          <w:rFonts w:eastAsia="仿宋_GB2312"/>
          <w:b/>
          <w:szCs w:val="32"/>
        </w:rPr>
        <w:t xml:space="preserve">1  </w:t>
      </w:r>
      <w:r>
        <w:rPr>
          <w:rFonts w:eastAsia="仿宋_GB2312" w:hint="eastAsia"/>
          <w:b/>
          <w:szCs w:val="32"/>
        </w:rPr>
        <w:t>立杆式安装示意图</w:t>
      </w:r>
    </w:p>
    <w:p w:rsidR="00B34C9C" w:rsidP="00B34C9C">
      <w:pPr>
        <w:adjustRightInd w:val="0"/>
        <w:snapToGrid w:val="0"/>
        <w:spacing w:line="360" w:lineRule="auto"/>
        <w:jc w:val="center"/>
        <w:rPr>
          <w:rFonts w:eastAsia="仿宋_GB2312"/>
          <w:b/>
          <w:szCs w:val="32"/>
        </w:rPr>
      </w:pPr>
    </w:p>
    <w:p w:rsidR="00B34C9C" w:rsidP="00B34C9C">
      <w:pPr>
        <w:adjustRightInd w:val="0"/>
        <w:snapToGrid w:val="0"/>
        <w:jc w:val="center"/>
        <w:rPr>
          <w:rFonts w:eastAsia="仿宋_GB2312"/>
          <w:szCs w:val="21"/>
        </w:rPr>
      </w:pPr>
      <w:r>
        <w:rPr>
          <w:rFonts w:eastAsia="仿宋_GB2312"/>
          <w:noProof/>
          <w:szCs w:val="21"/>
        </w:rPr>
        <w:drawing>
          <wp:inline distT="0" distB="0" distL="0" distR="0">
            <wp:extent cx="2647950" cy="3209925"/>
            <wp:effectExtent l="0" t="0" r="0"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noChangeArrowheads="1"/>
                    </pic:cNvPicPr>
                  </pic:nvPicPr>
                  <pic:blipFill>
                    <a:blip xmlns:r="http://schemas.openxmlformats.org/officeDocument/2006/relationships" r:embed="rId7">
                      <a:extLst>
                        <a:ext xmlns:a="http://schemas.openxmlformats.org/drawingml/2006/main" uri="{28A0092B-C50C-407E-A947-70E740481C1C}">
                          <a14:useLocalDpi xmlns:a14="http://schemas.microsoft.com/office/drawing/2010/main" val="0"/>
                        </a:ext>
                      </a:extLst>
                    </a:blip>
                    <a:stretch>
                      <a:fillRect/>
                    </a:stretch>
                  </pic:blipFill>
                  <pic:spPr bwMode="auto">
                    <a:xfrm>
                      <a:off x="0" y="0"/>
                      <a:ext cx="2647950" cy="3209925"/>
                    </a:xfrm>
                    <a:prstGeom prst="rect">
                      <a:avLst/>
                    </a:prstGeom>
                    <a:noFill/>
                    <a:ln>
                      <a:noFill/>
                    </a:ln>
                  </pic:spPr>
                </pic:pic>
              </a:graphicData>
            </a:graphic>
          </wp:inline>
        </w:drawing>
      </w:r>
    </w:p>
    <w:p w:rsidR="00B34C9C" w:rsidP="00B34C9C">
      <w:pPr>
        <w:adjustRightInd w:val="0"/>
        <w:snapToGrid w:val="0"/>
        <w:spacing w:line="360" w:lineRule="auto"/>
        <w:jc w:val="center"/>
        <w:rPr>
          <w:rFonts w:eastAsia="仿宋_GB2312"/>
          <w:b/>
          <w:szCs w:val="32"/>
        </w:rPr>
      </w:pPr>
      <w:r>
        <w:rPr>
          <w:rFonts w:eastAsia="仿宋_GB2312" w:hint="eastAsia"/>
          <w:b/>
          <w:szCs w:val="32"/>
        </w:rPr>
        <w:t>图</w:t>
      </w:r>
      <w:r>
        <w:rPr>
          <w:rFonts w:eastAsia="仿宋_GB2312"/>
          <w:b/>
          <w:szCs w:val="32"/>
        </w:rPr>
        <w:t xml:space="preserve"> 2  </w:t>
      </w:r>
      <w:r>
        <w:rPr>
          <w:rFonts w:eastAsia="仿宋_GB2312" w:hint="eastAsia"/>
          <w:b/>
          <w:szCs w:val="32"/>
        </w:rPr>
        <w:t>道路立杆式安装实景图</w:t>
      </w:r>
    </w:p>
    <w:p w:rsidR="00B34C9C" w:rsidP="00B34C9C">
      <w:pPr>
        <w:adjustRightInd w:val="0"/>
        <w:snapToGrid w:val="0"/>
        <w:jc w:val="center"/>
        <w:rPr>
          <w:rFonts w:eastAsia="仿宋_GB2312"/>
          <w:szCs w:val="21"/>
        </w:rPr>
      </w:pPr>
      <w:r>
        <w:rPr>
          <w:rFonts w:eastAsia="仿宋_GB2312"/>
          <w:noProof/>
          <w:szCs w:val="21"/>
        </w:rPr>
        <w:drawing>
          <wp:inline distT="0" distB="0" distL="0" distR="0">
            <wp:extent cx="2305050" cy="163830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noChangeArrowheads="1"/>
                    </pic:cNvPicPr>
                  </pic:nvPicPr>
                  <pic:blipFill>
                    <a:blip xmlns:r="http://schemas.openxmlformats.org/officeDocument/2006/relationships" r:embed="rId8">
                      <a:extLst>
                        <a:ext xmlns:a="http://schemas.openxmlformats.org/drawingml/2006/main" uri="{28A0092B-C50C-407E-A947-70E740481C1C}">
                          <a14:useLocalDpi xmlns:a14="http://schemas.microsoft.com/office/drawing/2010/main" val="0"/>
                        </a:ext>
                      </a:extLst>
                    </a:blip>
                    <a:stretch>
                      <a:fillRect/>
                    </a:stretch>
                  </pic:blipFill>
                  <pic:spPr bwMode="auto">
                    <a:xfrm>
                      <a:off x="0" y="0"/>
                      <a:ext cx="2305050" cy="1638300"/>
                    </a:xfrm>
                    <a:prstGeom prst="rect">
                      <a:avLst/>
                    </a:prstGeom>
                    <a:noFill/>
                    <a:ln>
                      <a:noFill/>
                    </a:ln>
                  </pic:spPr>
                </pic:pic>
              </a:graphicData>
            </a:graphic>
          </wp:inline>
        </w:drawing>
      </w:r>
    </w:p>
    <w:p w:rsidR="00B34C9C" w:rsidP="00B34C9C">
      <w:pPr>
        <w:adjustRightInd w:val="0"/>
        <w:snapToGrid w:val="0"/>
        <w:spacing w:line="360" w:lineRule="auto"/>
        <w:jc w:val="center"/>
        <w:rPr>
          <w:rFonts w:eastAsia="仿宋_GB2312"/>
          <w:b/>
          <w:szCs w:val="32"/>
        </w:rPr>
      </w:pPr>
      <w:r>
        <w:rPr>
          <w:rFonts w:eastAsia="仿宋_GB2312" w:hint="eastAsia"/>
          <w:b/>
          <w:szCs w:val="32"/>
        </w:rPr>
        <w:t>图</w:t>
      </w:r>
      <w:r>
        <w:rPr>
          <w:rFonts w:eastAsia="仿宋_GB2312"/>
          <w:b/>
          <w:szCs w:val="32"/>
        </w:rPr>
        <w:t xml:space="preserve"> 3  </w:t>
      </w:r>
      <w:r>
        <w:rPr>
          <w:rFonts w:eastAsia="仿宋_GB2312" w:hint="eastAsia"/>
          <w:b/>
          <w:szCs w:val="32"/>
        </w:rPr>
        <w:t>路肩打孔实景图</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2</w:t>
      </w:r>
      <w:r>
        <w:rPr>
          <w:rFonts w:eastAsia="仿宋_GB2312" w:hint="eastAsia"/>
          <w:sz w:val="28"/>
          <w:szCs w:val="28"/>
        </w:rPr>
        <w:t>）壁挂式安装</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适用场景</w:t>
      </w:r>
      <w:r>
        <w:rPr>
          <w:rFonts w:eastAsia="仿宋_GB2312"/>
          <w:sz w:val="28"/>
          <w:szCs w:val="28"/>
        </w:rPr>
        <w:t xml:space="preserve">: </w:t>
      </w:r>
      <w:r>
        <w:rPr>
          <w:rFonts w:eastAsia="仿宋_GB2312" w:hint="eastAsia"/>
          <w:sz w:val="28"/>
          <w:szCs w:val="28"/>
        </w:rPr>
        <w:t>建筑物外墙、桥梁墩柱等垂直墙面；</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安装方式</w:t>
      </w:r>
      <w:r>
        <w:rPr>
          <w:rFonts w:eastAsia="仿宋_GB2312"/>
          <w:sz w:val="28"/>
          <w:szCs w:val="28"/>
        </w:rPr>
        <w:t xml:space="preserve">: </w:t>
      </w:r>
      <w:r>
        <w:rPr>
          <w:rFonts w:eastAsia="仿宋_GB2312" w:hint="eastAsia"/>
          <w:sz w:val="28"/>
          <w:szCs w:val="28"/>
        </w:rPr>
        <w:t>使用支架将设备固定在墙面上，安装高度根据实际需求确定；</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优点</w:t>
      </w:r>
      <w:r>
        <w:rPr>
          <w:rFonts w:eastAsia="仿宋_GB2312"/>
          <w:sz w:val="28"/>
          <w:szCs w:val="28"/>
        </w:rPr>
        <w:t xml:space="preserve">: </w:t>
      </w:r>
      <w:r>
        <w:rPr>
          <w:rFonts w:eastAsia="仿宋_GB2312" w:hint="eastAsia"/>
          <w:sz w:val="28"/>
          <w:szCs w:val="28"/>
        </w:rPr>
        <w:t>节省空间，安装牢固，受风力影响较小；</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缺点</w:t>
      </w:r>
      <w:r>
        <w:rPr>
          <w:rFonts w:eastAsia="仿宋_GB2312"/>
          <w:sz w:val="28"/>
          <w:szCs w:val="28"/>
        </w:rPr>
        <w:t xml:space="preserve">: </w:t>
      </w:r>
      <w:r>
        <w:rPr>
          <w:rFonts w:eastAsia="仿宋_GB2312" w:hint="eastAsia"/>
          <w:sz w:val="28"/>
          <w:szCs w:val="28"/>
        </w:rPr>
        <w:t>信号接收可能受到建筑物遮挡。</w:t>
      </w:r>
    </w:p>
    <w:p w:rsidR="00B34C9C" w:rsidP="00B34C9C">
      <w:pPr>
        <w:adjustRightInd w:val="0"/>
        <w:snapToGrid w:val="0"/>
        <w:jc w:val="center"/>
        <w:rPr>
          <w:rFonts w:eastAsia="仿宋_GB2312"/>
          <w:szCs w:val="21"/>
        </w:rPr>
      </w:pPr>
      <w:r>
        <w:rPr>
          <w:rFonts w:eastAsia="仿宋_GB2312"/>
          <w:noProof/>
          <w:szCs w:val="21"/>
        </w:rPr>
        <w:drawing>
          <wp:inline distT="0" distB="0" distL="0" distR="0">
            <wp:extent cx="2647950" cy="1495425"/>
            <wp:effectExtent l="0" t="0" r="0" b="9525"/>
            <wp:docPr id="10" name="图片 10" descr="16d19aad52cac36b6f0eccf0853a4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16d19aad52cac36b6f0eccf0853a4e8"/>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647950" cy="1495425"/>
                    </a:xfrm>
                    <a:prstGeom prst="rect">
                      <a:avLst/>
                    </a:prstGeom>
                    <a:noFill/>
                    <a:ln>
                      <a:noFill/>
                    </a:ln>
                  </pic:spPr>
                </pic:pic>
              </a:graphicData>
            </a:graphic>
          </wp:inline>
        </w:drawing>
      </w:r>
    </w:p>
    <w:p w:rsidR="00B34C9C" w:rsidP="00B34C9C">
      <w:pPr>
        <w:adjustRightInd w:val="0"/>
        <w:snapToGrid w:val="0"/>
        <w:spacing w:line="360" w:lineRule="auto"/>
        <w:jc w:val="center"/>
        <w:rPr>
          <w:rFonts w:ascii="仿宋_GB2312" w:eastAsia="仿宋_GB2312" w:hAnsi="仿宋_GB2312" w:cs="仿宋_GB2312"/>
          <w:b/>
          <w:bCs/>
          <w:szCs w:val="21"/>
        </w:rPr>
      </w:pPr>
      <w:r>
        <w:rPr>
          <w:rFonts w:eastAsia="仿宋_GB2312" w:hint="eastAsia"/>
          <w:b/>
          <w:szCs w:val="32"/>
        </w:rPr>
        <w:t>图</w:t>
      </w:r>
      <w:r>
        <w:rPr>
          <w:rFonts w:eastAsia="仿宋_GB2312"/>
          <w:b/>
          <w:szCs w:val="32"/>
        </w:rPr>
        <w:t xml:space="preserve"> 4  </w:t>
      </w:r>
      <w:r>
        <w:rPr>
          <w:rFonts w:eastAsia="仿宋_GB2312" w:hint="eastAsia"/>
          <w:b/>
          <w:szCs w:val="32"/>
        </w:rPr>
        <w:t>壁挂式安装效果图</w:t>
      </w:r>
    </w:p>
    <w:p w:rsidR="00B34C9C" w:rsidP="00B34C9C">
      <w:pPr>
        <w:adjustRightInd w:val="0"/>
        <w:snapToGrid w:val="0"/>
        <w:jc w:val="center"/>
        <w:rPr>
          <w:rFonts w:ascii="Times New Roman" w:eastAsia="仿宋_GB2312" w:hAnsi="Times New Roman" w:cs="Times New Roman"/>
          <w:szCs w:val="21"/>
        </w:rPr>
      </w:pPr>
      <w:r>
        <w:rPr>
          <w:rFonts w:eastAsia="仿宋_GB2312"/>
          <w:noProof/>
          <w:szCs w:val="21"/>
        </w:rPr>
        <w:drawing>
          <wp:inline distT="0" distB="0" distL="0" distR="0">
            <wp:extent cx="2647950" cy="1885950"/>
            <wp:effectExtent l="0" t="0" r="0" b="0"/>
            <wp:docPr id="9" name="图片 9" descr="ba441e81a9c8915c84895ff3d442a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2" descr="ba441e81a9c8915c84895ff3d442a5a"/>
                    <pic:cNvPicPr>
                      <a:picLocks noChangeAspect="1" noChangeArrowheads="1"/>
                    </pic:cNvPicPr>
                  </pic:nvPicPr>
                  <pic:blipFill>
                    <a:blip xmlns:r="http://schemas.openxmlformats.org/officeDocument/2006/relationships" r:embed="rId1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647950" cy="1885950"/>
                    </a:xfrm>
                    <a:prstGeom prst="rect">
                      <a:avLst/>
                    </a:prstGeom>
                    <a:noFill/>
                    <a:ln>
                      <a:noFill/>
                    </a:ln>
                  </pic:spPr>
                </pic:pic>
              </a:graphicData>
            </a:graphic>
          </wp:inline>
        </w:drawing>
      </w:r>
    </w:p>
    <w:p w:rsidR="00B34C9C" w:rsidP="00B34C9C">
      <w:pPr>
        <w:adjustRightInd w:val="0"/>
        <w:snapToGrid w:val="0"/>
        <w:spacing w:line="360" w:lineRule="auto"/>
        <w:jc w:val="center"/>
        <w:rPr>
          <w:rFonts w:ascii="仿宋_GB2312" w:eastAsia="仿宋_GB2312" w:hAnsi="仿宋_GB2312" w:cs="仿宋_GB2312"/>
          <w:b/>
          <w:bCs/>
          <w:szCs w:val="21"/>
        </w:rPr>
      </w:pPr>
      <w:r>
        <w:rPr>
          <w:rFonts w:eastAsia="仿宋_GB2312" w:hint="eastAsia"/>
          <w:b/>
          <w:szCs w:val="32"/>
        </w:rPr>
        <w:t>图</w:t>
      </w:r>
      <w:r>
        <w:rPr>
          <w:rFonts w:eastAsia="仿宋_GB2312"/>
          <w:b/>
          <w:szCs w:val="32"/>
        </w:rPr>
        <w:t xml:space="preserve">5  </w:t>
      </w:r>
      <w:r>
        <w:rPr>
          <w:rFonts w:eastAsia="仿宋_GB2312" w:hint="eastAsia"/>
          <w:b/>
          <w:szCs w:val="32"/>
        </w:rPr>
        <w:t>壁挂式安装示意图</w:t>
      </w:r>
    </w:p>
    <w:p w:rsidR="00B34C9C" w:rsidP="00B34C9C">
      <w:pPr>
        <w:adjustRightInd w:val="0"/>
        <w:snapToGrid w:val="0"/>
        <w:spacing w:line="560" w:lineRule="exact"/>
        <w:ind w:firstLine="560" w:firstLineChars="200"/>
        <w:rPr>
          <w:rFonts w:ascii="Times New Roman" w:eastAsia="仿宋_GB2312" w:hAnsi="Times New Roman" w:cs="Times New Roman"/>
          <w:sz w:val="28"/>
          <w:szCs w:val="28"/>
        </w:rPr>
      </w:pPr>
      <w:r>
        <w:rPr>
          <w:rFonts w:eastAsia="仿宋_GB2312"/>
          <w:sz w:val="28"/>
          <w:szCs w:val="28"/>
        </w:rPr>
        <w:t>3</w:t>
      </w:r>
      <w:r>
        <w:rPr>
          <w:rFonts w:eastAsia="仿宋_GB2312" w:hint="eastAsia"/>
          <w:sz w:val="28"/>
          <w:szCs w:val="28"/>
        </w:rPr>
        <w:t>）地埋式安装</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适用场景</w:t>
      </w:r>
      <w:r>
        <w:rPr>
          <w:rFonts w:eastAsia="仿宋_GB2312"/>
          <w:sz w:val="28"/>
          <w:szCs w:val="28"/>
        </w:rPr>
        <w:t xml:space="preserve">: </w:t>
      </w:r>
      <w:r>
        <w:rPr>
          <w:rFonts w:eastAsia="仿宋_GB2312" w:hint="eastAsia"/>
          <w:sz w:val="28"/>
          <w:szCs w:val="28"/>
        </w:rPr>
        <w:t>低洼地段、下穿隧道等易积水区域；</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安装方式</w:t>
      </w:r>
      <w:r>
        <w:rPr>
          <w:rFonts w:eastAsia="仿宋_GB2312"/>
          <w:sz w:val="28"/>
          <w:szCs w:val="28"/>
        </w:rPr>
        <w:t xml:space="preserve">: </w:t>
      </w:r>
      <w:r>
        <w:rPr>
          <w:rFonts w:eastAsia="仿宋_GB2312" w:hint="eastAsia"/>
          <w:sz w:val="28"/>
          <w:szCs w:val="28"/>
        </w:rPr>
        <w:t>将设备安装在地埋井内，地埋井深度根据实际需求确定，并做好防水防潮措施；</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优点</w:t>
      </w:r>
      <w:r>
        <w:rPr>
          <w:rFonts w:eastAsia="仿宋_GB2312"/>
          <w:sz w:val="28"/>
          <w:szCs w:val="28"/>
        </w:rPr>
        <w:t xml:space="preserve">: </w:t>
      </w:r>
      <w:r>
        <w:rPr>
          <w:rFonts w:eastAsia="仿宋_GB2312" w:hint="eastAsia"/>
          <w:sz w:val="28"/>
          <w:szCs w:val="28"/>
        </w:rPr>
        <w:t>隐蔽性好，不易被破坏，受环境影响较小；</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缺点</w:t>
      </w:r>
      <w:r>
        <w:rPr>
          <w:rFonts w:eastAsia="仿宋_GB2312"/>
          <w:sz w:val="28"/>
          <w:szCs w:val="28"/>
        </w:rPr>
        <w:t xml:space="preserve">: </w:t>
      </w:r>
      <w:r>
        <w:rPr>
          <w:rFonts w:eastAsia="仿宋_GB2312" w:hint="eastAsia"/>
          <w:sz w:val="28"/>
          <w:szCs w:val="28"/>
        </w:rPr>
        <w:t>安装和维护难度较大，信号接收可能受到影响。</w:t>
      </w:r>
    </w:p>
    <w:p w:rsidR="00B34C9C" w:rsidP="00B34C9C">
      <w:pPr>
        <w:adjustRightInd w:val="0"/>
        <w:snapToGrid w:val="0"/>
        <w:jc w:val="center"/>
        <w:rPr>
          <w:rFonts w:eastAsia="仿宋_GB2312"/>
          <w:szCs w:val="21"/>
        </w:rPr>
      </w:pPr>
      <w:r>
        <w:rPr>
          <w:rFonts w:eastAsia="仿宋_GB2312"/>
          <w:noProof/>
          <w:szCs w:val="21"/>
        </w:rPr>
        <w:drawing>
          <wp:inline distT="0" distB="0" distL="0" distR="0">
            <wp:extent cx="3400425" cy="2352675"/>
            <wp:effectExtent l="0" t="0" r="9525" b="9525"/>
            <wp:docPr id="8" name="图片 8" descr="f11afdd58cd65607d7ee190e9fba6e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3" descr="f11afdd58cd65607d7ee190e9fba6e83"/>
                    <pic:cNvPicPr>
                      <a:picLocks noChangeAspect="1" noChangeArrowheads="1"/>
                    </pic:cNvPicPr>
                  </pic:nvPicPr>
                  <pic:blipFill>
                    <a:blip xmlns:r="http://schemas.openxmlformats.org/officeDocument/2006/relationships" r:embed="rId11" cstate="print">
                      <a:extLst>
                        <a:ext xmlns:a="http://schemas.openxmlformats.org/drawingml/2006/main" uri="{28A0092B-C50C-407E-A947-70E740481C1C}">
                          <a14:useLocalDpi xmlns:a14="http://schemas.microsoft.com/office/drawing/2010/main" val="0"/>
                        </a:ext>
                      </a:extLst>
                    </a:blip>
                    <a:srcRect b="8174"/>
                    <a:stretch>
                      <a:fillRect/>
                    </a:stretch>
                  </pic:blipFill>
                  <pic:spPr bwMode="auto">
                    <a:xfrm>
                      <a:off x="0" y="0"/>
                      <a:ext cx="3400425" cy="2352675"/>
                    </a:xfrm>
                    <a:prstGeom prst="rect">
                      <a:avLst/>
                    </a:prstGeom>
                    <a:noFill/>
                    <a:ln>
                      <a:noFill/>
                    </a:ln>
                  </pic:spPr>
                </pic:pic>
              </a:graphicData>
            </a:graphic>
          </wp:inline>
        </w:drawing>
      </w:r>
    </w:p>
    <w:p w:rsidR="00B34C9C" w:rsidP="00B34C9C">
      <w:pPr>
        <w:adjustRightInd w:val="0"/>
        <w:snapToGrid w:val="0"/>
        <w:spacing w:line="360" w:lineRule="auto"/>
        <w:jc w:val="center"/>
        <w:rPr>
          <w:rFonts w:ascii="仿宋_GB2312" w:eastAsia="仿宋_GB2312" w:hAnsi="仿宋_GB2312" w:cs="仿宋_GB2312"/>
          <w:b/>
          <w:bCs/>
          <w:szCs w:val="21"/>
        </w:rPr>
      </w:pPr>
      <w:r>
        <w:rPr>
          <w:rFonts w:eastAsia="仿宋_GB2312" w:hint="eastAsia"/>
          <w:b/>
          <w:szCs w:val="32"/>
        </w:rPr>
        <w:t>图</w:t>
      </w:r>
      <w:r>
        <w:rPr>
          <w:rFonts w:eastAsia="仿宋_GB2312"/>
          <w:b/>
          <w:szCs w:val="32"/>
        </w:rPr>
        <w:t xml:space="preserve">6  </w:t>
      </w:r>
      <w:r>
        <w:rPr>
          <w:rFonts w:eastAsia="仿宋_GB2312" w:hint="eastAsia"/>
          <w:b/>
          <w:szCs w:val="32"/>
        </w:rPr>
        <w:t>埋入式安装示意图</w:t>
      </w:r>
    </w:p>
    <w:p w:rsidR="00B34C9C" w:rsidP="00B34C9C">
      <w:pPr>
        <w:adjustRightInd w:val="0"/>
        <w:snapToGrid w:val="0"/>
        <w:jc w:val="center"/>
        <w:rPr>
          <w:rFonts w:ascii="Times New Roman" w:eastAsia="仿宋_GB2312" w:hAnsi="Times New Roman" w:cs="Times New Roman"/>
          <w:szCs w:val="21"/>
        </w:rPr>
      </w:pPr>
      <w:r>
        <w:rPr>
          <w:rFonts w:eastAsia="仿宋_GB2312"/>
          <w:noProof/>
          <w:szCs w:val="21"/>
        </w:rPr>
        <w:drawing>
          <wp:inline distT="0" distB="0" distL="0" distR="0">
            <wp:extent cx="2609850" cy="2971800"/>
            <wp:effectExtent l="0" t="0" r="0" b="0"/>
            <wp:docPr id="7" name="图片 7" descr="微信图片_2022100915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4" descr="微信图片_20221009152301"/>
                    <pic:cNvPicPr>
                      <a:picLocks noChangeAspect="1" noChangeArrowheads="1"/>
                    </pic:cNvPicPr>
                  </pic:nvPicPr>
                  <pic:blipFill>
                    <a:blip xmlns:r="http://schemas.openxmlformats.org/officeDocument/2006/relationships" r:embed="rId1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609850" cy="2971800"/>
                    </a:xfrm>
                    <a:prstGeom prst="rect">
                      <a:avLst/>
                    </a:prstGeom>
                    <a:noFill/>
                    <a:ln>
                      <a:noFill/>
                    </a:ln>
                  </pic:spPr>
                </pic:pic>
              </a:graphicData>
            </a:graphic>
          </wp:inline>
        </w:drawing>
      </w:r>
    </w:p>
    <w:p w:rsidR="00B34C9C" w:rsidP="00B34C9C">
      <w:pPr>
        <w:adjustRightInd w:val="0"/>
        <w:snapToGrid w:val="0"/>
        <w:spacing w:line="360" w:lineRule="auto"/>
        <w:jc w:val="center"/>
        <w:rPr>
          <w:rFonts w:ascii="仿宋_GB2312" w:eastAsia="仿宋_GB2312" w:hAnsi="仿宋_GB2312" w:cs="仿宋_GB2312"/>
          <w:b/>
          <w:bCs/>
          <w:szCs w:val="21"/>
        </w:rPr>
      </w:pPr>
      <w:r>
        <w:rPr>
          <w:rFonts w:eastAsia="仿宋_GB2312" w:hint="eastAsia"/>
          <w:b/>
          <w:szCs w:val="32"/>
        </w:rPr>
        <w:t>图</w:t>
      </w:r>
      <w:r>
        <w:rPr>
          <w:rFonts w:eastAsia="仿宋_GB2312"/>
          <w:b/>
          <w:szCs w:val="32"/>
        </w:rPr>
        <w:t xml:space="preserve">7  </w:t>
      </w:r>
      <w:r>
        <w:rPr>
          <w:rFonts w:eastAsia="仿宋_GB2312" w:hint="eastAsia"/>
          <w:b/>
          <w:szCs w:val="32"/>
        </w:rPr>
        <w:t>埋入式安装实景图</w:t>
      </w:r>
    </w:p>
    <w:p w:rsidR="00B34C9C" w:rsidP="00B34C9C">
      <w:pPr>
        <w:adjustRightInd w:val="0"/>
        <w:snapToGrid w:val="0"/>
        <w:spacing w:line="560" w:lineRule="exact"/>
        <w:ind w:firstLine="560" w:firstLineChars="200"/>
        <w:rPr>
          <w:rFonts w:ascii="Times New Roman" w:eastAsia="仿宋_GB2312" w:hAnsi="Times New Roman" w:cs="Times New Roman"/>
          <w:sz w:val="28"/>
          <w:szCs w:val="28"/>
        </w:rPr>
      </w:pPr>
      <w:r>
        <w:rPr>
          <w:rFonts w:eastAsia="仿宋_GB2312" w:hint="eastAsia"/>
          <w:sz w:val="28"/>
          <w:szCs w:val="28"/>
        </w:rPr>
        <w:t>（</w:t>
      </w:r>
      <w:r>
        <w:rPr>
          <w:rFonts w:eastAsia="仿宋_GB2312"/>
          <w:sz w:val="28"/>
          <w:szCs w:val="28"/>
        </w:rPr>
        <w:t>2</w:t>
      </w:r>
      <w:r>
        <w:rPr>
          <w:rFonts w:eastAsia="仿宋_GB2312" w:hint="eastAsia"/>
          <w:sz w:val="28"/>
          <w:szCs w:val="28"/>
        </w:rPr>
        <w:t>）部署要求</w:t>
      </w:r>
      <w:bookmarkEnd w:id="68"/>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1</w:t>
      </w:r>
      <w:r>
        <w:rPr>
          <w:rFonts w:eastAsia="仿宋_GB2312" w:hint="eastAsia"/>
          <w:sz w:val="28"/>
          <w:szCs w:val="28"/>
        </w:rPr>
        <w:t>）环境适应性</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 </w:t>
      </w:r>
      <w:r>
        <w:rPr>
          <w:rFonts w:eastAsia="仿宋_GB2312" w:hint="eastAsia"/>
          <w:sz w:val="28"/>
          <w:szCs w:val="28"/>
        </w:rPr>
        <w:t>根据实际应用场景选择合适的设备类型和安装方式</w:t>
      </w:r>
      <w:r>
        <w:rPr>
          <w:rFonts w:eastAsia="仿宋_GB2312"/>
          <w:sz w:val="28"/>
          <w:szCs w:val="28"/>
        </w:rPr>
        <w:t xml:space="preserve">, </w:t>
      </w:r>
      <w:r>
        <w:rPr>
          <w:rFonts w:eastAsia="仿宋_GB2312" w:hint="eastAsia"/>
          <w:sz w:val="28"/>
          <w:szCs w:val="28"/>
        </w:rPr>
        <w:t>设备应具备良好的环境适应性，能够在高温、低温、潮湿等恶劣环境下稳定工作；</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2</w:t>
      </w:r>
      <w:r>
        <w:rPr>
          <w:rFonts w:eastAsia="仿宋_GB2312" w:hint="eastAsia"/>
          <w:sz w:val="28"/>
          <w:szCs w:val="28"/>
        </w:rPr>
        <w:t>）安装位置</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选择信号覆盖良好、不易被遮挡的位置安装设备</w:t>
      </w:r>
      <w:r>
        <w:rPr>
          <w:rFonts w:eastAsia="仿宋_GB2312"/>
          <w:sz w:val="28"/>
          <w:szCs w:val="28"/>
        </w:rPr>
        <w:t xml:space="preserve">, </w:t>
      </w:r>
      <w:r>
        <w:rPr>
          <w:rFonts w:eastAsia="仿宋_GB2312" w:hint="eastAsia"/>
          <w:sz w:val="28"/>
          <w:szCs w:val="28"/>
        </w:rPr>
        <w:t>安装高度需避开强电磁干扰源，确保设备的稳定运行；</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3</w:t>
      </w:r>
      <w:r>
        <w:rPr>
          <w:rFonts w:eastAsia="仿宋_GB2312" w:hint="eastAsia"/>
          <w:sz w:val="28"/>
          <w:szCs w:val="28"/>
        </w:rPr>
        <w:t>）防雷措施</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在雷雨多发地区，需要做好设备的防雷措施。</w:t>
      </w:r>
    </w:p>
    <w:p w:rsidR="00B34C9C" w:rsidP="00B34C9C">
      <w:pPr>
        <w:ind w:firstLine="560" w:firstLineChars="200"/>
        <w:rPr>
          <w:rFonts w:eastAsia="方正仿宋"/>
          <w:sz w:val="28"/>
        </w:rPr>
      </w:pPr>
      <w:bookmarkStart w:id="69" w:name="_Toc212130689"/>
      <w:r>
        <w:rPr>
          <w:sz w:val="28"/>
        </w:rPr>
        <w:t>5.</w:t>
      </w:r>
      <w:r>
        <w:rPr>
          <w:rFonts w:hint="eastAsia"/>
          <w:sz w:val="28"/>
        </w:rPr>
        <w:t>标准化施工</w:t>
      </w:r>
      <w:bookmarkEnd w:id="69"/>
      <w:r>
        <w:rPr>
          <w:rFonts w:hint="eastAsia"/>
          <w:sz w:val="28"/>
        </w:rPr>
        <w:t>要求</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积涝监测设备的标准化施工流程，需严格遵循：选址规范→安装方式确认→安装材料准备→安装调试与运行的流程，确保数据准确性和设备长期稳定性。现场从数据采集，设备挂载等多个方面，要做到精益求精，准确无误，综合提取高可信度资料的数据，具体流程如下：</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w:t>
      </w:r>
      <w:r>
        <w:rPr>
          <w:rFonts w:eastAsia="仿宋_GB2312"/>
          <w:sz w:val="28"/>
          <w:szCs w:val="28"/>
        </w:rPr>
        <w:t>1</w:t>
      </w:r>
      <w:r>
        <w:rPr>
          <w:rFonts w:eastAsia="仿宋_GB2312" w:hint="eastAsia"/>
          <w:sz w:val="28"/>
          <w:szCs w:val="28"/>
        </w:rPr>
        <w:t>）选址规范</w:t>
      </w:r>
    </w:p>
    <w:p w:rsidR="00B34C9C" w:rsidP="00B34C9C">
      <w:pPr>
        <w:adjustRightInd w:val="0"/>
        <w:snapToGrid w:val="0"/>
        <w:spacing w:line="560" w:lineRule="exact"/>
        <w:ind w:firstLine="560" w:firstLineChars="200"/>
        <w:rPr>
          <w:rFonts w:eastAsia="仿宋_GB2312"/>
          <w:sz w:val="28"/>
          <w:szCs w:val="28"/>
        </w:rPr>
      </w:pPr>
      <w:r>
        <w:rPr>
          <w:rFonts w:ascii="MS Gothic" w:eastAsia="MS Gothic" w:hAnsi="MS Gothic" w:cs="MS Gothic" w:hint="eastAsia"/>
          <w:sz w:val="28"/>
          <w:szCs w:val="28"/>
        </w:rPr>
        <w:t>‌</w:t>
      </w:r>
      <w:r>
        <w:rPr>
          <w:rFonts w:ascii="仿宋_GB2312" w:eastAsia="仿宋_GB2312" w:hAnsi="仿宋_GB2312" w:cs="仿宋_GB2312" w:hint="eastAsia"/>
          <w:sz w:val="28"/>
          <w:szCs w:val="28"/>
        </w:rPr>
        <w:t>地形优先</w:t>
      </w:r>
      <w:r>
        <w:rPr>
          <w:rFonts w:ascii="MS Gothic" w:eastAsia="MS Gothic" w:hAnsi="MS Gothic" w:cs="MS Gothic" w:hint="eastAsia"/>
          <w:sz w:val="28"/>
          <w:szCs w:val="28"/>
        </w:rPr>
        <w:t>‌</w:t>
      </w:r>
      <w:r>
        <w:rPr>
          <w:rFonts w:ascii="仿宋_GB2312" w:eastAsia="仿宋_GB2312" w:hAnsi="仿宋_GB2312" w:cs="仿宋_GB2312" w:hint="eastAsia"/>
          <w:sz w:val="28"/>
          <w:szCs w:val="28"/>
        </w:rPr>
        <w:t>：选择易积涝区域（如低洼路段、隧道出入口、立交桥下），确保覆盖关键汇水节点，避开机动车轮迹带，距路缘石</w:t>
      </w:r>
      <w:r>
        <w:rPr>
          <w:rFonts w:eastAsia="仿宋_GB2312"/>
          <w:sz w:val="28"/>
          <w:szCs w:val="28"/>
        </w:rPr>
        <w:t>0.5-1.5</w:t>
      </w:r>
      <w:r>
        <w:rPr>
          <w:rFonts w:eastAsia="仿宋_GB2312" w:hint="eastAsia"/>
          <w:sz w:val="28"/>
          <w:szCs w:val="28"/>
        </w:rPr>
        <w:t>米为宜。</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环境评估</w:t>
      </w:r>
      <w:r>
        <w:rPr>
          <w:rFonts w:ascii="MS Gothic" w:eastAsia="MS Gothic" w:hAnsi="MS Gothic" w:cs="MS Gothic" w:hint="eastAsia"/>
          <w:sz w:val="28"/>
          <w:szCs w:val="28"/>
        </w:rPr>
        <w:t>‌</w:t>
      </w:r>
      <w:r>
        <w:rPr>
          <w:rFonts w:ascii="仿宋_GB2312" w:eastAsia="仿宋_GB2312" w:hAnsi="仿宋_GB2312" w:cs="仿宋_GB2312" w:hint="eastAsia"/>
          <w:sz w:val="28"/>
          <w:szCs w:val="28"/>
        </w:rPr>
        <w:t>：避免高压电缆、通信基站等电磁干扰源，保证无线信号穿透能力满足</w:t>
      </w:r>
      <w:r>
        <w:rPr>
          <w:rFonts w:eastAsia="仿宋_GB2312"/>
          <w:sz w:val="28"/>
          <w:szCs w:val="28"/>
        </w:rPr>
        <w:t>2</w:t>
      </w:r>
      <w:r>
        <w:rPr>
          <w:rFonts w:eastAsia="仿宋_GB2312" w:hint="eastAsia"/>
          <w:sz w:val="28"/>
          <w:szCs w:val="28"/>
        </w:rPr>
        <w:t>米以上积水监测需求。</w:t>
      </w:r>
    </w:p>
    <w:p w:rsidR="00B34C9C" w:rsidP="00B34C9C">
      <w:pPr>
        <w:adjustRightInd w:val="0"/>
        <w:snapToGrid w:val="0"/>
        <w:spacing w:line="560" w:lineRule="exact"/>
        <w:ind w:firstLine="560" w:firstLineChars="200"/>
        <w:rPr>
          <w:rFonts w:eastAsia="仿宋_GB2312"/>
          <w:sz w:val="28"/>
          <w:szCs w:val="28"/>
        </w:rPr>
      </w:pPr>
      <w:r>
        <w:rPr>
          <w:rFonts w:ascii="MS Gothic" w:eastAsia="MS Gothic" w:hAnsi="MS Gothic" w:cs="MS Gothic" w:hint="eastAsia"/>
          <w:sz w:val="28"/>
          <w:szCs w:val="28"/>
        </w:rPr>
        <w:t>‌</w:t>
      </w:r>
      <w:r>
        <w:rPr>
          <w:rFonts w:ascii="仿宋_GB2312" w:eastAsia="仿宋_GB2312" w:hAnsi="仿宋_GB2312" w:cs="仿宋_GB2312" w:hint="eastAsia"/>
          <w:sz w:val="28"/>
          <w:szCs w:val="28"/>
        </w:rPr>
        <w:t>地下避让</w:t>
      </w:r>
      <w:r>
        <w:rPr>
          <w:rFonts w:ascii="MS Gothic" w:eastAsia="MS Gothic" w:hAnsi="MS Gothic" w:cs="MS Gothic" w:hint="eastAsia"/>
          <w:sz w:val="28"/>
          <w:szCs w:val="28"/>
        </w:rPr>
        <w:t>‌</w:t>
      </w:r>
      <w:r>
        <w:rPr>
          <w:rFonts w:ascii="仿宋_GB2312" w:eastAsia="仿宋_GB2312" w:hAnsi="仿宋_GB2312" w:cs="仿宋_GB2312" w:hint="eastAsia"/>
          <w:sz w:val="28"/>
          <w:szCs w:val="28"/>
        </w:rPr>
        <w:t>：核查地下管线分布，防止施工损坏电缆或排水设施；避开文物保护区域；特殊情况下，建设单位提前做好多方沟通确认协调工作。</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点位信号强度确认：选址时，对选择地点进行运营商</w:t>
      </w:r>
      <w:r>
        <w:rPr>
          <w:rFonts w:eastAsia="仿宋_GB2312"/>
          <w:sz w:val="28"/>
          <w:szCs w:val="28"/>
        </w:rPr>
        <w:t>NB-IoT</w:t>
      </w:r>
      <w:r>
        <w:rPr>
          <w:rFonts w:eastAsia="仿宋_GB2312" w:hint="eastAsia"/>
          <w:sz w:val="28"/>
          <w:szCs w:val="28"/>
        </w:rPr>
        <w:t>信号确认。</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核心信号强度指标定义：</w:t>
      </w:r>
    </w:p>
    <w:p w:rsidR="00B34C9C" w:rsidP="00B34C9C">
      <w:pPr>
        <w:spacing w:line="560" w:lineRule="exact"/>
        <w:jc w:val="center"/>
        <w:rPr>
          <w:rFonts w:eastAsia="仿宋_GB2312"/>
          <w:b/>
          <w:bCs/>
          <w:szCs w:val="21"/>
        </w:rPr>
      </w:pPr>
      <w:r>
        <w:rPr>
          <w:rFonts w:eastAsia="仿宋_GB2312" w:hint="eastAsia"/>
          <w:b/>
          <w:bCs/>
          <w:szCs w:val="21"/>
        </w:rPr>
        <w:t>表</w:t>
      </w:r>
      <w:r>
        <w:rPr>
          <w:rFonts w:eastAsia="仿宋_GB2312"/>
          <w:b/>
          <w:bCs/>
          <w:szCs w:val="21"/>
        </w:rPr>
        <w:t xml:space="preserve">5 </w:t>
      </w:r>
      <w:r>
        <w:rPr>
          <w:rFonts w:eastAsia="仿宋_GB2312" w:hint="eastAsia"/>
          <w:b/>
          <w:bCs/>
          <w:szCs w:val="21"/>
        </w:rPr>
        <w:t>暴雨积涝监测设备核心信号强度指标</w:t>
      </w:r>
    </w:p>
    <w:tbl>
      <w:tblPr>
        <w:tblStyle w:val="TableNormal"/>
        <w:tblW w:w="9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
        <w:gridCol w:w="1929"/>
        <w:gridCol w:w="1937"/>
        <w:gridCol w:w="4679"/>
      </w:tblGrid>
      <w:tr w:rsidTr="00B34C9C">
        <w:tblPrEx>
          <w:tblW w:w="9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988"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b/>
                <w:szCs w:val="21"/>
              </w:rPr>
              <w:t xml:space="preserve"> </w:t>
            </w:r>
            <w:r>
              <w:rPr>
                <w:rFonts w:eastAsia="仿宋_GB2312" w:hAnsi="仿宋_GB2312" w:cs="仿宋_GB2312" w:hint="eastAsia"/>
                <w:b/>
                <w:szCs w:val="21"/>
              </w:rPr>
              <w:t>参数</w:t>
            </w:r>
            <w:r>
              <w:rPr>
                <w:rFonts w:ascii="MS Gothic" w:eastAsia="MS Gothic" w:hAnsi="MS Gothic" w:cs="MS Gothic" w:hint="eastAsia"/>
                <w:b/>
                <w:szCs w:val="21"/>
              </w:rPr>
              <w:t>‌</w:t>
            </w:r>
          </w:p>
        </w:tc>
        <w:tc>
          <w:tcPr>
            <w:tcW w:w="192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b/>
                <w:szCs w:val="21"/>
              </w:rPr>
              <w:t>‌</w:t>
            </w:r>
            <w:r>
              <w:rPr>
                <w:rFonts w:ascii="仿宋_GB2312" w:eastAsia="仿宋_GB2312" w:hAnsi="仿宋_GB2312" w:cs="仿宋_GB2312" w:hint="eastAsia"/>
                <w:b/>
                <w:szCs w:val="21"/>
              </w:rPr>
              <w:t>定义</w:t>
            </w:r>
            <w:r>
              <w:rPr>
                <w:rFonts w:ascii="MS Gothic" w:eastAsia="MS Gothic" w:hAnsi="MS Gothic" w:cs="MS Gothic" w:hint="eastAsia"/>
                <w:b/>
                <w:szCs w:val="21"/>
              </w:rPr>
              <w:t>‌</w:t>
            </w:r>
          </w:p>
        </w:tc>
        <w:tc>
          <w:tcPr>
            <w:tcW w:w="193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b/>
                <w:szCs w:val="21"/>
              </w:rPr>
              <w:t>‌</w:t>
            </w:r>
            <w:r>
              <w:rPr>
                <w:rFonts w:ascii="仿宋_GB2312" w:eastAsia="仿宋_GB2312" w:hAnsi="仿宋_GB2312" w:cs="仿宋_GB2312" w:hint="eastAsia"/>
                <w:b/>
                <w:szCs w:val="21"/>
              </w:rPr>
              <w:t>取值范围</w:t>
            </w:r>
            <w:r>
              <w:rPr>
                <w:rFonts w:ascii="MS Gothic" w:eastAsia="MS Gothic" w:hAnsi="MS Gothic" w:cs="MS Gothic" w:hint="eastAsia"/>
                <w:b/>
                <w:szCs w:val="21"/>
              </w:rPr>
              <w:t>‌</w:t>
            </w:r>
          </w:p>
        </w:tc>
        <w:tc>
          <w:tcPr>
            <w:tcW w:w="467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b/>
                <w:szCs w:val="21"/>
              </w:rPr>
              <w:t>‌</w:t>
            </w:r>
            <w:r>
              <w:rPr>
                <w:rFonts w:ascii="仿宋_GB2312" w:eastAsia="仿宋_GB2312" w:hAnsi="仿宋_GB2312" w:cs="仿宋_GB2312" w:hint="eastAsia"/>
                <w:b/>
                <w:szCs w:val="21"/>
              </w:rPr>
              <w:t>衡量标准</w:t>
            </w:r>
            <w:r>
              <w:rPr>
                <w:rFonts w:ascii="MS Gothic" w:eastAsia="MS Gothic" w:hAnsi="MS Gothic" w:cs="MS Gothic" w:hint="eastAsia"/>
                <w:b/>
                <w:szCs w:val="21"/>
              </w:rPr>
              <w:t>‌</w:t>
            </w:r>
          </w:p>
        </w:tc>
      </w:tr>
      <w:tr w:rsidTr="00B34C9C">
        <w:tblPrEx>
          <w:tblW w:w="9533" w:type="dxa"/>
          <w:tblLook w:val="04A0"/>
        </w:tblPrEx>
        <w:tc>
          <w:tcPr>
            <w:tcW w:w="988"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szCs w:val="21"/>
              </w:rPr>
              <w:t>‌</w:t>
            </w:r>
            <w:r>
              <w:rPr>
                <w:rFonts w:eastAsia="仿宋_GB2312" w:hAnsi="仿宋_GB2312" w:cs="仿宋_GB2312"/>
                <w:szCs w:val="21"/>
              </w:rPr>
              <w:t>RSRP</w:t>
            </w:r>
            <w:r>
              <w:rPr>
                <w:rFonts w:ascii="MS Gothic" w:eastAsia="MS Gothic" w:hAnsi="MS Gothic" w:cs="MS Gothic" w:hint="eastAsia"/>
                <w:szCs w:val="21"/>
              </w:rPr>
              <w:t>‌</w:t>
            </w:r>
          </w:p>
        </w:tc>
        <w:tc>
          <w:tcPr>
            <w:tcW w:w="192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szCs w:val="21"/>
              </w:rPr>
              <w:t>参考信号接收功率</w:t>
            </w:r>
          </w:p>
        </w:tc>
        <w:tc>
          <w:tcPr>
            <w:tcW w:w="193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-44dBm ~ -140dBm</w:t>
            </w:r>
          </w:p>
        </w:tc>
        <w:tc>
          <w:tcPr>
            <w:tcW w:w="467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szCs w:val="21"/>
              </w:rPr>
              <w:t>值越大信号越强（例：</w:t>
            </w:r>
            <w:r>
              <w:rPr>
                <w:rFonts w:eastAsia="仿宋_GB2312" w:hAnsi="仿宋_GB2312" w:cs="仿宋_GB2312"/>
                <w:szCs w:val="21"/>
              </w:rPr>
              <w:t>-85dBm</w:t>
            </w:r>
            <w:r>
              <w:rPr>
                <w:rFonts w:eastAsia="仿宋_GB2312" w:hAnsi="仿宋_GB2312" w:cs="仿宋_GB2312" w:hint="eastAsia"/>
                <w:szCs w:val="21"/>
              </w:rPr>
              <w:t>优于</w:t>
            </w:r>
            <w:r>
              <w:rPr>
                <w:rFonts w:eastAsia="仿宋_GB2312" w:hAnsi="仿宋_GB2312" w:cs="仿宋_GB2312"/>
                <w:szCs w:val="21"/>
              </w:rPr>
              <w:t>-100dBm</w:t>
            </w:r>
            <w:r>
              <w:rPr>
                <w:rFonts w:eastAsia="仿宋_GB2312" w:hAnsi="仿宋_GB2312" w:cs="仿宋_GB2312" w:hint="eastAsia"/>
                <w:szCs w:val="21"/>
              </w:rPr>
              <w:t>）</w:t>
            </w:r>
          </w:p>
        </w:tc>
      </w:tr>
      <w:tr w:rsidTr="00B34C9C">
        <w:tblPrEx>
          <w:tblW w:w="9533" w:type="dxa"/>
          <w:tblLook w:val="04A0"/>
        </w:tblPrEx>
        <w:tc>
          <w:tcPr>
            <w:tcW w:w="988"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szCs w:val="21"/>
              </w:rPr>
              <w:t>‌</w:t>
            </w:r>
            <w:r>
              <w:rPr>
                <w:rFonts w:eastAsia="仿宋_GB2312" w:hAnsi="仿宋_GB2312" w:cs="仿宋_GB2312"/>
                <w:szCs w:val="21"/>
              </w:rPr>
              <w:t>CSQ</w:t>
            </w:r>
            <w:r>
              <w:rPr>
                <w:rFonts w:ascii="MS Gothic" w:eastAsia="MS Gothic" w:hAnsi="MS Gothic" w:cs="MS Gothic" w:hint="eastAsia"/>
                <w:szCs w:val="21"/>
              </w:rPr>
              <w:t>‌</w:t>
            </w:r>
          </w:p>
        </w:tc>
        <w:tc>
          <w:tcPr>
            <w:tcW w:w="192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szCs w:val="21"/>
              </w:rPr>
              <w:t>简化版信号质量</w:t>
            </w:r>
          </w:p>
        </w:tc>
        <w:tc>
          <w:tcPr>
            <w:tcW w:w="193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0~31</w:t>
            </w:r>
            <w:r>
              <w:rPr>
                <w:rFonts w:eastAsia="仿宋_GB2312" w:hAnsi="仿宋_GB2312" w:cs="仿宋_GB2312" w:hint="eastAsia"/>
                <w:szCs w:val="21"/>
              </w:rPr>
              <w:t>（</w:t>
            </w:r>
            <w:r>
              <w:rPr>
                <w:rFonts w:eastAsia="仿宋_GB2312" w:hAnsi="仿宋_GB2312" w:cs="仿宋_GB2312"/>
                <w:szCs w:val="21"/>
              </w:rPr>
              <w:t>99</w:t>
            </w:r>
            <w:r>
              <w:rPr>
                <w:rFonts w:eastAsia="仿宋_GB2312" w:hAnsi="仿宋_GB2312" w:cs="仿宋_GB2312" w:hint="eastAsia"/>
                <w:szCs w:val="21"/>
              </w:rPr>
              <w:t>无效）</w:t>
            </w:r>
          </w:p>
        </w:tc>
        <w:tc>
          <w:tcPr>
            <w:tcW w:w="467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szCs w:val="21"/>
              </w:rPr>
              <w:t>≥</w:t>
            </w:r>
            <w:r>
              <w:rPr>
                <w:rFonts w:eastAsia="仿宋_GB2312" w:hAnsi="仿宋_GB2312" w:cs="仿宋_GB2312"/>
                <w:szCs w:val="21"/>
              </w:rPr>
              <w:t>5</w:t>
            </w:r>
            <w:r>
              <w:rPr>
                <w:rFonts w:eastAsia="仿宋_GB2312" w:hAnsi="仿宋_GB2312" w:cs="仿宋_GB2312" w:hint="eastAsia"/>
                <w:szCs w:val="21"/>
              </w:rPr>
              <w:t>可工作，≥</w:t>
            </w:r>
            <w:r>
              <w:rPr>
                <w:rFonts w:eastAsia="仿宋_GB2312" w:hAnsi="仿宋_GB2312" w:cs="仿宋_GB2312"/>
                <w:szCs w:val="21"/>
              </w:rPr>
              <w:t>20</w:t>
            </w:r>
            <w:r>
              <w:rPr>
                <w:rFonts w:eastAsia="仿宋_GB2312" w:hAnsi="仿宋_GB2312" w:cs="仿宋_GB2312" w:hint="eastAsia"/>
                <w:szCs w:val="21"/>
              </w:rPr>
              <w:t>为优</w:t>
            </w:r>
          </w:p>
        </w:tc>
      </w:tr>
      <w:tr w:rsidTr="00B34C9C">
        <w:tblPrEx>
          <w:tblW w:w="9533" w:type="dxa"/>
          <w:tblLook w:val="04A0"/>
        </w:tblPrEx>
        <w:tc>
          <w:tcPr>
            <w:tcW w:w="988"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szCs w:val="21"/>
              </w:rPr>
              <w:t>‌</w:t>
            </w:r>
            <w:r>
              <w:rPr>
                <w:rFonts w:eastAsia="仿宋_GB2312" w:hAnsi="仿宋_GB2312" w:cs="仿宋_GB2312"/>
                <w:szCs w:val="21"/>
              </w:rPr>
              <w:t>RSRQ</w:t>
            </w:r>
            <w:r>
              <w:rPr>
                <w:rFonts w:ascii="MS Gothic" w:eastAsia="MS Gothic" w:hAnsi="MS Gothic" w:cs="MS Gothic" w:hint="eastAsia"/>
                <w:szCs w:val="21"/>
              </w:rPr>
              <w:t>‌</w:t>
            </w:r>
          </w:p>
        </w:tc>
        <w:tc>
          <w:tcPr>
            <w:tcW w:w="192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szCs w:val="21"/>
              </w:rPr>
              <w:t>参考信号接收质量</w:t>
            </w:r>
          </w:p>
        </w:tc>
        <w:tc>
          <w:tcPr>
            <w:tcW w:w="193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-3 ~ -19.5</w:t>
            </w:r>
          </w:p>
        </w:tc>
        <w:tc>
          <w:tcPr>
            <w:tcW w:w="467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szCs w:val="21"/>
              </w:rPr>
              <w:t>值越大干扰越小（例：</w:t>
            </w:r>
            <w:r>
              <w:rPr>
                <w:rFonts w:eastAsia="仿宋_GB2312" w:hAnsi="仿宋_GB2312" w:cs="仿宋_GB2312"/>
                <w:szCs w:val="21"/>
              </w:rPr>
              <w:t>-8</w:t>
            </w:r>
            <w:r>
              <w:rPr>
                <w:rFonts w:eastAsia="仿宋_GB2312" w:hAnsi="仿宋_GB2312" w:cs="仿宋_GB2312" w:hint="eastAsia"/>
                <w:szCs w:val="21"/>
              </w:rPr>
              <w:t>优于</w:t>
            </w:r>
            <w:r>
              <w:rPr>
                <w:rFonts w:eastAsia="仿宋_GB2312" w:hAnsi="仿宋_GB2312" w:cs="仿宋_GB2312"/>
                <w:szCs w:val="21"/>
              </w:rPr>
              <w:t>-15</w:t>
            </w:r>
            <w:r>
              <w:rPr>
                <w:rFonts w:eastAsia="仿宋_GB2312" w:hAnsi="仿宋_GB2312" w:cs="仿宋_GB2312" w:hint="eastAsia"/>
                <w:szCs w:val="21"/>
              </w:rPr>
              <w:t>）</w:t>
            </w:r>
            <w:r>
              <w:rPr>
                <w:rFonts w:ascii="Calibri" w:eastAsia="仿宋_GB2312" w:hAnsi="Calibri" w:cs="Calibri"/>
                <w:szCs w:val="21"/>
              </w:rPr>
              <w:t> </w:t>
            </w:r>
          </w:p>
        </w:tc>
      </w:tr>
      <w:tr w:rsidTr="00B34C9C">
        <w:tblPrEx>
          <w:tblW w:w="9533" w:type="dxa"/>
          <w:tblLook w:val="04A0"/>
        </w:tblPrEx>
        <w:tc>
          <w:tcPr>
            <w:tcW w:w="988"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szCs w:val="21"/>
              </w:rPr>
              <w:t>‌</w:t>
            </w:r>
            <w:r>
              <w:rPr>
                <w:rFonts w:eastAsia="仿宋_GB2312" w:hAnsi="仿宋_GB2312" w:cs="仿宋_GB2312"/>
                <w:szCs w:val="21"/>
              </w:rPr>
              <w:t>SNR</w:t>
            </w:r>
            <w:r>
              <w:rPr>
                <w:rFonts w:ascii="MS Gothic" w:eastAsia="MS Gothic" w:hAnsi="MS Gothic" w:cs="MS Gothic" w:hint="eastAsia"/>
                <w:szCs w:val="21"/>
              </w:rPr>
              <w:t>‌</w:t>
            </w:r>
          </w:p>
        </w:tc>
        <w:tc>
          <w:tcPr>
            <w:tcW w:w="192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szCs w:val="21"/>
              </w:rPr>
              <w:t>信噪比</w:t>
            </w:r>
          </w:p>
        </w:tc>
        <w:tc>
          <w:tcPr>
            <w:tcW w:w="193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0~300</w:t>
            </w:r>
            <w:r>
              <w:rPr>
                <w:rFonts w:eastAsia="仿宋_GB2312" w:hAnsi="仿宋_GB2312" w:cs="仿宋_GB2312" w:hint="eastAsia"/>
                <w:szCs w:val="21"/>
              </w:rPr>
              <w:t>（</w:t>
            </w:r>
            <w:r>
              <w:rPr>
                <w:rFonts w:eastAsia="仿宋_GB2312" w:hAnsi="仿宋_GB2312" w:cs="仿宋_GB2312"/>
                <w:szCs w:val="21"/>
              </w:rPr>
              <w:t>10</w:t>
            </w:r>
            <w:r>
              <w:rPr>
                <w:rFonts w:eastAsia="仿宋_GB2312" w:hAnsi="仿宋_GB2312" w:cs="仿宋_GB2312" w:hint="eastAsia"/>
                <w:szCs w:val="21"/>
              </w:rPr>
              <w:t>倍显示）</w:t>
            </w:r>
          </w:p>
        </w:tc>
        <w:tc>
          <w:tcPr>
            <w:tcW w:w="467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szCs w:val="21"/>
              </w:rPr>
              <w:t>值越高信号越纯净</w:t>
            </w:r>
            <w:r>
              <w:rPr>
                <w:rFonts w:ascii="Calibri" w:eastAsia="仿宋_GB2312" w:hAnsi="Calibri" w:cs="Calibri"/>
                <w:szCs w:val="21"/>
              </w:rPr>
              <w:t> </w:t>
            </w:r>
          </w:p>
        </w:tc>
      </w:tr>
    </w:tbl>
    <w:p w:rsidR="00B34C9C" w:rsidP="00B34C9C">
      <w:pPr>
        <w:spacing w:line="560" w:lineRule="exact"/>
        <w:jc w:val="center"/>
        <w:rPr>
          <w:rFonts w:ascii="Times New Roman" w:eastAsia="仿宋_GB2312" w:hAnsi="Times New Roman" w:cs="Times New Roman"/>
          <w:b/>
          <w:bCs/>
          <w:szCs w:val="21"/>
        </w:rPr>
      </w:pPr>
      <w:r>
        <w:rPr>
          <w:rFonts w:eastAsia="仿宋_GB2312" w:hint="eastAsia"/>
          <w:b/>
          <w:bCs/>
          <w:szCs w:val="21"/>
        </w:rPr>
        <w:t>表</w:t>
      </w:r>
      <w:r>
        <w:rPr>
          <w:rFonts w:eastAsia="仿宋_GB2312"/>
          <w:b/>
          <w:bCs/>
          <w:szCs w:val="21"/>
        </w:rPr>
        <w:t xml:space="preserve">6 </w:t>
      </w:r>
      <w:r>
        <w:rPr>
          <w:rFonts w:eastAsia="仿宋_GB2312" w:hint="eastAsia"/>
          <w:b/>
          <w:bCs/>
          <w:szCs w:val="21"/>
        </w:rPr>
        <w:t>中国电信（</w:t>
      </w:r>
      <w:r>
        <w:rPr>
          <w:rFonts w:eastAsia="仿宋_GB2312"/>
          <w:b/>
          <w:bCs/>
          <w:szCs w:val="21"/>
        </w:rPr>
        <w:t>800MHz</w:t>
      </w:r>
      <w:r>
        <w:rPr>
          <w:rFonts w:eastAsia="仿宋_GB2312" w:hint="eastAsia"/>
          <w:b/>
          <w:bCs/>
          <w:szCs w:val="21"/>
        </w:rPr>
        <w:t>频段）信号强度指标</w:t>
      </w:r>
    </w:p>
    <w:tbl>
      <w:tblPr>
        <w:tblStyle w:val="TableNormal"/>
        <w:tblW w:w="9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
        <w:gridCol w:w="1929"/>
        <w:gridCol w:w="1937"/>
        <w:gridCol w:w="4679"/>
      </w:tblGrid>
      <w:tr w:rsidTr="00B34C9C">
        <w:tblPrEx>
          <w:tblW w:w="9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b/>
                <w:szCs w:val="21"/>
              </w:rPr>
              <w:t>参数</w:t>
            </w:r>
            <w:r>
              <w:rPr>
                <w:rFonts w:ascii="MS Gothic" w:eastAsia="MS Gothic" w:hAnsi="MS Gothic" w:cs="MS Gothic" w:hint="eastAsia"/>
                <w:b/>
                <w:szCs w:val="21"/>
              </w:rPr>
              <w:t>‌</w:t>
            </w:r>
          </w:p>
        </w:tc>
        <w:tc>
          <w:tcPr>
            <w:tcW w:w="192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b/>
                <w:szCs w:val="21"/>
              </w:rPr>
              <w:t>‌</w:t>
            </w:r>
            <w:r>
              <w:rPr>
                <w:rFonts w:ascii="仿宋_GB2312" w:eastAsia="仿宋_GB2312" w:hAnsi="仿宋_GB2312" w:cs="仿宋_GB2312" w:hint="eastAsia"/>
                <w:b/>
                <w:szCs w:val="21"/>
              </w:rPr>
              <w:t>可用范围</w:t>
            </w:r>
            <w:r>
              <w:rPr>
                <w:rFonts w:ascii="MS Gothic" w:eastAsia="MS Gothic" w:hAnsi="MS Gothic" w:cs="MS Gothic" w:hint="eastAsia"/>
                <w:b/>
                <w:szCs w:val="21"/>
              </w:rPr>
              <w:t>‌</w:t>
            </w:r>
          </w:p>
        </w:tc>
        <w:tc>
          <w:tcPr>
            <w:tcW w:w="193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b/>
                <w:szCs w:val="21"/>
              </w:rPr>
              <w:t>‌</w:t>
            </w:r>
            <w:r>
              <w:rPr>
                <w:rFonts w:ascii="仿宋_GB2312" w:eastAsia="仿宋_GB2312" w:hAnsi="仿宋_GB2312" w:cs="仿宋_GB2312" w:hint="eastAsia"/>
                <w:b/>
                <w:szCs w:val="21"/>
              </w:rPr>
              <w:t>临界值</w:t>
            </w:r>
            <w:r>
              <w:rPr>
                <w:rFonts w:ascii="MS Gothic" w:eastAsia="MS Gothic" w:hAnsi="MS Gothic" w:cs="MS Gothic" w:hint="eastAsia"/>
                <w:b/>
                <w:szCs w:val="21"/>
              </w:rPr>
              <w:t>‌</w:t>
            </w:r>
          </w:p>
        </w:tc>
        <w:tc>
          <w:tcPr>
            <w:tcW w:w="467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b/>
                <w:szCs w:val="21"/>
              </w:rPr>
              <w:t>‌</w:t>
            </w:r>
            <w:r>
              <w:rPr>
                <w:rFonts w:ascii="仿宋_GB2312" w:eastAsia="仿宋_GB2312" w:hAnsi="仿宋_GB2312" w:cs="仿宋_GB2312" w:hint="eastAsia"/>
                <w:b/>
                <w:szCs w:val="21"/>
              </w:rPr>
              <w:t>部署特点</w:t>
            </w:r>
            <w:r>
              <w:rPr>
                <w:rFonts w:ascii="MS Gothic" w:eastAsia="MS Gothic" w:hAnsi="MS Gothic" w:cs="MS Gothic" w:hint="eastAsia"/>
                <w:b/>
                <w:szCs w:val="21"/>
              </w:rPr>
              <w:t>‌</w:t>
            </w:r>
          </w:p>
        </w:tc>
      </w:tr>
      <w:tr w:rsidTr="00B34C9C">
        <w:tblPrEx>
          <w:tblW w:w="9533" w:type="dxa"/>
          <w:jc w:val="center"/>
          <w:tblLook w:val="04A0"/>
        </w:tblPrEx>
        <w:trP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szCs w:val="21"/>
              </w:rPr>
              <w:t>‌</w:t>
            </w:r>
            <w:r>
              <w:rPr>
                <w:rFonts w:eastAsia="仿宋_GB2312" w:hAnsi="仿宋_GB2312" w:cs="仿宋_GB2312"/>
                <w:szCs w:val="21"/>
              </w:rPr>
              <w:t>RSRP</w:t>
            </w:r>
            <w:r>
              <w:rPr>
                <w:rFonts w:ascii="MS Gothic" w:eastAsia="MS Gothic" w:hAnsi="MS Gothic" w:cs="MS Gothic" w:hint="eastAsia"/>
                <w:szCs w:val="21"/>
              </w:rPr>
              <w:t>‌</w:t>
            </w:r>
          </w:p>
        </w:tc>
        <w:tc>
          <w:tcPr>
            <w:tcW w:w="192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-85dBm ~ -115dBm</w:t>
            </w:r>
          </w:p>
        </w:tc>
        <w:tc>
          <w:tcPr>
            <w:tcW w:w="193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szCs w:val="21"/>
              </w:rPr>
              <w:t>≤</w:t>
            </w:r>
            <w:r>
              <w:rPr>
                <w:rFonts w:eastAsia="仿宋_GB2312" w:hAnsi="仿宋_GB2312" w:cs="仿宋_GB2312"/>
                <w:szCs w:val="21"/>
              </w:rPr>
              <w:t>-115dBm</w:t>
            </w:r>
            <w:r>
              <w:rPr>
                <w:rFonts w:eastAsia="仿宋_GB2312" w:hAnsi="仿宋_GB2312" w:cs="仿宋_GB2312" w:hint="eastAsia"/>
                <w:szCs w:val="21"/>
              </w:rPr>
              <w:t>易掉线</w:t>
            </w:r>
          </w:p>
        </w:tc>
        <w:tc>
          <w:tcPr>
            <w:tcW w:w="467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800MHz</w:t>
            </w:r>
            <w:r>
              <w:rPr>
                <w:rFonts w:eastAsia="仿宋_GB2312" w:hAnsi="仿宋_GB2312" w:cs="仿宋_GB2312" w:hint="eastAsia"/>
                <w:szCs w:val="21"/>
              </w:rPr>
              <w:t>频段穿透力强，覆盖地下场景占优</w:t>
            </w:r>
          </w:p>
        </w:tc>
      </w:tr>
      <w:tr w:rsidTr="00B34C9C">
        <w:tblPrEx>
          <w:tblW w:w="9533" w:type="dxa"/>
          <w:jc w:val="center"/>
          <w:tblLook w:val="04A0"/>
        </w:tblPrEx>
        <w:trP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szCs w:val="21"/>
              </w:rPr>
              <w:t>‌</w:t>
            </w:r>
            <w:r>
              <w:rPr>
                <w:rFonts w:eastAsia="仿宋_GB2312" w:hAnsi="仿宋_GB2312" w:cs="仿宋_GB2312"/>
                <w:szCs w:val="21"/>
              </w:rPr>
              <w:t>CSQ</w:t>
            </w:r>
            <w:r>
              <w:rPr>
                <w:rFonts w:ascii="MS Gothic" w:eastAsia="MS Gothic" w:hAnsi="MS Gothic" w:cs="MS Gothic" w:hint="eastAsia"/>
                <w:szCs w:val="21"/>
              </w:rPr>
              <w:t>‌</w:t>
            </w:r>
          </w:p>
        </w:tc>
        <w:tc>
          <w:tcPr>
            <w:tcW w:w="192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12~25</w:t>
            </w:r>
            <w:r>
              <w:rPr>
                <w:rFonts w:eastAsia="仿宋_GB2312" w:hAnsi="仿宋_GB2312" w:cs="仿宋_GB2312" w:hint="eastAsia"/>
                <w:szCs w:val="21"/>
              </w:rPr>
              <w:t>（城区典型值）</w:t>
            </w:r>
          </w:p>
        </w:tc>
        <w:tc>
          <w:tcPr>
            <w:tcW w:w="193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&lt;5</w:t>
            </w:r>
            <w:r>
              <w:rPr>
                <w:rFonts w:eastAsia="仿宋_GB2312" w:hAnsi="仿宋_GB2312" w:cs="仿宋_GB2312" w:hint="eastAsia"/>
                <w:szCs w:val="21"/>
              </w:rPr>
              <w:t>不可用</w:t>
            </w:r>
          </w:p>
        </w:tc>
        <w:tc>
          <w:tcPr>
            <w:tcW w:w="467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szCs w:val="21"/>
              </w:rPr>
              <w:t>农村</w:t>
            </w:r>
            <w:r>
              <w:rPr>
                <w:rFonts w:eastAsia="仿宋_GB2312" w:hAnsi="仿宋_GB2312" w:cs="仿宋_GB2312"/>
                <w:szCs w:val="21"/>
              </w:rPr>
              <w:t>/</w:t>
            </w:r>
            <w:r>
              <w:rPr>
                <w:rFonts w:eastAsia="仿宋_GB2312" w:hAnsi="仿宋_GB2312" w:cs="仿宋_GB2312" w:hint="eastAsia"/>
                <w:szCs w:val="21"/>
              </w:rPr>
              <w:t>郊区实测平均</w:t>
            </w:r>
            <w:r>
              <w:rPr>
                <w:rFonts w:eastAsia="仿宋_GB2312" w:hAnsi="仿宋_GB2312" w:cs="仿宋_GB2312"/>
                <w:szCs w:val="21"/>
              </w:rPr>
              <w:t>-105dBm</w:t>
            </w:r>
            <w:r>
              <w:rPr>
                <w:rFonts w:ascii="Calibri" w:eastAsia="仿宋_GB2312" w:hAnsi="Calibri" w:cs="Calibri"/>
                <w:szCs w:val="21"/>
              </w:rPr>
              <w:t> </w:t>
            </w:r>
          </w:p>
        </w:tc>
      </w:tr>
      <w:tr w:rsidTr="00B34C9C">
        <w:tblPrEx>
          <w:tblW w:w="9533" w:type="dxa"/>
          <w:jc w:val="center"/>
          <w:tblLook w:val="04A0"/>
        </w:tblPrEx>
        <w:trP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szCs w:val="21"/>
              </w:rPr>
              <w:t>‌</w:t>
            </w:r>
            <w:r>
              <w:rPr>
                <w:rFonts w:eastAsia="仿宋_GB2312" w:hAnsi="仿宋_GB2312" w:cs="仿宋_GB2312"/>
                <w:szCs w:val="21"/>
              </w:rPr>
              <w:t>SNR</w:t>
            </w:r>
            <w:r>
              <w:rPr>
                <w:rFonts w:ascii="MS Gothic" w:eastAsia="MS Gothic" w:hAnsi="MS Gothic" w:cs="MS Gothic" w:hint="eastAsia"/>
                <w:szCs w:val="21"/>
              </w:rPr>
              <w:t>‌</w:t>
            </w:r>
          </w:p>
        </w:tc>
        <w:tc>
          <w:tcPr>
            <w:tcW w:w="192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80~180</w:t>
            </w:r>
            <w:r>
              <w:rPr>
                <w:rFonts w:eastAsia="仿宋_GB2312" w:hAnsi="仿宋_GB2312" w:cs="仿宋_GB2312" w:hint="eastAsia"/>
                <w:szCs w:val="21"/>
              </w:rPr>
              <w:t>（</w:t>
            </w:r>
            <w:r>
              <w:rPr>
                <w:rFonts w:eastAsia="仿宋_GB2312" w:hAnsi="仿宋_GB2312" w:cs="仿宋_GB2312"/>
                <w:szCs w:val="21"/>
              </w:rPr>
              <w:t>10</w:t>
            </w:r>
            <w:r>
              <w:rPr>
                <w:rFonts w:eastAsia="仿宋_GB2312" w:hAnsi="仿宋_GB2312" w:cs="仿宋_GB2312" w:hint="eastAsia"/>
                <w:szCs w:val="21"/>
              </w:rPr>
              <w:t>倍值）</w:t>
            </w:r>
          </w:p>
        </w:tc>
        <w:tc>
          <w:tcPr>
            <w:tcW w:w="193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&lt;50</w:t>
            </w:r>
            <w:r>
              <w:rPr>
                <w:rFonts w:eastAsia="仿宋_GB2312" w:hAnsi="仿宋_GB2312" w:cs="仿宋_GB2312" w:hint="eastAsia"/>
                <w:szCs w:val="21"/>
              </w:rPr>
              <w:t>通信延迟显著</w:t>
            </w:r>
          </w:p>
        </w:tc>
        <w:tc>
          <w:tcPr>
            <w:tcW w:w="467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szCs w:val="21"/>
              </w:rPr>
              <w:t>中心频点固定，同频干扰需规避</w:t>
            </w:r>
            <w:r>
              <w:rPr>
                <w:rFonts w:ascii="Calibri" w:eastAsia="仿宋_GB2312" w:hAnsi="Calibri" w:cs="Calibri"/>
                <w:szCs w:val="21"/>
              </w:rPr>
              <w:t> </w:t>
            </w:r>
          </w:p>
        </w:tc>
      </w:tr>
    </w:tbl>
    <w:p w:rsidR="00B34C9C" w:rsidP="00B34C9C">
      <w:pPr>
        <w:spacing w:line="560" w:lineRule="exact"/>
        <w:jc w:val="center"/>
        <w:rPr>
          <w:rFonts w:ascii="Times New Roman" w:eastAsia="仿宋_GB2312" w:hAnsi="Times New Roman" w:cs="Times New Roman"/>
          <w:b/>
          <w:bCs/>
          <w:szCs w:val="21"/>
        </w:rPr>
      </w:pPr>
      <w:r>
        <w:rPr>
          <w:rFonts w:eastAsia="仿宋_GB2312" w:hint="eastAsia"/>
          <w:b/>
          <w:bCs/>
          <w:szCs w:val="21"/>
        </w:rPr>
        <w:t>表</w:t>
      </w:r>
      <w:r>
        <w:rPr>
          <w:rFonts w:eastAsia="仿宋_GB2312"/>
          <w:b/>
          <w:bCs/>
          <w:szCs w:val="21"/>
        </w:rPr>
        <w:t xml:space="preserve">7 </w:t>
      </w:r>
      <w:r>
        <w:rPr>
          <w:rFonts w:eastAsia="仿宋_GB2312" w:hint="eastAsia"/>
          <w:b/>
          <w:bCs/>
          <w:szCs w:val="21"/>
        </w:rPr>
        <w:t>中国移动（</w:t>
      </w:r>
      <w:r>
        <w:rPr>
          <w:rFonts w:eastAsia="仿宋_GB2312"/>
          <w:b/>
          <w:bCs/>
          <w:szCs w:val="21"/>
        </w:rPr>
        <w:t>900MHz/1800MHz</w:t>
      </w:r>
      <w:r>
        <w:rPr>
          <w:rFonts w:eastAsia="仿宋_GB2312" w:hint="eastAsia"/>
          <w:b/>
          <w:bCs/>
          <w:szCs w:val="21"/>
        </w:rPr>
        <w:t>频段）信号强度指标</w:t>
      </w:r>
    </w:p>
    <w:tbl>
      <w:tblPr>
        <w:tblStyle w:val="TableNormal"/>
        <w:tblW w:w="9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
        <w:gridCol w:w="1929"/>
        <w:gridCol w:w="1937"/>
        <w:gridCol w:w="4679"/>
      </w:tblGrid>
      <w:tr w:rsidTr="00B34C9C">
        <w:tblPrEx>
          <w:tblW w:w="9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b/>
                <w:szCs w:val="21"/>
              </w:rPr>
              <w:t>参数</w:t>
            </w:r>
            <w:r>
              <w:rPr>
                <w:rFonts w:ascii="MS Gothic" w:eastAsia="MS Gothic" w:hAnsi="MS Gothic" w:cs="MS Gothic" w:hint="eastAsia"/>
                <w:b/>
                <w:szCs w:val="21"/>
              </w:rPr>
              <w:t>‌</w:t>
            </w:r>
          </w:p>
        </w:tc>
        <w:tc>
          <w:tcPr>
            <w:tcW w:w="192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b/>
                <w:szCs w:val="21"/>
              </w:rPr>
              <w:t>‌</w:t>
            </w:r>
            <w:r>
              <w:rPr>
                <w:rFonts w:ascii="仿宋_GB2312" w:eastAsia="仿宋_GB2312" w:hAnsi="仿宋_GB2312" w:cs="仿宋_GB2312" w:hint="eastAsia"/>
                <w:b/>
                <w:szCs w:val="21"/>
              </w:rPr>
              <w:t>可用范围</w:t>
            </w:r>
            <w:r>
              <w:rPr>
                <w:rFonts w:ascii="MS Gothic" w:eastAsia="MS Gothic" w:hAnsi="MS Gothic" w:cs="MS Gothic" w:hint="eastAsia"/>
                <w:b/>
                <w:szCs w:val="21"/>
              </w:rPr>
              <w:t>‌</w:t>
            </w:r>
          </w:p>
        </w:tc>
        <w:tc>
          <w:tcPr>
            <w:tcW w:w="193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b/>
                <w:szCs w:val="21"/>
              </w:rPr>
              <w:t>‌</w:t>
            </w:r>
            <w:r>
              <w:rPr>
                <w:rFonts w:ascii="仿宋_GB2312" w:eastAsia="仿宋_GB2312" w:hAnsi="仿宋_GB2312" w:cs="仿宋_GB2312" w:hint="eastAsia"/>
                <w:b/>
                <w:szCs w:val="21"/>
              </w:rPr>
              <w:t>临界值</w:t>
            </w:r>
            <w:r>
              <w:rPr>
                <w:rFonts w:ascii="MS Gothic" w:eastAsia="MS Gothic" w:hAnsi="MS Gothic" w:cs="MS Gothic" w:hint="eastAsia"/>
                <w:b/>
                <w:szCs w:val="21"/>
              </w:rPr>
              <w:t>‌</w:t>
            </w:r>
          </w:p>
        </w:tc>
        <w:tc>
          <w:tcPr>
            <w:tcW w:w="467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b/>
                <w:szCs w:val="21"/>
              </w:rPr>
              <w:t>‌</w:t>
            </w:r>
            <w:r>
              <w:rPr>
                <w:rFonts w:ascii="仿宋_GB2312" w:eastAsia="仿宋_GB2312" w:hAnsi="仿宋_GB2312" w:cs="仿宋_GB2312" w:hint="eastAsia"/>
                <w:b/>
                <w:szCs w:val="21"/>
              </w:rPr>
              <w:t>部署特点</w:t>
            </w:r>
            <w:r>
              <w:rPr>
                <w:rFonts w:ascii="MS Gothic" w:eastAsia="MS Gothic" w:hAnsi="MS Gothic" w:cs="MS Gothic" w:hint="eastAsia"/>
                <w:b/>
                <w:szCs w:val="21"/>
              </w:rPr>
              <w:t>‌</w:t>
            </w:r>
          </w:p>
        </w:tc>
      </w:tr>
      <w:tr w:rsidTr="00B34C9C">
        <w:tblPrEx>
          <w:tblW w:w="9533" w:type="dxa"/>
          <w:jc w:val="center"/>
          <w:tblLook w:val="04A0"/>
        </w:tblPrEx>
        <w:trP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szCs w:val="21"/>
              </w:rPr>
              <w:t>‌</w:t>
            </w:r>
            <w:r>
              <w:rPr>
                <w:rFonts w:eastAsia="仿宋_GB2312" w:hAnsi="仿宋_GB2312" w:cs="仿宋_GB2312"/>
                <w:szCs w:val="21"/>
              </w:rPr>
              <w:t>RSRP</w:t>
            </w:r>
            <w:r>
              <w:rPr>
                <w:rFonts w:ascii="MS Gothic" w:eastAsia="MS Gothic" w:hAnsi="MS Gothic" w:cs="MS Gothic" w:hint="eastAsia"/>
                <w:szCs w:val="21"/>
              </w:rPr>
              <w:t>‌</w:t>
            </w:r>
          </w:p>
        </w:tc>
        <w:tc>
          <w:tcPr>
            <w:tcW w:w="192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-95dBm ~ -125dBm</w:t>
            </w:r>
          </w:p>
        </w:tc>
        <w:tc>
          <w:tcPr>
            <w:tcW w:w="193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szCs w:val="21"/>
              </w:rPr>
              <w:t>≤</w:t>
            </w:r>
            <w:r>
              <w:rPr>
                <w:rFonts w:eastAsia="仿宋_GB2312" w:hAnsi="仿宋_GB2312" w:cs="仿宋_GB2312"/>
                <w:szCs w:val="21"/>
              </w:rPr>
              <w:t>-125dBm</w:t>
            </w:r>
            <w:r>
              <w:rPr>
                <w:rFonts w:eastAsia="仿宋_GB2312" w:hAnsi="仿宋_GB2312" w:cs="仿宋_GB2312" w:hint="eastAsia"/>
                <w:szCs w:val="21"/>
              </w:rPr>
              <w:t>无服务</w:t>
            </w:r>
          </w:p>
        </w:tc>
        <w:tc>
          <w:tcPr>
            <w:tcW w:w="467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FDD</w:t>
            </w:r>
            <w:r>
              <w:rPr>
                <w:rFonts w:eastAsia="仿宋_GB2312" w:hAnsi="仿宋_GB2312" w:cs="仿宋_GB2312" w:hint="eastAsia"/>
                <w:szCs w:val="21"/>
              </w:rPr>
              <w:t>重耕频段，农村覆盖更广</w:t>
            </w:r>
            <w:r>
              <w:rPr>
                <w:rFonts w:ascii="Calibri" w:eastAsia="仿宋_GB2312" w:hAnsi="Calibri" w:cs="Calibri"/>
                <w:szCs w:val="21"/>
              </w:rPr>
              <w:t> </w:t>
            </w:r>
          </w:p>
        </w:tc>
      </w:tr>
      <w:tr w:rsidTr="00B34C9C">
        <w:tblPrEx>
          <w:tblW w:w="9533" w:type="dxa"/>
          <w:jc w:val="center"/>
          <w:tblLook w:val="04A0"/>
        </w:tblPrEx>
        <w:trP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szCs w:val="21"/>
              </w:rPr>
              <w:t>‌</w:t>
            </w:r>
            <w:r>
              <w:rPr>
                <w:rFonts w:eastAsia="仿宋_GB2312" w:hAnsi="仿宋_GB2312" w:cs="仿宋_GB2312"/>
                <w:szCs w:val="21"/>
              </w:rPr>
              <w:t>CSQ</w:t>
            </w:r>
            <w:r>
              <w:rPr>
                <w:rFonts w:ascii="MS Gothic" w:eastAsia="MS Gothic" w:hAnsi="MS Gothic" w:cs="MS Gothic" w:hint="eastAsia"/>
                <w:szCs w:val="21"/>
              </w:rPr>
              <w:t>‌</w:t>
            </w:r>
          </w:p>
        </w:tc>
        <w:tc>
          <w:tcPr>
            <w:tcW w:w="192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8~20</w:t>
            </w:r>
            <w:r>
              <w:rPr>
                <w:rFonts w:eastAsia="仿宋_GB2312" w:hAnsi="仿宋_GB2312" w:cs="仿宋_GB2312" w:hint="eastAsia"/>
                <w:szCs w:val="21"/>
              </w:rPr>
              <w:t>（乡镇典型值）</w:t>
            </w:r>
          </w:p>
        </w:tc>
        <w:tc>
          <w:tcPr>
            <w:tcW w:w="193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&lt;5</w:t>
            </w:r>
            <w:r>
              <w:rPr>
                <w:rFonts w:eastAsia="仿宋_GB2312" w:hAnsi="仿宋_GB2312" w:cs="仿宋_GB2312" w:hint="eastAsia"/>
                <w:szCs w:val="21"/>
              </w:rPr>
              <w:t>不可用</w:t>
            </w:r>
          </w:p>
        </w:tc>
        <w:tc>
          <w:tcPr>
            <w:tcW w:w="467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szCs w:val="21"/>
              </w:rPr>
              <w:t>实测农村平均</w:t>
            </w:r>
            <w:r>
              <w:rPr>
                <w:rFonts w:eastAsia="仿宋_GB2312" w:hAnsi="仿宋_GB2312" w:cs="仿宋_GB2312"/>
                <w:szCs w:val="21"/>
              </w:rPr>
              <w:t>-102dBm</w:t>
            </w:r>
            <w:r>
              <w:rPr>
                <w:rFonts w:eastAsia="仿宋_GB2312" w:hAnsi="仿宋_GB2312" w:cs="仿宋_GB2312" w:hint="eastAsia"/>
                <w:szCs w:val="21"/>
              </w:rPr>
              <w:t>（</w:t>
            </w:r>
            <w:r>
              <w:rPr>
                <w:rFonts w:eastAsia="仿宋_GB2312" w:hAnsi="仿宋_GB2312" w:cs="仿宋_GB2312"/>
                <w:szCs w:val="21"/>
              </w:rPr>
              <w:t>900MHz</w:t>
            </w:r>
            <w:r>
              <w:rPr>
                <w:rFonts w:eastAsia="仿宋_GB2312" w:hAnsi="仿宋_GB2312" w:cs="仿宋_GB2312" w:hint="eastAsia"/>
                <w:szCs w:val="21"/>
              </w:rPr>
              <w:t>）</w:t>
            </w:r>
          </w:p>
        </w:tc>
      </w:tr>
      <w:tr w:rsidTr="00B34C9C">
        <w:tblPrEx>
          <w:tblW w:w="9533" w:type="dxa"/>
          <w:jc w:val="center"/>
          <w:tblLook w:val="04A0"/>
        </w:tblPrEx>
        <w:trPr>
          <w:trHeight w:val="529"/>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ascii="MS Gothic" w:eastAsia="MS Gothic" w:hAnsi="MS Gothic" w:cs="MS Gothic" w:hint="eastAsia"/>
                <w:szCs w:val="21"/>
              </w:rPr>
              <w:t>‌</w:t>
            </w:r>
            <w:r>
              <w:rPr>
                <w:rFonts w:eastAsia="仿宋_GB2312" w:hAnsi="仿宋_GB2312" w:cs="仿宋_GB2312"/>
                <w:szCs w:val="21"/>
              </w:rPr>
              <w:t>SNR</w:t>
            </w:r>
            <w:r>
              <w:rPr>
                <w:rFonts w:ascii="MS Gothic" w:eastAsia="MS Gothic" w:hAnsi="MS Gothic" w:cs="MS Gothic" w:hint="eastAsia"/>
                <w:szCs w:val="21"/>
              </w:rPr>
              <w:t>‌</w:t>
            </w:r>
          </w:p>
        </w:tc>
        <w:tc>
          <w:tcPr>
            <w:tcW w:w="192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-12 ~ -17</w:t>
            </w:r>
          </w:p>
        </w:tc>
        <w:tc>
          <w:tcPr>
            <w:tcW w:w="1937"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szCs w:val="21"/>
              </w:rPr>
              <w:t>&lt;-18</w:t>
            </w:r>
            <w:r>
              <w:rPr>
                <w:rFonts w:eastAsia="仿宋_GB2312" w:hAnsi="仿宋_GB2312" w:cs="仿宋_GB2312" w:hint="eastAsia"/>
                <w:szCs w:val="21"/>
              </w:rPr>
              <w:t>质量劣化</w:t>
            </w:r>
          </w:p>
        </w:tc>
        <w:tc>
          <w:tcPr>
            <w:tcW w:w="4679"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b/>
                <w:szCs w:val="32"/>
              </w:rPr>
            </w:pPr>
            <w:r>
              <w:rPr>
                <w:rFonts w:eastAsia="仿宋_GB2312" w:hAnsi="仿宋_GB2312" w:cs="仿宋_GB2312" w:hint="eastAsia"/>
                <w:szCs w:val="21"/>
              </w:rPr>
              <w:t>异频组网降低干扰</w:t>
            </w:r>
            <w:r>
              <w:rPr>
                <w:rFonts w:ascii="Calibri" w:eastAsia="仿宋_GB2312" w:hAnsi="Calibri" w:cs="Calibri"/>
                <w:szCs w:val="21"/>
              </w:rPr>
              <w:t> </w:t>
            </w:r>
          </w:p>
        </w:tc>
      </w:tr>
    </w:tbl>
    <w:p w:rsidR="00B34C9C" w:rsidP="00B34C9C">
      <w:pPr>
        <w:adjustRightInd w:val="0"/>
        <w:snapToGrid w:val="0"/>
        <w:spacing w:line="560" w:lineRule="exact"/>
        <w:ind w:firstLine="560" w:firstLineChars="200"/>
        <w:rPr>
          <w:rFonts w:ascii="Times New Roman" w:eastAsia="仿宋_GB2312" w:hAnsi="Times New Roman" w:cs="Times New Roman"/>
          <w:sz w:val="28"/>
          <w:szCs w:val="28"/>
        </w:rPr>
      </w:pPr>
      <w:r>
        <w:rPr>
          <w:rFonts w:eastAsia="仿宋_GB2312" w:hint="eastAsia"/>
          <w:sz w:val="28"/>
          <w:szCs w:val="28"/>
        </w:rPr>
        <w:t>信号强度与业务性能关联：</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稳定传输阈值</w:t>
      </w:r>
      <w:r>
        <w:rPr>
          <w:rFonts w:ascii="MS Gothic" w:eastAsia="MS Gothic" w:hAnsi="MS Gothic" w:cs="MS Gothic" w:hint="eastAsia"/>
          <w:sz w:val="28"/>
          <w:szCs w:val="28"/>
        </w:rPr>
        <w:t>‌</w:t>
      </w:r>
      <w:r>
        <w:rPr>
          <w:rFonts w:ascii="仿宋_GB2312" w:eastAsia="仿宋_GB2312" w:hAnsi="仿宋_GB2312" w:cs="仿宋_GB2312" w:hint="eastAsia"/>
          <w:sz w:val="28"/>
          <w:szCs w:val="28"/>
        </w:rPr>
        <w:t>：</w:t>
      </w:r>
      <w:r>
        <w:rPr>
          <w:rFonts w:eastAsia="仿宋_GB2312"/>
          <w:sz w:val="28"/>
          <w:szCs w:val="28"/>
        </w:rPr>
        <w:t xml:space="preserve">RSRP </w:t>
      </w:r>
      <w:r>
        <w:rPr>
          <w:rFonts w:eastAsia="仿宋_GB2312" w:hint="eastAsia"/>
          <w:sz w:val="28"/>
          <w:szCs w:val="28"/>
        </w:rPr>
        <w:t>≥</w:t>
      </w:r>
      <w:r>
        <w:rPr>
          <w:rFonts w:eastAsia="仿宋_GB2312"/>
          <w:sz w:val="28"/>
          <w:szCs w:val="28"/>
        </w:rPr>
        <w:t xml:space="preserve"> -95dBm </w:t>
      </w:r>
      <w:r>
        <w:rPr>
          <w:rFonts w:eastAsia="仿宋_GB2312" w:hint="eastAsia"/>
          <w:sz w:val="28"/>
          <w:szCs w:val="28"/>
        </w:rPr>
        <w:t>且</w:t>
      </w:r>
      <w:r>
        <w:rPr>
          <w:rFonts w:eastAsia="仿宋_GB2312"/>
          <w:sz w:val="28"/>
          <w:szCs w:val="28"/>
        </w:rPr>
        <w:t xml:space="preserve"> SNR </w:t>
      </w:r>
      <w:r>
        <w:rPr>
          <w:rFonts w:eastAsia="仿宋_GB2312" w:hint="eastAsia"/>
          <w:sz w:val="28"/>
          <w:szCs w:val="28"/>
        </w:rPr>
        <w:t>≥</w:t>
      </w:r>
      <w:r>
        <w:rPr>
          <w:rFonts w:eastAsia="仿宋_GB2312"/>
          <w:sz w:val="28"/>
          <w:szCs w:val="28"/>
        </w:rPr>
        <w:t xml:space="preserve"> 100 </w:t>
      </w:r>
      <w:r>
        <w:rPr>
          <w:rFonts w:eastAsia="仿宋_GB2312" w:hint="eastAsia"/>
          <w:sz w:val="28"/>
          <w:szCs w:val="28"/>
        </w:rPr>
        <w:t>时，可实现秒级数据传输。</w:t>
      </w:r>
    </w:p>
    <w:p w:rsidR="00B34C9C" w:rsidP="00B34C9C">
      <w:pPr>
        <w:adjustRightInd w:val="0"/>
        <w:snapToGrid w:val="0"/>
        <w:spacing w:line="560" w:lineRule="exact"/>
        <w:ind w:firstLine="560" w:firstLineChars="200"/>
        <w:rPr>
          <w:rFonts w:eastAsia="仿宋_GB2312"/>
          <w:sz w:val="28"/>
          <w:szCs w:val="28"/>
        </w:rPr>
      </w:pPr>
      <w:r>
        <w:rPr>
          <w:rFonts w:ascii="MS Gothic" w:eastAsia="MS Gothic" w:hAnsi="MS Gothic" w:cs="MS Gothic" w:hint="eastAsia"/>
          <w:sz w:val="28"/>
          <w:szCs w:val="28"/>
        </w:rPr>
        <w:t>‌</w:t>
      </w:r>
      <w:r>
        <w:rPr>
          <w:rFonts w:ascii="仿宋_GB2312" w:eastAsia="仿宋_GB2312" w:hAnsi="仿宋_GB2312" w:cs="仿宋_GB2312" w:hint="eastAsia"/>
          <w:sz w:val="28"/>
          <w:szCs w:val="28"/>
        </w:rPr>
        <w:t>弱信号场景策略</w:t>
      </w:r>
      <w:r>
        <w:rPr>
          <w:rFonts w:ascii="MS Gothic" w:eastAsia="MS Gothic" w:hAnsi="MS Gothic" w:cs="MS Gothic" w:hint="eastAsia"/>
          <w:sz w:val="28"/>
          <w:szCs w:val="28"/>
        </w:rPr>
        <w:t>‌</w:t>
      </w:r>
      <w:r>
        <w:rPr>
          <w:rFonts w:ascii="仿宋_GB2312" w:eastAsia="仿宋_GB2312" w:hAnsi="仿宋_GB2312" w:cs="仿宋_GB2312" w:hint="eastAsia"/>
          <w:sz w:val="28"/>
          <w:szCs w:val="28"/>
        </w:rPr>
        <w:t>：</w:t>
      </w:r>
      <w:r>
        <w:rPr>
          <w:rFonts w:eastAsia="仿宋_GB2312"/>
          <w:sz w:val="28"/>
          <w:szCs w:val="28"/>
        </w:rPr>
        <w:t xml:space="preserve">RSRP </w:t>
      </w:r>
      <w:r>
        <w:rPr>
          <w:rFonts w:eastAsia="仿宋_GB2312" w:hint="eastAsia"/>
          <w:sz w:val="28"/>
          <w:szCs w:val="28"/>
        </w:rPr>
        <w:t>≤</w:t>
      </w:r>
      <w:r>
        <w:rPr>
          <w:rFonts w:eastAsia="仿宋_GB2312"/>
          <w:sz w:val="28"/>
          <w:szCs w:val="28"/>
        </w:rPr>
        <w:t xml:space="preserve"> -110dBm </w:t>
      </w:r>
      <w:r>
        <w:rPr>
          <w:rFonts w:eastAsia="仿宋_GB2312" w:hint="eastAsia"/>
          <w:sz w:val="28"/>
          <w:szCs w:val="28"/>
        </w:rPr>
        <w:t>时自动触发覆盖增强（</w:t>
      </w:r>
      <w:r>
        <w:rPr>
          <w:rFonts w:eastAsia="仿宋_GB2312"/>
          <w:sz w:val="28"/>
          <w:szCs w:val="28"/>
        </w:rPr>
        <w:t>CE Level 2/3</w:t>
      </w:r>
      <w:r>
        <w:rPr>
          <w:rFonts w:eastAsia="仿宋_GB2312" w:hint="eastAsia"/>
          <w:sz w:val="28"/>
          <w:szCs w:val="28"/>
        </w:rPr>
        <w:t>），重传次数增加导致功耗上升。</w:t>
      </w:r>
    </w:p>
    <w:p w:rsidR="00B34C9C" w:rsidP="00B34C9C">
      <w:pPr>
        <w:adjustRightInd w:val="0"/>
        <w:snapToGrid w:val="0"/>
        <w:spacing w:line="560" w:lineRule="exact"/>
        <w:ind w:firstLine="560" w:firstLineChars="200"/>
        <w:rPr>
          <w:rFonts w:eastAsia="仿宋_GB2312"/>
          <w:sz w:val="28"/>
          <w:szCs w:val="28"/>
        </w:rPr>
      </w:pPr>
      <w:r>
        <w:rPr>
          <w:rFonts w:ascii="MS Gothic" w:eastAsia="MS Gothic" w:hAnsi="MS Gothic" w:cs="MS Gothic" w:hint="eastAsia"/>
          <w:sz w:val="28"/>
          <w:szCs w:val="28"/>
        </w:rPr>
        <w:t>‌</w:t>
      </w:r>
      <w:r>
        <w:rPr>
          <w:rFonts w:ascii="仿宋_GB2312" w:eastAsia="仿宋_GB2312" w:hAnsi="仿宋_GB2312" w:cs="仿宋_GB2312" w:hint="eastAsia"/>
          <w:sz w:val="28"/>
          <w:szCs w:val="28"/>
        </w:rPr>
        <w:t>失效临界点</w:t>
      </w:r>
      <w:r>
        <w:rPr>
          <w:rFonts w:ascii="MS Gothic" w:eastAsia="MS Gothic" w:hAnsi="MS Gothic" w:cs="MS Gothic" w:hint="eastAsia"/>
          <w:sz w:val="28"/>
          <w:szCs w:val="28"/>
        </w:rPr>
        <w:t>‌</w:t>
      </w:r>
      <w:r>
        <w:rPr>
          <w:rFonts w:ascii="仿宋_GB2312" w:eastAsia="仿宋_GB2312" w:hAnsi="仿宋_GB2312" w:cs="仿宋_GB2312" w:hint="eastAsia"/>
          <w:sz w:val="28"/>
          <w:szCs w:val="28"/>
        </w:rPr>
        <w:t>：</w:t>
      </w:r>
      <w:r>
        <w:rPr>
          <w:rFonts w:eastAsia="仿宋_GB2312"/>
          <w:sz w:val="28"/>
          <w:szCs w:val="28"/>
        </w:rPr>
        <w:t xml:space="preserve">RSRP </w:t>
      </w:r>
      <w:r>
        <w:rPr>
          <w:rFonts w:eastAsia="仿宋_GB2312" w:hint="eastAsia"/>
          <w:sz w:val="28"/>
          <w:szCs w:val="28"/>
        </w:rPr>
        <w:t>≤</w:t>
      </w:r>
      <w:r>
        <w:rPr>
          <w:rFonts w:eastAsia="仿宋_GB2312"/>
          <w:sz w:val="28"/>
          <w:szCs w:val="28"/>
        </w:rPr>
        <w:t xml:space="preserve"> -125dBm </w:t>
      </w:r>
      <w:r>
        <w:rPr>
          <w:rFonts w:eastAsia="仿宋_GB2312" w:hint="eastAsia"/>
          <w:sz w:val="28"/>
          <w:szCs w:val="28"/>
        </w:rPr>
        <w:t>或</w:t>
      </w:r>
      <w:r>
        <w:rPr>
          <w:rFonts w:eastAsia="仿宋_GB2312"/>
          <w:sz w:val="28"/>
          <w:szCs w:val="28"/>
        </w:rPr>
        <w:t xml:space="preserve"> CSQ &lt; 5 </w:t>
      </w:r>
      <w:r>
        <w:rPr>
          <w:rFonts w:eastAsia="仿宋_GB2312" w:hint="eastAsia"/>
          <w:sz w:val="28"/>
          <w:szCs w:val="28"/>
        </w:rPr>
        <w:t>时，设备无法注册网络（需调整位置或加装天线）。</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部署建议</w:t>
      </w:r>
      <w:r>
        <w:rPr>
          <w:rFonts w:ascii="MS Gothic" w:eastAsia="MS Gothic" w:hAnsi="MS Gothic" w:cs="MS Gothic" w:hint="eastAsia"/>
          <w:sz w:val="28"/>
          <w:szCs w:val="28"/>
        </w:rPr>
        <w:t>‌</w:t>
      </w:r>
      <w:r>
        <w:rPr>
          <w:rFonts w:ascii="仿宋_GB2312" w:eastAsia="仿宋_GB2312" w:hAnsi="仿宋_GB2312" w:cs="仿宋_GB2312" w:hint="eastAsia"/>
          <w:sz w:val="28"/>
          <w:szCs w:val="28"/>
        </w:rPr>
        <w:t>：优先选择电信</w:t>
      </w:r>
      <w:r>
        <w:rPr>
          <w:rFonts w:eastAsia="仿宋_GB2312"/>
          <w:sz w:val="28"/>
          <w:szCs w:val="28"/>
        </w:rPr>
        <w:t>800MHz</w:t>
      </w:r>
      <w:r>
        <w:rPr>
          <w:rFonts w:eastAsia="仿宋_GB2312" w:hint="eastAsia"/>
          <w:sz w:val="28"/>
          <w:szCs w:val="28"/>
        </w:rPr>
        <w:t>（穿墙能力强）；</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安装时需实测</w:t>
      </w:r>
      <w:r>
        <w:rPr>
          <w:rFonts w:eastAsia="仿宋_GB2312"/>
          <w:sz w:val="28"/>
          <w:szCs w:val="28"/>
        </w:rPr>
        <w:t>RSRP/SNR</w:t>
      </w:r>
      <w:r>
        <w:rPr>
          <w:rFonts w:eastAsia="仿宋_GB2312" w:hint="eastAsia"/>
          <w:sz w:val="28"/>
          <w:szCs w:val="28"/>
        </w:rPr>
        <w:t>组合值（例：</w:t>
      </w:r>
      <w:r>
        <w:rPr>
          <w:rFonts w:eastAsia="仿宋_GB2312"/>
          <w:sz w:val="28"/>
          <w:szCs w:val="28"/>
        </w:rPr>
        <w:t>-100dBm+SNR120</w:t>
      </w:r>
      <w:r>
        <w:rPr>
          <w:rFonts w:eastAsia="仿宋_GB2312" w:hint="eastAsia"/>
          <w:sz w:val="28"/>
          <w:szCs w:val="28"/>
        </w:rPr>
        <w:t>优于</w:t>
      </w:r>
      <w:r>
        <w:rPr>
          <w:rFonts w:eastAsia="仿宋_GB2312"/>
          <w:sz w:val="28"/>
          <w:szCs w:val="28"/>
        </w:rPr>
        <w:t>-90dBm+SNR50</w:t>
      </w:r>
      <w:r>
        <w:rPr>
          <w:rFonts w:eastAsia="仿宋_GB2312" w:hint="eastAsia"/>
          <w:sz w:val="28"/>
          <w:szCs w:val="28"/>
        </w:rPr>
        <w:t>）。</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w:t>
      </w:r>
      <w:r>
        <w:rPr>
          <w:rFonts w:eastAsia="仿宋_GB2312"/>
          <w:sz w:val="28"/>
          <w:szCs w:val="28"/>
        </w:rPr>
        <w:t>2</w:t>
      </w:r>
      <w:r>
        <w:rPr>
          <w:rFonts w:eastAsia="仿宋_GB2312" w:hint="eastAsia"/>
          <w:sz w:val="28"/>
          <w:szCs w:val="28"/>
        </w:rPr>
        <w:t>）安装方式确认</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根据具体的应用场景、环境条件和设备类型进行设计，确保设备的稳定运行和数据采集的准确性，可借助公路旁灯杆、监控杆、龙门架、涵洞墙壁等已有设施进行安装，最大限度降低安装、维护方面的额外成本。</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积涝监测设备安装方式采用立杆式安装、壁挂式安装和地埋式安装，本项目主要借助市政现有灯杆等设施安装（避免重复建设）。</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1</w:t>
      </w:r>
      <w:r>
        <w:rPr>
          <w:rFonts w:eastAsia="仿宋_GB2312" w:hint="eastAsia"/>
          <w:sz w:val="28"/>
          <w:szCs w:val="28"/>
        </w:rPr>
        <w:t>）立杆式安装</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适用场景</w:t>
      </w:r>
      <w:r>
        <w:rPr>
          <w:rFonts w:eastAsia="仿宋_GB2312"/>
          <w:sz w:val="28"/>
          <w:szCs w:val="28"/>
        </w:rPr>
        <w:t xml:space="preserve">: </w:t>
      </w:r>
      <w:r>
        <w:rPr>
          <w:rFonts w:eastAsia="仿宋_GB2312" w:hint="eastAsia"/>
          <w:sz w:val="28"/>
          <w:szCs w:val="28"/>
        </w:rPr>
        <w:t>道路、广场、公园等开阔区域；</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安装条件：从现场环境、土建施工、市政许可及场所保护等方面考虑是否具备立杆条件，或利用现有市政设备灯杆作为设备挂载载体。</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安装方式</w:t>
      </w:r>
      <w:r>
        <w:rPr>
          <w:rFonts w:eastAsia="仿宋_GB2312"/>
          <w:sz w:val="28"/>
          <w:szCs w:val="28"/>
        </w:rPr>
        <w:t xml:space="preserve">: </w:t>
      </w:r>
      <w:r>
        <w:rPr>
          <w:rFonts w:eastAsia="仿宋_GB2312" w:hint="eastAsia"/>
          <w:sz w:val="28"/>
          <w:szCs w:val="28"/>
        </w:rPr>
        <w:t>将主机设备安装在立杆特定位置，一般建议在</w:t>
      </w:r>
      <w:r>
        <w:rPr>
          <w:rFonts w:eastAsia="仿宋_GB2312"/>
          <w:sz w:val="28"/>
          <w:szCs w:val="28"/>
        </w:rPr>
        <w:t>2-2.5</w:t>
      </w:r>
      <w:r>
        <w:rPr>
          <w:rFonts w:eastAsia="仿宋_GB2312" w:hint="eastAsia"/>
          <w:sz w:val="28"/>
          <w:szCs w:val="28"/>
        </w:rPr>
        <w:t>米，探头导线垂直于地面安装固定；</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安装要求</w:t>
      </w:r>
      <w:r>
        <w:rPr>
          <w:rFonts w:eastAsia="仿宋_GB2312"/>
          <w:sz w:val="28"/>
          <w:szCs w:val="28"/>
        </w:rPr>
        <w:t xml:space="preserve">: </w:t>
      </w:r>
      <w:r>
        <w:rPr>
          <w:rFonts w:eastAsia="仿宋_GB2312" w:hint="eastAsia"/>
          <w:sz w:val="28"/>
          <w:szCs w:val="28"/>
        </w:rPr>
        <w:t>主机固定及安装附件采用</w:t>
      </w:r>
      <w:r>
        <w:rPr>
          <w:rFonts w:eastAsia="仿宋_GB2312"/>
          <w:sz w:val="28"/>
          <w:szCs w:val="28"/>
        </w:rPr>
        <w:t>304</w:t>
      </w:r>
      <w:r>
        <w:rPr>
          <w:rFonts w:eastAsia="仿宋_GB2312" w:hint="eastAsia"/>
          <w:sz w:val="28"/>
          <w:szCs w:val="28"/>
        </w:rPr>
        <w:t>不锈钢材质，导线做防腐及外力损伤保护，传感器探头与被测面平齐，误差±</w:t>
      </w:r>
      <w:r>
        <w:rPr>
          <w:rFonts w:eastAsia="仿宋_GB2312"/>
          <w:sz w:val="28"/>
          <w:szCs w:val="28"/>
        </w:rPr>
        <w:t>1mm</w:t>
      </w:r>
      <w:r>
        <w:rPr>
          <w:rFonts w:eastAsia="仿宋_GB2312" w:hint="eastAsia"/>
          <w:sz w:val="28"/>
          <w:szCs w:val="28"/>
        </w:rPr>
        <w:t>，做固定保护；</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防雷措施：在雷雨多发地区，在设备立杆高于周边半径</w:t>
      </w:r>
      <w:r>
        <w:rPr>
          <w:rFonts w:eastAsia="仿宋_GB2312"/>
          <w:sz w:val="28"/>
          <w:szCs w:val="28"/>
        </w:rPr>
        <w:t>5m</w:t>
      </w:r>
      <w:r>
        <w:rPr>
          <w:rFonts w:eastAsia="仿宋_GB2312" w:hint="eastAsia"/>
          <w:sz w:val="28"/>
          <w:szCs w:val="28"/>
        </w:rPr>
        <w:t>建筑载体</w:t>
      </w:r>
      <w:r>
        <w:rPr>
          <w:rFonts w:eastAsia="仿宋_GB2312"/>
          <w:sz w:val="28"/>
          <w:szCs w:val="28"/>
        </w:rPr>
        <w:t>1m</w:t>
      </w:r>
      <w:r>
        <w:rPr>
          <w:rFonts w:eastAsia="仿宋_GB2312" w:hint="eastAsia"/>
          <w:sz w:val="28"/>
          <w:szCs w:val="28"/>
        </w:rPr>
        <w:t>的情况下，杆体需做防雷接地，相关标准参考</w:t>
      </w:r>
      <w:r>
        <w:rPr>
          <w:rFonts w:eastAsia="仿宋_GB2312"/>
          <w:sz w:val="28"/>
          <w:szCs w:val="28"/>
        </w:rPr>
        <w:t xml:space="preserve">GB/T 40250-2021 </w:t>
      </w:r>
      <w:r>
        <w:rPr>
          <w:rFonts w:eastAsia="仿宋_GB2312" w:hint="eastAsia"/>
          <w:sz w:val="28"/>
          <w:szCs w:val="28"/>
        </w:rPr>
        <w:t>城市景观照明设施防雷技术规范。</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2</w:t>
      </w:r>
      <w:r>
        <w:rPr>
          <w:rFonts w:eastAsia="仿宋_GB2312" w:hint="eastAsia"/>
          <w:sz w:val="28"/>
          <w:szCs w:val="28"/>
        </w:rPr>
        <w:t>）壁挂式安装</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适用场景</w:t>
      </w:r>
      <w:r>
        <w:rPr>
          <w:rFonts w:eastAsia="仿宋_GB2312"/>
          <w:sz w:val="28"/>
          <w:szCs w:val="28"/>
        </w:rPr>
        <w:t xml:space="preserve">: </w:t>
      </w:r>
      <w:r>
        <w:rPr>
          <w:rFonts w:eastAsia="仿宋_GB2312" w:hint="eastAsia"/>
          <w:sz w:val="28"/>
          <w:szCs w:val="28"/>
        </w:rPr>
        <w:t>建筑物外墙、桥梁墩柱、地道涵洞等垂直墙面或岩体；</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安装条件：墙面或岩体稳定可靠，经市政或交通部门许可，设备主机可固定在墙面或岩体上。</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安装方式</w:t>
      </w:r>
      <w:r>
        <w:rPr>
          <w:rFonts w:eastAsia="仿宋_GB2312"/>
          <w:sz w:val="28"/>
          <w:szCs w:val="28"/>
        </w:rPr>
        <w:t xml:space="preserve">: </w:t>
      </w:r>
      <w:r>
        <w:rPr>
          <w:rFonts w:eastAsia="仿宋_GB2312" w:hint="eastAsia"/>
          <w:sz w:val="28"/>
          <w:szCs w:val="28"/>
        </w:rPr>
        <w:t>使用支架将设备固定在墙面或岩体上，墙面钻孔后植入锚栓，设备支架通过不锈钢螺栓紧固，垂直度偏差≤</w:t>
      </w:r>
      <w:r>
        <w:rPr>
          <w:rFonts w:eastAsia="仿宋_GB2312"/>
          <w:sz w:val="28"/>
          <w:szCs w:val="28"/>
        </w:rPr>
        <w:t>3</w:t>
      </w:r>
      <w:r>
        <w:rPr>
          <w:rFonts w:eastAsia="仿宋_GB2312" w:hint="eastAsia"/>
          <w:sz w:val="28"/>
          <w:szCs w:val="28"/>
        </w:rPr>
        <w:t>°，安装高度</w:t>
      </w:r>
      <w:r>
        <w:rPr>
          <w:rFonts w:eastAsia="仿宋_GB2312"/>
          <w:sz w:val="28"/>
          <w:szCs w:val="28"/>
        </w:rPr>
        <w:t>2-2.5</w:t>
      </w:r>
      <w:r>
        <w:rPr>
          <w:rFonts w:eastAsia="仿宋_GB2312" w:hint="eastAsia"/>
          <w:sz w:val="28"/>
          <w:szCs w:val="28"/>
        </w:rPr>
        <w:t>米。</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安装要求</w:t>
      </w:r>
      <w:r>
        <w:rPr>
          <w:rFonts w:eastAsia="仿宋_GB2312"/>
          <w:sz w:val="28"/>
          <w:szCs w:val="28"/>
        </w:rPr>
        <w:t xml:space="preserve">: </w:t>
      </w:r>
      <w:r>
        <w:rPr>
          <w:rFonts w:eastAsia="仿宋_GB2312" w:hint="eastAsia"/>
          <w:sz w:val="28"/>
          <w:szCs w:val="28"/>
        </w:rPr>
        <w:t>主机固定及安装附件采用</w:t>
      </w:r>
      <w:r>
        <w:rPr>
          <w:rFonts w:eastAsia="仿宋_GB2312"/>
          <w:sz w:val="28"/>
          <w:szCs w:val="28"/>
        </w:rPr>
        <w:t>304</w:t>
      </w:r>
      <w:r>
        <w:rPr>
          <w:rFonts w:eastAsia="仿宋_GB2312" w:hint="eastAsia"/>
          <w:sz w:val="28"/>
          <w:szCs w:val="28"/>
        </w:rPr>
        <w:t>不锈钢材质，导线做防腐及外力损伤保护，传感器探头与被测面平齐，误差±</w:t>
      </w:r>
      <w:r>
        <w:rPr>
          <w:rFonts w:eastAsia="仿宋_GB2312"/>
          <w:sz w:val="28"/>
          <w:szCs w:val="28"/>
        </w:rPr>
        <w:t>1mm</w:t>
      </w:r>
      <w:r>
        <w:rPr>
          <w:rFonts w:eastAsia="仿宋_GB2312" w:hint="eastAsia"/>
          <w:sz w:val="28"/>
          <w:szCs w:val="28"/>
        </w:rPr>
        <w:t>，做固定保护。</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3</w:t>
      </w:r>
      <w:r>
        <w:rPr>
          <w:rFonts w:eastAsia="仿宋_GB2312" w:hint="eastAsia"/>
          <w:sz w:val="28"/>
          <w:szCs w:val="28"/>
        </w:rPr>
        <w:t>）地埋式安装</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适用场景</w:t>
      </w:r>
      <w:r>
        <w:rPr>
          <w:rFonts w:eastAsia="仿宋_GB2312"/>
          <w:sz w:val="28"/>
          <w:szCs w:val="28"/>
        </w:rPr>
        <w:t xml:space="preserve">: </w:t>
      </w:r>
      <w:r>
        <w:rPr>
          <w:rFonts w:eastAsia="仿宋_GB2312" w:hint="eastAsia"/>
          <w:sz w:val="28"/>
          <w:szCs w:val="28"/>
        </w:rPr>
        <w:t>低洼地段、下穿隧道等易积水区域；</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安装方式</w:t>
      </w:r>
      <w:r>
        <w:rPr>
          <w:rFonts w:eastAsia="仿宋_GB2312"/>
          <w:sz w:val="28"/>
          <w:szCs w:val="28"/>
        </w:rPr>
        <w:t xml:space="preserve">: </w:t>
      </w:r>
      <w:r>
        <w:rPr>
          <w:rFonts w:eastAsia="仿宋_GB2312" w:hint="eastAsia"/>
          <w:sz w:val="28"/>
          <w:szCs w:val="28"/>
        </w:rPr>
        <w:t>将设备安装在地埋井内或地面载体如道牙等，地埋井深度根据现场实际需求确定，并做好防水防潮措施。</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安装要求</w:t>
      </w:r>
      <w:r>
        <w:rPr>
          <w:rFonts w:eastAsia="仿宋_GB2312"/>
          <w:sz w:val="28"/>
          <w:szCs w:val="28"/>
        </w:rPr>
        <w:t xml:space="preserve">: </w:t>
      </w:r>
      <w:r>
        <w:rPr>
          <w:rFonts w:eastAsia="仿宋_GB2312" w:hint="eastAsia"/>
          <w:sz w:val="28"/>
          <w:szCs w:val="28"/>
        </w:rPr>
        <w:t>将设备安装在地面载体，做防腐防潮保护，探头与被测基准面平齐。</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w:t>
      </w:r>
      <w:r>
        <w:rPr>
          <w:rFonts w:eastAsia="仿宋_GB2312"/>
          <w:sz w:val="28"/>
          <w:szCs w:val="28"/>
        </w:rPr>
        <w:t>3</w:t>
      </w:r>
      <w:r>
        <w:rPr>
          <w:rFonts w:eastAsia="仿宋_GB2312" w:hint="eastAsia"/>
          <w:sz w:val="28"/>
          <w:szCs w:val="28"/>
        </w:rPr>
        <w:t>）安装材料准备</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确认完现场设备安装方案后，对不同安装方案的点位及所需的材料进行统计，制定项目施工材料采购计划和点对点的施工材料方案。</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1</w:t>
      </w:r>
      <w:r>
        <w:rPr>
          <w:rFonts w:eastAsia="仿宋_GB2312" w:hint="eastAsia"/>
          <w:sz w:val="28"/>
          <w:szCs w:val="28"/>
        </w:rPr>
        <w:t>）立杆式安装</w:t>
      </w:r>
      <w:r>
        <w:rPr>
          <w:rFonts w:ascii="MS Gothic" w:eastAsia="MS Gothic" w:hAnsi="MS Gothic" w:cs="MS Gothic" w:hint="eastAsia"/>
          <w:sz w:val="28"/>
          <w:szCs w:val="28"/>
        </w:rPr>
        <w:t>‌</w:t>
      </w:r>
      <w:r>
        <w:rPr>
          <w:rFonts w:ascii="仿宋_GB2312" w:eastAsia="仿宋_GB2312" w:hAnsi="仿宋_GB2312" w:cs="仿宋_GB2312" w:hint="eastAsia"/>
          <w:sz w:val="28"/>
          <w:szCs w:val="28"/>
        </w:rPr>
        <w:t>材料准备：土建施工材料准备，施工器具准备，</w:t>
      </w:r>
      <w:r>
        <w:rPr>
          <w:rFonts w:eastAsia="仿宋_GB2312"/>
          <w:sz w:val="28"/>
          <w:szCs w:val="28"/>
        </w:rPr>
        <w:t>DN114*1000+DN76*1500</w:t>
      </w:r>
      <w:r>
        <w:rPr>
          <w:rFonts w:eastAsia="仿宋_GB2312" w:hint="eastAsia"/>
          <w:sz w:val="28"/>
          <w:szCs w:val="28"/>
        </w:rPr>
        <w:t>护管，配套定制预埋件（埋深≥</w:t>
      </w:r>
      <w:r>
        <w:rPr>
          <w:rFonts w:eastAsia="仿宋_GB2312"/>
          <w:sz w:val="28"/>
          <w:szCs w:val="28"/>
        </w:rPr>
        <w:t>0.5m</w:t>
      </w:r>
      <w:r>
        <w:rPr>
          <w:rFonts w:eastAsia="仿宋_GB2312" w:hint="eastAsia"/>
          <w:sz w:val="28"/>
          <w:szCs w:val="28"/>
        </w:rPr>
        <w:t>），传感器线缆保护管，主机</w:t>
      </w:r>
      <w:r>
        <w:rPr>
          <w:rFonts w:eastAsia="仿宋_GB2312"/>
          <w:sz w:val="28"/>
          <w:szCs w:val="28"/>
        </w:rPr>
        <w:t>304</w:t>
      </w:r>
      <w:r>
        <w:rPr>
          <w:rFonts w:eastAsia="仿宋_GB2312" w:hint="eastAsia"/>
          <w:sz w:val="28"/>
          <w:szCs w:val="28"/>
        </w:rPr>
        <w:t>固定支架，施工组人员≥</w:t>
      </w:r>
      <w:r>
        <w:rPr>
          <w:rFonts w:eastAsia="仿宋_GB2312"/>
          <w:sz w:val="28"/>
          <w:szCs w:val="28"/>
        </w:rPr>
        <w:t>2</w:t>
      </w:r>
      <w:r>
        <w:rPr>
          <w:rFonts w:eastAsia="仿宋_GB2312" w:hint="eastAsia"/>
          <w:sz w:val="28"/>
          <w:szCs w:val="28"/>
        </w:rPr>
        <w:t>人，配备交通工具及安全防护措施。</w:t>
      </w:r>
    </w:p>
    <w:p w:rsidR="00B34C9C" w:rsidP="00B34C9C">
      <w:pPr>
        <w:spacing w:line="560" w:lineRule="exact"/>
        <w:jc w:val="center"/>
        <w:rPr>
          <w:rFonts w:eastAsia="仿宋_GB2312"/>
          <w:b/>
          <w:bCs/>
          <w:szCs w:val="21"/>
        </w:rPr>
      </w:pPr>
      <w:r>
        <w:rPr>
          <w:rFonts w:eastAsia="仿宋_GB2312" w:hint="eastAsia"/>
          <w:b/>
          <w:bCs/>
          <w:szCs w:val="21"/>
        </w:rPr>
        <w:t>表</w:t>
      </w:r>
      <w:r>
        <w:rPr>
          <w:rFonts w:eastAsia="仿宋_GB2312"/>
          <w:b/>
          <w:bCs/>
          <w:szCs w:val="21"/>
        </w:rPr>
        <w:t xml:space="preserve">8 </w:t>
      </w:r>
      <w:r>
        <w:rPr>
          <w:rFonts w:eastAsia="仿宋_GB2312" w:hint="eastAsia"/>
          <w:b/>
          <w:bCs/>
          <w:szCs w:val="21"/>
        </w:rPr>
        <w:t>通用材料表</w:t>
      </w:r>
      <w:r>
        <w:rPr>
          <w:rFonts w:eastAsia="仿宋_GB2312"/>
          <w:b/>
          <w:bCs/>
          <w:szCs w:val="21"/>
        </w:rPr>
        <w:t>‌</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45"/>
        <w:gridCol w:w="2746"/>
        <w:gridCol w:w="4131"/>
      </w:tblGrid>
      <w:tr w:rsidTr="00B34C9C">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76"/>
        </w:trPr>
        <w:tc>
          <w:tcPr>
            <w:tcW w:w="1696"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szCs w:val="32"/>
              </w:rPr>
            </w:pPr>
            <w:r>
              <w:rPr>
                <w:rFonts w:ascii="MS Gothic" w:eastAsia="MS Gothic" w:hAnsi="MS Gothic" w:cs="MS Gothic" w:hint="eastAsia"/>
                <w:b/>
                <w:szCs w:val="21"/>
              </w:rPr>
              <w:t>‌</w:t>
            </w:r>
            <w:r>
              <w:rPr>
                <w:rFonts w:ascii="仿宋_GB2312" w:eastAsia="仿宋_GB2312" w:hAnsi="仿宋_GB2312" w:cs="仿宋_GB2312" w:hint="eastAsia"/>
                <w:b/>
                <w:szCs w:val="21"/>
              </w:rPr>
              <w:t>类别</w:t>
            </w:r>
            <w:r>
              <w:rPr>
                <w:rFonts w:ascii="MS Gothic" w:eastAsia="MS Gothic" w:hAnsi="MS Gothic" w:cs="MS Gothic" w:hint="eastAsia"/>
                <w:b/>
                <w:szCs w:val="21"/>
              </w:rPr>
              <w:t>‌</w:t>
            </w:r>
          </w:p>
        </w:tc>
        <w:tc>
          <w:tcPr>
            <w:tcW w:w="2835"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szCs w:val="32"/>
              </w:rPr>
            </w:pPr>
            <w:r>
              <w:rPr>
                <w:rFonts w:ascii="MS Gothic" w:eastAsia="MS Gothic" w:hAnsi="MS Gothic" w:cs="MS Gothic" w:hint="eastAsia"/>
                <w:b/>
                <w:szCs w:val="21"/>
              </w:rPr>
              <w:t>‌</w:t>
            </w:r>
            <w:r>
              <w:rPr>
                <w:rFonts w:ascii="仿宋_GB2312" w:eastAsia="仿宋_GB2312" w:hAnsi="仿宋_GB2312" w:cs="仿宋_GB2312" w:hint="eastAsia"/>
                <w:b/>
                <w:szCs w:val="21"/>
              </w:rPr>
              <w:t>具体项</w:t>
            </w:r>
            <w:r>
              <w:rPr>
                <w:rFonts w:ascii="MS Gothic" w:eastAsia="MS Gothic" w:hAnsi="MS Gothic" w:cs="MS Gothic" w:hint="eastAsia"/>
                <w:b/>
                <w:szCs w:val="21"/>
              </w:rPr>
              <w:t>‌</w:t>
            </w:r>
          </w:p>
        </w:tc>
        <w:tc>
          <w:tcPr>
            <w:tcW w:w="4254"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szCs w:val="32"/>
              </w:rPr>
            </w:pPr>
            <w:r>
              <w:rPr>
                <w:rFonts w:ascii="MS Gothic" w:eastAsia="MS Gothic" w:hAnsi="MS Gothic" w:cs="MS Gothic" w:hint="eastAsia"/>
                <w:b/>
                <w:szCs w:val="21"/>
              </w:rPr>
              <w:t>‌</w:t>
            </w:r>
            <w:r>
              <w:rPr>
                <w:rFonts w:ascii="仿宋_GB2312" w:eastAsia="仿宋_GB2312" w:hAnsi="仿宋_GB2312" w:cs="仿宋_GB2312" w:hint="eastAsia"/>
                <w:b/>
                <w:szCs w:val="21"/>
              </w:rPr>
              <w:t>技术规格</w:t>
            </w:r>
            <w:r>
              <w:rPr>
                <w:rFonts w:ascii="MS Gothic" w:eastAsia="MS Gothic" w:hAnsi="MS Gothic" w:cs="MS Gothic" w:hint="eastAsia"/>
                <w:b/>
                <w:szCs w:val="21"/>
              </w:rPr>
              <w:t>‌</w:t>
            </w:r>
          </w:p>
        </w:tc>
      </w:tr>
      <w:tr w:rsidTr="00B34C9C">
        <w:tblPrEx>
          <w:tblW w:w="0" w:type="auto"/>
          <w:tblLook w:val="04A0"/>
        </w:tblPrEx>
        <w:trPr>
          <w:trHeight w:val="412"/>
        </w:trPr>
        <w:tc>
          <w:tcPr>
            <w:tcW w:w="1696"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szCs w:val="32"/>
              </w:rPr>
            </w:pPr>
            <w:r>
              <w:rPr>
                <w:rFonts w:eastAsia="仿宋_GB2312" w:hAnsi="仿宋_GB2312" w:cs="仿宋_GB2312" w:hint="eastAsia"/>
                <w:szCs w:val="21"/>
              </w:rPr>
              <w:t>固定材料</w:t>
            </w:r>
            <w:r>
              <w:rPr>
                <w:rFonts w:ascii="MS Gothic" w:eastAsia="MS Gothic" w:hAnsi="MS Gothic" w:cs="MS Gothic" w:hint="eastAsia"/>
                <w:szCs w:val="21"/>
              </w:rPr>
              <w:t>‌</w:t>
            </w:r>
          </w:p>
        </w:tc>
        <w:tc>
          <w:tcPr>
            <w:tcW w:w="2835"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szCs w:val="32"/>
              </w:rPr>
            </w:pPr>
            <w:r>
              <w:rPr>
                <w:rFonts w:eastAsia="仿宋_GB2312" w:hAnsi="仿宋_GB2312" w:cs="仿宋_GB2312" w:hint="eastAsia"/>
                <w:szCs w:val="21"/>
              </w:rPr>
              <w:t>膨胀螺栓、不锈钢支架</w:t>
            </w:r>
          </w:p>
        </w:tc>
        <w:tc>
          <w:tcPr>
            <w:tcW w:w="4254"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szCs w:val="32"/>
              </w:rPr>
            </w:pPr>
            <w:r>
              <w:rPr>
                <w:rFonts w:eastAsia="仿宋_GB2312" w:hAnsi="仿宋_GB2312" w:cs="仿宋_GB2312"/>
                <w:szCs w:val="21"/>
              </w:rPr>
              <w:t>M10</w:t>
            </w:r>
            <w:r>
              <w:rPr>
                <w:rFonts w:eastAsia="仿宋_GB2312" w:hAnsi="仿宋_GB2312" w:cs="仿宋_GB2312" w:hint="eastAsia"/>
                <w:szCs w:val="21"/>
              </w:rPr>
              <w:t>×</w:t>
            </w:r>
            <w:r>
              <w:rPr>
                <w:rFonts w:eastAsia="仿宋_GB2312" w:hAnsi="仿宋_GB2312" w:cs="仿宋_GB2312"/>
                <w:szCs w:val="21"/>
              </w:rPr>
              <w:t>80mm</w:t>
            </w:r>
            <w:r>
              <w:rPr>
                <w:rFonts w:eastAsia="仿宋_GB2312" w:hAnsi="仿宋_GB2312" w:cs="仿宋_GB2312" w:hint="eastAsia"/>
                <w:szCs w:val="21"/>
              </w:rPr>
              <w:t>，</w:t>
            </w:r>
            <w:r>
              <w:rPr>
                <w:rFonts w:eastAsia="仿宋_GB2312" w:hAnsi="仿宋_GB2312" w:cs="仿宋_GB2312"/>
                <w:szCs w:val="21"/>
              </w:rPr>
              <w:t>304</w:t>
            </w:r>
            <w:r>
              <w:rPr>
                <w:rFonts w:eastAsia="仿宋_GB2312" w:hAnsi="仿宋_GB2312" w:cs="仿宋_GB2312" w:hint="eastAsia"/>
                <w:szCs w:val="21"/>
              </w:rPr>
              <w:t>不锈钢</w:t>
            </w:r>
          </w:p>
        </w:tc>
      </w:tr>
      <w:tr w:rsidTr="00B34C9C">
        <w:tblPrEx>
          <w:tblW w:w="0" w:type="auto"/>
          <w:tblLook w:val="04A0"/>
        </w:tblPrEx>
        <w:trPr>
          <w:trHeight w:val="545"/>
        </w:trPr>
        <w:tc>
          <w:tcPr>
            <w:tcW w:w="1696"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szCs w:val="32"/>
              </w:rPr>
            </w:pPr>
            <w:r>
              <w:rPr>
                <w:rFonts w:eastAsia="仿宋_GB2312" w:hAnsi="仿宋_GB2312" w:cs="仿宋_GB2312" w:hint="eastAsia"/>
                <w:szCs w:val="21"/>
              </w:rPr>
              <w:t>回填材料</w:t>
            </w:r>
            <w:r>
              <w:rPr>
                <w:rFonts w:ascii="MS Gothic" w:eastAsia="MS Gothic" w:hAnsi="MS Gothic" w:cs="MS Gothic" w:hint="eastAsia"/>
                <w:szCs w:val="21"/>
              </w:rPr>
              <w:t>‌</w:t>
            </w:r>
          </w:p>
        </w:tc>
        <w:tc>
          <w:tcPr>
            <w:tcW w:w="2835"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szCs w:val="32"/>
              </w:rPr>
            </w:pPr>
            <w:r>
              <w:rPr>
                <w:rFonts w:eastAsia="仿宋_GB2312" w:hAnsi="仿宋_GB2312" w:cs="仿宋_GB2312" w:hint="eastAsia"/>
                <w:szCs w:val="21"/>
              </w:rPr>
              <w:t>细砂垫层、高强度水泥</w:t>
            </w:r>
          </w:p>
        </w:tc>
        <w:tc>
          <w:tcPr>
            <w:tcW w:w="4254" w:type="dxa"/>
            <w:tcBorders>
              <w:top w:val="single" w:sz="4" w:space="0" w:color="auto"/>
              <w:left w:val="single" w:sz="4" w:space="0" w:color="auto"/>
              <w:bottom w:val="single" w:sz="4" w:space="0" w:color="auto"/>
              <w:right w:val="single" w:sz="4" w:space="0" w:color="auto"/>
            </w:tcBorders>
            <w:vAlign w:val="center"/>
            <w:hideMark/>
          </w:tcPr>
          <w:p w:rsidR="00B34C9C">
            <w:pPr>
              <w:adjustRightInd w:val="0"/>
              <w:snapToGrid w:val="0"/>
              <w:spacing w:line="560" w:lineRule="exact"/>
              <w:jc w:val="center"/>
              <w:rPr>
                <w:rFonts w:eastAsia="仿宋_GB2312"/>
                <w:szCs w:val="32"/>
              </w:rPr>
            </w:pPr>
            <w:r>
              <w:rPr>
                <w:rFonts w:eastAsia="仿宋_GB2312" w:hAnsi="仿宋_GB2312" w:cs="仿宋_GB2312" w:hint="eastAsia"/>
                <w:szCs w:val="21"/>
              </w:rPr>
              <w:t>粒径</w:t>
            </w:r>
            <w:r>
              <w:rPr>
                <w:rFonts w:eastAsia="仿宋_GB2312" w:hAnsi="仿宋_GB2312" w:cs="仿宋_GB2312"/>
                <w:szCs w:val="21"/>
              </w:rPr>
              <w:t>0.5-1mm</w:t>
            </w:r>
            <w:r>
              <w:rPr>
                <w:rFonts w:eastAsia="仿宋_GB2312" w:hAnsi="仿宋_GB2312" w:cs="仿宋_GB2312" w:hint="eastAsia"/>
                <w:szCs w:val="21"/>
              </w:rPr>
              <w:t>，</w:t>
            </w:r>
            <w:r>
              <w:rPr>
                <w:rFonts w:eastAsia="仿宋_GB2312" w:hAnsi="仿宋_GB2312" w:cs="仿宋_GB2312"/>
                <w:szCs w:val="21"/>
              </w:rPr>
              <w:t>C30</w:t>
            </w:r>
            <w:r>
              <w:rPr>
                <w:rFonts w:eastAsia="仿宋_GB2312" w:hAnsi="仿宋_GB2312" w:cs="仿宋_GB2312" w:hint="eastAsia"/>
                <w:szCs w:val="21"/>
              </w:rPr>
              <w:t>标号</w:t>
            </w:r>
            <w:r>
              <w:rPr>
                <w:rFonts w:eastAsia="仿宋_GB2312" w:hAnsi="仿宋_GB2312" w:cs="仿宋_GB2312"/>
                <w:szCs w:val="21"/>
              </w:rPr>
              <w:t xml:space="preserve"> </w:t>
            </w:r>
            <w:r>
              <w:rPr>
                <w:rFonts w:ascii="MS Gothic" w:eastAsia="MS Gothic" w:hAnsi="MS Gothic" w:cs="MS Gothic" w:hint="eastAsia"/>
                <w:szCs w:val="21"/>
              </w:rPr>
              <w:t>‌</w:t>
            </w:r>
          </w:p>
        </w:tc>
      </w:tr>
    </w:tbl>
    <w:p w:rsidR="00B34C9C" w:rsidP="00B34C9C">
      <w:pPr>
        <w:adjustRightInd w:val="0"/>
        <w:snapToGrid w:val="0"/>
        <w:spacing w:line="560" w:lineRule="exact"/>
        <w:ind w:firstLine="560" w:firstLineChars="200"/>
        <w:rPr>
          <w:rFonts w:ascii="Times New Roman" w:eastAsia="仿宋_GB2312" w:hAnsi="Times New Roman" w:cs="Times New Roman"/>
          <w:sz w:val="28"/>
          <w:szCs w:val="28"/>
        </w:rPr>
      </w:pPr>
      <w:r>
        <w:rPr>
          <w:rFonts w:eastAsia="仿宋_GB2312" w:hint="eastAsia"/>
          <w:sz w:val="28"/>
          <w:szCs w:val="28"/>
        </w:rPr>
        <w:t>利用已有市政设施的安装材料，主机固定支架、传感器线缆保护管、探头保护套及相关固定辅材。</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2</w:t>
      </w:r>
      <w:r>
        <w:rPr>
          <w:rFonts w:eastAsia="仿宋_GB2312" w:hint="eastAsia"/>
          <w:sz w:val="28"/>
          <w:szCs w:val="28"/>
        </w:rPr>
        <w:t>）壁挂式安装</w:t>
      </w:r>
      <w:r>
        <w:rPr>
          <w:rFonts w:ascii="MS Gothic" w:eastAsia="MS Gothic" w:hAnsi="MS Gothic" w:cs="MS Gothic" w:hint="eastAsia"/>
          <w:sz w:val="28"/>
          <w:szCs w:val="28"/>
        </w:rPr>
        <w:t>‌</w:t>
      </w:r>
      <w:r>
        <w:rPr>
          <w:rFonts w:ascii="仿宋_GB2312" w:eastAsia="仿宋_GB2312" w:hAnsi="仿宋_GB2312" w:cs="仿宋_GB2312" w:hint="eastAsia"/>
          <w:sz w:val="28"/>
          <w:szCs w:val="28"/>
        </w:rPr>
        <w:t>材料准备</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304</w:t>
      </w:r>
      <w:r>
        <w:rPr>
          <w:rFonts w:eastAsia="仿宋_GB2312" w:hint="eastAsia"/>
          <w:sz w:val="28"/>
          <w:szCs w:val="28"/>
        </w:rPr>
        <w:t>不锈钢</w:t>
      </w:r>
      <w:r>
        <w:rPr>
          <w:rFonts w:eastAsia="仿宋_GB2312"/>
          <w:sz w:val="28"/>
          <w:szCs w:val="28"/>
        </w:rPr>
        <w:t>M6*50</w:t>
      </w:r>
      <w:r>
        <w:rPr>
          <w:rFonts w:eastAsia="仿宋_GB2312" w:hint="eastAsia"/>
          <w:sz w:val="28"/>
          <w:szCs w:val="28"/>
        </w:rPr>
        <w:t>固定膨胀螺丝，传感器线缆保护管，探头保护管。</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3</w:t>
      </w:r>
      <w:r>
        <w:rPr>
          <w:rFonts w:eastAsia="仿宋_GB2312" w:hint="eastAsia"/>
          <w:sz w:val="28"/>
          <w:szCs w:val="28"/>
        </w:rPr>
        <w:t>）地埋式安装</w:t>
      </w:r>
      <w:r>
        <w:rPr>
          <w:rFonts w:ascii="MS Gothic" w:eastAsia="MS Gothic" w:hAnsi="MS Gothic" w:cs="MS Gothic" w:hint="eastAsia"/>
          <w:sz w:val="28"/>
          <w:szCs w:val="28"/>
        </w:rPr>
        <w:t>‌</w:t>
      </w:r>
      <w:r>
        <w:rPr>
          <w:rFonts w:ascii="仿宋_GB2312" w:eastAsia="仿宋_GB2312" w:hAnsi="仿宋_GB2312" w:cs="仿宋_GB2312" w:hint="eastAsia"/>
          <w:sz w:val="28"/>
          <w:szCs w:val="28"/>
        </w:rPr>
        <w:t>材料准备</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地埋式安装对场景的适应性要求相对较高，特定环境下采用地埋安装。地埋安装需要准备的材料包括主机存放浇筑体材料、主机保护箱体、线缆保护管等材料。</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w:t>
      </w:r>
      <w:r>
        <w:rPr>
          <w:rFonts w:eastAsia="仿宋_GB2312"/>
          <w:sz w:val="28"/>
          <w:szCs w:val="28"/>
        </w:rPr>
        <w:t>4</w:t>
      </w:r>
      <w:r>
        <w:rPr>
          <w:rFonts w:eastAsia="仿宋_GB2312" w:hint="eastAsia"/>
          <w:sz w:val="28"/>
          <w:szCs w:val="28"/>
        </w:rPr>
        <w:t>）安装调试与运行</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积涝监测设备现场安装调试完成，数据采集准确即直接投入运行。</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1</w:t>
      </w:r>
      <w:r>
        <w:rPr>
          <w:rFonts w:eastAsia="仿宋_GB2312" w:hint="eastAsia"/>
          <w:sz w:val="28"/>
          <w:szCs w:val="28"/>
        </w:rPr>
        <w:t>）安装前准备</w:t>
      </w:r>
    </w:p>
    <w:p w:rsidR="00B34C9C" w:rsidP="00B34C9C">
      <w:pPr>
        <w:adjustRightInd w:val="0"/>
        <w:snapToGrid w:val="0"/>
        <w:spacing w:line="560" w:lineRule="exact"/>
        <w:ind w:firstLine="560" w:firstLineChars="200"/>
        <w:rPr>
          <w:rFonts w:eastAsia="仿宋_GB2312"/>
          <w:sz w:val="28"/>
          <w:szCs w:val="28"/>
        </w:rPr>
      </w:pPr>
      <w:r>
        <w:rPr>
          <w:rFonts w:ascii="MS Gothic" w:eastAsia="MS Gothic" w:hAnsi="MS Gothic" w:cs="MS Gothic" w:hint="eastAsia"/>
          <w:sz w:val="28"/>
          <w:szCs w:val="28"/>
        </w:rPr>
        <w:t>‌</w:t>
      </w:r>
      <w:r>
        <w:rPr>
          <w:rFonts w:ascii="仿宋_GB2312" w:eastAsia="仿宋_GB2312" w:hAnsi="仿宋_GB2312" w:cs="仿宋_GB2312" w:hint="eastAsia"/>
          <w:sz w:val="28"/>
          <w:szCs w:val="28"/>
        </w:rPr>
        <w:t>人员要求</w:t>
      </w:r>
      <w:r>
        <w:rPr>
          <w:rFonts w:ascii="MS Gothic" w:eastAsia="MS Gothic" w:hAnsi="MS Gothic" w:cs="MS Gothic" w:hint="eastAsia"/>
          <w:sz w:val="28"/>
          <w:szCs w:val="28"/>
        </w:rPr>
        <w:t>‌</w:t>
      </w:r>
      <w:r>
        <w:rPr>
          <w:rFonts w:ascii="仿宋_GB2312" w:eastAsia="仿宋_GB2312" w:hAnsi="仿宋_GB2312" w:cs="仿宋_GB2312" w:hint="eastAsia"/>
          <w:sz w:val="28"/>
          <w:szCs w:val="28"/>
        </w:rPr>
        <w:t>：现场安装人员需经培训合格，持证上岗，作业人员需</w:t>
      </w:r>
      <w:r>
        <w:rPr>
          <w:rFonts w:eastAsia="仿宋_GB2312"/>
          <w:sz w:val="28"/>
          <w:szCs w:val="28"/>
        </w:rPr>
        <w:t>2</w:t>
      </w:r>
      <w:r>
        <w:rPr>
          <w:rFonts w:eastAsia="仿宋_GB2312" w:hint="eastAsia"/>
          <w:sz w:val="28"/>
          <w:szCs w:val="28"/>
        </w:rPr>
        <w:t>人及以上，做好联保互保。特殊点位，需具备现场特种作业相关要求，如电工证、登高作业证。</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设备检查</w:t>
      </w:r>
      <w:r>
        <w:rPr>
          <w:rFonts w:ascii="MS Gothic" w:eastAsia="MS Gothic" w:hAnsi="MS Gothic" w:cs="MS Gothic" w:hint="eastAsia"/>
          <w:sz w:val="28"/>
          <w:szCs w:val="28"/>
        </w:rPr>
        <w:t>‌</w:t>
      </w:r>
      <w:r>
        <w:rPr>
          <w:rFonts w:ascii="仿宋_GB2312" w:eastAsia="仿宋_GB2312" w:hAnsi="仿宋_GB2312" w:cs="仿宋_GB2312" w:hint="eastAsia"/>
          <w:sz w:val="28"/>
          <w:szCs w:val="28"/>
        </w:rPr>
        <w:t>：确认传感器、电缆完好无损，电池状态正常（如锂</w:t>
      </w:r>
      <w:r>
        <w:rPr>
          <w:rFonts w:eastAsia="仿宋_GB2312" w:hint="eastAsia"/>
          <w:sz w:val="28"/>
          <w:szCs w:val="28"/>
        </w:rPr>
        <w:t>亚电池容量达标），电源接入稳定；如现场采用太阳能供电，要确定太阳能供电系统正常，储能正常。</w:t>
      </w:r>
    </w:p>
    <w:p w:rsidR="00B34C9C" w:rsidP="00B34C9C">
      <w:pPr>
        <w:adjustRightInd w:val="0"/>
        <w:snapToGrid w:val="0"/>
        <w:spacing w:line="560" w:lineRule="exact"/>
        <w:ind w:firstLine="560" w:firstLineChars="200"/>
        <w:rPr>
          <w:rFonts w:eastAsia="仿宋_GB2312"/>
          <w:sz w:val="28"/>
          <w:szCs w:val="28"/>
        </w:rPr>
      </w:pPr>
      <w:r>
        <w:rPr>
          <w:rFonts w:ascii="MS Gothic" w:eastAsia="MS Gothic" w:hAnsi="MS Gothic" w:cs="MS Gothic" w:hint="eastAsia"/>
          <w:sz w:val="28"/>
          <w:szCs w:val="28"/>
        </w:rPr>
        <w:t>‌</w:t>
      </w:r>
      <w:r>
        <w:rPr>
          <w:rFonts w:ascii="仿宋_GB2312" w:eastAsia="仿宋_GB2312" w:hAnsi="仿宋_GB2312" w:cs="仿宋_GB2312" w:hint="eastAsia"/>
          <w:sz w:val="28"/>
          <w:szCs w:val="28"/>
        </w:rPr>
        <w:t>工具准备</w:t>
      </w:r>
      <w:r>
        <w:rPr>
          <w:rFonts w:ascii="MS Gothic" w:eastAsia="MS Gothic" w:hAnsi="MS Gothic" w:cs="MS Gothic" w:hint="eastAsia"/>
          <w:sz w:val="28"/>
          <w:szCs w:val="28"/>
        </w:rPr>
        <w:t>‌</w:t>
      </w:r>
      <w:r>
        <w:rPr>
          <w:rFonts w:ascii="仿宋_GB2312" w:eastAsia="仿宋_GB2312" w:hAnsi="仿宋_GB2312" w:cs="仿宋_GB2312" w:hint="eastAsia"/>
          <w:sz w:val="28"/>
          <w:szCs w:val="28"/>
        </w:rPr>
        <w:t>：备齐水平仪、膨胀螺栓、防水密封胶及细砂垫层材料，确保基坑开挖符合标准，现场设备安装固定螺丝等器件均采用</w:t>
      </w:r>
      <w:r>
        <w:rPr>
          <w:rFonts w:eastAsia="仿宋_GB2312"/>
          <w:sz w:val="28"/>
          <w:szCs w:val="28"/>
        </w:rPr>
        <w:t>304</w:t>
      </w:r>
      <w:r>
        <w:rPr>
          <w:rFonts w:eastAsia="仿宋_GB2312" w:hint="eastAsia"/>
          <w:sz w:val="28"/>
          <w:szCs w:val="28"/>
        </w:rPr>
        <w:t>不锈钢及防腐材质。</w:t>
      </w:r>
    </w:p>
    <w:p w:rsidR="00B34C9C" w:rsidP="00B34C9C">
      <w:pPr>
        <w:adjustRightInd w:val="0"/>
        <w:snapToGrid w:val="0"/>
        <w:spacing w:line="560" w:lineRule="exact"/>
        <w:ind w:firstLine="560" w:firstLineChars="200"/>
        <w:rPr>
          <w:rFonts w:eastAsia="仿宋_GB2312"/>
          <w:sz w:val="28"/>
          <w:szCs w:val="28"/>
        </w:rPr>
      </w:pPr>
      <w:r>
        <w:rPr>
          <w:rFonts w:ascii="MS Gothic" w:eastAsia="MS Gothic" w:hAnsi="MS Gothic" w:cs="MS Gothic" w:hint="eastAsia"/>
          <w:sz w:val="28"/>
          <w:szCs w:val="28"/>
        </w:rPr>
        <w:t>‌</w:t>
      </w:r>
      <w:r>
        <w:rPr>
          <w:rFonts w:ascii="仿宋_GB2312" w:eastAsia="仿宋_GB2312" w:hAnsi="仿宋_GB2312" w:cs="仿宋_GB2312" w:hint="eastAsia"/>
          <w:sz w:val="28"/>
          <w:szCs w:val="28"/>
        </w:rPr>
        <w:t>安全防护</w:t>
      </w:r>
      <w:r>
        <w:rPr>
          <w:rFonts w:ascii="MS Gothic" w:eastAsia="MS Gothic" w:hAnsi="MS Gothic" w:cs="MS Gothic" w:hint="eastAsia"/>
          <w:sz w:val="28"/>
          <w:szCs w:val="28"/>
        </w:rPr>
        <w:t>‌</w:t>
      </w:r>
      <w:r>
        <w:rPr>
          <w:rFonts w:ascii="仿宋_GB2312" w:eastAsia="仿宋_GB2312" w:hAnsi="仿宋_GB2312" w:cs="仿宋_GB2312" w:hint="eastAsia"/>
          <w:sz w:val="28"/>
          <w:szCs w:val="28"/>
        </w:rPr>
        <w:t>：施工人员穿戴反光服，设置临时交通警示标识，降低作业风险。</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人员手机移动端软件准备：现场安装人需安装经授权的现场数据采集软件。现场数据采集精准齐全，是平台基础数据的主要来源和后期项目验收的重要材料依据，使用人员需经严格培训，熟练掌握该软件的使用流程。</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2</w:t>
      </w:r>
      <w:r>
        <w:rPr>
          <w:rFonts w:eastAsia="仿宋_GB2312" w:hint="eastAsia"/>
          <w:sz w:val="28"/>
          <w:szCs w:val="28"/>
        </w:rPr>
        <w:t>）施工安装步骤</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①设备放置与固定</w:t>
      </w:r>
      <w:r>
        <w:rPr>
          <w:rFonts w:ascii="MS Gothic" w:eastAsia="MS Gothic" w:hAnsi="MS Gothic" w:cs="MS Gothic" w:hint="eastAsia"/>
          <w:sz w:val="28"/>
          <w:szCs w:val="28"/>
        </w:rPr>
        <w:t>‌</w:t>
      </w:r>
      <w:r>
        <w:rPr>
          <w:rFonts w:ascii="仿宋_GB2312" w:eastAsia="仿宋_GB2312" w:hAnsi="仿宋_GB2312" w:cs="仿宋_GB2312" w:hint="eastAsia"/>
          <w:sz w:val="28"/>
          <w:szCs w:val="28"/>
        </w:rPr>
        <w:t>：</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主机安装高度建议在距离地面</w:t>
      </w:r>
      <w:r>
        <w:rPr>
          <w:rFonts w:eastAsia="仿宋_GB2312"/>
          <w:sz w:val="28"/>
          <w:szCs w:val="28"/>
        </w:rPr>
        <w:t>2-2.5</w:t>
      </w:r>
      <w:r>
        <w:rPr>
          <w:rFonts w:eastAsia="仿宋_GB2312" w:hint="eastAsia"/>
          <w:sz w:val="28"/>
          <w:szCs w:val="28"/>
        </w:rPr>
        <w:t>米，现场可根据实际应用情况进行适当调整。监测探头垂直嵌入基坑并与基准面平齐，必要的时候需将监测探头外延至监测点位，探头标准线长</w:t>
      </w:r>
      <w:r>
        <w:rPr>
          <w:rFonts w:eastAsia="仿宋_GB2312"/>
          <w:sz w:val="28"/>
          <w:szCs w:val="28"/>
        </w:rPr>
        <w:t>3000mm</w:t>
      </w:r>
      <w:r>
        <w:rPr>
          <w:rFonts w:eastAsia="仿宋_GB2312" w:hint="eastAsia"/>
          <w:sz w:val="28"/>
          <w:szCs w:val="28"/>
        </w:rPr>
        <w:t>，特殊情况需提前定制。</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②线缆与辅助组件安装</w:t>
      </w:r>
      <w:r>
        <w:rPr>
          <w:rFonts w:ascii="MS Gothic" w:eastAsia="MS Gothic" w:hAnsi="MS Gothic" w:cs="MS Gothic" w:hint="eastAsia"/>
          <w:sz w:val="28"/>
          <w:szCs w:val="28"/>
        </w:rPr>
        <w:t>‌</w:t>
      </w:r>
      <w:r>
        <w:rPr>
          <w:rFonts w:ascii="仿宋_GB2312" w:eastAsia="仿宋_GB2312" w:hAnsi="仿宋_GB2312" w:cs="仿宋_GB2312" w:hint="eastAsia"/>
          <w:sz w:val="28"/>
          <w:szCs w:val="28"/>
        </w:rPr>
        <w:t>：</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立杆式安装探头及线缆可直接放入杆体内部；已有市政灯杆和壁</w:t>
      </w:r>
      <w:r>
        <w:rPr>
          <w:rFonts w:eastAsia="仿宋_GB2312" w:hint="eastAsia"/>
          <w:sz w:val="28"/>
          <w:szCs w:val="28"/>
        </w:rPr>
        <w:t>挂式安装时，探头线缆用防腐套管保护；地埋式安装线缆需用</w:t>
      </w:r>
      <w:r>
        <w:rPr>
          <w:rFonts w:eastAsia="仿宋_GB2312"/>
          <w:sz w:val="28"/>
          <w:szCs w:val="28"/>
        </w:rPr>
        <w:t>3/4"PVC</w:t>
      </w:r>
      <w:r>
        <w:rPr>
          <w:rFonts w:eastAsia="仿宋_GB2312" w:hint="eastAsia"/>
          <w:sz w:val="28"/>
          <w:szCs w:val="28"/>
        </w:rPr>
        <w:t>管敷设保护。主机固定及线缆固定件均采用</w:t>
      </w:r>
      <w:r>
        <w:rPr>
          <w:rFonts w:eastAsia="仿宋_GB2312"/>
          <w:sz w:val="28"/>
          <w:szCs w:val="28"/>
        </w:rPr>
        <w:t>304</w:t>
      </w:r>
      <w:r>
        <w:rPr>
          <w:rFonts w:eastAsia="仿宋_GB2312" w:hint="eastAsia"/>
          <w:sz w:val="28"/>
          <w:szCs w:val="28"/>
        </w:rPr>
        <w:t>不锈钢材质螺钉。</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3</w:t>
      </w:r>
      <w:r>
        <w:rPr>
          <w:rFonts w:eastAsia="仿宋_GB2312" w:hint="eastAsia"/>
          <w:sz w:val="28"/>
          <w:szCs w:val="28"/>
        </w:rPr>
        <w:t>）系统调试与数据采集</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设备安装调试直接在现场进行，设备安装一台，现场就调试一台，安装人员利用授权小程序对现场设备进行绑定和全量数据采集，小程序操作如下：</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①进入点位管理</w:t>
      </w:r>
    </w:p>
    <w:p w:rsidR="00B34C9C" w:rsidP="00B34C9C">
      <w:pPr>
        <w:adjustRightInd w:val="0"/>
        <w:snapToGrid w:val="0"/>
        <w:spacing w:line="360" w:lineRule="auto"/>
        <w:jc w:val="center"/>
        <w:rPr>
          <w:rFonts w:eastAsia="仿宋_GB2312"/>
          <w:sz w:val="32"/>
          <w:szCs w:val="32"/>
        </w:rPr>
      </w:pPr>
      <w:r>
        <w:rPr>
          <w:rFonts w:eastAsia="仿宋_GB2312"/>
          <w:noProof/>
          <w:szCs w:val="32"/>
        </w:rPr>
        <w:drawing>
          <wp:inline distT="0" distB="0" distL="0" distR="0">
            <wp:extent cx="1533525" cy="2886075"/>
            <wp:effectExtent l="0" t="0" r="9525"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0"/>
                    <pic:cNvPicPr>
                      <a:picLocks noChangeAspect="1" noChangeArrowheads="1"/>
                    </pic:cNvPicPr>
                  </pic:nvPicPr>
                  <pic:blipFill>
                    <a:blip xmlns:r="http://schemas.openxmlformats.org/officeDocument/2006/relationships" r:embed="rId1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533525" cy="2886075"/>
                    </a:xfrm>
                    <a:prstGeom prst="rect">
                      <a:avLst/>
                    </a:prstGeom>
                    <a:noFill/>
                    <a:ln>
                      <a:noFill/>
                    </a:ln>
                  </pic:spPr>
                </pic:pic>
              </a:graphicData>
            </a:graphic>
          </wp:inline>
        </w:drawing>
      </w:r>
    </w:p>
    <w:p w:rsidR="00B34C9C" w:rsidP="00B34C9C">
      <w:pPr>
        <w:adjustRightInd w:val="0"/>
        <w:snapToGrid w:val="0"/>
        <w:spacing w:line="360" w:lineRule="auto"/>
        <w:jc w:val="center"/>
        <w:rPr>
          <w:rFonts w:eastAsia="仿宋_GB2312"/>
          <w:b/>
          <w:szCs w:val="32"/>
        </w:rPr>
      </w:pPr>
      <w:r>
        <w:rPr>
          <w:rFonts w:eastAsia="仿宋_GB2312" w:hint="eastAsia"/>
          <w:b/>
          <w:szCs w:val="32"/>
        </w:rPr>
        <w:t>图</w:t>
      </w:r>
      <w:r>
        <w:rPr>
          <w:rFonts w:eastAsia="仿宋_GB2312"/>
          <w:b/>
          <w:szCs w:val="32"/>
        </w:rPr>
        <w:t xml:space="preserve">9 </w:t>
      </w:r>
      <w:r>
        <w:rPr>
          <w:rFonts w:eastAsia="仿宋_GB2312" w:hint="eastAsia"/>
          <w:b/>
          <w:szCs w:val="32"/>
        </w:rPr>
        <w:t>系统安装小程序</w:t>
      </w:r>
      <w:r>
        <w:rPr>
          <w:rFonts w:eastAsia="仿宋_GB2312"/>
          <w:b/>
          <w:szCs w:val="32"/>
        </w:rPr>
        <w:t>-</w:t>
      </w:r>
      <w:r>
        <w:rPr>
          <w:rFonts w:eastAsia="仿宋_GB2312" w:hint="eastAsia"/>
          <w:b/>
          <w:szCs w:val="32"/>
        </w:rPr>
        <w:t>点位管理</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②创建点位，填写相应信息</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点位编号：规则格式</w:t>
      </w:r>
      <w:r>
        <w:rPr>
          <w:rFonts w:eastAsia="仿宋_GB2312"/>
          <w:sz w:val="28"/>
          <w:szCs w:val="28"/>
        </w:rPr>
        <w:t xml:space="preserve"> AAAAAA CODE XXXXX</w:t>
      </w:r>
      <w:r>
        <w:rPr>
          <w:rFonts w:eastAsia="仿宋_GB2312" w:hint="eastAsia"/>
          <w:sz w:val="28"/>
          <w:szCs w:val="28"/>
        </w:rPr>
        <w:t>，采用“行政区划代码</w:t>
      </w:r>
      <w:r>
        <w:rPr>
          <w:rFonts w:eastAsia="仿宋_GB2312"/>
          <w:sz w:val="28"/>
          <w:szCs w:val="28"/>
        </w:rPr>
        <w:t>+</w:t>
      </w:r>
      <w:r>
        <w:rPr>
          <w:rFonts w:eastAsia="仿宋_GB2312" w:hint="eastAsia"/>
          <w:sz w:val="28"/>
          <w:szCs w:val="28"/>
        </w:rPr>
        <w:t>子账号代码</w:t>
      </w:r>
      <w:r>
        <w:rPr>
          <w:rFonts w:eastAsia="仿宋_GB2312"/>
          <w:sz w:val="28"/>
          <w:szCs w:val="28"/>
        </w:rPr>
        <w:t>+</w:t>
      </w:r>
      <w:r>
        <w:rPr>
          <w:rFonts w:eastAsia="仿宋_GB2312" w:hint="eastAsia"/>
          <w:sz w:val="28"/>
          <w:szCs w:val="28"/>
        </w:rPr>
        <w:t>流水号”的结构。</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经纬度：同时采集坐标系</w:t>
      </w:r>
      <w:r>
        <w:rPr>
          <w:rFonts w:eastAsia="仿宋_GB2312"/>
          <w:sz w:val="28"/>
          <w:szCs w:val="28"/>
        </w:rPr>
        <w:t>WGS-84</w:t>
      </w:r>
      <w:r>
        <w:rPr>
          <w:rFonts w:eastAsia="仿宋_GB2312" w:hint="eastAsia"/>
          <w:sz w:val="28"/>
          <w:szCs w:val="28"/>
        </w:rPr>
        <w:t>、</w:t>
      </w:r>
      <w:r>
        <w:rPr>
          <w:rFonts w:eastAsia="仿宋_GB2312"/>
          <w:sz w:val="28"/>
          <w:szCs w:val="28"/>
        </w:rPr>
        <w:t>GCJ-02</w:t>
      </w:r>
      <w:r>
        <w:rPr>
          <w:rFonts w:eastAsia="仿宋_GB2312" w:hint="eastAsia"/>
          <w:sz w:val="28"/>
          <w:szCs w:val="28"/>
        </w:rPr>
        <w:t>的经纬度数据，需手动调整到精准位置。</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点位类型：建议代码（可根据实际情况调整和扩充）：</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R - River (</w:t>
      </w:r>
      <w:r>
        <w:rPr>
          <w:rFonts w:eastAsia="仿宋_GB2312" w:hint="eastAsia"/>
          <w:sz w:val="28"/>
          <w:szCs w:val="28"/>
        </w:rPr>
        <w:t>河道</w:t>
      </w:r>
      <w:r>
        <w:rPr>
          <w:rFonts w:eastAsia="仿宋_GB2312"/>
          <w:sz w:val="28"/>
          <w:szCs w:val="28"/>
        </w:rPr>
        <w:t>)</w:t>
      </w:r>
      <w:r>
        <w:rPr>
          <w:rFonts w:eastAsia="仿宋_GB2312" w:hint="eastAsia"/>
          <w:sz w:val="28"/>
          <w:szCs w:val="28"/>
        </w:rPr>
        <w:t>：</w:t>
      </w:r>
      <w:r>
        <w:rPr>
          <w:rFonts w:eastAsia="仿宋_GB2312"/>
          <w:sz w:val="28"/>
          <w:szCs w:val="28"/>
        </w:rPr>
        <w:t xml:space="preserve"> </w:t>
      </w:r>
      <w:r>
        <w:rPr>
          <w:rFonts w:eastAsia="仿宋_GB2312" w:hint="eastAsia"/>
          <w:sz w:val="28"/>
          <w:szCs w:val="28"/>
        </w:rPr>
        <w:t>主要河流干流、支流水位站。</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C - Canal/Channel (</w:t>
      </w:r>
      <w:r>
        <w:rPr>
          <w:rFonts w:eastAsia="仿宋_GB2312" w:hint="eastAsia"/>
          <w:sz w:val="28"/>
          <w:szCs w:val="28"/>
        </w:rPr>
        <w:t>渠道</w:t>
      </w:r>
      <w:r>
        <w:rPr>
          <w:rFonts w:eastAsia="仿宋_GB2312"/>
          <w:sz w:val="28"/>
          <w:szCs w:val="28"/>
        </w:rPr>
        <w:t>/</w:t>
      </w:r>
      <w:r>
        <w:rPr>
          <w:rFonts w:eastAsia="仿宋_GB2312" w:hint="eastAsia"/>
          <w:sz w:val="28"/>
          <w:szCs w:val="28"/>
        </w:rPr>
        <w:t>河渠</w:t>
      </w:r>
      <w:r>
        <w:rPr>
          <w:rFonts w:eastAsia="仿宋_GB2312"/>
          <w:sz w:val="28"/>
          <w:szCs w:val="28"/>
        </w:rPr>
        <w:t>)</w:t>
      </w:r>
      <w:r>
        <w:rPr>
          <w:rFonts w:eastAsia="仿宋_GB2312" w:hint="eastAsia"/>
          <w:sz w:val="28"/>
          <w:szCs w:val="28"/>
        </w:rPr>
        <w:t>：</w:t>
      </w:r>
      <w:r>
        <w:rPr>
          <w:rFonts w:eastAsia="仿宋_GB2312"/>
          <w:sz w:val="28"/>
          <w:szCs w:val="28"/>
        </w:rPr>
        <w:t xml:space="preserve"> </w:t>
      </w:r>
      <w:r>
        <w:rPr>
          <w:rFonts w:eastAsia="仿宋_GB2312" w:hint="eastAsia"/>
          <w:sz w:val="28"/>
          <w:szCs w:val="28"/>
        </w:rPr>
        <w:t>人工开挖的输水渠道、排水河渠。</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L - Lake/Reservoir (</w:t>
      </w:r>
      <w:r>
        <w:rPr>
          <w:rFonts w:eastAsia="仿宋_GB2312" w:hint="eastAsia"/>
          <w:sz w:val="28"/>
          <w:szCs w:val="28"/>
        </w:rPr>
        <w:t>湖泊</w:t>
      </w:r>
      <w:r>
        <w:rPr>
          <w:rFonts w:eastAsia="仿宋_GB2312"/>
          <w:sz w:val="28"/>
          <w:szCs w:val="28"/>
        </w:rPr>
        <w:t>/</w:t>
      </w:r>
      <w:r>
        <w:rPr>
          <w:rFonts w:eastAsia="仿宋_GB2312" w:hint="eastAsia"/>
          <w:sz w:val="28"/>
          <w:szCs w:val="28"/>
        </w:rPr>
        <w:t>水库</w:t>
      </w:r>
      <w:r>
        <w:rPr>
          <w:rFonts w:eastAsia="仿宋_GB2312"/>
          <w:sz w:val="28"/>
          <w:szCs w:val="28"/>
        </w:rPr>
        <w:t>)</w:t>
      </w:r>
      <w:r>
        <w:rPr>
          <w:rFonts w:eastAsia="仿宋_GB2312" w:hint="eastAsia"/>
          <w:sz w:val="28"/>
          <w:szCs w:val="28"/>
        </w:rPr>
        <w:t>：</w:t>
      </w:r>
      <w:r>
        <w:rPr>
          <w:rFonts w:eastAsia="仿宋_GB2312"/>
          <w:sz w:val="28"/>
          <w:szCs w:val="28"/>
        </w:rPr>
        <w:t xml:space="preserve"> </w:t>
      </w:r>
      <w:r>
        <w:rPr>
          <w:rFonts w:eastAsia="仿宋_GB2312" w:hint="eastAsia"/>
          <w:sz w:val="28"/>
          <w:szCs w:val="28"/>
        </w:rPr>
        <w:t>天然湖泊、人工水库坝前</w:t>
      </w:r>
      <w:r>
        <w:rPr>
          <w:rFonts w:eastAsia="仿宋_GB2312"/>
          <w:sz w:val="28"/>
          <w:szCs w:val="28"/>
        </w:rPr>
        <w:t>/</w:t>
      </w:r>
      <w:r>
        <w:rPr>
          <w:rFonts w:eastAsia="仿宋_GB2312" w:hint="eastAsia"/>
          <w:sz w:val="28"/>
          <w:szCs w:val="28"/>
        </w:rPr>
        <w:t>库区水位站。</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T - Tide (</w:t>
      </w:r>
      <w:r>
        <w:rPr>
          <w:rFonts w:eastAsia="仿宋_GB2312" w:hint="eastAsia"/>
          <w:sz w:val="28"/>
          <w:szCs w:val="28"/>
        </w:rPr>
        <w:t>潮位</w:t>
      </w:r>
      <w:r>
        <w:rPr>
          <w:rFonts w:eastAsia="仿宋_GB2312"/>
          <w:sz w:val="28"/>
          <w:szCs w:val="28"/>
        </w:rPr>
        <w:t>)</w:t>
      </w:r>
      <w:r>
        <w:rPr>
          <w:rFonts w:eastAsia="仿宋_GB2312" w:hint="eastAsia"/>
          <w:sz w:val="28"/>
          <w:szCs w:val="28"/>
        </w:rPr>
        <w:t>：</w:t>
      </w:r>
      <w:r>
        <w:rPr>
          <w:rFonts w:eastAsia="仿宋_GB2312"/>
          <w:sz w:val="28"/>
          <w:szCs w:val="28"/>
        </w:rPr>
        <w:t xml:space="preserve"> </w:t>
      </w:r>
      <w:r>
        <w:rPr>
          <w:rFonts w:eastAsia="仿宋_GB2312" w:hint="eastAsia"/>
          <w:sz w:val="28"/>
          <w:szCs w:val="28"/>
        </w:rPr>
        <w:t>沿海、河口受潮汐影响显著的水位站。</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D - Drainage (</w:t>
      </w:r>
      <w:r>
        <w:rPr>
          <w:rFonts w:eastAsia="仿宋_GB2312" w:hint="eastAsia"/>
          <w:sz w:val="28"/>
          <w:szCs w:val="28"/>
        </w:rPr>
        <w:t>排水</w:t>
      </w:r>
      <w:r>
        <w:rPr>
          <w:rFonts w:eastAsia="仿宋_GB2312"/>
          <w:sz w:val="28"/>
          <w:szCs w:val="28"/>
        </w:rPr>
        <w:t>/</w:t>
      </w:r>
      <w:r>
        <w:rPr>
          <w:rFonts w:eastAsia="仿宋_GB2312" w:hint="eastAsia"/>
          <w:sz w:val="28"/>
          <w:szCs w:val="28"/>
        </w:rPr>
        <w:t>管网</w:t>
      </w:r>
      <w:r>
        <w:rPr>
          <w:rFonts w:eastAsia="仿宋_GB2312"/>
          <w:sz w:val="28"/>
          <w:szCs w:val="28"/>
        </w:rPr>
        <w:t>)</w:t>
      </w:r>
      <w:r>
        <w:rPr>
          <w:rFonts w:eastAsia="仿宋_GB2312" w:hint="eastAsia"/>
          <w:sz w:val="28"/>
          <w:szCs w:val="28"/>
        </w:rPr>
        <w:t>：</w:t>
      </w:r>
      <w:r>
        <w:rPr>
          <w:rFonts w:eastAsia="仿宋_GB2312"/>
          <w:sz w:val="28"/>
          <w:szCs w:val="28"/>
        </w:rPr>
        <w:t xml:space="preserve"> </w:t>
      </w:r>
      <w:r>
        <w:rPr>
          <w:rFonts w:eastAsia="仿宋_GB2312" w:hint="eastAsia"/>
          <w:sz w:val="28"/>
          <w:szCs w:val="28"/>
        </w:rPr>
        <w:t>城市排水管网关键节点（如泵站前池、重要管段）、排涝河道</w:t>
      </w:r>
      <w:r>
        <w:rPr>
          <w:rFonts w:eastAsia="仿宋_GB2312"/>
          <w:sz w:val="28"/>
          <w:szCs w:val="28"/>
        </w:rPr>
        <w:t>/</w:t>
      </w:r>
      <w:r>
        <w:rPr>
          <w:rFonts w:eastAsia="仿宋_GB2312" w:hint="eastAsia"/>
          <w:sz w:val="28"/>
          <w:szCs w:val="28"/>
        </w:rPr>
        <w:t>闸口。</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P - Ponding (</w:t>
      </w:r>
      <w:r>
        <w:rPr>
          <w:rFonts w:eastAsia="仿宋_GB2312" w:hint="eastAsia"/>
          <w:sz w:val="28"/>
          <w:szCs w:val="28"/>
        </w:rPr>
        <w:t>积水点</w:t>
      </w:r>
      <w:r>
        <w:rPr>
          <w:rFonts w:eastAsia="仿宋_GB2312"/>
          <w:sz w:val="28"/>
          <w:szCs w:val="28"/>
        </w:rPr>
        <w:t>)</w:t>
      </w:r>
      <w:r>
        <w:rPr>
          <w:rFonts w:eastAsia="仿宋_GB2312" w:hint="eastAsia"/>
          <w:sz w:val="28"/>
          <w:szCs w:val="28"/>
        </w:rPr>
        <w:t>：</w:t>
      </w:r>
      <w:r>
        <w:rPr>
          <w:rFonts w:eastAsia="仿宋_GB2312"/>
          <w:sz w:val="28"/>
          <w:szCs w:val="28"/>
        </w:rPr>
        <w:t xml:space="preserve"> </w:t>
      </w:r>
      <w:r>
        <w:rPr>
          <w:rFonts w:eastAsia="仿宋_GB2312" w:hint="eastAsia"/>
          <w:sz w:val="28"/>
          <w:szCs w:val="28"/>
        </w:rPr>
        <w:t>历史易积水路段、下凹式立交桥等城市内涝监测点。</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G - Groundwater (</w:t>
      </w:r>
      <w:r>
        <w:rPr>
          <w:rFonts w:eastAsia="仿宋_GB2312" w:hint="eastAsia"/>
          <w:sz w:val="28"/>
          <w:szCs w:val="28"/>
        </w:rPr>
        <w:t>地下水</w:t>
      </w:r>
      <w:r>
        <w:rPr>
          <w:rFonts w:eastAsia="仿宋_GB2312"/>
          <w:sz w:val="28"/>
          <w:szCs w:val="28"/>
        </w:rPr>
        <w:t>)</w:t>
      </w:r>
      <w:r>
        <w:rPr>
          <w:rFonts w:eastAsia="仿宋_GB2312" w:hint="eastAsia"/>
          <w:sz w:val="28"/>
          <w:szCs w:val="28"/>
        </w:rPr>
        <w:t>：</w:t>
      </w:r>
      <w:r>
        <w:rPr>
          <w:rFonts w:eastAsia="仿宋_GB2312"/>
          <w:sz w:val="28"/>
          <w:szCs w:val="28"/>
        </w:rPr>
        <w:t xml:space="preserve"> </w:t>
      </w:r>
      <w:r>
        <w:rPr>
          <w:rFonts w:eastAsia="仿宋_GB2312" w:hint="eastAsia"/>
          <w:sz w:val="28"/>
          <w:szCs w:val="28"/>
        </w:rPr>
        <w:t>地下水水位监测井。</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O - Other (</w:t>
      </w:r>
      <w:r>
        <w:rPr>
          <w:rFonts w:eastAsia="仿宋_GB2312" w:hint="eastAsia"/>
          <w:sz w:val="28"/>
          <w:szCs w:val="28"/>
        </w:rPr>
        <w:t>其他</w:t>
      </w:r>
      <w:r>
        <w:rPr>
          <w:rFonts w:eastAsia="仿宋_GB2312"/>
          <w:sz w:val="28"/>
          <w:szCs w:val="28"/>
        </w:rPr>
        <w:t>)</w:t>
      </w:r>
      <w:r>
        <w:rPr>
          <w:rFonts w:eastAsia="仿宋_GB2312" w:hint="eastAsia"/>
          <w:sz w:val="28"/>
          <w:szCs w:val="28"/>
        </w:rPr>
        <w:t>：</w:t>
      </w:r>
      <w:r>
        <w:rPr>
          <w:rFonts w:eastAsia="仿宋_GB2312"/>
          <w:sz w:val="28"/>
          <w:szCs w:val="28"/>
        </w:rPr>
        <w:t xml:space="preserve"> </w:t>
      </w:r>
      <w:r>
        <w:rPr>
          <w:rFonts w:eastAsia="仿宋_GB2312" w:hint="eastAsia"/>
          <w:sz w:val="28"/>
          <w:szCs w:val="28"/>
        </w:rPr>
        <w:t>特殊或暂时无法归类的点位。</w:t>
      </w:r>
    </w:p>
    <w:p w:rsidR="00B34C9C" w:rsidP="00B34C9C">
      <w:pPr>
        <w:adjustRightInd w:val="0"/>
        <w:snapToGrid w:val="0"/>
        <w:spacing w:line="360" w:lineRule="auto"/>
        <w:jc w:val="center"/>
        <w:rPr>
          <w:rFonts w:ascii="仿宋_GB2312" w:eastAsia="仿宋_GB2312" w:hAnsi="仿宋_GB2312" w:cs="仿宋_GB2312"/>
          <w:sz w:val="32"/>
          <w:szCs w:val="32"/>
        </w:rPr>
      </w:pPr>
      <w:r>
        <w:rPr>
          <w:rFonts w:ascii="仿宋_GB2312" w:eastAsia="仿宋_GB2312" w:hAnsi="仿宋_GB2312" w:cs="仿宋_GB2312"/>
          <w:noProof/>
          <w:szCs w:val="32"/>
        </w:rPr>
        <w:drawing>
          <wp:inline distT="0" distB="0" distL="0" distR="0">
            <wp:extent cx="1371600" cy="28765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1"/>
                    <pic:cNvPicPr>
                      <a:picLocks noChangeAspect="1" noChangeArrowheads="1"/>
                    </pic:cNvPicPr>
                  </pic:nvPicPr>
                  <pic:blipFill>
                    <a:blip xmlns:r="http://schemas.openxmlformats.org/officeDocument/2006/relationships" r:embed="rId1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371600" cy="2876550"/>
                    </a:xfrm>
                    <a:prstGeom prst="rect">
                      <a:avLst/>
                    </a:prstGeom>
                    <a:noFill/>
                    <a:ln>
                      <a:noFill/>
                    </a:ln>
                  </pic:spPr>
                </pic:pic>
              </a:graphicData>
            </a:graphic>
          </wp:inline>
        </w:drawing>
      </w:r>
    </w:p>
    <w:p w:rsidR="00B34C9C" w:rsidP="00B34C9C">
      <w:pPr>
        <w:adjustRightInd w:val="0"/>
        <w:snapToGrid w:val="0"/>
        <w:spacing w:line="360" w:lineRule="auto"/>
        <w:jc w:val="center"/>
        <w:rPr>
          <w:rFonts w:ascii="Times New Roman" w:eastAsia="仿宋_GB2312" w:hAnsi="Times New Roman" w:cs="Times New Roman"/>
          <w:b/>
          <w:szCs w:val="32"/>
        </w:rPr>
      </w:pPr>
      <w:r>
        <w:rPr>
          <w:rFonts w:eastAsia="仿宋_GB2312" w:hint="eastAsia"/>
          <w:b/>
          <w:szCs w:val="32"/>
        </w:rPr>
        <w:t>图</w:t>
      </w:r>
      <w:r>
        <w:rPr>
          <w:rFonts w:eastAsia="仿宋_GB2312"/>
          <w:b/>
          <w:szCs w:val="32"/>
        </w:rPr>
        <w:t xml:space="preserve">10 </w:t>
      </w:r>
      <w:r>
        <w:rPr>
          <w:rFonts w:eastAsia="仿宋_GB2312" w:hint="eastAsia"/>
          <w:b/>
          <w:szCs w:val="32"/>
        </w:rPr>
        <w:t>系统安装小程序</w:t>
      </w:r>
      <w:r>
        <w:rPr>
          <w:rFonts w:eastAsia="仿宋_GB2312"/>
          <w:b/>
          <w:szCs w:val="32"/>
        </w:rPr>
        <w:t>-</w:t>
      </w:r>
      <w:r>
        <w:rPr>
          <w:rFonts w:eastAsia="仿宋_GB2312" w:hint="eastAsia"/>
          <w:b/>
          <w:szCs w:val="32"/>
        </w:rPr>
        <w:t>点位类型</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③挂接设备</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点击设备挂接，扫码设备二维码，进入安装页面。选择设备类型，上传安装前、安装后、设备终端共</w:t>
      </w:r>
      <w:r>
        <w:rPr>
          <w:rFonts w:eastAsia="仿宋_GB2312"/>
          <w:sz w:val="28"/>
          <w:szCs w:val="28"/>
        </w:rPr>
        <w:t>3</w:t>
      </w:r>
      <w:r>
        <w:rPr>
          <w:rFonts w:eastAsia="仿宋_GB2312" w:hint="eastAsia"/>
          <w:sz w:val="28"/>
          <w:szCs w:val="28"/>
        </w:rPr>
        <w:t>张照片，安装完成时点击安装完成。</w:t>
      </w:r>
    </w:p>
    <w:p w:rsidR="00B34C9C" w:rsidP="00B34C9C">
      <w:pPr>
        <w:adjustRightInd w:val="0"/>
        <w:snapToGrid w:val="0"/>
        <w:spacing w:line="360" w:lineRule="auto"/>
        <w:jc w:val="center"/>
        <w:rPr>
          <w:rFonts w:ascii="宋体" w:eastAsia="宋体" w:hAnsi="宋体" w:cs="仿宋_GB2312"/>
          <w:sz w:val="32"/>
          <w:szCs w:val="21"/>
        </w:rPr>
      </w:pPr>
      <w:r>
        <w:rPr>
          <w:rFonts w:ascii="仿宋_GB2312" w:eastAsia="仿宋_GB2312" w:hAnsi="仿宋_GB2312" w:cs="仿宋_GB2312"/>
          <w:noProof/>
          <w:szCs w:val="32"/>
        </w:rPr>
        <w:drawing>
          <wp:inline distT="0" distB="0" distL="0" distR="0">
            <wp:extent cx="1533525" cy="2886075"/>
            <wp:effectExtent l="0" t="0" r="952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2"/>
                    <pic:cNvPicPr>
                      <a:picLocks noChangeAspect="1" noChangeArrowheads="1"/>
                    </pic:cNvPicPr>
                  </pic:nvPicPr>
                  <pic:blipFill>
                    <a:blip xmlns:r="http://schemas.openxmlformats.org/officeDocument/2006/relationships" r:embed="rId1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533525" cy="2886075"/>
                    </a:xfrm>
                    <a:prstGeom prst="rect">
                      <a:avLst/>
                    </a:prstGeom>
                    <a:noFill/>
                    <a:ln>
                      <a:noFill/>
                    </a:ln>
                  </pic:spPr>
                </pic:pic>
              </a:graphicData>
            </a:graphic>
          </wp:inline>
        </w:drawing>
      </w:r>
      <w:r>
        <w:rPr>
          <w:rFonts w:ascii="宋体" w:eastAsia="宋体" w:hAnsi="宋体" w:cs="仿宋_GB2312" w:hint="eastAsia"/>
          <w:szCs w:val="21"/>
        </w:rPr>
        <w:t xml:space="preserve"> </w:t>
      </w:r>
      <w:r>
        <w:rPr>
          <w:rFonts w:ascii="仿宋_GB2312" w:eastAsia="仿宋_GB2312" w:hAnsi="仿宋_GB2312" w:cs="仿宋_GB2312"/>
          <w:noProof/>
          <w:szCs w:val="32"/>
        </w:rPr>
        <w:drawing>
          <wp:inline distT="0" distB="0" distL="0" distR="0">
            <wp:extent cx="1524000" cy="2886075"/>
            <wp:effectExtent l="0" t="0" r="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3"/>
                    <pic:cNvPicPr>
                      <a:picLocks noChangeAspect="1" noChangeArrowheads="1"/>
                    </pic:cNvPicPr>
                  </pic:nvPicPr>
                  <pic:blipFill>
                    <a:blip xmlns:r="http://schemas.openxmlformats.org/officeDocument/2006/relationships" r:embed="rId1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524000" cy="2886075"/>
                    </a:xfrm>
                    <a:prstGeom prst="rect">
                      <a:avLst/>
                    </a:prstGeom>
                    <a:noFill/>
                    <a:ln>
                      <a:noFill/>
                    </a:ln>
                  </pic:spPr>
                </pic:pic>
              </a:graphicData>
            </a:graphic>
          </wp:inline>
        </w:drawing>
      </w:r>
    </w:p>
    <w:p w:rsidR="00B34C9C" w:rsidP="00B34C9C">
      <w:pPr>
        <w:adjustRightInd w:val="0"/>
        <w:snapToGrid w:val="0"/>
        <w:spacing w:line="360" w:lineRule="auto"/>
        <w:jc w:val="center"/>
        <w:rPr>
          <w:rFonts w:ascii="Times New Roman" w:eastAsia="仿宋_GB2312" w:hAnsi="Times New Roman" w:cs="Times New Roman"/>
          <w:b/>
          <w:szCs w:val="32"/>
        </w:rPr>
      </w:pPr>
      <w:r>
        <w:rPr>
          <w:rFonts w:eastAsia="仿宋_GB2312" w:hint="eastAsia"/>
          <w:b/>
          <w:szCs w:val="32"/>
        </w:rPr>
        <w:t>图</w:t>
      </w:r>
      <w:r>
        <w:rPr>
          <w:rFonts w:eastAsia="仿宋_GB2312"/>
          <w:b/>
          <w:szCs w:val="32"/>
        </w:rPr>
        <w:t xml:space="preserve">11 </w:t>
      </w:r>
      <w:r>
        <w:rPr>
          <w:rFonts w:eastAsia="仿宋_GB2312" w:hint="eastAsia"/>
          <w:b/>
          <w:szCs w:val="32"/>
        </w:rPr>
        <w:t>系统安装小程序</w:t>
      </w:r>
      <w:r>
        <w:rPr>
          <w:rFonts w:eastAsia="仿宋_GB2312"/>
          <w:b/>
          <w:szCs w:val="32"/>
        </w:rPr>
        <w:t>-</w:t>
      </w:r>
      <w:r>
        <w:rPr>
          <w:rFonts w:eastAsia="仿宋_GB2312" w:hint="eastAsia"/>
          <w:b/>
          <w:szCs w:val="32"/>
        </w:rPr>
        <w:t>挂接设备</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④设置二维码（活码）</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点击“二维码”进入设置二维码页面：</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扫描设备正中间的二维码。</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扫描设备的</w:t>
      </w:r>
      <w:r>
        <w:rPr>
          <w:rFonts w:eastAsia="仿宋_GB2312"/>
          <w:sz w:val="28"/>
          <w:szCs w:val="28"/>
        </w:rPr>
        <w:t>imei</w:t>
      </w:r>
      <w:r>
        <w:rPr>
          <w:rFonts w:eastAsia="仿宋_GB2312" w:hint="eastAsia"/>
          <w:sz w:val="28"/>
          <w:szCs w:val="28"/>
        </w:rPr>
        <w:t>码。</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填写相关信息后，点击更新二维码。</w:t>
      </w:r>
    </w:p>
    <w:p w:rsidR="00B34C9C" w:rsidP="00B34C9C">
      <w:pPr>
        <w:jc w:val="center"/>
        <w:rPr>
          <w:rFonts w:ascii="等线" w:eastAsia="等线" w:hAnsi="等线"/>
        </w:rPr>
      </w:pPr>
      <w:r>
        <w:rPr>
          <w:rFonts w:ascii="等线" w:eastAsia="等线" w:hAnsi="等线"/>
          <w:noProof/>
        </w:rPr>
        <w:drawing>
          <wp:inline distT="0" distB="0" distL="0" distR="0">
            <wp:extent cx="1314450" cy="24860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4"/>
                    <pic:cNvPicPr>
                      <a:picLocks noChangeAspect="1" noChangeArrowheads="1"/>
                    </pic:cNvPicPr>
                  </pic:nvPicPr>
                  <pic:blipFill>
                    <a:blip xmlns:r="http://schemas.openxmlformats.org/officeDocument/2006/relationships" r:embed="rId1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314450" cy="2486025"/>
                    </a:xfrm>
                    <a:prstGeom prst="rect">
                      <a:avLst/>
                    </a:prstGeom>
                    <a:noFill/>
                    <a:ln>
                      <a:noFill/>
                    </a:ln>
                  </pic:spPr>
                </pic:pic>
              </a:graphicData>
            </a:graphic>
          </wp:inline>
        </w:drawing>
      </w:r>
      <w:r>
        <w:rPr>
          <w:rFonts w:ascii="等线" w:eastAsia="等线" w:hAnsi="等线" w:hint="eastAsia"/>
        </w:rPr>
        <w:t xml:space="preserve">  </w:t>
      </w:r>
      <w:r>
        <w:rPr>
          <w:rFonts w:ascii="等线" w:eastAsia="等线" w:hAnsi="等线"/>
          <w:noProof/>
        </w:rPr>
        <w:drawing>
          <wp:inline distT="0" distB="0" distL="0" distR="0">
            <wp:extent cx="1314450" cy="24765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5"/>
                    <pic:cNvPicPr>
                      <a:picLocks noChangeAspect="1" noChangeArrowheads="1"/>
                    </pic:cNvPicPr>
                  </pic:nvPicPr>
                  <pic:blipFill>
                    <a:blip xmlns:r="http://schemas.openxmlformats.org/officeDocument/2006/relationships" r:embed="rId1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314450" cy="2476500"/>
                    </a:xfrm>
                    <a:prstGeom prst="rect">
                      <a:avLst/>
                    </a:prstGeom>
                    <a:noFill/>
                    <a:ln>
                      <a:noFill/>
                    </a:ln>
                  </pic:spPr>
                </pic:pic>
              </a:graphicData>
            </a:graphic>
          </wp:inline>
        </w:drawing>
      </w:r>
    </w:p>
    <w:p w:rsidR="00B34C9C" w:rsidP="00B34C9C">
      <w:pPr>
        <w:adjustRightInd w:val="0"/>
        <w:snapToGrid w:val="0"/>
        <w:spacing w:line="360" w:lineRule="auto"/>
        <w:jc w:val="center"/>
        <w:rPr>
          <w:rFonts w:ascii="Times New Roman" w:eastAsia="仿宋_GB2312" w:hAnsi="Times New Roman"/>
          <w:b/>
          <w:szCs w:val="32"/>
        </w:rPr>
      </w:pPr>
      <w:r>
        <w:rPr>
          <w:rFonts w:eastAsia="仿宋_GB2312" w:hint="eastAsia"/>
          <w:b/>
          <w:szCs w:val="32"/>
        </w:rPr>
        <w:t>图</w:t>
      </w:r>
      <w:r>
        <w:rPr>
          <w:rFonts w:eastAsia="仿宋_GB2312"/>
          <w:b/>
          <w:szCs w:val="32"/>
        </w:rPr>
        <w:t xml:space="preserve">12 </w:t>
      </w:r>
      <w:r>
        <w:rPr>
          <w:rFonts w:eastAsia="仿宋_GB2312" w:hint="eastAsia"/>
          <w:b/>
          <w:szCs w:val="32"/>
        </w:rPr>
        <w:t>系统安装小程序</w:t>
      </w:r>
      <w:r>
        <w:rPr>
          <w:rFonts w:eastAsia="仿宋_GB2312"/>
          <w:b/>
          <w:szCs w:val="32"/>
        </w:rPr>
        <w:t>-</w:t>
      </w:r>
      <w:r>
        <w:rPr>
          <w:rFonts w:eastAsia="仿宋_GB2312" w:hint="eastAsia"/>
          <w:b/>
          <w:szCs w:val="32"/>
        </w:rPr>
        <w:t>设备二维码</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说明：</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a.</w:t>
      </w:r>
      <w:r>
        <w:rPr>
          <w:rFonts w:eastAsia="仿宋_GB2312" w:hint="eastAsia"/>
          <w:sz w:val="28"/>
          <w:szCs w:val="28"/>
        </w:rPr>
        <w:t>设备绑定</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 </w:t>
      </w:r>
      <w:r>
        <w:rPr>
          <w:rFonts w:eastAsia="仿宋_GB2312" w:hint="eastAsia"/>
          <w:sz w:val="28"/>
          <w:szCs w:val="28"/>
        </w:rPr>
        <w:t>现场安装完毕后，对设备进行系统关联，通过移动端调试软件对设备和现场点位进行绑定。</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b.</w:t>
      </w:r>
      <w:r>
        <w:rPr>
          <w:rFonts w:eastAsia="仿宋_GB2312" w:hint="eastAsia"/>
          <w:sz w:val="28"/>
          <w:szCs w:val="28"/>
        </w:rPr>
        <w:t>数据采集</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设备绑定后，对现场点位和设备的数据进行采集，采集数据包括：</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地图定位信息；</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经纬度采集；</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点位详细地址；</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设备</w:t>
      </w:r>
      <w:r>
        <w:rPr>
          <w:rFonts w:eastAsia="仿宋_GB2312"/>
          <w:sz w:val="28"/>
          <w:szCs w:val="28"/>
        </w:rPr>
        <w:t>IMEI</w:t>
      </w:r>
      <w:r>
        <w:rPr>
          <w:rFonts w:eastAsia="仿宋_GB2312" w:hint="eastAsia"/>
          <w:sz w:val="28"/>
          <w:szCs w:val="28"/>
        </w:rPr>
        <w:t>号；</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安装点位编号。</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上传点位安装前照片（安装前需提前拍照留存手机）：设备安装前现场远景照片，所有照片采用手机横屏拍摄</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安装后点位整体照片：设备安装后远景照片（要能反映监测点位周边环境和影响物体，设备在照片中心位置且可视醒目，建议拍摄距离</w:t>
      </w:r>
      <w:r>
        <w:rPr>
          <w:rFonts w:eastAsia="仿宋_GB2312"/>
          <w:sz w:val="28"/>
          <w:szCs w:val="28"/>
        </w:rPr>
        <w:t>25m~45m</w:t>
      </w:r>
      <w:r>
        <w:rPr>
          <w:rFonts w:eastAsia="仿宋_GB2312" w:hint="eastAsia"/>
          <w:sz w:val="28"/>
          <w:szCs w:val="28"/>
        </w:rPr>
        <w:t>）、安装后近景整体照片</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设备安装后照片：安装后设备主机照片，要能清晰记录设备机身二维码、安装调试人员信息、现场复核人员信息。</w:t>
      </w:r>
    </w:p>
    <w:p w:rsidR="00B34C9C" w:rsidP="00B34C9C">
      <w:pPr>
        <w:adjustRightInd w:val="0"/>
        <w:snapToGrid w:val="0"/>
        <w:spacing w:line="560" w:lineRule="exact"/>
        <w:ind w:firstLine="560" w:firstLineChars="200"/>
        <w:rPr>
          <w:rFonts w:eastAsia="仿宋_GB2312"/>
          <w:sz w:val="28"/>
          <w:szCs w:val="28"/>
        </w:rPr>
      </w:pPr>
      <w:r>
        <w:rPr>
          <w:rFonts w:eastAsia="仿宋_GB2312"/>
          <w:sz w:val="28"/>
          <w:szCs w:val="28"/>
        </w:rPr>
        <w:t>c.</w:t>
      </w:r>
      <w:r>
        <w:rPr>
          <w:rFonts w:eastAsia="仿宋_GB2312" w:hint="eastAsia"/>
          <w:sz w:val="28"/>
          <w:szCs w:val="28"/>
        </w:rPr>
        <w:t>设备调试</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安装完成后，对设备进行现场调试，通过非接触式次磁性触发开关，现场进行灌水测试，激活并观察设备数据上报情况，从手机移动端和平台监测设备上传数据是否正常，调试监测数据包括：</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设备在线状态；</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电压电量；</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测量水位是否零值：若非零值，平台可重新标定；</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定位信息是否精准无误（误差±</w:t>
      </w:r>
      <w:r>
        <w:rPr>
          <w:rFonts w:eastAsia="仿宋_GB2312"/>
          <w:sz w:val="28"/>
          <w:szCs w:val="28"/>
        </w:rPr>
        <w:t>1m</w:t>
      </w:r>
      <w:r>
        <w:rPr>
          <w:rFonts w:eastAsia="仿宋_GB2312" w:hint="eastAsia"/>
          <w:sz w:val="28"/>
          <w:szCs w:val="28"/>
        </w:rPr>
        <w:t>）；</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至此，设备调试及数据采集完成，设备直接投入运行。</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w:t>
      </w:r>
      <w:r>
        <w:rPr>
          <w:rFonts w:eastAsia="仿宋_GB2312"/>
          <w:sz w:val="28"/>
          <w:szCs w:val="28"/>
        </w:rPr>
        <w:t>5</w:t>
      </w:r>
      <w:r>
        <w:rPr>
          <w:rFonts w:eastAsia="仿宋_GB2312" w:hint="eastAsia"/>
          <w:sz w:val="28"/>
          <w:szCs w:val="28"/>
        </w:rPr>
        <w:t>）项目材料管理</w:t>
      </w:r>
    </w:p>
    <w:p w:rsidR="00B34C9C" w:rsidP="00B34C9C">
      <w:pPr>
        <w:adjustRightInd w:val="0"/>
        <w:snapToGrid w:val="0"/>
        <w:spacing w:line="560" w:lineRule="exact"/>
        <w:ind w:firstLine="560" w:firstLineChars="200"/>
        <w:rPr>
          <w:rFonts w:eastAsia="仿宋_GB2312"/>
          <w:sz w:val="28"/>
          <w:szCs w:val="28"/>
        </w:rPr>
      </w:pPr>
      <w:r>
        <w:rPr>
          <w:rFonts w:eastAsia="仿宋_GB2312" w:hint="eastAsia"/>
          <w:sz w:val="28"/>
          <w:szCs w:val="28"/>
        </w:rPr>
        <w:t>项目施工过程中的选址、施工、运行维护等流程，承建单位须配合建设单位将过程文档妥善留档管理。</w:t>
      </w:r>
      <w:bookmarkEnd w:id="60"/>
      <w:bookmarkEnd w:id="61"/>
    </w:p>
    <w:p w:rsidR="005758A8" w:rsidRPr="00B34C9C" w:rsidP="00B34C9C">
      <w:pPr>
        <w:spacing w:line="360" w:lineRule="auto"/>
        <w:ind w:firstLine="600" w:firstLineChars="200"/>
        <w:rPr>
          <w:rFonts w:ascii="黑体" w:eastAsia="黑体" w:hAnsi="黑体"/>
          <w:sz w:val="30"/>
          <w:szCs w:val="30"/>
        </w:rPr>
      </w:pPr>
      <w:r w:rsidRPr="00B34C9C">
        <w:rPr>
          <w:rFonts w:ascii="黑体" w:eastAsia="黑体" w:hAnsi="黑体" w:hint="eastAsia"/>
          <w:sz w:val="30"/>
          <w:szCs w:val="30"/>
        </w:rPr>
        <w:t>四、检验考核要求</w:t>
      </w:r>
    </w:p>
    <w:p w:rsidR="00811834" w:rsidP="00811834">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1.验收要求满足本项目的全部技术要求，并达到合同约定的各项量化指标，并以此为准进行验收。</w:t>
      </w:r>
    </w:p>
    <w:p w:rsidR="005758A8" w:rsidP="00811834">
      <w:pPr>
        <w:spacing w:line="360" w:lineRule="auto"/>
        <w:ind w:firstLine="560" w:firstLineChars="200"/>
        <w:rPr>
          <w:rFonts w:ascii="宋体" w:hAnsi="宋体"/>
          <w:szCs w:val="21"/>
        </w:rPr>
      </w:pPr>
      <w:r>
        <w:rPr>
          <w:rFonts w:ascii="仿宋" w:eastAsia="仿宋" w:hAnsi="仿宋" w:cs="仿宋" w:hint="eastAsia"/>
          <w:sz w:val="28"/>
          <w:szCs w:val="28"/>
        </w:rPr>
        <w:t>2.项目验收时应将设备操作手册、白皮书等及全部有关产品说明书、技术文件、资料、及安装、验收报告等文档汇集成册交付使用单位。</w:t>
      </w:r>
    </w:p>
    <w:p w:rsidR="005758A8" w:rsidRPr="00B34C9C" w:rsidP="00B34C9C">
      <w:pPr>
        <w:spacing w:line="360" w:lineRule="auto"/>
        <w:ind w:firstLine="600" w:firstLineChars="200"/>
        <w:rPr>
          <w:rFonts w:ascii="黑体" w:eastAsia="黑体" w:hAnsi="黑体"/>
          <w:sz w:val="30"/>
          <w:szCs w:val="30"/>
        </w:rPr>
      </w:pPr>
      <w:r w:rsidRPr="00B34C9C">
        <w:rPr>
          <w:rFonts w:ascii="黑体" w:eastAsia="黑体" w:hAnsi="黑体" w:hint="eastAsia"/>
          <w:sz w:val="30"/>
          <w:szCs w:val="30"/>
        </w:rPr>
        <w:t>五、技术服务和质保期服务要求</w:t>
      </w:r>
    </w:p>
    <w:p w:rsidR="00065591" w:rsidP="00065591">
      <w:pPr>
        <w:spacing w:line="560" w:lineRule="exact"/>
        <w:ind w:firstLine="560" w:firstLineChars="200"/>
        <w:rPr>
          <w:rFonts w:ascii="仿宋" w:eastAsia="仿宋" w:hAnsi="仿宋" w:cs="仿宋"/>
          <w:b/>
          <w:bCs/>
          <w:sz w:val="28"/>
          <w:szCs w:val="28"/>
        </w:rPr>
      </w:pPr>
      <w:r>
        <w:rPr>
          <w:rFonts w:ascii="仿宋" w:eastAsia="仿宋" w:hAnsi="仿宋" w:cs="仿宋" w:hint="eastAsia"/>
          <w:b/>
          <w:bCs/>
          <w:sz w:val="28"/>
          <w:szCs w:val="28"/>
        </w:rPr>
        <w:t>1培训</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在采购方指定地点，中标方对相关人员进行不低于5人*7天的设备及系统使用和维护培训，通过培训使业务、管理和维护人员能够掌握监测设备建设、使用、维护能力；提高运维人员的专业技能和综合素质，使其能够胜任物联网积水监测设备的运维工作。提高用户对设备的操作和维护能力，确保设备能够正常使用；管理和维护人员具有较好的设备管理、操作使用、维护、维修和故障诊断及中小故障的排除，及监测数据的使用和管理能力；业务人员掌握本项目进一步应用所需的知识和技能，能对本项目进行初步应用。培训要求具体如下：</w:t>
      </w:r>
    </w:p>
    <w:p w:rsidR="00065591" w:rsidP="00065591">
      <w:pPr>
        <w:spacing w:line="560" w:lineRule="exact"/>
        <w:ind w:firstLine="560" w:firstLineChars="200"/>
        <w:rPr>
          <w:rFonts w:ascii="仿宋" w:eastAsia="仿宋" w:hAnsi="仿宋" w:cs="仿宋"/>
          <w:b/>
          <w:bCs/>
          <w:sz w:val="28"/>
          <w:szCs w:val="28"/>
        </w:rPr>
      </w:pPr>
      <w:r>
        <w:rPr>
          <w:rFonts w:ascii="仿宋" w:eastAsia="仿宋" w:hAnsi="仿宋" w:cs="仿宋" w:hint="eastAsia"/>
          <w:b/>
          <w:bCs/>
          <w:sz w:val="28"/>
          <w:szCs w:val="28"/>
        </w:rPr>
        <w:t>（1）培训对象</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郑州</w:t>
      </w:r>
      <w:r>
        <w:rPr>
          <w:rFonts w:ascii="仿宋" w:eastAsia="仿宋" w:hAnsi="仿宋" w:cs="仿宋" w:hint="eastAsia"/>
          <w:sz w:val="28"/>
          <w:szCs w:val="28"/>
        </w:rPr>
        <w:t>市</w:t>
      </w:r>
      <w:r>
        <w:rPr>
          <w:rFonts w:ascii="仿宋" w:eastAsia="仿宋" w:hAnsi="仿宋" w:cs="仿宋" w:hint="eastAsia"/>
          <w:sz w:val="28"/>
          <w:szCs w:val="28"/>
        </w:rPr>
        <w:t>、洛阳市、开封市和信阳市</w:t>
      </w:r>
      <w:r>
        <w:rPr>
          <w:rFonts w:ascii="仿宋" w:eastAsia="仿宋" w:hAnsi="仿宋" w:cs="仿宋" w:hint="eastAsia"/>
          <w:sz w:val="28"/>
          <w:szCs w:val="28"/>
        </w:rPr>
        <w:t>气象部门业务人员及设备运行维护人员。</w:t>
      </w:r>
    </w:p>
    <w:p w:rsidR="00065591" w:rsidP="00065591">
      <w:pPr>
        <w:spacing w:line="560" w:lineRule="exact"/>
        <w:ind w:firstLine="560" w:firstLineChars="200"/>
        <w:rPr>
          <w:rFonts w:ascii="仿宋" w:eastAsia="仿宋" w:hAnsi="仿宋" w:cs="仿宋"/>
          <w:b/>
          <w:bCs/>
          <w:sz w:val="28"/>
          <w:szCs w:val="28"/>
        </w:rPr>
      </w:pPr>
      <w:r>
        <w:rPr>
          <w:rFonts w:ascii="仿宋" w:eastAsia="仿宋" w:hAnsi="仿宋" w:cs="仿宋" w:hint="eastAsia"/>
          <w:b/>
          <w:bCs/>
          <w:sz w:val="28"/>
          <w:szCs w:val="28"/>
        </w:rPr>
        <w:t>（2）培训内容</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主要开展暴雨积涝观测及运行维护、数据传输及运行维护等培训。培训内容包括暴雨积涝监测设备使用培训、数据采集与共享应用培训；监测设备维护培训、安装环境维护培训等，具体如下：</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1）物联网基础知识: 物联网概念、架构、关键技术等；</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2）NB-IoT 技术: NB-IoT 技术原理、特点、应用场景等；</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3）积涝监测设备: 设备结构、工作原理、功能特点、操作方法等；</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4）监测软件功能及使用等；</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5）运维管理: 运维流程、故障处理、预防性维护、数据备份与恢复等；</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6）安全知识: 设备安全、网络安全、数据安全等。</w:t>
      </w:r>
    </w:p>
    <w:p w:rsidR="00065591" w:rsidP="00065591">
      <w:pPr>
        <w:spacing w:line="560" w:lineRule="exact"/>
        <w:ind w:firstLine="560" w:firstLineChars="200"/>
        <w:rPr>
          <w:rFonts w:ascii="仿宋" w:eastAsia="仿宋" w:hAnsi="仿宋" w:cs="仿宋"/>
          <w:b/>
          <w:bCs/>
          <w:sz w:val="28"/>
          <w:szCs w:val="28"/>
        </w:rPr>
      </w:pPr>
      <w:r>
        <w:rPr>
          <w:rFonts w:ascii="仿宋" w:eastAsia="仿宋" w:hAnsi="仿宋" w:cs="仿宋" w:hint="eastAsia"/>
          <w:b/>
          <w:bCs/>
          <w:sz w:val="28"/>
          <w:szCs w:val="28"/>
        </w:rPr>
        <w:t>（3）培训方式</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理论培训: 采用集中授课、在线学习等方式，讲解相关理论知识；</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实操培训: 组织学员进行设备安装、调试、操作、维护等实操训练；</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案例分析: 结合实际案例，分析设备故障原因和处理方法。</w:t>
      </w:r>
    </w:p>
    <w:p w:rsidR="00065591" w:rsidRPr="00BE5884" w:rsidP="00BE5884">
      <w:pPr>
        <w:spacing w:line="560" w:lineRule="exact"/>
        <w:ind w:firstLine="560" w:firstLineChars="200"/>
        <w:rPr>
          <w:rFonts w:ascii="仿宋" w:eastAsia="仿宋" w:hAnsi="仿宋" w:cs="仿宋"/>
          <w:b/>
          <w:bCs/>
          <w:sz w:val="28"/>
          <w:szCs w:val="28"/>
        </w:rPr>
      </w:pPr>
      <w:r w:rsidRPr="00BE5884">
        <w:rPr>
          <w:rFonts w:ascii="仿宋" w:eastAsia="仿宋" w:hAnsi="仿宋" w:cs="仿宋" w:hint="eastAsia"/>
          <w:b/>
          <w:bCs/>
          <w:sz w:val="28"/>
          <w:szCs w:val="28"/>
        </w:rPr>
        <w:t>2质保期服务</w:t>
      </w:r>
    </w:p>
    <w:p w:rsidR="00065591" w:rsidP="00065591">
      <w:pPr>
        <w:spacing w:line="560" w:lineRule="exact"/>
        <w:ind w:firstLine="560" w:firstLineChars="200"/>
        <w:rPr>
          <w:rFonts w:ascii="仿宋" w:eastAsia="仿宋" w:hAnsi="仿宋" w:cs="仿宋"/>
          <w:sz w:val="28"/>
          <w:szCs w:val="28"/>
        </w:rPr>
      </w:pPr>
      <w:bookmarkStart w:id="70" w:name="OLE_LINK1"/>
      <w:r>
        <w:rPr>
          <w:rFonts w:ascii="仿宋" w:eastAsia="仿宋" w:hAnsi="仿宋" w:cs="仿宋" w:hint="eastAsia"/>
          <w:sz w:val="28"/>
          <w:szCs w:val="28"/>
          <w:highlight w:val="yellow"/>
        </w:rPr>
        <w:t>*</w:t>
      </w:r>
      <w:r w:rsidRPr="00811834">
        <w:rPr>
          <w:rFonts w:ascii="仿宋" w:eastAsia="仿宋" w:hAnsi="仿宋" w:cs="仿宋" w:hint="eastAsia"/>
          <w:sz w:val="28"/>
          <w:szCs w:val="28"/>
          <w:highlight w:val="yellow"/>
        </w:rPr>
        <w:t>本项目硬件设备包含项目合同验收后5年运维费用</w:t>
      </w:r>
      <w:bookmarkEnd w:id="70"/>
      <w:r>
        <w:rPr>
          <w:rFonts w:ascii="仿宋" w:eastAsia="仿宋" w:hAnsi="仿宋" w:cs="仿宋" w:hint="eastAsia"/>
          <w:sz w:val="28"/>
          <w:szCs w:val="28"/>
        </w:rPr>
        <w:t>，中标方须承担包括设备巡检、故障排查及维修、电池更换（按需）、物联网通讯费等。</w:t>
      </w:r>
    </w:p>
    <w:p w:rsidR="00065591" w:rsidP="00065591">
      <w:pPr>
        <w:spacing w:line="560" w:lineRule="exact"/>
        <w:ind w:firstLine="560" w:firstLineChars="200"/>
        <w:rPr>
          <w:rFonts w:ascii="仿宋" w:eastAsia="仿宋" w:hAnsi="仿宋" w:cs="仿宋"/>
          <w:b/>
          <w:bCs/>
          <w:sz w:val="28"/>
          <w:szCs w:val="28"/>
        </w:rPr>
      </w:pPr>
      <w:r>
        <w:rPr>
          <w:rFonts w:ascii="仿宋" w:eastAsia="仿宋" w:hAnsi="仿宋" w:cs="仿宋" w:hint="eastAsia"/>
          <w:b/>
          <w:bCs/>
          <w:sz w:val="28"/>
          <w:szCs w:val="28"/>
        </w:rPr>
        <w:t>（1）</w:t>
      </w:r>
      <w:r>
        <w:rPr>
          <w:rFonts w:ascii="仿宋" w:eastAsia="仿宋" w:hAnsi="仿宋" w:cs="仿宋" w:hint="eastAsia"/>
          <w:b/>
          <w:bCs/>
          <w:sz w:val="28"/>
          <w:szCs w:val="28"/>
        </w:rPr>
        <w:t>运维制度</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设备配置与登记：监测设备应配置详细的参数文档，并在系统平台上进行登记，以便追踪和管理；</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预防性维护：监测设备应按原厂维护要求进行预防性维护，确保</w:t>
      </w:r>
      <w:r>
        <w:rPr>
          <w:rFonts w:ascii="仿宋" w:eastAsia="仿宋" w:hAnsi="仿宋" w:cs="仿宋" w:hint="eastAsia"/>
          <w:sz w:val="28"/>
          <w:szCs w:val="28"/>
        </w:rPr>
        <w:t>设备处于最佳工作状态。宜半年进行一次预防性维护，包括检查设备外观、连接线、传感器等是否正常；</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校准与检定：监测仪器宜每年进行一次第三方检定或校准，以确保测量数据的准确性；设备应具备运行过程中定期自动标定和人工标定功能，以便随时校准；</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信息监控平台：宜建设监测设备的综合监控平台和运维管理平台，实现设备的远程监控和管理；</w:t>
      </w:r>
    </w:p>
    <w:p w:rsidR="00065591" w:rsidP="00065591">
      <w:pPr>
        <w:spacing w:line="560" w:lineRule="exact"/>
        <w:ind w:firstLine="560" w:firstLineChars="200"/>
        <w:rPr>
          <w:rFonts w:ascii="仿宋" w:eastAsia="仿宋" w:hAnsi="仿宋" w:cs="仿宋"/>
          <w:b/>
          <w:bCs/>
          <w:sz w:val="28"/>
          <w:szCs w:val="28"/>
        </w:rPr>
      </w:pPr>
      <w:r>
        <w:rPr>
          <w:rFonts w:ascii="仿宋" w:eastAsia="仿宋" w:hAnsi="仿宋" w:cs="仿宋" w:hint="eastAsia"/>
          <w:b/>
          <w:bCs/>
          <w:sz w:val="28"/>
          <w:szCs w:val="28"/>
        </w:rPr>
        <w:t>（2）</w:t>
      </w:r>
      <w:r>
        <w:rPr>
          <w:rFonts w:ascii="仿宋" w:eastAsia="仿宋" w:hAnsi="仿宋" w:cs="仿宋" w:hint="eastAsia"/>
          <w:b/>
          <w:bCs/>
          <w:sz w:val="28"/>
          <w:szCs w:val="28"/>
        </w:rPr>
        <w:t>巡检制度</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巡检计划与周期：应建立明确的巡检制度，包括巡检周期、巡检计划和巡检记录表，巡检周期应根据设备的使用情况和环境条件进行设定，确保及时发现潜在问题；</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巡检内容与步骤：巡查前应查阅巡检设备的运行数据和日志信息，备好所需材料和工器具。巡检时应检查监测设备的外观及附件是否完整，以及设备是否正常运行，包括周边环境等。巡查后应及时填报巡检记录表，记录巡检时间、内容、结果及发现的问题；</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维护保养：定期对监测设备进行常规维护，检查各设备的运行状态和主要技术参数；日常维护应检查防盗、防破坏和防侵入设施的有效性，并做好维护记录；应对监测设备做好防潮、防尘、防腐、防雷、防干扰工作，确保设备稳定运行。</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硬件维护内容如下：</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①传感器系统维护：</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水位传感器清洁：每年对传感器探头进行一次清洁，除去周边杂物。</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水位传感器校准：每年进行1次现场校准，对比人工测量值修正</w:t>
      </w:r>
      <w:r>
        <w:rPr>
          <w:rFonts w:ascii="仿宋" w:eastAsia="仿宋" w:hAnsi="仿宋" w:cs="仿宋" w:hint="eastAsia"/>
          <w:sz w:val="28"/>
          <w:szCs w:val="28"/>
        </w:rPr>
        <w:t>偏差。</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②供电系统维护：</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电池组维护：定期检测电池电压：锂亚电池容量低至20%需主动更换。</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③通信与外壳维护：</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NB-IoT模块检查：每月通过平台验证数据传输稳定性，异常时重启模块或检查SIM卡状态或调整主机姿态。</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④防护结构维护：</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立杆式设备：每年紧固一次立杆支架器件、地脚螺栓等；紧固主机外壳螺丝，使其保持均匀受力，确保密封正常。</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壁挂式设备：每年检查导线保护管紧固情况，如有脱落或坏损，要及时进行更换，确保传感器线缆稳固；紧固主机外壳螺丝，使其保持均匀受力，确保密封正常。</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地埋式设备：每年检查主机保护外壳腐蚀情况，锈蚀≥30%面积需更换。</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⑤定期检测周期表：</w:t>
      </w:r>
    </w:p>
    <w:p w:rsidR="00065591" w:rsidP="00065591">
      <w:pPr>
        <w:spacing w:line="560" w:lineRule="exact"/>
        <w:jc w:val="center"/>
        <w:rPr>
          <w:rFonts w:ascii="仿宋" w:eastAsia="仿宋" w:hAnsi="仿宋" w:cs="仿宋"/>
          <w:b/>
          <w:szCs w:val="28"/>
        </w:rPr>
      </w:pPr>
      <w:r>
        <w:rPr>
          <w:rFonts w:ascii="仿宋" w:eastAsia="仿宋" w:hAnsi="仿宋" w:cs="仿宋" w:hint="eastAsia"/>
          <w:b/>
          <w:sz w:val="24"/>
          <w:szCs w:val="28"/>
        </w:rPr>
        <w:t>表9 暴雨积涝监测设备定期监测周期表</w:t>
      </w:r>
    </w:p>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9"/>
        <w:gridCol w:w="2799"/>
        <w:gridCol w:w="2811"/>
      </w:tblGrid>
      <w:tr w:rsidTr="00065591">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00"/>
        </w:trPr>
        <w:tc>
          <w:tcPr>
            <w:tcW w:w="2928" w:type="dxa"/>
            <w:tcBorders>
              <w:top w:val="single" w:sz="4" w:space="0" w:color="auto"/>
              <w:left w:val="single" w:sz="4" w:space="0" w:color="auto"/>
              <w:bottom w:val="single" w:sz="4" w:space="0" w:color="auto"/>
              <w:right w:val="single" w:sz="4" w:space="0" w:color="auto"/>
            </w:tcBorders>
            <w:vAlign w:val="center"/>
            <w:hideMark/>
          </w:tcPr>
          <w:p w:rsidR="00065591">
            <w:pPr>
              <w:pStyle w:val="a2"/>
              <w:spacing w:line="240" w:lineRule="auto"/>
              <w:ind w:firstLine="0" w:firstLineChars="0"/>
              <w:jc w:val="center"/>
              <w:rPr>
                <w:rFonts w:ascii="Times New Roman" w:hAnsi="Times New Roman" w:cs="Times New Roman"/>
                <w:b/>
                <w:sz w:val="21"/>
              </w:rPr>
            </w:pPr>
            <w:r>
              <w:rPr>
                <w:rFonts w:ascii="MS Gothic" w:eastAsia="MS Gothic" w:hAnsi="MS Gothic" w:cs="MS Gothic" w:hint="eastAsia"/>
                <w:b/>
                <w:sz w:val="21"/>
                <w:szCs w:val="21"/>
              </w:rPr>
              <w:t>‌</w:t>
            </w:r>
            <w:r>
              <w:rPr>
                <w:rFonts w:hint="eastAsia"/>
                <w:b/>
                <w:sz w:val="21"/>
                <w:szCs w:val="21"/>
              </w:rPr>
              <w:t>维护项目</w:t>
            </w:r>
            <w:r>
              <w:rPr>
                <w:rFonts w:ascii="MS Gothic" w:eastAsia="MS Gothic" w:hAnsi="MS Gothic" w:cs="MS Gothic" w:hint="eastAsia"/>
                <w:b/>
                <w:sz w:val="21"/>
                <w:szCs w:val="21"/>
              </w:rPr>
              <w:t>‌</w:t>
            </w:r>
          </w:p>
        </w:tc>
        <w:tc>
          <w:tcPr>
            <w:tcW w:w="2928" w:type="dxa"/>
            <w:tcBorders>
              <w:top w:val="single" w:sz="4" w:space="0" w:color="auto"/>
              <w:left w:val="single" w:sz="4" w:space="0" w:color="auto"/>
              <w:bottom w:val="single" w:sz="4" w:space="0" w:color="auto"/>
              <w:right w:val="single" w:sz="4" w:space="0" w:color="auto"/>
            </w:tcBorders>
            <w:vAlign w:val="center"/>
            <w:hideMark/>
          </w:tcPr>
          <w:p w:rsidR="00065591">
            <w:pPr>
              <w:pStyle w:val="a2"/>
              <w:spacing w:line="240" w:lineRule="auto"/>
              <w:ind w:firstLine="0" w:firstLineChars="0"/>
              <w:jc w:val="center"/>
              <w:rPr>
                <w:rFonts w:ascii="Times New Roman" w:hAnsi="Times New Roman" w:cs="Times New Roman"/>
                <w:b/>
                <w:sz w:val="21"/>
              </w:rPr>
            </w:pPr>
            <w:r>
              <w:rPr>
                <w:rFonts w:hint="eastAsia"/>
                <w:b/>
                <w:sz w:val="21"/>
                <w:szCs w:val="21"/>
              </w:rPr>
              <w:t>周期</w:t>
            </w:r>
          </w:p>
        </w:tc>
        <w:tc>
          <w:tcPr>
            <w:tcW w:w="2929" w:type="dxa"/>
            <w:tcBorders>
              <w:top w:val="single" w:sz="4" w:space="0" w:color="auto"/>
              <w:left w:val="single" w:sz="4" w:space="0" w:color="auto"/>
              <w:bottom w:val="single" w:sz="4" w:space="0" w:color="auto"/>
              <w:right w:val="single" w:sz="4" w:space="0" w:color="auto"/>
            </w:tcBorders>
            <w:vAlign w:val="center"/>
            <w:hideMark/>
          </w:tcPr>
          <w:p w:rsidR="00065591">
            <w:pPr>
              <w:pStyle w:val="a2"/>
              <w:spacing w:line="240" w:lineRule="auto"/>
              <w:ind w:firstLine="0" w:firstLineChars="0"/>
              <w:jc w:val="center"/>
              <w:rPr>
                <w:rFonts w:ascii="Times New Roman" w:hAnsi="Times New Roman" w:cs="Times New Roman"/>
                <w:b/>
                <w:sz w:val="21"/>
              </w:rPr>
            </w:pPr>
            <w:r>
              <w:rPr>
                <w:rFonts w:hint="eastAsia"/>
                <w:b/>
                <w:sz w:val="21"/>
                <w:szCs w:val="21"/>
              </w:rPr>
              <w:t>操作要点</w:t>
            </w:r>
          </w:p>
        </w:tc>
      </w:tr>
      <w:tr w:rsidTr="00065591">
        <w:tblPrEx>
          <w:tblW w:w="0" w:type="auto"/>
          <w:tblInd w:w="113" w:type="dxa"/>
          <w:tblLook w:val="04A0"/>
        </w:tblPrEx>
        <w:trPr>
          <w:trHeight w:val="419"/>
        </w:trPr>
        <w:tc>
          <w:tcPr>
            <w:tcW w:w="2928" w:type="dxa"/>
            <w:tcBorders>
              <w:top w:val="single" w:sz="4" w:space="0" w:color="auto"/>
              <w:left w:val="single" w:sz="4" w:space="0" w:color="auto"/>
              <w:bottom w:val="single" w:sz="4" w:space="0" w:color="auto"/>
              <w:right w:val="single" w:sz="4" w:space="0" w:color="auto"/>
            </w:tcBorders>
            <w:vAlign w:val="center"/>
            <w:hideMark/>
          </w:tcPr>
          <w:p w:rsidR="00065591">
            <w:pPr>
              <w:pStyle w:val="a2"/>
              <w:spacing w:line="240" w:lineRule="auto"/>
              <w:ind w:firstLine="0" w:firstLineChars="0"/>
              <w:jc w:val="center"/>
              <w:rPr>
                <w:rFonts w:ascii="Times New Roman" w:hAnsi="Times New Roman" w:cs="Times New Roman"/>
                <w:b/>
                <w:sz w:val="21"/>
              </w:rPr>
            </w:pPr>
            <w:r>
              <w:rPr>
                <w:rFonts w:hint="eastAsia"/>
                <w:sz w:val="21"/>
                <w:szCs w:val="21"/>
              </w:rPr>
              <w:t>传感器清洁</w:t>
            </w:r>
          </w:p>
        </w:tc>
        <w:tc>
          <w:tcPr>
            <w:tcW w:w="2928" w:type="dxa"/>
            <w:tcBorders>
              <w:top w:val="single" w:sz="4" w:space="0" w:color="auto"/>
              <w:left w:val="single" w:sz="4" w:space="0" w:color="auto"/>
              <w:bottom w:val="single" w:sz="4" w:space="0" w:color="auto"/>
              <w:right w:val="single" w:sz="4" w:space="0" w:color="auto"/>
            </w:tcBorders>
            <w:vAlign w:val="center"/>
            <w:hideMark/>
          </w:tcPr>
          <w:p w:rsidR="00065591">
            <w:pPr>
              <w:pStyle w:val="a2"/>
              <w:spacing w:line="240" w:lineRule="auto"/>
              <w:ind w:firstLine="0" w:firstLineChars="0"/>
              <w:jc w:val="center"/>
              <w:rPr>
                <w:rFonts w:ascii="Times New Roman" w:hAnsi="Times New Roman" w:cs="Times New Roman"/>
                <w:b/>
                <w:sz w:val="21"/>
              </w:rPr>
            </w:pPr>
            <w:r>
              <w:rPr>
                <w:rFonts w:hint="eastAsia"/>
                <w:sz w:val="21"/>
                <w:szCs w:val="21"/>
              </w:rPr>
              <w:t>年度</w:t>
            </w:r>
          </w:p>
        </w:tc>
        <w:tc>
          <w:tcPr>
            <w:tcW w:w="2929" w:type="dxa"/>
            <w:tcBorders>
              <w:top w:val="single" w:sz="4" w:space="0" w:color="auto"/>
              <w:left w:val="single" w:sz="4" w:space="0" w:color="auto"/>
              <w:bottom w:val="single" w:sz="4" w:space="0" w:color="auto"/>
              <w:right w:val="single" w:sz="4" w:space="0" w:color="auto"/>
            </w:tcBorders>
            <w:vAlign w:val="center"/>
            <w:hideMark/>
          </w:tcPr>
          <w:p w:rsidR="00065591">
            <w:pPr>
              <w:pStyle w:val="a2"/>
              <w:spacing w:line="240" w:lineRule="auto"/>
              <w:ind w:firstLine="0" w:firstLineChars="0"/>
              <w:jc w:val="center"/>
              <w:rPr>
                <w:rFonts w:ascii="Times New Roman" w:hAnsi="Times New Roman" w:cs="Times New Roman"/>
                <w:b/>
                <w:sz w:val="21"/>
                <w:lang w:eastAsia="zh-CN"/>
              </w:rPr>
            </w:pPr>
            <w:r>
              <w:rPr>
                <w:rFonts w:hint="eastAsia"/>
                <w:sz w:val="21"/>
                <w:szCs w:val="21"/>
                <w:lang w:eastAsia="zh-CN"/>
              </w:rPr>
              <w:t>清水或无水酒精擦拭探头</w:t>
            </w:r>
          </w:p>
        </w:tc>
      </w:tr>
      <w:tr w:rsidTr="00065591">
        <w:tblPrEx>
          <w:tblW w:w="0" w:type="auto"/>
          <w:tblInd w:w="113" w:type="dxa"/>
          <w:tblLook w:val="04A0"/>
        </w:tblPrEx>
        <w:tc>
          <w:tcPr>
            <w:tcW w:w="2928" w:type="dxa"/>
            <w:tcBorders>
              <w:top w:val="single" w:sz="4" w:space="0" w:color="auto"/>
              <w:left w:val="single" w:sz="4" w:space="0" w:color="auto"/>
              <w:bottom w:val="single" w:sz="4" w:space="0" w:color="auto"/>
              <w:right w:val="single" w:sz="4" w:space="0" w:color="auto"/>
            </w:tcBorders>
            <w:vAlign w:val="center"/>
            <w:hideMark/>
          </w:tcPr>
          <w:p w:rsidR="00065591">
            <w:pPr>
              <w:pStyle w:val="a2"/>
              <w:spacing w:line="240" w:lineRule="auto"/>
              <w:ind w:firstLine="0" w:firstLineChars="0"/>
              <w:jc w:val="center"/>
              <w:rPr>
                <w:rFonts w:ascii="Times New Roman" w:hAnsi="Times New Roman" w:cs="Times New Roman"/>
                <w:b/>
                <w:sz w:val="21"/>
              </w:rPr>
            </w:pPr>
            <w:r>
              <w:rPr>
                <w:rFonts w:hint="eastAsia"/>
                <w:sz w:val="21"/>
                <w:szCs w:val="21"/>
              </w:rPr>
              <w:t>电池状态检测</w:t>
            </w:r>
          </w:p>
        </w:tc>
        <w:tc>
          <w:tcPr>
            <w:tcW w:w="2928" w:type="dxa"/>
            <w:tcBorders>
              <w:top w:val="single" w:sz="4" w:space="0" w:color="auto"/>
              <w:left w:val="single" w:sz="4" w:space="0" w:color="auto"/>
              <w:bottom w:val="single" w:sz="4" w:space="0" w:color="auto"/>
              <w:right w:val="single" w:sz="4" w:space="0" w:color="auto"/>
            </w:tcBorders>
            <w:vAlign w:val="center"/>
            <w:hideMark/>
          </w:tcPr>
          <w:p w:rsidR="00065591">
            <w:pPr>
              <w:pStyle w:val="a2"/>
              <w:spacing w:line="240" w:lineRule="auto"/>
              <w:ind w:firstLine="0" w:firstLineChars="0"/>
              <w:jc w:val="center"/>
              <w:rPr>
                <w:rFonts w:ascii="Times New Roman" w:hAnsi="Times New Roman" w:cs="Times New Roman"/>
                <w:b/>
                <w:sz w:val="21"/>
              </w:rPr>
            </w:pPr>
            <w:r>
              <w:rPr>
                <w:rFonts w:hint="eastAsia"/>
                <w:sz w:val="21"/>
                <w:szCs w:val="21"/>
              </w:rPr>
              <w:t>年度</w:t>
            </w:r>
          </w:p>
        </w:tc>
        <w:tc>
          <w:tcPr>
            <w:tcW w:w="2929" w:type="dxa"/>
            <w:tcBorders>
              <w:top w:val="single" w:sz="4" w:space="0" w:color="auto"/>
              <w:left w:val="single" w:sz="4" w:space="0" w:color="auto"/>
              <w:bottom w:val="single" w:sz="4" w:space="0" w:color="auto"/>
              <w:right w:val="single" w:sz="4" w:space="0" w:color="auto"/>
            </w:tcBorders>
            <w:vAlign w:val="center"/>
            <w:hideMark/>
          </w:tcPr>
          <w:p w:rsidR="00065591">
            <w:pPr>
              <w:pStyle w:val="a2"/>
              <w:spacing w:line="240" w:lineRule="auto"/>
              <w:ind w:firstLine="0" w:firstLineChars="0"/>
              <w:jc w:val="center"/>
              <w:rPr>
                <w:rFonts w:ascii="Times New Roman" w:hAnsi="Times New Roman" w:cs="Times New Roman"/>
                <w:b/>
                <w:sz w:val="21"/>
                <w:lang w:eastAsia="zh-CN"/>
              </w:rPr>
            </w:pPr>
            <w:r>
              <w:rPr>
                <w:rFonts w:hint="eastAsia"/>
                <w:sz w:val="21"/>
                <w:szCs w:val="21"/>
                <w:lang w:eastAsia="zh-CN"/>
              </w:rPr>
              <w:t>电压＜2.8V持续时间超过48小时，立即更换</w:t>
            </w:r>
          </w:p>
        </w:tc>
      </w:tr>
      <w:tr w:rsidTr="00065591">
        <w:tblPrEx>
          <w:tblW w:w="0" w:type="auto"/>
          <w:tblInd w:w="113" w:type="dxa"/>
          <w:tblLook w:val="04A0"/>
        </w:tblPrEx>
        <w:trPr>
          <w:trHeight w:val="419"/>
        </w:trPr>
        <w:tc>
          <w:tcPr>
            <w:tcW w:w="2928" w:type="dxa"/>
            <w:tcBorders>
              <w:top w:val="single" w:sz="4" w:space="0" w:color="auto"/>
              <w:left w:val="single" w:sz="4" w:space="0" w:color="auto"/>
              <w:bottom w:val="single" w:sz="4" w:space="0" w:color="auto"/>
              <w:right w:val="single" w:sz="4" w:space="0" w:color="auto"/>
            </w:tcBorders>
            <w:vAlign w:val="center"/>
            <w:hideMark/>
          </w:tcPr>
          <w:p w:rsidR="00065591">
            <w:pPr>
              <w:pStyle w:val="a2"/>
              <w:spacing w:line="240" w:lineRule="auto"/>
              <w:ind w:firstLine="0" w:firstLineChars="0"/>
              <w:jc w:val="center"/>
              <w:rPr>
                <w:rFonts w:ascii="Times New Roman" w:hAnsi="Times New Roman" w:cs="Times New Roman"/>
                <w:b/>
                <w:sz w:val="21"/>
              </w:rPr>
            </w:pPr>
            <w:r>
              <w:rPr>
                <w:rFonts w:hint="eastAsia"/>
                <w:sz w:val="21"/>
                <w:szCs w:val="21"/>
              </w:rPr>
              <w:t>外壳防腐检查</w:t>
            </w:r>
          </w:p>
        </w:tc>
        <w:tc>
          <w:tcPr>
            <w:tcW w:w="2928" w:type="dxa"/>
            <w:tcBorders>
              <w:top w:val="single" w:sz="4" w:space="0" w:color="auto"/>
              <w:left w:val="single" w:sz="4" w:space="0" w:color="auto"/>
              <w:bottom w:val="single" w:sz="4" w:space="0" w:color="auto"/>
              <w:right w:val="single" w:sz="4" w:space="0" w:color="auto"/>
            </w:tcBorders>
            <w:vAlign w:val="center"/>
            <w:hideMark/>
          </w:tcPr>
          <w:p w:rsidR="00065591">
            <w:pPr>
              <w:pStyle w:val="a2"/>
              <w:spacing w:line="240" w:lineRule="auto"/>
              <w:ind w:firstLine="0" w:firstLineChars="0"/>
              <w:jc w:val="center"/>
              <w:rPr>
                <w:rFonts w:ascii="Times New Roman" w:hAnsi="Times New Roman" w:cs="Times New Roman"/>
                <w:b/>
                <w:sz w:val="21"/>
              </w:rPr>
            </w:pPr>
            <w:r>
              <w:rPr>
                <w:rFonts w:hint="eastAsia"/>
                <w:sz w:val="21"/>
                <w:szCs w:val="21"/>
              </w:rPr>
              <w:t>年度</w:t>
            </w:r>
          </w:p>
        </w:tc>
        <w:tc>
          <w:tcPr>
            <w:tcW w:w="2929" w:type="dxa"/>
            <w:tcBorders>
              <w:top w:val="single" w:sz="4" w:space="0" w:color="auto"/>
              <w:left w:val="single" w:sz="4" w:space="0" w:color="auto"/>
              <w:bottom w:val="single" w:sz="4" w:space="0" w:color="auto"/>
              <w:right w:val="single" w:sz="4" w:space="0" w:color="auto"/>
            </w:tcBorders>
            <w:vAlign w:val="center"/>
            <w:hideMark/>
          </w:tcPr>
          <w:p w:rsidR="00065591">
            <w:pPr>
              <w:pStyle w:val="a2"/>
              <w:spacing w:line="240" w:lineRule="auto"/>
              <w:ind w:firstLine="0" w:firstLineChars="0"/>
              <w:jc w:val="center"/>
              <w:rPr>
                <w:rFonts w:ascii="Times New Roman" w:hAnsi="Times New Roman" w:cs="Times New Roman"/>
                <w:b/>
                <w:sz w:val="21"/>
                <w:lang w:eastAsia="zh-CN"/>
              </w:rPr>
            </w:pPr>
            <w:r>
              <w:rPr>
                <w:rFonts w:hint="eastAsia"/>
                <w:sz w:val="21"/>
                <w:szCs w:val="21"/>
                <w:lang w:eastAsia="zh-CN"/>
              </w:rPr>
              <w:t>检查外观是否有老化龟裂情况</w:t>
            </w:r>
          </w:p>
        </w:tc>
      </w:tr>
      <w:tr w:rsidTr="00065591">
        <w:tblPrEx>
          <w:tblW w:w="0" w:type="auto"/>
          <w:tblInd w:w="113" w:type="dxa"/>
          <w:tblLook w:val="04A0"/>
        </w:tblPrEx>
        <w:trPr>
          <w:trHeight w:val="412"/>
        </w:trPr>
        <w:tc>
          <w:tcPr>
            <w:tcW w:w="2928" w:type="dxa"/>
            <w:tcBorders>
              <w:top w:val="single" w:sz="4" w:space="0" w:color="auto"/>
              <w:left w:val="single" w:sz="4" w:space="0" w:color="auto"/>
              <w:bottom w:val="single" w:sz="4" w:space="0" w:color="auto"/>
              <w:right w:val="single" w:sz="4" w:space="0" w:color="auto"/>
            </w:tcBorders>
            <w:vAlign w:val="center"/>
            <w:hideMark/>
          </w:tcPr>
          <w:p w:rsidR="00065591">
            <w:pPr>
              <w:pStyle w:val="a2"/>
              <w:spacing w:line="240" w:lineRule="auto"/>
              <w:ind w:firstLine="0" w:firstLineChars="0"/>
              <w:jc w:val="center"/>
              <w:rPr>
                <w:rFonts w:ascii="Times New Roman" w:hAnsi="Times New Roman" w:cs="Times New Roman"/>
                <w:b/>
                <w:sz w:val="21"/>
              </w:rPr>
            </w:pPr>
            <w:r>
              <w:rPr>
                <w:rFonts w:hint="eastAsia"/>
                <w:sz w:val="21"/>
                <w:szCs w:val="21"/>
              </w:rPr>
              <w:t>通讯模块诊断</w:t>
            </w:r>
          </w:p>
        </w:tc>
        <w:tc>
          <w:tcPr>
            <w:tcW w:w="2928" w:type="dxa"/>
            <w:tcBorders>
              <w:top w:val="single" w:sz="4" w:space="0" w:color="auto"/>
              <w:left w:val="single" w:sz="4" w:space="0" w:color="auto"/>
              <w:bottom w:val="single" w:sz="4" w:space="0" w:color="auto"/>
              <w:right w:val="single" w:sz="4" w:space="0" w:color="auto"/>
            </w:tcBorders>
            <w:vAlign w:val="center"/>
            <w:hideMark/>
          </w:tcPr>
          <w:p w:rsidR="00065591">
            <w:pPr>
              <w:pStyle w:val="a2"/>
              <w:spacing w:line="240" w:lineRule="auto"/>
              <w:ind w:firstLine="0" w:firstLineChars="0"/>
              <w:jc w:val="center"/>
              <w:rPr>
                <w:rFonts w:ascii="Times New Roman" w:hAnsi="Times New Roman" w:cs="Times New Roman"/>
                <w:b/>
                <w:sz w:val="21"/>
              </w:rPr>
            </w:pPr>
            <w:r>
              <w:rPr>
                <w:rFonts w:hint="eastAsia"/>
                <w:sz w:val="21"/>
                <w:szCs w:val="21"/>
              </w:rPr>
              <w:t>月度</w:t>
            </w:r>
          </w:p>
        </w:tc>
        <w:tc>
          <w:tcPr>
            <w:tcW w:w="2929" w:type="dxa"/>
            <w:tcBorders>
              <w:top w:val="single" w:sz="4" w:space="0" w:color="auto"/>
              <w:left w:val="single" w:sz="4" w:space="0" w:color="auto"/>
              <w:bottom w:val="single" w:sz="4" w:space="0" w:color="auto"/>
              <w:right w:val="single" w:sz="4" w:space="0" w:color="auto"/>
            </w:tcBorders>
            <w:vAlign w:val="center"/>
            <w:hideMark/>
          </w:tcPr>
          <w:p w:rsidR="00065591">
            <w:pPr>
              <w:pStyle w:val="a2"/>
              <w:spacing w:line="240" w:lineRule="auto"/>
              <w:ind w:firstLine="0" w:firstLineChars="0"/>
              <w:jc w:val="center"/>
              <w:rPr>
                <w:rFonts w:ascii="Times New Roman" w:hAnsi="Times New Roman" w:cs="Times New Roman"/>
                <w:b/>
                <w:sz w:val="21"/>
              </w:rPr>
            </w:pPr>
            <w:r>
              <w:rPr>
                <w:rFonts w:hint="eastAsia"/>
                <w:sz w:val="21"/>
                <w:szCs w:val="21"/>
              </w:rPr>
              <w:t>平台数据丢包率＜1%</w:t>
            </w:r>
          </w:p>
        </w:tc>
      </w:tr>
    </w:tbl>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极端天气后必检项：传感器精度、供电稳定性、结构完整性。</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寿命参考：电池续航约1.5年（视采集频率及功耗情况），PPO防腐外壳寿命≥8年</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故障处理：发现监测数据异常时，应及时查找原因，并尽快进行现场维修。对于一些容易诊断的故障，维护人员应直接带备件到现场进行针对性维修；对不易诊断或维修的仪器故障，应使用备品备件以满足监测需求。监测设备维修后仍不能正常运行或无法满足测量精度要求的应报废处理；</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备品备件管理：应建立监测设备的备品备件库，确保在设备出现故障时能够迅速更换；</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巡检反馈与改进：及时将巡检和维护保养的结果反馈给设备使用者和相关人员，以便及时采取措施改进。根据巡检结果和设备运行情况，不断优化巡检计划和运维策略。</w:t>
      </w:r>
    </w:p>
    <w:p w:rsidR="00065591" w:rsidP="00065591">
      <w:pPr>
        <w:spacing w:line="560" w:lineRule="exact"/>
        <w:ind w:firstLine="560" w:firstLineChars="200"/>
        <w:rPr>
          <w:rFonts w:ascii="仿宋" w:eastAsia="仿宋" w:hAnsi="仿宋" w:cs="仿宋"/>
          <w:b/>
          <w:bCs/>
          <w:sz w:val="28"/>
          <w:szCs w:val="28"/>
        </w:rPr>
      </w:pPr>
      <w:r>
        <w:rPr>
          <w:rFonts w:ascii="仿宋" w:eastAsia="仿宋" w:hAnsi="仿宋" w:cs="仿宋" w:hint="eastAsia"/>
          <w:b/>
          <w:bCs/>
          <w:sz w:val="28"/>
          <w:szCs w:val="28"/>
        </w:rPr>
        <w:t>（3）</w:t>
      </w:r>
      <w:r>
        <w:rPr>
          <w:rFonts w:ascii="仿宋" w:eastAsia="仿宋" w:hAnsi="仿宋" w:cs="仿宋" w:hint="eastAsia"/>
          <w:b/>
          <w:bCs/>
          <w:sz w:val="28"/>
          <w:szCs w:val="28"/>
        </w:rPr>
        <w:t>定期巡检的实施</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制定巡检计划：根据设备分布、使用频率和环境条件等因素，制定详细的巡检计划；</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执行巡检任务：按照巡检计划执行巡检任务，确保每个监测点都得到充分的检查和维护；</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记录与分析：对巡检结果进行记录和分析，及时发现并处理潜在问题。根据巡检结果调整巡检计划和运维策略，提高运维效率和质量；</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持续改进与优化：定期回顾巡检制度和运维策略的执行情况，发现不足并进行改进和优化。关注物联网技术的最新发展动态，将新技术应用于积涝监测设备的运维和巡检中，提高设备的智能化水平和运维效率。</w:t>
      </w:r>
    </w:p>
    <w:p w:rsidR="00065591" w:rsidP="00065591">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投标方须提供质保承诺函。</w:t>
      </w:r>
    </w:p>
    <w:p w:rsidR="001349FF" w:rsidRPr="001349FF" w:rsidP="001349FF">
      <w:pPr>
        <w:spacing w:line="560" w:lineRule="exact"/>
        <w:ind w:firstLine="560" w:firstLineChars="200"/>
        <w:rPr>
          <w:rFonts w:ascii="仿宋" w:eastAsia="仿宋" w:hAnsi="仿宋" w:cs="仿宋"/>
          <w:b/>
          <w:bCs/>
          <w:sz w:val="28"/>
          <w:szCs w:val="28"/>
        </w:rPr>
      </w:pPr>
      <w:r w:rsidRPr="001349FF">
        <w:rPr>
          <w:rFonts w:ascii="仿宋" w:eastAsia="仿宋" w:hAnsi="仿宋" w:cs="仿宋" w:hint="eastAsia"/>
          <w:b/>
          <w:bCs/>
          <w:sz w:val="28"/>
          <w:szCs w:val="28"/>
        </w:rPr>
        <w:t>3</w:t>
      </w:r>
      <w:r w:rsidRPr="001349FF">
        <w:rPr>
          <w:rFonts w:ascii="仿宋" w:eastAsia="仿宋" w:hAnsi="仿宋" w:cs="仿宋" w:hint="eastAsia"/>
          <w:b/>
          <w:bCs/>
          <w:sz w:val="28"/>
          <w:szCs w:val="28"/>
        </w:rPr>
        <w:t>合同履约期限</w:t>
      </w:r>
    </w:p>
    <w:p w:rsidR="001349FF" w:rsidP="00065591">
      <w:pPr>
        <w:spacing w:line="560" w:lineRule="exact"/>
        <w:ind w:firstLine="560" w:firstLineChars="200"/>
        <w:rPr>
          <w:rFonts w:ascii="仿宋" w:eastAsia="仿宋" w:hAnsi="仿宋" w:cs="仿宋" w:hint="eastAsia"/>
          <w:sz w:val="28"/>
          <w:szCs w:val="28"/>
        </w:rPr>
      </w:pPr>
      <w:r w:rsidRPr="001349FF">
        <w:rPr>
          <w:rFonts w:ascii="仿宋" w:eastAsia="仿宋" w:hAnsi="仿宋" w:cs="仿宋" w:hint="eastAsia"/>
          <w:sz w:val="28"/>
          <w:szCs w:val="28"/>
        </w:rPr>
        <w:t>合同签订后120天内交货，120天内完成安装调试并具备验收条</w:t>
      </w:r>
      <w:r w:rsidRPr="001349FF">
        <w:rPr>
          <w:rFonts w:ascii="仿宋" w:eastAsia="仿宋" w:hAnsi="仿宋" w:cs="仿宋" w:hint="eastAsia"/>
          <w:sz w:val="28"/>
          <w:szCs w:val="28"/>
        </w:rPr>
        <w:t>件</w:t>
      </w:r>
      <w:r>
        <w:rPr>
          <w:rFonts w:ascii="仿宋" w:eastAsia="仿宋" w:hAnsi="仿宋" w:cs="仿宋" w:hint="eastAsia"/>
          <w:sz w:val="28"/>
          <w:szCs w:val="28"/>
        </w:rPr>
        <w:t>。</w:t>
      </w:r>
    </w:p>
    <w:p w:rsidR="005758A8">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rsidR="005758A8">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97"/>
        <w:gridCol w:w="2509"/>
        <w:gridCol w:w="980"/>
        <w:gridCol w:w="1362"/>
        <w:gridCol w:w="1553"/>
        <w:gridCol w:w="980"/>
        <w:gridCol w:w="58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71" w:name="货物一览表_index"/>
            <w:r>
              <w:rPr>
                <w:rFonts w:asciiTheme="minorEastAsia" w:eastAsiaTheme="minorEastAsia" w:hAnsiTheme="minorEastAsia" w:cstheme="minorEastAsia" w:hint="eastAsia"/>
                <w:kern w:val="0"/>
                <w:szCs w:val="21"/>
              </w:rPr>
              <w:t>序号</w:t>
            </w:r>
            <w:bookmarkEnd w:id="71"/>
          </w:p>
        </w:tc>
        <w:tc>
          <w:tcPr>
            <w:tcW w:w="1135" w:type="dxa"/>
          </w:tcPr>
          <w:p>
            <w:pPr>
              <w:autoSpaceDE w:val="0"/>
              <w:jc w:val="center"/>
              <w:rPr>
                <w:rFonts w:asciiTheme="minorEastAsia" w:hAnsiTheme="minorEastAsia" w:cstheme="minorEastAsia"/>
                <w:kern w:val="0"/>
                <w:szCs w:val="21"/>
              </w:rPr>
            </w:pPr>
            <w:bookmarkStart w:id="72" w:name="货物一览表_goodsName"/>
            <w:r>
              <w:rPr>
                <w:rFonts w:asciiTheme="minorEastAsia" w:eastAsiaTheme="minorEastAsia" w:hAnsiTheme="minorEastAsia" w:cstheme="minorEastAsia" w:hint="eastAsia"/>
                <w:kern w:val="0"/>
                <w:szCs w:val="21"/>
              </w:rPr>
              <w:t>设备名称</w:t>
            </w:r>
            <w:bookmarkEnd w:id="72"/>
          </w:p>
        </w:tc>
        <w:tc>
          <w:tcPr>
            <w:tcW w:w="965" w:type="dxa"/>
          </w:tcPr>
          <w:p>
            <w:pPr>
              <w:autoSpaceDE w:val="0"/>
              <w:jc w:val="center"/>
              <w:rPr>
                <w:rFonts w:asciiTheme="minorEastAsia" w:hAnsiTheme="minorEastAsia" w:cstheme="minorEastAsia"/>
                <w:kern w:val="0"/>
                <w:szCs w:val="21"/>
              </w:rPr>
            </w:pPr>
            <w:bookmarkStart w:id="73" w:name="货物一览表_nums"/>
            <w:r>
              <w:rPr>
                <w:rFonts w:asciiTheme="minorEastAsia" w:eastAsiaTheme="minorEastAsia" w:hAnsiTheme="minorEastAsia" w:cstheme="minorEastAsia" w:hint="eastAsia"/>
                <w:kern w:val="0"/>
                <w:szCs w:val="21"/>
              </w:rPr>
              <w:t>采购数量</w:t>
            </w:r>
            <w:bookmarkEnd w:id="73"/>
          </w:p>
        </w:tc>
        <w:tc>
          <w:tcPr>
            <w:tcW w:w="1062" w:type="dxa"/>
          </w:tcPr>
          <w:p>
            <w:pPr>
              <w:autoSpaceDE w:val="0"/>
              <w:jc w:val="center"/>
              <w:rPr>
                <w:rFonts w:asciiTheme="minorEastAsia" w:hAnsiTheme="minorEastAsia" w:cstheme="minorEastAsia"/>
                <w:kern w:val="0"/>
                <w:szCs w:val="21"/>
              </w:rPr>
            </w:pPr>
            <w:bookmarkStart w:id="74" w:name="货物一览表_units"/>
            <w:r>
              <w:rPr>
                <w:rFonts w:asciiTheme="minorEastAsia" w:eastAsiaTheme="minorEastAsia" w:hAnsiTheme="minorEastAsia" w:cstheme="minorEastAsia" w:hint="eastAsia"/>
                <w:kern w:val="0"/>
                <w:szCs w:val="21"/>
              </w:rPr>
              <w:t>计量单位</w:t>
            </w:r>
            <w:bookmarkEnd w:id="74"/>
          </w:p>
        </w:tc>
        <w:tc>
          <w:tcPr>
            <w:tcW w:w="1220" w:type="dxa"/>
          </w:tcPr>
          <w:p>
            <w:pPr>
              <w:autoSpaceDE w:val="0"/>
              <w:jc w:val="center"/>
              <w:rPr>
                <w:rFonts w:asciiTheme="minorEastAsia" w:hAnsiTheme="minorEastAsia" w:cstheme="minorEastAsia"/>
                <w:kern w:val="0"/>
                <w:szCs w:val="21"/>
              </w:rPr>
            </w:pPr>
            <w:bookmarkStart w:id="75" w:name="货物一览表_procurementBudget"/>
            <w:r>
              <w:rPr>
                <w:rFonts w:asciiTheme="minorEastAsia" w:eastAsiaTheme="minorEastAsia" w:hAnsiTheme="minorEastAsia" w:cstheme="minorEastAsia" w:hint="eastAsia"/>
                <w:kern w:val="0"/>
                <w:szCs w:val="21"/>
              </w:rPr>
              <w:t>采购预算（元）</w:t>
            </w:r>
            <w:bookmarkEnd w:id="75"/>
          </w:p>
        </w:tc>
        <w:tc>
          <w:tcPr>
            <w:tcW w:w="1329" w:type="dxa"/>
          </w:tcPr>
          <w:p>
            <w:pPr>
              <w:autoSpaceDE w:val="0"/>
              <w:jc w:val="center"/>
              <w:rPr>
                <w:rFonts w:asciiTheme="minorEastAsia" w:hAnsiTheme="minorEastAsia" w:cstheme="minorEastAsia" w:hint="eastAsia"/>
                <w:kern w:val="0"/>
                <w:szCs w:val="21"/>
              </w:rPr>
            </w:pPr>
            <w:bookmarkStart w:id="7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7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7" w:name="货物一览表_remark"/>
            <w:r>
              <w:rPr>
                <w:rFonts w:asciiTheme="minorEastAsia" w:eastAsiaTheme="minorEastAsia" w:hAnsiTheme="minorEastAsia" w:cstheme="minorEastAsia" w:hint="eastAsia"/>
                <w:kern w:val="0"/>
                <w:szCs w:val="21"/>
              </w:rPr>
              <w:t>备注</w:t>
            </w:r>
            <w:bookmarkEnd w:id="7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城市暴雨积涝自动监测设备</w:t>
            </w:r>
          </w:p>
        </w:tc>
        <w:tc>
          <w:tcPr/>
          <w:p>
            <w:pPr>
              <w:autoSpaceDE w:val="0"/>
              <w:jc w:val="center"/>
              <w:rPr>
                <w:rFonts w:asciiTheme="minorEastAsia" w:hAnsiTheme="minorEastAsia" w:cstheme="minorEastAsia"/>
                <w:kern w:val="0"/>
                <w:szCs w:val="21"/>
              </w:rPr>
            </w:pPr>
            <w:r>
              <w:t>250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1,233,800.00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1,233,800.00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49"/>
        <w:gridCol w:w="1527"/>
        <w:gridCol w:w="1886"/>
        <w:gridCol w:w="449"/>
        <w:gridCol w:w="1024"/>
        <w:gridCol w:w="780"/>
        <w:gridCol w:w="1024"/>
        <w:gridCol w:w="138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郑州市局(001046023)</w:t>
            </w:r>
          </w:p>
        </w:tc>
        <w:tc>
          <w:tcPr/>
          <w:p>
            <w:r>
              <w:t>城市暴雨积涝自动监测设备</w:t>
            </w:r>
          </w:p>
        </w:tc>
        <w:tc>
          <w:tcPr/>
          <w:p>
            <w:r>
              <w:t>100</w:t>
            </w:r>
          </w:p>
        </w:tc>
        <w:tc>
          <w:tcPr/>
          <w:p>
            <w:r>
              <w:t>493400.00</w:t>
            </w:r>
          </w:p>
        </w:tc>
        <w:tc>
          <w:tcPr/>
          <w:p>
            <w:r>
              <w:t xml:space="preserve">493400.00  </w:t>
            </w:r>
          </w:p>
        </w:tc>
        <w:tc>
          <w:tcPr/>
          <w:p>
            <w:r>
              <w:t>郑州市气象局</w:t>
            </w:r>
          </w:p>
        </w:tc>
        <w:tc>
          <w:tcPr/>
          <w:p>
            <w:r>
              <w:t>冯冲13592480521</w:t>
            </w:r>
          </w:p>
        </w:tc>
      </w:tr>
      <w:tr>
        <w:tblPrEx>
          <w:tblW w:w="5000" w:type="pct"/>
          <w:tblCellMar>
            <w:left w:w="108" w:type="dxa"/>
            <w:right w:w="108" w:type="dxa"/>
          </w:tblCellMar>
        </w:tblPrEx>
        <w:tc>
          <w:tcPr/>
          <w:p>
            <w:r>
              <w:t>2</w:t>
            </w:r>
          </w:p>
        </w:tc>
        <w:tc>
          <w:tcPr/>
          <w:p>
            <w:r>
              <w:t>开封市局(001046024)</w:t>
            </w:r>
          </w:p>
        </w:tc>
        <w:tc>
          <w:tcPr/>
          <w:p>
            <w:r>
              <w:t>城市暴雨积涝自动监测设备</w:t>
            </w:r>
          </w:p>
        </w:tc>
        <w:tc>
          <w:tcPr/>
          <w:p>
            <w:r>
              <w:t>50</w:t>
            </w:r>
          </w:p>
        </w:tc>
        <w:tc>
          <w:tcPr/>
          <w:p>
            <w:r>
              <w:t>246800.00</w:t>
            </w:r>
          </w:p>
        </w:tc>
        <w:tc>
          <w:tcPr/>
          <w:p>
            <w:r>
              <w:t xml:space="preserve">246800.00 </w:t>
            </w:r>
          </w:p>
        </w:tc>
        <w:tc>
          <w:tcPr/>
          <w:p>
            <w:r>
              <w:t>开封市气象局</w:t>
            </w:r>
          </w:p>
        </w:tc>
        <w:tc>
          <w:tcPr/>
          <w:p>
            <w:r>
              <w:t>李元龙13937813641</w:t>
            </w:r>
          </w:p>
        </w:tc>
      </w:tr>
      <w:tr>
        <w:tblPrEx>
          <w:tblW w:w="5000" w:type="pct"/>
          <w:tblCellMar>
            <w:left w:w="108" w:type="dxa"/>
            <w:right w:w="108" w:type="dxa"/>
          </w:tblCellMar>
        </w:tblPrEx>
        <w:tc>
          <w:tcPr/>
          <w:p>
            <w:r>
              <w:t>3</w:t>
            </w:r>
          </w:p>
        </w:tc>
        <w:tc>
          <w:tcPr/>
          <w:p>
            <w:r>
              <w:t>洛阳市局(001046025)</w:t>
            </w:r>
          </w:p>
        </w:tc>
        <w:tc>
          <w:tcPr/>
          <w:p>
            <w:r>
              <w:t>城市暴雨积涝自动监测设备</w:t>
            </w:r>
          </w:p>
        </w:tc>
        <w:tc>
          <w:tcPr/>
          <w:p>
            <w:r>
              <w:t>50</w:t>
            </w:r>
          </w:p>
        </w:tc>
        <w:tc>
          <w:tcPr/>
          <w:p>
            <w:r>
              <w:t>246800.00</w:t>
            </w:r>
          </w:p>
        </w:tc>
        <w:tc>
          <w:tcPr/>
          <w:p>
            <w:r>
              <w:t xml:space="preserve">246800.00  </w:t>
            </w:r>
          </w:p>
        </w:tc>
        <w:tc>
          <w:tcPr/>
          <w:p>
            <w:r>
              <w:t>信阳市气象局</w:t>
            </w:r>
          </w:p>
        </w:tc>
        <w:tc>
          <w:tcPr/>
          <w:p>
            <w:r>
              <w:t>常红丽15978693933</w:t>
            </w:r>
          </w:p>
        </w:tc>
      </w:tr>
      <w:tr>
        <w:tblPrEx>
          <w:tblW w:w="5000" w:type="pct"/>
          <w:tblCellMar>
            <w:left w:w="108" w:type="dxa"/>
            <w:right w:w="108" w:type="dxa"/>
          </w:tblCellMar>
        </w:tblPrEx>
        <w:tc>
          <w:tcPr/>
          <w:p>
            <w:r>
              <w:t>4</w:t>
            </w:r>
          </w:p>
        </w:tc>
        <w:tc>
          <w:tcPr/>
          <w:p>
            <w:r>
              <w:t>信阳市局(001046037)</w:t>
            </w:r>
          </w:p>
        </w:tc>
        <w:tc>
          <w:tcPr/>
          <w:p>
            <w:r>
              <w:t>城市暴雨积涝自动监测设备</w:t>
            </w:r>
          </w:p>
        </w:tc>
        <w:tc>
          <w:tcPr/>
          <w:p>
            <w:r>
              <w:t>50</w:t>
            </w:r>
          </w:p>
        </w:tc>
        <w:tc>
          <w:tcPr/>
          <w:p>
            <w:r>
              <w:t>246800.00</w:t>
            </w:r>
          </w:p>
        </w:tc>
        <w:tc>
          <w:tcPr/>
          <w:p>
            <w:r>
              <w:t xml:space="preserve">246800.00 </w:t>
            </w:r>
          </w:p>
        </w:tc>
        <w:tc>
          <w:tcPr/>
          <w:p>
            <w:r>
              <w:t>信阳市气象局</w:t>
            </w:r>
          </w:p>
        </w:tc>
        <w:tc>
          <w:tcPr/>
          <w:p>
            <w:r>
              <w:t>邱列君15672726896</w:t>
            </w:r>
          </w:p>
        </w:tc>
      </w:tr>
    </w:tbl>
    <w:p w:rsidR="00A77B3E"/>
    <w:p>
      <w:pPr>
        <w:spacing w:line="360" w:lineRule="auto"/>
        <w:rPr>
          <w:rFonts w:ascii="宋体" w:hAnsi="宋体"/>
          <w:szCs w:val="21"/>
        </w:rPr>
      </w:pPr>
      <w:bookmarkEnd w:id="7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973261">
      <w:pPr>
        <w:tabs>
          <w:tab w:val="left" w:pos="1573"/>
        </w:tabs>
        <w:adjustRightInd w:val="0"/>
        <w:snapToGrid w:val="0"/>
        <w:spacing w:line="360" w:lineRule="auto"/>
        <w:jc w:val="center"/>
        <w:outlineLvl w:val="1"/>
        <w:rPr>
          <w:b/>
          <w:bCs/>
          <w:sz w:val="30"/>
          <w:szCs w:val="30"/>
        </w:rPr>
      </w:pPr>
      <w:bookmarkStart w:id="7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973261">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C21FDE">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973261">
            <w:pPr>
              <w:rPr>
                <w:sz w:val="18"/>
                <w:szCs w:val="18"/>
              </w:rPr>
            </w:pPr>
            <w:r>
              <w:rPr>
                <w:rFonts w:hint="eastAsia"/>
                <w:sz w:val="18"/>
                <w:szCs w:val="18"/>
              </w:rPr>
              <w:t>序号</w:t>
            </w:r>
          </w:p>
        </w:tc>
        <w:tc>
          <w:tcPr>
            <w:tcW w:w="898" w:type="dxa"/>
            <w:vAlign w:val="center"/>
          </w:tcPr>
          <w:p w:rsidR="00973261">
            <w:pPr>
              <w:jc w:val="center"/>
              <w:rPr>
                <w:sz w:val="18"/>
                <w:szCs w:val="18"/>
              </w:rPr>
            </w:pPr>
            <w:r>
              <w:rPr>
                <w:rFonts w:hint="eastAsia"/>
                <w:sz w:val="18"/>
                <w:szCs w:val="18"/>
              </w:rPr>
              <w:t>对应</w:t>
            </w:r>
          </w:p>
          <w:p w:rsidR="00973261">
            <w:pPr>
              <w:jc w:val="center"/>
              <w:rPr>
                <w:sz w:val="18"/>
                <w:szCs w:val="18"/>
              </w:rPr>
            </w:pPr>
            <w:r>
              <w:rPr>
                <w:rFonts w:hint="eastAsia"/>
                <w:sz w:val="18"/>
                <w:szCs w:val="18"/>
              </w:rPr>
              <w:t>条款号</w:t>
            </w:r>
          </w:p>
        </w:tc>
        <w:tc>
          <w:tcPr>
            <w:tcW w:w="7347" w:type="dxa"/>
            <w:vAlign w:val="center"/>
          </w:tcPr>
          <w:p w:rsidR="00973261">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C21FDE">
        <w:tblPrEx>
          <w:tblW w:w="8789" w:type="dxa"/>
          <w:tblLayout w:type="fixed"/>
          <w:tblLook w:val="04A0"/>
        </w:tblPrEx>
        <w:trPr>
          <w:cantSplit/>
        </w:trPr>
        <w:tc>
          <w:tcPr>
            <w:tcW w:w="8789" w:type="dxa"/>
            <w:gridSpan w:val="3"/>
            <w:vAlign w:val="center"/>
          </w:tcPr>
          <w:p w:rsidR="00973261">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C21FDE">
        <w:tblPrEx>
          <w:tblW w:w="8789" w:type="dxa"/>
          <w:tblLayout w:type="fixed"/>
          <w:tblLook w:val="04A0"/>
        </w:tblPrEx>
        <w:trPr>
          <w:cantSplit/>
        </w:trPr>
        <w:tc>
          <w:tcPr>
            <w:tcW w:w="544" w:type="dxa"/>
            <w:vAlign w:val="center"/>
          </w:tcPr>
          <w:p w:rsidR="00973261">
            <w:pPr>
              <w:numPr>
                <w:ilvl w:val="0"/>
                <w:numId w:val="13"/>
              </w:numPr>
              <w:rPr>
                <w:rFonts w:ascii="宋体" w:hAnsi="宋体"/>
                <w:sz w:val="18"/>
                <w:szCs w:val="18"/>
              </w:rPr>
            </w:pPr>
          </w:p>
        </w:tc>
        <w:tc>
          <w:tcPr>
            <w:tcW w:w="898" w:type="dxa"/>
            <w:vAlign w:val="center"/>
          </w:tcPr>
          <w:p w:rsidR="00973261">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973261">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C21FDE">
        <w:tblPrEx>
          <w:tblW w:w="8789" w:type="dxa"/>
          <w:tblLayout w:type="fixed"/>
          <w:tblLook w:val="04A0"/>
        </w:tblPrEx>
        <w:trPr>
          <w:cantSplit/>
        </w:trPr>
        <w:tc>
          <w:tcPr>
            <w:tcW w:w="8789" w:type="dxa"/>
            <w:gridSpan w:val="3"/>
            <w:vAlign w:val="center"/>
          </w:tcPr>
          <w:p w:rsidR="00973261">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C21FDE">
        <w:tblPrEx>
          <w:tblW w:w="8789" w:type="dxa"/>
          <w:tblLayout w:type="fixed"/>
          <w:tblLook w:val="04A0"/>
        </w:tblPrEx>
        <w:trPr>
          <w:cantSplit/>
        </w:trPr>
        <w:tc>
          <w:tcPr>
            <w:tcW w:w="544" w:type="dxa"/>
            <w:vAlign w:val="center"/>
          </w:tcPr>
          <w:p w:rsidR="00973261">
            <w:pPr>
              <w:numPr>
                <w:ilvl w:val="0"/>
                <w:numId w:val="13"/>
              </w:numPr>
              <w:rPr>
                <w:rFonts w:ascii="宋体" w:hAnsi="宋体"/>
                <w:sz w:val="18"/>
                <w:szCs w:val="18"/>
              </w:rPr>
            </w:pPr>
          </w:p>
        </w:tc>
        <w:tc>
          <w:tcPr>
            <w:tcW w:w="898" w:type="dxa"/>
            <w:vAlign w:val="center"/>
          </w:tcPr>
          <w:p w:rsidR="00973261">
            <w:pPr>
              <w:jc w:val="center"/>
              <w:rPr>
                <w:rFonts w:ascii="宋体" w:hAnsi="宋体"/>
                <w:sz w:val="18"/>
                <w:szCs w:val="18"/>
              </w:rPr>
            </w:pPr>
            <w:r>
              <w:rPr>
                <w:rFonts w:ascii="宋体" w:hAnsi="宋体"/>
                <w:sz w:val="18"/>
                <w:szCs w:val="18"/>
              </w:rPr>
              <w:t>5.2</w:t>
            </w:r>
          </w:p>
        </w:tc>
        <w:tc>
          <w:tcPr>
            <w:tcW w:w="7347" w:type="dxa"/>
            <w:vAlign w:val="center"/>
          </w:tcPr>
          <w:p w:rsidR="00973261">
            <w:pPr>
              <w:tabs>
                <w:tab w:val="left" w:pos="709"/>
              </w:tabs>
              <w:spacing w:line="360" w:lineRule="auto"/>
              <w:jc w:val="left"/>
              <w:rPr>
                <w:rFonts w:ascii="宋体" w:hAnsi="宋体"/>
                <w:sz w:val="18"/>
                <w:szCs w:val="18"/>
              </w:rPr>
            </w:pPr>
            <w:r>
              <w:rPr>
                <w:rFonts w:ascii="仿宋" w:eastAsia="仿宋" w:hAnsi="仿宋" w:cs="仿宋" w:hint="eastAsia"/>
                <w:sz w:val="28"/>
                <w:szCs w:val="28"/>
                <w:highlight w:val="yellow"/>
              </w:rPr>
              <w:t>*</w:t>
            </w:r>
            <w:r w:rsidRPr="00811834">
              <w:rPr>
                <w:rFonts w:ascii="仿宋" w:eastAsia="仿宋" w:hAnsi="仿宋" w:cs="仿宋" w:hint="eastAsia"/>
                <w:sz w:val="28"/>
                <w:szCs w:val="28"/>
                <w:highlight w:val="yellow"/>
              </w:rPr>
              <w:t>本项目硬件设备包含项目合同验收后5年运维费用</w:t>
            </w:r>
            <w:r>
              <w:rPr>
                <w:rFonts w:ascii="仿宋" w:eastAsia="仿宋" w:hAnsi="仿宋" w:cs="仿宋" w:hint="eastAsia"/>
                <w:sz w:val="28"/>
                <w:szCs w:val="28"/>
              </w:rPr>
              <w:t>。</w:t>
            </w:r>
          </w:p>
        </w:tc>
      </w:tr>
    </w:tbl>
    <w:p w:rsidR="00973261">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19"/>
          <w:footerReference w:type="default" r:id="rId20"/>
          <w:pgSz w:w="11906" w:h="16838"/>
          <w:pgMar w:top="1440" w:right="1800" w:bottom="1440" w:left="1800" w:header="851" w:footer="992" w:gutter="0"/>
          <w:cols w:space="708"/>
          <w:docGrid w:type="lines" w:linePitch="312"/>
        </w:sectPr>
      </w:pPr>
      <w:bookmarkEnd w:id="7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4C17BF" w:rsidP="00371366">
      <w:pPr>
        <w:numPr>
          <w:ilvl w:val="0"/>
          <w:numId w:val="4"/>
        </w:numPr>
        <w:spacing w:line="360" w:lineRule="auto"/>
        <w:ind w:firstLine="3066" w:firstLineChars="1460"/>
        <w:jc w:val="left"/>
        <w:rPr>
          <w:b/>
          <w:bCs/>
          <w:szCs w:val="21"/>
        </w:rPr>
      </w:pPr>
      <w:bookmarkStart w:id="80" w:name="采购公告合同部分_ZBGGHT"/>
      <w:r>
        <w:rPr>
          <w:rFonts w:hint="eastAsia"/>
          <w:b/>
          <w:bCs/>
          <w:szCs w:val="21"/>
        </w:rPr>
        <w:t xml:space="preserve"> </w:t>
      </w:r>
      <w:r>
        <w:rPr>
          <w:rFonts w:hint="eastAsia"/>
          <w:b/>
          <w:bCs/>
          <w:szCs w:val="21"/>
        </w:rPr>
        <w:t>采购合同</w:t>
      </w:r>
    </w:p>
    <w:p w:rsidR="004C17BF">
      <w:pPr>
        <w:spacing w:line="360" w:lineRule="auto"/>
        <w:ind w:left="1680" w:firstLine="420"/>
        <w:jc w:val="left"/>
        <w:rPr>
          <w:b/>
          <w:bCs/>
          <w:szCs w:val="21"/>
        </w:rPr>
      </w:pPr>
      <w:r>
        <w:rPr>
          <w:rFonts w:hint="eastAsia"/>
          <w:b/>
          <w:bCs/>
          <w:szCs w:val="21"/>
        </w:rPr>
        <w:t>必须明确合同金额支付条件及支付比例</w:t>
      </w:r>
    </w:p>
    <w:p w:rsidR="004C17BF">
      <w:pPr>
        <w:pStyle w:val="BodyText"/>
        <w:spacing w:after="0"/>
        <w:jc w:val="center"/>
        <w:rPr>
          <w:rFonts w:ascii="宋体" w:hAnsi="宋体" w:cs="宋体"/>
          <w:b/>
          <w:bCs/>
          <w:spacing w:val="-20"/>
          <w:kern w:val="44"/>
          <w:sz w:val="48"/>
          <w:szCs w:val="48"/>
        </w:rPr>
      </w:pPr>
      <w:r>
        <w:rPr>
          <w:b/>
          <w:bCs/>
          <w:szCs w:val="21"/>
        </w:rPr>
        <w:br w:type="page"/>
      </w:r>
      <w:bookmarkStart w:id="81" w:name="_Toc3995"/>
    </w:p>
    <w:p w:rsidR="004C17BF">
      <w:pPr>
        <w:pStyle w:val="BodyText"/>
        <w:spacing w:after="0"/>
        <w:jc w:val="center"/>
        <w:rPr>
          <w:rFonts w:ascii="宋体" w:hAnsi="宋体" w:cs="宋体"/>
          <w:b/>
          <w:bCs/>
          <w:spacing w:val="-20"/>
          <w:kern w:val="44"/>
          <w:sz w:val="48"/>
          <w:szCs w:val="48"/>
        </w:rPr>
      </w:pPr>
    </w:p>
    <w:p w:rsidR="004C17BF">
      <w:pPr>
        <w:pStyle w:val="BodyText"/>
        <w:spacing w:after="0"/>
        <w:jc w:val="center"/>
        <w:rPr>
          <w:rFonts w:ascii="宋体" w:hAnsi="宋体" w:cs="宋体"/>
          <w:b/>
          <w:bCs/>
          <w:spacing w:val="-20"/>
          <w:kern w:val="44"/>
          <w:sz w:val="48"/>
          <w:szCs w:val="48"/>
        </w:rPr>
      </w:pPr>
    </w:p>
    <w:p w:rsidR="004C17BF">
      <w:pPr>
        <w:pStyle w:val="BodyText"/>
        <w:spacing w:after="0"/>
        <w:jc w:val="center"/>
        <w:rPr>
          <w:rFonts w:ascii="宋体" w:hAnsi="宋体" w:cs="宋体"/>
          <w:b/>
          <w:bCs/>
          <w:spacing w:val="-20"/>
          <w:kern w:val="44"/>
          <w:sz w:val="48"/>
          <w:szCs w:val="48"/>
        </w:rPr>
      </w:pPr>
    </w:p>
    <w:p w:rsidR="004C17BF">
      <w:pPr>
        <w:pStyle w:val="BodyText"/>
        <w:spacing w:after="0"/>
        <w:jc w:val="center"/>
        <w:rPr>
          <w:rFonts w:ascii="宋体" w:hAnsi="宋体" w:cs="宋体"/>
          <w:b/>
          <w:bCs/>
          <w:spacing w:val="-20"/>
          <w:kern w:val="44"/>
          <w:sz w:val="48"/>
          <w:szCs w:val="48"/>
        </w:rPr>
      </w:pPr>
    </w:p>
    <w:p w:rsidR="004C17BF">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4C17BF">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4C17BF">
      <w:pPr>
        <w:rPr>
          <w:rFonts w:ascii="宋体" w:hAnsi="宋体" w:cs="宋体"/>
          <w:b/>
          <w:bCs/>
          <w:spacing w:val="-20"/>
          <w:kern w:val="44"/>
          <w:sz w:val="40"/>
          <w:szCs w:val="40"/>
        </w:rPr>
      </w:pPr>
    </w:p>
    <w:p w:rsidR="004C17BF">
      <w:pPr>
        <w:rPr>
          <w:rFonts w:ascii="宋体" w:hAnsi="宋体" w:cs="宋体"/>
          <w:b/>
          <w:bCs/>
          <w:spacing w:val="-20"/>
          <w:kern w:val="44"/>
          <w:sz w:val="40"/>
          <w:szCs w:val="40"/>
        </w:rPr>
      </w:pPr>
    </w:p>
    <w:p w:rsidR="004C17BF">
      <w:pPr>
        <w:rPr>
          <w:rFonts w:ascii="宋体" w:hAnsi="宋体" w:cs="宋体"/>
          <w:b/>
          <w:bCs/>
          <w:spacing w:val="-20"/>
          <w:kern w:val="44"/>
          <w:sz w:val="40"/>
          <w:szCs w:val="40"/>
        </w:rPr>
      </w:pPr>
    </w:p>
    <w:p w:rsidR="004C17BF">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4C17BF">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4C17BF">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4C17BF">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4C17BF">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4C17BF"/>
    <w:p w:rsidR="004C17BF">
      <w:pPr>
        <w:rPr>
          <w:rFonts w:eastAsia="黑体"/>
          <w:sz w:val="44"/>
          <w:szCs w:val="44"/>
        </w:rPr>
      </w:pPr>
      <w:r>
        <w:rPr>
          <w:rFonts w:eastAsia="黑体"/>
          <w:sz w:val="44"/>
          <w:szCs w:val="44"/>
        </w:rPr>
        <w:br w:type="page"/>
      </w:r>
    </w:p>
    <w:p w:rsidR="004C17BF">
      <w:pPr>
        <w:rPr>
          <w:rFonts w:eastAsia="黑体"/>
          <w:sz w:val="44"/>
          <w:szCs w:val="44"/>
        </w:rPr>
      </w:pPr>
    </w:p>
    <w:p w:rsidR="004C17BF">
      <w:pPr>
        <w:rPr>
          <w:rFonts w:eastAsia="黑体"/>
          <w:sz w:val="44"/>
          <w:szCs w:val="44"/>
        </w:rPr>
      </w:pPr>
    </w:p>
    <w:p w:rsidR="004C17BF">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4C17BF">
      <w:pPr>
        <w:ind w:firstLine="640" w:firstLineChars="200"/>
        <w:rPr>
          <w:rFonts w:ascii="仿宋_GB2312" w:eastAsia="仿宋_GB2312" w:hAnsi="仿宋_GB2312" w:cs="仿宋_GB2312"/>
          <w:sz w:val="32"/>
          <w:szCs w:val="32"/>
        </w:rPr>
      </w:pPr>
    </w:p>
    <w:p w:rsidR="004C17BF">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4C17BF">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4C17BF">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4C17BF">
      <w:pPr>
        <w:rPr>
          <w:rFonts w:eastAsia="黑体"/>
          <w:sz w:val="44"/>
          <w:szCs w:val="44"/>
        </w:rPr>
        <w:sectPr>
          <w:pgSz w:w="11906" w:h="16838"/>
          <w:pgMar w:top="1440" w:right="1800" w:bottom="1440" w:left="1800" w:header="851" w:footer="992" w:gutter="0"/>
          <w:cols w:space="425"/>
          <w:docGrid w:type="lines" w:linePitch="312"/>
        </w:sectPr>
      </w:pPr>
    </w:p>
    <w:p w:rsidR="004C17BF">
      <w:pPr>
        <w:pStyle w:val="Heading2"/>
        <w:numPr>
          <w:ilvl w:val="0"/>
          <w:numId w:val="0"/>
        </w:numPr>
        <w:adjustRightInd w:val="0"/>
        <w:snapToGrid w:val="0"/>
        <w:spacing w:line="400" w:lineRule="exact"/>
        <w:jc w:val="center"/>
        <w:rPr>
          <w:rFonts w:ascii="黑体" w:hAnsi="华文中宋"/>
          <w:b w:val="0"/>
          <w:bCs w:val="0"/>
          <w:sz w:val="28"/>
          <w:szCs w:val="28"/>
        </w:rPr>
      </w:pPr>
      <w:bookmarkStart w:id="82" w:name="_Toc22209"/>
      <w:bookmarkEnd w:id="81"/>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82"/>
    </w:p>
    <w:p w:rsidR="004C17BF">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4C17BF">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4C17BF">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4C17BF">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4C17BF">
      <w:pPr>
        <w:spacing w:line="400" w:lineRule="exact"/>
      </w:pPr>
    </w:p>
    <w:p w:rsidR="004C17BF">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4C17BF" w:rsidP="0037136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4C17BF">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4C17BF">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4C17BF">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4C17BF">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4C17BF">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4C17BF">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4C17BF">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4C17BF">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4C17BF">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4C17BF">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4C17BF">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4C17BF">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4C17BF">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4C17BF">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4C17BF">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4C17BF">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4C17BF">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4C17BF">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4C17BF">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4C17BF">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4C17BF">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4C17BF">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4C17BF">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4C17BF">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4C17BF">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4C17BF">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4C17BF">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4C17BF">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4C17BF">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4C17BF">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4C17BF">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4C17BF">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4C17BF">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4C17BF">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4C17BF">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4C17BF">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4C17BF">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4C17BF">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4C17BF">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4C17BF">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4C17BF">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4C17BF">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4C17BF">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4C17BF">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4C17BF">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4C17BF">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4C17BF">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4C17BF">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4C17BF">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4C17BF" w:rsidP="0037136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4C17BF">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4C17BF">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4C17BF">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4C17BF">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4C17BF">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4C17BF">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4C17BF">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4C17BF">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4C17BF">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Pr>
          <w:rFonts w:ascii="宋体" w:hAnsi="宋体" w:hint="eastAsia"/>
          <w:szCs w:val="21"/>
          <w:u w:val="single"/>
        </w:rPr>
        <w:t>1、合同生效后付款：双方签署合同后15个工作日内，乙方向甲方开具合同总金额的90%即人民币              元（大写）             元（小写）的有效发票，甲方在收到发票后15个工作日内向乙方支付；2、到货、检验后付款：双方签署到货验收报告后7个工作日内，乙方向甲方开具合同总金额的10%即人民币               元（大写）         元（小写）的有效发票，甲方在收到发票后15个工作日内向乙方支付。</w:t>
      </w:r>
      <w:r>
        <w:rPr>
          <w:rFonts w:ascii="宋体" w:hAnsi="宋体" w:hint="eastAsia"/>
          <w:szCs w:val="21"/>
          <w:u w:val="single"/>
        </w:rPr>
        <w:t xml:space="preserve"> </w:t>
      </w:r>
    </w:p>
    <w:p w:rsidR="004C17BF">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4C17BF">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4C17BF" w:rsidP="00371366">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4C17BF">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4C17BF">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4C17BF">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4C17BF">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4C17BF">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4C17BF">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4C17BF">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4C17BF">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4C17BF" w:rsidP="0037136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4C17BF">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4C17BF">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4C17BF">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C17BF">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C17BF">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C17BF">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C17BF">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C17BF">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4C17BF">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4C17BF">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4C17BF">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4C17BF">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4C17BF">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4C17BF">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4C17BF">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4C17BF">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4C17BF">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4C17BF">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4C17BF" w:rsidP="0037136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4C17BF">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4C17BF" w:rsidP="0037136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4C17BF" w:rsidP="00371366">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4C17BF">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4C17BF">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4C17BF">
      <w:r>
        <w:rPr>
          <w:rFonts w:hint="eastAsia"/>
        </w:rPr>
        <w:br w:type="page"/>
      </w:r>
    </w:p>
    <w:p w:rsidR="004C17BF">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4C17BF">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4C17BF">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4C17BF">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4C17BF">
            <w:pPr>
              <w:adjustRightInd w:val="0"/>
              <w:snapToGrid w:val="0"/>
              <w:spacing w:line="300" w:lineRule="exact"/>
              <w:jc w:val="center"/>
              <w:rPr>
                <w:szCs w:val="21"/>
              </w:rPr>
            </w:pPr>
            <w:r>
              <w:rPr>
                <w:szCs w:val="21"/>
              </w:rPr>
              <w:t>法定代表人</w:t>
            </w:r>
          </w:p>
          <w:p w:rsidR="004C17BF">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4C17BF">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4C17BF">
            <w:pPr>
              <w:adjustRightInd w:val="0"/>
              <w:snapToGrid w:val="0"/>
              <w:spacing w:line="300" w:lineRule="exact"/>
              <w:jc w:val="center"/>
              <w:rPr>
                <w:szCs w:val="21"/>
              </w:rPr>
            </w:pPr>
            <w:r>
              <w:rPr>
                <w:szCs w:val="21"/>
              </w:rPr>
              <w:t>法定代表人</w:t>
            </w:r>
          </w:p>
          <w:p w:rsidR="004C17BF">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4C17BF">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4C17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4C17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4C17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4C17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4C17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4C17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4C17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4C17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4C17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4C17B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4C17BF">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4C17BF">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4C17BF">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4C17BF">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83"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83"/>
    </w:p>
    <w:p w:rsidR="004C17BF">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4C17BF">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4C17BF">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4C17BF">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4C17BF">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4C17BF">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4C17BF">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4C17BF">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4C17BF">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4C17BF">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4C17BF">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4C17BF">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4C17BF">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4C17BF">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4C17BF">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4C17BF">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4C17BF">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4C17BF">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4C17BF">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4C17BF">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4C17BF">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4C17BF">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4C17BF">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4C17BF">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4C17BF">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4C17BF">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4C17BF">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4C17BF">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4C17B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4C17BF">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8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84"/>
      <w:r>
        <w:rPr>
          <w:rFonts w:ascii="宋体" w:hAnsi="宋体" w:hint="eastAsia"/>
          <w:szCs w:val="21"/>
        </w:rPr>
        <w:t>。</w:t>
      </w:r>
    </w:p>
    <w:p w:rsidR="004C17BF">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4C17BF">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4C17BF">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4C17BF">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4C17BF">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4C17BF">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4C17BF">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4C17BF">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4C17BF">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4C17BF">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4C17BF">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4C17BF">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4C17BF">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4C17BF">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4C17BF">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4C17BF">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4C17BF">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4C17BF">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4C17BF">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4C17BF">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4C17BF">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4C17BF">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4C17BF">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4C17BF">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4C17BF">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4C17BF">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4C17BF">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4C17BF">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4C17BF">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4C17BF">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4C17BF">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4C17BF">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4C17BF">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4C17BF">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4C17BF">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4C17BF">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4C17BF">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4C17BF">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4C17BF">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4C17BF">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4C17BF">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4C17BF">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4C17BF">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4C17BF">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85" w:name="_Toc20313"/>
    </w:p>
    <w:p w:rsidR="004C17BF">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4C17BF">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8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4C17BF">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4C17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4C17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4C17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4C17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4C17BF">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4C17BF"/>
        </w:tc>
      </w:tr>
      <w:tr>
        <w:tblPrEx>
          <w:tblW w:w="8519" w:type="dxa"/>
          <w:tblInd w:w="108" w:type="dxa"/>
          <w:tblLayout w:type="fixed"/>
          <w:tblLook w:val="04A0"/>
        </w:tblPrEx>
        <w:trPr>
          <w:trHeight w:val="667"/>
        </w:trPr>
        <w:tc>
          <w:tcPr>
            <w:tcW w:w="1607" w:type="dxa"/>
            <w:vMerge/>
            <w:vAlign w:val="center"/>
          </w:tcPr>
          <w:p w:rsidR="004C17BF">
            <w:pPr>
              <w:adjustRightInd w:val="0"/>
              <w:snapToGrid w:val="0"/>
              <w:jc w:val="center"/>
              <w:rPr>
                <w:rFonts w:ascii="宋体" w:hAnsi="宋体"/>
                <w:szCs w:val="21"/>
              </w:rPr>
            </w:pPr>
          </w:p>
        </w:tc>
        <w:tc>
          <w:tcPr>
            <w:tcW w:w="1742" w:type="dxa"/>
            <w:vAlign w:val="center"/>
          </w:tcPr>
          <w:p w:rsidR="004C17BF">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4C17BF"/>
        </w:tc>
      </w:tr>
      <w:tr>
        <w:tblPrEx>
          <w:tblW w:w="8519" w:type="dxa"/>
          <w:tblInd w:w="108" w:type="dxa"/>
          <w:tblLayout w:type="fixed"/>
          <w:tblLook w:val="04A0"/>
        </w:tblPrEx>
        <w:trPr>
          <w:trHeight w:val="772"/>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4C17BF"/>
        </w:tc>
      </w:tr>
      <w:tr>
        <w:tblPrEx>
          <w:tblW w:w="8519" w:type="dxa"/>
          <w:tblInd w:w="108" w:type="dxa"/>
          <w:tblLayout w:type="fixed"/>
          <w:tblLook w:val="04A0"/>
        </w:tblPrEx>
        <w:trPr>
          <w:trHeight w:val="667"/>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4C17BF"/>
        </w:tc>
      </w:tr>
      <w:tr>
        <w:tblPrEx>
          <w:tblW w:w="8519" w:type="dxa"/>
          <w:tblInd w:w="108" w:type="dxa"/>
          <w:tblLayout w:type="fixed"/>
          <w:tblLook w:val="04A0"/>
        </w:tblPrEx>
        <w:trPr>
          <w:trHeight w:val="736"/>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4C17BF">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货物质量缺陷</w:t>
            </w:r>
          </w:p>
          <w:p w:rsidR="004C17BF">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4C17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C17BF">
            <w:pPr>
              <w:snapToGrid w:val="0"/>
              <w:jc w:val="center"/>
              <w:rPr>
                <w:rFonts w:ascii="宋体" w:hAnsi="宋体" w:cs="宋体"/>
                <w:szCs w:val="21"/>
              </w:rPr>
            </w:pPr>
            <w:r>
              <w:rPr>
                <w:rFonts w:ascii="宋体" w:hAnsi="宋体" w:cs="宋体" w:hint="eastAsia"/>
                <w:szCs w:val="21"/>
              </w:rPr>
              <w:t>第二节</w:t>
            </w:r>
          </w:p>
          <w:p w:rsidR="004C17BF">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4C17BF">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4C17BF">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4C17BF">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4C17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4C17BF">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4C17BF">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4C17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4C17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4C17B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4C17BF">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4C17BF">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4C17BF">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4C17BF">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4C17BF">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4C17BF">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4C17BF">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4C17BF">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4C17BF">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4C17BF">
            <w:pPr>
              <w:adjustRightInd w:val="0"/>
              <w:snapToGrid w:val="0"/>
              <w:jc w:val="center"/>
              <w:rPr>
                <w:rFonts w:ascii="宋体" w:hAnsi="宋体"/>
                <w:szCs w:val="21"/>
              </w:rPr>
            </w:pPr>
            <w:r>
              <w:rPr>
                <w:rFonts w:ascii="宋体" w:hAnsi="宋体" w:hint="eastAsia"/>
                <w:szCs w:val="21"/>
              </w:rPr>
              <w:t>第二节</w:t>
            </w:r>
          </w:p>
          <w:p w:rsidR="004C17B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4C17BF">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4C17BF">
            <w:pPr>
              <w:adjustRightInd w:val="0"/>
              <w:snapToGrid w:val="0"/>
              <w:jc w:val="left"/>
              <w:rPr>
                <w:rFonts w:ascii="宋体" w:hAnsi="宋体"/>
                <w:szCs w:val="21"/>
              </w:rPr>
            </w:pPr>
          </w:p>
        </w:tc>
      </w:tr>
    </w:tbl>
    <w:p w:rsidR="004C17BF"/>
    <w:p w:rsidR="004C17BF">
      <w:pPr>
        <w:rPr>
          <w:b/>
          <w:bCs/>
          <w:sz w:val="44"/>
          <w:szCs w:val="44"/>
        </w:rPr>
      </w:pPr>
    </w:p>
    <w:p w:rsidR="004C17BF"/>
    <w:p w:rsidR="00A77B3E"/>
    <w:p>
      <w:pPr>
        <w:spacing w:line="360" w:lineRule="auto"/>
        <w:ind w:firstLine="3066" w:firstLineChars="1460"/>
        <w:jc w:val="left"/>
        <w:rPr>
          <w:b/>
          <w:bCs/>
          <w:szCs w:val="21"/>
          <w:highlight w:val="none"/>
        </w:rPr>
      </w:pPr>
      <w:bookmarkEnd w:id="80"/>
    </w:p>
    <w:sectPr>
      <w:headerReference w:type="even" r:id="rId21"/>
      <w:headerReference w:type="default" r:id="rId22"/>
      <w:footerReference w:type="default" r:id="rId23"/>
      <w:headerReference w:type="first" r:id="rId24"/>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方正仿宋">
    <w:altName w:val="仿宋"/>
    <w:charset w:val="86"/>
    <w:family w:val="script"/>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5591"/>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349FF"/>
    <w:rsid w:val="00142DAE"/>
    <w:rsid w:val="00143DFD"/>
    <w:rsid w:val="0014595A"/>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366"/>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17BF"/>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8A8"/>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834"/>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26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4C9C"/>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84"/>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AE70CB8"/>
    <w:rsid w:val="5BAD110F"/>
    <w:rsid w:val="5CBB779A"/>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项目正文"/>
    <w:basedOn w:val="Normal"/>
    <w:link w:val="a3"/>
    <w:qFormat/>
    <w:rsid w:val="00B34C9C"/>
    <w:pPr>
      <w:adjustRightInd w:val="0"/>
      <w:snapToGrid w:val="0"/>
      <w:spacing w:line="572" w:lineRule="exact"/>
      <w:ind w:firstLine="200" w:firstLineChars="200"/>
    </w:pPr>
    <w:rPr>
      <w:rFonts w:ascii="仿宋_GB2312" w:eastAsia="仿宋_GB2312" w:hAnsi="仿宋_GB2312" w:cs="仿宋_GB2312"/>
      <w:color w:val="000000"/>
      <w:sz w:val="32"/>
      <w:szCs w:val="32"/>
      <w:lang w:eastAsia="en-US"/>
    </w:rPr>
  </w:style>
  <w:style w:type="character" w:customStyle="1" w:styleId="a3">
    <w:name w:val="项目正文 字符"/>
    <w:link w:val="a2"/>
    <w:qFormat/>
    <w:locked/>
    <w:rsid w:val="00B34C9C"/>
    <w:rPr>
      <w:rFonts w:ascii="仿宋_GB2312" w:eastAsia="仿宋_GB2312" w:hAnsi="仿宋_GB2312" w:cs="仿宋_GB2312"/>
      <w:color w:val="000000"/>
      <w:kern w:val="2"/>
      <w:sz w:val="32"/>
      <w:szCs w:val="32"/>
    </w:rPr>
  </w:style>
  <w:style w:type="paragraph" w:styleId="Caption">
    <w:name w:val="caption"/>
    <w:basedOn w:val="Normal"/>
    <w:next w:val="Normal"/>
    <w:uiPriority w:val="35"/>
    <w:semiHidden/>
    <w:unhideWhenUsed/>
    <w:qFormat/>
    <w:rsid w:val="00B34C9C"/>
    <w:pPr>
      <w:spacing w:line="560" w:lineRule="exact"/>
      <w:jc w:val="center"/>
    </w:pPr>
    <w:rPr>
      <w:rFonts w:eastAsia="仿宋_GB2312"/>
      <w:b/>
      <w:bCs/>
      <w:szCs w:val="21"/>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jpe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png" /><Relationship Id="rId18" Type="http://schemas.openxmlformats.org/officeDocument/2006/relationships/image" Target="media/image13.png"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2.xml" /><Relationship Id="rId21" Type="http://schemas.openxmlformats.org/officeDocument/2006/relationships/header" Target="header3.xml" /><Relationship Id="rId22" Type="http://schemas.openxmlformats.org/officeDocument/2006/relationships/header" Target="header4.xml" /><Relationship Id="rId23" Type="http://schemas.openxmlformats.org/officeDocument/2006/relationships/footer" Target="footer3.xml" /><Relationship Id="rId24" Type="http://schemas.openxmlformats.org/officeDocument/2006/relationships/header" Target="header5.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19278</Words>
  <Characters>20410</Characters>
  <Application>Microsoft Office Word</Application>
  <DocSecurity>0</DocSecurity>
  <Lines>209</Lines>
  <Paragraphs>59</Paragraphs>
  <ScaleCrop>false</ScaleCrop>
  <Company>中国气象局</Company>
  <LinksUpToDate>false</LinksUpToDate>
  <CharactersWithSpaces>20510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2026-01-08T07:53:41Z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2052-12.1.0.24034</vt:lpwstr>
  </property>
  <property fmtid="{D5CDD505-2E9C-101B-9397-08002B2CF9AE}" pid="4" name="KSOTemplateDocerSaveRecord">
    <vt:lpwstr>eyJoZGlkIjoiM2FkMjdjNjAxZjdmYjI5MjMyNmE5MTA5ZjJkMDM4NmEiLCJ1c2VySWQiOiI0MTI2MjIxMDYifQ==</vt:lpwstr>
  </property>
</Properties>
</file>