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2025年短临工程微小型X波段天气雷达设备采购项目（贵州省）</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贵州省气象数据中心（贵州省气象探测中心、贵州省气象档案馆）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2025年短临工程微小型X波段天气雷达设备采购项目（贵州省）</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贵州省镇宁县、施秉县、长顺县、黔西市、玉屏县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2025年12月03日 00:00:00</w:t>
      </w:r>
      <w:bookmarkEnd w:id="26"/>
      <w:r>
        <w:rPr>
          <w:rFonts w:ascii="宋体" w:hint="eastAsia"/>
          <w:szCs w:val="21"/>
          <w:highlight w:val="none"/>
        </w:rPr>
        <w:t>至</w:t>
      </w:r>
      <w:bookmarkStart w:id="27" w:name="项目公告_signUpLastTime"/>
      <w:r>
        <w:rPr>
          <w:rFonts w:ascii="宋体" w:hint="eastAsia"/>
          <w:szCs w:val="21"/>
          <w:highlight w:val="none"/>
        </w:rPr>
        <w:t>2025年12月10日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贵州省气象数据中心（贵州省气象探测中心、贵州省气象档案馆）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贵州省贵阳市南明区新华路翠微巷9号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贵州省气象数据中心（贵州省气象探测中心、贵州省气象档案馆）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不允许（仅针对以下产品：微小型X波段双线偏振多普勒天气雷达（简易型）不允许代理商投标）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标的：微小型X波段双线偏振多普勒天气雷达（简易型），属于工业行业；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销售合同必须包括微小型X波段双线偏振多普勒天气雷达（简易型），每提供1份合同得1分，最多得5分。否则不得分。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针对本项目采购的微小型X波段双线偏振多普勒天气雷达（简易型），承诺每提前10天交货的得1分，最多得1分。否则不得分。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针对投标人所投的微小型X波段双线偏振多普勒天气雷达（简易型），每提供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针对微小型X波段双线偏振多普勒天气雷达（简易型），测试报告应涵盖气候环境适应性、电磁兼容性检查、电源检测等内容，每包含一项得1分，最多得3分。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13355"/>
      <w:bookmarkStart w:id="63" w:name="_Toc374091441"/>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馈线主要用于传输发射信号和接收信号。</w:t>
      </w:r>
    </w:p>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bookmarkEnd w:id="62"/>
      <w:bookmarkEnd w:id="63"/>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p>
      <w:pPr>
        <w:ind w:firstLine="560" w:firstLineChars="200"/>
        <w:outlineLvl w:val="4"/>
        <w:rPr>
          <w:rFonts w:ascii="仿宋_GB2312" w:eastAsia="仿宋_GB2312" w:hAnsi="仿宋_GB2312" w:cs="仿宋_GB2312" w:hint="eastAsia"/>
          <w:bCs/>
          <w:sz w:val="28"/>
          <w:szCs w:val="28"/>
        </w:rPr>
      </w:pPr>
      <w:bookmarkStart w:id="70" w:name="_Toc773431488"/>
      <w:bookmarkEnd w:id="67"/>
      <w:bookmarkEnd w:id="68"/>
      <w:bookmarkEnd w:id="69"/>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1.6</w:t>
      </w:r>
      <w:r>
        <w:rPr>
          <w:rFonts w:ascii="仿宋_GB2312" w:eastAsia="仿宋_GB2312" w:hAnsi="仿宋_GB2312" w:cs="仿宋_GB2312" w:hint="eastAsia"/>
          <w:bCs/>
          <w:sz w:val="28"/>
          <w:szCs w:val="28"/>
        </w:rPr>
        <w:t>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Start w:id="73" w:name="_Toc28016954"/>
      <w:bookmarkEnd w:id="72"/>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w:t>
      </w:r>
      <w:r>
        <w:rPr>
          <w:rFonts w:ascii="仿宋" w:eastAsia="仿宋" w:hAnsi="仿宋" w:hint="eastAsia"/>
          <w:sz w:val="28"/>
          <w:szCs w:val="28"/>
        </w:rPr>
        <w:t>≥</w:t>
      </w:r>
      <w:r>
        <w:rPr>
          <w:rFonts w:ascii="仿宋" w:eastAsia="仿宋" w:hAnsi="仿宋" w:hint="eastAsia"/>
          <w:sz w:val="28"/>
          <w:szCs w:val="28"/>
        </w:rPr>
        <w:t>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h</w:t>
      </w:r>
      <w:r>
        <w:rPr>
          <w:rFonts w:ascii="仿宋" w:eastAsia="仿宋" w:hAnsi="仿宋" w:hint="eastAsia"/>
          <w:sz w:val="28"/>
          <w:szCs w:val="28"/>
        </w:rPr>
        <w:t>）天线座水平度：在伺服转台顶部预留测试位置或内置测试设备。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35"/>
        <w:gridCol w:w="3847"/>
        <w:gridCol w:w="3401"/>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847"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470"/>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847"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具备雷达运行与维护的远程支持能力，包括但不限于发射机峰值功率、接收通道增益等。</w:t>
      </w:r>
    </w:p>
    <w:p>
      <w:pPr>
        <w:ind w:firstLine="560" w:firstLineChars="200"/>
        <w:outlineLvl w:val="6"/>
        <w:rPr>
          <w:rFonts w:ascii="仿宋_GB2312" w:eastAsia="仿宋_GB2312" w:hAnsi="仿宋_GB2312" w:cs="仿宋_GB2312" w:hint="eastAsia"/>
          <w:b w:val="0"/>
          <w:bCs w:val="0"/>
          <w:sz w:val="28"/>
          <w:szCs w:val="28"/>
        </w:rPr>
      </w:pPr>
      <w:bookmarkEnd w:id="74"/>
      <w:bookmarkEnd w:id="75"/>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p>
      <w:pPr>
        <w:spacing w:line="570" w:lineRule="exact"/>
        <w:ind w:firstLine="560" w:firstLineChars="200"/>
        <w:rPr>
          <w:rFonts w:ascii="仿宋" w:eastAsia="仿宋" w:hAnsi="仿宋" w:hint="eastAsia"/>
          <w:sz w:val="28"/>
          <w:szCs w:val="28"/>
        </w:rPr>
      </w:pPr>
      <w:bookmarkStart w:id="77" w:name="_Toc524551142"/>
      <w:bookmarkEnd w:id="76"/>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widowControl/>
        <w:spacing w:line="570" w:lineRule="exact"/>
        <w:ind w:firstLine="560" w:firstLineChars="200"/>
        <w:jc w:val="left"/>
        <w:rPr>
          <w:rFonts w:ascii="仿宋_GB2312"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numPr>
          <w:ilvl w:val="0"/>
          <w:numId w:val="4"/>
        </w:num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技术指标</w:t>
      </w:r>
    </w:p>
    <w:p>
      <w:pPr>
        <w:jc w:val="center"/>
        <w:rPr>
          <w:rFonts w:eastAsia="方正小标宋简体"/>
          <w:sz w:val="28"/>
          <w:szCs w:val="28"/>
        </w:rPr>
      </w:pPr>
      <w:r>
        <w:rPr>
          <w:rFonts w:eastAsia="方正小标宋简体"/>
          <w:sz w:val="28"/>
          <w:szCs w:val="28"/>
        </w:rPr>
        <w:t xml:space="preserve"> </w:t>
      </w: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15年</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w:t>
            </w:r>
            <w:r>
              <w:rPr>
                <w:rFonts w:ascii="仿宋_GB2312" w:hint="eastAsia"/>
                <w:sz w:val="24"/>
              </w:rPr>
              <w:t>≥</w:t>
            </w:r>
            <w:r>
              <w:rPr>
                <w:rFonts w:ascii="仿宋_GB2312" w:hint="eastAsia"/>
                <w:sz w:val="24"/>
              </w:rPr>
              <w:t>35km</w:t>
            </w:r>
          </w:p>
        </w:tc>
      </w:tr>
      <w:tr>
        <w:tblPrEx>
          <w:tblW w:w="8760" w:type="dxa"/>
          <w:jc w:val="center"/>
          <w:tblLayout w:type="fixed"/>
          <w:tblCellMar>
            <w:top w:w="0" w:type="dxa"/>
            <w:left w:w="108" w:type="dxa"/>
            <w:bottom w:w="0" w:type="dxa"/>
            <w:right w:w="108" w:type="dxa"/>
          </w:tblCellMar>
          <w:tblLook w:val="0000"/>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500m</w:t>
            </w:r>
          </w:p>
        </w:tc>
      </w:tr>
      <w:tr>
        <w:tblPrEx>
          <w:tblW w:w="8760" w:type="dxa"/>
          <w:jc w:val="center"/>
          <w:tblLayout w:type="fixed"/>
          <w:tblCellMar>
            <w:top w:w="0" w:type="dxa"/>
            <w:left w:w="108" w:type="dxa"/>
            <w:bottom w:w="0" w:type="dxa"/>
            <w:right w:w="108" w:type="dxa"/>
          </w:tblCellMar>
          <w:tblLook w:val="0000"/>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分辨率</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75m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48m/s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w:t>
            </w:r>
            <w:r>
              <w:rPr>
                <w:rFonts w:ascii="仿宋_GB2312" w:hint="eastAsia"/>
                <w:sz w:val="24"/>
              </w:rPr>
              <w:t>°</w:t>
            </w:r>
            <w:r>
              <w:rPr>
                <w:rFonts w:ascii="仿宋_GB2312" w:hint="eastAsia"/>
                <w:sz w:val="24"/>
              </w:rPr>
              <w:t>～+180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w:t>
            </w:r>
            <w:r>
              <w:rPr>
                <w:rFonts w:ascii="仿宋_GB2312" w:hint="eastAsia"/>
                <w:sz w:val="24"/>
              </w:rPr>
              <w:t>°</w:t>
            </w:r>
            <w:r>
              <w:rPr>
                <w:rFonts w:ascii="仿宋_GB2312" w:hint="eastAsia"/>
                <w:sz w:val="24"/>
              </w:rPr>
              <w:t>/km～+10</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0.5dB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0.01</w:t>
            </w:r>
          </w:p>
        </w:tc>
      </w:tr>
      <w:tr>
        <w:tblPrEx>
          <w:tblW w:w="8760" w:type="dxa"/>
          <w:jc w:val="center"/>
          <w:tblLayout w:type="fixed"/>
          <w:tblCellMar>
            <w:top w:w="0" w:type="dxa"/>
            <w:left w:w="108" w:type="dxa"/>
            <w:bottom w:w="0" w:type="dxa"/>
            <w:right w:w="108" w:type="dxa"/>
          </w:tblCellMar>
          <w:tblLook w:val="0000"/>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18dBZ</w:t>
            </w:r>
          </w:p>
        </w:tc>
      </w:tr>
      <w:tr>
        <w:tblPrEx>
          <w:tblW w:w="8760" w:type="dxa"/>
          <w:jc w:val="center"/>
          <w:tblLayout w:type="fixed"/>
          <w:tblCellMar>
            <w:top w:w="0" w:type="dxa"/>
            <w:left w:w="108" w:type="dxa"/>
            <w:bottom w:w="0" w:type="dxa"/>
            <w:right w:w="108" w:type="dxa"/>
          </w:tblCellMar>
          <w:tblLook w:val="0000"/>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w:t>
            </w:r>
          </w:p>
        </w:tc>
      </w:tr>
      <w:tr>
        <w:tblPrEx>
          <w:tblW w:w="8760" w:type="dxa"/>
          <w:jc w:val="center"/>
          <w:tblLayout w:type="fixed"/>
          <w:tblCellMar>
            <w:top w:w="0" w:type="dxa"/>
            <w:left w:w="108" w:type="dxa"/>
            <w:bottom w:w="0" w:type="dxa"/>
            <w:right w:w="108" w:type="dxa"/>
          </w:tblCellMar>
          <w:tblLook w:val="0000"/>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30MHz</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w:t>
            </w:r>
          </w:p>
        </w:tc>
      </w:tr>
      <w:tr>
        <w:tblPrEx>
          <w:tblW w:w="8760" w:type="dxa"/>
          <w:jc w:val="center"/>
          <w:tblLayout w:type="fixed"/>
          <w:tblCellMar>
            <w:top w:w="0" w:type="dxa"/>
            <w:left w:w="108" w:type="dxa"/>
            <w:bottom w:w="0" w:type="dxa"/>
            <w:right w:w="108" w:type="dxa"/>
          </w:tblCellMar>
          <w:tblLook w:val="0000"/>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w:t>
            </w:r>
            <w:r>
              <w:rPr>
                <w:rFonts w:ascii="仿宋_GB2312" w:hint="eastAsia"/>
                <w:sz w:val="24"/>
              </w:rPr>
              <w:t>±</w:t>
            </w:r>
            <w:r>
              <w:rPr>
                <w:rFonts w:ascii="仿宋_GB2312" w:hint="eastAsia"/>
                <w:sz w:val="24"/>
              </w:rPr>
              <w:t>10%，或太阳能、风能等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100kg（含天线罩）</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-10～+40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90%（+30</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w:t>
            </w:r>
            <w:r>
              <w:rPr>
                <w:rFonts w:ascii="仿宋_GB2312" w:hint="eastAsia"/>
                <w:sz w:val="24"/>
              </w:rPr>
              <w:t>≤</w:t>
            </w:r>
            <w:r>
              <w:rPr>
                <w:rFonts w:ascii="仿宋_GB2312" w:hint="eastAsia"/>
                <w:sz w:val="24"/>
              </w:rPr>
              <w:t>5000m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800W</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发射机峰值功率月变化累计偏差（以现场安装后测试结果为基准，更换相关器件后重新标校）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接收机增益月变化累计偏差</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3dB范围内</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5000h</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w:t>
            </w:r>
            <w:r>
              <w:rPr>
                <w:rFonts w:ascii="仿宋_GB2312" w:hint="eastAsia"/>
                <w:sz w:val="24"/>
              </w:rPr>
              <w:t>Ω</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94"/>
        <w:gridCol w:w="5325"/>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sz w:val="24"/>
              </w:rPr>
              <w:t>天线罩直径</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1.3m</w:t>
            </w:r>
          </w:p>
        </w:tc>
      </w:tr>
      <w:tr>
        <w:tblPrEx>
          <w:tblW w:w="8819" w:type="dxa"/>
          <w:jc w:val="center"/>
          <w:tblLayout w:type="fixed"/>
          <w:tblCellMar>
            <w:top w:w="0" w:type="dxa"/>
            <w:left w:w="108" w:type="dxa"/>
            <w:bottom w:w="0" w:type="dxa"/>
            <w:right w:w="108" w:type="dxa"/>
          </w:tblCellMar>
          <w:tblLook w:val="0000"/>
        </w:tblPrEx>
        <w:trPr>
          <w:trHeight w:val="344"/>
          <w:jc w:val="center"/>
        </w:trPr>
        <w:tc>
          <w:tcPr>
            <w:tcW w:w="3494"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1.2dB（双程）</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19" w:type="dxa"/>
          <w:jc w:val="center"/>
          <w:tblLayout w:type="fixed"/>
          <w:tblCellMar>
            <w:top w:w="0" w:type="dxa"/>
            <w:left w:w="108" w:type="dxa"/>
            <w:bottom w:w="0" w:type="dxa"/>
            <w:right w:w="108" w:type="dxa"/>
          </w:tblCellMar>
          <w:tblLook w:val="0000"/>
        </w:tblPrEx>
        <w:trPr>
          <w:trHeight w:val="33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23"/>
        <w:gridCol w:w="4953"/>
      </w:tblGrid>
      <w:tr>
        <w:tblPrEx>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95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76" w:type="dxa"/>
          <w:jc w:val="center"/>
          <w:tblLayout w:type="fixed"/>
          <w:tblCellMar>
            <w:top w:w="0" w:type="dxa"/>
            <w:left w:w="108" w:type="dxa"/>
            <w:bottom w:w="0" w:type="dxa"/>
            <w:right w:w="108" w:type="dxa"/>
          </w:tblCellMar>
          <w:tblLook w:val="0000"/>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7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7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eastAsia="方正小标宋简体" w:hint="eastAsia"/>
                <w:sz w:val="28"/>
                <w:szCs w:val="28"/>
                <w:highlight w:val="yellow"/>
                <w:lang w:val="en-US" w:eastAsia="zh-CN"/>
              </w:rPr>
              <w:t>#</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1m</w:t>
            </w:r>
          </w:p>
        </w:tc>
      </w:tr>
      <w:tr>
        <w:tblPrEx>
          <w:tblW w:w="8776" w:type="dxa"/>
          <w:jc w:val="center"/>
          <w:tblLayout w:type="fixed"/>
          <w:tblCellMar>
            <w:top w:w="0" w:type="dxa"/>
            <w:left w:w="108" w:type="dxa"/>
            <w:bottom w:w="0" w:type="dxa"/>
            <w:right w:w="108" w:type="dxa"/>
          </w:tblCellMar>
          <w:tblLook w:val="0000"/>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（含天线罩）</w:t>
            </w:r>
          </w:p>
        </w:tc>
      </w:tr>
      <w:tr>
        <w:tblPrEx>
          <w:tblW w:w="8776" w:type="dxa"/>
          <w:jc w:val="center"/>
          <w:tblLayout w:type="fixed"/>
          <w:tblCellMar>
            <w:top w:w="0" w:type="dxa"/>
            <w:left w:w="108" w:type="dxa"/>
            <w:bottom w:w="0" w:type="dxa"/>
            <w:right w:w="108" w:type="dxa"/>
          </w:tblCellMar>
          <w:tblLook w:val="0000"/>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（不含天线罩）</w:t>
            </w:r>
          </w:p>
        </w:tc>
      </w:tr>
      <w:tr>
        <w:tblPrEx>
          <w:tblW w:w="8776" w:type="dxa"/>
          <w:jc w:val="center"/>
          <w:tblLayout w:type="fixed"/>
          <w:tblCellMar>
            <w:top w:w="0" w:type="dxa"/>
            <w:left w:w="108" w:type="dxa"/>
            <w:bottom w:w="0" w:type="dxa"/>
            <w:right w:w="108" w:type="dxa"/>
          </w:tblCellMar>
          <w:tblLook w:val="0000"/>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34.4dB（含天线罩）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35dB（不含天线罩）</w:t>
            </w:r>
          </w:p>
        </w:tc>
      </w:tr>
      <w:tr>
        <w:tblPrEx>
          <w:tblW w:w="8776" w:type="dxa"/>
          <w:jc w:val="center"/>
          <w:tblLayout w:type="fixed"/>
          <w:tblCellMar>
            <w:top w:w="0" w:type="dxa"/>
            <w:left w:w="108" w:type="dxa"/>
            <w:bottom w:w="0" w:type="dxa"/>
            <w:right w:w="108" w:type="dxa"/>
          </w:tblCellMar>
          <w:tblLook w:val="0000"/>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0.3dB</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-17dB（含天线罩）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-20dB（不含天线罩）</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30dB（不含天线罩）</w:t>
            </w:r>
          </w:p>
        </w:tc>
      </w:tr>
      <w:tr>
        <w:tblPrEx>
          <w:tblW w:w="8776" w:type="dxa"/>
          <w:jc w:val="center"/>
          <w:tblLayout w:type="fixed"/>
          <w:tblCellMar>
            <w:top w:w="0" w:type="dxa"/>
            <w:left w:w="108" w:type="dxa"/>
            <w:bottom w:w="0" w:type="dxa"/>
            <w:right w:w="108" w:type="dxa"/>
          </w:tblCellMar>
          <w:tblLook w:val="0000"/>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969"/>
        <w:gridCol w:w="3770"/>
      </w:tblGrid>
      <w:tr>
        <w:tblPrEx>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377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39" w:type="dxa"/>
          <w:jc w:val="center"/>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3dB</w:t>
            </w:r>
          </w:p>
        </w:tc>
      </w:tr>
      <w:tr>
        <w:tblPrEx>
          <w:tblW w:w="8739" w:type="dxa"/>
          <w:jc w:val="center"/>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w:t>
            </w:r>
            <w:r>
              <w:rPr>
                <w:rFonts w:ascii="仿宋_GB2312" w:hint="eastAsia"/>
                <w:sz w:val="24"/>
              </w:rPr>
              <w:t>±</w:t>
            </w:r>
            <w:r>
              <w:rPr>
                <w:rFonts w:ascii="仿宋_GB2312" w:hint="eastAsia"/>
                <w:sz w:val="24"/>
              </w:rPr>
              <w:t>1dB</w:t>
            </w:r>
          </w:p>
        </w:tc>
      </w:tr>
      <w:tr>
        <w:tblPrEx>
          <w:tblW w:w="8739" w:type="dxa"/>
          <w:jc w:val="center"/>
          <w:tblLayout w:type="fixed"/>
          <w:tblCellMar>
            <w:top w:w="0" w:type="dxa"/>
            <w:left w:w="108" w:type="dxa"/>
            <w:bottom w:w="0" w:type="dxa"/>
            <w:right w:w="108" w:type="dxa"/>
          </w:tblCellMar>
          <w:tblLook w:val="0000"/>
        </w:tblPrEx>
        <w:trPr>
          <w:trHeight w:val="39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 xml:space="preserve"> 伺服转台技术性能指标表</w:t>
      </w:r>
    </w:p>
    <w:tbl>
      <w:tblPr>
        <w:tblStyle w:val="TableNormal"/>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51"/>
        <w:gridCol w:w="1225"/>
        <w:gridCol w:w="5291"/>
      </w:tblGrid>
      <w:tr>
        <w:tblPrEx>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9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w:t>
            </w:r>
            <w:r>
              <w:rPr>
                <w:rFonts w:ascii="仿宋_GB2312" w:hint="eastAsia"/>
                <w:sz w:val="24"/>
              </w:rPr>
              <w:t>°</w:t>
            </w:r>
            <w:r>
              <w:rPr>
                <w:rFonts w:ascii="仿宋_GB2312" w:hint="eastAsia"/>
                <w:sz w:val="24"/>
              </w:rPr>
              <w:t>连续扫描</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w:t>
            </w:r>
            <w:r>
              <w:rPr>
                <w:rFonts w:ascii="仿宋_GB2312" w:hint="eastAsia"/>
                <w:sz w:val="24"/>
              </w:rPr>
              <w:t>°</w:t>
            </w:r>
            <w:r>
              <w:rPr>
                <w:rFonts w:ascii="仿宋_GB2312" w:hint="eastAsia"/>
                <w:sz w:val="24"/>
              </w:rPr>
              <w:t>往返扫描</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highlight w:val="yellow"/>
              </w:rPr>
              <w:t>天线扫描速度</w:t>
            </w:r>
            <w:r>
              <w:rPr>
                <w:rFonts w:eastAsia="方正小标宋简体" w:hint="eastAsia"/>
                <w:sz w:val="28"/>
                <w:szCs w:val="28"/>
                <w:highlight w:val="yellow"/>
                <w:lang w:val="en-US" w:eastAsia="zh-CN"/>
              </w:rPr>
              <w:t>#</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36</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12</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67" w:type="dxa"/>
          <w:jc w:val="center"/>
          <w:tblLayout w:type="fixed"/>
          <w:tblCellMar>
            <w:top w:w="0" w:type="dxa"/>
            <w:left w:w="108" w:type="dxa"/>
            <w:bottom w:w="0" w:type="dxa"/>
            <w:right w:w="108" w:type="dxa"/>
          </w:tblCellMar>
          <w:tblLook w:val="0000"/>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0.3</w:t>
            </w:r>
            <w:r>
              <w:rPr>
                <w:rFonts w:ascii="仿宋_GB2312" w:hint="eastAsia"/>
                <w:sz w:val="24"/>
              </w:rPr>
              <w:t>°</w:t>
            </w:r>
          </w:p>
        </w:tc>
      </w:tr>
      <w:tr>
        <w:tblPrEx>
          <w:tblW w:w="8667" w:type="dxa"/>
          <w:jc w:val="center"/>
          <w:tblLayout w:type="fixed"/>
          <w:tblCellMar>
            <w:top w:w="0" w:type="dxa"/>
            <w:left w:w="108" w:type="dxa"/>
            <w:bottom w:w="0" w:type="dxa"/>
            <w:right w:w="108" w:type="dxa"/>
          </w:tblCellMar>
          <w:tblLook w:val="0000"/>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63"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02"/>
        <w:gridCol w:w="4961"/>
      </w:tblGrid>
      <w:tr>
        <w:tblPrEx>
          <w:tblW w:w="8663"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70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1dB范围内</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w:t>
            </w:r>
            <w:r>
              <w:rPr>
                <w:rFonts w:ascii="仿宋_GB2312" w:hint="eastAsia"/>
                <w:sz w:val="24"/>
              </w:rPr>
              <w:t>μ</w:t>
            </w:r>
            <w:r>
              <w:rPr>
                <w:rFonts w:ascii="仿宋_GB2312" w:hint="eastAsia"/>
                <w:sz w:val="24"/>
              </w:rPr>
              <w:t>s（可选）</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68"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38"/>
        <w:gridCol w:w="1355"/>
        <w:gridCol w:w="4475"/>
      </w:tblGrid>
      <w:tr>
        <w:tblPrEx>
          <w:tblW w:w="8668"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193"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3dB（机外）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0.3dB范围内</w:t>
            </w:r>
          </w:p>
          <w:p>
            <w:pPr>
              <w:spacing w:line="360" w:lineRule="exact"/>
              <w:rPr>
                <w:rFonts w:ascii="仿宋_GB2312"/>
              </w:rPr>
            </w:pPr>
            <w:r>
              <w:rPr>
                <w:rFonts w:ascii="仿宋_GB2312" w:hint="eastAsia"/>
                <w:sz w:val="24"/>
              </w:rPr>
              <w:t>（机外）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80dB（机外）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ghlight w:val="yellow"/>
              </w:rPr>
            </w:pPr>
            <w:r>
              <w:rPr>
                <w:rFonts w:ascii="仿宋_GB2312" w:hint="eastAsia"/>
                <w:sz w:val="24"/>
                <w:highlight w:val="yellow"/>
              </w:rPr>
              <w:t>最小可测功率（灵敏度）</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-110dBm（带宽1MHz）</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-40dBc</w:t>
            </w:r>
          </w:p>
        </w:tc>
      </w:tr>
      <w:tr>
        <w:tblPrEx>
          <w:tblW w:w="8668" w:type="dxa"/>
          <w:jc w:val="center"/>
          <w:tblInd w:w="-593" w:type="dxa"/>
          <w:tblLayout w:type="fixed"/>
          <w:tblCellMar>
            <w:top w:w="0" w:type="dxa"/>
            <w:left w:w="108" w:type="dxa"/>
            <w:bottom w:w="0" w:type="dxa"/>
            <w:right w:w="108" w:type="dxa"/>
          </w:tblCellMar>
          <w:tblLook w:val="0000"/>
        </w:tblPrEx>
        <w:trPr>
          <w:trHeight w:val="357"/>
          <w:jc w:val="center"/>
        </w:trPr>
        <w:tc>
          <w:tcPr>
            <w:tcW w:w="2838"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-110dBc/Hz </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2838"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-115dBc/Hz </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600"/>
        <w:gridCol w:w="5050"/>
      </w:tblGrid>
      <w:tr>
        <w:tblPrEx>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脉冲压缩主副瓣比</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w:t>
            </w:r>
            <w:r>
              <w:rPr>
                <w:rFonts w:ascii="仿宋_GB2312" w:hint="eastAsia"/>
                <w:sz w:val="24"/>
              </w:rPr>
              <w:t>≥</w:t>
            </w:r>
            <w:r>
              <w:rPr>
                <w:rFonts w:ascii="仿宋_GB2312" w:hint="eastAsia"/>
                <w:sz w:val="24"/>
              </w:rPr>
              <w:t>100时，</w:t>
            </w:r>
            <w:r>
              <w:rPr>
                <w:rFonts w:ascii="仿宋_GB2312" w:hint="eastAsia"/>
                <w:sz w:val="24"/>
              </w:rPr>
              <w:t>≥</w:t>
            </w:r>
            <w:r>
              <w:rPr>
                <w:rFonts w:ascii="仿宋_GB2312" w:hint="eastAsia"/>
                <w:sz w:val="24"/>
              </w:rPr>
              <w:t>50dB</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500个</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支持脉冲数</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w:t>
            </w:r>
            <w:r>
              <w:rPr>
                <w:rFonts w:ascii="仿宋_GB2312" w:hint="eastAsia"/>
                <w:sz w:val="24"/>
              </w:rPr>
              <w:t>μ</w:t>
            </w:r>
            <w:r>
              <w:rPr>
                <w:rFonts w:ascii="仿宋_GB2312" w:hint="eastAsia"/>
                <w:sz w:val="24"/>
              </w:rPr>
              <w:t>s</w:t>
            </w:r>
            <w:r>
              <w:rPr>
                <w:rFonts w:ascii="宋体" w:eastAsia="宋体" w:hAnsi="宋体" w:hint="eastAsia"/>
                <w:sz w:val="24"/>
              </w:rPr>
              <w:t>～</w:t>
            </w:r>
            <w:r>
              <w:rPr>
                <w:rFonts w:ascii="仿宋_GB2312" w:hint="eastAsia"/>
                <w:sz w:val="24"/>
              </w:rPr>
              <w:t>200</w:t>
            </w:r>
            <w:r>
              <w:rPr>
                <w:rFonts w:ascii="仿宋_GB2312" w:hint="eastAsia"/>
                <w:sz w:val="24"/>
              </w:rPr>
              <w:t>μ</w:t>
            </w:r>
            <w:r>
              <w:rPr>
                <w:rFonts w:ascii="仿宋_GB2312" w:hint="eastAsia"/>
                <w:sz w:val="24"/>
              </w:rPr>
              <w:t>s</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信号处理算法</w:t>
      </w:r>
    </w:p>
    <w:tbl>
      <w:tblPr>
        <w:tblStyle w:val="TableNormal"/>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3"/>
        <w:gridCol w:w="2000"/>
        <w:gridCol w:w="5887"/>
      </w:tblGrid>
      <w:tr>
        <w:tblPrEx>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58"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eastAsia="方正小标宋简体" w:hint="eastAsia"/>
                <w:sz w:val="28"/>
                <w:szCs w:val="28"/>
                <w:highlight w:val="yellow"/>
                <w:lang w:val="en-US" w:eastAsia="zh-CN"/>
              </w:rPr>
              <w:t>#</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655" w:type="dxa"/>
        <w:jc w:val="center"/>
        <w:tblInd w:w="203" w:type="dxa"/>
        <w:tblCellMar>
          <w:top w:w="0" w:type="dxa"/>
          <w:left w:w="108" w:type="dxa"/>
          <w:bottom w:w="0" w:type="dxa"/>
          <w:right w:w="108" w:type="dxa"/>
        </w:tblCellMar>
        <w:tblLook w:val="0000"/>
      </w:tblPr>
      <w:tblGrid>
        <w:gridCol w:w="878"/>
        <w:gridCol w:w="1896"/>
        <w:gridCol w:w="5881"/>
      </w:tblGrid>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3489"/>
      </w:tblGrid>
      <w:tr>
        <w:tblPrEx>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240" w:lineRule="auto"/>
              <w:jc w:val="center"/>
              <w:rPr>
                <w:rFonts w:ascii="仿宋_GB2312"/>
                <w:b/>
              </w:rPr>
            </w:pPr>
            <w:r>
              <w:rPr>
                <w:rFonts w:ascii="仿宋_GB2312" w:hint="eastAsia"/>
                <w:b/>
                <w:sz w:val="24"/>
                <w:szCs w:val="24"/>
              </w:rPr>
              <w:t>类别</w:t>
            </w:r>
          </w:p>
        </w:tc>
        <w:tc>
          <w:tcPr>
            <w:tcW w:w="2875" w:type="dxa"/>
            <w:vAlign w:val="center"/>
          </w:tcPr>
          <w:p>
            <w:pPr>
              <w:spacing w:line="240" w:lineRule="auto"/>
              <w:jc w:val="center"/>
              <w:rPr>
                <w:rFonts w:ascii="仿宋_GB2312"/>
                <w:b/>
              </w:rPr>
            </w:pPr>
            <w:r>
              <w:rPr>
                <w:rFonts w:ascii="仿宋_GB2312" w:hint="eastAsia"/>
                <w:b/>
                <w:sz w:val="24"/>
                <w:szCs w:val="24"/>
              </w:rPr>
              <w:t>产品名称</w:t>
            </w:r>
          </w:p>
        </w:tc>
        <w:tc>
          <w:tcPr>
            <w:tcW w:w="3489" w:type="dxa"/>
            <w:vAlign w:val="center"/>
          </w:tcPr>
          <w:p>
            <w:pPr>
              <w:spacing w:line="240" w:lineRule="auto"/>
              <w:jc w:val="center"/>
              <w:rPr>
                <w:rFonts w:ascii="仿宋_GB2312"/>
                <w:b/>
              </w:rPr>
            </w:pPr>
            <w:r>
              <w:rPr>
                <w:rFonts w:ascii="仿宋_GB2312" w:hint="eastAsia"/>
                <w:b/>
                <w:sz w:val="24"/>
                <w:szCs w:val="24"/>
              </w:rPr>
              <w:t>产品标识</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基础量</w:t>
            </w:r>
          </w:p>
          <w:p>
            <w:pPr>
              <w:spacing w:line="240" w:lineRule="auto"/>
              <w:jc w:val="center"/>
              <w:rPr>
                <w:rFonts w:ascii="仿宋_GB2312"/>
              </w:rPr>
            </w:pPr>
            <w:r>
              <w:rPr>
                <w:rFonts w:ascii="仿宋_GB2312" w:hint="eastAsia"/>
                <w:sz w:val="24"/>
                <w:szCs w:val="24"/>
              </w:rPr>
              <w:t>（9种）</w:t>
            </w:r>
          </w:p>
        </w:tc>
        <w:tc>
          <w:tcPr>
            <w:tcW w:w="2875" w:type="dxa"/>
            <w:vAlign w:val="center"/>
          </w:tcPr>
          <w:p>
            <w:pPr>
              <w:spacing w:line="240" w:lineRule="auto"/>
              <w:jc w:val="center"/>
              <w:rPr>
                <w:rFonts w:ascii="仿宋_GB2312"/>
              </w:rPr>
            </w:pPr>
            <w:r>
              <w:rPr>
                <w:rFonts w:ascii="仿宋_GB2312" w:hint="eastAsia"/>
                <w:sz w:val="24"/>
                <w:szCs w:val="24"/>
              </w:rPr>
              <w:t>滤波后反射率</w:t>
            </w:r>
          </w:p>
        </w:tc>
        <w:tc>
          <w:tcPr>
            <w:tcW w:w="3489" w:type="dxa"/>
            <w:vAlign w:val="center"/>
          </w:tcPr>
          <w:p>
            <w:pPr>
              <w:spacing w:line="240" w:lineRule="auto"/>
              <w:jc w:val="center"/>
              <w:rPr>
                <w:rFonts w:ascii="仿宋_GB2312"/>
              </w:rPr>
            </w:pPr>
            <w:r>
              <w:rPr>
                <w:rFonts w:ascii="仿宋_GB2312" w:hint="eastAsia"/>
                <w:sz w:val="24"/>
                <w:szCs w:val="24"/>
              </w:rPr>
              <w:t>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径向速度</w:t>
            </w:r>
          </w:p>
        </w:tc>
        <w:tc>
          <w:tcPr>
            <w:tcW w:w="3489" w:type="dxa"/>
            <w:vAlign w:val="center"/>
          </w:tcPr>
          <w:p>
            <w:pPr>
              <w:spacing w:line="240" w:lineRule="auto"/>
              <w:jc w:val="center"/>
              <w:rPr>
                <w:rFonts w:ascii="仿宋_GB2312"/>
              </w:rPr>
            </w:pPr>
            <w:r>
              <w:rPr>
                <w:rFonts w:ascii="仿宋_GB2312" w:hint="eastAsia"/>
                <w:sz w:val="24"/>
                <w:szCs w:val="24"/>
              </w:rPr>
              <w:t>V</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速度谱宽</w:t>
            </w:r>
          </w:p>
        </w:tc>
        <w:tc>
          <w:tcPr>
            <w:tcW w:w="3489" w:type="dxa"/>
            <w:vAlign w:val="center"/>
          </w:tcPr>
          <w:p>
            <w:pPr>
              <w:spacing w:line="240" w:lineRule="auto"/>
              <w:jc w:val="center"/>
              <w:rPr>
                <w:rFonts w:ascii="仿宋_GB2312"/>
              </w:rPr>
            </w:pPr>
            <w:r>
              <w:rPr>
                <w:rFonts w:ascii="仿宋_GB2312" w:hint="eastAsia"/>
                <w:sz w:val="24"/>
                <w:szCs w:val="24"/>
              </w:rPr>
              <w:t>SW</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水平通道信噪比</w:t>
            </w:r>
          </w:p>
        </w:tc>
        <w:tc>
          <w:tcPr>
            <w:tcW w:w="3489" w:type="dxa"/>
            <w:vAlign w:val="center"/>
          </w:tcPr>
          <w:p>
            <w:pPr>
              <w:spacing w:line="240" w:lineRule="auto"/>
              <w:jc w:val="center"/>
              <w:rPr>
                <w:rFonts w:ascii="仿宋_GB2312"/>
              </w:rPr>
            </w:pPr>
            <w:r>
              <w:rPr>
                <w:rFonts w:ascii="仿宋_GB2312" w:hint="eastAsia"/>
                <w:sz w:val="24"/>
                <w:szCs w:val="24"/>
              </w:rPr>
              <w:t>SNRH</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差分反射率</w:t>
            </w:r>
          </w:p>
        </w:tc>
        <w:tc>
          <w:tcPr>
            <w:tcW w:w="3489" w:type="dxa"/>
            <w:vAlign w:val="center"/>
          </w:tcPr>
          <w:p>
            <w:pPr>
              <w:spacing w:line="240" w:lineRule="auto"/>
              <w:jc w:val="center"/>
              <w:rPr>
                <w:rFonts w:ascii="仿宋_GB2312"/>
              </w:rPr>
            </w:pPr>
            <w:r>
              <w:rPr>
                <w:rFonts w:ascii="仿宋_GB2312" w:hint="eastAsia"/>
                <w:sz w:val="24"/>
                <w:szCs w:val="24"/>
              </w:rPr>
              <w:t>ZDR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差分传播相移</w:t>
            </w:r>
          </w:p>
        </w:tc>
        <w:tc>
          <w:tcPr>
            <w:tcW w:w="3489" w:type="dxa"/>
            <w:vAlign w:val="center"/>
          </w:tcPr>
          <w:p>
            <w:pPr>
              <w:spacing w:line="240" w:lineRule="auto"/>
              <w:jc w:val="center"/>
              <w:rPr>
                <w:rFonts w:ascii="仿宋_GB2312"/>
              </w:rPr>
            </w:pPr>
            <w:r>
              <w:rPr>
                <w:rFonts w:ascii="仿宋_GB2312" w:hint="eastAsia"/>
                <w:sz w:val="24"/>
                <w:szCs w:val="24"/>
              </w:rPr>
              <w:t>PDP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差分传播相移率</w:t>
            </w:r>
          </w:p>
        </w:tc>
        <w:tc>
          <w:tcPr>
            <w:tcW w:w="3489" w:type="dxa"/>
            <w:vAlign w:val="center"/>
          </w:tcPr>
          <w:p>
            <w:pPr>
              <w:spacing w:line="240" w:lineRule="auto"/>
              <w:jc w:val="center"/>
              <w:rPr>
                <w:rFonts w:ascii="仿宋_GB2312"/>
              </w:rPr>
            </w:pPr>
            <w:r>
              <w:rPr>
                <w:rFonts w:ascii="仿宋_GB2312" w:hint="eastAsia"/>
                <w:sz w:val="24"/>
                <w:szCs w:val="24"/>
              </w:rPr>
              <w:t>KDP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相关系数</w:t>
            </w:r>
          </w:p>
        </w:tc>
        <w:tc>
          <w:tcPr>
            <w:tcW w:w="3489" w:type="dxa"/>
            <w:vAlign w:val="center"/>
          </w:tcPr>
          <w:p>
            <w:pPr>
              <w:spacing w:line="240" w:lineRule="auto"/>
              <w:jc w:val="center"/>
              <w:rPr>
                <w:rFonts w:ascii="仿宋_GB2312"/>
              </w:rPr>
            </w:pPr>
            <w:r>
              <w:rPr>
                <w:rFonts w:ascii="仿宋_GB2312" w:hint="eastAsia"/>
                <w:sz w:val="24"/>
                <w:szCs w:val="24"/>
              </w:rPr>
              <w:t>CC</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垂直通道信噪比</w:t>
            </w:r>
          </w:p>
        </w:tc>
        <w:tc>
          <w:tcPr>
            <w:tcW w:w="3489" w:type="dxa"/>
            <w:vAlign w:val="center"/>
          </w:tcPr>
          <w:p>
            <w:pPr>
              <w:spacing w:line="240" w:lineRule="auto"/>
              <w:jc w:val="center"/>
              <w:rPr>
                <w:rFonts w:ascii="仿宋_GB2312"/>
              </w:rPr>
            </w:pPr>
            <w:r>
              <w:rPr>
                <w:rFonts w:ascii="仿宋_GB2312" w:hint="eastAsia"/>
                <w:sz w:val="24"/>
                <w:szCs w:val="24"/>
              </w:rPr>
              <w:t>SNRV</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物理量</w:t>
            </w:r>
          </w:p>
          <w:p>
            <w:pPr>
              <w:spacing w:line="240" w:lineRule="auto"/>
              <w:jc w:val="center"/>
              <w:rPr>
                <w:rFonts w:ascii="仿宋_GB2312"/>
              </w:rPr>
            </w:pPr>
            <w:r>
              <w:rPr>
                <w:rFonts w:ascii="仿宋_GB2312" w:hint="eastAsia"/>
                <w:sz w:val="24"/>
                <w:szCs w:val="24"/>
              </w:rPr>
              <w:t>（1</w:t>
            </w:r>
            <w:r>
              <w:rPr>
                <w:rFonts w:ascii="仿宋_GB2312"/>
                <w:sz w:val="24"/>
                <w:szCs w:val="24"/>
              </w:rPr>
              <w:t>0</w:t>
            </w:r>
            <w:r>
              <w:rPr>
                <w:rFonts w:ascii="仿宋_GB2312" w:hint="eastAsia"/>
                <w:sz w:val="24"/>
                <w:szCs w:val="24"/>
              </w:rPr>
              <w:t>种）</w:t>
            </w:r>
          </w:p>
        </w:tc>
        <w:tc>
          <w:tcPr>
            <w:tcW w:w="2875" w:type="dxa"/>
            <w:vAlign w:val="center"/>
          </w:tcPr>
          <w:p>
            <w:pPr>
              <w:spacing w:line="240" w:lineRule="auto"/>
              <w:jc w:val="center"/>
              <w:rPr>
                <w:rFonts w:ascii="仿宋_GB2312"/>
              </w:rPr>
            </w:pPr>
            <w:r>
              <w:rPr>
                <w:rFonts w:ascii="仿宋_GB2312" w:hint="eastAsia"/>
                <w:sz w:val="24"/>
                <w:szCs w:val="24"/>
              </w:rPr>
              <w:t>组合反射率</w:t>
            </w:r>
          </w:p>
        </w:tc>
        <w:tc>
          <w:tcPr>
            <w:tcW w:w="3489" w:type="dxa"/>
            <w:vAlign w:val="center"/>
          </w:tcPr>
          <w:p>
            <w:pPr>
              <w:spacing w:line="240" w:lineRule="auto"/>
              <w:jc w:val="center"/>
              <w:rPr>
                <w:rFonts w:ascii="仿宋_GB2312"/>
              </w:rPr>
            </w:pPr>
            <w:r>
              <w:rPr>
                <w:rFonts w:ascii="仿宋_GB2312" w:hint="eastAsia"/>
                <w:sz w:val="24"/>
                <w:szCs w:val="24"/>
              </w:rPr>
              <w:t>CR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垂直积分液态水</w:t>
            </w:r>
          </w:p>
        </w:tc>
        <w:tc>
          <w:tcPr>
            <w:tcW w:w="3489" w:type="dxa"/>
            <w:vAlign w:val="center"/>
          </w:tcPr>
          <w:p>
            <w:pPr>
              <w:spacing w:line="240" w:lineRule="auto"/>
              <w:jc w:val="center"/>
              <w:rPr>
                <w:rFonts w:ascii="仿宋_GB2312"/>
              </w:rPr>
            </w:pPr>
            <w:r>
              <w:rPr>
                <w:rFonts w:ascii="仿宋_GB2312" w:hint="eastAsia"/>
                <w:sz w:val="24"/>
                <w:szCs w:val="24"/>
              </w:rPr>
              <w:t>VIL</w:t>
            </w:r>
          </w:p>
        </w:tc>
      </w:tr>
      <w:tr>
        <w:tblPrEx>
          <w:tblW w:w="8592"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回波顶高</w:t>
            </w:r>
          </w:p>
        </w:tc>
        <w:tc>
          <w:tcPr>
            <w:tcW w:w="3489" w:type="dxa"/>
            <w:vAlign w:val="center"/>
          </w:tcPr>
          <w:p>
            <w:pPr>
              <w:spacing w:line="240" w:lineRule="auto"/>
              <w:jc w:val="center"/>
              <w:rPr>
                <w:rFonts w:ascii="仿宋_GB2312"/>
              </w:rPr>
            </w:pPr>
            <w:r>
              <w:rPr>
                <w:rFonts w:ascii="仿宋_GB2312" w:hint="eastAsia"/>
                <w:sz w:val="24"/>
                <w:szCs w:val="24"/>
              </w:rPr>
              <w:t>ET</w:t>
            </w:r>
          </w:p>
        </w:tc>
      </w:tr>
      <w:tr>
        <w:tblPrEx>
          <w:tblW w:w="8592"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分层组合反射率</w:t>
            </w:r>
          </w:p>
        </w:tc>
        <w:tc>
          <w:tcPr>
            <w:tcW w:w="3489" w:type="dxa"/>
            <w:vAlign w:val="center"/>
          </w:tcPr>
          <w:p>
            <w:pPr>
              <w:spacing w:line="240" w:lineRule="auto"/>
              <w:jc w:val="center"/>
              <w:rPr>
                <w:rFonts w:ascii="仿宋_GB2312"/>
              </w:rPr>
            </w:pPr>
            <w:r>
              <w:rPr>
                <w:rFonts w:ascii="仿宋_GB2312" w:hint="eastAsia"/>
                <w:sz w:val="24"/>
                <w:szCs w:val="24"/>
              </w:rPr>
              <w:t>LCR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风暴质心高度</w:t>
            </w:r>
          </w:p>
        </w:tc>
        <w:tc>
          <w:tcPr>
            <w:tcW w:w="3489" w:type="dxa"/>
            <w:vAlign w:val="center"/>
          </w:tcPr>
          <w:p>
            <w:pPr>
              <w:spacing w:line="240" w:lineRule="auto"/>
              <w:jc w:val="center"/>
              <w:rPr>
                <w:rFonts w:ascii="仿宋_GB2312"/>
              </w:rPr>
            </w:pPr>
            <w:r>
              <w:rPr>
                <w:rFonts w:ascii="仿宋_GB2312" w:hint="eastAsia"/>
                <w:sz w:val="24"/>
                <w:szCs w:val="24"/>
              </w:rPr>
              <w:t>RCH</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速度方位显示风廓线</w:t>
            </w:r>
          </w:p>
        </w:tc>
        <w:tc>
          <w:tcPr>
            <w:tcW w:w="3489" w:type="dxa"/>
            <w:vAlign w:val="center"/>
          </w:tcPr>
          <w:p>
            <w:pPr>
              <w:spacing w:line="240" w:lineRule="auto"/>
              <w:jc w:val="center"/>
              <w:rPr>
                <w:rFonts w:ascii="仿宋_GB2312"/>
              </w:rPr>
            </w:pPr>
            <w:r>
              <w:rPr>
                <w:rFonts w:ascii="仿宋_GB2312" w:hint="eastAsia"/>
                <w:sz w:val="24"/>
                <w:szCs w:val="24"/>
              </w:rPr>
              <w:t>VWP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1小时累积降水量</w:t>
            </w:r>
          </w:p>
        </w:tc>
        <w:tc>
          <w:tcPr>
            <w:tcW w:w="3489" w:type="dxa"/>
            <w:vAlign w:val="center"/>
          </w:tcPr>
          <w:p>
            <w:pPr>
              <w:spacing w:line="240" w:lineRule="auto"/>
              <w:jc w:val="center"/>
              <w:rPr>
                <w:rFonts w:ascii="仿宋_GB2312"/>
              </w:rPr>
            </w:pPr>
            <w:r>
              <w:rPr>
                <w:rFonts w:ascii="仿宋_GB2312"/>
                <w:sz w:val="24"/>
                <w:szCs w:val="24"/>
              </w:rPr>
              <w:t>1</w:t>
            </w:r>
            <w:r>
              <w:rPr>
                <w:rFonts w:ascii="仿宋_GB2312" w:hint="eastAsia"/>
                <w:sz w:val="24"/>
                <w:szCs w:val="24"/>
              </w:rPr>
              <w:t>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小时累积降水量</w:t>
            </w:r>
          </w:p>
        </w:tc>
        <w:tc>
          <w:tcPr>
            <w:tcW w:w="3489"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N小时累积降水量</w:t>
            </w:r>
          </w:p>
        </w:tc>
        <w:tc>
          <w:tcPr>
            <w:tcW w:w="3489" w:type="dxa"/>
            <w:vAlign w:val="center"/>
          </w:tcPr>
          <w:p>
            <w:pPr>
              <w:spacing w:line="240" w:lineRule="auto"/>
              <w:jc w:val="center"/>
              <w:rPr>
                <w:rFonts w:ascii="仿宋_GB2312"/>
              </w:rPr>
            </w:pPr>
            <w:r>
              <w:rPr>
                <w:rFonts w:ascii="仿宋_GB2312" w:hint="eastAsia"/>
                <w:sz w:val="24"/>
                <w:szCs w:val="24"/>
              </w:rPr>
              <w:t>NHP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风暴相对径向速度</w:t>
            </w:r>
          </w:p>
        </w:tc>
        <w:tc>
          <w:tcPr>
            <w:tcW w:w="3489" w:type="dxa"/>
            <w:vAlign w:val="center"/>
          </w:tcPr>
          <w:p>
            <w:pPr>
              <w:spacing w:line="240" w:lineRule="auto"/>
              <w:jc w:val="center"/>
              <w:rPr>
                <w:rFonts w:ascii="仿宋_GB2312"/>
              </w:rPr>
            </w:pPr>
            <w:r>
              <w:rPr>
                <w:rFonts w:ascii="仿宋_GB2312" w:hint="eastAsia"/>
                <w:sz w:val="24"/>
                <w:szCs w:val="24"/>
              </w:rPr>
              <w:t>SRM</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识别产品</w:t>
            </w:r>
          </w:p>
          <w:p>
            <w:pPr>
              <w:spacing w:line="240" w:lineRule="auto"/>
              <w:jc w:val="center"/>
              <w:rPr>
                <w:rFonts w:ascii="仿宋_GB2312"/>
              </w:rPr>
            </w:pPr>
            <w:r>
              <w:rPr>
                <w:rFonts w:ascii="仿宋_GB2312" w:hint="eastAsia"/>
                <w:sz w:val="24"/>
                <w:szCs w:val="24"/>
              </w:rPr>
              <w:t>（6种）</w:t>
            </w:r>
          </w:p>
        </w:tc>
        <w:tc>
          <w:tcPr>
            <w:tcW w:w="2875" w:type="dxa"/>
            <w:vAlign w:val="center"/>
          </w:tcPr>
          <w:p>
            <w:pPr>
              <w:spacing w:line="240" w:lineRule="auto"/>
              <w:jc w:val="center"/>
              <w:rPr>
                <w:rFonts w:ascii="仿宋_GB2312"/>
              </w:rPr>
            </w:pPr>
            <w:r>
              <w:rPr>
                <w:rFonts w:ascii="仿宋_GB2312" w:hint="eastAsia"/>
                <w:sz w:val="24"/>
                <w:szCs w:val="24"/>
              </w:rPr>
              <w:t>冰雹指数</w:t>
            </w:r>
          </w:p>
        </w:tc>
        <w:tc>
          <w:tcPr>
            <w:tcW w:w="3489" w:type="dxa"/>
            <w:vAlign w:val="center"/>
          </w:tcPr>
          <w:p>
            <w:pPr>
              <w:spacing w:line="240" w:lineRule="auto"/>
              <w:jc w:val="center"/>
              <w:rPr>
                <w:rFonts w:ascii="仿宋_GB2312"/>
              </w:rPr>
            </w:pPr>
            <w:r>
              <w:rPr>
                <w:rFonts w:ascii="仿宋_GB2312" w:hint="eastAsia"/>
                <w:sz w:val="24"/>
                <w:szCs w:val="24"/>
              </w:rPr>
              <w:t>HI</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风暴追踪信息</w:t>
            </w:r>
          </w:p>
        </w:tc>
        <w:tc>
          <w:tcPr>
            <w:tcW w:w="3489" w:type="dxa"/>
            <w:vAlign w:val="center"/>
          </w:tcPr>
          <w:p>
            <w:pPr>
              <w:spacing w:line="240" w:lineRule="auto"/>
              <w:jc w:val="center"/>
              <w:rPr>
                <w:rFonts w:ascii="仿宋_GB2312"/>
              </w:rPr>
            </w:pPr>
            <w:r>
              <w:rPr>
                <w:rFonts w:ascii="仿宋_GB2312" w:hint="eastAsia"/>
                <w:sz w:val="24"/>
                <w:szCs w:val="24"/>
              </w:rPr>
              <w:t>STI</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中气旋</w:t>
            </w:r>
          </w:p>
        </w:tc>
        <w:tc>
          <w:tcPr>
            <w:tcW w:w="3489" w:type="dxa"/>
            <w:vAlign w:val="center"/>
          </w:tcPr>
          <w:p>
            <w:pPr>
              <w:spacing w:line="240" w:lineRule="auto"/>
              <w:jc w:val="center"/>
              <w:rPr>
                <w:rFonts w:ascii="仿宋_GB2312"/>
              </w:rPr>
            </w:pPr>
            <w:r>
              <w:rPr>
                <w:rFonts w:ascii="仿宋_GB2312" w:hint="eastAsia"/>
                <w:sz w:val="24"/>
                <w:szCs w:val="24"/>
              </w:rPr>
              <w:t>M</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雷暴大风</w:t>
            </w:r>
          </w:p>
        </w:tc>
        <w:tc>
          <w:tcPr>
            <w:tcW w:w="3489" w:type="dxa"/>
            <w:vAlign w:val="center"/>
          </w:tcPr>
          <w:p>
            <w:pPr>
              <w:spacing w:line="240" w:lineRule="auto"/>
              <w:jc w:val="center"/>
              <w:rPr>
                <w:rFonts w:ascii="仿宋_GB2312"/>
              </w:rPr>
            </w:pPr>
            <w:r>
              <w:rPr>
                <w:rFonts w:ascii="仿宋_GB2312" w:hint="eastAsia"/>
                <w:sz w:val="24"/>
                <w:szCs w:val="24"/>
              </w:rPr>
              <w:t>TD</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短时强降水</w:t>
            </w:r>
          </w:p>
        </w:tc>
        <w:tc>
          <w:tcPr>
            <w:tcW w:w="3489" w:type="dxa"/>
            <w:vAlign w:val="center"/>
          </w:tcPr>
          <w:p>
            <w:pPr>
              <w:spacing w:line="240" w:lineRule="auto"/>
              <w:jc w:val="center"/>
              <w:rPr>
                <w:rFonts w:ascii="仿宋_GB2312"/>
              </w:rPr>
            </w:pPr>
            <w:r>
              <w:rPr>
                <w:rFonts w:ascii="仿宋_GB2312" w:hint="eastAsia"/>
                <w:sz w:val="24"/>
                <w:szCs w:val="24"/>
              </w:rPr>
              <w:t>HR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水凝物分类</w:t>
            </w:r>
          </w:p>
        </w:tc>
        <w:tc>
          <w:tcPr>
            <w:tcW w:w="3489" w:type="dxa"/>
            <w:vAlign w:val="center"/>
          </w:tcPr>
          <w:p>
            <w:pPr>
              <w:spacing w:line="240" w:lineRule="auto"/>
              <w:jc w:val="center"/>
              <w:rPr>
                <w:rFonts w:ascii="仿宋_GB2312"/>
              </w:rPr>
            </w:pPr>
            <w:r>
              <w:rPr>
                <w:rFonts w:ascii="仿宋_GB2312" w:hint="eastAsia"/>
                <w:sz w:val="24"/>
                <w:szCs w:val="24"/>
              </w:rPr>
              <w:t>HCL</w:t>
            </w:r>
          </w:p>
        </w:tc>
      </w:tr>
      <w:tr>
        <w:tblPrEx>
          <w:tblW w:w="8592" w:type="dxa"/>
          <w:jc w:val="center"/>
          <w:tblLayout w:type="fixed"/>
          <w:tblCellMar>
            <w:top w:w="0" w:type="dxa"/>
            <w:left w:w="108" w:type="dxa"/>
            <w:bottom w:w="0" w:type="dxa"/>
            <w:right w:w="108" w:type="dxa"/>
          </w:tblCellMar>
          <w:tblLook w:val="0000"/>
        </w:tblPrEx>
        <w:trPr>
          <w:cantSplit/>
          <w:trHeight w:val="424"/>
          <w:jc w:val="center"/>
        </w:trPr>
        <w:tc>
          <w:tcPr>
            <w:tcW w:w="2228" w:type="dxa"/>
            <w:vMerge w:val="restart"/>
            <w:vAlign w:val="center"/>
          </w:tcPr>
          <w:p>
            <w:pPr>
              <w:spacing w:line="240" w:lineRule="auto"/>
              <w:jc w:val="center"/>
              <w:rPr>
                <w:rFonts w:ascii="仿宋_GB2312"/>
              </w:rPr>
            </w:pPr>
            <w:r>
              <w:rPr>
                <w:rFonts w:ascii="仿宋_GB2312" w:hint="eastAsia"/>
                <w:sz w:val="24"/>
                <w:szCs w:val="24"/>
              </w:rPr>
              <w:t>告警产品</w:t>
            </w:r>
          </w:p>
          <w:p>
            <w:pPr>
              <w:spacing w:line="240" w:lineRule="auto"/>
              <w:jc w:val="center"/>
              <w:rPr>
                <w:rFonts w:ascii="仿宋_GB2312"/>
              </w:rPr>
            </w:pPr>
            <w:r>
              <w:rPr>
                <w:rFonts w:ascii="仿宋_GB2312" w:hint="eastAsia"/>
                <w:sz w:val="24"/>
                <w:szCs w:val="24"/>
              </w:rPr>
              <w:t>（2种）</w:t>
            </w:r>
          </w:p>
        </w:tc>
        <w:tc>
          <w:tcPr>
            <w:tcW w:w="2875" w:type="dxa"/>
            <w:vAlign w:val="center"/>
          </w:tcPr>
          <w:p>
            <w:pPr>
              <w:spacing w:line="240" w:lineRule="auto"/>
              <w:jc w:val="center"/>
              <w:rPr>
                <w:rFonts w:ascii="仿宋_GB2312"/>
              </w:rPr>
            </w:pPr>
            <w:r>
              <w:rPr>
                <w:rFonts w:ascii="仿宋_GB2312"/>
                <w:sz w:val="24"/>
                <w:szCs w:val="24"/>
              </w:rPr>
              <w:t>冰雹强度趋势</w:t>
            </w:r>
            <w:r>
              <w:rPr>
                <w:rFonts w:ascii="仿宋_GB2312" w:hint="eastAsia"/>
                <w:sz w:val="24"/>
                <w:szCs w:val="24"/>
              </w:rPr>
              <w:t>告警</w:t>
            </w:r>
          </w:p>
        </w:tc>
        <w:tc>
          <w:tcPr>
            <w:tcW w:w="3489" w:type="dxa"/>
            <w:vAlign w:val="center"/>
          </w:tcPr>
          <w:p>
            <w:pPr>
              <w:spacing w:line="240" w:lineRule="auto"/>
              <w:jc w:val="center"/>
              <w:rPr>
                <w:rFonts w:ascii="仿宋_GB2312"/>
              </w:rPr>
            </w:pPr>
            <w:r>
              <w:rPr>
                <w:rFonts w:ascii="仿宋_GB2312" w:hint="eastAsia"/>
                <w:sz w:val="24"/>
                <w:szCs w:val="24"/>
              </w:rPr>
              <w:t>MESHT</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降雨强度告警</w:t>
            </w:r>
          </w:p>
        </w:tc>
        <w:tc>
          <w:tcPr>
            <w:tcW w:w="3489" w:type="dxa"/>
            <w:vAlign w:val="center"/>
          </w:tcPr>
          <w:p>
            <w:pPr>
              <w:spacing w:line="240" w:lineRule="auto"/>
              <w:jc w:val="center"/>
              <w:rPr>
                <w:rFonts w:ascii="仿宋_GB2312"/>
              </w:rPr>
            </w:pPr>
            <w:r>
              <w:rPr>
                <w:rFonts w:ascii="仿宋_GB2312"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w:t>
      </w:r>
      <w:r>
        <w:rPr>
          <w:rFonts w:ascii="仿宋" w:eastAsia="仿宋" w:hAnsi="仿宋" w:cs="Times New Roman" w:hint="eastAsia"/>
          <w:color w:val="auto"/>
          <w:sz w:val="28"/>
          <w:szCs w:val="28"/>
        </w:rPr>
        <w:t>波段天气雷达现场验收规定（试行）》等文件的要求开展检验考核。同时，采购人可根据合同以及采购人的有关规定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，经双方确认后作为验收依据</w:t>
      </w:r>
      <w:r>
        <w:rPr>
          <w:rFonts w:ascii="仿宋" w:eastAsia="仿宋" w:hAnsi="仿宋" w:cs="Times New Roman" w:hint="eastAsia"/>
          <w:color w:val="auto"/>
          <w:sz w:val="28"/>
          <w:szCs w:val="28"/>
          <w:highlight w:val="none"/>
        </w:rPr>
        <w:t>。</w:t>
      </w:r>
    </w:p>
    <w:p>
      <w:pPr>
        <w:spacing w:line="240" w:lineRule="auto"/>
        <w:ind w:firstLine="560" w:firstLineChars="200"/>
        <w:outlineLvl w:val="2"/>
        <w:rPr>
          <w:rFonts w:ascii="仿宋" w:eastAsia="仿宋" w:hAnsi="仿宋" w:cs="仿宋" w:hint="eastAsia"/>
          <w:sz w:val="28"/>
          <w:szCs w:val="20"/>
        </w:rPr>
      </w:pPr>
      <w:bookmarkEnd w:id="79"/>
      <w:r>
        <w:rPr>
          <w:rFonts w:ascii="仿宋_GB2312" w:eastAsia="仿宋_GB2312" w:hAnsi="仿宋_GB2312" w:cs="仿宋_GB2312" w:hint="eastAsia"/>
          <w:bCs/>
          <w:sz w:val="28"/>
          <w:szCs w:val="28"/>
          <w:highlight w:val="none"/>
        </w:rPr>
        <w:t>六</w:t>
      </w:r>
      <w:r>
        <w:rPr>
          <w:rFonts w:ascii="仿宋_GB2312" w:eastAsia="仿宋_GB2312" w:hAnsi="仿宋_GB2312" w:cs="仿宋_GB2312" w:hint="eastAsia"/>
          <w:bCs/>
          <w:sz w:val="28"/>
          <w:szCs w:val="28"/>
          <w:highlight w:val="none"/>
        </w:rPr>
        <w:t xml:space="preserve"> </w:t>
      </w:r>
      <w:r>
        <w:rPr>
          <w:rFonts w:ascii="仿宋_GB2312" w:eastAsia="仿宋_GB2312" w:hAnsi="仿宋_GB2312" w:cs="仿宋_GB2312" w:hint="eastAsia"/>
          <w:bCs/>
          <w:sz w:val="28"/>
          <w:szCs w:val="28"/>
          <w:highlight w:val="none"/>
        </w:rPr>
        <w:t>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3569"/>
        <w:gridCol w:w="808"/>
        <w:gridCol w:w="1124"/>
        <w:gridCol w:w="1281"/>
        <w:gridCol w:w="808"/>
        <w:gridCol w:w="47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微小型X波段双线偏振多普勒天气雷达（简易型）</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45"/>
        <w:gridCol w:w="2908"/>
        <w:gridCol w:w="1772"/>
        <w:gridCol w:w="245"/>
        <w:gridCol w:w="558"/>
        <w:gridCol w:w="465"/>
        <w:gridCol w:w="1811"/>
        <w:gridCol w:w="5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贵州省气象数据中心（贵州省气象探测中心、贵州省气象档案馆）(001052017009)</w:t>
            </w:r>
          </w:p>
        </w:tc>
        <w:tc>
          <w:tcPr/>
          <w:p>
            <w:r>
              <w:t>微小型X波段双线偏振多普勒天气雷达（简易型）</w:t>
            </w:r>
          </w:p>
        </w:tc>
        <w:tc>
          <w:tcPr/>
          <w:p>
            <w:r>
              <w:t>5</w:t>
            </w:r>
          </w:p>
        </w:tc>
        <w:tc>
          <w:tcPr/>
          <w:p>
            <w:r>
              <w:t>4000000.00</w:t>
            </w:r>
          </w:p>
        </w:tc>
        <w:tc>
          <w:tcPr/>
          <w:p>
            <w:r>
              <w:t xml:space="preserve">4000000.00  </w:t>
            </w:r>
          </w:p>
        </w:tc>
        <w:tc>
          <w:tcPr/>
          <w:p>
            <w:r>
              <w:t>贵州省镇宁县、施秉县、长顺县、黔西市、玉屏县</w:t>
            </w:r>
          </w:p>
        </w:tc>
        <w:tc>
          <w:tcPr/>
          <w:p>
            <w:r>
              <w:t>李艳 18786105308</w:t>
            </w: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highlight w:val="red"/>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spacing w:line="572"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本项目拟在贵州省镇宁县、施秉县、长顺县、黔西市、玉屏县建设</w:t>
      </w:r>
      <w:r>
        <w:rPr>
          <w:rFonts w:ascii="仿宋" w:eastAsia="仿宋" w:hAnsi="仿宋" w:cs="仿宋" w:hint="eastAsia"/>
          <w:sz w:val="28"/>
          <w:szCs w:val="20"/>
          <w:lang w:val="en-US" w:eastAsia="zh-CN"/>
        </w:rPr>
        <w:t>5部</w:t>
      </w:r>
      <w:r>
        <w:rPr>
          <w:rFonts w:ascii="仿宋" w:eastAsia="仿宋" w:hAnsi="仿宋" w:cs="仿宋" w:hint="eastAsia"/>
          <w:sz w:val="28"/>
          <w:szCs w:val="20"/>
          <w:lang w:eastAsia="zh-CN"/>
        </w:rPr>
        <w:t>微小型X波段双线偏振多普勒天气雷达（简易型）</w:t>
      </w:r>
      <w:r>
        <w:rPr>
          <w:rFonts w:ascii="仿宋" w:eastAsia="仿宋" w:hAnsi="仿宋" w:cs="仿宋" w:hint="eastAsia"/>
          <w:sz w:val="28"/>
          <w:szCs w:val="20"/>
          <w:lang w:eastAsia="zh-CN"/>
        </w:rPr>
        <w:t>。通过项目建设，填补位置偏远、交通不便的主要天气系统上游地区监测盲区，提升流域、山地、丘陵等现有雷达观测盲区对特定方位灾害天气的监测能力。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color w:val="auto"/>
          <w:sz w:val="28"/>
          <w:szCs w:val="20"/>
        </w:rPr>
      </w:pPr>
      <w:r>
        <w:rPr>
          <w:rFonts w:ascii="仿宋" w:eastAsia="仿宋" w:hAnsi="仿宋" w:cs="仿宋" w:hint="eastAsia"/>
          <w:color w:val="auto"/>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r>
        <w:rPr>
          <w:rFonts w:ascii="仿宋" w:eastAsia="仿宋" w:hAnsi="仿宋" w:cs="仿宋" w:hint="eastAsia"/>
          <w:sz w:val="28"/>
          <w:szCs w:val="20"/>
          <w:lang w:eastAsia="zh-CN"/>
        </w:rPr>
        <w:t>。</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w:t>
      </w:r>
      <w:r>
        <w:rPr>
          <w:rFonts w:ascii="仿宋" w:eastAsia="仿宋" w:hAnsi="仿宋" w:cs="仿宋" w:hint="eastAsia"/>
          <w:sz w:val="28"/>
          <w:szCs w:val="20"/>
          <w:highlight w:val="none"/>
        </w:rPr>
        <w:t>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30</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15</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w:t>
      </w:r>
      <w:r>
        <w:rPr>
          <w:rFonts w:ascii="仿宋" w:eastAsia="仿宋" w:hAnsi="仿宋" w:cs="仿宋" w:hint="eastAsia"/>
          <w:sz w:val="28"/>
          <w:szCs w:val="20"/>
        </w:rPr>
        <w:t>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贵州省安顺市镇宁县、黔东南州施秉县、黔南州长顺县、毕节市黔西市、铜仁市玉屏县建设</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color w:val="auto"/>
          <w:sz w:val="28"/>
          <w:szCs w:val="20"/>
          <w:highlight w:val="none"/>
        </w:rPr>
        <w:t>合同签订后120天内完成供货、安装调试并具备验收条件。</w:t>
      </w:r>
      <w:r>
        <w:rPr>
          <w:rFonts w:ascii="仿宋" w:eastAsia="仿宋" w:hAnsi="仿宋" w:cs="仿宋" w:hint="eastAsia"/>
          <w:color w:val="auto"/>
          <w:sz w:val="28"/>
          <w:szCs w:val="20"/>
          <w:highlight w:val="none"/>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软件兼容性强，支持UDP、TCP等协议，通过气象宽带网、互联网和行业专网无缝接入省级汇聚处理中心站，观测数据格式和文件名按照中国气象局要求，形成消息、文件和流数据格式，实现与国内气象通信系统（CTS）、省级气象大数据云平台（天擎）无缝接入，满足“观测即服务”要求，完全符合甲方相关要求和规范，保证其系统的兼容性和功能的完整性。</w:t>
      </w:r>
    </w:p>
    <w:p>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tabs>
                <w:tab w:val="left" w:pos="709"/>
              </w:tabs>
              <w:spacing w:line="360" w:lineRule="auto"/>
              <w:jc w:val="center"/>
              <w:rPr>
                <w:rFonts w:hint="eastAsia"/>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tabs>
                <w:tab w:val="left" w:pos="709"/>
              </w:tabs>
              <w:spacing w:line="360" w:lineRule="auto"/>
              <w:jc w:val="center"/>
              <w:rPr>
                <w:rFonts w:ascii="宋体" w:hAnsi="宋体" w:cs="微软雅黑" w:hint="eastAsia"/>
                <w:b/>
                <w:color w:val="0000FF"/>
                <w:kern w:val="0"/>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设备供应商对所有设备提供自验收合格后</w:t>
            </w:r>
            <w:r>
              <w:rPr>
                <w:rFonts w:ascii="宋体" w:hAnsi="宋体" w:cs="微软雅黑" w:hint="eastAsia"/>
                <w:b/>
                <w:color w:val="FF0000"/>
                <w:kern w:val="0"/>
                <w:sz w:val="18"/>
                <w:szCs w:val="18"/>
                <w:highlight w:val="none"/>
              </w:rPr>
              <w:t>8年</w:t>
            </w:r>
            <w:r>
              <w:rPr>
                <w:rFonts w:ascii="宋体" w:hAnsi="宋体" w:cs="微软雅黑" w:hint="eastAsia"/>
                <w:b/>
                <w:color w:val="0000FF"/>
                <w:kern w:val="0"/>
                <w:sz w:val="18"/>
                <w:szCs w:val="18"/>
                <w:highlight w:val="none"/>
              </w:rPr>
              <w:t>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89"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 xml:space="preserve"> 贵州省气象数据中心（贵州省气象探测中心、贵州省气象档案馆）</w:t>
      </w:r>
      <w:r>
        <w:rPr>
          <w:rFonts w:ascii="宋体" w:hAnsi="宋体" w:hint="eastAsia"/>
          <w:szCs w:val="21"/>
          <w:highlight w:val="none"/>
        </w:rPr>
        <w:t>（采购人、受采购人委托签订合同的单位或采购文件约定的合同甲方）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20个工作日完成合同款95%支付</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 xml:space="preserve">            设备到货后20个工作日完成合同款5%支付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hint="eastAsia"/>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hint="eastAsia"/>
          <w:szCs w:val="21"/>
          <w:highlight w:val="none"/>
          <w:u w:val="single"/>
        </w:rPr>
        <w:t xml:space="preserve"> </w:t>
      </w:r>
      <w:r>
        <w:rPr>
          <w:rFonts w:ascii="宋体" w:hAnsi="宋体" w:hint="eastAsia"/>
          <w:szCs w:val="21"/>
          <w:highlight w:val="none"/>
          <w:u w:val="single"/>
          <w:lang w:eastAsia="zh-CN"/>
        </w:rPr>
        <w:t>贵州省镇宁县、施秉县、长顺县、黔西市、玉屏县</w:t>
      </w:r>
      <w:r>
        <w:rPr>
          <w:rFonts w:ascii="宋体" w:hAnsi="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合同总价</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8年质保期</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甲方</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FE"/>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w:t>
      </w:r>
      <w:r>
        <w:rPr>
          <w:rFonts w:ascii="宋体" w:hAnsi="宋体" w:hint="eastAsia"/>
          <w:bCs/>
          <w:szCs w:val="21"/>
          <w:highlight w:val="none"/>
          <w:u w:val="single"/>
          <w:lang w:val="en-US" w:eastAsia="zh-CN"/>
        </w:rPr>
        <w:t>30</w:t>
      </w:r>
      <w:r>
        <w:rPr>
          <w:rFonts w:ascii="宋体" w:hAnsi="宋体" w:hint="eastAsia"/>
          <w:bCs/>
          <w:szCs w:val="21"/>
          <w:highlight w:val="none"/>
          <w:u w:val="single"/>
        </w:rPr>
        <w:t xml:space="preserve">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按照合同约定</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FE"/>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4</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 xml:space="preserve"> 贵州省气象数据中心（贵州省气象探测中心、贵州省气象档案馆）</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穆仕超</w:t>
            </w: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val="en-US" w:eastAsia="zh-CN"/>
              </w:rPr>
              <w:t>陈怡璇</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0851-85202346</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贵州省贵阳市观山湖区兴筑西路58号气象局</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2" w:name="_Toc27624"/>
      <w:r>
        <w:rPr>
          <w:rFonts w:ascii="黑体" w:hAnsi="黑体" w:hint="eastAsia"/>
          <w:b w:val="0"/>
          <w:bCs w:val="0"/>
          <w:sz w:val="28"/>
          <w:szCs w:val="28"/>
          <w:highlight w:val="none"/>
        </w:rPr>
        <w:t>第二节 政府采购合同通用条款</w:t>
      </w:r>
      <w:bookmarkEnd w:id="9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甲方所在地</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8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A98919"/>
    <w:multiLevelType w:val="singleLevel"/>
    <w:tmpl w:val="BAA98919"/>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2"/>
  </w:num>
  <w:num w:numId="7">
    <w:abstractNumId w:val="6"/>
  </w:num>
  <w:num w:numId="8">
    <w:abstractNumId w:val="4"/>
  </w:num>
  <w:num w:numId="9">
    <w:abstractNumId w:val="3"/>
  </w:num>
  <w:num w:numId="10">
    <w:abstractNumId w:val="11"/>
  </w:num>
  <w:num w:numId="11">
    <w:abstractNumId w:val="1"/>
  </w:num>
  <w:num w:numId="12">
    <w:abstractNumId w:val="5"/>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